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1C4" w:rsidRPr="00E05E14" w:rsidRDefault="00C471C4" w:rsidP="00430195">
      <w:pPr>
        <w:spacing w:after="0" w:line="240" w:lineRule="auto"/>
        <w:rPr>
          <w:lang w:val="en-GB"/>
        </w:rPr>
      </w:pPr>
    </w:p>
    <w:p w:rsidR="00430195" w:rsidRPr="00E05E14" w:rsidRDefault="00430195" w:rsidP="00430195">
      <w:pPr>
        <w:spacing w:after="0" w:line="240" w:lineRule="auto"/>
        <w:rPr>
          <w:lang w:val="en-GB"/>
        </w:rPr>
      </w:pPr>
      <w:r w:rsidRPr="00E05E14">
        <w:rPr>
          <w:lang w:val="en-GB"/>
        </w:rPr>
        <w:t>European Securities and Markets Authority (ESMA)</w:t>
      </w:r>
    </w:p>
    <w:p w:rsidR="00430195" w:rsidRPr="00367A28" w:rsidRDefault="00697403" w:rsidP="00430195">
      <w:pPr>
        <w:spacing w:after="0" w:line="240" w:lineRule="auto"/>
      </w:pPr>
      <w:proofErr w:type="spellStart"/>
      <w:r w:rsidRPr="00367A28">
        <w:t>Rue</w:t>
      </w:r>
      <w:proofErr w:type="spellEnd"/>
      <w:r w:rsidRPr="00367A28">
        <w:t xml:space="preserve"> de </w:t>
      </w:r>
      <w:proofErr w:type="spellStart"/>
      <w:r w:rsidRPr="00367A28">
        <w:t>G</w:t>
      </w:r>
      <w:r w:rsidR="00430195" w:rsidRPr="00367A28">
        <w:t>renelle</w:t>
      </w:r>
      <w:proofErr w:type="spellEnd"/>
    </w:p>
    <w:p w:rsidR="00430195" w:rsidRPr="00367A28" w:rsidRDefault="00430195" w:rsidP="00430195">
      <w:pPr>
        <w:spacing w:after="0" w:line="240" w:lineRule="auto"/>
      </w:pPr>
      <w:r w:rsidRPr="00367A28">
        <w:t>75008 Paris – France</w:t>
      </w:r>
    </w:p>
    <w:p w:rsidR="00AD0511" w:rsidRPr="00367A28" w:rsidRDefault="00430195" w:rsidP="00430195">
      <w:pPr>
        <w:spacing w:after="0" w:line="240" w:lineRule="auto"/>
      </w:pPr>
      <w:proofErr w:type="spellStart"/>
      <w:r w:rsidRPr="00367A28">
        <w:t>Via</w:t>
      </w:r>
      <w:proofErr w:type="spellEnd"/>
      <w:r w:rsidRPr="00367A28">
        <w:t>: www.esma.europa.eu</w:t>
      </w:r>
    </w:p>
    <w:p w:rsidR="001B7310" w:rsidRPr="00367A28" w:rsidRDefault="00AD0511" w:rsidP="001B7310">
      <w:pPr>
        <w:spacing w:after="0" w:line="240" w:lineRule="auto"/>
      </w:pPr>
      <w:r w:rsidRPr="00367A28">
        <w:t xml:space="preserve"> </w:t>
      </w:r>
    </w:p>
    <w:p w:rsidR="001B7310" w:rsidRPr="00E05E14" w:rsidRDefault="00430195" w:rsidP="001B7310">
      <w:pPr>
        <w:spacing w:after="0" w:line="240" w:lineRule="auto"/>
        <w:jc w:val="right"/>
        <w:rPr>
          <w:lang w:val="en-GB"/>
        </w:rPr>
      </w:pPr>
      <w:r w:rsidRPr="00E05E14">
        <w:rPr>
          <w:lang w:val="en-GB"/>
        </w:rPr>
        <w:t>12</w:t>
      </w:r>
      <w:r w:rsidR="00E00576" w:rsidRPr="00E05E14">
        <w:rPr>
          <w:lang w:val="en-GB"/>
        </w:rPr>
        <w:t xml:space="preserve">th </w:t>
      </w:r>
      <w:r w:rsidRPr="00E05E14">
        <w:rPr>
          <w:lang w:val="en-GB"/>
        </w:rPr>
        <w:t>February</w:t>
      </w:r>
      <w:r w:rsidR="00E00576" w:rsidRPr="00E05E14">
        <w:rPr>
          <w:lang w:val="en-GB"/>
        </w:rPr>
        <w:t xml:space="preserve"> 20</w:t>
      </w:r>
      <w:r w:rsidRPr="00E05E14">
        <w:rPr>
          <w:lang w:val="en-GB"/>
        </w:rPr>
        <w:t>13</w:t>
      </w:r>
    </w:p>
    <w:p w:rsidR="001B7310" w:rsidRPr="00E05E14" w:rsidRDefault="001B7310" w:rsidP="001B7310">
      <w:pPr>
        <w:spacing w:after="0" w:line="240" w:lineRule="auto"/>
        <w:rPr>
          <w:lang w:val="en-GB"/>
        </w:rPr>
      </w:pPr>
    </w:p>
    <w:p w:rsidR="001B7310" w:rsidRPr="00E05E14" w:rsidRDefault="001B7310" w:rsidP="00AD0511">
      <w:pPr>
        <w:spacing w:after="0" w:line="240" w:lineRule="auto"/>
        <w:rPr>
          <w:lang w:val="en-GB"/>
        </w:rPr>
      </w:pPr>
    </w:p>
    <w:p w:rsidR="00430195" w:rsidRPr="00E05E14" w:rsidRDefault="00430195" w:rsidP="00430195">
      <w:pPr>
        <w:spacing w:after="0" w:line="240" w:lineRule="auto"/>
        <w:jc w:val="both"/>
        <w:rPr>
          <w:lang w:val="en-GB"/>
        </w:rPr>
      </w:pPr>
      <w:r w:rsidRPr="00E05E14">
        <w:rPr>
          <w:lang w:val="en-GB"/>
        </w:rPr>
        <w:t>Reference: consultation paper 2012/841 on Guidelines and recommendations on the scope of the CRA regulation</w:t>
      </w:r>
    </w:p>
    <w:p w:rsidR="00430195" w:rsidRPr="00E05E14" w:rsidRDefault="00430195" w:rsidP="00430195">
      <w:pPr>
        <w:spacing w:after="0" w:line="240" w:lineRule="auto"/>
        <w:jc w:val="both"/>
        <w:rPr>
          <w:lang w:val="en-GB"/>
        </w:rPr>
      </w:pPr>
    </w:p>
    <w:p w:rsidR="00430195" w:rsidRPr="00E05E14" w:rsidRDefault="00430195" w:rsidP="00430195">
      <w:pPr>
        <w:spacing w:after="0" w:line="240" w:lineRule="auto"/>
        <w:jc w:val="both"/>
        <w:rPr>
          <w:lang w:val="en-GB"/>
        </w:rPr>
      </w:pPr>
      <w:r w:rsidRPr="00E05E14">
        <w:rPr>
          <w:lang w:val="en-GB"/>
        </w:rPr>
        <w:t>Dear Sir,</w:t>
      </w:r>
    </w:p>
    <w:p w:rsidR="00430195" w:rsidRPr="00E05E14" w:rsidRDefault="00430195" w:rsidP="00430195">
      <w:pPr>
        <w:spacing w:after="0" w:line="240" w:lineRule="auto"/>
        <w:jc w:val="both"/>
        <w:rPr>
          <w:lang w:val="en-GB"/>
        </w:rPr>
      </w:pPr>
    </w:p>
    <w:p w:rsidR="00E00576" w:rsidRPr="00E05E14" w:rsidRDefault="007C158C" w:rsidP="001B7310">
      <w:pPr>
        <w:spacing w:after="0" w:line="240" w:lineRule="auto"/>
        <w:jc w:val="both"/>
        <w:rPr>
          <w:lang w:val="en-GB"/>
        </w:rPr>
      </w:pPr>
      <w:r w:rsidRPr="00E05E14">
        <w:rPr>
          <w:lang w:val="en-GB"/>
        </w:rPr>
        <w:t>We</w:t>
      </w:r>
      <w:r w:rsidR="00EF4C68" w:rsidRPr="00E05E14">
        <w:rPr>
          <w:lang w:val="en-GB"/>
        </w:rPr>
        <w:t xml:space="preserve"> </w:t>
      </w:r>
      <w:r w:rsidRPr="00E05E14">
        <w:rPr>
          <w:lang w:val="en-GB"/>
        </w:rPr>
        <w:t>appreciate</w:t>
      </w:r>
      <w:r w:rsidR="00EF4C68" w:rsidRPr="00E05E14">
        <w:rPr>
          <w:lang w:val="en-GB"/>
        </w:rPr>
        <w:t xml:space="preserve"> the opportunity to </w:t>
      </w:r>
      <w:r w:rsidR="00B561B0" w:rsidRPr="00E05E14">
        <w:rPr>
          <w:lang w:val="en-GB"/>
        </w:rPr>
        <w:t xml:space="preserve">provide comments </w:t>
      </w:r>
      <w:r w:rsidR="00430195" w:rsidRPr="00E05E14">
        <w:rPr>
          <w:lang w:val="en-GB"/>
        </w:rPr>
        <w:t xml:space="preserve">accordingly with our point of view </w:t>
      </w:r>
      <w:r w:rsidR="00B561B0" w:rsidRPr="00E05E14">
        <w:rPr>
          <w:lang w:val="en-GB"/>
        </w:rPr>
        <w:t xml:space="preserve">to </w:t>
      </w:r>
      <w:r w:rsidR="00430195" w:rsidRPr="00E05E14">
        <w:rPr>
          <w:lang w:val="en-GB"/>
        </w:rPr>
        <w:t>ESMA</w:t>
      </w:r>
      <w:r w:rsidR="00B561B0" w:rsidRPr="00E05E14">
        <w:rPr>
          <w:lang w:val="en-GB"/>
        </w:rPr>
        <w:t xml:space="preserve"> regarding this </w:t>
      </w:r>
      <w:r w:rsidR="00EF4C68" w:rsidRPr="00E05E14">
        <w:rPr>
          <w:lang w:val="en-GB"/>
        </w:rPr>
        <w:t>consultation paper</w:t>
      </w:r>
      <w:r w:rsidR="00B561B0" w:rsidRPr="00E05E14">
        <w:rPr>
          <w:lang w:val="en-GB"/>
        </w:rPr>
        <w:t>.</w:t>
      </w:r>
      <w:r w:rsidR="00EF4C68" w:rsidRPr="00E05E14">
        <w:rPr>
          <w:lang w:val="en-GB"/>
        </w:rPr>
        <w:t xml:space="preserve">  </w:t>
      </w:r>
      <w:r w:rsidR="00430195" w:rsidRPr="00E05E14">
        <w:rPr>
          <w:lang w:val="en-GB"/>
        </w:rPr>
        <w:t xml:space="preserve">A clearer scope of the EU Regulation on Credit Rating Agencies is of crucial importance </w:t>
      </w:r>
      <w:r w:rsidR="00697403" w:rsidRPr="00E05E14">
        <w:rPr>
          <w:lang w:val="en-GB"/>
        </w:rPr>
        <w:t>for credit rating a</w:t>
      </w:r>
      <w:r w:rsidR="00430195" w:rsidRPr="00E05E14">
        <w:rPr>
          <w:lang w:val="en-GB"/>
        </w:rPr>
        <w:t>ctivities</w:t>
      </w:r>
      <w:r w:rsidR="00697403" w:rsidRPr="00E05E14">
        <w:rPr>
          <w:lang w:val="en-GB"/>
        </w:rPr>
        <w:t xml:space="preserve"> carried out by</w:t>
      </w:r>
      <w:r w:rsidR="00390D96" w:rsidRPr="00E05E14">
        <w:rPr>
          <w:lang w:val="en-GB"/>
        </w:rPr>
        <w:t xml:space="preserve"> a</w:t>
      </w:r>
      <w:r w:rsidR="00430195" w:rsidRPr="00E05E14">
        <w:rPr>
          <w:lang w:val="en-GB"/>
        </w:rPr>
        <w:t>xesor.</w:t>
      </w:r>
    </w:p>
    <w:p w:rsidR="00CF1D1C" w:rsidRPr="00E05E14" w:rsidRDefault="00CF1D1C" w:rsidP="001B7310">
      <w:pPr>
        <w:spacing w:after="0" w:line="240" w:lineRule="auto"/>
        <w:jc w:val="both"/>
        <w:rPr>
          <w:lang w:val="en-GB"/>
        </w:rPr>
      </w:pPr>
    </w:p>
    <w:p w:rsidR="00CF1D1C" w:rsidRPr="00E05E14" w:rsidRDefault="007C158C" w:rsidP="001B7310">
      <w:pPr>
        <w:spacing w:after="0" w:line="240" w:lineRule="auto"/>
        <w:jc w:val="both"/>
        <w:rPr>
          <w:lang w:val="en-GB"/>
        </w:rPr>
      </w:pPr>
      <w:r w:rsidRPr="00E05E14">
        <w:rPr>
          <w:lang w:val="en-GB"/>
        </w:rPr>
        <w:t xml:space="preserve">Regarding the questions </w:t>
      </w:r>
      <w:r w:rsidR="0046055F" w:rsidRPr="00E05E14">
        <w:rPr>
          <w:lang w:val="en-GB"/>
        </w:rPr>
        <w:t>laid out</w:t>
      </w:r>
      <w:r w:rsidRPr="00E05E14">
        <w:rPr>
          <w:lang w:val="en-GB"/>
        </w:rPr>
        <w:t xml:space="preserve"> in the Consultation Paper it is our aim to contribute providing our comments </w:t>
      </w:r>
      <w:r w:rsidR="00FD573D" w:rsidRPr="00E05E14">
        <w:rPr>
          <w:lang w:val="en-GB"/>
        </w:rPr>
        <w:t>for the following</w:t>
      </w:r>
      <w:r w:rsidRPr="00E05E14">
        <w:rPr>
          <w:lang w:val="en-GB"/>
        </w:rPr>
        <w:t>:</w:t>
      </w:r>
    </w:p>
    <w:p w:rsidR="007C158C" w:rsidRPr="00E05E14" w:rsidRDefault="007C158C" w:rsidP="001B7310">
      <w:pPr>
        <w:spacing w:after="0" w:line="240" w:lineRule="auto"/>
        <w:jc w:val="both"/>
        <w:rPr>
          <w:lang w:val="en-GB"/>
        </w:rPr>
      </w:pPr>
    </w:p>
    <w:p w:rsidR="00487F44" w:rsidRPr="00E05E14" w:rsidRDefault="00430195" w:rsidP="00487F44">
      <w:pPr>
        <w:spacing w:after="0" w:line="240" w:lineRule="auto"/>
        <w:jc w:val="both"/>
        <w:rPr>
          <w:b/>
          <w:lang w:val="en-GB"/>
        </w:rPr>
      </w:pPr>
      <w:r w:rsidRPr="00E05E14">
        <w:rPr>
          <w:b/>
          <w:lang w:val="en-GB"/>
        </w:rPr>
        <w:t>Q</w:t>
      </w:r>
      <w:r w:rsidR="00487F44" w:rsidRPr="00E05E14">
        <w:rPr>
          <w:b/>
          <w:lang w:val="en-GB"/>
        </w:rPr>
        <w:t xml:space="preserve">3: </w:t>
      </w:r>
      <w:r w:rsidRPr="00E05E14">
        <w:rPr>
          <w:b/>
          <w:lang w:val="en-GB"/>
        </w:rPr>
        <w:t>Do you agree with the explanation of credit ratings provided in this document?</w:t>
      </w:r>
    </w:p>
    <w:p w:rsidR="00487F44" w:rsidRPr="00E05E14" w:rsidRDefault="00487F44" w:rsidP="00487F44">
      <w:pPr>
        <w:spacing w:after="0" w:line="240" w:lineRule="auto"/>
        <w:jc w:val="both"/>
        <w:rPr>
          <w:lang w:val="en-GB"/>
        </w:rPr>
      </w:pPr>
    </w:p>
    <w:p w:rsidR="00E170B3" w:rsidRPr="00E05E14" w:rsidRDefault="00430195" w:rsidP="00487F44">
      <w:pPr>
        <w:spacing w:after="0" w:line="240" w:lineRule="auto"/>
        <w:jc w:val="both"/>
        <w:rPr>
          <w:lang w:val="en-GB"/>
        </w:rPr>
      </w:pPr>
      <w:r w:rsidRPr="00E05E14">
        <w:rPr>
          <w:lang w:val="en-GB"/>
        </w:rPr>
        <w:t>We agree with the main idea exposed, but in our opinion</w:t>
      </w:r>
      <w:r w:rsidR="00E170B3" w:rsidRPr="00E05E14">
        <w:rPr>
          <w:lang w:val="en-GB"/>
        </w:rPr>
        <w:t xml:space="preserve"> the analyst’s participation should not be the </w:t>
      </w:r>
      <w:r w:rsidR="00390D96" w:rsidRPr="00E05E14">
        <w:rPr>
          <w:lang w:val="en-GB"/>
        </w:rPr>
        <w:t>sole</w:t>
      </w:r>
      <w:r w:rsidR="00FD573D" w:rsidRPr="00E05E14">
        <w:rPr>
          <w:lang w:val="en-GB"/>
        </w:rPr>
        <w:t xml:space="preserve"> parti</w:t>
      </w:r>
      <w:r w:rsidR="00697403" w:rsidRPr="00E05E14">
        <w:rPr>
          <w:lang w:val="en-GB"/>
        </w:rPr>
        <w:t>ci</w:t>
      </w:r>
      <w:r w:rsidR="00FD573D" w:rsidRPr="00E05E14">
        <w:rPr>
          <w:lang w:val="en-GB"/>
        </w:rPr>
        <w:t>pation</w:t>
      </w:r>
      <w:r w:rsidR="00E170B3" w:rsidRPr="00E05E14">
        <w:rPr>
          <w:lang w:val="en-GB"/>
        </w:rPr>
        <w:t>. When making the difference between rating and scoring, it is vital in rating to include several people in different phases of the rating i</w:t>
      </w:r>
      <w:r w:rsidR="00F758F8" w:rsidRPr="00E05E14">
        <w:rPr>
          <w:lang w:val="en-GB"/>
        </w:rPr>
        <w:t>ssuance, especially the head analyst</w:t>
      </w:r>
      <w:r w:rsidR="00E170B3" w:rsidRPr="00E05E14">
        <w:rPr>
          <w:lang w:val="en-GB"/>
        </w:rPr>
        <w:t xml:space="preserve"> and the Rating Committee.</w:t>
      </w:r>
    </w:p>
    <w:p w:rsidR="00F758F8" w:rsidRPr="00E05E14" w:rsidRDefault="00F758F8" w:rsidP="00487F44">
      <w:pPr>
        <w:spacing w:after="0" w:line="240" w:lineRule="auto"/>
        <w:jc w:val="both"/>
        <w:rPr>
          <w:lang w:val="en-GB"/>
        </w:rPr>
      </w:pPr>
    </w:p>
    <w:p w:rsidR="00F758F8" w:rsidRPr="00E05E14" w:rsidRDefault="00F758F8" w:rsidP="00487F44">
      <w:pPr>
        <w:spacing w:after="0" w:line="240" w:lineRule="auto"/>
        <w:jc w:val="both"/>
        <w:rPr>
          <w:lang w:val="en-GB"/>
        </w:rPr>
      </w:pPr>
      <w:r w:rsidRPr="00E05E14">
        <w:rPr>
          <w:lang w:val="en-GB"/>
        </w:rPr>
        <w:t>Thus, the main difference lies in the interaction of several experts and qualified professionals who work coordinately adding value to the analysis of quantitative and qualitative information. For instance, we believe that a rating cannot be the result of an automatic assignment (assignment of rating associated to the rating scale)</w:t>
      </w:r>
      <w:proofErr w:type="gramStart"/>
      <w:r w:rsidR="00367A28">
        <w:rPr>
          <w:lang w:val="en-GB"/>
        </w:rPr>
        <w:t>,</w:t>
      </w:r>
      <w:proofErr w:type="gramEnd"/>
      <w:r w:rsidRPr="00E05E14">
        <w:rPr>
          <w:lang w:val="en-GB"/>
        </w:rPr>
        <w:t xml:space="preserve"> </w:t>
      </w:r>
      <w:r w:rsidR="00367A28">
        <w:rPr>
          <w:lang w:val="en-GB"/>
        </w:rPr>
        <w:t>a</w:t>
      </w:r>
      <w:r w:rsidRPr="00E05E14">
        <w:rPr>
          <w:lang w:val="en-GB"/>
        </w:rPr>
        <w:t xml:space="preserve"> rating should be assigned by means of a manual process, expediently by a Rating Committee.</w:t>
      </w:r>
    </w:p>
    <w:p w:rsidR="009D59A8" w:rsidRPr="00E05E14" w:rsidRDefault="009D59A8" w:rsidP="00487F44">
      <w:pPr>
        <w:spacing w:after="0" w:line="240" w:lineRule="auto"/>
        <w:jc w:val="both"/>
        <w:rPr>
          <w:lang w:val="en-GB"/>
        </w:rPr>
      </w:pPr>
    </w:p>
    <w:p w:rsidR="009D59A8" w:rsidRPr="00E05E14" w:rsidRDefault="009D59A8" w:rsidP="00487F44">
      <w:pPr>
        <w:spacing w:after="0" w:line="240" w:lineRule="auto"/>
        <w:jc w:val="both"/>
        <w:rPr>
          <w:lang w:val="en-GB"/>
        </w:rPr>
      </w:pPr>
      <w:r w:rsidRPr="00E05E14">
        <w:rPr>
          <w:lang w:val="en-GB"/>
        </w:rPr>
        <w:t xml:space="preserve">Additionally, in our opinion it is necessary to emphasize another difference regarding the process used for </w:t>
      </w:r>
      <w:r w:rsidR="00FD573D" w:rsidRPr="00E05E14">
        <w:rPr>
          <w:lang w:val="en-GB"/>
        </w:rPr>
        <w:t>rating and scoring issuance</w:t>
      </w:r>
      <w:r w:rsidRPr="00E05E14">
        <w:rPr>
          <w:lang w:val="en-GB"/>
        </w:rPr>
        <w:t>. Scorings have automatic processes used massively, while rating issuance is a personalized analysis adapted to the rated entity’s reality and its environment.</w:t>
      </w:r>
    </w:p>
    <w:p w:rsidR="00B561B0" w:rsidRPr="00E05E14" w:rsidRDefault="00B561B0" w:rsidP="00487F44">
      <w:pPr>
        <w:spacing w:after="0" w:line="240" w:lineRule="auto"/>
        <w:jc w:val="both"/>
        <w:rPr>
          <w:lang w:val="en-GB"/>
        </w:rPr>
      </w:pPr>
    </w:p>
    <w:p w:rsidR="00B561B0" w:rsidRPr="00E05E14" w:rsidRDefault="004B3B8D" w:rsidP="001B7310">
      <w:pPr>
        <w:spacing w:after="0" w:line="240" w:lineRule="auto"/>
        <w:jc w:val="both"/>
        <w:rPr>
          <w:b/>
          <w:lang w:val="en-GB"/>
        </w:rPr>
      </w:pPr>
      <w:r w:rsidRPr="00E05E14">
        <w:rPr>
          <w:b/>
          <w:lang w:val="en-GB"/>
        </w:rPr>
        <w:t>Q4. Do you believe that the intervention of rating analysts in the assessment of the relevant information is the key element to distinguish credit ratings from credit scorings?</w:t>
      </w:r>
    </w:p>
    <w:p w:rsidR="004B3B8D" w:rsidRPr="00E05E14" w:rsidRDefault="004B3B8D" w:rsidP="001B7310">
      <w:pPr>
        <w:spacing w:after="0" w:line="240" w:lineRule="auto"/>
        <w:jc w:val="both"/>
        <w:rPr>
          <w:lang w:val="en-GB"/>
        </w:rPr>
      </w:pPr>
    </w:p>
    <w:p w:rsidR="004B3B8D" w:rsidRPr="00E05E14" w:rsidRDefault="004B3B8D" w:rsidP="001B7310">
      <w:pPr>
        <w:spacing w:after="0" w:line="240" w:lineRule="auto"/>
        <w:jc w:val="both"/>
        <w:rPr>
          <w:lang w:val="en-GB"/>
        </w:rPr>
      </w:pPr>
      <w:r w:rsidRPr="00E05E14">
        <w:rPr>
          <w:lang w:val="en-GB"/>
        </w:rPr>
        <w:t>Yes, we believe</w:t>
      </w:r>
      <w:r w:rsidR="0046055F" w:rsidRPr="00E05E14">
        <w:rPr>
          <w:lang w:val="en-GB"/>
        </w:rPr>
        <w:t xml:space="preserve"> that the</w:t>
      </w:r>
      <w:r w:rsidRPr="00E05E14">
        <w:rPr>
          <w:lang w:val="en-GB"/>
        </w:rPr>
        <w:t xml:space="preserve"> analyst is the key element</w:t>
      </w:r>
      <w:r w:rsidR="0046055F" w:rsidRPr="00E05E14">
        <w:rPr>
          <w:lang w:val="en-GB"/>
        </w:rPr>
        <w:t xml:space="preserve"> in the rating issuance process</w:t>
      </w:r>
      <w:r w:rsidRPr="00E05E14">
        <w:rPr>
          <w:lang w:val="en-GB"/>
        </w:rPr>
        <w:t xml:space="preserve">. </w:t>
      </w:r>
      <w:r w:rsidR="0046055F" w:rsidRPr="00E05E14">
        <w:rPr>
          <w:lang w:val="en-GB"/>
        </w:rPr>
        <w:t>However</w:t>
      </w:r>
      <w:r w:rsidRPr="00E05E14">
        <w:rPr>
          <w:lang w:val="en-GB"/>
        </w:rPr>
        <w:t xml:space="preserve">, in our opinion, it is </w:t>
      </w:r>
      <w:r w:rsidR="0046055F" w:rsidRPr="00E05E14">
        <w:rPr>
          <w:lang w:val="en-GB"/>
        </w:rPr>
        <w:t xml:space="preserve">even </w:t>
      </w:r>
      <w:r w:rsidRPr="00E05E14">
        <w:rPr>
          <w:lang w:val="en-GB"/>
        </w:rPr>
        <w:t xml:space="preserve">more important to define </w:t>
      </w:r>
      <w:r w:rsidR="0046055F" w:rsidRPr="00E05E14">
        <w:rPr>
          <w:lang w:val="en-GB"/>
        </w:rPr>
        <w:t xml:space="preserve">clearly the analyst’s role. We believe that the analyst should contribute </w:t>
      </w:r>
      <w:r w:rsidR="00FD573D" w:rsidRPr="00E05E14">
        <w:rPr>
          <w:lang w:val="en-GB"/>
        </w:rPr>
        <w:t>with</w:t>
      </w:r>
      <w:r w:rsidR="0046055F" w:rsidRPr="00E05E14">
        <w:rPr>
          <w:lang w:val="en-GB"/>
        </w:rPr>
        <w:t xml:space="preserve"> knowledge and participate actively in rating issuance, spending time in the analysis and assessment of several factors</w:t>
      </w:r>
      <w:r w:rsidR="00FD573D" w:rsidRPr="00E05E14">
        <w:rPr>
          <w:lang w:val="en-GB"/>
        </w:rPr>
        <w:t>.</w:t>
      </w:r>
    </w:p>
    <w:p w:rsidR="00FD573D" w:rsidRDefault="00FD573D" w:rsidP="001B7310">
      <w:pPr>
        <w:spacing w:after="0" w:line="240" w:lineRule="auto"/>
        <w:jc w:val="both"/>
        <w:rPr>
          <w:lang w:val="en-GB"/>
        </w:rPr>
      </w:pPr>
    </w:p>
    <w:p w:rsidR="00367A28" w:rsidRPr="00E05E14" w:rsidRDefault="00367A28" w:rsidP="001B7310">
      <w:pPr>
        <w:spacing w:after="0" w:line="240" w:lineRule="auto"/>
        <w:jc w:val="both"/>
        <w:rPr>
          <w:lang w:val="en-GB"/>
        </w:rPr>
      </w:pPr>
    </w:p>
    <w:p w:rsidR="00FD573D" w:rsidRPr="00E05E14" w:rsidRDefault="00FD573D" w:rsidP="001B7310">
      <w:pPr>
        <w:spacing w:after="0" w:line="240" w:lineRule="auto"/>
        <w:jc w:val="both"/>
        <w:rPr>
          <w:lang w:val="en-GB"/>
        </w:rPr>
      </w:pPr>
      <w:r w:rsidRPr="00E05E14">
        <w:rPr>
          <w:lang w:val="en-GB"/>
        </w:rPr>
        <w:lastRenderedPageBreak/>
        <w:t>The rationale of unstructured qualitative information is especially relevant, such as m</w:t>
      </w:r>
      <w:r w:rsidR="00AE41C0" w:rsidRPr="00E05E14">
        <w:rPr>
          <w:lang w:val="en-GB"/>
        </w:rPr>
        <w:t>acroeconomic projections, or how changes in labour and environmental standards, which the companies have to comply with, affect the rating awarded.</w:t>
      </w:r>
    </w:p>
    <w:p w:rsidR="00AE41C0" w:rsidRPr="00E05E14" w:rsidRDefault="00AE41C0" w:rsidP="001B7310">
      <w:pPr>
        <w:spacing w:after="0" w:line="240" w:lineRule="auto"/>
        <w:jc w:val="both"/>
        <w:rPr>
          <w:lang w:val="en-GB"/>
        </w:rPr>
      </w:pPr>
    </w:p>
    <w:p w:rsidR="00390D96" w:rsidRPr="00E05E14" w:rsidRDefault="00390D96" w:rsidP="00390D96">
      <w:pPr>
        <w:spacing w:after="0" w:line="240" w:lineRule="auto"/>
        <w:jc w:val="both"/>
        <w:rPr>
          <w:b/>
          <w:lang w:val="en-GB"/>
        </w:rPr>
      </w:pPr>
      <w:r w:rsidRPr="00E05E14">
        <w:rPr>
          <w:b/>
          <w:lang w:val="en-GB"/>
        </w:rPr>
        <w:t>Q5. Do you agree with the explanation of private ratings provided?</w:t>
      </w:r>
    </w:p>
    <w:p w:rsidR="00390D96" w:rsidRPr="00E05E14" w:rsidRDefault="00390D96" w:rsidP="00390D96">
      <w:pPr>
        <w:spacing w:after="0" w:line="240" w:lineRule="auto"/>
        <w:jc w:val="both"/>
        <w:rPr>
          <w:lang w:val="en-GB"/>
        </w:rPr>
      </w:pPr>
    </w:p>
    <w:p w:rsidR="00390D96" w:rsidRPr="00E05E14" w:rsidRDefault="00390D96" w:rsidP="00390D96">
      <w:pPr>
        <w:spacing w:after="0" w:line="240" w:lineRule="auto"/>
        <w:jc w:val="both"/>
        <w:rPr>
          <w:lang w:val="en-GB"/>
        </w:rPr>
      </w:pPr>
      <w:r w:rsidRPr="00E05E14">
        <w:rPr>
          <w:lang w:val="en-GB"/>
        </w:rPr>
        <w:t>No, we believe that the definition is too loose in some aspects. We understand, and suggest to incorporate as a restriction, that for a rating to be considered private (and therefore outside the scope of the Regulation) its disclosure to third parties should not be allowed and should be contractually limited.</w:t>
      </w:r>
    </w:p>
    <w:p w:rsidR="00390D96" w:rsidRPr="00E05E14" w:rsidRDefault="00390D96" w:rsidP="00390D96">
      <w:pPr>
        <w:spacing w:after="0" w:line="240" w:lineRule="auto"/>
        <w:jc w:val="both"/>
        <w:rPr>
          <w:lang w:val="en-GB"/>
        </w:rPr>
      </w:pPr>
    </w:p>
    <w:p w:rsidR="00390D96" w:rsidRPr="00E05E14" w:rsidRDefault="00390D96" w:rsidP="00390D96">
      <w:pPr>
        <w:spacing w:after="0" w:line="240" w:lineRule="auto"/>
        <w:jc w:val="both"/>
        <w:rPr>
          <w:lang w:val="en-GB"/>
        </w:rPr>
      </w:pPr>
      <w:r w:rsidRPr="00E05E14">
        <w:rPr>
          <w:lang w:val="en-GB"/>
        </w:rPr>
        <w:t>Otherwise, it could be considered unfair competition for official ratings whose target customers are objective third parties with interest in the solvency of a company, such as shareholders, institutional investors, commercial bank creditors or insurers.</w:t>
      </w:r>
    </w:p>
    <w:p w:rsidR="00390D96" w:rsidRPr="00E05E14" w:rsidRDefault="00390D96" w:rsidP="00390D96">
      <w:pPr>
        <w:spacing w:after="0" w:line="240" w:lineRule="auto"/>
        <w:jc w:val="both"/>
        <w:rPr>
          <w:lang w:val="en-GB"/>
        </w:rPr>
      </w:pPr>
    </w:p>
    <w:p w:rsidR="00390D96" w:rsidRPr="00E05E14" w:rsidRDefault="00390D96" w:rsidP="00390D96">
      <w:pPr>
        <w:spacing w:after="0" w:line="240" w:lineRule="auto"/>
        <w:jc w:val="both"/>
        <w:rPr>
          <w:lang w:val="en-GB"/>
        </w:rPr>
      </w:pPr>
      <w:r w:rsidRPr="00E05E14">
        <w:rPr>
          <w:lang w:val="en-GB"/>
        </w:rPr>
        <w:t xml:space="preserve">We understand that the main objective of the Regulation is to protect investors. Therefore, any rating that can be reached and used as input in their decision-making </w:t>
      </w:r>
      <w:r w:rsidR="00367A28">
        <w:rPr>
          <w:lang w:val="en-GB"/>
        </w:rPr>
        <w:t xml:space="preserve">by investors </w:t>
      </w:r>
      <w:r w:rsidRPr="00E05E14">
        <w:rPr>
          <w:lang w:val="en-GB"/>
        </w:rPr>
        <w:t>should be official, thus fulfilling the quality requirements of independence and conflict-of-interest-free nature shown in the Regulation.</w:t>
      </w:r>
    </w:p>
    <w:p w:rsidR="00390D96" w:rsidRPr="00E05E14" w:rsidRDefault="00390D96" w:rsidP="00390D96">
      <w:pPr>
        <w:spacing w:after="0" w:line="240" w:lineRule="auto"/>
        <w:jc w:val="both"/>
        <w:rPr>
          <w:color w:val="4F81BD" w:themeColor="accent1"/>
          <w:lang w:val="en-GB"/>
        </w:rPr>
      </w:pPr>
    </w:p>
    <w:p w:rsidR="00390D96" w:rsidRPr="00E05E14" w:rsidRDefault="00390D96" w:rsidP="00390D96">
      <w:pPr>
        <w:spacing w:after="0" w:line="240" w:lineRule="auto"/>
        <w:jc w:val="both"/>
        <w:rPr>
          <w:b/>
          <w:lang w:val="en-GB"/>
        </w:rPr>
      </w:pPr>
      <w:r w:rsidRPr="00E05E14">
        <w:rPr>
          <w:b/>
          <w:lang w:val="en-GB"/>
        </w:rPr>
        <w:t>Q7. Do you agree that credit rating agencies should demonstrate that there is an objective reason to conduct certain credit rating activities in branches established outside the Union?</w:t>
      </w:r>
    </w:p>
    <w:p w:rsidR="00390D96" w:rsidRPr="00E05E14" w:rsidRDefault="00390D96" w:rsidP="00390D96">
      <w:pPr>
        <w:spacing w:after="0" w:line="240" w:lineRule="auto"/>
        <w:jc w:val="both"/>
        <w:rPr>
          <w:lang w:val="en-GB"/>
        </w:rPr>
      </w:pPr>
    </w:p>
    <w:p w:rsidR="00390D96" w:rsidRPr="00E05E14" w:rsidRDefault="00390D96" w:rsidP="00390D96">
      <w:pPr>
        <w:spacing w:after="0" w:line="240" w:lineRule="auto"/>
        <w:jc w:val="both"/>
        <w:rPr>
          <w:lang w:val="en-GB"/>
        </w:rPr>
      </w:pPr>
      <w:r w:rsidRPr="00E05E14">
        <w:rPr>
          <w:lang w:val="en-GB"/>
        </w:rPr>
        <w:t>We disagree, because we understand the meaning of “objective reasons” within the proposed guidelines as too narrow a concept. In our opinion, the key point could be that Credit Rating Agencies must demonstrate reasonable and consistent reasons rather than objective ones. This is especially relevant as most of the information used during the decision making process is based on market studies and forecasts about clients and sales which could be of a subjective nature, being, as they are, estimations.</w:t>
      </w:r>
    </w:p>
    <w:p w:rsidR="00390D96" w:rsidRPr="00E05E14" w:rsidRDefault="00390D96" w:rsidP="00390D96">
      <w:pPr>
        <w:spacing w:after="0" w:line="240" w:lineRule="auto"/>
        <w:jc w:val="both"/>
        <w:rPr>
          <w:lang w:val="en-GB"/>
        </w:rPr>
      </w:pPr>
    </w:p>
    <w:p w:rsidR="00390D96" w:rsidRPr="00E05E14" w:rsidRDefault="00390D96" w:rsidP="00390D96">
      <w:pPr>
        <w:spacing w:after="0" w:line="240" w:lineRule="auto"/>
        <w:jc w:val="both"/>
        <w:rPr>
          <w:b/>
          <w:lang w:val="en-GB"/>
        </w:rPr>
      </w:pPr>
      <w:r w:rsidRPr="00E05E14">
        <w:rPr>
          <w:b/>
          <w:lang w:val="en-GB"/>
        </w:rPr>
        <w:t>Q10. Do you agree that credit scoring firms and export credit agencies that distribute their products to the public in EU should consider ESMA’s suggested disclosures that such scores or ratings are not issued in accordance with the CRA Regulation?</w:t>
      </w:r>
    </w:p>
    <w:p w:rsidR="00390D96" w:rsidRPr="00E05E14" w:rsidRDefault="00390D96" w:rsidP="00390D96">
      <w:pPr>
        <w:spacing w:after="0" w:line="240" w:lineRule="auto"/>
        <w:jc w:val="both"/>
        <w:rPr>
          <w:lang w:val="en-GB"/>
        </w:rPr>
      </w:pPr>
    </w:p>
    <w:p w:rsidR="00390D96" w:rsidRPr="00E05E14" w:rsidRDefault="00390D96" w:rsidP="00390D96">
      <w:pPr>
        <w:spacing w:after="0" w:line="240" w:lineRule="auto"/>
        <w:jc w:val="both"/>
        <w:rPr>
          <w:lang w:val="en-GB"/>
        </w:rPr>
      </w:pPr>
      <w:r w:rsidRPr="00E05E14">
        <w:rPr>
          <w:lang w:val="en-GB"/>
        </w:rPr>
        <w:t>Yes. Additionally, whereas the term “NRSRO” can be used in the US only by agencies registered with the Securities and Exchange Commission, the EU regulation on CRAs does not provide for such a “protected” designation (such as “rating”, “credit rating”, “credit rating agency” or “CRA”) and even restricts in Article 10 (6) the use of the registration status by registered players.</w:t>
      </w:r>
    </w:p>
    <w:p w:rsidR="00390D96" w:rsidRPr="00E05E14" w:rsidRDefault="00390D96" w:rsidP="00390D96">
      <w:pPr>
        <w:spacing w:after="0" w:line="240" w:lineRule="auto"/>
        <w:jc w:val="both"/>
        <w:rPr>
          <w:lang w:val="en-GB"/>
        </w:rPr>
      </w:pPr>
    </w:p>
    <w:p w:rsidR="00390D96" w:rsidRPr="00E05E14" w:rsidRDefault="00390D96" w:rsidP="00390D96">
      <w:pPr>
        <w:spacing w:after="0" w:line="240" w:lineRule="auto"/>
        <w:jc w:val="both"/>
        <w:rPr>
          <w:lang w:val="en-GB"/>
        </w:rPr>
      </w:pPr>
      <w:r w:rsidRPr="00E05E14">
        <w:rPr>
          <w:lang w:val="en-GB"/>
        </w:rPr>
        <w:t>Therefore, and on a voluntary basis, axesor recommends that all players use the term “rating” only for activities within the scope of the CRA regulation.</w:t>
      </w:r>
    </w:p>
    <w:p w:rsidR="00390D96" w:rsidRPr="00E05E14" w:rsidRDefault="00390D96" w:rsidP="00390D96">
      <w:pPr>
        <w:spacing w:after="0" w:line="240" w:lineRule="auto"/>
        <w:jc w:val="both"/>
        <w:rPr>
          <w:lang w:val="en-GB"/>
        </w:rPr>
      </w:pPr>
    </w:p>
    <w:p w:rsidR="00367A28" w:rsidRDefault="00367A28" w:rsidP="00390D96">
      <w:pPr>
        <w:spacing w:after="0" w:line="240" w:lineRule="auto"/>
        <w:jc w:val="both"/>
        <w:rPr>
          <w:lang w:val="en-GB"/>
        </w:rPr>
      </w:pPr>
    </w:p>
    <w:p w:rsidR="00390D96" w:rsidRPr="00E05E14" w:rsidRDefault="00390D96" w:rsidP="00390D96">
      <w:pPr>
        <w:spacing w:after="0" w:line="240" w:lineRule="auto"/>
        <w:jc w:val="both"/>
        <w:rPr>
          <w:lang w:val="en-GB"/>
        </w:rPr>
      </w:pPr>
      <w:r w:rsidRPr="00E05E14">
        <w:rPr>
          <w:lang w:val="en-GB"/>
        </w:rPr>
        <w:t>Yours sincerely,</w:t>
      </w:r>
    </w:p>
    <w:sectPr w:rsidR="00390D96" w:rsidRPr="00E05E14" w:rsidSect="0089700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ACA" w:rsidRDefault="00C31ACA" w:rsidP="00DB15C3">
      <w:pPr>
        <w:spacing w:after="0" w:line="240" w:lineRule="auto"/>
      </w:pPr>
      <w:r>
        <w:separator/>
      </w:r>
    </w:p>
  </w:endnote>
  <w:endnote w:type="continuationSeparator" w:id="0">
    <w:p w:rsidR="00C31ACA" w:rsidRDefault="00C31ACA" w:rsidP="00DB1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rling-Bold">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391" w:rsidRDefault="008C148C">
    <w:pPr>
      <w:pStyle w:val="Piedepgina"/>
    </w:pPr>
    <w:r>
      <w:rPr>
        <w:noProof/>
        <w:color w:val="808080" w:themeColor="background1" w:themeShade="80"/>
        <w:lang w:eastAsia="es-ES"/>
      </w:rPr>
      <w:drawing>
        <wp:anchor distT="0" distB="0" distL="114300" distR="114300" simplePos="0" relativeHeight="251657215" behindDoc="0" locked="0" layoutInCell="1" allowOverlap="1">
          <wp:simplePos x="0" y="0"/>
          <wp:positionH relativeFrom="column">
            <wp:posOffset>-1061085</wp:posOffset>
          </wp:positionH>
          <wp:positionV relativeFrom="paragraph">
            <wp:posOffset>-730885</wp:posOffset>
          </wp:positionV>
          <wp:extent cx="7627620" cy="1518920"/>
          <wp:effectExtent l="19050" t="0" r="0" b="0"/>
          <wp:wrapThrough wrapText="bothSides">
            <wp:wrapPolygon edited="0">
              <wp:start x="-54" y="0"/>
              <wp:lineTo x="-54" y="21401"/>
              <wp:lineTo x="21578" y="21401"/>
              <wp:lineTo x="21578" y="0"/>
              <wp:lineTo x="-54"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27620" cy="1518920"/>
                  </a:xfrm>
                  <a:prstGeom prst="rect">
                    <a:avLst/>
                  </a:prstGeom>
                  <a:noFill/>
                  <a:ln w="9525">
                    <a:noFill/>
                    <a:miter lim="800000"/>
                    <a:headEnd/>
                    <a:tailEnd/>
                  </a:ln>
                </pic:spPr>
              </pic:pic>
            </a:graphicData>
          </a:graphic>
        </wp:anchor>
      </w:drawing>
    </w:r>
    <w:r w:rsidR="00A411B8" w:rsidRPr="00A411B8">
      <w:rPr>
        <w:noProof/>
        <w:color w:val="808080" w:themeColor="background1" w:themeShade="80"/>
        <w:lang w:eastAsia="es-ES"/>
      </w:rPr>
      <w:pict>
        <v:shapetype id="_x0000_t202" coordsize="21600,21600" o:spt="202" path="m,l,21600r21600,l21600,xe">
          <v:stroke joinstyle="miter"/>
          <v:path gradientshapeok="t" o:connecttype="rect"/>
        </v:shapetype>
        <v:shape id="_x0000_s2050" type="#_x0000_t202" style="position:absolute;margin-left:162.75pt;margin-top:1.45pt;width:110.55pt;height:41.95pt;z-index:251659264;mso-position-horizontal-relative:text;mso-position-vertical-relative:text;mso-width-relative:margin;mso-height-relative:margin" filled="f" stroked="f">
          <v:textbox>
            <w:txbxContent>
              <w:p w:rsidR="008B0391" w:rsidRPr="0047261E" w:rsidRDefault="008B0391" w:rsidP="008B0391">
                <w:pPr>
                  <w:spacing w:line="240" w:lineRule="auto"/>
                  <w:rPr>
                    <w:color w:val="808080" w:themeColor="background1" w:themeShade="80"/>
                    <w:sz w:val="14"/>
                    <w:szCs w:val="14"/>
                  </w:rPr>
                </w:pPr>
                <w:r w:rsidRPr="0047261E">
                  <w:rPr>
                    <w:b/>
                    <w:bCs/>
                    <w:color w:val="808080" w:themeColor="background1" w:themeShade="80"/>
                    <w:sz w:val="14"/>
                    <w:szCs w:val="14"/>
                  </w:rPr>
                  <w:t>Delegación Madrid</w:t>
                </w:r>
                <w:r w:rsidRPr="0047261E">
                  <w:rPr>
                    <w:color w:val="808080" w:themeColor="background1" w:themeShade="80"/>
                    <w:sz w:val="14"/>
                    <w:szCs w:val="14"/>
                  </w:rPr>
                  <w:br/>
                  <w:t>C/ Alcalá nº 52 - 2ª Planta</w:t>
                </w:r>
                <w:r w:rsidRPr="0047261E">
                  <w:rPr>
                    <w:color w:val="808080" w:themeColor="background1" w:themeShade="80"/>
                    <w:sz w:val="14"/>
                    <w:szCs w:val="14"/>
                  </w:rPr>
                  <w:br/>
                  <w:t>28014 Madrid</w:t>
                </w:r>
              </w:p>
            </w:txbxContent>
          </v:textbox>
        </v:shape>
      </w:pict>
    </w:r>
    <w:r w:rsidR="00A411B8" w:rsidRPr="00A411B8">
      <w:rPr>
        <w:noProof/>
        <w:color w:val="808080" w:themeColor="background1" w:themeShade="80"/>
        <w:lang w:eastAsia="es-ES"/>
      </w:rPr>
      <w:pict>
        <v:shape id="_x0000_s2049" type="#_x0000_t202" style="position:absolute;margin-left:257.85pt;margin-top:1.3pt;width:160.35pt;height:49.5pt;z-index:251658240;mso-position-horizontal-relative:text;mso-position-vertical-relative:text;mso-width-relative:margin;mso-height-relative:margin" filled="f" stroked="f">
          <v:textbox>
            <w:txbxContent>
              <w:p w:rsidR="008B0391" w:rsidRPr="0047261E" w:rsidRDefault="008B0391" w:rsidP="008B0391">
                <w:pPr>
                  <w:spacing w:line="240" w:lineRule="auto"/>
                  <w:rPr>
                    <w:color w:val="808080" w:themeColor="background1" w:themeShade="80"/>
                    <w:sz w:val="14"/>
                    <w:szCs w:val="14"/>
                  </w:rPr>
                </w:pPr>
                <w:r w:rsidRPr="0047261E">
                  <w:rPr>
                    <w:b/>
                    <w:color w:val="808080" w:themeColor="background1" w:themeShade="80"/>
                    <w:sz w:val="14"/>
                    <w:szCs w:val="14"/>
                  </w:rPr>
                  <w:t>Servicios Centrales</w:t>
                </w:r>
                <w:r w:rsidRPr="0047261E">
                  <w:rPr>
                    <w:b/>
                    <w:color w:val="808080" w:themeColor="background1" w:themeShade="80"/>
                    <w:sz w:val="14"/>
                    <w:szCs w:val="14"/>
                  </w:rPr>
                  <w:br/>
                </w:r>
                <w:r w:rsidRPr="0047261E">
                  <w:rPr>
                    <w:color w:val="808080" w:themeColor="background1" w:themeShade="80"/>
                    <w:sz w:val="14"/>
                    <w:szCs w:val="14"/>
                  </w:rPr>
                  <w:t>Parque Empresarial San Isidro</w:t>
                </w:r>
                <w:r w:rsidRPr="0047261E">
                  <w:rPr>
                    <w:color w:val="808080" w:themeColor="background1" w:themeShade="80"/>
                    <w:sz w:val="14"/>
                    <w:szCs w:val="14"/>
                  </w:rPr>
                  <w:br/>
                  <w:t>Ctra. Granada-Armilla s/n, 18006 Granada</w:t>
                </w:r>
                <w:r w:rsidRPr="0047261E">
                  <w:rPr>
                    <w:color w:val="808080" w:themeColor="background1" w:themeShade="80"/>
                    <w:sz w:val="14"/>
                    <w:szCs w:val="14"/>
                  </w:rPr>
                  <w:br/>
                  <w:t xml:space="preserve">Tel: 902 10 </w:t>
                </w:r>
                <w:proofErr w:type="spellStart"/>
                <w:r w:rsidRPr="0047261E">
                  <w:rPr>
                    <w:color w:val="808080" w:themeColor="background1" w:themeShade="80"/>
                    <w:sz w:val="14"/>
                    <w:szCs w:val="14"/>
                  </w:rPr>
                  <w:t>10</w:t>
                </w:r>
                <w:proofErr w:type="spellEnd"/>
                <w:r w:rsidRPr="0047261E">
                  <w:rPr>
                    <w:color w:val="808080" w:themeColor="background1" w:themeShade="80"/>
                    <w:sz w:val="14"/>
                    <w:szCs w:val="14"/>
                  </w:rPr>
                  <w:t xml:space="preserve"> 33</w:t>
                </w:r>
              </w:p>
            </w:txbxContent>
          </v:textbox>
        </v:shape>
      </w:pict>
    </w:r>
    <w:r w:rsidR="00A411B8" w:rsidRPr="00A411B8">
      <w:rPr>
        <w:noProof/>
        <w:color w:val="808080" w:themeColor="background1" w:themeShade="80"/>
        <w:lang w:eastAsia="es-ES"/>
      </w:rPr>
      <w:pict>
        <v:shape id="_x0000_s2051" type="#_x0000_t202" style="position:absolute;margin-left:402.65pt;margin-top:1.45pt;width:100.8pt;height:41.95pt;z-index:251660288;mso-position-horizontal-relative:text;mso-position-vertical-relative:text;mso-width-relative:margin;mso-height-relative:margin" filled="f" stroked="f">
          <v:textbox>
            <w:txbxContent>
              <w:p w:rsidR="008B0391" w:rsidRPr="0047261E" w:rsidRDefault="008B0391" w:rsidP="008B0391">
                <w:pPr>
                  <w:spacing w:line="240" w:lineRule="auto"/>
                  <w:rPr>
                    <w:color w:val="808080" w:themeColor="background1" w:themeShade="80"/>
                    <w:sz w:val="14"/>
                    <w:szCs w:val="14"/>
                  </w:rPr>
                </w:pPr>
                <w:r w:rsidRPr="0047261E">
                  <w:rPr>
                    <w:b/>
                    <w:bCs/>
                    <w:color w:val="808080" w:themeColor="background1" w:themeShade="80"/>
                    <w:sz w:val="14"/>
                    <w:szCs w:val="14"/>
                  </w:rPr>
                  <w:t>Delegación Barcelona</w:t>
                </w:r>
                <w:r w:rsidRPr="0047261E">
                  <w:rPr>
                    <w:color w:val="808080" w:themeColor="background1" w:themeShade="80"/>
                    <w:sz w:val="14"/>
                    <w:szCs w:val="14"/>
                  </w:rPr>
                  <w:br/>
                  <w:t xml:space="preserve">C/Valencia, 231 3º 2ª </w:t>
                </w:r>
                <w:r w:rsidRPr="0047261E">
                  <w:rPr>
                    <w:color w:val="808080" w:themeColor="background1" w:themeShade="80"/>
                    <w:sz w:val="14"/>
                    <w:szCs w:val="14"/>
                  </w:rPr>
                  <w:br/>
                  <w:t>08007 Barcelona</w:t>
                </w:r>
              </w:p>
            </w:txbxContent>
          </v:textbox>
        </v:shape>
      </w:pict>
    </w:r>
    <w:r w:rsidR="003902F2">
      <w:rPr>
        <w:noProof/>
        <w:lang w:eastAsia="es-ES"/>
      </w:rPr>
      <w:drawing>
        <wp:anchor distT="0" distB="0" distL="114300" distR="114300" simplePos="0" relativeHeight="251662336" behindDoc="0" locked="0" layoutInCell="1" allowOverlap="1">
          <wp:simplePos x="0" y="0"/>
          <wp:positionH relativeFrom="column">
            <wp:posOffset>753745</wp:posOffset>
          </wp:positionH>
          <wp:positionV relativeFrom="paragraph">
            <wp:posOffset>-99060</wp:posOffset>
          </wp:positionV>
          <wp:extent cx="975995" cy="618490"/>
          <wp:effectExtent l="19050" t="0" r="0" b="0"/>
          <wp:wrapThrough wrapText="bothSides">
            <wp:wrapPolygon edited="0">
              <wp:start x="-422" y="0"/>
              <wp:lineTo x="-422" y="20624"/>
              <wp:lineTo x="21502" y="20624"/>
              <wp:lineTo x="21502" y="0"/>
              <wp:lineTo x="-422" y="0"/>
            </wp:wrapPolygon>
          </wp:wrapThrough>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975995" cy="618490"/>
                  </a:xfrm>
                  <a:prstGeom prst="rect">
                    <a:avLst/>
                  </a:prstGeom>
                  <a:noFill/>
                  <a:ln w="9525">
                    <a:noFill/>
                    <a:miter lim="800000"/>
                    <a:headEnd/>
                    <a:tailEnd/>
                  </a:ln>
                </pic:spPr>
              </pic:pic>
            </a:graphicData>
          </a:graphic>
        </wp:anchor>
      </w:drawing>
    </w:r>
  </w:p>
  <w:p w:rsidR="008B0391" w:rsidRDefault="008B03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ACA" w:rsidRDefault="00C31ACA" w:rsidP="00DB15C3">
      <w:pPr>
        <w:spacing w:after="0" w:line="240" w:lineRule="auto"/>
      </w:pPr>
      <w:r>
        <w:separator/>
      </w:r>
    </w:p>
  </w:footnote>
  <w:footnote w:type="continuationSeparator" w:id="0">
    <w:p w:rsidR="00C31ACA" w:rsidRDefault="00C31ACA" w:rsidP="00DB1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391" w:rsidRDefault="00CD17BC">
    <w:pPr>
      <w:pStyle w:val="Encabezado"/>
    </w:pPr>
    <w:r w:rsidRPr="00CD17BC">
      <w:rPr>
        <w:noProof/>
        <w:lang w:eastAsia="es-ES"/>
      </w:rPr>
      <w:drawing>
        <wp:anchor distT="0" distB="0" distL="114300" distR="114300" simplePos="0" relativeHeight="251665408" behindDoc="0" locked="0" layoutInCell="1" allowOverlap="1">
          <wp:simplePos x="0" y="0"/>
          <wp:positionH relativeFrom="column">
            <wp:posOffset>-689610</wp:posOffset>
          </wp:positionH>
          <wp:positionV relativeFrom="paragraph">
            <wp:posOffset>-144780</wp:posOffset>
          </wp:positionV>
          <wp:extent cx="1714500" cy="485775"/>
          <wp:effectExtent l="19050" t="0" r="0" b="0"/>
          <wp:wrapThrough wrapText="bothSides">
            <wp:wrapPolygon edited="0">
              <wp:start x="-240" y="0"/>
              <wp:lineTo x="-240" y="21176"/>
              <wp:lineTo x="21600" y="21176"/>
              <wp:lineTo x="21600" y="0"/>
              <wp:lineTo x="-240" y="0"/>
            </wp:wrapPolygon>
          </wp:wrapThrough>
          <wp:docPr id="9" name="4 Imagen" descr="logo axe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xesor.jpg"/>
                  <pic:cNvPicPr/>
                </pic:nvPicPr>
                <pic:blipFill>
                  <a:blip r:embed="rId1"/>
                  <a:stretch>
                    <a:fillRect/>
                  </a:stretch>
                </pic:blipFill>
                <pic:spPr>
                  <a:xfrm>
                    <a:off x="0" y="0"/>
                    <a:ext cx="1714500" cy="485775"/>
                  </a:xfrm>
                  <a:prstGeom prst="rect">
                    <a:avLst/>
                  </a:prstGeom>
                </pic:spPr>
              </pic:pic>
            </a:graphicData>
          </a:graphic>
        </wp:anchor>
      </w:drawing>
    </w:r>
    <w:r w:rsidR="00A411B8">
      <w:rPr>
        <w:noProof/>
        <w:lang w:eastAsia="es-ES"/>
      </w:rPr>
      <w:pict>
        <v:shapetype id="_x0000_t202" coordsize="21600,21600" o:spt="202" path="m,l,21600r21600,l21600,xe">
          <v:stroke joinstyle="miter"/>
          <v:path gradientshapeok="t" o:connecttype="rect"/>
        </v:shapetype>
        <v:shape id="_x0000_s2052" type="#_x0000_t202" style="position:absolute;margin-left:-63.05pt;margin-top:135.8pt;width:21.8pt;height:479.6pt;z-index:-251653120;mso-wrap-edited:f;mso-wrap-distance-left:0;mso-wrap-distance-right:0;mso-position-horizontal-relative:text;mso-position-vertical-relative:text" wrapcoords="0 0 21600 0 21600 21600 0 21600 0 0" filled="f" stroked="f">
          <v:textbox style="layout-flow:vertical;mso-layout-flow-alt:bottom-to-top;mso-next-textbox:#_x0000_s2052" inset="0">
            <w:txbxContent>
              <w:p w:rsidR="008B0391" w:rsidRPr="0047261E" w:rsidRDefault="008B0391" w:rsidP="008B0391">
                <w:pPr>
                  <w:rPr>
                    <w:color w:val="808080" w:themeColor="background1" w:themeShade="80"/>
                    <w:szCs w:val="10"/>
                  </w:rPr>
                </w:pPr>
                <w:r w:rsidRPr="0047261E">
                  <w:rPr>
                    <w:rFonts w:ascii="Berling-Bold" w:eastAsia="Calibri" w:hAnsi="Berling-Bold" w:cs="Arial"/>
                    <w:b/>
                    <w:color w:val="808080" w:themeColor="background1" w:themeShade="80"/>
                    <w:sz w:val="10"/>
                    <w:szCs w:val="10"/>
                  </w:rPr>
                  <w:t xml:space="preserve">INFOTEL, INFORMACIÓN Y TELECOMUNICACIONES S.A. Insc. Reg. Mer. </w:t>
                </w:r>
                <w:proofErr w:type="gramStart"/>
                <w:r w:rsidRPr="0047261E">
                  <w:rPr>
                    <w:rFonts w:ascii="Berling-Bold" w:eastAsia="Calibri" w:hAnsi="Berling-Bold" w:cs="Arial"/>
                    <w:b/>
                    <w:color w:val="808080" w:themeColor="background1" w:themeShade="80"/>
                    <w:sz w:val="10"/>
                    <w:szCs w:val="10"/>
                  </w:rPr>
                  <w:t>de</w:t>
                </w:r>
                <w:proofErr w:type="gramEnd"/>
                <w:r w:rsidRPr="0047261E">
                  <w:rPr>
                    <w:rFonts w:ascii="Berling-Bold" w:eastAsia="Calibri" w:hAnsi="Berling-Bold" w:cs="Arial"/>
                    <w:b/>
                    <w:color w:val="808080" w:themeColor="background1" w:themeShade="80"/>
                    <w:sz w:val="10"/>
                    <w:szCs w:val="10"/>
                  </w:rPr>
                  <w:t xml:space="preserve"> Granada Nº 4. T.719. L0 S, 8, F.30. H, Gr9880, I/A 1(24.04.96), C.I.F.: A-18413302</w:t>
                </w:r>
              </w:p>
            </w:txbxContent>
          </v:textbox>
          <w10:wrap type="squar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AB4D4D"/>
    <w:rsid w:val="00043F5B"/>
    <w:rsid w:val="000B2B50"/>
    <w:rsid w:val="000B560C"/>
    <w:rsid w:val="000C2CD5"/>
    <w:rsid w:val="001236F1"/>
    <w:rsid w:val="00123C76"/>
    <w:rsid w:val="001250A4"/>
    <w:rsid w:val="00171D50"/>
    <w:rsid w:val="00195B30"/>
    <w:rsid w:val="001B7310"/>
    <w:rsid w:val="002865AB"/>
    <w:rsid w:val="002C01F5"/>
    <w:rsid w:val="002E79A8"/>
    <w:rsid w:val="002F13D5"/>
    <w:rsid w:val="003370C6"/>
    <w:rsid w:val="00344F1C"/>
    <w:rsid w:val="00367A28"/>
    <w:rsid w:val="00373563"/>
    <w:rsid w:val="003902F2"/>
    <w:rsid w:val="00390D96"/>
    <w:rsid w:val="003A01A7"/>
    <w:rsid w:val="003F397A"/>
    <w:rsid w:val="00427FD3"/>
    <w:rsid w:val="00430195"/>
    <w:rsid w:val="0046055F"/>
    <w:rsid w:val="0047261E"/>
    <w:rsid w:val="00487F44"/>
    <w:rsid w:val="004A6BE7"/>
    <w:rsid w:val="004B3B8D"/>
    <w:rsid w:val="004E48F0"/>
    <w:rsid w:val="004F23DA"/>
    <w:rsid w:val="004F5D43"/>
    <w:rsid w:val="005739EB"/>
    <w:rsid w:val="00591949"/>
    <w:rsid w:val="00627E94"/>
    <w:rsid w:val="0064192E"/>
    <w:rsid w:val="00697403"/>
    <w:rsid w:val="006B7EE1"/>
    <w:rsid w:val="006C12C6"/>
    <w:rsid w:val="006C2F67"/>
    <w:rsid w:val="006E651A"/>
    <w:rsid w:val="006F1793"/>
    <w:rsid w:val="00740B8E"/>
    <w:rsid w:val="00757F02"/>
    <w:rsid w:val="007A0A85"/>
    <w:rsid w:val="007A1EC1"/>
    <w:rsid w:val="007A2C59"/>
    <w:rsid w:val="007B7A40"/>
    <w:rsid w:val="007C122E"/>
    <w:rsid w:val="007C158C"/>
    <w:rsid w:val="007C3D4F"/>
    <w:rsid w:val="007D4180"/>
    <w:rsid w:val="00896B4D"/>
    <w:rsid w:val="0089700E"/>
    <w:rsid w:val="008B0391"/>
    <w:rsid w:val="008C148C"/>
    <w:rsid w:val="008E6083"/>
    <w:rsid w:val="00912AB7"/>
    <w:rsid w:val="00925014"/>
    <w:rsid w:val="00947100"/>
    <w:rsid w:val="009564F0"/>
    <w:rsid w:val="00984B8F"/>
    <w:rsid w:val="009D59A8"/>
    <w:rsid w:val="00A411B8"/>
    <w:rsid w:val="00A624DA"/>
    <w:rsid w:val="00A85BCA"/>
    <w:rsid w:val="00AB4D4D"/>
    <w:rsid w:val="00AD0511"/>
    <w:rsid w:val="00AE41C0"/>
    <w:rsid w:val="00B06B44"/>
    <w:rsid w:val="00B22135"/>
    <w:rsid w:val="00B37D3D"/>
    <w:rsid w:val="00B561B0"/>
    <w:rsid w:val="00B92B99"/>
    <w:rsid w:val="00BA51D3"/>
    <w:rsid w:val="00BF210E"/>
    <w:rsid w:val="00C2092E"/>
    <w:rsid w:val="00C31ACA"/>
    <w:rsid w:val="00C41E16"/>
    <w:rsid w:val="00C46819"/>
    <w:rsid w:val="00C471C4"/>
    <w:rsid w:val="00C74AC5"/>
    <w:rsid w:val="00C812A4"/>
    <w:rsid w:val="00C90482"/>
    <w:rsid w:val="00CA6DB5"/>
    <w:rsid w:val="00CB3306"/>
    <w:rsid w:val="00CC42A5"/>
    <w:rsid w:val="00CD17BC"/>
    <w:rsid w:val="00CF1D1C"/>
    <w:rsid w:val="00CF40CB"/>
    <w:rsid w:val="00D33A8D"/>
    <w:rsid w:val="00D35CB8"/>
    <w:rsid w:val="00D6298A"/>
    <w:rsid w:val="00D83C6D"/>
    <w:rsid w:val="00D91584"/>
    <w:rsid w:val="00D95020"/>
    <w:rsid w:val="00DA2270"/>
    <w:rsid w:val="00DA7BB5"/>
    <w:rsid w:val="00DB15C3"/>
    <w:rsid w:val="00DC1A3F"/>
    <w:rsid w:val="00E00576"/>
    <w:rsid w:val="00E05E14"/>
    <w:rsid w:val="00E15E99"/>
    <w:rsid w:val="00E170B3"/>
    <w:rsid w:val="00ED6702"/>
    <w:rsid w:val="00EF4C68"/>
    <w:rsid w:val="00F11641"/>
    <w:rsid w:val="00F758F8"/>
    <w:rsid w:val="00FB0440"/>
    <w:rsid w:val="00FC3942"/>
    <w:rsid w:val="00FD09B7"/>
    <w:rsid w:val="00FD0B39"/>
    <w:rsid w:val="00FD2A0F"/>
    <w:rsid w:val="00FD57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0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4D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4D4D"/>
    <w:rPr>
      <w:rFonts w:ascii="Tahoma" w:hAnsi="Tahoma" w:cs="Tahoma"/>
      <w:sz w:val="16"/>
      <w:szCs w:val="16"/>
    </w:rPr>
  </w:style>
  <w:style w:type="paragraph" w:styleId="Encabezado">
    <w:name w:val="header"/>
    <w:basedOn w:val="Normal"/>
    <w:link w:val="EncabezadoCar"/>
    <w:uiPriority w:val="99"/>
    <w:unhideWhenUsed/>
    <w:rsid w:val="00DB15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15C3"/>
  </w:style>
  <w:style w:type="paragraph" w:styleId="Piedepgina">
    <w:name w:val="footer"/>
    <w:basedOn w:val="Normal"/>
    <w:link w:val="PiedepginaCar"/>
    <w:uiPriority w:val="99"/>
    <w:unhideWhenUsed/>
    <w:rsid w:val="00DB15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15C3"/>
  </w:style>
  <w:style w:type="paragraph" w:customStyle="1" w:styleId="Default">
    <w:name w:val="Default"/>
    <w:rsid w:val="00AD0511"/>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F11641"/>
    <w:rPr>
      <w:sz w:val="16"/>
      <w:szCs w:val="16"/>
    </w:rPr>
  </w:style>
  <w:style w:type="paragraph" w:styleId="Textocomentario">
    <w:name w:val="annotation text"/>
    <w:basedOn w:val="Normal"/>
    <w:link w:val="TextocomentarioCar"/>
    <w:uiPriority w:val="99"/>
    <w:semiHidden/>
    <w:unhideWhenUsed/>
    <w:rsid w:val="00F11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1641"/>
    <w:rPr>
      <w:sz w:val="20"/>
      <w:szCs w:val="20"/>
    </w:rPr>
  </w:style>
  <w:style w:type="paragraph" w:styleId="Asuntodelcomentario">
    <w:name w:val="annotation subject"/>
    <w:basedOn w:val="Textocomentario"/>
    <w:next w:val="Textocomentario"/>
    <w:link w:val="AsuntodelcomentarioCar"/>
    <w:uiPriority w:val="99"/>
    <w:semiHidden/>
    <w:unhideWhenUsed/>
    <w:rsid w:val="00F11641"/>
    <w:rPr>
      <w:b/>
      <w:bCs/>
    </w:rPr>
  </w:style>
  <w:style w:type="character" w:customStyle="1" w:styleId="AsuntodelcomentarioCar">
    <w:name w:val="Asunto del comentario Car"/>
    <w:basedOn w:val="TextocomentarioCar"/>
    <w:link w:val="Asuntodelcomentario"/>
    <w:uiPriority w:val="99"/>
    <w:semiHidden/>
    <w:rsid w:val="00F11641"/>
    <w:rPr>
      <w:b/>
      <w:bCs/>
    </w:rPr>
  </w:style>
  <w:style w:type="character" w:customStyle="1" w:styleId="longtext">
    <w:name w:val="long_text"/>
    <w:basedOn w:val="Fuentedeprrafopredeter"/>
    <w:rsid w:val="00E170B3"/>
  </w:style>
  <w:style w:type="character" w:customStyle="1" w:styleId="hps">
    <w:name w:val="hps"/>
    <w:basedOn w:val="Fuentedeprrafopredeter"/>
    <w:rsid w:val="00E170B3"/>
  </w:style>
</w:styles>
</file>

<file path=word/webSettings.xml><?xml version="1.0" encoding="utf-8"?>
<w:webSettings xmlns:r="http://schemas.openxmlformats.org/officeDocument/2006/relationships" xmlns:w="http://schemas.openxmlformats.org/wordprocessingml/2006/main">
  <w:divs>
    <w:div w:id="1206719680">
      <w:bodyDiv w:val="1"/>
      <w:marLeft w:val="0"/>
      <w:marRight w:val="0"/>
      <w:marTop w:val="0"/>
      <w:marBottom w:val="0"/>
      <w:divBdr>
        <w:top w:val="none" w:sz="0" w:space="0" w:color="auto"/>
        <w:left w:val="none" w:sz="0" w:space="0" w:color="auto"/>
        <w:bottom w:val="none" w:sz="0" w:space="0" w:color="auto"/>
        <w:right w:val="none" w:sz="0" w:space="0" w:color="auto"/>
      </w:divBdr>
      <w:divsChild>
        <w:div w:id="1243643418">
          <w:marLeft w:val="0"/>
          <w:marRight w:val="0"/>
          <w:marTop w:val="0"/>
          <w:marBottom w:val="0"/>
          <w:divBdr>
            <w:top w:val="none" w:sz="0" w:space="0" w:color="auto"/>
            <w:left w:val="none" w:sz="0" w:space="0" w:color="auto"/>
            <w:bottom w:val="none" w:sz="0" w:space="0" w:color="auto"/>
            <w:right w:val="none" w:sz="0" w:space="0" w:color="auto"/>
          </w:divBdr>
          <w:divsChild>
            <w:div w:id="481656713">
              <w:marLeft w:val="0"/>
              <w:marRight w:val="0"/>
              <w:marTop w:val="0"/>
              <w:marBottom w:val="0"/>
              <w:divBdr>
                <w:top w:val="none" w:sz="0" w:space="0" w:color="auto"/>
                <w:left w:val="none" w:sz="0" w:space="0" w:color="auto"/>
                <w:bottom w:val="none" w:sz="0" w:space="0" w:color="auto"/>
                <w:right w:val="none" w:sz="0" w:space="0" w:color="auto"/>
              </w:divBdr>
              <w:divsChild>
                <w:div w:id="11407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32BE-9A62-4F3B-B797-B20E8040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4230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PricewaterhouseCoopers</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jfranco</dc:creator>
  <cp:lastModifiedBy>jvillalba</cp:lastModifiedBy>
  <cp:revision>4</cp:revision>
  <cp:lastPrinted>2008-10-27T19:45:00Z</cp:lastPrinted>
  <dcterms:created xsi:type="dcterms:W3CDTF">2013-02-18T17:55:00Z</dcterms:created>
  <dcterms:modified xsi:type="dcterms:W3CDTF">2013-02-18T17:59:00Z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1448449264</vt:i4>
  </property>
</Properties>
</file>