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252" w:rsidRPr="004A1252" w:rsidRDefault="004A1252" w:rsidP="00530D3F">
      <w:pPr>
        <w:jc w:val="both"/>
        <w:rPr>
          <w:b/>
          <w:lang w:val="en-GB"/>
        </w:rPr>
      </w:pPr>
      <w:r w:rsidRPr="004A1252">
        <w:rPr>
          <w:b/>
          <w:lang w:val="en-GB"/>
        </w:rPr>
        <w:t>Q</w:t>
      </w:r>
      <w:r w:rsidR="0070728E">
        <w:rPr>
          <w:b/>
          <w:lang w:val="en-GB"/>
        </w:rPr>
        <w:t xml:space="preserve">uestion </w:t>
      </w:r>
      <w:r w:rsidRPr="004A1252">
        <w:rPr>
          <w:b/>
          <w:lang w:val="en-GB"/>
        </w:rPr>
        <w:t>1: Do you have any comment on the clearing obligation procedure described in Section 1?</w:t>
      </w:r>
    </w:p>
    <w:p w:rsidR="002D24CA" w:rsidRDefault="00181535" w:rsidP="00530D3F">
      <w:pPr>
        <w:jc w:val="both"/>
        <w:rPr>
          <w:lang w:val="en-GB"/>
        </w:rPr>
      </w:pPr>
      <w:r>
        <w:rPr>
          <w:lang w:val="en-GB"/>
        </w:rPr>
        <w:t xml:space="preserve">Both </w:t>
      </w:r>
      <w:r w:rsidR="00530D3F">
        <w:rPr>
          <w:lang w:val="en-GB"/>
        </w:rPr>
        <w:t>ABN AMRO Clearing Bank N.V. (“AACB”)</w:t>
      </w:r>
      <w:r>
        <w:rPr>
          <w:lang w:val="en-GB"/>
        </w:rPr>
        <w:t xml:space="preserve"> and ABN AMRO Bank N.V. (“AAB”)</w:t>
      </w:r>
      <w:r w:rsidR="00530D3F">
        <w:rPr>
          <w:lang w:val="en-GB"/>
        </w:rPr>
        <w:t xml:space="preserve"> welcome the opportunity to respond to the </w:t>
      </w:r>
      <w:r>
        <w:rPr>
          <w:lang w:val="en-GB"/>
        </w:rPr>
        <w:t xml:space="preserve">ESMA </w:t>
      </w:r>
      <w:r w:rsidR="00530D3F">
        <w:rPr>
          <w:lang w:val="en-GB"/>
        </w:rPr>
        <w:t>consultation</w:t>
      </w:r>
      <w:r>
        <w:rPr>
          <w:lang w:val="en-GB"/>
        </w:rPr>
        <w:t xml:space="preserve"> on the clearing obligation of foreign exchange non-deliverable forward (“FX NDF”) products</w:t>
      </w:r>
      <w:r w:rsidR="00530D3F">
        <w:rPr>
          <w:lang w:val="en-GB"/>
        </w:rPr>
        <w:t>. In general, AACB</w:t>
      </w:r>
      <w:r>
        <w:rPr>
          <w:lang w:val="en-GB"/>
        </w:rPr>
        <w:t xml:space="preserve"> and AAB</w:t>
      </w:r>
      <w:r w:rsidR="00530D3F">
        <w:rPr>
          <w:lang w:val="en-GB"/>
        </w:rPr>
        <w:t xml:space="preserve"> appreciate the content and scope of the new proposals. However, as a Category 1 entity, AACB believes that </w:t>
      </w:r>
      <w:r w:rsidR="004F5B34">
        <w:rPr>
          <w:lang w:val="en-GB"/>
        </w:rPr>
        <w:t xml:space="preserve">the current number of authorised CCPs is incompatible with the expected timelines for the entry into force of the obligations. </w:t>
      </w:r>
    </w:p>
    <w:p w:rsidR="004F5B34" w:rsidRDefault="00846F21" w:rsidP="00530D3F">
      <w:pPr>
        <w:jc w:val="both"/>
        <w:rPr>
          <w:lang w:val="en-GB"/>
        </w:rPr>
      </w:pPr>
      <w:r>
        <w:rPr>
          <w:lang w:val="en-GB"/>
        </w:rPr>
        <w:t>AACB</w:t>
      </w:r>
      <w:r w:rsidR="00181535">
        <w:rPr>
          <w:lang w:val="en-GB"/>
        </w:rPr>
        <w:t xml:space="preserve"> and AAB</w:t>
      </w:r>
      <w:r>
        <w:rPr>
          <w:lang w:val="en-GB"/>
        </w:rPr>
        <w:t xml:space="preserve"> believe that, u</w:t>
      </w:r>
      <w:r w:rsidR="004F5B34">
        <w:rPr>
          <w:lang w:val="en-GB"/>
        </w:rPr>
        <w:t xml:space="preserve">nless additional CCPs are authorised to clear in-scope </w:t>
      </w:r>
      <w:r w:rsidR="00181535">
        <w:rPr>
          <w:lang w:val="en-GB"/>
        </w:rPr>
        <w:t xml:space="preserve">FX </w:t>
      </w:r>
      <w:r w:rsidR="004F5B34">
        <w:rPr>
          <w:lang w:val="en-GB"/>
        </w:rPr>
        <w:t>NDF products before the entry into force of the Technical Standards, an unfair “first-mover advantage” is being created</w:t>
      </w:r>
      <w:r>
        <w:rPr>
          <w:lang w:val="en-GB"/>
        </w:rPr>
        <w:t xml:space="preserve"> for the only CCP that is currently authorised by ESMA to clear such products</w:t>
      </w:r>
      <w:r w:rsidR="002D24CA">
        <w:rPr>
          <w:lang w:val="en-GB"/>
        </w:rPr>
        <w:t xml:space="preserve"> and that a market with insufficient supply side competition is formed</w:t>
      </w:r>
      <w:r>
        <w:rPr>
          <w:lang w:val="en-GB"/>
        </w:rPr>
        <w:t xml:space="preserve">. </w:t>
      </w:r>
      <w:r w:rsidR="00A32AE4">
        <w:rPr>
          <w:lang w:val="en-GB"/>
        </w:rPr>
        <w:t xml:space="preserve">Moreover, this may lead to concentration risks given the already existing position and market share of this CCP for </w:t>
      </w:r>
      <w:r w:rsidR="00181535">
        <w:rPr>
          <w:lang w:val="en-GB"/>
        </w:rPr>
        <w:t xml:space="preserve">other </w:t>
      </w:r>
      <w:r w:rsidR="00A32AE4">
        <w:rPr>
          <w:lang w:val="en-GB"/>
        </w:rPr>
        <w:t>OTC derivative</w:t>
      </w:r>
      <w:r w:rsidR="00181535">
        <w:rPr>
          <w:lang w:val="en-GB"/>
        </w:rPr>
        <w:t xml:space="preserve"> products. </w:t>
      </w:r>
      <w:r>
        <w:rPr>
          <w:lang w:val="en-GB"/>
        </w:rPr>
        <w:t xml:space="preserve">Since </w:t>
      </w:r>
      <w:r w:rsidR="00181535">
        <w:rPr>
          <w:lang w:val="en-GB"/>
        </w:rPr>
        <w:t xml:space="preserve">the clearing of FX </w:t>
      </w:r>
      <w:r>
        <w:rPr>
          <w:lang w:val="en-GB"/>
        </w:rPr>
        <w:t xml:space="preserve">NDF products </w:t>
      </w:r>
      <w:r w:rsidR="00181535">
        <w:rPr>
          <w:lang w:val="en-GB"/>
        </w:rPr>
        <w:t xml:space="preserve">is currently still the exception rather than the rule, </w:t>
      </w:r>
      <w:r>
        <w:rPr>
          <w:lang w:val="en-GB"/>
        </w:rPr>
        <w:t xml:space="preserve"> not all Category 1 entities will have a connection and the required operational setup</w:t>
      </w:r>
      <w:r w:rsidR="00B43F83">
        <w:rPr>
          <w:lang w:val="en-GB"/>
        </w:rPr>
        <w:t xml:space="preserve"> in place to ensure compliance within the expected timelines. This means that Category 1 entities should start </w:t>
      </w:r>
      <w:r w:rsidR="00E42CAE">
        <w:rPr>
          <w:lang w:val="en-GB"/>
        </w:rPr>
        <w:t>connecting to an authorised</w:t>
      </w:r>
      <w:r w:rsidR="00B43F83">
        <w:rPr>
          <w:lang w:val="en-GB"/>
        </w:rPr>
        <w:t xml:space="preserve"> CCP as soon as practically possible</w:t>
      </w:r>
      <w:r w:rsidR="000F1B4C">
        <w:rPr>
          <w:lang w:val="en-GB"/>
        </w:rPr>
        <w:t xml:space="preserve"> for these type of products</w:t>
      </w:r>
      <w:r w:rsidR="00B43F83">
        <w:rPr>
          <w:lang w:val="en-GB"/>
        </w:rPr>
        <w:t xml:space="preserve">. </w:t>
      </w:r>
      <w:r>
        <w:rPr>
          <w:lang w:val="en-GB"/>
        </w:rPr>
        <w:t xml:space="preserve">AACB </w:t>
      </w:r>
      <w:r w:rsidR="00E42CAE">
        <w:rPr>
          <w:lang w:val="en-GB"/>
        </w:rPr>
        <w:t xml:space="preserve">and AAB </w:t>
      </w:r>
      <w:r>
        <w:rPr>
          <w:lang w:val="en-GB"/>
        </w:rPr>
        <w:t>urge that, in order to foster a competitive market, ESMA should take the number of authorised CCPs into account before submitting its draft proposals to the European Commission and align the</w:t>
      </w:r>
      <w:r w:rsidR="00B43F83">
        <w:rPr>
          <w:lang w:val="en-GB"/>
        </w:rPr>
        <w:t xml:space="preserve"> Category 1</w:t>
      </w:r>
      <w:r>
        <w:rPr>
          <w:lang w:val="en-GB"/>
        </w:rPr>
        <w:t xml:space="preserve"> implementation timelines </w:t>
      </w:r>
      <w:r w:rsidR="00B43F83">
        <w:rPr>
          <w:lang w:val="en-GB"/>
        </w:rPr>
        <w:t>with this</w:t>
      </w:r>
      <w:r>
        <w:rPr>
          <w:lang w:val="en-GB"/>
        </w:rPr>
        <w:t xml:space="preserve">. </w:t>
      </w:r>
      <w:r w:rsidR="00E42CAE">
        <w:rPr>
          <w:lang w:val="en-GB"/>
        </w:rPr>
        <w:t>We</w:t>
      </w:r>
      <w:r w:rsidR="00A32AE4">
        <w:rPr>
          <w:lang w:val="en-GB"/>
        </w:rPr>
        <w:t xml:space="preserve"> suggest that the mandatory clearing of FX NDF transactions </w:t>
      </w:r>
      <w:r w:rsidR="002D24CA">
        <w:rPr>
          <w:lang w:val="en-GB"/>
        </w:rPr>
        <w:t>shall only apply after</w:t>
      </w:r>
      <w:r w:rsidR="00A32AE4">
        <w:rPr>
          <w:lang w:val="en-GB"/>
        </w:rPr>
        <w:t xml:space="preserve"> a minimum number of </w:t>
      </w:r>
      <w:r w:rsidR="00A32AE4" w:rsidRPr="00B47723">
        <w:rPr>
          <w:b/>
          <w:lang w:val="en-GB"/>
        </w:rPr>
        <w:t>three</w:t>
      </w:r>
      <w:r w:rsidR="00A32AE4">
        <w:rPr>
          <w:lang w:val="en-GB"/>
        </w:rPr>
        <w:t xml:space="preserve"> CCPs ha</w:t>
      </w:r>
      <w:r w:rsidR="002D24CA">
        <w:rPr>
          <w:lang w:val="en-GB"/>
        </w:rPr>
        <w:t>s</w:t>
      </w:r>
      <w:r w:rsidR="00A32AE4">
        <w:rPr>
          <w:lang w:val="en-GB"/>
        </w:rPr>
        <w:t xml:space="preserve"> been (re)-authorised</w:t>
      </w:r>
      <w:r w:rsidR="002D24CA">
        <w:rPr>
          <w:lang w:val="en-GB"/>
        </w:rPr>
        <w:t>, while applying an appropriate phase-in period of twelve months after the third CCP has been authorised</w:t>
      </w:r>
      <w:r w:rsidR="00A32AE4">
        <w:rPr>
          <w:lang w:val="en-GB"/>
        </w:rPr>
        <w:t xml:space="preserve">.   </w:t>
      </w:r>
      <w:r w:rsidR="004F5B34">
        <w:rPr>
          <w:lang w:val="en-GB"/>
        </w:rPr>
        <w:t xml:space="preserve"> </w:t>
      </w:r>
    </w:p>
    <w:p w:rsidR="0070728E" w:rsidRDefault="00EC7792" w:rsidP="00530D3F">
      <w:pPr>
        <w:jc w:val="both"/>
        <w:rPr>
          <w:lang w:val="en-GB"/>
        </w:rPr>
      </w:pPr>
      <w:r w:rsidRPr="00B47723">
        <w:rPr>
          <w:lang w:val="en-GB"/>
        </w:rPr>
        <w:t xml:space="preserve">Moreover, given the fact that the currency pairs </w:t>
      </w:r>
      <w:r>
        <w:rPr>
          <w:lang w:val="en-GB"/>
        </w:rPr>
        <w:t>are</w:t>
      </w:r>
      <w:r w:rsidRPr="00B47723">
        <w:rPr>
          <w:lang w:val="en-GB"/>
        </w:rPr>
        <w:t xml:space="preserve"> traded against the US dollar and the settlement </w:t>
      </w:r>
      <w:r>
        <w:rPr>
          <w:lang w:val="en-GB"/>
        </w:rPr>
        <w:t xml:space="preserve">i.e. the </w:t>
      </w:r>
      <w:r w:rsidRPr="00B47723">
        <w:rPr>
          <w:lang w:val="en-GB"/>
        </w:rPr>
        <w:t>deliverable currency of s</w:t>
      </w:r>
      <w:r>
        <w:rPr>
          <w:lang w:val="en-GB"/>
        </w:rPr>
        <w:t xml:space="preserve">uch an FX  NFD </w:t>
      </w:r>
      <w:r w:rsidRPr="00B47723">
        <w:rPr>
          <w:lang w:val="en-GB"/>
        </w:rPr>
        <w:t xml:space="preserve">transaction is also </w:t>
      </w:r>
      <w:r>
        <w:rPr>
          <w:lang w:val="en-GB"/>
        </w:rPr>
        <w:t>in US dollar</w:t>
      </w:r>
      <w:r w:rsidRPr="00B47723">
        <w:rPr>
          <w:lang w:val="en-GB"/>
        </w:rPr>
        <w:t xml:space="preserve">, we suggest that of the three CCPs mentioned in the previous paragraph at least one should be US based in order to incentivise the non-EEA party </w:t>
      </w:r>
      <w:r w:rsidR="00DC6E4D">
        <w:rPr>
          <w:lang w:val="en-GB"/>
        </w:rPr>
        <w:t>to</w:t>
      </w:r>
      <w:r w:rsidRPr="00B47723">
        <w:rPr>
          <w:lang w:val="en-GB"/>
        </w:rPr>
        <w:t xml:space="preserve"> the transaction to centrally clear the FX NDF transaction. Otherwise, </w:t>
      </w:r>
      <w:r w:rsidR="00DC6E4D">
        <w:rPr>
          <w:lang w:val="en-GB"/>
        </w:rPr>
        <w:t>there is a risk of creating an un-</w:t>
      </w:r>
      <w:r w:rsidRPr="00B47723">
        <w:rPr>
          <w:lang w:val="en-GB"/>
        </w:rPr>
        <w:t>level playing field among</w:t>
      </w:r>
      <w:r w:rsidR="00DC6E4D">
        <w:rPr>
          <w:lang w:val="en-GB"/>
        </w:rPr>
        <w:t>st</w:t>
      </w:r>
      <w:r w:rsidRPr="00B47723">
        <w:rPr>
          <w:lang w:val="en-GB"/>
        </w:rPr>
        <w:t xml:space="preserve"> EU CCPs and US CCPs, creating </w:t>
      </w:r>
      <w:r w:rsidR="00DC6E4D">
        <w:rPr>
          <w:lang w:val="en-GB"/>
        </w:rPr>
        <w:t xml:space="preserve"> </w:t>
      </w:r>
      <w:r w:rsidRPr="00B47723">
        <w:rPr>
          <w:lang w:val="en-GB"/>
        </w:rPr>
        <w:t xml:space="preserve">non-competitive advantages which benefit in the end </w:t>
      </w:r>
      <w:r w:rsidR="00DC6E4D">
        <w:rPr>
          <w:lang w:val="en-GB"/>
        </w:rPr>
        <w:t xml:space="preserve">the </w:t>
      </w:r>
      <w:r w:rsidRPr="00B47723">
        <w:rPr>
          <w:lang w:val="en-GB"/>
        </w:rPr>
        <w:t>US</w:t>
      </w:r>
      <w:r w:rsidR="00DC6E4D">
        <w:rPr>
          <w:lang w:val="en-GB"/>
        </w:rPr>
        <w:t xml:space="preserve"> based</w:t>
      </w:r>
      <w:r w:rsidRPr="00B47723">
        <w:rPr>
          <w:lang w:val="en-GB"/>
        </w:rPr>
        <w:t xml:space="preserve"> CCPs.</w:t>
      </w:r>
      <w:r w:rsidR="00B47723">
        <w:rPr>
          <w:lang w:val="en-GB"/>
        </w:rPr>
        <w:t xml:space="preserve"> </w:t>
      </w:r>
      <w:r w:rsidR="00DC6E4D">
        <w:rPr>
          <w:lang w:val="en-GB"/>
        </w:rPr>
        <w:t>Finally</w:t>
      </w:r>
      <w:r w:rsidR="00E42CAE">
        <w:rPr>
          <w:lang w:val="en-GB"/>
        </w:rPr>
        <w:t xml:space="preserve">, </w:t>
      </w:r>
      <w:r w:rsidR="0070728E">
        <w:rPr>
          <w:lang w:val="en-GB"/>
        </w:rPr>
        <w:t xml:space="preserve">AACB </w:t>
      </w:r>
      <w:r w:rsidR="00E42CAE">
        <w:rPr>
          <w:lang w:val="en-GB"/>
        </w:rPr>
        <w:t xml:space="preserve">and AAB </w:t>
      </w:r>
      <w:r w:rsidR="0070728E">
        <w:rPr>
          <w:lang w:val="en-GB"/>
        </w:rPr>
        <w:t>ha</w:t>
      </w:r>
      <w:r w:rsidR="00E42CAE">
        <w:rPr>
          <w:lang w:val="en-GB"/>
        </w:rPr>
        <w:t>ve</w:t>
      </w:r>
      <w:r w:rsidR="0070728E">
        <w:rPr>
          <w:lang w:val="en-GB"/>
        </w:rPr>
        <w:t xml:space="preserve"> a number of additional concerns with regard to the implementation timelines for Category 1 entities on which it will elaborate further in Question 7. </w:t>
      </w:r>
    </w:p>
    <w:p w:rsidR="0070728E" w:rsidRPr="0070728E" w:rsidRDefault="0070728E" w:rsidP="0070728E">
      <w:pPr>
        <w:jc w:val="both"/>
        <w:rPr>
          <w:b/>
          <w:lang w:val="en-GB"/>
        </w:rPr>
      </w:pPr>
      <w:r w:rsidRPr="0070728E">
        <w:rPr>
          <w:b/>
          <w:lang w:val="en-GB"/>
        </w:rPr>
        <w:t>Question 7</w:t>
      </w:r>
      <w:r>
        <w:rPr>
          <w:b/>
          <w:lang w:val="en-GB"/>
        </w:rPr>
        <w:t xml:space="preserve">: </w:t>
      </w:r>
      <w:r w:rsidRPr="0070728E">
        <w:rPr>
          <w:b/>
          <w:lang w:val="en-GB"/>
        </w:rPr>
        <w:t>Do you consider that the proposed dates of application ensure a smooth implementation of the clearing obligation? Please explain why and possible alternatives</w:t>
      </w:r>
      <w:r>
        <w:rPr>
          <w:b/>
          <w:lang w:val="en-GB"/>
        </w:rPr>
        <w:t>?</w:t>
      </w:r>
    </w:p>
    <w:p w:rsidR="0070728E" w:rsidRPr="0070728E" w:rsidRDefault="0070728E" w:rsidP="0070728E">
      <w:pPr>
        <w:jc w:val="both"/>
        <w:rPr>
          <w:lang w:val="en-GB"/>
        </w:rPr>
      </w:pPr>
      <w:r w:rsidRPr="0070728E">
        <w:rPr>
          <w:lang w:val="en-GB"/>
        </w:rPr>
        <w:t>AACB</w:t>
      </w:r>
      <w:r w:rsidR="00E42CAE">
        <w:rPr>
          <w:lang w:val="en-GB"/>
        </w:rPr>
        <w:t xml:space="preserve"> and AAB</w:t>
      </w:r>
      <w:r w:rsidRPr="0070728E">
        <w:rPr>
          <w:lang w:val="en-GB"/>
        </w:rPr>
        <w:t xml:space="preserve"> as Category 1 </w:t>
      </w:r>
      <w:r w:rsidR="00E42CAE">
        <w:rPr>
          <w:lang w:val="en-GB"/>
        </w:rPr>
        <w:t xml:space="preserve">and Category 2 </w:t>
      </w:r>
      <w:r w:rsidRPr="0070728E">
        <w:rPr>
          <w:lang w:val="en-GB"/>
        </w:rPr>
        <w:t>entity</w:t>
      </w:r>
      <w:r w:rsidR="00E42CAE">
        <w:rPr>
          <w:lang w:val="en-GB"/>
        </w:rPr>
        <w:t xml:space="preserve"> respectively</w:t>
      </w:r>
      <w:r w:rsidRPr="0070728E">
        <w:rPr>
          <w:lang w:val="en-GB"/>
        </w:rPr>
        <w:t xml:space="preserve">, consider the timelines for the application proposed by ESMA </w:t>
      </w:r>
      <w:r w:rsidR="00E42CAE">
        <w:rPr>
          <w:lang w:val="en-GB"/>
        </w:rPr>
        <w:t>to be</w:t>
      </w:r>
      <w:r w:rsidR="00E42CAE" w:rsidRPr="0070728E">
        <w:rPr>
          <w:lang w:val="en-GB"/>
        </w:rPr>
        <w:t xml:space="preserve"> </w:t>
      </w:r>
      <w:r w:rsidRPr="0070728E">
        <w:rPr>
          <w:lang w:val="en-GB"/>
        </w:rPr>
        <w:t xml:space="preserve">too short and </w:t>
      </w:r>
      <w:r w:rsidR="006A4B11">
        <w:rPr>
          <w:lang w:val="en-GB"/>
        </w:rPr>
        <w:t xml:space="preserve">not </w:t>
      </w:r>
      <w:r w:rsidRPr="0070728E">
        <w:rPr>
          <w:lang w:val="en-GB"/>
        </w:rPr>
        <w:t>realistic or workable</w:t>
      </w:r>
      <w:r w:rsidR="00A32AE4">
        <w:rPr>
          <w:lang w:val="en-GB"/>
        </w:rPr>
        <w:t xml:space="preserve"> in the current market</w:t>
      </w:r>
      <w:r w:rsidR="00E42CAE">
        <w:rPr>
          <w:lang w:val="en-GB"/>
        </w:rPr>
        <w:t xml:space="preserve"> environment</w:t>
      </w:r>
      <w:r w:rsidRPr="0070728E">
        <w:rPr>
          <w:lang w:val="en-GB"/>
        </w:rPr>
        <w:t xml:space="preserve">. </w:t>
      </w:r>
      <w:r w:rsidR="00E42CAE">
        <w:rPr>
          <w:lang w:val="en-GB"/>
        </w:rPr>
        <w:t>This position is supported by the following arguments;</w:t>
      </w:r>
    </w:p>
    <w:p w:rsidR="0070728E" w:rsidRPr="0070728E" w:rsidRDefault="0070728E" w:rsidP="0070728E">
      <w:pPr>
        <w:jc w:val="both"/>
        <w:rPr>
          <w:lang w:val="en-GB"/>
        </w:rPr>
      </w:pPr>
      <w:r w:rsidRPr="0070728E">
        <w:rPr>
          <w:lang w:val="en-GB"/>
        </w:rPr>
        <w:t>Firstly,</w:t>
      </w:r>
      <w:r w:rsidR="00A32AE4">
        <w:rPr>
          <w:lang w:val="en-GB"/>
        </w:rPr>
        <w:t xml:space="preserve"> AACB</w:t>
      </w:r>
      <w:r w:rsidR="00E42CAE">
        <w:rPr>
          <w:lang w:val="en-GB"/>
        </w:rPr>
        <w:t xml:space="preserve"> and AAB</w:t>
      </w:r>
      <w:r w:rsidR="00A32AE4">
        <w:rPr>
          <w:lang w:val="en-GB"/>
        </w:rPr>
        <w:t xml:space="preserve"> believe that</w:t>
      </w:r>
      <w:r w:rsidRPr="0070728E">
        <w:rPr>
          <w:lang w:val="en-GB"/>
        </w:rPr>
        <w:t xml:space="preserve"> ESMA’s proposal to replicate the approach taken with regard to the application timelines for the mandatory clearing of OTC interest rates derivatives in its draft RTS Interest Rate OTC Derivatives to</w:t>
      </w:r>
      <w:r w:rsidR="002D24CA">
        <w:rPr>
          <w:lang w:val="en-GB"/>
        </w:rPr>
        <w:t xml:space="preserve"> the </w:t>
      </w:r>
      <w:r w:rsidR="002D24CA" w:rsidRPr="0070728E">
        <w:rPr>
          <w:lang w:val="en-GB"/>
        </w:rPr>
        <w:t>timelines for the mandatory clearing of</w:t>
      </w:r>
      <w:r w:rsidRPr="0070728E">
        <w:rPr>
          <w:lang w:val="en-GB"/>
        </w:rPr>
        <w:t xml:space="preserve"> FX NDF</w:t>
      </w:r>
      <w:r w:rsidR="00E42CAE">
        <w:rPr>
          <w:lang w:val="en-GB"/>
        </w:rPr>
        <w:t xml:space="preserve"> products</w:t>
      </w:r>
      <w:r w:rsidR="002D24CA">
        <w:rPr>
          <w:lang w:val="en-GB"/>
        </w:rPr>
        <w:t>,</w:t>
      </w:r>
      <w:r w:rsidRPr="0070728E">
        <w:rPr>
          <w:lang w:val="en-GB"/>
        </w:rPr>
        <w:t xml:space="preserve"> is unjustified</w:t>
      </w:r>
      <w:r w:rsidR="00A32AE4">
        <w:rPr>
          <w:lang w:val="en-GB"/>
        </w:rPr>
        <w:t>.</w:t>
      </w:r>
      <w:r w:rsidRPr="0070728E">
        <w:rPr>
          <w:lang w:val="en-GB"/>
        </w:rPr>
        <w:t xml:space="preserve"> </w:t>
      </w:r>
    </w:p>
    <w:p w:rsidR="0070728E" w:rsidRPr="0070728E" w:rsidRDefault="0070728E" w:rsidP="0070728E">
      <w:pPr>
        <w:jc w:val="both"/>
        <w:rPr>
          <w:lang w:val="en-GB"/>
        </w:rPr>
      </w:pPr>
      <w:r w:rsidRPr="0070728E">
        <w:rPr>
          <w:lang w:val="en-GB"/>
        </w:rPr>
        <w:lastRenderedPageBreak/>
        <w:t>Many OTC interest rate derivatives are already cleared on a voluntary basis</w:t>
      </w:r>
      <w:r w:rsidR="00E42CAE">
        <w:rPr>
          <w:lang w:val="en-GB"/>
        </w:rPr>
        <w:t xml:space="preserve"> both by Category 1 as well as Category 2 entities. A</w:t>
      </w:r>
      <w:r w:rsidRPr="0070728E">
        <w:rPr>
          <w:lang w:val="en-GB"/>
        </w:rPr>
        <w:t xml:space="preserve">s such the switch to a mandatory clearing regime for this asset class will have a relatively low impact on </w:t>
      </w:r>
      <w:r w:rsidR="00E42CAE">
        <w:rPr>
          <w:lang w:val="en-GB"/>
        </w:rPr>
        <w:t>these</w:t>
      </w:r>
      <w:r w:rsidRPr="0070728E">
        <w:rPr>
          <w:lang w:val="en-GB"/>
        </w:rPr>
        <w:t xml:space="preserve"> entities. Please note that </w:t>
      </w:r>
      <w:r w:rsidR="002D24CA">
        <w:rPr>
          <w:lang w:val="en-GB"/>
        </w:rPr>
        <w:t>the</w:t>
      </w:r>
      <w:r w:rsidR="002D24CA" w:rsidRPr="0070728E">
        <w:rPr>
          <w:lang w:val="en-GB"/>
        </w:rPr>
        <w:t xml:space="preserve"> </w:t>
      </w:r>
      <w:r w:rsidRPr="0070728E">
        <w:rPr>
          <w:lang w:val="en-GB"/>
        </w:rPr>
        <w:t>use of the word ‘relatively’, as in practice it turns out that even implementing this clearing obligation requires market parties to spend substantive amounts of  capital, time and resources on this implementation.</w:t>
      </w:r>
    </w:p>
    <w:p w:rsidR="0070728E" w:rsidRPr="0070728E" w:rsidRDefault="00B47723" w:rsidP="0070728E">
      <w:pPr>
        <w:jc w:val="both"/>
        <w:rPr>
          <w:lang w:val="en-GB"/>
        </w:rPr>
      </w:pPr>
      <w:r>
        <w:rPr>
          <w:lang w:val="en-GB"/>
        </w:rPr>
        <w:t>Secondly, w</w:t>
      </w:r>
      <w:r w:rsidR="0070728E" w:rsidRPr="0070728E">
        <w:rPr>
          <w:lang w:val="en-GB"/>
        </w:rPr>
        <w:t>ith regard to FX NDF</w:t>
      </w:r>
      <w:r w:rsidR="00EC7792">
        <w:rPr>
          <w:lang w:val="en-GB"/>
        </w:rPr>
        <w:t xml:space="preserve"> products</w:t>
      </w:r>
      <w:r w:rsidR="0070728E" w:rsidRPr="0070728E">
        <w:rPr>
          <w:lang w:val="en-GB"/>
        </w:rPr>
        <w:t>, however, there is currently no established  market practice, or even a common approach, to centrally clear these OTC derivatives. As pointed out in the Consultation Paper</w:t>
      </w:r>
      <w:r w:rsidR="002D24CA">
        <w:rPr>
          <w:lang w:val="en-GB"/>
        </w:rPr>
        <w:t>,</w:t>
      </w:r>
      <w:r w:rsidR="0070728E" w:rsidRPr="0070728E">
        <w:rPr>
          <w:lang w:val="en-GB"/>
        </w:rPr>
        <w:t xml:space="preserve"> currently only a limited number of clearing members are  clearing FX NFD products with a handful of CCPs. </w:t>
      </w:r>
      <w:r w:rsidR="00F971B8">
        <w:rPr>
          <w:lang w:val="en-GB"/>
        </w:rPr>
        <w:t>Consequently, c</w:t>
      </w:r>
      <w:r w:rsidR="00F971B8" w:rsidRPr="0070728E">
        <w:rPr>
          <w:lang w:val="en-GB"/>
        </w:rPr>
        <w:t xml:space="preserve">learing members can only to a limited extent rely and benefit from acquired expertise or leverage on past experience. </w:t>
      </w:r>
      <w:r w:rsidR="0070728E" w:rsidRPr="0070728E">
        <w:rPr>
          <w:lang w:val="en-GB"/>
        </w:rPr>
        <w:t xml:space="preserve">Also, as per the consultation period, only </w:t>
      </w:r>
      <w:r w:rsidR="00A32AE4">
        <w:rPr>
          <w:lang w:val="en-GB"/>
        </w:rPr>
        <w:t>two</w:t>
      </w:r>
      <w:r w:rsidR="0070728E" w:rsidRPr="0070728E">
        <w:rPr>
          <w:lang w:val="en-GB"/>
        </w:rPr>
        <w:t xml:space="preserve"> clearing members are offering client clearing services and only one CCP has been (re-)authorised to clear this product.  Given that currently only </w:t>
      </w:r>
      <w:r w:rsidR="00A32AE4">
        <w:rPr>
          <w:lang w:val="en-GB"/>
        </w:rPr>
        <w:t>one</w:t>
      </w:r>
      <w:r w:rsidR="0070728E" w:rsidRPr="0070728E">
        <w:rPr>
          <w:lang w:val="en-GB"/>
        </w:rPr>
        <w:t xml:space="preserve"> CCP in </w:t>
      </w:r>
      <w:r w:rsidR="00A32AE4">
        <w:rPr>
          <w:lang w:val="en-GB"/>
        </w:rPr>
        <w:t>the European Union/European Economic Area</w:t>
      </w:r>
      <w:r w:rsidR="00A32AE4" w:rsidRPr="0070728E">
        <w:rPr>
          <w:lang w:val="en-GB"/>
        </w:rPr>
        <w:t xml:space="preserve"> </w:t>
      </w:r>
      <w:r w:rsidR="0070728E" w:rsidRPr="0070728E">
        <w:rPr>
          <w:lang w:val="en-GB"/>
        </w:rPr>
        <w:t xml:space="preserve">is authorised to centrally clear these products there are some valid concerns regarding concentration risks due to the high exposure volumes on this CCP which is also the market leader for OTC interest rate clearing. </w:t>
      </w:r>
      <w:r w:rsidR="00F971B8">
        <w:rPr>
          <w:lang w:val="en-GB"/>
        </w:rPr>
        <w:t>In addition to</w:t>
      </w:r>
      <w:r w:rsidR="0070728E" w:rsidRPr="0070728E">
        <w:rPr>
          <w:lang w:val="en-GB"/>
        </w:rPr>
        <w:t xml:space="preserve"> the limited </w:t>
      </w:r>
      <w:r w:rsidR="00F971B8">
        <w:rPr>
          <w:lang w:val="en-GB"/>
        </w:rPr>
        <w:t xml:space="preserve">market-wide </w:t>
      </w:r>
      <w:r w:rsidR="0070728E" w:rsidRPr="0070728E">
        <w:rPr>
          <w:lang w:val="en-GB"/>
        </w:rPr>
        <w:t xml:space="preserve">experience </w:t>
      </w:r>
      <w:r w:rsidR="00F971B8">
        <w:rPr>
          <w:lang w:val="en-GB"/>
        </w:rPr>
        <w:t>with</w:t>
      </w:r>
      <w:r w:rsidR="00EC7792">
        <w:rPr>
          <w:lang w:val="en-GB"/>
        </w:rPr>
        <w:t xml:space="preserve"> the central clearing of FX</w:t>
      </w:r>
      <w:r w:rsidR="00F971B8">
        <w:rPr>
          <w:lang w:val="en-GB"/>
        </w:rPr>
        <w:t xml:space="preserve"> NDF </w:t>
      </w:r>
      <w:r w:rsidR="00EC7792">
        <w:rPr>
          <w:lang w:val="en-GB"/>
        </w:rPr>
        <w:t xml:space="preserve">products, </w:t>
      </w:r>
      <w:r w:rsidR="0070728E" w:rsidRPr="0070728E">
        <w:rPr>
          <w:lang w:val="en-GB"/>
        </w:rPr>
        <w:t>the fact</w:t>
      </w:r>
      <w:r w:rsidR="00F971B8">
        <w:rPr>
          <w:lang w:val="en-GB"/>
        </w:rPr>
        <w:t xml:space="preserve"> </w:t>
      </w:r>
      <w:r w:rsidR="00EC7792">
        <w:rPr>
          <w:lang w:val="en-GB"/>
        </w:rPr>
        <w:t>remains</w:t>
      </w:r>
      <w:r w:rsidR="0070728E" w:rsidRPr="0070728E">
        <w:rPr>
          <w:lang w:val="en-GB"/>
        </w:rPr>
        <w:t xml:space="preserve"> that most internal systems and processes </w:t>
      </w:r>
      <w:r w:rsidR="00F971B8">
        <w:rPr>
          <w:lang w:val="en-GB"/>
        </w:rPr>
        <w:t xml:space="preserve">of market participants </w:t>
      </w:r>
      <w:r w:rsidR="0070728E" w:rsidRPr="0070728E">
        <w:rPr>
          <w:lang w:val="en-GB"/>
        </w:rPr>
        <w:t>are currently not ready to execute central clearing of FX NDF</w:t>
      </w:r>
      <w:r w:rsidR="00EC7792">
        <w:rPr>
          <w:lang w:val="en-GB"/>
        </w:rPr>
        <w:t xml:space="preserve"> products</w:t>
      </w:r>
      <w:r w:rsidR="0070728E" w:rsidRPr="0070728E">
        <w:rPr>
          <w:lang w:val="en-GB"/>
        </w:rPr>
        <w:t xml:space="preserve">. </w:t>
      </w:r>
      <w:r w:rsidR="00F971B8">
        <w:rPr>
          <w:lang w:val="en-GB"/>
        </w:rPr>
        <w:t xml:space="preserve">Furthermore, </w:t>
      </w:r>
      <w:r w:rsidR="0070728E" w:rsidRPr="0070728E">
        <w:rPr>
          <w:lang w:val="en-GB"/>
        </w:rPr>
        <w:t xml:space="preserve">Category 1 </w:t>
      </w:r>
      <w:r w:rsidR="00EC7792">
        <w:rPr>
          <w:lang w:val="en-GB"/>
        </w:rPr>
        <w:t xml:space="preserve">&amp; 2 </w:t>
      </w:r>
      <w:r w:rsidR="0070728E" w:rsidRPr="0070728E">
        <w:rPr>
          <w:lang w:val="en-GB"/>
        </w:rPr>
        <w:t xml:space="preserve">entities will have to select and connect to a CCP in order to be able to centrally clear FX NDF products. It should also be mentioned that the selection process of a new CCP as well as the actual connection to it, including testing, vetting  and approval  is a very time-consuming process. </w:t>
      </w:r>
      <w:r w:rsidR="00F971B8">
        <w:rPr>
          <w:lang w:val="en-GB"/>
        </w:rPr>
        <w:t>(Hence the suggested phase-in period of twelve months after the third authorisation of a CCP clearing NDF FX.)</w:t>
      </w:r>
    </w:p>
    <w:p w:rsidR="0070728E" w:rsidRPr="0070728E" w:rsidRDefault="0070728E" w:rsidP="0070728E">
      <w:pPr>
        <w:jc w:val="both"/>
        <w:rPr>
          <w:lang w:val="en-GB"/>
        </w:rPr>
      </w:pPr>
      <w:r w:rsidRPr="0070728E">
        <w:rPr>
          <w:lang w:val="en-GB"/>
        </w:rPr>
        <w:t>Furthermore, many market parties have been</w:t>
      </w:r>
      <w:r w:rsidR="00B47723">
        <w:rPr>
          <w:lang w:val="en-GB"/>
        </w:rPr>
        <w:t>,</w:t>
      </w:r>
      <w:r w:rsidRPr="0070728E">
        <w:rPr>
          <w:lang w:val="en-GB"/>
        </w:rPr>
        <w:t xml:space="preserve"> and still are</w:t>
      </w:r>
      <w:r w:rsidR="00B47723">
        <w:rPr>
          <w:lang w:val="en-GB"/>
        </w:rPr>
        <w:t>,</w:t>
      </w:r>
      <w:r w:rsidRPr="0070728E">
        <w:rPr>
          <w:lang w:val="en-GB"/>
        </w:rPr>
        <w:t xml:space="preserve"> busy implementing EMIR’s other requirements  -  i.e. the already mentioned   clearing obligation for </w:t>
      </w:r>
      <w:r w:rsidR="00B47723">
        <w:rPr>
          <w:lang w:val="en-GB"/>
        </w:rPr>
        <w:t xml:space="preserve">OTC </w:t>
      </w:r>
      <w:r w:rsidRPr="0070728E">
        <w:rPr>
          <w:lang w:val="en-GB"/>
        </w:rPr>
        <w:t xml:space="preserve"> interest rate derivatives, but also the preparation for the clearing obligation for </w:t>
      </w:r>
      <w:r w:rsidR="00075416">
        <w:rPr>
          <w:lang w:val="en-GB"/>
        </w:rPr>
        <w:t>c</w:t>
      </w:r>
      <w:r w:rsidRPr="0070728E">
        <w:rPr>
          <w:lang w:val="en-GB"/>
        </w:rPr>
        <w:t>redit default swap transactions</w:t>
      </w:r>
      <w:r w:rsidR="00075416">
        <w:rPr>
          <w:lang w:val="en-GB"/>
        </w:rPr>
        <w:t>. This</w:t>
      </w:r>
      <w:r w:rsidR="00B47723">
        <w:rPr>
          <w:lang w:val="en-GB"/>
        </w:rPr>
        <w:t xml:space="preserve"> </w:t>
      </w:r>
      <w:r w:rsidRPr="0070728E">
        <w:rPr>
          <w:lang w:val="en-GB"/>
        </w:rPr>
        <w:t>means that a lot of operational and managerial resources are already dedicated to EMIR related projects. Given the limited knowledge in  the ma</w:t>
      </w:r>
      <w:r w:rsidR="00B47723">
        <w:rPr>
          <w:lang w:val="en-GB"/>
        </w:rPr>
        <w:t xml:space="preserve">rket regarding these subjects, </w:t>
      </w:r>
      <w:r w:rsidRPr="0070728E">
        <w:rPr>
          <w:lang w:val="en-GB"/>
        </w:rPr>
        <w:t xml:space="preserve">hiring additional staff for such projects appears difficult and to provide only limited </w:t>
      </w:r>
      <w:r w:rsidR="00B47723" w:rsidRPr="0070728E">
        <w:rPr>
          <w:lang w:val="en-GB"/>
        </w:rPr>
        <w:t>reli</w:t>
      </w:r>
      <w:r w:rsidR="00B47723">
        <w:rPr>
          <w:lang w:val="en-GB"/>
        </w:rPr>
        <w:t>ef</w:t>
      </w:r>
      <w:r w:rsidRPr="0070728E">
        <w:rPr>
          <w:lang w:val="en-GB"/>
        </w:rPr>
        <w:t>. In other words, the accumulation of central clearing obligations results in less available resources for each new obligation and may carry new and additional hurdles. With regard to the introduction of the suggested implementation timelines for mandatory central clearing for FX NDF</w:t>
      </w:r>
      <w:r w:rsidR="00B47723">
        <w:rPr>
          <w:lang w:val="en-GB"/>
        </w:rPr>
        <w:t xml:space="preserve"> products</w:t>
      </w:r>
      <w:r w:rsidRPr="0070728E">
        <w:rPr>
          <w:lang w:val="en-GB"/>
        </w:rPr>
        <w:t xml:space="preserve"> this will be the case. As such, market parties cannot really benefit from a “general readiness” towards central clearing as suggested in the  Consultation Paper, as this readiness is conditional on the availability of staff that can turn this readiness into actual results. Given the  other EMIR implementation processes that are currently running</w:t>
      </w:r>
      <w:r w:rsidR="00F971B8">
        <w:rPr>
          <w:lang w:val="en-GB"/>
        </w:rPr>
        <w:t>,</w:t>
      </w:r>
      <w:r w:rsidRPr="0070728E">
        <w:rPr>
          <w:lang w:val="en-GB"/>
        </w:rPr>
        <w:t xml:space="preserve"> this is unlikely to be the case.</w:t>
      </w:r>
    </w:p>
    <w:p w:rsidR="0070728E" w:rsidRPr="0070728E" w:rsidRDefault="0070728E" w:rsidP="0070728E">
      <w:pPr>
        <w:jc w:val="both"/>
        <w:rPr>
          <w:lang w:val="en-GB"/>
        </w:rPr>
      </w:pPr>
      <w:r w:rsidRPr="0070728E">
        <w:rPr>
          <w:lang w:val="en-GB"/>
        </w:rPr>
        <w:t>To summari</w:t>
      </w:r>
      <w:r w:rsidR="00D84574">
        <w:rPr>
          <w:lang w:val="en-GB"/>
        </w:rPr>
        <w:t>s</w:t>
      </w:r>
      <w:r w:rsidRPr="0070728E">
        <w:rPr>
          <w:lang w:val="en-GB"/>
        </w:rPr>
        <w:t xml:space="preserve">e, ESMA’s approach to replicate the implementation timelines for </w:t>
      </w:r>
      <w:r w:rsidR="00F971B8">
        <w:rPr>
          <w:lang w:val="en-GB"/>
        </w:rPr>
        <w:t xml:space="preserve">OTC </w:t>
      </w:r>
      <w:r w:rsidRPr="0070728E">
        <w:rPr>
          <w:lang w:val="en-GB"/>
        </w:rPr>
        <w:t>interest rates derivatives for FX NDF</w:t>
      </w:r>
      <w:r w:rsidR="00B47723">
        <w:rPr>
          <w:lang w:val="en-GB"/>
        </w:rPr>
        <w:t xml:space="preserve"> products</w:t>
      </w:r>
      <w:r w:rsidRPr="0070728E">
        <w:rPr>
          <w:lang w:val="en-GB"/>
        </w:rPr>
        <w:t xml:space="preserve"> is </w:t>
      </w:r>
      <w:r w:rsidR="00075416">
        <w:rPr>
          <w:lang w:val="en-GB"/>
        </w:rPr>
        <w:t>ill-fitted</w:t>
      </w:r>
      <w:r w:rsidR="00075416" w:rsidRPr="0070728E">
        <w:rPr>
          <w:lang w:val="en-GB"/>
        </w:rPr>
        <w:t xml:space="preserve"> </w:t>
      </w:r>
      <w:r w:rsidRPr="0070728E">
        <w:rPr>
          <w:lang w:val="en-GB"/>
        </w:rPr>
        <w:t xml:space="preserve">and too demanding </w:t>
      </w:r>
      <w:r w:rsidR="00B47723">
        <w:rPr>
          <w:lang w:val="en-GB"/>
        </w:rPr>
        <w:t xml:space="preserve">for market participants </w:t>
      </w:r>
      <w:r w:rsidRPr="0070728E">
        <w:rPr>
          <w:lang w:val="en-GB"/>
        </w:rPr>
        <w:t xml:space="preserve">because (1) centrally clearing  FX NDF products is not market practice unlike </w:t>
      </w:r>
      <w:r w:rsidR="00F971B8">
        <w:rPr>
          <w:lang w:val="en-GB"/>
        </w:rPr>
        <w:t>the</w:t>
      </w:r>
      <w:r w:rsidRPr="0070728E">
        <w:rPr>
          <w:lang w:val="en-GB"/>
        </w:rPr>
        <w:t xml:space="preserve"> centrally clearing of OTC interest rate</w:t>
      </w:r>
      <w:r w:rsidR="00B47723">
        <w:rPr>
          <w:lang w:val="en-GB"/>
        </w:rPr>
        <w:t xml:space="preserve"> derivatives</w:t>
      </w:r>
      <w:r w:rsidRPr="0070728E">
        <w:rPr>
          <w:lang w:val="en-GB"/>
        </w:rPr>
        <w:t xml:space="preserve">, (2)  </w:t>
      </w:r>
      <w:r w:rsidR="00B47723">
        <w:rPr>
          <w:lang w:val="en-GB"/>
        </w:rPr>
        <w:t>the</w:t>
      </w:r>
      <w:r w:rsidR="00075416">
        <w:rPr>
          <w:lang w:val="en-GB"/>
        </w:rPr>
        <w:t xml:space="preserve"> number of (re)authorised CCPs</w:t>
      </w:r>
      <w:r w:rsidRPr="0070728E">
        <w:rPr>
          <w:lang w:val="en-GB"/>
        </w:rPr>
        <w:t xml:space="preserve"> </w:t>
      </w:r>
      <w:r w:rsidR="00D84574">
        <w:rPr>
          <w:lang w:val="en-GB"/>
        </w:rPr>
        <w:t>to clear</w:t>
      </w:r>
      <w:r w:rsidRPr="0070728E">
        <w:rPr>
          <w:lang w:val="en-GB"/>
        </w:rPr>
        <w:t xml:space="preserve"> FX NDF </w:t>
      </w:r>
      <w:r w:rsidR="00B47723">
        <w:rPr>
          <w:lang w:val="en-GB"/>
        </w:rPr>
        <w:t>products is limited</w:t>
      </w:r>
      <w:r w:rsidRPr="0070728E">
        <w:rPr>
          <w:lang w:val="en-GB"/>
        </w:rPr>
        <w:t xml:space="preserve"> which may lead to concentration risks, and (3) the accumulation of clearing obligations, next to the other EMIR obligations, will have an impact on  market participants</w:t>
      </w:r>
      <w:r w:rsidR="00D84574">
        <w:rPr>
          <w:lang w:val="en-GB"/>
        </w:rPr>
        <w:t>’</w:t>
      </w:r>
      <w:r w:rsidRPr="0070728E">
        <w:rPr>
          <w:lang w:val="en-GB"/>
        </w:rPr>
        <w:t xml:space="preserve"> </w:t>
      </w:r>
      <w:r w:rsidR="00075416">
        <w:rPr>
          <w:lang w:val="en-GB"/>
        </w:rPr>
        <w:t xml:space="preserve">ability to </w:t>
      </w:r>
      <w:r w:rsidR="00075416" w:rsidRPr="0070728E">
        <w:rPr>
          <w:lang w:val="en-GB"/>
        </w:rPr>
        <w:t>implement</w:t>
      </w:r>
      <w:r w:rsidRPr="0070728E">
        <w:rPr>
          <w:lang w:val="en-GB"/>
        </w:rPr>
        <w:t xml:space="preserve"> each new obligation. </w:t>
      </w:r>
    </w:p>
    <w:p w:rsidR="004F5B34" w:rsidRDefault="0070728E" w:rsidP="0070728E">
      <w:pPr>
        <w:jc w:val="both"/>
        <w:rPr>
          <w:lang w:val="en-GB"/>
        </w:rPr>
      </w:pPr>
      <w:r w:rsidRPr="0070728E">
        <w:rPr>
          <w:lang w:val="en-GB"/>
        </w:rPr>
        <w:lastRenderedPageBreak/>
        <w:t xml:space="preserve">Therefore, AACB </w:t>
      </w:r>
      <w:r w:rsidR="00B47723">
        <w:rPr>
          <w:lang w:val="en-GB"/>
        </w:rPr>
        <w:t xml:space="preserve">and AAB </w:t>
      </w:r>
      <w:r w:rsidRPr="0070728E">
        <w:rPr>
          <w:lang w:val="en-GB"/>
        </w:rPr>
        <w:t>consider the suggested implementation timeline for Category 1</w:t>
      </w:r>
      <w:r w:rsidR="00B47723">
        <w:rPr>
          <w:lang w:val="en-GB"/>
        </w:rPr>
        <w:t xml:space="preserve"> and Category 2</w:t>
      </w:r>
      <w:r w:rsidRPr="0070728E">
        <w:rPr>
          <w:lang w:val="en-GB"/>
        </w:rPr>
        <w:t xml:space="preserve"> entities to be too short and proposes </w:t>
      </w:r>
      <w:r w:rsidR="00F971B8">
        <w:rPr>
          <w:lang w:val="en-GB"/>
        </w:rPr>
        <w:t xml:space="preserve">instead </w:t>
      </w:r>
      <w:r w:rsidRPr="0070728E">
        <w:rPr>
          <w:lang w:val="en-GB"/>
        </w:rPr>
        <w:t xml:space="preserve">to extend the implementation timeline to </w:t>
      </w:r>
      <w:r w:rsidR="00F971B8">
        <w:rPr>
          <w:lang w:val="en-GB"/>
        </w:rPr>
        <w:t xml:space="preserve">twelve </w:t>
      </w:r>
      <w:r w:rsidRPr="0070728E">
        <w:rPr>
          <w:lang w:val="en-GB"/>
        </w:rPr>
        <w:t xml:space="preserve">months </w:t>
      </w:r>
      <w:r w:rsidR="00B47723">
        <w:rPr>
          <w:lang w:val="en-GB"/>
        </w:rPr>
        <w:t xml:space="preserve">after the </w:t>
      </w:r>
      <w:r w:rsidR="00F971B8">
        <w:rPr>
          <w:lang w:val="en-GB"/>
        </w:rPr>
        <w:t>authorisat</w:t>
      </w:r>
      <w:r w:rsidR="00B47723">
        <w:rPr>
          <w:lang w:val="en-GB"/>
        </w:rPr>
        <w:t xml:space="preserve">ion of the third </w:t>
      </w:r>
      <w:r w:rsidR="00F971B8">
        <w:rPr>
          <w:lang w:val="en-GB"/>
        </w:rPr>
        <w:t>CCP clearing NDF FX</w:t>
      </w:r>
      <w:r w:rsidR="00B47723">
        <w:rPr>
          <w:lang w:val="en-GB"/>
        </w:rPr>
        <w:t xml:space="preserve"> products</w:t>
      </w:r>
      <w:r w:rsidR="00F971B8">
        <w:rPr>
          <w:lang w:val="en-GB"/>
        </w:rPr>
        <w:t>.</w:t>
      </w:r>
      <w:bookmarkStart w:id="0" w:name="_GoBack"/>
      <w:bookmarkEnd w:id="0"/>
    </w:p>
    <w:sectPr w:rsidR="004F5B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3F"/>
    <w:rsid w:val="00075416"/>
    <w:rsid w:val="000F1B4C"/>
    <w:rsid w:val="00181535"/>
    <w:rsid w:val="0027121B"/>
    <w:rsid w:val="002D24CA"/>
    <w:rsid w:val="00452720"/>
    <w:rsid w:val="004A1252"/>
    <w:rsid w:val="004F5B34"/>
    <w:rsid w:val="00530D3F"/>
    <w:rsid w:val="006A4B11"/>
    <w:rsid w:val="0070728E"/>
    <w:rsid w:val="00846F21"/>
    <w:rsid w:val="00A32AE4"/>
    <w:rsid w:val="00B43F83"/>
    <w:rsid w:val="00B47723"/>
    <w:rsid w:val="00D84574"/>
    <w:rsid w:val="00DC6E4D"/>
    <w:rsid w:val="00E42CAE"/>
    <w:rsid w:val="00EC7792"/>
    <w:rsid w:val="00F9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E4"/>
    <w:rPr>
      <w:rFonts w:ascii="Tahoma" w:hAnsi="Tahoma" w:cs="Tahoma"/>
      <w:sz w:val="16"/>
      <w:szCs w:val="16"/>
    </w:rPr>
  </w:style>
  <w:style w:type="character" w:styleId="CommentReference">
    <w:name w:val="annotation reference"/>
    <w:basedOn w:val="DefaultParagraphFont"/>
    <w:uiPriority w:val="99"/>
    <w:semiHidden/>
    <w:unhideWhenUsed/>
    <w:rsid w:val="00075416"/>
    <w:rPr>
      <w:sz w:val="16"/>
      <w:szCs w:val="16"/>
    </w:rPr>
  </w:style>
  <w:style w:type="paragraph" w:styleId="CommentText">
    <w:name w:val="annotation text"/>
    <w:basedOn w:val="Normal"/>
    <w:link w:val="CommentTextChar"/>
    <w:uiPriority w:val="99"/>
    <w:semiHidden/>
    <w:unhideWhenUsed/>
    <w:rsid w:val="00075416"/>
    <w:pPr>
      <w:spacing w:line="240" w:lineRule="auto"/>
    </w:pPr>
    <w:rPr>
      <w:sz w:val="20"/>
      <w:szCs w:val="20"/>
    </w:rPr>
  </w:style>
  <w:style w:type="character" w:customStyle="1" w:styleId="CommentTextChar">
    <w:name w:val="Comment Text Char"/>
    <w:basedOn w:val="DefaultParagraphFont"/>
    <w:link w:val="CommentText"/>
    <w:uiPriority w:val="99"/>
    <w:semiHidden/>
    <w:rsid w:val="00075416"/>
    <w:rPr>
      <w:sz w:val="20"/>
      <w:szCs w:val="20"/>
    </w:rPr>
  </w:style>
  <w:style w:type="paragraph" w:styleId="CommentSubject">
    <w:name w:val="annotation subject"/>
    <w:basedOn w:val="CommentText"/>
    <w:next w:val="CommentText"/>
    <w:link w:val="CommentSubjectChar"/>
    <w:uiPriority w:val="99"/>
    <w:semiHidden/>
    <w:unhideWhenUsed/>
    <w:rsid w:val="00075416"/>
    <w:rPr>
      <w:b/>
      <w:bCs/>
    </w:rPr>
  </w:style>
  <w:style w:type="character" w:customStyle="1" w:styleId="CommentSubjectChar">
    <w:name w:val="Comment Subject Char"/>
    <w:basedOn w:val="CommentTextChar"/>
    <w:link w:val="CommentSubject"/>
    <w:uiPriority w:val="99"/>
    <w:semiHidden/>
    <w:rsid w:val="000754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E4"/>
    <w:rPr>
      <w:rFonts w:ascii="Tahoma" w:hAnsi="Tahoma" w:cs="Tahoma"/>
      <w:sz w:val="16"/>
      <w:szCs w:val="16"/>
    </w:rPr>
  </w:style>
  <w:style w:type="character" w:styleId="CommentReference">
    <w:name w:val="annotation reference"/>
    <w:basedOn w:val="DefaultParagraphFont"/>
    <w:uiPriority w:val="99"/>
    <w:semiHidden/>
    <w:unhideWhenUsed/>
    <w:rsid w:val="00075416"/>
    <w:rPr>
      <w:sz w:val="16"/>
      <w:szCs w:val="16"/>
    </w:rPr>
  </w:style>
  <w:style w:type="paragraph" w:styleId="CommentText">
    <w:name w:val="annotation text"/>
    <w:basedOn w:val="Normal"/>
    <w:link w:val="CommentTextChar"/>
    <w:uiPriority w:val="99"/>
    <w:semiHidden/>
    <w:unhideWhenUsed/>
    <w:rsid w:val="00075416"/>
    <w:pPr>
      <w:spacing w:line="240" w:lineRule="auto"/>
    </w:pPr>
    <w:rPr>
      <w:sz w:val="20"/>
      <w:szCs w:val="20"/>
    </w:rPr>
  </w:style>
  <w:style w:type="character" w:customStyle="1" w:styleId="CommentTextChar">
    <w:name w:val="Comment Text Char"/>
    <w:basedOn w:val="DefaultParagraphFont"/>
    <w:link w:val="CommentText"/>
    <w:uiPriority w:val="99"/>
    <w:semiHidden/>
    <w:rsid w:val="00075416"/>
    <w:rPr>
      <w:sz w:val="20"/>
      <w:szCs w:val="20"/>
    </w:rPr>
  </w:style>
  <w:style w:type="paragraph" w:styleId="CommentSubject">
    <w:name w:val="annotation subject"/>
    <w:basedOn w:val="CommentText"/>
    <w:next w:val="CommentText"/>
    <w:link w:val="CommentSubjectChar"/>
    <w:uiPriority w:val="99"/>
    <w:semiHidden/>
    <w:unhideWhenUsed/>
    <w:rsid w:val="00075416"/>
    <w:rPr>
      <w:b/>
      <w:bCs/>
    </w:rPr>
  </w:style>
  <w:style w:type="character" w:customStyle="1" w:styleId="CommentSubjectChar">
    <w:name w:val="Comment Subject Char"/>
    <w:basedOn w:val="CommentTextChar"/>
    <w:link w:val="CommentSubject"/>
    <w:uiPriority w:val="99"/>
    <w:semiHidden/>
    <w:rsid w:val="00075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ABN AMRO</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Geneste (Matthijs)</dc:creator>
  <cp:lastModifiedBy>Trogh R. (Ramses)</cp:lastModifiedBy>
  <cp:revision>2</cp:revision>
  <cp:lastPrinted>2014-10-21T09:22:00Z</cp:lastPrinted>
  <dcterms:created xsi:type="dcterms:W3CDTF">2014-11-06T11:56:00Z</dcterms:created>
  <dcterms:modified xsi:type="dcterms:W3CDTF">2014-11-06T11:56:00Z</dcterms:modified>
</cp:coreProperties>
</file>