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E5" w:rsidRPr="00AC2FAD" w:rsidRDefault="003B5186" w:rsidP="00DA18A0">
      <w:pPr>
        <w:jc w:val="center"/>
      </w:pPr>
      <w:r w:rsidRPr="00AC2FAD">
        <w:rPr>
          <w:noProof/>
          <w:lang w:eastAsia="fr-FR"/>
        </w:rPr>
        <w:drawing>
          <wp:inline distT="0" distB="0" distL="0" distR="0" wp14:anchorId="5DB22EEB" wp14:editId="17BEE7BB">
            <wp:extent cx="3197352" cy="969264"/>
            <wp:effectExtent l="0" t="0" r="317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XINVEST pixelCMJ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7352" cy="969264"/>
                    </a:xfrm>
                    <a:prstGeom prst="rect">
                      <a:avLst/>
                    </a:prstGeom>
                  </pic:spPr>
                </pic:pic>
              </a:graphicData>
            </a:graphic>
          </wp:inline>
        </w:drawing>
      </w:r>
    </w:p>
    <w:p w:rsidR="003B5186" w:rsidRPr="00AC2FAD" w:rsidRDefault="003B5186" w:rsidP="003B5186">
      <w:pPr>
        <w:jc w:val="center"/>
      </w:pPr>
    </w:p>
    <w:p w:rsidR="003B5186" w:rsidRPr="00AC2FAD" w:rsidRDefault="003B5186" w:rsidP="003B5186">
      <w:pPr>
        <w:jc w:val="center"/>
      </w:pPr>
    </w:p>
    <w:p w:rsidR="003B5186" w:rsidRPr="00AC2FAD" w:rsidRDefault="003B5186" w:rsidP="003B5186">
      <w:pPr>
        <w:jc w:val="center"/>
      </w:pPr>
    </w:p>
    <w:p w:rsidR="003B5186" w:rsidRPr="00AC2FAD" w:rsidRDefault="003B5186" w:rsidP="003B5186">
      <w:pPr>
        <w:pStyle w:val="Citationintense"/>
        <w:rPr>
          <w:sz w:val="40"/>
          <w:szCs w:val="40"/>
          <w:lang w:val="en-US"/>
        </w:rPr>
      </w:pPr>
      <w:r w:rsidRPr="00AC2FAD">
        <w:rPr>
          <w:sz w:val="40"/>
          <w:szCs w:val="40"/>
          <w:lang w:val="en-US"/>
        </w:rPr>
        <w:t>BEST PRACTICE PRINCIPLES FOR PROVIDERS OF SHAREHOLDER VOTING RESEARCH AND ANALYSIS</w:t>
      </w:r>
    </w:p>
    <w:p w:rsidR="003B5186" w:rsidRPr="00AC2FAD" w:rsidRDefault="003B5186" w:rsidP="003B5186">
      <w:pPr>
        <w:rPr>
          <w:lang w:val="en-US"/>
        </w:rPr>
      </w:pPr>
    </w:p>
    <w:p w:rsidR="003B5186" w:rsidRPr="00AC2FAD" w:rsidRDefault="003B5186" w:rsidP="003B5186">
      <w:pPr>
        <w:rPr>
          <w:lang w:val="en-US"/>
        </w:rPr>
      </w:pPr>
    </w:p>
    <w:p w:rsidR="003B5186" w:rsidRPr="00AC2FAD" w:rsidRDefault="008024DB" w:rsidP="003B0D43">
      <w:pPr>
        <w:jc w:val="center"/>
        <w:rPr>
          <w:rFonts w:eastAsiaTheme="majorEastAsia" w:cstheme="majorBidi"/>
          <w:b/>
          <w:bCs/>
          <w:color w:val="365F91" w:themeColor="accent1" w:themeShade="BF"/>
          <w:sz w:val="28"/>
          <w:szCs w:val="28"/>
          <w:lang w:val="en-US"/>
        </w:rPr>
      </w:pPr>
      <w:r>
        <w:rPr>
          <w:rFonts w:eastAsiaTheme="majorEastAsia" w:cstheme="majorBidi"/>
          <w:b/>
          <w:bCs/>
          <w:color w:val="365F91" w:themeColor="accent1" w:themeShade="BF"/>
          <w:sz w:val="28"/>
          <w:szCs w:val="28"/>
          <w:lang w:val="en-US"/>
        </w:rPr>
        <w:t xml:space="preserve"> </w:t>
      </w:r>
      <w:r w:rsidR="003B0D43" w:rsidRPr="00AC2FAD">
        <w:rPr>
          <w:rFonts w:eastAsiaTheme="majorEastAsia" w:cstheme="majorBidi"/>
          <w:b/>
          <w:bCs/>
          <w:color w:val="365F91" w:themeColor="accent1" w:themeShade="BF"/>
          <w:sz w:val="28"/>
          <w:szCs w:val="28"/>
          <w:lang w:val="en-US"/>
        </w:rPr>
        <w:t xml:space="preserve"> Proxinvest response </w:t>
      </w:r>
      <w:r w:rsidR="003E74CD" w:rsidRPr="00AC2FAD">
        <w:rPr>
          <w:rFonts w:eastAsiaTheme="majorEastAsia" w:cstheme="majorBidi"/>
          <w:b/>
          <w:bCs/>
          <w:color w:val="365F91" w:themeColor="accent1" w:themeShade="BF"/>
          <w:sz w:val="28"/>
          <w:szCs w:val="28"/>
          <w:lang w:val="en-US"/>
        </w:rPr>
        <w:t>to the ESMA Call for Evidence</w:t>
      </w:r>
    </w:p>
    <w:p w:rsidR="008B427E" w:rsidRPr="00AC2FAD" w:rsidRDefault="008B427E" w:rsidP="008B427E">
      <w:pPr>
        <w:rPr>
          <w:rFonts w:eastAsiaTheme="majorEastAsia" w:cstheme="majorBidi"/>
          <w:b/>
          <w:bCs/>
          <w:color w:val="365F91" w:themeColor="accent1" w:themeShade="BF"/>
          <w:sz w:val="28"/>
          <w:szCs w:val="28"/>
          <w:lang w:val="en-US"/>
        </w:rPr>
      </w:pPr>
    </w:p>
    <w:p w:rsidR="003B5186" w:rsidRPr="00AC2FAD" w:rsidRDefault="008B427E" w:rsidP="00A92EEA">
      <w:pPr>
        <w:jc w:val="center"/>
        <w:rPr>
          <w:lang w:val="en-US"/>
        </w:rPr>
      </w:pPr>
      <w:r w:rsidRPr="00AC2FAD">
        <w:rPr>
          <w:rFonts w:eastAsiaTheme="majorEastAsia" w:cstheme="majorBidi"/>
          <w:b/>
          <w:bCs/>
          <w:color w:val="365F91" w:themeColor="accent1" w:themeShade="BF"/>
          <w:sz w:val="28"/>
          <w:szCs w:val="28"/>
          <w:lang w:val="en-US"/>
        </w:rPr>
        <w:t>Impact of the Best Practice Principles for Providers of Shareholder Voting Research and Analysis</w:t>
      </w:r>
    </w:p>
    <w:p w:rsidR="003B5186" w:rsidRPr="00AC2FAD" w:rsidRDefault="003B5186" w:rsidP="003B5186">
      <w:pPr>
        <w:rPr>
          <w:lang w:val="en-US"/>
        </w:rPr>
      </w:pPr>
    </w:p>
    <w:p w:rsidR="003B5186" w:rsidRPr="00AC2FAD" w:rsidRDefault="003B5186" w:rsidP="003B5186">
      <w:pPr>
        <w:rPr>
          <w:lang w:val="en-US"/>
        </w:rPr>
      </w:pPr>
    </w:p>
    <w:p w:rsidR="003B5186" w:rsidRPr="00AC2FAD" w:rsidRDefault="003B5186" w:rsidP="003B5186">
      <w:pPr>
        <w:rPr>
          <w:lang w:val="en-US"/>
        </w:rPr>
      </w:pPr>
    </w:p>
    <w:p w:rsidR="003B5186" w:rsidRPr="00AC2FAD" w:rsidRDefault="008B427E" w:rsidP="008B427E">
      <w:pPr>
        <w:jc w:val="right"/>
        <w:rPr>
          <w:lang w:val="en-US"/>
        </w:rPr>
      </w:pPr>
      <w:r w:rsidRPr="00AC2FAD">
        <w:rPr>
          <w:lang w:val="en-US"/>
        </w:rPr>
        <w:t>July 2015</w:t>
      </w:r>
    </w:p>
    <w:p w:rsidR="003B5186" w:rsidRPr="00AC2FAD" w:rsidRDefault="003B5186" w:rsidP="003B5186">
      <w:pPr>
        <w:rPr>
          <w:lang w:val="en-US"/>
        </w:rPr>
      </w:pPr>
    </w:p>
    <w:p w:rsidR="003B5186" w:rsidRPr="00AC2FAD" w:rsidRDefault="003B5186" w:rsidP="003B5186">
      <w:pPr>
        <w:rPr>
          <w:lang w:val="en-US"/>
        </w:rPr>
      </w:pPr>
    </w:p>
    <w:p w:rsidR="003B5186" w:rsidRPr="00AC2FAD" w:rsidRDefault="003B5186" w:rsidP="003B5186">
      <w:pPr>
        <w:rPr>
          <w:lang w:val="en-US"/>
        </w:rPr>
      </w:pPr>
      <w:r w:rsidRPr="00AC2FAD">
        <w:rPr>
          <w:rFonts w:cs="Lato-Regular"/>
          <w:color w:val="00607B"/>
          <w:sz w:val="40"/>
          <w:szCs w:val="40"/>
          <w:lang w:val="en-US" w:eastAsia="fr-FR"/>
        </w:rPr>
        <w:t>“</w:t>
      </w:r>
      <w:r w:rsidRPr="00AC2FAD">
        <w:rPr>
          <w:rFonts w:cs="Lato-Regular"/>
          <w:i/>
          <w:color w:val="00607B"/>
          <w:sz w:val="40"/>
          <w:szCs w:val="40"/>
          <w:lang w:val="en-US" w:eastAsia="fr-FR"/>
        </w:rPr>
        <w:t>Voting shares is a clear positive contribution to wealth creation</w:t>
      </w:r>
      <w:r w:rsidRPr="00AC2FAD">
        <w:rPr>
          <w:rFonts w:cs="Lato-Regular"/>
          <w:color w:val="00607B"/>
          <w:sz w:val="40"/>
          <w:szCs w:val="40"/>
          <w:lang w:val="en-US" w:eastAsia="fr-FR"/>
        </w:rPr>
        <w:t>”</w:t>
      </w:r>
    </w:p>
    <w:p w:rsidR="000B4787" w:rsidRDefault="000B4787">
      <w:pPr>
        <w:rPr>
          <w:b/>
          <w:sz w:val="28"/>
          <w:szCs w:val="28"/>
          <w:lang w:val="en-US"/>
        </w:rPr>
      </w:pPr>
      <w:r>
        <w:rPr>
          <w:b/>
          <w:sz w:val="28"/>
          <w:szCs w:val="28"/>
          <w:lang w:val="en-US"/>
        </w:rPr>
        <w:br w:type="page"/>
      </w:r>
    </w:p>
    <w:p w:rsidR="00E45B5C" w:rsidRPr="00AC2FAD" w:rsidRDefault="00E45B5C" w:rsidP="008B427E">
      <w:pPr>
        <w:rPr>
          <w:b/>
          <w:sz w:val="28"/>
          <w:szCs w:val="28"/>
          <w:lang w:val="en-US"/>
        </w:rPr>
      </w:pPr>
      <w:r w:rsidRPr="00AC2FAD">
        <w:rPr>
          <w:b/>
          <w:sz w:val="28"/>
          <w:szCs w:val="28"/>
          <w:lang w:val="en-US"/>
        </w:rPr>
        <w:lastRenderedPageBreak/>
        <w:t>About Proxinvest</w:t>
      </w:r>
    </w:p>
    <w:p w:rsidR="00E45B5C" w:rsidRPr="00AC2FAD" w:rsidRDefault="00E45B5C" w:rsidP="00E45B5C">
      <w:pPr>
        <w:pStyle w:val="NormalWeb"/>
        <w:shd w:val="clear" w:color="auto" w:fill="FFFFFF"/>
        <w:spacing w:before="0" w:beforeAutospacing="0" w:after="0" w:afterAutospacing="0" w:line="315" w:lineRule="atLeast"/>
        <w:jc w:val="both"/>
        <w:textAlignment w:val="baseline"/>
        <w:rPr>
          <w:rFonts w:asciiTheme="minorHAnsi" w:hAnsiTheme="minorHAnsi" w:cs="Arial"/>
          <w:sz w:val="22"/>
          <w:szCs w:val="22"/>
          <w:lang w:val="en-US"/>
        </w:rPr>
      </w:pPr>
      <w:r w:rsidRPr="00AC2FAD">
        <w:rPr>
          <w:rFonts w:asciiTheme="minorHAnsi" w:hAnsiTheme="minorHAnsi" w:cs="Arial"/>
          <w:sz w:val="22"/>
          <w:szCs w:val="22"/>
          <w:lang w:val="en-US"/>
        </w:rPr>
        <w:t xml:space="preserve">Founded in 1995 Proxinvest is </w:t>
      </w:r>
      <w:r w:rsidR="00A75956" w:rsidRPr="00AC2FAD">
        <w:rPr>
          <w:rFonts w:asciiTheme="minorHAnsi" w:hAnsiTheme="minorHAnsi" w:cs="Arial"/>
          <w:sz w:val="22"/>
          <w:szCs w:val="22"/>
          <w:lang w:val="en-US"/>
        </w:rPr>
        <w:t>an</w:t>
      </w:r>
      <w:r w:rsidRPr="00AC2FAD">
        <w:rPr>
          <w:rFonts w:asciiTheme="minorHAnsi" w:hAnsiTheme="minorHAnsi" w:cs="Arial"/>
          <w:sz w:val="22"/>
          <w:szCs w:val="22"/>
          <w:lang w:val="en-US"/>
        </w:rPr>
        <w:t xml:space="preserve"> independent firm supporting the engagement and proxy analysis processes of </w:t>
      </w:r>
      <w:proofErr w:type="gramStart"/>
      <w:r w:rsidRPr="00AC2FAD">
        <w:rPr>
          <w:rFonts w:asciiTheme="minorHAnsi" w:hAnsiTheme="minorHAnsi" w:cs="Arial"/>
          <w:sz w:val="22"/>
          <w:szCs w:val="22"/>
          <w:lang w:val="en-US"/>
        </w:rPr>
        <w:t>investors.</w:t>
      </w:r>
      <w:proofErr w:type="gramEnd"/>
    </w:p>
    <w:p w:rsidR="00E45B5C" w:rsidRPr="00AC2FAD" w:rsidRDefault="00E45B5C" w:rsidP="00E45B5C">
      <w:pPr>
        <w:pStyle w:val="NormalWeb"/>
        <w:shd w:val="clear" w:color="auto" w:fill="FFFFFF"/>
        <w:spacing w:before="384" w:beforeAutospacing="0" w:after="384" w:afterAutospacing="0" w:line="315" w:lineRule="atLeast"/>
        <w:jc w:val="both"/>
        <w:textAlignment w:val="baseline"/>
        <w:rPr>
          <w:rFonts w:asciiTheme="minorHAnsi" w:hAnsiTheme="minorHAnsi" w:cs="Arial"/>
          <w:sz w:val="22"/>
          <w:szCs w:val="22"/>
          <w:lang w:val="en-US"/>
        </w:rPr>
      </w:pPr>
      <w:proofErr w:type="spellStart"/>
      <w:r w:rsidRPr="00AC2FAD">
        <w:rPr>
          <w:rFonts w:asciiTheme="minorHAnsi" w:hAnsiTheme="minorHAnsi" w:cs="Arial"/>
          <w:sz w:val="22"/>
          <w:szCs w:val="22"/>
          <w:lang w:val="en-US"/>
        </w:rPr>
        <w:t>Proxinvest</w:t>
      </w:r>
      <w:r w:rsidR="00E8516F" w:rsidRPr="00AC2FAD">
        <w:rPr>
          <w:rFonts w:asciiTheme="minorHAnsi" w:hAnsiTheme="minorHAnsi" w:cs="Arial"/>
          <w:sz w:val="22"/>
          <w:szCs w:val="22"/>
          <w:lang w:val="en-US"/>
        </w:rPr>
        <w:t>’s</w:t>
      </w:r>
      <w:proofErr w:type="spellEnd"/>
      <w:r w:rsidRPr="00AC2FAD">
        <w:rPr>
          <w:rFonts w:asciiTheme="minorHAnsi" w:hAnsiTheme="minorHAnsi" w:cs="Arial"/>
          <w:sz w:val="22"/>
          <w:szCs w:val="22"/>
          <w:lang w:val="en-US"/>
        </w:rPr>
        <w:t xml:space="preserve"> mission is to </w:t>
      </w:r>
      <w:proofErr w:type="spellStart"/>
      <w:r w:rsidRPr="00AC2FAD">
        <w:rPr>
          <w:rFonts w:asciiTheme="minorHAnsi" w:hAnsiTheme="minorHAnsi" w:cs="Arial"/>
          <w:sz w:val="22"/>
          <w:szCs w:val="22"/>
          <w:lang w:val="en-US"/>
        </w:rPr>
        <w:t>analyse</w:t>
      </w:r>
      <w:proofErr w:type="spellEnd"/>
      <w:r w:rsidRPr="00AC2FAD">
        <w:rPr>
          <w:rFonts w:asciiTheme="minorHAnsi" w:hAnsiTheme="minorHAnsi" w:cs="Arial"/>
          <w:sz w:val="22"/>
          <w:szCs w:val="22"/>
          <w:lang w:val="en-US"/>
        </w:rPr>
        <w:t xml:space="preserve"> corporate governance practices and resolutions proposed at general meetings </w:t>
      </w:r>
      <w:proofErr w:type="gramStart"/>
      <w:r w:rsidRPr="00AC2FAD">
        <w:rPr>
          <w:rFonts w:asciiTheme="minorHAnsi" w:hAnsiTheme="minorHAnsi" w:cs="Arial"/>
          <w:sz w:val="22"/>
          <w:szCs w:val="22"/>
          <w:lang w:val="en-US"/>
        </w:rPr>
        <w:t>of</w:t>
      </w:r>
      <w:r w:rsidR="00087D54">
        <w:rPr>
          <w:rFonts w:asciiTheme="minorHAnsi" w:hAnsiTheme="minorHAnsi" w:cs="Arial"/>
          <w:sz w:val="22"/>
          <w:szCs w:val="22"/>
          <w:lang w:val="en-US"/>
        </w:rPr>
        <w:t xml:space="preserve"> </w:t>
      </w:r>
      <w:r w:rsidR="00E8516F" w:rsidRPr="00AC2FAD">
        <w:rPr>
          <w:rFonts w:asciiTheme="minorHAnsi" w:hAnsiTheme="minorHAnsi" w:cs="Arial"/>
          <w:sz w:val="22"/>
          <w:szCs w:val="22"/>
          <w:lang w:val="en-US"/>
        </w:rPr>
        <w:t xml:space="preserve"> </w:t>
      </w:r>
      <w:r w:rsidRPr="00AC2FAD">
        <w:rPr>
          <w:rFonts w:asciiTheme="minorHAnsi" w:hAnsiTheme="minorHAnsi" w:cs="Arial"/>
          <w:sz w:val="22"/>
          <w:szCs w:val="22"/>
          <w:lang w:val="en-US"/>
        </w:rPr>
        <w:t>listed</w:t>
      </w:r>
      <w:proofErr w:type="gramEnd"/>
      <w:r w:rsidRPr="00AC2FAD">
        <w:rPr>
          <w:rFonts w:asciiTheme="minorHAnsi" w:hAnsiTheme="minorHAnsi" w:cs="Arial"/>
          <w:sz w:val="22"/>
          <w:szCs w:val="22"/>
          <w:lang w:val="en-US"/>
        </w:rPr>
        <w:t xml:space="preserve"> firms</w:t>
      </w:r>
      <w:r w:rsidR="00087D54">
        <w:rPr>
          <w:rFonts w:asciiTheme="minorHAnsi" w:hAnsiTheme="minorHAnsi" w:cs="Arial"/>
          <w:sz w:val="22"/>
          <w:szCs w:val="22"/>
          <w:lang w:val="en-US"/>
        </w:rPr>
        <w:t xml:space="preserve"> of the French and international stock markets.</w:t>
      </w:r>
      <w:r w:rsidRPr="00AC2FAD">
        <w:rPr>
          <w:rFonts w:asciiTheme="minorHAnsi" w:hAnsiTheme="minorHAnsi" w:cs="Arial"/>
          <w:sz w:val="22"/>
          <w:szCs w:val="22"/>
          <w:lang w:val="en-US"/>
        </w:rPr>
        <w:t>.</w:t>
      </w:r>
    </w:p>
    <w:p w:rsidR="00E45B5C" w:rsidRPr="00AC2FAD" w:rsidRDefault="00E45B5C" w:rsidP="00E45B5C">
      <w:pPr>
        <w:pStyle w:val="NormalWeb"/>
        <w:shd w:val="clear" w:color="auto" w:fill="FFFFFF"/>
        <w:spacing w:before="384" w:beforeAutospacing="0" w:after="384" w:afterAutospacing="0" w:line="315" w:lineRule="atLeast"/>
        <w:jc w:val="both"/>
        <w:textAlignment w:val="baseline"/>
        <w:rPr>
          <w:rFonts w:asciiTheme="minorHAnsi" w:hAnsiTheme="minorHAnsi" w:cs="Arial"/>
          <w:sz w:val="22"/>
          <w:szCs w:val="22"/>
          <w:lang w:val="en-US"/>
        </w:rPr>
      </w:pPr>
      <w:r w:rsidRPr="00AC2FAD">
        <w:rPr>
          <w:rFonts w:asciiTheme="minorHAnsi" w:hAnsiTheme="minorHAnsi" w:cs="Arial"/>
          <w:sz w:val="22"/>
          <w:szCs w:val="22"/>
          <w:lang w:val="en-US"/>
        </w:rPr>
        <w:t>Proxinvest</w:t>
      </w:r>
      <w:r w:rsidR="00A75956" w:rsidRPr="00AC2FAD">
        <w:rPr>
          <w:rFonts w:asciiTheme="minorHAnsi" w:hAnsiTheme="minorHAnsi" w:cs="Arial"/>
          <w:sz w:val="22"/>
          <w:szCs w:val="22"/>
          <w:lang w:val="en-US"/>
        </w:rPr>
        <w:t xml:space="preserve"> </w:t>
      </w:r>
      <w:r w:rsidRPr="00AC2FAD">
        <w:rPr>
          <w:rFonts w:asciiTheme="minorHAnsi" w:hAnsiTheme="minorHAnsi" w:cs="Arial"/>
          <w:sz w:val="22"/>
          <w:szCs w:val="22"/>
          <w:lang w:val="en-US"/>
        </w:rPr>
        <w:t>has been a pioneer and champio</w:t>
      </w:r>
      <w:r w:rsidR="00087D54">
        <w:rPr>
          <w:rFonts w:asciiTheme="minorHAnsi" w:hAnsiTheme="minorHAnsi" w:cs="Arial"/>
          <w:sz w:val="22"/>
          <w:szCs w:val="22"/>
          <w:lang w:val="en-US"/>
        </w:rPr>
        <w:t xml:space="preserve">n of good corporate </w:t>
      </w:r>
      <w:proofErr w:type="gramStart"/>
      <w:r w:rsidR="00087D54">
        <w:rPr>
          <w:rFonts w:asciiTheme="minorHAnsi" w:hAnsiTheme="minorHAnsi" w:cs="Arial"/>
          <w:sz w:val="22"/>
          <w:szCs w:val="22"/>
          <w:lang w:val="en-US"/>
        </w:rPr>
        <w:t xml:space="preserve">governance </w:t>
      </w:r>
      <w:r w:rsidRPr="00AC2FAD">
        <w:rPr>
          <w:rFonts w:asciiTheme="minorHAnsi" w:hAnsiTheme="minorHAnsi" w:cs="Arial"/>
          <w:sz w:val="22"/>
          <w:szCs w:val="22"/>
          <w:lang w:val="en-US"/>
        </w:rPr>
        <w:t> and</w:t>
      </w:r>
      <w:proofErr w:type="gramEnd"/>
      <w:r w:rsidRPr="00AC2FAD">
        <w:rPr>
          <w:rFonts w:asciiTheme="minorHAnsi" w:hAnsiTheme="minorHAnsi" w:cs="Arial"/>
          <w:sz w:val="22"/>
          <w:szCs w:val="22"/>
          <w:lang w:val="en-US"/>
        </w:rPr>
        <w:t xml:space="preserve"> has grown into a </w:t>
      </w:r>
      <w:proofErr w:type="spellStart"/>
      <w:r w:rsidRPr="00AC2FAD">
        <w:rPr>
          <w:rFonts w:asciiTheme="minorHAnsi" w:hAnsiTheme="minorHAnsi" w:cs="Arial"/>
          <w:sz w:val="22"/>
          <w:szCs w:val="22"/>
          <w:lang w:val="en-US"/>
        </w:rPr>
        <w:t>recognised</w:t>
      </w:r>
      <w:proofErr w:type="spellEnd"/>
      <w:r w:rsidRPr="00AC2FAD">
        <w:rPr>
          <w:rFonts w:asciiTheme="minorHAnsi" w:hAnsiTheme="minorHAnsi" w:cs="Arial"/>
          <w:sz w:val="22"/>
          <w:szCs w:val="22"/>
          <w:lang w:val="en-US"/>
        </w:rPr>
        <w:t xml:space="preserve"> expert in the field.</w:t>
      </w:r>
    </w:p>
    <w:p w:rsidR="00E45B5C" w:rsidRPr="00AC2FAD" w:rsidRDefault="00E45B5C" w:rsidP="00E45B5C">
      <w:pPr>
        <w:pStyle w:val="NormalWeb"/>
        <w:shd w:val="clear" w:color="auto" w:fill="FFFFFF"/>
        <w:spacing w:before="0" w:beforeAutospacing="0" w:after="0" w:afterAutospacing="0" w:line="315" w:lineRule="atLeast"/>
        <w:jc w:val="both"/>
        <w:textAlignment w:val="baseline"/>
        <w:rPr>
          <w:rFonts w:asciiTheme="minorHAnsi" w:hAnsiTheme="minorHAnsi" w:cs="Arial"/>
          <w:sz w:val="22"/>
          <w:szCs w:val="22"/>
          <w:lang w:val="en-US"/>
        </w:rPr>
      </w:pPr>
      <w:r w:rsidRPr="00AC2FAD">
        <w:rPr>
          <w:rFonts w:asciiTheme="minorHAnsi" w:hAnsiTheme="minorHAnsi" w:cs="Arial"/>
          <w:sz w:val="22"/>
          <w:szCs w:val="22"/>
          <w:lang w:val="en-US"/>
        </w:rPr>
        <w:t>To provide its clients with the coverage and local expertise required for engagement and proxy voting activities, Proxinvest founded </w:t>
      </w:r>
      <w:hyperlink r:id="rId10" w:tgtFrame="_blank" w:history="1">
        <w:r w:rsidRPr="00AC2FAD">
          <w:rPr>
            <w:rStyle w:val="Lienhypertexte"/>
            <w:rFonts w:asciiTheme="minorHAnsi" w:hAnsiTheme="minorHAnsi" w:cs="Arial"/>
            <w:color w:val="0066CC"/>
            <w:sz w:val="22"/>
            <w:szCs w:val="22"/>
            <w:bdr w:val="none" w:sz="0" w:space="0" w:color="auto" w:frame="1"/>
            <w:lang w:val="en-US"/>
          </w:rPr>
          <w:t>Expert Corporate Governance Service</w:t>
        </w:r>
      </w:hyperlink>
      <w:r w:rsidRPr="00AC2FAD">
        <w:rPr>
          <w:rFonts w:asciiTheme="minorHAnsi" w:hAnsiTheme="minorHAnsi" w:cs="Arial"/>
          <w:color w:val="555555"/>
          <w:sz w:val="22"/>
          <w:szCs w:val="22"/>
          <w:lang w:val="en-US"/>
        </w:rPr>
        <w:t> (</w:t>
      </w:r>
      <w:r w:rsidRPr="00AC2FAD">
        <w:rPr>
          <w:rFonts w:asciiTheme="minorHAnsi" w:hAnsiTheme="minorHAnsi" w:cs="Arial"/>
          <w:sz w:val="22"/>
          <w:szCs w:val="22"/>
          <w:lang w:val="en-US"/>
        </w:rPr>
        <w:t xml:space="preserve">ECGS Ltd) with several country experts </w:t>
      </w:r>
      <w:r w:rsidR="00E8516F" w:rsidRPr="00AC2FAD">
        <w:rPr>
          <w:rFonts w:asciiTheme="minorHAnsi" w:hAnsiTheme="minorHAnsi" w:cs="Arial"/>
          <w:sz w:val="22"/>
          <w:szCs w:val="22"/>
          <w:lang w:val="en-US"/>
        </w:rPr>
        <w:t>with signi</w:t>
      </w:r>
      <w:r w:rsidR="00A75956" w:rsidRPr="00AC2FAD">
        <w:rPr>
          <w:rFonts w:asciiTheme="minorHAnsi" w:hAnsiTheme="minorHAnsi" w:cs="Arial"/>
          <w:sz w:val="22"/>
          <w:szCs w:val="22"/>
          <w:lang w:val="en-US"/>
        </w:rPr>
        <w:t>fi</w:t>
      </w:r>
      <w:r w:rsidR="00E8516F" w:rsidRPr="00AC2FAD">
        <w:rPr>
          <w:rFonts w:asciiTheme="minorHAnsi" w:hAnsiTheme="minorHAnsi" w:cs="Arial"/>
          <w:sz w:val="22"/>
          <w:szCs w:val="22"/>
          <w:lang w:val="en-US"/>
        </w:rPr>
        <w:t xml:space="preserve">cant governance </w:t>
      </w:r>
      <w:r w:rsidR="00A75956" w:rsidRPr="00AC2FAD">
        <w:rPr>
          <w:rFonts w:asciiTheme="minorHAnsi" w:hAnsiTheme="minorHAnsi" w:cs="Arial"/>
          <w:sz w:val="22"/>
          <w:szCs w:val="22"/>
          <w:lang w:val="en-US"/>
        </w:rPr>
        <w:t>expertise</w:t>
      </w:r>
      <w:r w:rsidR="00E8516F" w:rsidRPr="00AC2FAD">
        <w:rPr>
          <w:rFonts w:asciiTheme="minorHAnsi" w:hAnsiTheme="minorHAnsi" w:cs="Arial"/>
          <w:sz w:val="22"/>
          <w:szCs w:val="22"/>
          <w:lang w:val="en-US"/>
        </w:rPr>
        <w:t>.</w:t>
      </w:r>
      <w:r w:rsidRPr="00AC2FAD">
        <w:rPr>
          <w:rFonts w:asciiTheme="minorHAnsi" w:hAnsiTheme="minorHAnsi" w:cs="Arial"/>
          <w:sz w:val="22"/>
          <w:szCs w:val="22"/>
          <w:lang w:val="en-US"/>
        </w:rPr>
        <w:t xml:space="preserve"> </w:t>
      </w:r>
      <w:r w:rsidR="00E8516F" w:rsidRPr="00AC2FAD">
        <w:rPr>
          <w:rFonts w:asciiTheme="minorHAnsi" w:hAnsiTheme="minorHAnsi" w:cs="Arial"/>
          <w:sz w:val="22"/>
          <w:szCs w:val="22"/>
          <w:lang w:val="en-US"/>
        </w:rPr>
        <w:t xml:space="preserve">The </w:t>
      </w:r>
      <w:r w:rsidRPr="00AC2FAD">
        <w:rPr>
          <w:rFonts w:asciiTheme="minorHAnsi" w:hAnsiTheme="minorHAnsi" w:cs="Arial"/>
          <w:sz w:val="22"/>
          <w:szCs w:val="22"/>
          <w:lang w:val="en-US"/>
        </w:rPr>
        <w:t xml:space="preserve">ECGS partners </w:t>
      </w:r>
      <w:r w:rsidR="00E8516F" w:rsidRPr="00AC2FAD">
        <w:rPr>
          <w:rFonts w:asciiTheme="minorHAnsi" w:hAnsiTheme="minorHAnsi" w:cs="Arial"/>
          <w:sz w:val="22"/>
          <w:szCs w:val="22"/>
          <w:lang w:val="en-US"/>
        </w:rPr>
        <w:t xml:space="preserve">have </w:t>
      </w:r>
      <w:r w:rsidRPr="00AC2FAD">
        <w:rPr>
          <w:rFonts w:asciiTheme="minorHAnsi" w:hAnsiTheme="minorHAnsi" w:cs="Arial"/>
          <w:sz w:val="22"/>
          <w:szCs w:val="22"/>
          <w:lang w:val="en-US"/>
        </w:rPr>
        <w:t>define</w:t>
      </w:r>
      <w:r w:rsidR="00E8516F" w:rsidRPr="00AC2FAD">
        <w:rPr>
          <w:rFonts w:asciiTheme="minorHAnsi" w:hAnsiTheme="minorHAnsi" w:cs="Arial"/>
          <w:sz w:val="22"/>
          <w:szCs w:val="22"/>
          <w:lang w:val="en-US"/>
        </w:rPr>
        <w:t>d</w:t>
      </w:r>
      <w:r w:rsidRPr="00AC2FAD">
        <w:rPr>
          <w:rFonts w:asciiTheme="minorHAnsi" w:hAnsiTheme="minorHAnsi" w:cs="Arial"/>
          <w:sz w:val="22"/>
          <w:szCs w:val="22"/>
          <w:lang w:val="en-US"/>
        </w:rPr>
        <w:t xml:space="preserve"> and </w:t>
      </w:r>
      <w:proofErr w:type="gramStart"/>
      <w:r w:rsidRPr="00AC2FAD">
        <w:rPr>
          <w:rFonts w:asciiTheme="minorHAnsi" w:hAnsiTheme="minorHAnsi" w:cs="Arial"/>
          <w:sz w:val="22"/>
          <w:szCs w:val="22"/>
          <w:lang w:val="en-US"/>
        </w:rPr>
        <w:t>share</w:t>
      </w:r>
      <w:r w:rsidR="00E8516F" w:rsidRPr="00AC2FAD">
        <w:rPr>
          <w:rFonts w:asciiTheme="minorHAnsi" w:hAnsiTheme="minorHAnsi" w:cs="Arial"/>
          <w:sz w:val="22"/>
          <w:szCs w:val="22"/>
          <w:lang w:val="en-US"/>
        </w:rPr>
        <w:t>d</w:t>
      </w:r>
      <w:r w:rsidRPr="00AC2FAD">
        <w:rPr>
          <w:rFonts w:asciiTheme="minorHAnsi" w:hAnsiTheme="minorHAnsi" w:cs="Arial"/>
          <w:sz w:val="22"/>
          <w:szCs w:val="22"/>
          <w:lang w:val="en-US"/>
        </w:rPr>
        <w:t xml:space="preserve">  common</w:t>
      </w:r>
      <w:proofErr w:type="gramEnd"/>
      <w:r w:rsidRPr="00AC2FAD">
        <w:rPr>
          <w:rFonts w:asciiTheme="minorHAnsi" w:hAnsiTheme="minorHAnsi" w:cs="Arial"/>
          <w:sz w:val="22"/>
          <w:szCs w:val="22"/>
          <w:lang w:val="en-US"/>
        </w:rPr>
        <w:t xml:space="preserve"> corporate governance principles </w:t>
      </w:r>
      <w:r w:rsidR="00E8516F" w:rsidRPr="00AC2FAD">
        <w:rPr>
          <w:rFonts w:asciiTheme="minorHAnsi" w:hAnsiTheme="minorHAnsi" w:cs="Arial"/>
          <w:sz w:val="22"/>
          <w:szCs w:val="22"/>
          <w:lang w:val="en-US"/>
        </w:rPr>
        <w:t xml:space="preserve">which are </w:t>
      </w:r>
      <w:r w:rsidR="00A75956" w:rsidRPr="00AC2FAD">
        <w:rPr>
          <w:rFonts w:asciiTheme="minorHAnsi" w:hAnsiTheme="minorHAnsi" w:cs="Arial"/>
          <w:sz w:val="22"/>
          <w:szCs w:val="22"/>
          <w:lang w:val="en-US"/>
        </w:rPr>
        <w:t>adapted</w:t>
      </w:r>
      <w:r w:rsidR="00E8516F" w:rsidRPr="00AC2FAD">
        <w:rPr>
          <w:rFonts w:asciiTheme="minorHAnsi" w:hAnsiTheme="minorHAnsi" w:cs="Arial"/>
          <w:sz w:val="22"/>
          <w:szCs w:val="22"/>
          <w:lang w:val="en-US"/>
        </w:rPr>
        <w:t xml:space="preserve"> to accommodate local market specificities. </w:t>
      </w:r>
      <w:r w:rsidRPr="00AC2FAD">
        <w:rPr>
          <w:rFonts w:asciiTheme="minorHAnsi" w:hAnsiTheme="minorHAnsi" w:cs="Arial"/>
          <w:sz w:val="22"/>
          <w:szCs w:val="22"/>
          <w:lang w:val="en-US"/>
        </w:rPr>
        <w:t>Every ECGS partner is</w:t>
      </w:r>
      <w:r w:rsidR="00E8516F" w:rsidRPr="00AC2FAD">
        <w:rPr>
          <w:rFonts w:asciiTheme="minorHAnsi" w:hAnsiTheme="minorHAnsi" w:cs="Arial"/>
          <w:sz w:val="22"/>
          <w:szCs w:val="22"/>
          <w:lang w:val="en-US"/>
        </w:rPr>
        <w:t xml:space="preserve"> an</w:t>
      </w:r>
      <w:r w:rsidRPr="00AC2FAD">
        <w:rPr>
          <w:rFonts w:asciiTheme="minorHAnsi" w:hAnsiTheme="minorHAnsi" w:cs="Arial"/>
          <w:sz w:val="22"/>
          <w:szCs w:val="22"/>
          <w:lang w:val="en-US"/>
        </w:rPr>
        <w:t xml:space="preserve"> independent, engaged, specialist of its home market and brings its local expertise and monitoring to the other partners and to clients., Proxinvest and ECGS </w:t>
      </w:r>
      <w:r w:rsidR="00E8516F" w:rsidRPr="00AC2FAD">
        <w:rPr>
          <w:rFonts w:asciiTheme="minorHAnsi" w:hAnsiTheme="minorHAnsi" w:cs="Arial"/>
          <w:sz w:val="22"/>
          <w:szCs w:val="22"/>
          <w:lang w:val="en-US"/>
        </w:rPr>
        <w:t xml:space="preserve">therefore </w:t>
      </w:r>
      <w:r w:rsidRPr="00AC2FAD">
        <w:rPr>
          <w:rFonts w:asciiTheme="minorHAnsi" w:hAnsiTheme="minorHAnsi" w:cs="Arial"/>
          <w:sz w:val="22"/>
          <w:szCs w:val="22"/>
          <w:lang w:val="en-US"/>
        </w:rPr>
        <w:t xml:space="preserve">provide investors with a unique service </w:t>
      </w:r>
      <w:r w:rsidR="00E8516F" w:rsidRPr="00AC2FAD">
        <w:rPr>
          <w:rFonts w:asciiTheme="minorHAnsi" w:hAnsiTheme="minorHAnsi" w:cs="Arial"/>
          <w:sz w:val="22"/>
          <w:szCs w:val="22"/>
          <w:lang w:val="en-US"/>
        </w:rPr>
        <w:t xml:space="preserve">which </w:t>
      </w:r>
      <w:r w:rsidR="00087D54" w:rsidRPr="00AC2FAD">
        <w:rPr>
          <w:rFonts w:asciiTheme="minorHAnsi" w:hAnsiTheme="minorHAnsi" w:cs="Arial"/>
          <w:sz w:val="22"/>
          <w:szCs w:val="22"/>
          <w:lang w:val="en-US"/>
        </w:rPr>
        <w:t>avoids</w:t>
      </w:r>
      <w:r w:rsidRPr="00AC2FAD">
        <w:rPr>
          <w:rFonts w:asciiTheme="minorHAnsi" w:hAnsiTheme="minorHAnsi" w:cs="Arial"/>
          <w:sz w:val="22"/>
          <w:szCs w:val="22"/>
          <w:lang w:val="en-US"/>
        </w:rPr>
        <w:t xml:space="preserve"> </w:t>
      </w:r>
      <w:r w:rsidR="00BC27B0" w:rsidRPr="00AC2FAD">
        <w:rPr>
          <w:rFonts w:asciiTheme="minorHAnsi" w:hAnsiTheme="minorHAnsi" w:cs="Arial"/>
          <w:sz w:val="22"/>
          <w:szCs w:val="22"/>
          <w:lang w:val="en-US"/>
        </w:rPr>
        <w:t>a</w:t>
      </w:r>
      <w:r w:rsidRPr="00AC2FAD">
        <w:rPr>
          <w:rFonts w:asciiTheme="minorHAnsi" w:hAnsiTheme="minorHAnsi" w:cs="Arial"/>
          <w:sz w:val="22"/>
          <w:szCs w:val="22"/>
          <w:lang w:val="en-US"/>
        </w:rPr>
        <w:t xml:space="preserve"> global </w:t>
      </w:r>
      <w:r w:rsidR="00E8516F" w:rsidRPr="00AC2FAD">
        <w:rPr>
          <w:rFonts w:asciiTheme="minorHAnsi" w:hAnsiTheme="minorHAnsi" w:cs="Arial"/>
          <w:sz w:val="22"/>
          <w:szCs w:val="22"/>
          <w:lang w:val="en-US"/>
        </w:rPr>
        <w:t xml:space="preserve">“one size fits all” </w:t>
      </w:r>
      <w:r w:rsidRPr="00AC2FAD">
        <w:rPr>
          <w:rFonts w:asciiTheme="minorHAnsi" w:hAnsiTheme="minorHAnsi" w:cs="Arial"/>
          <w:sz w:val="22"/>
          <w:szCs w:val="22"/>
          <w:lang w:val="en-US"/>
        </w:rPr>
        <w:t>box-ticking approach</w:t>
      </w:r>
      <w:proofErr w:type="gramStart"/>
      <w:r w:rsidRPr="00AC2FAD">
        <w:rPr>
          <w:rFonts w:asciiTheme="minorHAnsi" w:hAnsiTheme="minorHAnsi" w:cs="Arial"/>
          <w:sz w:val="22"/>
          <w:szCs w:val="22"/>
          <w:lang w:val="en-US"/>
        </w:rPr>
        <w:t xml:space="preserve">  </w:t>
      </w:r>
      <w:r w:rsidR="00087D54">
        <w:rPr>
          <w:rFonts w:asciiTheme="minorHAnsi" w:hAnsiTheme="minorHAnsi" w:cs="Arial"/>
          <w:sz w:val="22"/>
          <w:szCs w:val="22"/>
          <w:lang w:val="en-US"/>
        </w:rPr>
        <w:t>and</w:t>
      </w:r>
      <w:proofErr w:type="gramEnd"/>
      <w:r w:rsidR="00087D54">
        <w:rPr>
          <w:rFonts w:asciiTheme="minorHAnsi" w:hAnsiTheme="minorHAnsi" w:cs="Arial"/>
          <w:sz w:val="22"/>
          <w:szCs w:val="22"/>
          <w:lang w:val="en-US"/>
        </w:rPr>
        <w:t xml:space="preserve"> </w:t>
      </w:r>
      <w:r w:rsidRPr="00AC2FAD">
        <w:rPr>
          <w:rFonts w:asciiTheme="minorHAnsi" w:hAnsiTheme="minorHAnsi" w:cs="Arial"/>
          <w:sz w:val="22"/>
          <w:szCs w:val="22"/>
          <w:lang w:val="en-US"/>
        </w:rPr>
        <w:t>cove</w:t>
      </w:r>
      <w:r w:rsidR="00087D54">
        <w:rPr>
          <w:rFonts w:asciiTheme="minorHAnsi" w:hAnsiTheme="minorHAnsi" w:cs="Arial"/>
          <w:sz w:val="22"/>
          <w:szCs w:val="22"/>
          <w:lang w:val="en-US"/>
        </w:rPr>
        <w:t xml:space="preserve"> thanks to the association of local independent players a</w:t>
      </w:r>
      <w:r w:rsidRPr="00AC2FAD">
        <w:rPr>
          <w:rFonts w:asciiTheme="minorHAnsi" w:hAnsiTheme="minorHAnsi" w:cs="Arial"/>
          <w:sz w:val="22"/>
          <w:szCs w:val="22"/>
          <w:lang w:val="en-US"/>
        </w:rPr>
        <w:t xml:space="preserve"> </w:t>
      </w:r>
      <w:r w:rsidR="00E8516F" w:rsidRPr="00AC2FAD">
        <w:rPr>
          <w:rFonts w:asciiTheme="minorHAnsi" w:hAnsiTheme="minorHAnsi" w:cs="Arial"/>
          <w:sz w:val="22"/>
          <w:szCs w:val="22"/>
          <w:lang w:val="en-US"/>
        </w:rPr>
        <w:t xml:space="preserve">significant majority of the </w:t>
      </w:r>
      <w:r w:rsidR="00087D54">
        <w:rPr>
          <w:rFonts w:asciiTheme="minorHAnsi" w:hAnsiTheme="minorHAnsi" w:cs="Arial"/>
          <w:sz w:val="22"/>
          <w:szCs w:val="22"/>
          <w:lang w:val="en-US"/>
        </w:rPr>
        <w:t xml:space="preserve">listed stocks held by most </w:t>
      </w:r>
      <w:r w:rsidRPr="00AC2FAD">
        <w:rPr>
          <w:rFonts w:asciiTheme="minorHAnsi" w:hAnsiTheme="minorHAnsi" w:cs="Arial"/>
          <w:sz w:val="22"/>
          <w:szCs w:val="22"/>
          <w:lang w:val="en-US"/>
        </w:rPr>
        <w:t>equity</w:t>
      </w:r>
      <w:r w:rsidR="00087D54">
        <w:rPr>
          <w:rFonts w:asciiTheme="minorHAnsi" w:hAnsiTheme="minorHAnsi" w:cs="Arial"/>
          <w:sz w:val="22"/>
          <w:szCs w:val="22"/>
          <w:lang w:val="en-US"/>
        </w:rPr>
        <w:t xml:space="preserve"> portfolios</w:t>
      </w:r>
      <w:r w:rsidRPr="00AC2FAD">
        <w:rPr>
          <w:rFonts w:asciiTheme="minorHAnsi" w:hAnsiTheme="minorHAnsi" w:cs="Arial"/>
          <w:sz w:val="22"/>
          <w:szCs w:val="22"/>
          <w:lang w:val="en-US"/>
        </w:rPr>
        <w:t> .</w:t>
      </w:r>
    </w:p>
    <w:p w:rsidR="00E45B5C" w:rsidRPr="00AC2FAD" w:rsidRDefault="00E45B5C" w:rsidP="00E45B5C">
      <w:pPr>
        <w:pStyle w:val="NormalWeb"/>
        <w:shd w:val="clear" w:color="auto" w:fill="FFFFFF"/>
        <w:spacing w:before="384" w:beforeAutospacing="0" w:after="384" w:afterAutospacing="0" w:line="315" w:lineRule="atLeast"/>
        <w:jc w:val="both"/>
        <w:textAlignment w:val="baseline"/>
        <w:rPr>
          <w:rFonts w:asciiTheme="minorHAnsi" w:hAnsiTheme="minorHAnsi" w:cs="Arial"/>
          <w:sz w:val="22"/>
          <w:szCs w:val="22"/>
          <w:lang w:val="en-US"/>
        </w:rPr>
      </w:pPr>
      <w:r w:rsidRPr="00AC2FAD">
        <w:rPr>
          <w:rFonts w:asciiTheme="minorHAnsi" w:hAnsiTheme="minorHAnsi" w:cs="Arial"/>
          <w:sz w:val="22"/>
          <w:szCs w:val="22"/>
          <w:lang w:val="en-US"/>
        </w:rPr>
        <w:t xml:space="preserve">Proxinvest is independently-owned and </w:t>
      </w:r>
      <w:r w:rsidR="00087D54">
        <w:rPr>
          <w:rFonts w:asciiTheme="minorHAnsi" w:hAnsiTheme="minorHAnsi" w:cs="Arial"/>
          <w:sz w:val="22"/>
          <w:szCs w:val="22"/>
          <w:lang w:val="en-US"/>
        </w:rPr>
        <w:t xml:space="preserve">it </w:t>
      </w:r>
      <w:r w:rsidRPr="00AC2FAD">
        <w:rPr>
          <w:rFonts w:asciiTheme="minorHAnsi" w:hAnsiTheme="minorHAnsi" w:cs="Arial"/>
          <w:sz w:val="22"/>
          <w:szCs w:val="22"/>
          <w:lang w:val="en-US"/>
        </w:rPr>
        <w:t xml:space="preserve">works </w:t>
      </w:r>
      <w:r w:rsidR="00087D54">
        <w:rPr>
          <w:rFonts w:asciiTheme="minorHAnsi" w:hAnsiTheme="minorHAnsi" w:cs="Arial"/>
          <w:sz w:val="22"/>
          <w:szCs w:val="22"/>
          <w:lang w:val="en-US"/>
        </w:rPr>
        <w:t xml:space="preserve">with its partners </w:t>
      </w:r>
      <w:r w:rsidRPr="00AC2FAD">
        <w:rPr>
          <w:rFonts w:asciiTheme="minorHAnsi" w:hAnsiTheme="minorHAnsi" w:cs="Arial"/>
          <w:sz w:val="22"/>
          <w:szCs w:val="22"/>
          <w:lang w:val="en-US"/>
        </w:rPr>
        <w:t>for investors only: Proxinvest does not provide consulting services to the companies it covers</w:t>
      </w:r>
      <w:r w:rsidR="00E8516F" w:rsidRPr="00AC2FAD">
        <w:rPr>
          <w:rFonts w:asciiTheme="minorHAnsi" w:hAnsiTheme="minorHAnsi" w:cs="Arial"/>
          <w:sz w:val="22"/>
          <w:szCs w:val="22"/>
          <w:lang w:val="en-US"/>
        </w:rPr>
        <w:t xml:space="preserve">. Our independence of analysis </w:t>
      </w:r>
      <w:r w:rsidRPr="00AC2FAD">
        <w:rPr>
          <w:rFonts w:asciiTheme="minorHAnsi" w:hAnsiTheme="minorHAnsi" w:cs="Arial"/>
          <w:sz w:val="22"/>
          <w:szCs w:val="22"/>
          <w:lang w:val="en-US"/>
        </w:rPr>
        <w:t>mitigat</w:t>
      </w:r>
      <w:r w:rsidR="00E8516F" w:rsidRPr="00AC2FAD">
        <w:rPr>
          <w:rFonts w:asciiTheme="minorHAnsi" w:hAnsiTheme="minorHAnsi" w:cs="Arial"/>
          <w:sz w:val="22"/>
          <w:szCs w:val="22"/>
          <w:lang w:val="en-US"/>
        </w:rPr>
        <w:t xml:space="preserve">es </w:t>
      </w:r>
      <w:r w:rsidRPr="00AC2FAD">
        <w:rPr>
          <w:rFonts w:asciiTheme="minorHAnsi" w:hAnsiTheme="minorHAnsi" w:cs="Arial"/>
          <w:sz w:val="22"/>
          <w:szCs w:val="22"/>
          <w:lang w:val="en-US"/>
        </w:rPr>
        <w:t>related</w:t>
      </w:r>
      <w:r w:rsidR="00E8516F" w:rsidRPr="00AC2FAD">
        <w:rPr>
          <w:rFonts w:asciiTheme="minorHAnsi" w:hAnsiTheme="minorHAnsi" w:cs="Arial"/>
          <w:sz w:val="22"/>
          <w:szCs w:val="22"/>
          <w:lang w:val="en-US"/>
        </w:rPr>
        <w:t>-party and objectivity</w:t>
      </w:r>
      <w:r w:rsidRPr="00AC2FAD">
        <w:rPr>
          <w:rFonts w:asciiTheme="minorHAnsi" w:hAnsiTheme="minorHAnsi" w:cs="Arial"/>
          <w:sz w:val="22"/>
          <w:szCs w:val="22"/>
          <w:lang w:val="en-US"/>
        </w:rPr>
        <w:t xml:space="preserve"> risks to its </w:t>
      </w:r>
      <w:r w:rsidR="00087D54">
        <w:rPr>
          <w:rFonts w:asciiTheme="minorHAnsi" w:hAnsiTheme="minorHAnsi" w:cs="Arial"/>
          <w:sz w:val="22"/>
          <w:szCs w:val="22"/>
          <w:lang w:val="en-US"/>
        </w:rPr>
        <w:t xml:space="preserve">investor </w:t>
      </w:r>
      <w:r w:rsidRPr="00AC2FAD">
        <w:rPr>
          <w:rFonts w:asciiTheme="minorHAnsi" w:hAnsiTheme="minorHAnsi" w:cs="Arial"/>
          <w:sz w:val="22"/>
          <w:szCs w:val="22"/>
          <w:lang w:val="en-US"/>
        </w:rPr>
        <w:t>clients</w:t>
      </w:r>
      <w:r w:rsidR="00E8516F" w:rsidRPr="00AC2FAD">
        <w:rPr>
          <w:rFonts w:asciiTheme="minorHAnsi" w:hAnsiTheme="minorHAnsi" w:cs="Arial"/>
          <w:sz w:val="22"/>
          <w:szCs w:val="22"/>
          <w:lang w:val="en-US"/>
        </w:rPr>
        <w:t xml:space="preserve"> whose interests are </w:t>
      </w:r>
      <w:r w:rsidR="00087D54">
        <w:rPr>
          <w:rFonts w:asciiTheme="minorHAnsi" w:hAnsiTheme="minorHAnsi" w:cs="Arial"/>
          <w:sz w:val="22"/>
          <w:szCs w:val="22"/>
          <w:lang w:val="en-US"/>
        </w:rPr>
        <w:t>the</w:t>
      </w:r>
      <w:r w:rsidR="00E8516F" w:rsidRPr="00AC2FAD">
        <w:rPr>
          <w:rFonts w:asciiTheme="minorHAnsi" w:hAnsiTheme="minorHAnsi" w:cs="Arial"/>
          <w:sz w:val="22"/>
          <w:szCs w:val="22"/>
          <w:lang w:val="en-US"/>
        </w:rPr>
        <w:t xml:space="preserve"> utmost priority</w:t>
      </w:r>
      <w:proofErr w:type="gramStart"/>
      <w:r w:rsidR="00E8516F" w:rsidRPr="00AC2FAD">
        <w:rPr>
          <w:rFonts w:asciiTheme="minorHAnsi" w:hAnsiTheme="minorHAnsi" w:cs="Arial"/>
          <w:sz w:val="22"/>
          <w:szCs w:val="22"/>
          <w:lang w:val="en-US"/>
        </w:rPr>
        <w:t>.</w:t>
      </w:r>
      <w:r w:rsidRPr="00AC2FAD">
        <w:rPr>
          <w:rFonts w:asciiTheme="minorHAnsi" w:hAnsiTheme="minorHAnsi" w:cs="Arial"/>
          <w:sz w:val="22"/>
          <w:szCs w:val="22"/>
          <w:lang w:val="en-US"/>
        </w:rPr>
        <w:t>.</w:t>
      </w:r>
      <w:proofErr w:type="gramEnd"/>
      <w:r w:rsidRPr="00AC2FAD">
        <w:rPr>
          <w:rFonts w:asciiTheme="minorHAnsi" w:hAnsiTheme="minorHAnsi" w:cs="Arial"/>
          <w:sz w:val="22"/>
          <w:szCs w:val="22"/>
          <w:lang w:val="en-US"/>
        </w:rPr>
        <w:t xml:space="preserve"> As a result Proxinvest is </w:t>
      </w:r>
      <w:r w:rsidR="00087D54">
        <w:rPr>
          <w:rFonts w:asciiTheme="minorHAnsi" w:hAnsiTheme="minorHAnsi" w:cs="Arial"/>
          <w:sz w:val="22"/>
          <w:szCs w:val="22"/>
          <w:lang w:val="en-US"/>
        </w:rPr>
        <w:t>offers</w:t>
      </w:r>
      <w:r w:rsidRPr="00AC2FAD">
        <w:rPr>
          <w:rFonts w:asciiTheme="minorHAnsi" w:hAnsiTheme="minorHAnsi" w:cs="Arial"/>
          <w:sz w:val="22"/>
          <w:szCs w:val="22"/>
          <w:lang w:val="en-US"/>
        </w:rPr>
        <w:t xml:space="preserve"> a robust, independent</w:t>
      </w:r>
      <w:r w:rsidR="00E8516F" w:rsidRPr="00AC2FAD">
        <w:rPr>
          <w:rFonts w:asciiTheme="minorHAnsi" w:hAnsiTheme="minorHAnsi" w:cs="Arial"/>
          <w:sz w:val="22"/>
          <w:szCs w:val="22"/>
          <w:lang w:val="en-US"/>
        </w:rPr>
        <w:t xml:space="preserve"> and</w:t>
      </w:r>
      <w:r w:rsidRPr="00AC2FAD">
        <w:rPr>
          <w:rFonts w:asciiTheme="minorHAnsi" w:hAnsiTheme="minorHAnsi" w:cs="Arial"/>
          <w:sz w:val="22"/>
          <w:szCs w:val="22"/>
          <w:lang w:val="en-US"/>
        </w:rPr>
        <w:t xml:space="preserve"> engaged view of the companies in which </w:t>
      </w:r>
      <w:r w:rsidR="00087D54">
        <w:rPr>
          <w:rFonts w:asciiTheme="minorHAnsi" w:hAnsiTheme="minorHAnsi" w:cs="Arial"/>
          <w:sz w:val="22"/>
          <w:szCs w:val="22"/>
          <w:lang w:val="en-US"/>
        </w:rPr>
        <w:t xml:space="preserve">the </w:t>
      </w:r>
      <w:r w:rsidRPr="00AC2FAD">
        <w:rPr>
          <w:rFonts w:asciiTheme="minorHAnsi" w:hAnsiTheme="minorHAnsi" w:cs="Arial"/>
          <w:sz w:val="22"/>
          <w:szCs w:val="22"/>
          <w:lang w:val="en-US"/>
        </w:rPr>
        <w:t>clients invest.</w:t>
      </w:r>
    </w:p>
    <w:p w:rsidR="00E45B5C" w:rsidRPr="00AC2FAD" w:rsidRDefault="00E45B5C" w:rsidP="00E45B5C">
      <w:pPr>
        <w:pStyle w:val="NormalWeb"/>
        <w:shd w:val="clear" w:color="auto" w:fill="FFFFFF"/>
        <w:spacing w:before="0" w:beforeAutospacing="0" w:after="0" w:afterAutospacing="0" w:line="315" w:lineRule="atLeast"/>
        <w:jc w:val="both"/>
        <w:textAlignment w:val="baseline"/>
        <w:rPr>
          <w:rFonts w:asciiTheme="minorHAnsi" w:hAnsiTheme="minorHAnsi" w:cs="Arial"/>
          <w:color w:val="555555"/>
          <w:sz w:val="22"/>
          <w:szCs w:val="22"/>
          <w:lang w:val="en-US"/>
        </w:rPr>
      </w:pPr>
      <w:r w:rsidRPr="00AC2FAD">
        <w:rPr>
          <w:rFonts w:asciiTheme="minorHAnsi" w:hAnsiTheme="minorHAnsi" w:cs="Arial"/>
          <w:sz w:val="22"/>
          <w:szCs w:val="22"/>
          <w:lang w:val="en-US"/>
        </w:rPr>
        <w:t>Proxinvest is also a founding member of the International Corporate Governance Network</w:t>
      </w:r>
      <w:r w:rsidRPr="00AC2FAD">
        <w:rPr>
          <w:rFonts w:asciiTheme="minorHAnsi" w:hAnsiTheme="minorHAnsi" w:cs="Arial"/>
          <w:sz w:val="22"/>
          <w:szCs w:val="22"/>
          <w:bdr w:val="none" w:sz="0" w:space="0" w:color="auto" w:frame="1"/>
          <w:lang w:val="en-US"/>
        </w:rPr>
        <w:t xml:space="preserve"> </w:t>
      </w:r>
      <w:r w:rsidRPr="00AC2FAD">
        <w:rPr>
          <w:rFonts w:asciiTheme="minorHAnsi" w:hAnsiTheme="minorHAnsi" w:cs="Arial"/>
          <w:color w:val="585858"/>
          <w:sz w:val="22"/>
          <w:szCs w:val="22"/>
          <w:bdr w:val="none" w:sz="0" w:space="0" w:color="auto" w:frame="1"/>
          <w:lang w:val="en-US"/>
        </w:rPr>
        <w:t>(</w:t>
      </w:r>
      <w:hyperlink r:id="rId11" w:tgtFrame="_blank" w:history="1">
        <w:r w:rsidRPr="00AC2FAD">
          <w:rPr>
            <w:rStyle w:val="Lienhypertexte"/>
            <w:rFonts w:asciiTheme="minorHAnsi" w:hAnsiTheme="minorHAnsi" w:cs="Arial"/>
            <w:color w:val="0066CC"/>
            <w:sz w:val="22"/>
            <w:szCs w:val="22"/>
            <w:bdr w:val="none" w:sz="0" w:space="0" w:color="auto" w:frame="1"/>
            <w:lang w:val="en-US"/>
          </w:rPr>
          <w:t>ICGN</w:t>
        </w:r>
      </w:hyperlink>
      <w:r w:rsidRPr="00AC2FAD">
        <w:rPr>
          <w:rFonts w:asciiTheme="minorHAnsi" w:hAnsiTheme="minorHAnsi" w:cs="Arial"/>
          <w:sz w:val="22"/>
          <w:szCs w:val="22"/>
          <w:bdr w:val="none" w:sz="0" w:space="0" w:color="auto" w:frame="1"/>
          <w:lang w:val="en-US"/>
        </w:rPr>
        <w:t xml:space="preserve">), </w:t>
      </w:r>
      <w:r w:rsidRPr="00AC2FAD">
        <w:rPr>
          <w:rFonts w:asciiTheme="minorHAnsi" w:hAnsiTheme="minorHAnsi" w:cs="Arial"/>
          <w:sz w:val="22"/>
          <w:szCs w:val="22"/>
          <w:lang w:val="en-US"/>
        </w:rPr>
        <w:t xml:space="preserve">an </w:t>
      </w:r>
      <w:r w:rsidRPr="00AC2FAD">
        <w:rPr>
          <w:rFonts w:asciiTheme="minorHAnsi" w:hAnsiTheme="minorHAnsi" w:cs="Arial"/>
          <w:sz w:val="22"/>
          <w:szCs w:val="22"/>
          <w:lang w:val="en-GB"/>
        </w:rPr>
        <w:t>organisation</w:t>
      </w:r>
      <w:r w:rsidRPr="00AC2FAD">
        <w:rPr>
          <w:rFonts w:asciiTheme="minorHAnsi" w:hAnsiTheme="minorHAnsi" w:cs="Arial"/>
          <w:sz w:val="22"/>
          <w:szCs w:val="22"/>
          <w:lang w:val="en-US"/>
        </w:rPr>
        <w:t xml:space="preserve"> founded in 1995 that represents investors, companies, financial intermediaries, academics and others interested in the development of corporate governance practices worldwide. </w:t>
      </w:r>
    </w:p>
    <w:p w:rsidR="00BC27B0" w:rsidRPr="00AC2FAD" w:rsidRDefault="00BC27B0">
      <w:pPr>
        <w:rPr>
          <w:b/>
          <w:sz w:val="28"/>
          <w:szCs w:val="28"/>
          <w:lang w:val="en-US"/>
        </w:rPr>
      </w:pPr>
    </w:p>
    <w:p w:rsidR="000E4F89" w:rsidRPr="00AC2FAD" w:rsidRDefault="00BC27B0">
      <w:pPr>
        <w:rPr>
          <w:rFonts w:eastAsia="Times New Roman" w:cs="Arial"/>
          <w:lang w:val="en-US" w:eastAsia="fr-FR"/>
        </w:rPr>
      </w:pPr>
      <w:r w:rsidRPr="00AC2FAD">
        <w:rPr>
          <w:rFonts w:eastAsia="Times New Roman" w:cs="Arial"/>
          <w:lang w:val="en-US" w:eastAsia="fr-FR"/>
        </w:rPr>
        <w:t xml:space="preserve">To know more about Proxinvest, please refer to </w:t>
      </w:r>
      <w:hyperlink r:id="rId12" w:history="1">
        <w:r w:rsidRPr="00AC2FAD">
          <w:rPr>
            <w:rStyle w:val="Lienhypertexte"/>
            <w:rFonts w:eastAsia="Times New Roman" w:cs="Arial"/>
            <w:lang w:val="en-US" w:eastAsia="fr-FR"/>
          </w:rPr>
          <w:t>Proxinvest website</w:t>
        </w:r>
      </w:hyperlink>
      <w:r w:rsidRPr="00AC2FAD">
        <w:rPr>
          <w:rFonts w:eastAsia="Times New Roman" w:cs="Arial"/>
          <w:lang w:val="en-US" w:eastAsia="fr-FR"/>
        </w:rPr>
        <w:t>.</w:t>
      </w:r>
    </w:p>
    <w:p w:rsidR="008B427E" w:rsidRPr="00AC2FAD" w:rsidRDefault="00E45B5C" w:rsidP="008024DB">
      <w:pPr>
        <w:rPr>
          <w:b/>
          <w:sz w:val="28"/>
          <w:szCs w:val="28"/>
          <w:lang w:val="en-US"/>
        </w:rPr>
      </w:pPr>
      <w:r w:rsidRPr="00AC2FAD">
        <w:rPr>
          <w:b/>
          <w:sz w:val="28"/>
          <w:szCs w:val="28"/>
          <w:lang w:val="en-US"/>
        </w:rPr>
        <w:br w:type="page"/>
      </w:r>
      <w:r w:rsidR="008B427E" w:rsidRPr="00AC2FAD">
        <w:rPr>
          <w:b/>
          <w:sz w:val="28"/>
          <w:szCs w:val="28"/>
          <w:lang w:val="en-US"/>
        </w:rPr>
        <w:lastRenderedPageBreak/>
        <w:t>Proxinvest response</w:t>
      </w:r>
    </w:p>
    <w:p w:rsidR="008B427E" w:rsidRPr="00AC2FAD" w:rsidRDefault="008B427E" w:rsidP="008B427E">
      <w:pPr>
        <w:pStyle w:val="Default"/>
        <w:jc w:val="both"/>
        <w:rPr>
          <w:rFonts w:asciiTheme="minorHAnsi" w:hAnsiTheme="minorHAnsi"/>
          <w:sz w:val="22"/>
          <w:szCs w:val="22"/>
          <w:lang w:val="en-US"/>
        </w:rPr>
      </w:pPr>
      <w:r w:rsidRPr="00AC2FAD">
        <w:rPr>
          <w:rFonts w:asciiTheme="minorHAnsi" w:eastAsia="Times New Roman" w:hAnsiTheme="minorHAnsi"/>
          <w:lang w:val="en-US"/>
        </w:rPr>
        <w:t xml:space="preserve">Proxinvest hereby authorizes ESMA to publish its response following the close of the Call for Evidence. </w:t>
      </w:r>
    </w:p>
    <w:p w:rsidR="00DD5FEE" w:rsidRPr="00AC2FAD" w:rsidRDefault="00DD5FEE">
      <w:pPr>
        <w:rPr>
          <w:b/>
          <w:lang w:val="en-US"/>
        </w:rPr>
      </w:pPr>
    </w:p>
    <w:p w:rsidR="00DD5FEE" w:rsidRPr="00AC2FAD" w:rsidRDefault="00DD5FEE" w:rsidP="00DD5FEE">
      <w:pPr>
        <w:pStyle w:val="Default"/>
        <w:jc w:val="both"/>
        <w:rPr>
          <w:rFonts w:asciiTheme="minorHAnsi" w:eastAsia="Times New Roman" w:hAnsiTheme="minorHAnsi" w:cs="Times New Roman"/>
          <w:b/>
          <w:bCs/>
          <w:i/>
          <w:color w:val="auto"/>
          <w:sz w:val="22"/>
          <w:szCs w:val="22"/>
          <w:lang w:val="en-US"/>
        </w:rPr>
      </w:pPr>
      <w:r w:rsidRPr="00AC2FAD">
        <w:rPr>
          <w:rFonts w:asciiTheme="minorHAnsi" w:eastAsia="Times New Roman" w:hAnsiTheme="minorHAnsi" w:cs="Times New Roman"/>
          <w:b/>
          <w:bCs/>
          <w:i/>
          <w:color w:val="auto"/>
          <w:sz w:val="22"/>
          <w:szCs w:val="22"/>
          <w:lang w:val="en-US"/>
        </w:rPr>
        <w:t xml:space="preserve">Q1: What is the nature of your involvement in the proxy advisory industry (proxy advisor, investor, issuer, proxy solicitor etc.)? To facilitate the comprehensibility of your response to this Call for Evidence, please describe your role in and your interaction with the industry. </w:t>
      </w:r>
    </w:p>
    <w:p w:rsidR="00DD5FEE" w:rsidRPr="00AC2FAD" w:rsidRDefault="00DD5FEE"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Proxinvest is a proxy advisory firm.</w:t>
      </w:r>
    </w:p>
    <w:p w:rsidR="00DD5FEE" w:rsidRPr="00AC2FAD" w:rsidRDefault="00DD5FEE" w:rsidP="00DD5FEE">
      <w:pPr>
        <w:pStyle w:val="Default"/>
        <w:jc w:val="both"/>
        <w:rPr>
          <w:rFonts w:asciiTheme="minorHAnsi" w:hAnsiTheme="minorHAnsi"/>
          <w:sz w:val="22"/>
          <w:szCs w:val="22"/>
          <w:lang w:val="en-US"/>
        </w:rPr>
      </w:pPr>
    </w:p>
    <w:p w:rsidR="00576BD4" w:rsidRDefault="00DD5FEE"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Proxinvest, founded in 1995, was the first </w:t>
      </w:r>
      <w:r w:rsidR="00B02640" w:rsidRPr="00AC2FAD">
        <w:rPr>
          <w:rFonts w:asciiTheme="minorHAnsi" w:hAnsiTheme="minorHAnsi"/>
          <w:sz w:val="22"/>
          <w:szCs w:val="22"/>
          <w:lang w:val="en-US"/>
        </w:rPr>
        <w:t xml:space="preserve">continental </w:t>
      </w:r>
      <w:r w:rsidRPr="00AC2FAD">
        <w:rPr>
          <w:rFonts w:asciiTheme="minorHAnsi" w:hAnsiTheme="minorHAnsi"/>
          <w:sz w:val="22"/>
          <w:szCs w:val="22"/>
          <w:lang w:val="en-US"/>
        </w:rPr>
        <w:t xml:space="preserve">European agency advising investors on the resolutions tabled for vote by listed companies, with the objective of </w:t>
      </w:r>
      <w:r w:rsidR="00B02640" w:rsidRPr="00AC2FAD">
        <w:rPr>
          <w:rFonts w:asciiTheme="minorHAnsi" w:hAnsiTheme="minorHAnsi"/>
          <w:sz w:val="22"/>
          <w:szCs w:val="22"/>
          <w:lang w:val="en-US"/>
        </w:rPr>
        <w:t xml:space="preserve">exclusively </w:t>
      </w:r>
      <w:r w:rsidRPr="00AC2FAD">
        <w:rPr>
          <w:rFonts w:asciiTheme="minorHAnsi" w:hAnsiTheme="minorHAnsi"/>
          <w:sz w:val="22"/>
          <w:szCs w:val="22"/>
          <w:lang w:val="en-US"/>
        </w:rPr>
        <w:t xml:space="preserve">serving </w:t>
      </w:r>
      <w:r w:rsidR="00A75956" w:rsidRPr="00AC2FAD">
        <w:rPr>
          <w:rFonts w:asciiTheme="minorHAnsi" w:hAnsiTheme="minorHAnsi"/>
          <w:sz w:val="22"/>
          <w:szCs w:val="22"/>
          <w:lang w:val="en-US"/>
        </w:rPr>
        <w:t>institutional investors</w:t>
      </w:r>
      <w:r w:rsidRPr="00AC2FAD">
        <w:rPr>
          <w:rFonts w:asciiTheme="minorHAnsi" w:hAnsiTheme="minorHAnsi"/>
          <w:sz w:val="22"/>
          <w:szCs w:val="22"/>
          <w:lang w:val="en-US"/>
        </w:rPr>
        <w:t>. Proxinvest became the lead analyst of corporate governance in France</w:t>
      </w:r>
      <w:r w:rsidR="00087D54">
        <w:rPr>
          <w:rFonts w:asciiTheme="minorHAnsi" w:hAnsiTheme="minorHAnsi"/>
          <w:sz w:val="22"/>
          <w:szCs w:val="22"/>
          <w:lang w:val="en-US"/>
        </w:rPr>
        <w:t xml:space="preserve"> and a leader in Continental </w:t>
      </w:r>
      <w:proofErr w:type="gramStart"/>
      <w:r w:rsidR="00087D54">
        <w:rPr>
          <w:rFonts w:asciiTheme="minorHAnsi" w:hAnsiTheme="minorHAnsi"/>
          <w:sz w:val="22"/>
          <w:szCs w:val="22"/>
          <w:lang w:val="en-US"/>
        </w:rPr>
        <w:t xml:space="preserve">Europe </w:t>
      </w:r>
      <w:r w:rsidR="00A75956" w:rsidRPr="00AC2FAD">
        <w:rPr>
          <w:rFonts w:asciiTheme="minorHAnsi" w:hAnsiTheme="minorHAnsi"/>
          <w:sz w:val="22"/>
          <w:szCs w:val="22"/>
          <w:lang w:val="en-US"/>
        </w:rPr>
        <w:t>.</w:t>
      </w:r>
      <w:proofErr w:type="gramEnd"/>
      <w:r w:rsidR="00A75956"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It founded in 2001 a European consortium of local proxy advisory agencies called Expert Corporate Governance </w:t>
      </w:r>
      <w:proofErr w:type="gramStart"/>
      <w:r w:rsidRPr="00AC2FAD">
        <w:rPr>
          <w:rFonts w:asciiTheme="minorHAnsi" w:hAnsiTheme="minorHAnsi"/>
          <w:sz w:val="22"/>
          <w:szCs w:val="22"/>
          <w:lang w:val="en-US"/>
        </w:rPr>
        <w:t>Service(</w:t>
      </w:r>
      <w:proofErr w:type="gramEnd"/>
      <w:r w:rsidRPr="00AC2FAD">
        <w:rPr>
          <w:rFonts w:asciiTheme="minorHAnsi" w:hAnsiTheme="minorHAnsi"/>
          <w:sz w:val="22"/>
          <w:szCs w:val="22"/>
          <w:lang w:val="en-US"/>
        </w:rPr>
        <w:t xml:space="preserve">ECGS) and became in 2010 Managing member of this consortium. </w:t>
      </w:r>
    </w:p>
    <w:p w:rsidR="00576BD4" w:rsidRDefault="00576BD4" w:rsidP="00DD5FEE">
      <w:pPr>
        <w:pStyle w:val="Default"/>
        <w:jc w:val="both"/>
        <w:rPr>
          <w:rFonts w:asciiTheme="minorHAnsi" w:hAnsiTheme="minorHAnsi"/>
          <w:sz w:val="22"/>
          <w:szCs w:val="22"/>
          <w:lang w:val="en-US"/>
        </w:rPr>
      </w:pPr>
    </w:p>
    <w:p w:rsidR="000339C9" w:rsidRPr="000339C9" w:rsidRDefault="00576BD4" w:rsidP="000339C9">
      <w:pPr>
        <w:rPr>
          <w:rFonts w:eastAsia="Calibri" w:cs="Arial"/>
          <w:color w:val="000000"/>
          <w:lang w:val="en-US" w:eastAsia="fr-FR"/>
        </w:rPr>
      </w:pPr>
      <w:r>
        <w:rPr>
          <w:lang w:val="en-US"/>
        </w:rPr>
        <w:t>Because of its potential asse</w:t>
      </w:r>
      <w:r w:rsidR="000339C9">
        <w:rPr>
          <w:lang w:val="en-US"/>
        </w:rPr>
        <w:t>ss</w:t>
      </w:r>
      <w:r>
        <w:rPr>
          <w:lang w:val="en-US"/>
        </w:rPr>
        <w:t xml:space="preserve">ment responsibility over other </w:t>
      </w:r>
      <w:proofErr w:type="gramStart"/>
      <w:r>
        <w:rPr>
          <w:lang w:val="en-US"/>
        </w:rPr>
        <w:t>companies</w:t>
      </w:r>
      <w:proofErr w:type="gramEnd"/>
      <w:r>
        <w:rPr>
          <w:lang w:val="en-US"/>
        </w:rPr>
        <w:t xml:space="preserve"> management, Proxinvest from the beginning act</w:t>
      </w:r>
      <w:r w:rsidR="00087D54">
        <w:rPr>
          <w:lang w:val="en-US"/>
        </w:rPr>
        <w:t>ed</w:t>
      </w:r>
      <w:r w:rsidR="000339C9">
        <w:rPr>
          <w:lang w:val="en-US"/>
        </w:rPr>
        <w:t xml:space="preserve"> itself</w:t>
      </w:r>
      <w:r>
        <w:rPr>
          <w:lang w:val="en-US"/>
        </w:rPr>
        <w:t xml:space="preserve"> as a</w:t>
      </w:r>
      <w:r w:rsidR="000339C9">
        <w:rPr>
          <w:lang w:val="en-US"/>
        </w:rPr>
        <w:t xml:space="preserve">n </w:t>
      </w:r>
      <w:r w:rsidR="00087D54">
        <w:rPr>
          <w:lang w:val="en-US"/>
        </w:rPr>
        <w:t>independent private</w:t>
      </w:r>
      <w:r>
        <w:rPr>
          <w:lang w:val="en-US"/>
        </w:rPr>
        <w:t xml:space="preserve"> firm</w:t>
      </w:r>
      <w:r w:rsidR="000339C9">
        <w:rPr>
          <w:lang w:val="en-US"/>
        </w:rPr>
        <w:t xml:space="preserve"> under the oversight of shareholders </w:t>
      </w:r>
      <w:r w:rsidR="00087D54">
        <w:rPr>
          <w:lang w:val="en-US"/>
        </w:rPr>
        <w:t>with</w:t>
      </w:r>
      <w:r w:rsidR="000339C9">
        <w:rPr>
          <w:lang w:val="en-US"/>
        </w:rPr>
        <w:t xml:space="preserve"> legitimate dividend </w:t>
      </w:r>
      <w:r w:rsidR="00087D54" w:rsidRPr="000339C9">
        <w:rPr>
          <w:rFonts w:eastAsia="Calibri" w:cs="Arial"/>
          <w:color w:val="000000"/>
          <w:lang w:val="en-US" w:eastAsia="fr-FR"/>
        </w:rPr>
        <w:t xml:space="preserve">expectations. </w:t>
      </w:r>
      <w:r w:rsidR="000339C9" w:rsidRPr="000339C9">
        <w:rPr>
          <w:rFonts w:eastAsia="Calibri" w:cs="Arial"/>
          <w:color w:val="000000"/>
          <w:lang w:val="en-US" w:eastAsia="fr-FR"/>
        </w:rPr>
        <w:t xml:space="preserve">Proxinvest is subject to the control of its </w:t>
      </w:r>
      <w:proofErr w:type="spellStart"/>
      <w:r w:rsidR="000339C9" w:rsidRPr="000339C9">
        <w:rPr>
          <w:rFonts w:eastAsia="Calibri" w:cs="Arial"/>
          <w:color w:val="000000"/>
          <w:lang w:val="en-US" w:eastAsia="fr-FR"/>
        </w:rPr>
        <w:t>Comité</w:t>
      </w:r>
      <w:proofErr w:type="spellEnd"/>
      <w:r w:rsidR="000339C9" w:rsidRPr="000339C9">
        <w:rPr>
          <w:rFonts w:eastAsia="Calibri" w:cs="Arial"/>
          <w:color w:val="000000"/>
          <w:lang w:val="en-US" w:eastAsia="fr-FR"/>
        </w:rPr>
        <w:t xml:space="preserve"> </w:t>
      </w:r>
      <w:proofErr w:type="spellStart"/>
      <w:proofErr w:type="gramStart"/>
      <w:r w:rsidR="000339C9" w:rsidRPr="000339C9">
        <w:rPr>
          <w:rFonts w:eastAsia="Calibri" w:cs="Arial"/>
          <w:color w:val="000000"/>
          <w:lang w:val="en-US" w:eastAsia="fr-FR"/>
        </w:rPr>
        <w:t>d’Orientation</w:t>
      </w:r>
      <w:proofErr w:type="spellEnd"/>
      <w:r w:rsidR="000339C9" w:rsidRPr="000339C9">
        <w:rPr>
          <w:rFonts w:eastAsia="Calibri" w:cs="Arial"/>
          <w:color w:val="000000"/>
          <w:lang w:val="en-US" w:eastAsia="fr-FR"/>
        </w:rPr>
        <w:t xml:space="preserve"> </w:t>
      </w:r>
      <w:r w:rsidR="000B4787">
        <w:rPr>
          <w:rFonts w:eastAsia="Calibri" w:cs="Arial"/>
          <w:color w:val="000000"/>
          <w:lang w:val="en-US" w:eastAsia="fr-FR"/>
        </w:rPr>
        <w:t xml:space="preserve"> (</w:t>
      </w:r>
      <w:proofErr w:type="gramEnd"/>
      <w:r w:rsidR="000B4787">
        <w:rPr>
          <w:rFonts w:eastAsia="Calibri" w:cs="Arial"/>
          <w:color w:val="000000"/>
          <w:lang w:val="en-US" w:eastAsia="fr-FR"/>
        </w:rPr>
        <w:t xml:space="preserve">Steering Committee) </w:t>
      </w:r>
      <w:r w:rsidR="000339C9" w:rsidRPr="000339C9">
        <w:rPr>
          <w:rFonts w:eastAsia="Calibri" w:cs="Arial"/>
          <w:color w:val="000000"/>
          <w:lang w:val="en-US" w:eastAsia="fr-FR"/>
        </w:rPr>
        <w:t>and of its Supervisory Board, but above all by the oversight of big equity investors as clients</w:t>
      </w:r>
      <w:r w:rsidR="000339C9" w:rsidRPr="000B4787">
        <w:rPr>
          <w:rFonts w:eastAsia="Calibri" w:cs="Arial"/>
          <w:color w:val="000000"/>
          <w:vertAlign w:val="superscript"/>
          <w:lang w:eastAsia="fr-FR"/>
        </w:rPr>
        <w:footnoteReference w:id="1"/>
      </w:r>
      <w:r w:rsidR="000339C9" w:rsidRPr="000339C9">
        <w:rPr>
          <w:rFonts w:eastAsia="Calibri" w:cs="Arial"/>
          <w:color w:val="000000"/>
          <w:lang w:val="en-US" w:eastAsia="fr-FR"/>
        </w:rPr>
        <w:t xml:space="preserve">.    </w:t>
      </w:r>
    </w:p>
    <w:p w:rsidR="000339C9" w:rsidRPr="000339C9" w:rsidRDefault="000339C9" w:rsidP="000339C9">
      <w:pPr>
        <w:rPr>
          <w:rFonts w:eastAsia="Calibri" w:cs="Arial"/>
          <w:color w:val="000000"/>
          <w:lang w:val="en-US" w:eastAsia="fr-FR"/>
        </w:rPr>
      </w:pPr>
      <w:r w:rsidRPr="000339C9">
        <w:rPr>
          <w:rFonts w:eastAsia="Calibri" w:cs="Arial"/>
          <w:color w:val="000000"/>
          <w:lang w:val="en-US" w:eastAsia="fr-FR"/>
        </w:rPr>
        <w:t xml:space="preserve">Proxinvest do bear double economic risk on the companies analyzed: as a compulsory shareholder of hundred analyzed companies first Proxinvest carries an economic risk as it portfolio accounts for 22% of its turnover. But the direct and standing main economic risk carried by the </w:t>
      </w:r>
      <w:r w:rsidR="00087D54" w:rsidRPr="000339C9">
        <w:rPr>
          <w:rFonts w:eastAsia="Calibri" w:cs="Arial"/>
          <w:color w:val="000000"/>
          <w:lang w:val="en-US" w:eastAsia="fr-FR"/>
        </w:rPr>
        <w:t>company is</w:t>
      </w:r>
      <w:r w:rsidRPr="000339C9">
        <w:rPr>
          <w:rFonts w:eastAsia="Calibri" w:cs="Arial"/>
          <w:color w:val="000000"/>
          <w:lang w:val="en-US" w:eastAsia="fr-FR"/>
        </w:rPr>
        <w:t xml:space="preserve"> to lose their clients in case of poor advice. As the length of the Proxinvest research contracts with investors never exceed one year</w:t>
      </w:r>
      <w:r w:rsidR="00087D54">
        <w:rPr>
          <w:rFonts w:eastAsia="Calibri" w:cs="Arial"/>
          <w:color w:val="000000"/>
          <w:lang w:val="en-US" w:eastAsia="fr-FR"/>
        </w:rPr>
        <w:t>,</w:t>
      </w:r>
      <w:r w:rsidRPr="000339C9">
        <w:rPr>
          <w:rFonts w:eastAsia="Calibri" w:cs="Arial"/>
          <w:color w:val="000000"/>
          <w:lang w:val="en-US" w:eastAsia="fr-FR"/>
        </w:rPr>
        <w:t xml:space="preserve"> the objective of the </w:t>
      </w:r>
      <w:r w:rsidR="00087D54" w:rsidRPr="000339C9">
        <w:rPr>
          <w:rFonts w:eastAsia="Calibri" w:cs="Arial"/>
          <w:color w:val="000000"/>
          <w:lang w:val="en-US" w:eastAsia="fr-FR"/>
        </w:rPr>
        <w:t>firm and</w:t>
      </w:r>
      <w:r w:rsidRPr="000339C9">
        <w:rPr>
          <w:rFonts w:eastAsia="Calibri" w:cs="Arial"/>
          <w:color w:val="000000"/>
          <w:lang w:val="en-US" w:eastAsia="fr-FR"/>
        </w:rPr>
        <w:t xml:space="preserve"> condition of survival is to provide accurate </w:t>
      </w:r>
      <w:r w:rsidR="00087D54" w:rsidRPr="000339C9">
        <w:rPr>
          <w:rFonts w:eastAsia="Calibri" w:cs="Arial"/>
          <w:color w:val="000000"/>
          <w:lang w:val="en-US" w:eastAsia="fr-FR"/>
        </w:rPr>
        <w:t>and documented</w:t>
      </w:r>
      <w:r w:rsidRPr="000339C9">
        <w:rPr>
          <w:rFonts w:eastAsia="Calibri" w:cs="Arial"/>
          <w:color w:val="000000"/>
          <w:lang w:val="en-US" w:eastAsia="fr-FR"/>
        </w:rPr>
        <w:t xml:space="preserve"> analysis and recommendation to its clients. </w:t>
      </w:r>
    </w:p>
    <w:p w:rsidR="00576BD4" w:rsidRPr="00AC2FAD" w:rsidRDefault="00576BD4"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eastAsia="Times New Roman" w:hAnsiTheme="minorHAnsi" w:cs="Times New Roman"/>
          <w:b/>
          <w:bCs/>
          <w:i/>
          <w:color w:val="auto"/>
          <w:sz w:val="22"/>
          <w:szCs w:val="22"/>
          <w:lang w:val="en-US"/>
        </w:rPr>
      </w:pPr>
      <w:r w:rsidRPr="00AC2FAD">
        <w:rPr>
          <w:rFonts w:asciiTheme="minorHAnsi" w:eastAsia="Times New Roman" w:hAnsiTheme="minorHAnsi" w:cs="Times New Roman"/>
          <w:b/>
          <w:bCs/>
          <w:i/>
          <w:color w:val="auto"/>
          <w:sz w:val="22"/>
          <w:szCs w:val="22"/>
          <w:lang w:val="en-US"/>
        </w:rPr>
        <w:t xml:space="preserve">Q2: Have you previously had concerns with the functioning of any areas of the proxy advisory industry? If yes, please specify. </w:t>
      </w:r>
    </w:p>
    <w:p w:rsidR="00DD5FEE" w:rsidRPr="00AC2FAD" w:rsidRDefault="00DD5FEE"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hAnsiTheme="minorHAnsi"/>
          <w:sz w:val="22"/>
          <w:szCs w:val="22"/>
          <w:lang w:val="en-US"/>
        </w:rPr>
      </w:pPr>
      <w:proofErr w:type="gramStart"/>
      <w:r w:rsidRPr="00AC2FAD">
        <w:rPr>
          <w:rFonts w:asciiTheme="minorHAnsi" w:hAnsiTheme="minorHAnsi"/>
          <w:sz w:val="22"/>
          <w:szCs w:val="22"/>
          <w:lang w:val="en-US"/>
        </w:rPr>
        <w:t>Yes :</w:t>
      </w:r>
      <w:proofErr w:type="gramEnd"/>
      <w:r w:rsidRPr="00AC2FAD">
        <w:rPr>
          <w:rFonts w:asciiTheme="minorHAnsi" w:hAnsiTheme="minorHAnsi"/>
          <w:sz w:val="22"/>
          <w:szCs w:val="22"/>
          <w:lang w:val="en-US"/>
        </w:rPr>
        <w:t xml:space="preserve"> we would like to </w:t>
      </w:r>
      <w:r w:rsidR="00A75956" w:rsidRPr="00AC2FAD">
        <w:rPr>
          <w:rFonts w:asciiTheme="minorHAnsi" w:hAnsiTheme="minorHAnsi"/>
          <w:sz w:val="22"/>
          <w:szCs w:val="22"/>
          <w:lang w:val="en-US"/>
        </w:rPr>
        <w:t>highlight</w:t>
      </w:r>
      <w:r w:rsidRPr="00AC2FAD">
        <w:rPr>
          <w:rFonts w:asciiTheme="minorHAnsi" w:hAnsiTheme="minorHAnsi"/>
          <w:sz w:val="22"/>
          <w:szCs w:val="22"/>
          <w:lang w:val="en-US"/>
        </w:rPr>
        <w:t xml:space="preserve"> the following issues :</w:t>
      </w:r>
    </w:p>
    <w:p w:rsidR="00DD5FEE" w:rsidRPr="00AC2FAD" w:rsidRDefault="00DD5FEE" w:rsidP="00DD5FEE">
      <w:pPr>
        <w:pStyle w:val="Default"/>
        <w:jc w:val="both"/>
        <w:rPr>
          <w:rFonts w:asciiTheme="minorHAnsi" w:hAnsiTheme="minorHAnsi"/>
          <w:sz w:val="22"/>
          <w:szCs w:val="22"/>
          <w:lang w:val="en-US"/>
        </w:rPr>
      </w:pPr>
    </w:p>
    <w:p w:rsidR="00DD5FEE" w:rsidRDefault="00DD5FEE" w:rsidP="00A75956">
      <w:pPr>
        <w:pStyle w:val="Default"/>
        <w:numPr>
          <w:ilvl w:val="0"/>
          <w:numId w:val="23"/>
        </w:numPr>
        <w:jc w:val="both"/>
        <w:rPr>
          <w:rFonts w:asciiTheme="minorHAnsi" w:hAnsiTheme="minorHAnsi"/>
          <w:b/>
          <w:sz w:val="22"/>
          <w:szCs w:val="22"/>
          <w:lang w:val="en-US"/>
        </w:rPr>
      </w:pPr>
      <w:r w:rsidRPr="00AC2FAD">
        <w:rPr>
          <w:rFonts w:asciiTheme="minorHAnsi" w:hAnsiTheme="minorHAnsi"/>
          <w:b/>
          <w:sz w:val="22"/>
          <w:szCs w:val="22"/>
          <w:lang w:val="en-US"/>
        </w:rPr>
        <w:t xml:space="preserve">Weak demand </w:t>
      </w:r>
      <w:r w:rsidR="00A75956" w:rsidRPr="00AC2FAD">
        <w:rPr>
          <w:rFonts w:asciiTheme="minorHAnsi" w:hAnsiTheme="minorHAnsi"/>
          <w:b/>
          <w:sz w:val="22"/>
          <w:szCs w:val="22"/>
          <w:lang w:val="en-US"/>
        </w:rPr>
        <w:t>&amp;</w:t>
      </w:r>
      <w:r w:rsidRPr="00AC2FAD">
        <w:rPr>
          <w:rFonts w:asciiTheme="minorHAnsi" w:hAnsiTheme="minorHAnsi"/>
          <w:b/>
          <w:sz w:val="22"/>
          <w:szCs w:val="22"/>
          <w:lang w:val="en-US"/>
        </w:rPr>
        <w:t xml:space="preserve"> free riding</w:t>
      </w:r>
    </w:p>
    <w:p w:rsidR="00576BD4" w:rsidRPr="00AC2FAD" w:rsidRDefault="00576BD4" w:rsidP="00576BD4">
      <w:pPr>
        <w:pStyle w:val="Default"/>
        <w:ind w:left="360"/>
        <w:jc w:val="both"/>
        <w:rPr>
          <w:rFonts w:asciiTheme="minorHAnsi" w:hAnsiTheme="minorHAnsi"/>
          <w:b/>
          <w:sz w:val="22"/>
          <w:szCs w:val="22"/>
          <w:lang w:val="en-US"/>
        </w:rPr>
      </w:pPr>
    </w:p>
    <w:p w:rsidR="00B02640" w:rsidRPr="00AC2FAD" w:rsidRDefault="00B02640"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lastRenderedPageBreak/>
        <w:t xml:space="preserve">Demand for </w:t>
      </w:r>
      <w:r w:rsidR="000E4F89" w:rsidRPr="00AC2FAD">
        <w:rPr>
          <w:rFonts w:asciiTheme="minorHAnsi" w:hAnsiTheme="minorHAnsi"/>
          <w:sz w:val="22"/>
          <w:szCs w:val="22"/>
          <w:lang w:val="en-US"/>
        </w:rPr>
        <w:t xml:space="preserve">thoughtful </w:t>
      </w:r>
      <w:r w:rsidRPr="00AC2FAD">
        <w:rPr>
          <w:rFonts w:asciiTheme="minorHAnsi" w:hAnsiTheme="minorHAnsi"/>
          <w:sz w:val="22"/>
          <w:szCs w:val="22"/>
          <w:lang w:val="en-US"/>
        </w:rPr>
        <w:t xml:space="preserve">proxy services </w:t>
      </w:r>
      <w:r w:rsidR="00A75956" w:rsidRPr="00AC2FAD">
        <w:rPr>
          <w:rFonts w:asciiTheme="minorHAnsi" w:hAnsiTheme="minorHAnsi"/>
          <w:sz w:val="22"/>
          <w:szCs w:val="22"/>
          <w:lang w:val="en-US"/>
        </w:rPr>
        <w:t>remains</w:t>
      </w:r>
      <w:r w:rsidR="000E4F89" w:rsidRPr="00AC2FAD">
        <w:rPr>
          <w:rFonts w:asciiTheme="minorHAnsi" w:hAnsiTheme="minorHAnsi"/>
          <w:sz w:val="22"/>
          <w:szCs w:val="22"/>
          <w:lang w:val="en-US"/>
        </w:rPr>
        <w:t xml:space="preserve"> </w:t>
      </w:r>
      <w:r w:rsidRPr="00AC2FAD">
        <w:rPr>
          <w:rFonts w:asciiTheme="minorHAnsi" w:hAnsiTheme="minorHAnsi"/>
          <w:sz w:val="22"/>
          <w:szCs w:val="22"/>
          <w:lang w:val="en-US"/>
        </w:rPr>
        <w:t>very weak, particularly since the Global Financial Crisis. At the same time we have observed an increased need for high quality governance interventions</w:t>
      </w:r>
      <w:r w:rsidR="000E4F89" w:rsidRPr="00AC2FAD">
        <w:rPr>
          <w:rFonts w:asciiTheme="minorHAnsi" w:hAnsiTheme="minorHAnsi"/>
          <w:sz w:val="22"/>
          <w:szCs w:val="22"/>
          <w:lang w:val="en-US"/>
        </w:rPr>
        <w:t>. T</w:t>
      </w:r>
      <w:r w:rsidRPr="00AC2FAD">
        <w:rPr>
          <w:rFonts w:asciiTheme="minorHAnsi" w:hAnsiTheme="minorHAnsi"/>
          <w:sz w:val="22"/>
          <w:szCs w:val="22"/>
          <w:lang w:val="en-US"/>
        </w:rPr>
        <w:t xml:space="preserve">he </w:t>
      </w:r>
      <w:r w:rsidR="000E4F89" w:rsidRPr="00AC2FAD">
        <w:rPr>
          <w:rFonts w:asciiTheme="minorHAnsi" w:hAnsiTheme="minorHAnsi"/>
          <w:sz w:val="22"/>
          <w:szCs w:val="22"/>
          <w:lang w:val="en-US"/>
        </w:rPr>
        <w:t xml:space="preserve">resulting </w:t>
      </w:r>
      <w:r w:rsidRPr="00AC2FAD">
        <w:rPr>
          <w:rFonts w:asciiTheme="minorHAnsi" w:hAnsiTheme="minorHAnsi"/>
          <w:sz w:val="22"/>
          <w:szCs w:val="22"/>
          <w:lang w:val="en-US"/>
        </w:rPr>
        <w:t xml:space="preserve">lack of investment in </w:t>
      </w:r>
      <w:r w:rsidR="000E4F89" w:rsidRPr="00AC2FAD">
        <w:rPr>
          <w:rFonts w:asciiTheme="minorHAnsi" w:hAnsiTheme="minorHAnsi"/>
          <w:sz w:val="22"/>
          <w:szCs w:val="22"/>
          <w:lang w:val="en-US"/>
        </w:rPr>
        <w:t xml:space="preserve">meaningful </w:t>
      </w:r>
      <w:r w:rsidRPr="00AC2FAD">
        <w:rPr>
          <w:rFonts w:asciiTheme="minorHAnsi" w:hAnsiTheme="minorHAnsi"/>
          <w:sz w:val="22"/>
          <w:szCs w:val="22"/>
          <w:lang w:val="en-US"/>
        </w:rPr>
        <w:t>resources to support governance and investor stewardship has led to some ve</w:t>
      </w:r>
      <w:r w:rsidR="00087D54">
        <w:rPr>
          <w:rFonts w:asciiTheme="minorHAnsi" w:hAnsiTheme="minorHAnsi"/>
          <w:sz w:val="22"/>
          <w:szCs w:val="22"/>
          <w:lang w:val="en-US"/>
        </w:rPr>
        <w:t xml:space="preserve">ry poor outcomes for </w:t>
      </w:r>
      <w:proofErr w:type="gramStart"/>
      <w:r w:rsidR="00087D54">
        <w:rPr>
          <w:rFonts w:asciiTheme="minorHAnsi" w:hAnsiTheme="minorHAnsi"/>
          <w:sz w:val="22"/>
          <w:szCs w:val="22"/>
          <w:lang w:val="en-US"/>
        </w:rPr>
        <w:t>investors :s</w:t>
      </w:r>
      <w:r w:rsidR="000E4F89" w:rsidRPr="00AC2FAD">
        <w:rPr>
          <w:rFonts w:asciiTheme="minorHAnsi" w:hAnsiTheme="minorHAnsi"/>
          <w:sz w:val="22"/>
          <w:szCs w:val="22"/>
          <w:lang w:val="en-US"/>
        </w:rPr>
        <w:t>imply</w:t>
      </w:r>
      <w:proofErr w:type="gramEnd"/>
      <w:r w:rsidR="000E4F89" w:rsidRPr="00AC2FAD">
        <w:rPr>
          <w:rFonts w:asciiTheme="minorHAnsi" w:hAnsiTheme="minorHAnsi"/>
          <w:sz w:val="22"/>
          <w:szCs w:val="22"/>
          <w:lang w:val="en-US"/>
        </w:rPr>
        <w:t xml:space="preserve"> put, the drive for economy and compliance has been a very expensiv</w:t>
      </w:r>
      <w:r w:rsidR="00087D54">
        <w:rPr>
          <w:rFonts w:asciiTheme="minorHAnsi" w:hAnsiTheme="minorHAnsi"/>
          <w:sz w:val="22"/>
          <w:szCs w:val="22"/>
          <w:lang w:val="en-US"/>
        </w:rPr>
        <w:t>e strategy for the wider market</w:t>
      </w:r>
      <w:r w:rsidR="000E4F89" w:rsidRPr="00AC2FAD">
        <w:rPr>
          <w:rFonts w:asciiTheme="minorHAnsi" w:hAnsiTheme="minorHAnsi"/>
          <w:sz w:val="22"/>
          <w:szCs w:val="22"/>
          <w:lang w:val="en-US"/>
        </w:rPr>
        <w:t>.</w:t>
      </w:r>
    </w:p>
    <w:p w:rsidR="00A75956" w:rsidRPr="00AC2FAD" w:rsidRDefault="00A75956" w:rsidP="00DD5FEE">
      <w:pPr>
        <w:pStyle w:val="Default"/>
        <w:jc w:val="both"/>
        <w:rPr>
          <w:rFonts w:asciiTheme="minorHAnsi" w:hAnsiTheme="minorHAnsi"/>
          <w:sz w:val="22"/>
          <w:szCs w:val="22"/>
          <w:lang w:val="en-US"/>
        </w:rPr>
      </w:pPr>
    </w:p>
    <w:p w:rsidR="006F44E8" w:rsidRPr="00AC2FAD" w:rsidRDefault="00B02640"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For</w:t>
      </w:r>
      <w:r w:rsidR="00D37C41" w:rsidRPr="00AC2FAD">
        <w:rPr>
          <w:rFonts w:asciiTheme="minorHAnsi" w:hAnsiTheme="minorHAnsi"/>
          <w:sz w:val="22"/>
          <w:szCs w:val="22"/>
          <w:lang w:val="en-US"/>
        </w:rPr>
        <w:t xml:space="preserve"> example</w:t>
      </w:r>
      <w:r w:rsidRPr="00AC2FAD">
        <w:rPr>
          <w:rFonts w:asciiTheme="minorHAnsi" w:hAnsiTheme="minorHAnsi"/>
          <w:sz w:val="22"/>
          <w:szCs w:val="22"/>
          <w:lang w:val="en-US"/>
        </w:rPr>
        <w:t>,</w:t>
      </w:r>
      <w:r w:rsidR="00D37C41"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in 2006 </w:t>
      </w:r>
      <w:r w:rsidR="00D37C41" w:rsidRPr="00AC2FAD">
        <w:rPr>
          <w:rFonts w:asciiTheme="minorHAnsi" w:hAnsiTheme="minorHAnsi"/>
          <w:sz w:val="22"/>
          <w:szCs w:val="22"/>
          <w:lang w:val="en-US"/>
        </w:rPr>
        <w:t>the Wall S</w:t>
      </w:r>
      <w:r w:rsidR="00DD5FEE" w:rsidRPr="00AC2FAD">
        <w:rPr>
          <w:rFonts w:asciiTheme="minorHAnsi" w:hAnsiTheme="minorHAnsi"/>
          <w:sz w:val="22"/>
          <w:szCs w:val="22"/>
          <w:lang w:val="en-US"/>
        </w:rPr>
        <w:t xml:space="preserve">treet Journal </w:t>
      </w:r>
      <w:r w:rsidR="00087D54">
        <w:rPr>
          <w:rFonts w:asciiTheme="minorHAnsi" w:hAnsiTheme="minorHAnsi"/>
          <w:sz w:val="22"/>
          <w:szCs w:val="22"/>
          <w:lang w:val="en-US"/>
        </w:rPr>
        <w:t xml:space="preserve">front page </w:t>
      </w:r>
      <w:r w:rsidR="00DD5FEE" w:rsidRPr="00AC2FAD">
        <w:rPr>
          <w:rFonts w:asciiTheme="minorHAnsi" w:hAnsiTheme="minorHAnsi"/>
          <w:sz w:val="22"/>
          <w:szCs w:val="22"/>
          <w:lang w:val="en-US"/>
        </w:rPr>
        <w:t xml:space="preserve">observed that Proxinvest was the only </w:t>
      </w:r>
      <w:r w:rsidRPr="00AC2FAD">
        <w:rPr>
          <w:rFonts w:asciiTheme="minorHAnsi" w:hAnsiTheme="minorHAnsi"/>
          <w:sz w:val="22"/>
          <w:szCs w:val="22"/>
          <w:lang w:val="en-US"/>
        </w:rPr>
        <w:t xml:space="preserve">governance </w:t>
      </w:r>
      <w:r w:rsidR="00DD5FEE" w:rsidRPr="00AC2FAD">
        <w:rPr>
          <w:rFonts w:asciiTheme="minorHAnsi" w:hAnsiTheme="minorHAnsi"/>
          <w:sz w:val="22"/>
          <w:szCs w:val="22"/>
          <w:lang w:val="en-US"/>
        </w:rPr>
        <w:t>analyst to</w:t>
      </w:r>
      <w:r w:rsidRPr="00AC2FAD">
        <w:rPr>
          <w:rFonts w:asciiTheme="minorHAnsi" w:hAnsiTheme="minorHAnsi"/>
          <w:sz w:val="22"/>
          <w:szCs w:val="22"/>
          <w:lang w:val="en-US"/>
        </w:rPr>
        <w:t xml:space="preserve"> provide an in-depth critical analysis and </w:t>
      </w:r>
      <w:r w:rsidR="00D37C41" w:rsidRPr="00AC2FAD">
        <w:rPr>
          <w:rFonts w:asciiTheme="minorHAnsi" w:hAnsiTheme="minorHAnsi"/>
          <w:sz w:val="22"/>
          <w:szCs w:val="22"/>
          <w:lang w:val="en-US"/>
        </w:rPr>
        <w:t>recommend opposition</w:t>
      </w:r>
      <w:r w:rsidR="00DD5FEE" w:rsidRPr="00AC2FAD">
        <w:rPr>
          <w:rFonts w:asciiTheme="minorHAnsi" w:hAnsiTheme="minorHAnsi"/>
          <w:sz w:val="22"/>
          <w:szCs w:val="22"/>
          <w:lang w:val="en-US"/>
        </w:rPr>
        <w:t xml:space="preserve"> to the merger between Alcatel and Lucent</w:t>
      </w:r>
      <w:r w:rsidRPr="00AC2FAD">
        <w:rPr>
          <w:rFonts w:asciiTheme="minorHAnsi" w:hAnsiTheme="minorHAnsi"/>
          <w:sz w:val="22"/>
          <w:szCs w:val="22"/>
          <w:lang w:val="en-US"/>
        </w:rPr>
        <w:t xml:space="preserve">. Proxinvest </w:t>
      </w:r>
      <w:r w:rsidR="000339C9">
        <w:rPr>
          <w:rFonts w:asciiTheme="minorHAnsi" w:hAnsiTheme="minorHAnsi"/>
          <w:sz w:val="22"/>
          <w:szCs w:val="22"/>
          <w:lang w:val="en-US"/>
        </w:rPr>
        <w:t>explain</w:t>
      </w:r>
      <w:r w:rsidRPr="00AC2FAD">
        <w:rPr>
          <w:rFonts w:asciiTheme="minorHAnsi" w:hAnsiTheme="minorHAnsi"/>
          <w:sz w:val="22"/>
          <w:szCs w:val="22"/>
          <w:lang w:val="en-US"/>
        </w:rPr>
        <w:t>ed that the</w:t>
      </w:r>
      <w:r w:rsidR="00D37C41" w:rsidRPr="00AC2FAD">
        <w:rPr>
          <w:rFonts w:asciiTheme="minorHAnsi" w:hAnsiTheme="minorHAnsi"/>
          <w:sz w:val="22"/>
          <w:szCs w:val="22"/>
          <w:lang w:val="en-US"/>
        </w:rPr>
        <w:t xml:space="preserve"> deal</w:t>
      </w:r>
      <w:r w:rsidR="00DD5FEE" w:rsidRPr="00AC2FAD">
        <w:rPr>
          <w:rFonts w:asciiTheme="minorHAnsi" w:hAnsiTheme="minorHAnsi"/>
          <w:sz w:val="22"/>
          <w:szCs w:val="22"/>
          <w:lang w:val="en-US"/>
        </w:rPr>
        <w:t xml:space="preserve"> appeared </w:t>
      </w:r>
      <w:r w:rsidR="00D37C41" w:rsidRPr="00AC2FAD">
        <w:rPr>
          <w:rFonts w:asciiTheme="minorHAnsi" w:hAnsiTheme="minorHAnsi"/>
          <w:sz w:val="22"/>
          <w:szCs w:val="22"/>
          <w:lang w:val="en-US"/>
        </w:rPr>
        <w:t xml:space="preserve">to </w:t>
      </w:r>
      <w:r w:rsidRPr="00AC2FAD">
        <w:rPr>
          <w:rFonts w:asciiTheme="minorHAnsi" w:hAnsiTheme="minorHAnsi"/>
          <w:sz w:val="22"/>
          <w:szCs w:val="22"/>
          <w:lang w:val="en-US"/>
        </w:rPr>
        <w:t>be</w:t>
      </w:r>
      <w:r w:rsidR="00D37C41" w:rsidRPr="00AC2FAD">
        <w:rPr>
          <w:rFonts w:asciiTheme="minorHAnsi" w:hAnsiTheme="minorHAnsi"/>
          <w:sz w:val="22"/>
          <w:szCs w:val="22"/>
          <w:lang w:val="en-US"/>
        </w:rPr>
        <w:t xml:space="preserve"> </w:t>
      </w:r>
      <w:r w:rsidR="00DD5FEE" w:rsidRPr="00AC2FAD">
        <w:rPr>
          <w:rFonts w:asciiTheme="minorHAnsi" w:hAnsiTheme="minorHAnsi"/>
          <w:sz w:val="22"/>
          <w:szCs w:val="22"/>
          <w:lang w:val="en-US"/>
        </w:rPr>
        <w:t xml:space="preserve">clearly biased against Alcatel shareholders and was </w:t>
      </w:r>
      <w:r w:rsidRPr="00AC2FAD">
        <w:rPr>
          <w:rFonts w:asciiTheme="minorHAnsi" w:hAnsiTheme="minorHAnsi"/>
          <w:sz w:val="22"/>
          <w:szCs w:val="22"/>
          <w:lang w:val="en-US"/>
        </w:rPr>
        <w:t xml:space="preserve">exposed </w:t>
      </w:r>
      <w:r w:rsidR="00453927">
        <w:rPr>
          <w:rFonts w:asciiTheme="minorHAnsi" w:hAnsiTheme="minorHAnsi"/>
          <w:sz w:val="22"/>
          <w:szCs w:val="22"/>
          <w:lang w:val="en-US"/>
        </w:rPr>
        <w:t xml:space="preserve">to </w:t>
      </w:r>
      <w:r w:rsidRPr="00AC2FAD">
        <w:rPr>
          <w:rFonts w:asciiTheme="minorHAnsi" w:hAnsiTheme="minorHAnsi"/>
          <w:sz w:val="22"/>
          <w:szCs w:val="22"/>
          <w:lang w:val="en-US"/>
        </w:rPr>
        <w:t xml:space="preserve">significant </w:t>
      </w:r>
      <w:r w:rsidR="00DD5FEE" w:rsidRPr="00AC2FAD">
        <w:rPr>
          <w:rFonts w:asciiTheme="minorHAnsi" w:hAnsiTheme="minorHAnsi"/>
          <w:sz w:val="22"/>
          <w:szCs w:val="22"/>
          <w:lang w:val="en-US"/>
        </w:rPr>
        <w:t xml:space="preserve">dangerous governance </w:t>
      </w:r>
      <w:r w:rsidR="00A75956" w:rsidRPr="00AC2FAD">
        <w:rPr>
          <w:rFonts w:asciiTheme="minorHAnsi" w:hAnsiTheme="minorHAnsi"/>
          <w:sz w:val="22"/>
          <w:szCs w:val="22"/>
          <w:lang w:val="en-US"/>
        </w:rPr>
        <w:t>weaknesses, a</w:t>
      </w:r>
      <w:r w:rsidR="00D37C41" w:rsidRPr="00AC2FAD">
        <w:rPr>
          <w:rFonts w:asciiTheme="minorHAnsi" w:hAnsiTheme="minorHAnsi"/>
          <w:sz w:val="22"/>
          <w:szCs w:val="22"/>
          <w:lang w:val="en-US"/>
        </w:rPr>
        <w:t xml:space="preserve"> situation </w:t>
      </w:r>
      <w:r w:rsidR="00986269">
        <w:rPr>
          <w:rFonts w:asciiTheme="minorHAnsi" w:hAnsiTheme="minorHAnsi"/>
          <w:sz w:val="22"/>
          <w:szCs w:val="22"/>
          <w:lang w:val="en-US"/>
        </w:rPr>
        <w:t>which, following an 87% approval vote of the merger</w:t>
      </w:r>
      <w:r w:rsidR="00453927">
        <w:rPr>
          <w:rFonts w:asciiTheme="minorHAnsi" w:hAnsiTheme="minorHAnsi"/>
          <w:sz w:val="22"/>
          <w:szCs w:val="22"/>
          <w:lang w:val="en-US"/>
        </w:rPr>
        <w:t>,</w:t>
      </w:r>
      <w:r w:rsidR="00986269">
        <w:rPr>
          <w:rFonts w:asciiTheme="minorHAnsi" w:hAnsiTheme="minorHAnsi"/>
          <w:sz w:val="22"/>
          <w:szCs w:val="22"/>
          <w:lang w:val="en-US"/>
        </w:rPr>
        <w:t xml:space="preserve"> </w:t>
      </w:r>
      <w:r w:rsidR="000339C9">
        <w:rPr>
          <w:rFonts w:asciiTheme="minorHAnsi" w:hAnsiTheme="minorHAnsi"/>
          <w:sz w:val="22"/>
          <w:szCs w:val="22"/>
          <w:lang w:val="en-US"/>
        </w:rPr>
        <w:t xml:space="preserve">finally </w:t>
      </w:r>
      <w:r w:rsidR="00DD5FEE" w:rsidRPr="00AC2FAD">
        <w:rPr>
          <w:rFonts w:asciiTheme="minorHAnsi" w:hAnsiTheme="minorHAnsi"/>
          <w:sz w:val="22"/>
          <w:szCs w:val="22"/>
          <w:lang w:val="en-US"/>
        </w:rPr>
        <w:t>resulted in a very poor outcome for Alcatel shareholders</w:t>
      </w:r>
      <w:r w:rsidR="00453927">
        <w:rPr>
          <w:rFonts w:asciiTheme="minorHAnsi" w:hAnsiTheme="minorHAnsi"/>
          <w:sz w:val="22"/>
          <w:szCs w:val="22"/>
          <w:lang w:val="en-US"/>
        </w:rPr>
        <w:t>,</w:t>
      </w:r>
      <w:r w:rsidR="000339C9">
        <w:rPr>
          <w:rFonts w:asciiTheme="minorHAnsi" w:hAnsiTheme="minorHAnsi"/>
          <w:sz w:val="22"/>
          <w:szCs w:val="22"/>
          <w:lang w:val="en-US"/>
        </w:rPr>
        <w:t xml:space="preserve"> as confirmed</w:t>
      </w:r>
      <w:r w:rsidRPr="00AC2FAD">
        <w:rPr>
          <w:rFonts w:asciiTheme="minorHAnsi" w:hAnsiTheme="minorHAnsi"/>
          <w:sz w:val="22"/>
          <w:szCs w:val="22"/>
          <w:lang w:val="en-US"/>
        </w:rPr>
        <w:t xml:space="preserve"> in 2015 when, commenting on the Nokia deal</w:t>
      </w:r>
      <w:r w:rsidR="006F44E8"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Alcatel Lucent was </w:t>
      </w:r>
      <w:r w:rsidR="006F44E8" w:rsidRPr="00AC2FAD">
        <w:rPr>
          <w:rFonts w:asciiTheme="minorHAnsi" w:hAnsiTheme="minorHAnsi"/>
          <w:sz w:val="22"/>
          <w:szCs w:val="22"/>
          <w:lang w:val="en-US"/>
        </w:rPr>
        <w:t xml:space="preserve">described by the Financial Times as </w:t>
      </w:r>
      <w:r w:rsidRPr="00AC2FAD">
        <w:rPr>
          <w:rFonts w:asciiTheme="minorHAnsi" w:hAnsiTheme="minorHAnsi"/>
          <w:sz w:val="22"/>
          <w:szCs w:val="22"/>
          <w:lang w:val="en-US"/>
        </w:rPr>
        <w:t>the result of an “ill-fated French-US Merger”</w:t>
      </w:r>
      <w:r w:rsidR="006F44E8" w:rsidRPr="00AC2FAD">
        <w:rPr>
          <w:rStyle w:val="Appelnotedebasdep"/>
          <w:rFonts w:asciiTheme="minorHAnsi" w:hAnsiTheme="minorHAnsi"/>
          <w:sz w:val="22"/>
          <w:szCs w:val="22"/>
          <w:lang w:val="en-US"/>
        </w:rPr>
        <w:footnoteReference w:id="2"/>
      </w:r>
      <w:r w:rsidRPr="00AC2FAD">
        <w:rPr>
          <w:rFonts w:asciiTheme="minorHAnsi" w:hAnsiTheme="minorHAnsi"/>
          <w:sz w:val="22"/>
          <w:szCs w:val="22"/>
          <w:lang w:val="en-US"/>
        </w:rPr>
        <w:t xml:space="preserve"> </w:t>
      </w:r>
    </w:p>
    <w:p w:rsidR="00A75956" w:rsidRPr="00AC2FAD" w:rsidRDefault="00A75956" w:rsidP="00DD5FEE">
      <w:pPr>
        <w:pStyle w:val="Default"/>
        <w:jc w:val="both"/>
        <w:rPr>
          <w:rFonts w:asciiTheme="minorHAnsi" w:hAnsiTheme="minorHAnsi"/>
          <w:sz w:val="22"/>
          <w:szCs w:val="22"/>
          <w:lang w:val="en-US"/>
        </w:rPr>
      </w:pPr>
    </w:p>
    <w:p w:rsidR="007E1D6A" w:rsidRDefault="00DD5FEE"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Proxinvest </w:t>
      </w:r>
      <w:r w:rsidR="006F44E8" w:rsidRPr="00AC2FAD">
        <w:rPr>
          <w:rFonts w:asciiTheme="minorHAnsi" w:hAnsiTheme="minorHAnsi"/>
          <w:sz w:val="22"/>
          <w:szCs w:val="22"/>
          <w:lang w:val="en-US"/>
        </w:rPr>
        <w:t xml:space="preserve">raised similar concerns </w:t>
      </w:r>
      <w:r w:rsidR="000339C9">
        <w:rPr>
          <w:rFonts w:asciiTheme="minorHAnsi" w:hAnsiTheme="minorHAnsi"/>
          <w:sz w:val="22"/>
          <w:szCs w:val="22"/>
          <w:lang w:val="en-US"/>
        </w:rPr>
        <w:t xml:space="preserve">in due time </w:t>
      </w:r>
      <w:r w:rsidR="006F44E8" w:rsidRPr="00AC2FAD">
        <w:rPr>
          <w:rFonts w:asciiTheme="minorHAnsi" w:hAnsiTheme="minorHAnsi"/>
          <w:sz w:val="22"/>
          <w:szCs w:val="22"/>
          <w:lang w:val="en-US"/>
        </w:rPr>
        <w:t xml:space="preserve">on </w:t>
      </w:r>
      <w:r w:rsidR="000339C9">
        <w:rPr>
          <w:rFonts w:asciiTheme="minorHAnsi" w:hAnsiTheme="minorHAnsi"/>
          <w:sz w:val="22"/>
          <w:szCs w:val="22"/>
          <w:lang w:val="en-US"/>
        </w:rPr>
        <w:t>many corporate actions such as the</w:t>
      </w:r>
      <w:r w:rsidR="006F44E8" w:rsidRPr="00AC2FAD">
        <w:rPr>
          <w:rFonts w:asciiTheme="minorHAnsi" w:hAnsiTheme="minorHAnsi"/>
          <w:sz w:val="22"/>
          <w:szCs w:val="22"/>
          <w:lang w:val="en-US"/>
        </w:rPr>
        <w:t xml:space="preserve"> Vivendi/Universal and NYSE/Euronext mergers</w:t>
      </w:r>
      <w:r w:rsidR="00453927">
        <w:rPr>
          <w:rFonts w:asciiTheme="minorHAnsi" w:hAnsiTheme="minorHAnsi"/>
          <w:sz w:val="22"/>
          <w:szCs w:val="22"/>
          <w:lang w:val="en-US"/>
        </w:rPr>
        <w:t xml:space="preserve"> or Vodaf</w:t>
      </w:r>
      <w:r w:rsidR="00B84709">
        <w:rPr>
          <w:rFonts w:asciiTheme="minorHAnsi" w:hAnsiTheme="minorHAnsi"/>
          <w:sz w:val="22"/>
          <w:szCs w:val="22"/>
          <w:lang w:val="en-US"/>
        </w:rPr>
        <w:t>one 2013 asset sale to Verizon</w:t>
      </w:r>
      <w:r w:rsidR="00453927">
        <w:rPr>
          <w:rFonts w:asciiTheme="minorHAnsi" w:hAnsiTheme="minorHAnsi"/>
          <w:sz w:val="22"/>
          <w:szCs w:val="22"/>
          <w:lang w:val="en-US"/>
        </w:rPr>
        <w:t>, transactions that were all largely approved</w:t>
      </w:r>
      <w:r w:rsidR="00B84709">
        <w:rPr>
          <w:rFonts w:asciiTheme="minorHAnsi" w:hAnsiTheme="minorHAnsi"/>
          <w:sz w:val="22"/>
          <w:szCs w:val="22"/>
          <w:lang w:val="en-US"/>
        </w:rPr>
        <w:t xml:space="preserve">. </w:t>
      </w:r>
      <w:r w:rsidR="006F44E8" w:rsidRPr="00AC2FAD">
        <w:rPr>
          <w:rFonts w:asciiTheme="minorHAnsi" w:hAnsiTheme="minorHAnsi"/>
          <w:sz w:val="22"/>
          <w:szCs w:val="22"/>
          <w:lang w:val="en-US"/>
        </w:rPr>
        <w:t xml:space="preserve"> In addition we have highlighted many situations </w:t>
      </w:r>
      <w:r w:rsidRPr="00AC2FAD">
        <w:rPr>
          <w:rFonts w:asciiTheme="minorHAnsi" w:hAnsiTheme="minorHAnsi"/>
          <w:sz w:val="22"/>
          <w:szCs w:val="22"/>
          <w:lang w:val="en-US"/>
        </w:rPr>
        <w:t xml:space="preserve">of self-dealing and </w:t>
      </w:r>
      <w:r w:rsidR="006F44E8" w:rsidRPr="00AC2FAD">
        <w:rPr>
          <w:rFonts w:asciiTheme="minorHAnsi" w:hAnsiTheme="minorHAnsi"/>
          <w:sz w:val="22"/>
          <w:szCs w:val="22"/>
          <w:lang w:val="en-US"/>
        </w:rPr>
        <w:t xml:space="preserve">poor </w:t>
      </w:r>
      <w:r w:rsidRPr="00AC2FAD">
        <w:rPr>
          <w:rFonts w:asciiTheme="minorHAnsi" w:hAnsiTheme="minorHAnsi"/>
          <w:sz w:val="22"/>
          <w:szCs w:val="22"/>
          <w:lang w:val="en-US"/>
        </w:rPr>
        <w:t>management</w:t>
      </w:r>
      <w:r w:rsidR="000339C9">
        <w:rPr>
          <w:rFonts w:asciiTheme="minorHAnsi" w:hAnsiTheme="minorHAnsi"/>
          <w:sz w:val="22"/>
          <w:szCs w:val="22"/>
          <w:lang w:val="en-US"/>
        </w:rPr>
        <w:t>,</w:t>
      </w:r>
      <w:r w:rsidRPr="00AC2FAD">
        <w:rPr>
          <w:rFonts w:asciiTheme="minorHAnsi" w:hAnsiTheme="minorHAnsi"/>
          <w:sz w:val="22"/>
          <w:szCs w:val="22"/>
          <w:lang w:val="en-US"/>
        </w:rPr>
        <w:t xml:space="preserve"> notably by listed banks</w:t>
      </w:r>
      <w:r w:rsidR="000339C9">
        <w:rPr>
          <w:rFonts w:asciiTheme="minorHAnsi" w:hAnsiTheme="minorHAnsi"/>
          <w:sz w:val="22"/>
          <w:szCs w:val="22"/>
          <w:lang w:val="en-US"/>
        </w:rPr>
        <w:t>,</w:t>
      </w:r>
      <w:r w:rsidRPr="00AC2FAD">
        <w:rPr>
          <w:rFonts w:asciiTheme="minorHAnsi" w:hAnsiTheme="minorHAnsi"/>
          <w:sz w:val="22"/>
          <w:szCs w:val="22"/>
          <w:lang w:val="en-US"/>
        </w:rPr>
        <w:t xml:space="preserve"> </w:t>
      </w:r>
      <w:r w:rsidR="006F44E8" w:rsidRPr="00AC2FAD">
        <w:rPr>
          <w:rFonts w:asciiTheme="minorHAnsi" w:hAnsiTheme="minorHAnsi"/>
          <w:sz w:val="22"/>
          <w:szCs w:val="22"/>
          <w:lang w:val="en-US"/>
        </w:rPr>
        <w:t>which have been</w:t>
      </w:r>
      <w:r w:rsidRPr="00AC2FAD">
        <w:rPr>
          <w:rFonts w:asciiTheme="minorHAnsi" w:hAnsiTheme="minorHAnsi"/>
          <w:sz w:val="22"/>
          <w:szCs w:val="22"/>
          <w:lang w:val="en-US"/>
        </w:rPr>
        <w:t xml:space="preserve"> the result of blind approval of </w:t>
      </w:r>
      <w:r w:rsidR="006F44E8" w:rsidRPr="00AC2FAD">
        <w:rPr>
          <w:rFonts w:asciiTheme="minorHAnsi" w:hAnsiTheme="minorHAnsi"/>
          <w:sz w:val="22"/>
          <w:szCs w:val="22"/>
          <w:lang w:val="en-US"/>
        </w:rPr>
        <w:t>AGM proposals and resolutions</w:t>
      </w:r>
      <w:r w:rsidR="00A75956" w:rsidRPr="00AC2FAD">
        <w:rPr>
          <w:rFonts w:asciiTheme="minorHAnsi" w:hAnsiTheme="minorHAnsi"/>
          <w:sz w:val="22"/>
          <w:szCs w:val="22"/>
          <w:lang w:val="en-US"/>
        </w:rPr>
        <w:t xml:space="preserve">. </w:t>
      </w:r>
    </w:p>
    <w:p w:rsidR="006F44E8" w:rsidRPr="00AC2FAD" w:rsidRDefault="00D37C41"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 </w:t>
      </w:r>
    </w:p>
    <w:p w:rsidR="000E06DF" w:rsidRPr="00AC2FAD" w:rsidRDefault="00D37C41"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T</w:t>
      </w:r>
      <w:r w:rsidR="00DD5FEE" w:rsidRPr="00AC2FAD">
        <w:rPr>
          <w:rFonts w:asciiTheme="minorHAnsi" w:hAnsiTheme="minorHAnsi"/>
          <w:sz w:val="22"/>
          <w:szCs w:val="22"/>
          <w:lang w:val="en-US"/>
        </w:rPr>
        <w:t xml:space="preserve">he </w:t>
      </w:r>
      <w:hyperlink r:id="rId13" w:history="1">
        <w:r w:rsidR="00DD5FEE" w:rsidRPr="00AC2FAD">
          <w:rPr>
            <w:rStyle w:val="Lienhypertexte"/>
            <w:rFonts w:asciiTheme="minorHAnsi" w:hAnsiTheme="minorHAnsi"/>
            <w:sz w:val="22"/>
            <w:szCs w:val="22"/>
            <w:lang w:val="en-US"/>
          </w:rPr>
          <w:t>Proxinvest voting principles</w:t>
        </w:r>
      </w:hyperlink>
      <w:r w:rsidR="0029046B" w:rsidRPr="00AC2FAD">
        <w:rPr>
          <w:rStyle w:val="Lienhypertexte"/>
          <w:rFonts w:asciiTheme="minorHAnsi" w:hAnsiTheme="minorHAnsi"/>
          <w:sz w:val="22"/>
          <w:szCs w:val="22"/>
          <w:lang w:val="en-US"/>
        </w:rPr>
        <w:t>,</w:t>
      </w:r>
      <w:r w:rsidR="00DD5FEE" w:rsidRPr="00AC2FAD">
        <w:rPr>
          <w:rFonts w:asciiTheme="minorHAnsi" w:hAnsiTheme="minorHAnsi"/>
          <w:sz w:val="22"/>
          <w:szCs w:val="22"/>
          <w:lang w:val="en-US"/>
        </w:rPr>
        <w:t xml:space="preserve"> </w:t>
      </w:r>
      <w:r w:rsidR="0029046B" w:rsidRPr="00AC2FAD">
        <w:rPr>
          <w:rFonts w:asciiTheme="minorHAnsi" w:hAnsiTheme="minorHAnsi"/>
          <w:sz w:val="22"/>
          <w:szCs w:val="22"/>
          <w:lang w:val="en-US"/>
        </w:rPr>
        <w:t xml:space="preserve">have always been in the </w:t>
      </w:r>
      <w:r w:rsidR="00DD5FEE" w:rsidRPr="00AC2FAD">
        <w:rPr>
          <w:rFonts w:asciiTheme="minorHAnsi" w:hAnsiTheme="minorHAnsi"/>
          <w:sz w:val="22"/>
          <w:szCs w:val="22"/>
          <w:lang w:val="en-US"/>
        </w:rPr>
        <w:t xml:space="preserve">public </w:t>
      </w:r>
      <w:r w:rsidR="006F44E8" w:rsidRPr="00AC2FAD">
        <w:rPr>
          <w:rFonts w:asciiTheme="minorHAnsi" w:hAnsiTheme="minorHAnsi"/>
          <w:sz w:val="22"/>
          <w:szCs w:val="22"/>
          <w:lang w:val="en-US"/>
        </w:rPr>
        <w:t>domain</w:t>
      </w:r>
      <w:r w:rsidR="0029046B" w:rsidRPr="00AC2FAD">
        <w:rPr>
          <w:rFonts w:asciiTheme="minorHAnsi" w:hAnsiTheme="minorHAnsi"/>
          <w:sz w:val="22"/>
          <w:szCs w:val="22"/>
          <w:lang w:val="en-US"/>
        </w:rPr>
        <w:t>,</w:t>
      </w:r>
      <w:r w:rsidR="006F44E8" w:rsidRPr="00AC2FAD">
        <w:rPr>
          <w:rFonts w:asciiTheme="minorHAnsi" w:hAnsiTheme="minorHAnsi"/>
          <w:sz w:val="22"/>
          <w:szCs w:val="22"/>
          <w:lang w:val="en-US"/>
        </w:rPr>
        <w:t xml:space="preserve"> </w:t>
      </w:r>
      <w:r w:rsidR="000C55DC" w:rsidRPr="00AC2FAD">
        <w:rPr>
          <w:rFonts w:asciiTheme="minorHAnsi" w:hAnsiTheme="minorHAnsi"/>
          <w:sz w:val="22"/>
          <w:szCs w:val="22"/>
          <w:lang w:val="en-US"/>
        </w:rPr>
        <w:t xml:space="preserve">and </w:t>
      </w:r>
      <w:r w:rsidR="006F44E8" w:rsidRPr="00AC2FAD">
        <w:rPr>
          <w:rFonts w:asciiTheme="minorHAnsi" w:hAnsiTheme="minorHAnsi"/>
          <w:sz w:val="22"/>
          <w:szCs w:val="22"/>
          <w:lang w:val="en-US"/>
        </w:rPr>
        <w:t xml:space="preserve">have been developed to promote the </w:t>
      </w:r>
      <w:r w:rsidR="00DD5FEE" w:rsidRPr="00AC2FAD">
        <w:rPr>
          <w:rFonts w:asciiTheme="minorHAnsi" w:hAnsiTheme="minorHAnsi"/>
          <w:sz w:val="22"/>
          <w:szCs w:val="22"/>
          <w:lang w:val="en-US"/>
        </w:rPr>
        <w:t xml:space="preserve">long term interests of all </w:t>
      </w:r>
      <w:r w:rsidR="007E1D6A">
        <w:rPr>
          <w:rFonts w:asciiTheme="minorHAnsi" w:hAnsiTheme="minorHAnsi"/>
          <w:sz w:val="22"/>
          <w:szCs w:val="22"/>
          <w:lang w:val="en-US"/>
        </w:rPr>
        <w:t xml:space="preserve">careful </w:t>
      </w:r>
      <w:r w:rsidR="00DD5FEE" w:rsidRPr="00AC2FAD">
        <w:rPr>
          <w:rFonts w:asciiTheme="minorHAnsi" w:hAnsiTheme="minorHAnsi"/>
          <w:sz w:val="22"/>
          <w:szCs w:val="22"/>
          <w:lang w:val="en-US"/>
        </w:rPr>
        <w:t>shareholders</w:t>
      </w:r>
      <w:r w:rsidR="000C55DC" w:rsidRPr="00AC2FAD">
        <w:rPr>
          <w:rFonts w:asciiTheme="minorHAnsi" w:hAnsiTheme="minorHAnsi"/>
          <w:sz w:val="22"/>
          <w:szCs w:val="22"/>
          <w:lang w:val="en-US"/>
        </w:rPr>
        <w:t xml:space="preserve">, not just “Activists”. Many defensive company </w:t>
      </w:r>
      <w:r w:rsidR="007E1D6A">
        <w:rPr>
          <w:rFonts w:asciiTheme="minorHAnsi" w:hAnsiTheme="minorHAnsi"/>
          <w:sz w:val="22"/>
          <w:szCs w:val="22"/>
          <w:lang w:val="en-US"/>
        </w:rPr>
        <w:t>management or board might</w:t>
      </w:r>
      <w:r w:rsidR="000C55DC" w:rsidRPr="00AC2FAD">
        <w:rPr>
          <w:rFonts w:asciiTheme="minorHAnsi" w:hAnsiTheme="minorHAnsi"/>
          <w:sz w:val="22"/>
          <w:szCs w:val="22"/>
          <w:lang w:val="en-US"/>
        </w:rPr>
        <w:t xml:space="preserve"> attack thoughtful shareholders with this </w:t>
      </w:r>
      <w:r w:rsidR="007E1D6A">
        <w:rPr>
          <w:rFonts w:asciiTheme="minorHAnsi" w:hAnsiTheme="minorHAnsi"/>
          <w:sz w:val="22"/>
          <w:szCs w:val="22"/>
          <w:lang w:val="en-US"/>
        </w:rPr>
        <w:t xml:space="preserve">activist </w:t>
      </w:r>
      <w:r w:rsidR="000C55DC" w:rsidRPr="00AC2FAD">
        <w:rPr>
          <w:rFonts w:asciiTheme="minorHAnsi" w:hAnsiTheme="minorHAnsi"/>
          <w:sz w:val="22"/>
          <w:szCs w:val="22"/>
          <w:lang w:val="en-US"/>
        </w:rPr>
        <w:t xml:space="preserve">label when we are really talking about long-term active owners. </w:t>
      </w:r>
      <w:r w:rsidR="00453927">
        <w:rPr>
          <w:rFonts w:asciiTheme="minorHAnsi" w:hAnsiTheme="minorHAnsi"/>
          <w:sz w:val="22"/>
          <w:szCs w:val="22"/>
          <w:lang w:val="en-US"/>
        </w:rPr>
        <w:t>It is actually impressive to observe that these</w:t>
      </w:r>
      <w:r w:rsidR="000C55DC" w:rsidRPr="00AC2FAD">
        <w:rPr>
          <w:rFonts w:asciiTheme="minorHAnsi" w:hAnsiTheme="minorHAnsi"/>
          <w:sz w:val="22"/>
          <w:szCs w:val="22"/>
          <w:lang w:val="en-US"/>
        </w:rPr>
        <w:t xml:space="preserve"> guidelines have</w:t>
      </w:r>
      <w:r w:rsidR="00DD5FEE" w:rsidRPr="00AC2FAD">
        <w:rPr>
          <w:rFonts w:asciiTheme="minorHAnsi" w:hAnsiTheme="minorHAnsi"/>
          <w:sz w:val="22"/>
          <w:szCs w:val="22"/>
          <w:lang w:val="en-US"/>
        </w:rPr>
        <w:t>, on average</w:t>
      </w:r>
      <w:r w:rsidRPr="00AC2FAD">
        <w:rPr>
          <w:rFonts w:asciiTheme="minorHAnsi" w:hAnsiTheme="minorHAnsi"/>
          <w:sz w:val="22"/>
          <w:szCs w:val="22"/>
          <w:lang w:val="en-US"/>
        </w:rPr>
        <w:t xml:space="preserve"> </w:t>
      </w:r>
      <w:r w:rsidR="00453927" w:rsidRPr="00AC2FAD">
        <w:rPr>
          <w:rFonts w:asciiTheme="minorHAnsi" w:hAnsiTheme="minorHAnsi"/>
          <w:sz w:val="22"/>
          <w:szCs w:val="22"/>
          <w:lang w:val="en-US"/>
        </w:rPr>
        <w:t>over the last five years</w:t>
      </w:r>
      <w:r w:rsidR="00453927" w:rsidRPr="00453927">
        <w:rPr>
          <w:rFonts w:asciiTheme="minorHAnsi" w:hAnsiTheme="minorHAnsi"/>
          <w:sz w:val="22"/>
          <w:szCs w:val="22"/>
          <w:lang w:val="en-US"/>
        </w:rPr>
        <w:t xml:space="preserve">, recommended to vote against 30% of all </w:t>
      </w:r>
      <w:r w:rsidR="00453927">
        <w:rPr>
          <w:rFonts w:asciiTheme="minorHAnsi" w:hAnsiTheme="minorHAnsi"/>
          <w:sz w:val="22"/>
          <w:szCs w:val="22"/>
          <w:lang w:val="en-US"/>
        </w:rPr>
        <w:t xml:space="preserve">AGM </w:t>
      </w:r>
      <w:r w:rsidR="00453927" w:rsidRPr="00453927">
        <w:rPr>
          <w:rFonts w:asciiTheme="minorHAnsi" w:hAnsiTheme="minorHAnsi"/>
          <w:sz w:val="22"/>
          <w:szCs w:val="22"/>
          <w:lang w:val="en-US"/>
        </w:rPr>
        <w:t>resolutions</w:t>
      </w:r>
      <w:r w:rsidR="00453927">
        <w:rPr>
          <w:rFonts w:asciiTheme="minorHAnsi" w:hAnsiTheme="minorHAnsi"/>
          <w:sz w:val="22"/>
          <w:szCs w:val="22"/>
          <w:lang w:val="en-US"/>
        </w:rPr>
        <w:t xml:space="preserve"> proposed by</w:t>
      </w:r>
      <w:r w:rsidR="006F44E8" w:rsidRPr="00AC2FAD">
        <w:rPr>
          <w:rFonts w:asciiTheme="minorHAnsi" w:hAnsiTheme="minorHAnsi"/>
          <w:sz w:val="22"/>
          <w:szCs w:val="22"/>
          <w:lang w:val="en-US"/>
        </w:rPr>
        <w:t xml:space="preserve"> management</w:t>
      </w:r>
      <w:r w:rsidR="00A75956" w:rsidRPr="00AC2FAD">
        <w:rPr>
          <w:rFonts w:asciiTheme="minorHAnsi" w:hAnsiTheme="minorHAnsi"/>
          <w:sz w:val="22"/>
          <w:szCs w:val="22"/>
          <w:lang w:val="en-US"/>
        </w:rPr>
        <w:t xml:space="preserve">. </w:t>
      </w:r>
    </w:p>
    <w:p w:rsidR="000E06DF" w:rsidRPr="00AC2FAD" w:rsidRDefault="000E06DF"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Despite </w:t>
      </w:r>
      <w:r w:rsidR="0029046B" w:rsidRPr="00AC2FAD">
        <w:rPr>
          <w:rFonts w:asciiTheme="minorHAnsi" w:hAnsiTheme="minorHAnsi"/>
          <w:sz w:val="22"/>
          <w:szCs w:val="22"/>
          <w:lang w:val="en-US"/>
        </w:rPr>
        <w:t xml:space="preserve">raising awareness of </w:t>
      </w:r>
      <w:r w:rsidRPr="00AC2FAD">
        <w:rPr>
          <w:rFonts w:asciiTheme="minorHAnsi" w:hAnsiTheme="minorHAnsi"/>
          <w:sz w:val="22"/>
          <w:szCs w:val="22"/>
          <w:lang w:val="en-US"/>
        </w:rPr>
        <w:t xml:space="preserve">many concerns and </w:t>
      </w:r>
      <w:r w:rsidR="00D37C41" w:rsidRPr="00AC2FAD">
        <w:rPr>
          <w:rFonts w:asciiTheme="minorHAnsi" w:hAnsiTheme="minorHAnsi"/>
          <w:sz w:val="22"/>
          <w:szCs w:val="22"/>
          <w:lang w:val="en-US"/>
        </w:rPr>
        <w:t xml:space="preserve">the related </w:t>
      </w:r>
      <w:r w:rsidRPr="00AC2FAD">
        <w:rPr>
          <w:rFonts w:asciiTheme="minorHAnsi" w:hAnsiTheme="minorHAnsi"/>
          <w:sz w:val="22"/>
          <w:szCs w:val="22"/>
          <w:lang w:val="en-US"/>
        </w:rPr>
        <w:t>risk</w:t>
      </w:r>
      <w:r w:rsidR="00D37C41" w:rsidRPr="00AC2FAD">
        <w:rPr>
          <w:rFonts w:asciiTheme="minorHAnsi" w:hAnsiTheme="minorHAnsi"/>
          <w:sz w:val="22"/>
          <w:szCs w:val="22"/>
          <w:lang w:val="en-US"/>
        </w:rPr>
        <w:t>s</w:t>
      </w:r>
      <w:r w:rsidRPr="00AC2FAD">
        <w:rPr>
          <w:rFonts w:asciiTheme="minorHAnsi" w:hAnsiTheme="minorHAnsi"/>
          <w:sz w:val="22"/>
          <w:szCs w:val="22"/>
          <w:lang w:val="en-US"/>
        </w:rPr>
        <w:t xml:space="preserve"> for shareholders, these </w:t>
      </w:r>
      <w:r w:rsidR="0029046B" w:rsidRPr="00AC2FAD">
        <w:rPr>
          <w:rFonts w:asciiTheme="minorHAnsi" w:hAnsiTheme="minorHAnsi"/>
          <w:sz w:val="22"/>
          <w:szCs w:val="22"/>
          <w:lang w:val="en-US"/>
        </w:rPr>
        <w:t>resolutions are</w:t>
      </w:r>
      <w:r w:rsidRPr="00AC2FAD">
        <w:rPr>
          <w:rFonts w:asciiTheme="minorHAnsi" w:hAnsiTheme="minorHAnsi"/>
          <w:sz w:val="22"/>
          <w:szCs w:val="22"/>
          <w:lang w:val="en-US"/>
        </w:rPr>
        <w:t xml:space="preserve"> rarely </w:t>
      </w:r>
      <w:r w:rsidR="0029046B" w:rsidRPr="00AC2FAD">
        <w:rPr>
          <w:rFonts w:asciiTheme="minorHAnsi" w:hAnsiTheme="minorHAnsi"/>
          <w:sz w:val="22"/>
          <w:szCs w:val="22"/>
          <w:lang w:val="en-US"/>
        </w:rPr>
        <w:t xml:space="preserve">defeated </w:t>
      </w:r>
      <w:r w:rsidRPr="00AC2FAD">
        <w:rPr>
          <w:rFonts w:asciiTheme="minorHAnsi" w:hAnsiTheme="minorHAnsi"/>
          <w:sz w:val="22"/>
          <w:szCs w:val="22"/>
          <w:lang w:val="en-US"/>
        </w:rPr>
        <w:t>by the general meeting of shareholders</w:t>
      </w:r>
      <w:r w:rsidR="0029046B" w:rsidRPr="00AC2FAD">
        <w:rPr>
          <w:rFonts w:asciiTheme="minorHAnsi" w:hAnsiTheme="minorHAnsi"/>
          <w:sz w:val="22"/>
          <w:szCs w:val="22"/>
          <w:lang w:val="en-US"/>
        </w:rPr>
        <w:t xml:space="preserve"> (</w:t>
      </w:r>
      <w:r w:rsidR="007E1D6A">
        <w:rPr>
          <w:rFonts w:asciiTheme="minorHAnsi" w:hAnsiTheme="minorHAnsi"/>
          <w:sz w:val="22"/>
          <w:szCs w:val="22"/>
          <w:lang w:val="en-US"/>
        </w:rPr>
        <w:t xml:space="preserve">only in </w:t>
      </w:r>
      <w:r w:rsidR="0029046B" w:rsidRPr="00AC2FAD">
        <w:rPr>
          <w:rFonts w:asciiTheme="minorHAnsi" w:hAnsiTheme="minorHAnsi"/>
          <w:sz w:val="22"/>
          <w:szCs w:val="22"/>
          <w:lang w:val="en-US"/>
        </w:rPr>
        <w:t>0</w:t>
      </w:r>
      <w:r w:rsidR="000C55DC" w:rsidRPr="00AC2FAD">
        <w:rPr>
          <w:rFonts w:asciiTheme="minorHAnsi" w:hAnsiTheme="minorHAnsi"/>
          <w:sz w:val="22"/>
          <w:szCs w:val="22"/>
          <w:lang w:val="en-US"/>
        </w:rPr>
        <w:t>.</w:t>
      </w:r>
      <w:r w:rsidR="0029046B" w:rsidRPr="00AC2FAD">
        <w:rPr>
          <w:rFonts w:asciiTheme="minorHAnsi" w:hAnsiTheme="minorHAnsi"/>
          <w:sz w:val="22"/>
          <w:szCs w:val="22"/>
          <w:lang w:val="en-US"/>
        </w:rPr>
        <w:t>05% of cases</w:t>
      </w:r>
      <w:r w:rsidR="007E1D6A">
        <w:rPr>
          <w:rFonts w:asciiTheme="minorHAnsi" w:hAnsiTheme="minorHAnsi"/>
          <w:sz w:val="22"/>
          <w:szCs w:val="22"/>
          <w:lang w:val="en-US"/>
        </w:rPr>
        <w:t xml:space="preserve"> in </w:t>
      </w:r>
      <w:proofErr w:type="gramStart"/>
      <w:r w:rsidR="007E1D6A">
        <w:rPr>
          <w:rFonts w:asciiTheme="minorHAnsi" w:hAnsiTheme="minorHAnsi"/>
          <w:sz w:val="22"/>
          <w:szCs w:val="22"/>
          <w:lang w:val="en-US"/>
        </w:rPr>
        <w:t>France</w:t>
      </w:r>
      <w:r w:rsidR="0029046B" w:rsidRPr="00AC2FAD">
        <w:rPr>
          <w:rFonts w:asciiTheme="minorHAnsi" w:hAnsiTheme="minorHAnsi"/>
          <w:sz w:val="22"/>
          <w:szCs w:val="22"/>
          <w:lang w:val="en-US"/>
        </w:rPr>
        <w:t xml:space="preserve"> )</w:t>
      </w:r>
      <w:proofErr w:type="gramEnd"/>
      <w:r w:rsidRPr="00AC2FAD">
        <w:rPr>
          <w:rFonts w:asciiTheme="minorHAnsi" w:hAnsiTheme="minorHAnsi"/>
          <w:sz w:val="22"/>
          <w:szCs w:val="22"/>
          <w:lang w:val="en-US"/>
        </w:rPr>
        <w:t xml:space="preserve">. </w:t>
      </w:r>
      <w:r w:rsidR="000C55DC" w:rsidRPr="00AC2FAD">
        <w:rPr>
          <w:rFonts w:asciiTheme="minorHAnsi" w:hAnsiTheme="minorHAnsi"/>
          <w:sz w:val="22"/>
          <w:szCs w:val="22"/>
          <w:lang w:val="en-US"/>
        </w:rPr>
        <w:t xml:space="preserve">Investors do not always </w:t>
      </w:r>
      <w:proofErr w:type="gramStart"/>
      <w:r w:rsidR="000C55DC" w:rsidRPr="00AC2FAD">
        <w:rPr>
          <w:rFonts w:asciiTheme="minorHAnsi" w:hAnsiTheme="minorHAnsi"/>
          <w:sz w:val="22"/>
          <w:szCs w:val="22"/>
          <w:lang w:val="en-US"/>
        </w:rPr>
        <w:t>chose</w:t>
      </w:r>
      <w:proofErr w:type="gramEnd"/>
      <w:r w:rsidR="000C55DC" w:rsidRPr="00AC2FAD">
        <w:rPr>
          <w:rFonts w:asciiTheme="minorHAnsi" w:hAnsiTheme="minorHAnsi"/>
          <w:sz w:val="22"/>
          <w:szCs w:val="22"/>
          <w:lang w:val="en-US"/>
        </w:rPr>
        <w:t xml:space="preserve"> to vote </w:t>
      </w:r>
      <w:r w:rsidR="00453927">
        <w:rPr>
          <w:rFonts w:asciiTheme="minorHAnsi" w:hAnsiTheme="minorHAnsi"/>
          <w:sz w:val="22"/>
          <w:szCs w:val="22"/>
          <w:lang w:val="en-US"/>
        </w:rPr>
        <w:t xml:space="preserve">negatively and </w:t>
      </w:r>
      <w:r w:rsidR="00453927" w:rsidRPr="00AC2FAD">
        <w:rPr>
          <w:rFonts w:asciiTheme="minorHAnsi" w:hAnsiTheme="minorHAnsi"/>
          <w:sz w:val="22"/>
          <w:szCs w:val="22"/>
          <w:lang w:val="en-US"/>
        </w:rPr>
        <w:t>may</w:t>
      </w:r>
      <w:r w:rsidR="000C55DC" w:rsidRPr="00AC2FAD">
        <w:rPr>
          <w:rFonts w:asciiTheme="minorHAnsi" w:hAnsiTheme="minorHAnsi"/>
          <w:sz w:val="22"/>
          <w:szCs w:val="22"/>
          <w:lang w:val="en-US"/>
        </w:rPr>
        <w:t xml:space="preserve"> </w:t>
      </w:r>
      <w:r w:rsidR="000E06DF" w:rsidRPr="00AC2FAD">
        <w:rPr>
          <w:rFonts w:asciiTheme="minorHAnsi" w:hAnsiTheme="minorHAnsi"/>
          <w:sz w:val="22"/>
          <w:szCs w:val="22"/>
          <w:lang w:val="en-US"/>
        </w:rPr>
        <w:t>choose</w:t>
      </w:r>
      <w:r w:rsidR="000C55DC" w:rsidRPr="00AC2FAD">
        <w:rPr>
          <w:rFonts w:asciiTheme="minorHAnsi" w:hAnsiTheme="minorHAnsi"/>
          <w:sz w:val="22"/>
          <w:szCs w:val="22"/>
          <w:lang w:val="en-US"/>
        </w:rPr>
        <w:t xml:space="preserve"> </w:t>
      </w:r>
      <w:r w:rsidR="00453927">
        <w:rPr>
          <w:rFonts w:asciiTheme="minorHAnsi" w:hAnsiTheme="minorHAnsi"/>
          <w:sz w:val="22"/>
          <w:szCs w:val="22"/>
          <w:lang w:val="en-US"/>
        </w:rPr>
        <w:t>i</w:t>
      </w:r>
      <w:r w:rsidR="00453927" w:rsidRPr="00AC2FAD">
        <w:rPr>
          <w:rFonts w:asciiTheme="minorHAnsi" w:hAnsiTheme="minorHAnsi"/>
          <w:sz w:val="22"/>
          <w:szCs w:val="22"/>
          <w:lang w:val="en-US"/>
        </w:rPr>
        <w:t>nstead</w:t>
      </w:r>
      <w:r w:rsidR="00453927">
        <w:rPr>
          <w:rFonts w:asciiTheme="minorHAnsi" w:hAnsiTheme="minorHAnsi"/>
          <w:sz w:val="22"/>
          <w:szCs w:val="22"/>
          <w:lang w:val="en-US"/>
        </w:rPr>
        <w:t xml:space="preserve"> </w:t>
      </w:r>
      <w:r w:rsidR="000C55DC" w:rsidRPr="00AC2FAD">
        <w:rPr>
          <w:rFonts w:asciiTheme="minorHAnsi" w:hAnsiTheme="minorHAnsi"/>
          <w:sz w:val="22"/>
          <w:szCs w:val="22"/>
          <w:lang w:val="en-US"/>
        </w:rPr>
        <w:t xml:space="preserve">to engage in dialogue </w:t>
      </w:r>
      <w:r w:rsidR="00453927">
        <w:rPr>
          <w:rFonts w:asciiTheme="minorHAnsi" w:hAnsiTheme="minorHAnsi"/>
          <w:sz w:val="22"/>
          <w:szCs w:val="22"/>
          <w:lang w:val="en-US"/>
        </w:rPr>
        <w:t xml:space="preserve">in order to try to </w:t>
      </w:r>
      <w:r w:rsidR="000C55DC" w:rsidRPr="00AC2FAD">
        <w:rPr>
          <w:rFonts w:asciiTheme="minorHAnsi" w:hAnsiTheme="minorHAnsi"/>
          <w:sz w:val="22"/>
          <w:szCs w:val="22"/>
          <w:lang w:val="en-US"/>
        </w:rPr>
        <w:t>resolv</w:t>
      </w:r>
      <w:r w:rsidR="00453927">
        <w:rPr>
          <w:rFonts w:asciiTheme="minorHAnsi" w:hAnsiTheme="minorHAnsi"/>
          <w:sz w:val="22"/>
          <w:szCs w:val="22"/>
          <w:lang w:val="en-US"/>
        </w:rPr>
        <w:t>e issues behind the scenes.  S</w:t>
      </w:r>
      <w:r w:rsidR="000C55DC" w:rsidRPr="00AC2FAD">
        <w:rPr>
          <w:rFonts w:asciiTheme="minorHAnsi" w:hAnsiTheme="minorHAnsi"/>
          <w:sz w:val="22"/>
          <w:szCs w:val="22"/>
          <w:lang w:val="en-US"/>
        </w:rPr>
        <w:t>ome</w:t>
      </w:r>
      <w:r w:rsidR="00453927">
        <w:rPr>
          <w:rFonts w:asciiTheme="minorHAnsi" w:hAnsiTheme="minorHAnsi"/>
          <w:sz w:val="22"/>
          <w:szCs w:val="22"/>
          <w:lang w:val="en-US"/>
        </w:rPr>
        <w:t xml:space="preserve"> client</w:t>
      </w:r>
      <w:r w:rsidR="000C55DC" w:rsidRPr="00AC2FAD">
        <w:rPr>
          <w:rFonts w:asciiTheme="minorHAnsi" w:hAnsiTheme="minorHAnsi"/>
          <w:sz w:val="22"/>
          <w:szCs w:val="22"/>
          <w:lang w:val="en-US"/>
        </w:rPr>
        <w:t xml:space="preserve"> may </w:t>
      </w:r>
      <w:r w:rsidR="000E06DF" w:rsidRPr="00AC2FAD">
        <w:rPr>
          <w:rFonts w:asciiTheme="minorHAnsi" w:hAnsiTheme="minorHAnsi"/>
          <w:sz w:val="22"/>
          <w:szCs w:val="22"/>
          <w:lang w:val="en-US"/>
        </w:rPr>
        <w:t>choose</w:t>
      </w:r>
      <w:r w:rsidR="000C55DC" w:rsidRPr="00AC2FAD">
        <w:rPr>
          <w:rFonts w:asciiTheme="minorHAnsi" w:hAnsiTheme="minorHAnsi"/>
          <w:sz w:val="22"/>
          <w:szCs w:val="22"/>
          <w:lang w:val="en-US"/>
        </w:rPr>
        <w:t xml:space="preserve"> to sell their shares. In either case they have had a clear advance notice of possible concern. We very much doubt whether companies would have chosen to raise any concerns about their governance – we have many notable cases of “governance surprises” all around the world – most recently in Japan where good governance is now understood to be vital component of protecting shareholders’ interests against entrenched management.</w:t>
      </w:r>
      <w:r w:rsidR="000E06DF" w:rsidRPr="00AC2FAD">
        <w:rPr>
          <w:rFonts w:asciiTheme="minorHAnsi" w:hAnsiTheme="minorHAnsi"/>
          <w:sz w:val="22"/>
          <w:szCs w:val="22"/>
          <w:lang w:val="en-US"/>
        </w:rPr>
        <w:t xml:space="preserve"> </w:t>
      </w:r>
    </w:p>
    <w:p w:rsidR="00DD5FEE" w:rsidRPr="00AC2FAD" w:rsidRDefault="00DD5FEE" w:rsidP="00DD5FEE">
      <w:pPr>
        <w:pStyle w:val="Default"/>
        <w:jc w:val="both"/>
        <w:rPr>
          <w:rFonts w:asciiTheme="minorHAnsi" w:hAnsiTheme="minorHAnsi"/>
          <w:sz w:val="22"/>
          <w:szCs w:val="22"/>
          <w:lang w:val="en-US"/>
        </w:rPr>
      </w:pPr>
    </w:p>
    <w:p w:rsidR="00DF0F7E" w:rsidRPr="00AC2FAD" w:rsidRDefault="0029046B" w:rsidP="0029046B">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Despite the </w:t>
      </w:r>
      <w:r w:rsidR="000C55DC" w:rsidRPr="00AC2FAD">
        <w:rPr>
          <w:rFonts w:asciiTheme="minorHAnsi" w:hAnsiTheme="minorHAnsi"/>
          <w:sz w:val="22"/>
          <w:szCs w:val="22"/>
          <w:lang w:val="en-US"/>
        </w:rPr>
        <w:t xml:space="preserve">very real and significant </w:t>
      </w:r>
      <w:r w:rsidRPr="00AC2FAD">
        <w:rPr>
          <w:rFonts w:asciiTheme="minorHAnsi" w:hAnsiTheme="minorHAnsi"/>
          <w:sz w:val="22"/>
          <w:szCs w:val="22"/>
          <w:lang w:val="en-US"/>
        </w:rPr>
        <w:t xml:space="preserve">corporate value </w:t>
      </w:r>
      <w:r w:rsidR="000C55DC" w:rsidRPr="00AC2FAD">
        <w:rPr>
          <w:rFonts w:asciiTheme="minorHAnsi" w:hAnsiTheme="minorHAnsi"/>
          <w:sz w:val="22"/>
          <w:szCs w:val="22"/>
          <w:lang w:val="en-US"/>
        </w:rPr>
        <w:t>destruction that bad governance can inflict</w:t>
      </w:r>
      <w:r w:rsidRPr="00AC2FAD">
        <w:rPr>
          <w:rFonts w:asciiTheme="minorHAnsi" w:hAnsiTheme="minorHAnsi"/>
          <w:sz w:val="22"/>
          <w:szCs w:val="22"/>
          <w:lang w:val="en-US"/>
        </w:rPr>
        <w:t>, the majority of the effort in supporting good governance has fallen to the minority of the owners</w:t>
      </w:r>
      <w:r w:rsidR="000E06DF" w:rsidRPr="00AC2FAD">
        <w:rPr>
          <w:rFonts w:asciiTheme="minorHAnsi" w:hAnsiTheme="minorHAnsi"/>
          <w:sz w:val="22"/>
          <w:szCs w:val="22"/>
          <w:lang w:val="en-US"/>
        </w:rPr>
        <w:t xml:space="preserve"> and so there is a considerable free riding problem</w:t>
      </w:r>
      <w:r w:rsidRPr="00AC2FAD">
        <w:rPr>
          <w:rFonts w:asciiTheme="minorHAnsi" w:hAnsiTheme="minorHAnsi"/>
          <w:sz w:val="22"/>
          <w:szCs w:val="22"/>
          <w:lang w:val="en-US"/>
        </w:rPr>
        <w:t>.</w:t>
      </w:r>
      <w:r w:rsidR="000C55DC" w:rsidRPr="00AC2FAD">
        <w:rPr>
          <w:rFonts w:asciiTheme="minorHAnsi" w:hAnsiTheme="minorHAnsi"/>
          <w:sz w:val="22"/>
          <w:szCs w:val="22"/>
          <w:lang w:val="en-US"/>
        </w:rPr>
        <w:t xml:space="preserve"> </w:t>
      </w:r>
    </w:p>
    <w:p w:rsidR="00DF0F7E" w:rsidRPr="00AC2FAD" w:rsidRDefault="00DF0F7E" w:rsidP="0029046B">
      <w:pPr>
        <w:pStyle w:val="Default"/>
        <w:jc w:val="both"/>
        <w:rPr>
          <w:rFonts w:asciiTheme="minorHAnsi" w:hAnsiTheme="minorHAnsi"/>
          <w:sz w:val="22"/>
          <w:szCs w:val="22"/>
          <w:lang w:val="en-US"/>
        </w:rPr>
      </w:pPr>
    </w:p>
    <w:p w:rsidR="00453927" w:rsidRDefault="00DF0F7E" w:rsidP="0029046B">
      <w:pPr>
        <w:pStyle w:val="Default"/>
        <w:jc w:val="both"/>
        <w:rPr>
          <w:rFonts w:asciiTheme="minorHAnsi" w:hAnsiTheme="minorHAnsi"/>
          <w:sz w:val="22"/>
          <w:szCs w:val="22"/>
          <w:lang w:val="en-US"/>
        </w:rPr>
      </w:pPr>
      <w:r w:rsidRPr="00AC2FAD">
        <w:rPr>
          <w:rFonts w:asciiTheme="minorHAnsi" w:hAnsiTheme="minorHAnsi"/>
          <w:sz w:val="22"/>
          <w:szCs w:val="22"/>
          <w:lang w:val="en-US"/>
        </w:rPr>
        <w:t>The f</w:t>
      </w:r>
      <w:r w:rsidR="0029046B" w:rsidRPr="00AC2FAD">
        <w:rPr>
          <w:rFonts w:asciiTheme="minorHAnsi" w:hAnsiTheme="minorHAnsi"/>
          <w:sz w:val="22"/>
          <w:szCs w:val="22"/>
          <w:lang w:val="en-US"/>
        </w:rPr>
        <w:t xml:space="preserve">ree riding challenge </w:t>
      </w:r>
      <w:r w:rsidRPr="00AC2FAD">
        <w:rPr>
          <w:rFonts w:asciiTheme="minorHAnsi" w:hAnsiTheme="minorHAnsi"/>
          <w:sz w:val="22"/>
          <w:szCs w:val="22"/>
          <w:lang w:val="en-US"/>
        </w:rPr>
        <w:t xml:space="preserve">of the disengaged many, which the </w:t>
      </w:r>
      <w:r w:rsidR="00453927">
        <w:rPr>
          <w:rFonts w:asciiTheme="minorHAnsi" w:hAnsiTheme="minorHAnsi"/>
          <w:sz w:val="22"/>
          <w:szCs w:val="22"/>
          <w:lang w:val="en-US"/>
        </w:rPr>
        <w:t xml:space="preserve">recent </w:t>
      </w:r>
      <w:r w:rsidRPr="00AC2FAD">
        <w:rPr>
          <w:rFonts w:asciiTheme="minorHAnsi" w:hAnsiTheme="minorHAnsi"/>
          <w:sz w:val="22"/>
          <w:szCs w:val="22"/>
          <w:lang w:val="en-US"/>
        </w:rPr>
        <w:t>Shareholder Rig</w:t>
      </w:r>
      <w:r w:rsidR="00453927">
        <w:rPr>
          <w:rFonts w:asciiTheme="minorHAnsi" w:hAnsiTheme="minorHAnsi"/>
          <w:sz w:val="22"/>
          <w:szCs w:val="22"/>
          <w:lang w:val="en-US"/>
        </w:rPr>
        <w:t>hts Directive seeks to address,</w:t>
      </w:r>
      <w:r w:rsidRPr="00AC2FAD">
        <w:rPr>
          <w:rFonts w:asciiTheme="minorHAnsi" w:hAnsiTheme="minorHAnsi"/>
          <w:sz w:val="22"/>
          <w:szCs w:val="22"/>
          <w:lang w:val="en-US"/>
        </w:rPr>
        <w:t xml:space="preserve"> </w:t>
      </w:r>
      <w:r w:rsidR="0029046B" w:rsidRPr="00AC2FAD">
        <w:rPr>
          <w:rFonts w:asciiTheme="minorHAnsi" w:hAnsiTheme="minorHAnsi"/>
          <w:sz w:val="22"/>
          <w:szCs w:val="22"/>
          <w:lang w:val="en-US"/>
        </w:rPr>
        <w:t>arises either because some investors believe, falsely in our view, that voting is a burden better carried out by others</w:t>
      </w:r>
      <w:r w:rsidR="00453927">
        <w:rPr>
          <w:rFonts w:asciiTheme="minorHAnsi" w:hAnsiTheme="minorHAnsi"/>
          <w:sz w:val="22"/>
          <w:szCs w:val="22"/>
          <w:lang w:val="en-US"/>
        </w:rPr>
        <w:t xml:space="preserve">, </w:t>
      </w:r>
      <w:r w:rsidRPr="00AC2FAD">
        <w:rPr>
          <w:rFonts w:asciiTheme="minorHAnsi" w:hAnsiTheme="minorHAnsi"/>
          <w:sz w:val="22"/>
          <w:szCs w:val="22"/>
          <w:lang w:val="en-US"/>
        </w:rPr>
        <w:t>because it is a public good</w:t>
      </w:r>
      <w:r w:rsidR="0029046B" w:rsidRPr="00AC2FAD">
        <w:rPr>
          <w:rFonts w:asciiTheme="minorHAnsi" w:hAnsiTheme="minorHAnsi"/>
          <w:sz w:val="22"/>
          <w:szCs w:val="22"/>
          <w:lang w:val="en-US"/>
        </w:rPr>
        <w:t xml:space="preserve">. </w:t>
      </w:r>
    </w:p>
    <w:p w:rsidR="00CB6117" w:rsidRDefault="0029046B" w:rsidP="0029046B">
      <w:pPr>
        <w:pStyle w:val="Default"/>
        <w:jc w:val="both"/>
        <w:rPr>
          <w:rFonts w:asciiTheme="minorHAnsi" w:hAnsiTheme="minorHAnsi"/>
          <w:sz w:val="22"/>
          <w:szCs w:val="22"/>
          <w:lang w:val="en-US"/>
        </w:rPr>
      </w:pPr>
      <w:r w:rsidRPr="00AC2FAD">
        <w:rPr>
          <w:rFonts w:asciiTheme="minorHAnsi" w:hAnsiTheme="minorHAnsi"/>
          <w:sz w:val="22"/>
          <w:szCs w:val="22"/>
          <w:lang w:val="en-US"/>
        </w:rPr>
        <w:lastRenderedPageBreak/>
        <w:t xml:space="preserve">Even where there is a commitment, the </w:t>
      </w:r>
      <w:r w:rsidR="00DF0F7E" w:rsidRPr="00AC2FAD">
        <w:rPr>
          <w:rFonts w:asciiTheme="minorHAnsi" w:hAnsiTheme="minorHAnsi"/>
          <w:sz w:val="22"/>
          <w:szCs w:val="22"/>
          <w:lang w:val="en-US"/>
        </w:rPr>
        <w:t xml:space="preserve">perceived </w:t>
      </w:r>
      <w:r w:rsidRPr="00AC2FAD">
        <w:rPr>
          <w:rFonts w:asciiTheme="minorHAnsi" w:hAnsiTheme="minorHAnsi"/>
          <w:sz w:val="22"/>
          <w:szCs w:val="22"/>
          <w:lang w:val="en-US"/>
        </w:rPr>
        <w:t xml:space="preserve">cost of research is </w:t>
      </w:r>
      <w:r w:rsidR="00DF0F7E" w:rsidRPr="00AC2FAD">
        <w:rPr>
          <w:rFonts w:asciiTheme="minorHAnsi" w:hAnsiTheme="minorHAnsi"/>
          <w:sz w:val="22"/>
          <w:szCs w:val="22"/>
          <w:lang w:val="en-US"/>
        </w:rPr>
        <w:t xml:space="preserve">given greater </w:t>
      </w:r>
      <w:r w:rsidRPr="00AC2FAD">
        <w:rPr>
          <w:rFonts w:asciiTheme="minorHAnsi" w:hAnsiTheme="minorHAnsi"/>
          <w:sz w:val="22"/>
          <w:szCs w:val="22"/>
          <w:lang w:val="en-US"/>
        </w:rPr>
        <w:t>consideration than its value.</w:t>
      </w:r>
      <w:r w:rsidR="00CB6117" w:rsidRPr="00CB6117">
        <w:rPr>
          <w:rFonts w:asciiTheme="minorHAnsi" w:hAnsiTheme="minorHAnsi"/>
          <w:sz w:val="22"/>
          <w:szCs w:val="22"/>
          <w:lang w:val="en-US"/>
        </w:rPr>
        <w:t xml:space="preserve"> </w:t>
      </w:r>
      <w:r w:rsidR="00CB6117">
        <w:rPr>
          <w:rFonts w:asciiTheme="minorHAnsi" w:hAnsiTheme="minorHAnsi"/>
          <w:sz w:val="22"/>
          <w:szCs w:val="22"/>
          <w:lang w:val="en-US"/>
        </w:rPr>
        <w:t xml:space="preserve">Not voting or voting without using research </w:t>
      </w:r>
      <w:r w:rsidR="00CB6117" w:rsidRPr="00AC2FAD">
        <w:rPr>
          <w:rFonts w:asciiTheme="minorHAnsi" w:hAnsiTheme="minorHAnsi"/>
          <w:sz w:val="22"/>
          <w:szCs w:val="22"/>
          <w:lang w:val="en-US"/>
        </w:rPr>
        <w:t xml:space="preserve">is </w:t>
      </w:r>
      <w:r w:rsidR="00CB6117">
        <w:rPr>
          <w:rFonts w:asciiTheme="minorHAnsi" w:hAnsiTheme="minorHAnsi"/>
          <w:sz w:val="22"/>
          <w:szCs w:val="22"/>
          <w:lang w:val="en-US"/>
        </w:rPr>
        <w:t>a first</w:t>
      </w:r>
      <w:r w:rsidR="00CB6117" w:rsidRPr="00AC2FAD">
        <w:rPr>
          <w:rFonts w:asciiTheme="minorHAnsi" w:hAnsiTheme="minorHAnsi"/>
          <w:sz w:val="22"/>
          <w:szCs w:val="22"/>
          <w:lang w:val="en-US"/>
        </w:rPr>
        <w:t xml:space="preserve"> </w:t>
      </w:r>
      <w:r w:rsidR="00CB6117">
        <w:rPr>
          <w:rFonts w:asciiTheme="minorHAnsi" w:hAnsiTheme="minorHAnsi"/>
          <w:sz w:val="22"/>
          <w:szCs w:val="22"/>
          <w:lang w:val="en-US"/>
        </w:rPr>
        <w:t xml:space="preserve">kind of </w:t>
      </w:r>
      <w:r w:rsidR="00CB6117" w:rsidRPr="00AC2FAD">
        <w:rPr>
          <w:rFonts w:asciiTheme="minorHAnsi" w:hAnsiTheme="minorHAnsi"/>
          <w:sz w:val="22"/>
          <w:szCs w:val="22"/>
          <w:lang w:val="en-US"/>
        </w:rPr>
        <w:t>outsourcing of responsibility</w:t>
      </w:r>
      <w:r w:rsidR="00CB6117">
        <w:rPr>
          <w:rFonts w:asciiTheme="minorHAnsi" w:hAnsiTheme="minorHAnsi"/>
          <w:sz w:val="22"/>
          <w:szCs w:val="22"/>
          <w:lang w:val="en-US"/>
        </w:rPr>
        <w:t xml:space="preserve">. </w:t>
      </w:r>
    </w:p>
    <w:p w:rsidR="0029046B" w:rsidRPr="00AC2FAD" w:rsidRDefault="00CB6117" w:rsidP="0029046B">
      <w:pPr>
        <w:pStyle w:val="Default"/>
        <w:jc w:val="both"/>
        <w:rPr>
          <w:rFonts w:asciiTheme="minorHAnsi" w:hAnsiTheme="minorHAnsi"/>
          <w:sz w:val="22"/>
          <w:szCs w:val="22"/>
          <w:lang w:val="en-US"/>
        </w:rPr>
      </w:pPr>
      <w:r>
        <w:rPr>
          <w:rFonts w:asciiTheme="minorHAnsi" w:hAnsiTheme="minorHAnsi"/>
          <w:sz w:val="22"/>
          <w:szCs w:val="22"/>
          <w:lang w:val="en-US"/>
        </w:rPr>
        <w:t xml:space="preserve">Clearly </w:t>
      </w:r>
      <w:r w:rsidR="0029046B" w:rsidRPr="00AC2FAD">
        <w:rPr>
          <w:rFonts w:asciiTheme="minorHAnsi" w:hAnsiTheme="minorHAnsi"/>
          <w:sz w:val="22"/>
          <w:szCs w:val="22"/>
          <w:lang w:val="en-US"/>
        </w:rPr>
        <w:t xml:space="preserve">in comparison with the high level of fees paid to the sell side community in fees and commissions, the governance community is asked to undertake a great and important task with </w:t>
      </w:r>
      <w:r w:rsidR="00DF0F7E" w:rsidRPr="00AC2FAD">
        <w:rPr>
          <w:rFonts w:asciiTheme="minorHAnsi" w:hAnsiTheme="minorHAnsi"/>
          <w:sz w:val="22"/>
          <w:szCs w:val="22"/>
          <w:lang w:val="en-US"/>
        </w:rPr>
        <w:t>miniscule</w:t>
      </w:r>
      <w:r w:rsidR="0029046B" w:rsidRPr="00AC2FAD">
        <w:rPr>
          <w:rFonts w:asciiTheme="minorHAnsi" w:hAnsiTheme="minorHAnsi"/>
          <w:sz w:val="22"/>
          <w:szCs w:val="22"/>
          <w:lang w:val="en-US"/>
        </w:rPr>
        <w:t xml:space="preserve"> resources.</w:t>
      </w:r>
      <w:r w:rsidR="00DF0F7E" w:rsidRPr="00AC2FAD">
        <w:rPr>
          <w:rFonts w:asciiTheme="minorHAnsi" w:hAnsiTheme="minorHAnsi"/>
          <w:sz w:val="22"/>
          <w:szCs w:val="22"/>
          <w:lang w:val="en-US"/>
        </w:rPr>
        <w:t xml:space="preserve"> Herein </w:t>
      </w:r>
      <w:proofErr w:type="gramStart"/>
      <w:r w:rsidR="00DF0F7E" w:rsidRPr="00AC2FAD">
        <w:rPr>
          <w:rFonts w:asciiTheme="minorHAnsi" w:hAnsiTheme="minorHAnsi"/>
          <w:sz w:val="22"/>
          <w:szCs w:val="22"/>
          <w:lang w:val="en-US"/>
        </w:rPr>
        <w:t>lies</w:t>
      </w:r>
      <w:proofErr w:type="gramEnd"/>
      <w:r w:rsidR="00DF0F7E" w:rsidRPr="00AC2FAD">
        <w:rPr>
          <w:rFonts w:asciiTheme="minorHAnsi" w:hAnsiTheme="minorHAnsi"/>
          <w:sz w:val="22"/>
          <w:szCs w:val="22"/>
          <w:lang w:val="en-US"/>
        </w:rPr>
        <w:t xml:space="preserve"> the problem. Where regulators, indeed even the companies, expect or believe that governance has become fully integrated into the investment process, </w:t>
      </w:r>
      <w:r>
        <w:rPr>
          <w:rFonts w:asciiTheme="minorHAnsi" w:hAnsiTheme="minorHAnsi"/>
          <w:sz w:val="22"/>
          <w:szCs w:val="22"/>
          <w:lang w:val="en-US"/>
        </w:rPr>
        <w:t xml:space="preserve">  </w:t>
      </w:r>
      <w:r w:rsidR="00DF0F7E" w:rsidRPr="00AC2FAD">
        <w:rPr>
          <w:rFonts w:asciiTheme="minorHAnsi" w:hAnsiTheme="minorHAnsi"/>
          <w:sz w:val="22"/>
          <w:szCs w:val="22"/>
          <w:lang w:val="en-US"/>
        </w:rPr>
        <w:t xml:space="preserve">the </w:t>
      </w:r>
      <w:r>
        <w:rPr>
          <w:rFonts w:asciiTheme="minorHAnsi" w:hAnsiTheme="minorHAnsi"/>
          <w:sz w:val="22"/>
          <w:szCs w:val="22"/>
          <w:lang w:val="en-US"/>
        </w:rPr>
        <w:t xml:space="preserve">frequent </w:t>
      </w:r>
      <w:r w:rsidR="00DF0F7E" w:rsidRPr="00AC2FAD">
        <w:rPr>
          <w:rFonts w:asciiTheme="minorHAnsi" w:hAnsiTheme="minorHAnsi"/>
          <w:sz w:val="22"/>
          <w:szCs w:val="22"/>
          <w:lang w:val="en-US"/>
        </w:rPr>
        <w:t>appointment of a large US proxy advisor ticks a compliance box and voting is then put in the “job done” pile</w:t>
      </w:r>
      <w:proofErr w:type="gramStart"/>
      <w:r w:rsidR="00DF0F7E" w:rsidRPr="00AC2FAD">
        <w:rPr>
          <w:rFonts w:asciiTheme="minorHAnsi" w:hAnsiTheme="minorHAnsi"/>
          <w:sz w:val="22"/>
          <w:szCs w:val="22"/>
          <w:lang w:val="en-US"/>
        </w:rPr>
        <w:t>..</w:t>
      </w:r>
      <w:proofErr w:type="gramEnd"/>
      <w:r w:rsidR="00DF0F7E" w:rsidRPr="00AC2FAD">
        <w:rPr>
          <w:rFonts w:asciiTheme="minorHAnsi" w:hAnsiTheme="minorHAnsi"/>
          <w:sz w:val="22"/>
          <w:szCs w:val="22"/>
          <w:lang w:val="en-US"/>
        </w:rPr>
        <w:t xml:space="preserve"> The compliance driven approach – without regulatory follow through on investors’ behavior is, we believe</w:t>
      </w:r>
      <w:r>
        <w:rPr>
          <w:rFonts w:asciiTheme="minorHAnsi" w:hAnsiTheme="minorHAnsi"/>
          <w:sz w:val="22"/>
          <w:szCs w:val="22"/>
          <w:lang w:val="en-US"/>
        </w:rPr>
        <w:t>,</w:t>
      </w:r>
      <w:r w:rsidR="00DF0F7E" w:rsidRPr="00AC2FAD">
        <w:rPr>
          <w:rFonts w:asciiTheme="minorHAnsi" w:hAnsiTheme="minorHAnsi"/>
          <w:sz w:val="22"/>
          <w:szCs w:val="22"/>
          <w:lang w:val="en-US"/>
        </w:rPr>
        <w:t xml:space="preserve"> </w:t>
      </w:r>
      <w:r>
        <w:rPr>
          <w:rFonts w:asciiTheme="minorHAnsi" w:hAnsiTheme="minorHAnsi"/>
          <w:sz w:val="22"/>
          <w:szCs w:val="22"/>
          <w:lang w:val="en-US"/>
        </w:rPr>
        <w:t>another root of the</w:t>
      </w:r>
      <w:r w:rsidR="00DF0F7E" w:rsidRPr="00AC2FAD">
        <w:rPr>
          <w:rFonts w:asciiTheme="minorHAnsi" w:hAnsiTheme="minorHAnsi"/>
          <w:sz w:val="22"/>
          <w:szCs w:val="22"/>
          <w:lang w:val="en-US"/>
        </w:rPr>
        <w:t xml:space="preserve"> the unfettered power of proxy advisors.</w:t>
      </w:r>
    </w:p>
    <w:p w:rsidR="00DD5FEE" w:rsidRPr="00AC2FAD" w:rsidRDefault="00DD5FEE" w:rsidP="00DD5FEE">
      <w:pPr>
        <w:pStyle w:val="Default"/>
        <w:jc w:val="both"/>
        <w:rPr>
          <w:rFonts w:asciiTheme="minorHAnsi" w:hAnsiTheme="minorHAnsi"/>
          <w:sz w:val="22"/>
          <w:szCs w:val="22"/>
          <w:lang w:val="en-US"/>
        </w:rPr>
      </w:pPr>
    </w:p>
    <w:p w:rsidR="00A33006" w:rsidRPr="00AC2FAD" w:rsidRDefault="00A33006" w:rsidP="000E06DF">
      <w:pPr>
        <w:pStyle w:val="Default"/>
        <w:numPr>
          <w:ilvl w:val="0"/>
          <w:numId w:val="23"/>
        </w:numPr>
        <w:jc w:val="both"/>
        <w:rPr>
          <w:rFonts w:asciiTheme="minorHAnsi" w:hAnsiTheme="minorHAnsi"/>
          <w:b/>
          <w:sz w:val="22"/>
          <w:szCs w:val="22"/>
          <w:lang w:val="en-US"/>
        </w:rPr>
      </w:pPr>
      <w:r w:rsidRPr="00AC2FAD">
        <w:rPr>
          <w:rFonts w:asciiTheme="minorHAnsi" w:hAnsiTheme="minorHAnsi"/>
          <w:b/>
          <w:sz w:val="22"/>
          <w:szCs w:val="22"/>
          <w:lang w:val="en-US"/>
        </w:rPr>
        <w:t xml:space="preserve">Conflicts of interests </w:t>
      </w:r>
      <w:r w:rsidR="0029046B" w:rsidRPr="00AC2FAD">
        <w:rPr>
          <w:rFonts w:asciiTheme="minorHAnsi" w:hAnsiTheme="minorHAnsi"/>
          <w:b/>
          <w:sz w:val="22"/>
          <w:szCs w:val="22"/>
          <w:lang w:val="en-US"/>
        </w:rPr>
        <w:t xml:space="preserve">in </w:t>
      </w:r>
      <w:r w:rsidRPr="00AC2FAD">
        <w:rPr>
          <w:rFonts w:asciiTheme="minorHAnsi" w:hAnsiTheme="minorHAnsi"/>
          <w:b/>
          <w:sz w:val="22"/>
          <w:szCs w:val="22"/>
          <w:lang w:val="en-US"/>
        </w:rPr>
        <w:t xml:space="preserve">the </w:t>
      </w:r>
      <w:r w:rsidR="0029046B" w:rsidRPr="00AC2FAD">
        <w:rPr>
          <w:rFonts w:asciiTheme="minorHAnsi" w:hAnsiTheme="minorHAnsi"/>
          <w:b/>
          <w:sz w:val="22"/>
          <w:szCs w:val="22"/>
          <w:lang w:val="en-US"/>
        </w:rPr>
        <w:t xml:space="preserve">voting </w:t>
      </w:r>
      <w:r w:rsidRPr="00AC2FAD">
        <w:rPr>
          <w:rFonts w:asciiTheme="minorHAnsi" w:hAnsiTheme="minorHAnsi"/>
          <w:b/>
          <w:sz w:val="22"/>
          <w:szCs w:val="22"/>
          <w:lang w:val="en-US"/>
        </w:rPr>
        <w:t>chain</w:t>
      </w:r>
    </w:p>
    <w:p w:rsidR="00CB6117" w:rsidRDefault="00CB6117" w:rsidP="00DD5FEE">
      <w:pPr>
        <w:pStyle w:val="Default"/>
        <w:jc w:val="both"/>
        <w:rPr>
          <w:rFonts w:asciiTheme="minorHAnsi" w:hAnsiTheme="minorHAnsi"/>
          <w:sz w:val="22"/>
          <w:szCs w:val="22"/>
          <w:lang w:val="en-US"/>
        </w:rPr>
      </w:pPr>
    </w:p>
    <w:p w:rsidR="00DD5FEE" w:rsidRPr="00AC2FAD" w:rsidRDefault="0029046B"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As ESMA has discovered during its investigations, there are many more actors in the governance arena than possibly originally envisaged. For a company that wishes to limit the level of opposition at general meetings “proxy solicitors” are a convenient resource to employ to </w:t>
      </w:r>
      <w:r w:rsidR="000E06DF" w:rsidRPr="00AC2FAD">
        <w:rPr>
          <w:rFonts w:asciiTheme="minorHAnsi" w:hAnsiTheme="minorHAnsi"/>
          <w:sz w:val="22"/>
          <w:szCs w:val="22"/>
          <w:lang w:val="en-US"/>
        </w:rPr>
        <w:t>influence</w:t>
      </w:r>
      <w:r w:rsidRPr="00AC2FAD">
        <w:rPr>
          <w:rFonts w:asciiTheme="minorHAnsi" w:hAnsiTheme="minorHAnsi"/>
          <w:sz w:val="22"/>
          <w:szCs w:val="22"/>
          <w:lang w:val="en-US"/>
        </w:rPr>
        <w:t xml:space="preserve"> the asset managers are the shareholders’ expense. We strongly believe that companies and their advisors should be transparent about the work of these agencies and their conflicts of interest openly disclosed</w:t>
      </w:r>
      <w:r w:rsidR="00A75956" w:rsidRPr="00AC2FAD">
        <w:rPr>
          <w:rFonts w:asciiTheme="minorHAnsi" w:hAnsiTheme="minorHAnsi"/>
          <w:sz w:val="22"/>
          <w:szCs w:val="22"/>
          <w:lang w:val="en-US"/>
        </w:rPr>
        <w:t xml:space="preserve">. </w:t>
      </w:r>
    </w:p>
    <w:p w:rsidR="00DD5FEE" w:rsidRPr="00AC2FAD" w:rsidRDefault="00DD5FEE" w:rsidP="00DD5FEE">
      <w:pPr>
        <w:pStyle w:val="Default"/>
        <w:jc w:val="both"/>
        <w:rPr>
          <w:rFonts w:asciiTheme="minorHAnsi" w:hAnsiTheme="minorHAnsi"/>
          <w:sz w:val="22"/>
          <w:szCs w:val="22"/>
          <w:lang w:val="en-US"/>
        </w:rPr>
      </w:pPr>
    </w:p>
    <w:p w:rsidR="00DD5FEE" w:rsidRPr="00AC2FAD" w:rsidRDefault="00DD5FEE"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have also observed that that universal banks </w:t>
      </w:r>
      <w:r w:rsidR="00066BFF" w:rsidRPr="00AC2FAD">
        <w:rPr>
          <w:rFonts w:asciiTheme="minorHAnsi" w:hAnsiTheme="minorHAnsi"/>
          <w:sz w:val="22"/>
          <w:szCs w:val="22"/>
          <w:lang w:val="en-US"/>
        </w:rPr>
        <w:t xml:space="preserve">which comprise </w:t>
      </w:r>
      <w:r w:rsidRPr="00AC2FAD">
        <w:rPr>
          <w:rFonts w:asciiTheme="minorHAnsi" w:hAnsiTheme="minorHAnsi"/>
          <w:sz w:val="22"/>
          <w:szCs w:val="22"/>
          <w:lang w:val="en-US"/>
        </w:rPr>
        <w:t xml:space="preserve">large asset management </w:t>
      </w:r>
      <w:r w:rsidR="00066BFF" w:rsidRPr="00AC2FAD">
        <w:rPr>
          <w:rFonts w:asciiTheme="minorHAnsi" w:hAnsiTheme="minorHAnsi"/>
          <w:sz w:val="22"/>
          <w:szCs w:val="22"/>
          <w:lang w:val="en-US"/>
        </w:rPr>
        <w:t>divisions,</w:t>
      </w:r>
      <w:r w:rsidRPr="00AC2FAD">
        <w:rPr>
          <w:rFonts w:asciiTheme="minorHAnsi" w:hAnsiTheme="minorHAnsi"/>
          <w:sz w:val="22"/>
          <w:szCs w:val="22"/>
          <w:lang w:val="en-US"/>
        </w:rPr>
        <w:t xml:space="preserve"> investment banking, </w:t>
      </w:r>
      <w:r w:rsidR="00066BFF" w:rsidRPr="00AC2FAD">
        <w:rPr>
          <w:rFonts w:asciiTheme="minorHAnsi" w:hAnsiTheme="minorHAnsi"/>
          <w:sz w:val="22"/>
          <w:szCs w:val="22"/>
          <w:lang w:val="en-US"/>
        </w:rPr>
        <w:t xml:space="preserve">safe </w:t>
      </w:r>
      <w:r w:rsidRPr="00AC2FAD">
        <w:rPr>
          <w:rFonts w:asciiTheme="minorHAnsi" w:hAnsiTheme="minorHAnsi"/>
          <w:sz w:val="22"/>
          <w:szCs w:val="22"/>
          <w:lang w:val="en-US"/>
        </w:rPr>
        <w:t>custody</w:t>
      </w:r>
      <w:r w:rsidR="00066BFF" w:rsidRPr="00AC2FAD">
        <w:rPr>
          <w:rFonts w:asciiTheme="minorHAnsi" w:hAnsiTheme="minorHAnsi"/>
          <w:sz w:val="22"/>
          <w:szCs w:val="22"/>
          <w:lang w:val="en-US"/>
        </w:rPr>
        <w:t xml:space="preserve"> (“the Intermediaries of the voting chain”)</w:t>
      </w:r>
      <w:r w:rsidRPr="00AC2FAD">
        <w:rPr>
          <w:rFonts w:asciiTheme="minorHAnsi" w:hAnsiTheme="minorHAnsi"/>
          <w:sz w:val="22"/>
          <w:szCs w:val="22"/>
          <w:lang w:val="en-US"/>
        </w:rPr>
        <w:t xml:space="preserve"> and general meeting services</w:t>
      </w:r>
      <w:r w:rsidR="00A33006" w:rsidRPr="00AC2FAD">
        <w:rPr>
          <w:rFonts w:asciiTheme="minorHAnsi" w:hAnsiTheme="minorHAnsi"/>
          <w:sz w:val="22"/>
          <w:szCs w:val="22"/>
          <w:lang w:val="en-US"/>
        </w:rPr>
        <w:t xml:space="preserve"> (</w:t>
      </w:r>
      <w:r w:rsidRPr="00AC2FAD">
        <w:rPr>
          <w:rFonts w:asciiTheme="minorHAnsi" w:hAnsiTheme="minorHAnsi"/>
          <w:sz w:val="22"/>
          <w:szCs w:val="22"/>
          <w:lang w:val="en-US"/>
        </w:rPr>
        <w:t>such as</w:t>
      </w:r>
      <w:r w:rsidR="00A33006" w:rsidRPr="00AC2FAD">
        <w:rPr>
          <w:rFonts w:asciiTheme="minorHAnsi" w:hAnsiTheme="minorHAnsi"/>
          <w:sz w:val="22"/>
          <w:szCs w:val="22"/>
          <w:lang w:val="en-US"/>
        </w:rPr>
        <w:t xml:space="preserve"> registrar or centralizing agent)</w:t>
      </w:r>
      <w:r w:rsidR="007021B4" w:rsidRPr="00AC2FAD">
        <w:rPr>
          <w:rFonts w:asciiTheme="minorHAnsi" w:hAnsiTheme="minorHAnsi"/>
          <w:sz w:val="22"/>
          <w:szCs w:val="22"/>
          <w:lang w:val="en-US"/>
        </w:rPr>
        <w:t xml:space="preserve">, </w:t>
      </w:r>
      <w:r w:rsidR="00CB6117">
        <w:rPr>
          <w:rFonts w:asciiTheme="minorHAnsi" w:hAnsiTheme="minorHAnsi"/>
          <w:sz w:val="22"/>
          <w:szCs w:val="22"/>
          <w:lang w:val="en-US"/>
        </w:rPr>
        <w:t>have the ability to</w:t>
      </w:r>
      <w:r w:rsidRPr="00AC2FAD">
        <w:rPr>
          <w:rFonts w:asciiTheme="minorHAnsi" w:hAnsiTheme="minorHAnsi"/>
          <w:sz w:val="22"/>
          <w:szCs w:val="22"/>
          <w:lang w:val="en-US"/>
        </w:rPr>
        <w:t xml:space="preserve"> influence </w:t>
      </w:r>
      <w:r w:rsidR="00066BFF" w:rsidRPr="00AC2FAD">
        <w:rPr>
          <w:rFonts w:asciiTheme="minorHAnsi" w:hAnsiTheme="minorHAnsi"/>
          <w:sz w:val="22"/>
          <w:szCs w:val="22"/>
          <w:lang w:val="en-US"/>
        </w:rPr>
        <w:t xml:space="preserve">the vote outcome. As with proxy solicitors, </w:t>
      </w:r>
      <w:proofErr w:type="gramStart"/>
      <w:r w:rsidRPr="00AC2FAD">
        <w:rPr>
          <w:rFonts w:asciiTheme="minorHAnsi" w:hAnsiTheme="minorHAnsi"/>
          <w:sz w:val="22"/>
          <w:szCs w:val="22"/>
          <w:lang w:val="en-US"/>
        </w:rPr>
        <w:t>We</w:t>
      </w:r>
      <w:proofErr w:type="gramEnd"/>
      <w:r w:rsidRPr="00AC2FAD">
        <w:rPr>
          <w:rFonts w:asciiTheme="minorHAnsi" w:hAnsiTheme="minorHAnsi"/>
          <w:sz w:val="22"/>
          <w:szCs w:val="22"/>
          <w:lang w:val="en-US"/>
        </w:rPr>
        <w:t xml:space="preserve"> believe that the conflicts of interests of banks contribute substantially to</w:t>
      </w:r>
      <w:r w:rsidR="00066BFF" w:rsidRPr="00AC2FAD">
        <w:rPr>
          <w:rFonts w:asciiTheme="minorHAnsi" w:hAnsiTheme="minorHAnsi"/>
          <w:sz w:val="22"/>
          <w:szCs w:val="22"/>
          <w:lang w:val="en-US"/>
        </w:rPr>
        <w:t xml:space="preserve"> a dysfunctional system.</w:t>
      </w:r>
      <w:r w:rsidRPr="00AC2FAD">
        <w:rPr>
          <w:rFonts w:asciiTheme="minorHAnsi" w:hAnsiTheme="minorHAnsi"/>
          <w:sz w:val="22"/>
          <w:szCs w:val="22"/>
          <w:lang w:val="en-US"/>
        </w:rPr>
        <w:t xml:space="preserve"> </w:t>
      </w:r>
    </w:p>
    <w:p w:rsidR="00223493" w:rsidRPr="00AC2FAD" w:rsidRDefault="00223493" w:rsidP="00DD5FEE">
      <w:pPr>
        <w:pStyle w:val="Default"/>
        <w:jc w:val="both"/>
        <w:rPr>
          <w:rFonts w:asciiTheme="minorHAnsi" w:hAnsiTheme="minorHAnsi"/>
          <w:sz w:val="22"/>
          <w:szCs w:val="22"/>
          <w:lang w:val="en-US"/>
        </w:rPr>
      </w:pPr>
    </w:p>
    <w:p w:rsidR="00223493" w:rsidRPr="00AC2FAD" w:rsidRDefault="00223493" w:rsidP="00DD5FEE">
      <w:pPr>
        <w:pStyle w:val="Default"/>
        <w:jc w:val="both"/>
        <w:rPr>
          <w:rFonts w:asciiTheme="minorHAnsi" w:hAnsiTheme="minorHAnsi"/>
          <w:sz w:val="22"/>
          <w:szCs w:val="22"/>
          <w:lang w:val="en-US"/>
        </w:rPr>
      </w:pPr>
      <w:r w:rsidRPr="00AC2FAD">
        <w:rPr>
          <w:rFonts w:asciiTheme="minorHAnsi" w:hAnsiTheme="minorHAnsi"/>
          <w:sz w:val="22"/>
          <w:szCs w:val="22"/>
          <w:lang w:val="en-US"/>
        </w:rPr>
        <w:t>Despite the development of innovative solutions to enable easy electronic voting, both companies and the intermediaries have blocked internet voting solutions.</w:t>
      </w:r>
    </w:p>
    <w:p w:rsidR="00DD5FEE" w:rsidRPr="00AC2FAD" w:rsidRDefault="00DD5FEE" w:rsidP="00DD5FEE">
      <w:pPr>
        <w:pStyle w:val="Default"/>
        <w:jc w:val="both"/>
        <w:rPr>
          <w:rFonts w:asciiTheme="minorHAnsi" w:hAnsiTheme="minorHAnsi"/>
          <w:sz w:val="22"/>
          <w:szCs w:val="22"/>
          <w:lang w:val="en-US"/>
        </w:rPr>
      </w:pPr>
    </w:p>
    <w:p w:rsidR="00272062" w:rsidRDefault="000E06DF" w:rsidP="000E06DF">
      <w:pPr>
        <w:pStyle w:val="Default"/>
        <w:keepNext/>
        <w:keepLines/>
        <w:numPr>
          <w:ilvl w:val="0"/>
          <w:numId w:val="23"/>
        </w:numPr>
        <w:jc w:val="both"/>
        <w:rPr>
          <w:rFonts w:asciiTheme="minorHAnsi" w:hAnsiTheme="minorHAnsi"/>
          <w:b/>
          <w:sz w:val="22"/>
          <w:szCs w:val="22"/>
          <w:lang w:val="en-US"/>
        </w:rPr>
      </w:pPr>
      <w:r w:rsidRPr="00AC2FAD">
        <w:rPr>
          <w:rFonts w:asciiTheme="minorHAnsi" w:hAnsiTheme="minorHAnsi"/>
          <w:b/>
          <w:sz w:val="22"/>
          <w:szCs w:val="22"/>
          <w:lang w:val="en-US"/>
        </w:rPr>
        <w:t xml:space="preserve">Competition Problems </w:t>
      </w:r>
    </w:p>
    <w:p w:rsidR="003E37D7" w:rsidRPr="00AC2FAD" w:rsidRDefault="003E37D7" w:rsidP="003E37D7">
      <w:pPr>
        <w:pStyle w:val="Default"/>
        <w:keepNext/>
        <w:keepLines/>
        <w:ind w:left="360"/>
        <w:jc w:val="both"/>
        <w:rPr>
          <w:rFonts w:asciiTheme="minorHAnsi" w:hAnsiTheme="minorHAnsi"/>
          <w:b/>
          <w:sz w:val="22"/>
          <w:szCs w:val="22"/>
          <w:lang w:val="en-US"/>
        </w:rPr>
      </w:pPr>
    </w:p>
    <w:p w:rsidR="008B63E9" w:rsidRPr="00AC2FAD" w:rsidRDefault="00DF0F7E" w:rsidP="000E06DF">
      <w:pPr>
        <w:pStyle w:val="Default"/>
        <w:keepNext/>
        <w:keepLines/>
        <w:jc w:val="both"/>
        <w:rPr>
          <w:rFonts w:asciiTheme="minorHAnsi" w:hAnsiTheme="minorHAnsi"/>
          <w:sz w:val="22"/>
          <w:szCs w:val="22"/>
          <w:lang w:val="en-US"/>
        </w:rPr>
      </w:pPr>
      <w:r w:rsidRPr="00AC2FAD">
        <w:rPr>
          <w:rFonts w:asciiTheme="minorHAnsi" w:hAnsiTheme="minorHAnsi"/>
          <w:sz w:val="22"/>
          <w:szCs w:val="22"/>
          <w:lang w:val="en-US"/>
        </w:rPr>
        <w:t xml:space="preserve">The EU has a globally respected </w:t>
      </w:r>
      <w:r w:rsidR="008B63E9" w:rsidRPr="00AC2FAD">
        <w:rPr>
          <w:rFonts w:asciiTheme="minorHAnsi" w:hAnsiTheme="minorHAnsi"/>
          <w:sz w:val="22"/>
          <w:szCs w:val="22"/>
          <w:lang w:val="en-US"/>
        </w:rPr>
        <w:t>leadership role in anti-trust regulation. Competition ensures that business</w:t>
      </w:r>
      <w:r w:rsidR="00A4181A" w:rsidRPr="00AC2FAD">
        <w:rPr>
          <w:rFonts w:asciiTheme="minorHAnsi" w:hAnsiTheme="minorHAnsi"/>
          <w:sz w:val="22"/>
          <w:szCs w:val="22"/>
          <w:lang w:val="en-US"/>
        </w:rPr>
        <w:t>es</w:t>
      </w:r>
      <w:r w:rsidR="008B63E9" w:rsidRPr="00AC2FAD">
        <w:rPr>
          <w:rFonts w:asciiTheme="minorHAnsi" w:hAnsiTheme="minorHAnsi"/>
          <w:sz w:val="22"/>
          <w:szCs w:val="22"/>
          <w:lang w:val="en-US"/>
        </w:rPr>
        <w:t xml:space="preserve"> provide their clients with the best possible </w:t>
      </w:r>
      <w:proofErr w:type="gramStart"/>
      <w:r w:rsidR="008B63E9" w:rsidRPr="00AC2FAD">
        <w:rPr>
          <w:rFonts w:asciiTheme="minorHAnsi" w:hAnsiTheme="minorHAnsi"/>
          <w:sz w:val="22"/>
          <w:szCs w:val="22"/>
          <w:lang w:val="en-US"/>
        </w:rPr>
        <w:t>service</w:t>
      </w:r>
      <w:r w:rsidR="00A4181A" w:rsidRPr="00AC2FAD">
        <w:rPr>
          <w:rFonts w:asciiTheme="minorHAnsi" w:hAnsiTheme="minorHAnsi"/>
          <w:sz w:val="22"/>
          <w:szCs w:val="22"/>
          <w:lang w:val="en-US"/>
        </w:rPr>
        <w:t>,</w:t>
      </w:r>
      <w:proofErr w:type="gramEnd"/>
      <w:r w:rsidR="00A4181A" w:rsidRPr="00AC2FAD">
        <w:rPr>
          <w:rFonts w:asciiTheme="minorHAnsi" w:hAnsiTheme="minorHAnsi"/>
          <w:sz w:val="22"/>
          <w:szCs w:val="22"/>
          <w:lang w:val="en-US"/>
        </w:rPr>
        <w:t xml:space="preserve"> encourage innovation</w:t>
      </w:r>
      <w:r w:rsidR="008B63E9" w:rsidRPr="00AC2FAD">
        <w:rPr>
          <w:rFonts w:asciiTheme="minorHAnsi" w:hAnsiTheme="minorHAnsi"/>
          <w:sz w:val="22"/>
          <w:szCs w:val="22"/>
          <w:lang w:val="en-US"/>
        </w:rPr>
        <w:t xml:space="preserve"> and have choices.</w:t>
      </w:r>
    </w:p>
    <w:p w:rsidR="008B63E9" w:rsidRPr="00AC2FAD" w:rsidRDefault="008B63E9" w:rsidP="00A4181A">
      <w:pPr>
        <w:pStyle w:val="Default"/>
        <w:jc w:val="both"/>
        <w:rPr>
          <w:rFonts w:asciiTheme="minorHAnsi" w:hAnsiTheme="minorHAnsi"/>
          <w:sz w:val="22"/>
          <w:szCs w:val="22"/>
          <w:lang w:val="en-US"/>
        </w:rPr>
      </w:pPr>
    </w:p>
    <w:p w:rsidR="00F652D6" w:rsidRPr="00AC2FAD" w:rsidRDefault="00F652D6" w:rsidP="00A4181A">
      <w:pPr>
        <w:pStyle w:val="Default"/>
        <w:jc w:val="both"/>
        <w:rPr>
          <w:rFonts w:asciiTheme="minorHAnsi" w:hAnsiTheme="minorHAnsi"/>
          <w:b/>
          <w:sz w:val="22"/>
          <w:szCs w:val="22"/>
          <w:lang w:val="en-US"/>
        </w:rPr>
      </w:pPr>
      <w:r w:rsidRPr="00AC2FAD">
        <w:rPr>
          <w:rFonts w:asciiTheme="minorHAnsi" w:hAnsiTheme="minorHAnsi"/>
          <w:b/>
          <w:sz w:val="22"/>
          <w:szCs w:val="22"/>
          <w:lang w:val="en-US"/>
        </w:rPr>
        <w:t xml:space="preserve">Trade Associations/Membership </w:t>
      </w:r>
      <w:proofErr w:type="spellStart"/>
      <w:r w:rsidRPr="00AC2FAD">
        <w:rPr>
          <w:rFonts w:asciiTheme="minorHAnsi" w:hAnsiTheme="minorHAnsi"/>
          <w:b/>
          <w:sz w:val="22"/>
          <w:szCs w:val="22"/>
          <w:lang w:val="en-US"/>
        </w:rPr>
        <w:t>Organisations</w:t>
      </w:r>
      <w:proofErr w:type="spellEnd"/>
    </w:p>
    <w:p w:rsidR="008B63E9" w:rsidRPr="00AC2FAD" w:rsidRDefault="008B63E9" w:rsidP="00A4181A">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EU Competition Law specifically addresses the </w:t>
      </w:r>
      <w:r w:rsidR="00A4181A" w:rsidRPr="00AC2FAD">
        <w:rPr>
          <w:rFonts w:asciiTheme="minorHAnsi" w:hAnsiTheme="minorHAnsi"/>
          <w:sz w:val="22"/>
          <w:szCs w:val="22"/>
          <w:lang w:val="en-US"/>
        </w:rPr>
        <w:t>anti-</w:t>
      </w:r>
      <w:r w:rsidRPr="00AC2FAD">
        <w:rPr>
          <w:rFonts w:asciiTheme="minorHAnsi" w:hAnsiTheme="minorHAnsi"/>
          <w:sz w:val="22"/>
          <w:szCs w:val="22"/>
          <w:lang w:val="en-US"/>
        </w:rPr>
        <w:t>competition effects of the behavior of industry associations or membership bodies.</w:t>
      </w:r>
      <w:r w:rsidR="00A7702F" w:rsidRPr="00AC2FAD">
        <w:rPr>
          <w:rFonts w:asciiTheme="minorHAnsi" w:hAnsiTheme="minorHAnsi"/>
          <w:sz w:val="22"/>
          <w:szCs w:val="22"/>
          <w:lang w:val="en-US"/>
        </w:rPr>
        <w:t xml:space="preserve"> Such bodies serve a very valuable purpose in supporting their members in promoting high standards, however where the</w:t>
      </w:r>
      <w:r w:rsidR="00A4181A" w:rsidRPr="00AC2FAD">
        <w:rPr>
          <w:rFonts w:asciiTheme="minorHAnsi" w:hAnsiTheme="minorHAnsi"/>
          <w:sz w:val="22"/>
          <w:szCs w:val="22"/>
          <w:lang w:val="en-US"/>
        </w:rPr>
        <w:t xml:space="preserve">y </w:t>
      </w:r>
      <w:r w:rsidR="00A7702F" w:rsidRPr="00AC2FAD">
        <w:rPr>
          <w:rFonts w:asciiTheme="minorHAnsi" w:hAnsiTheme="minorHAnsi"/>
          <w:sz w:val="22"/>
          <w:szCs w:val="22"/>
          <w:lang w:val="en-US"/>
        </w:rPr>
        <w:t xml:space="preserve">distort or hamper free market competition, </w:t>
      </w:r>
      <w:r w:rsidR="00A4181A" w:rsidRPr="00AC2FAD">
        <w:rPr>
          <w:rFonts w:asciiTheme="minorHAnsi" w:hAnsiTheme="minorHAnsi"/>
          <w:sz w:val="22"/>
          <w:szCs w:val="22"/>
          <w:lang w:val="en-US"/>
        </w:rPr>
        <w:t xml:space="preserve">even with the best of motives, </w:t>
      </w:r>
      <w:r w:rsidR="00A7702F" w:rsidRPr="00AC2FAD">
        <w:rPr>
          <w:rFonts w:asciiTheme="minorHAnsi" w:hAnsiTheme="minorHAnsi"/>
          <w:sz w:val="22"/>
          <w:szCs w:val="22"/>
          <w:lang w:val="en-US"/>
        </w:rPr>
        <w:t>their good works are undermined.</w:t>
      </w:r>
      <w:r w:rsidR="00A4181A" w:rsidRPr="00AC2FAD">
        <w:rPr>
          <w:rFonts w:asciiTheme="minorHAnsi" w:hAnsiTheme="minorHAnsi"/>
          <w:sz w:val="22"/>
          <w:szCs w:val="22"/>
          <w:lang w:val="en-US"/>
        </w:rPr>
        <w:t xml:space="preserve"> This is of course fundamental to Article 101</w:t>
      </w:r>
    </w:p>
    <w:p w:rsidR="00A7702F" w:rsidRPr="00AC2FAD" w:rsidRDefault="00A7702F" w:rsidP="00A4181A">
      <w:pPr>
        <w:pStyle w:val="Default"/>
        <w:jc w:val="both"/>
        <w:rPr>
          <w:rFonts w:asciiTheme="minorHAnsi" w:hAnsiTheme="minorHAnsi"/>
          <w:sz w:val="22"/>
          <w:szCs w:val="22"/>
          <w:lang w:val="en-US"/>
        </w:rPr>
      </w:pPr>
    </w:p>
    <w:p w:rsidR="00A7702F" w:rsidRPr="00AC2FAD" w:rsidRDefault="00A7702F" w:rsidP="00A4181A">
      <w:pPr>
        <w:pStyle w:val="Default"/>
        <w:jc w:val="both"/>
        <w:rPr>
          <w:rFonts w:asciiTheme="minorHAnsi" w:hAnsiTheme="minorHAnsi"/>
          <w:sz w:val="22"/>
          <w:szCs w:val="22"/>
          <w:lang w:val="en-US"/>
        </w:rPr>
      </w:pPr>
      <w:r w:rsidRPr="00AC2FAD">
        <w:rPr>
          <w:rFonts w:asciiTheme="minorHAnsi" w:hAnsiTheme="minorHAnsi"/>
          <w:sz w:val="22"/>
          <w:szCs w:val="22"/>
          <w:lang w:val="en-US"/>
        </w:rPr>
        <w:t>Membership and tr</w:t>
      </w:r>
      <w:r w:rsidR="00CB6117">
        <w:rPr>
          <w:rFonts w:asciiTheme="minorHAnsi" w:hAnsiTheme="minorHAnsi"/>
          <w:sz w:val="22"/>
          <w:szCs w:val="22"/>
          <w:lang w:val="en-US"/>
        </w:rPr>
        <w:t xml:space="preserve">ade associations have been </w:t>
      </w:r>
      <w:r w:rsidRPr="00AC2FAD">
        <w:rPr>
          <w:rFonts w:asciiTheme="minorHAnsi" w:hAnsiTheme="minorHAnsi"/>
          <w:sz w:val="22"/>
          <w:szCs w:val="22"/>
          <w:lang w:val="en-US"/>
        </w:rPr>
        <w:t>active in corporate governance</w:t>
      </w:r>
      <w:r w:rsidR="00A4181A" w:rsidRPr="00AC2FAD">
        <w:rPr>
          <w:rFonts w:asciiTheme="minorHAnsi" w:hAnsiTheme="minorHAnsi"/>
          <w:sz w:val="22"/>
          <w:szCs w:val="22"/>
          <w:lang w:val="en-US"/>
        </w:rPr>
        <w:t xml:space="preserve"> in recent years</w:t>
      </w:r>
      <w:r w:rsidRPr="00AC2FAD">
        <w:rPr>
          <w:rFonts w:asciiTheme="minorHAnsi" w:hAnsiTheme="minorHAnsi"/>
          <w:sz w:val="22"/>
          <w:szCs w:val="22"/>
          <w:lang w:val="en-US"/>
        </w:rPr>
        <w:t xml:space="preserve">, however where exclusive arrangements with </w:t>
      </w:r>
      <w:r w:rsidR="00A4181A" w:rsidRPr="00AC2FAD">
        <w:rPr>
          <w:rFonts w:asciiTheme="minorHAnsi" w:hAnsiTheme="minorHAnsi"/>
          <w:sz w:val="22"/>
          <w:szCs w:val="22"/>
          <w:lang w:val="en-US"/>
        </w:rPr>
        <w:t>preferred</w:t>
      </w:r>
      <w:r w:rsidRPr="00AC2FAD">
        <w:rPr>
          <w:rFonts w:asciiTheme="minorHAnsi" w:hAnsiTheme="minorHAnsi"/>
          <w:sz w:val="22"/>
          <w:szCs w:val="22"/>
          <w:lang w:val="en-US"/>
        </w:rPr>
        <w:t xml:space="preserve"> suppliers are in place, the dominance effect is magnified as the endorsement of a powerful and influential body effectively encourages the membership to support the </w:t>
      </w:r>
      <w:r w:rsidR="00A4181A" w:rsidRPr="00AC2FAD">
        <w:rPr>
          <w:rFonts w:asciiTheme="minorHAnsi" w:hAnsiTheme="minorHAnsi"/>
          <w:sz w:val="22"/>
          <w:szCs w:val="22"/>
          <w:lang w:val="en-US"/>
        </w:rPr>
        <w:t>status quo</w:t>
      </w:r>
      <w:r w:rsidRPr="00AC2FAD">
        <w:rPr>
          <w:rFonts w:asciiTheme="minorHAnsi" w:hAnsiTheme="minorHAnsi"/>
          <w:sz w:val="22"/>
          <w:szCs w:val="22"/>
          <w:lang w:val="en-US"/>
        </w:rPr>
        <w:t>, regardless of whether the solution is doing the right job</w:t>
      </w:r>
      <w:r w:rsidR="00A4181A" w:rsidRPr="00AC2FAD">
        <w:rPr>
          <w:rFonts w:asciiTheme="minorHAnsi" w:hAnsiTheme="minorHAnsi"/>
          <w:sz w:val="22"/>
          <w:szCs w:val="22"/>
          <w:lang w:val="en-US"/>
        </w:rPr>
        <w:t xml:space="preserve"> or even contributing to the regulatory discontent</w:t>
      </w:r>
      <w:r w:rsidRPr="00AC2FAD">
        <w:rPr>
          <w:rFonts w:asciiTheme="minorHAnsi" w:hAnsiTheme="minorHAnsi"/>
          <w:sz w:val="22"/>
          <w:szCs w:val="22"/>
          <w:lang w:val="en-US"/>
        </w:rPr>
        <w:t>.</w:t>
      </w:r>
      <w:r w:rsidR="00A4181A" w:rsidRPr="00AC2FAD">
        <w:rPr>
          <w:rFonts w:asciiTheme="minorHAnsi" w:hAnsiTheme="minorHAnsi"/>
          <w:sz w:val="22"/>
          <w:szCs w:val="22"/>
          <w:lang w:val="en-US"/>
        </w:rPr>
        <w:t xml:space="preserve"> In such cases a free market cannot operate and the results are clear to see in Europe. Well intended actions may not have the outcomes expected.</w:t>
      </w:r>
    </w:p>
    <w:p w:rsidR="00A7702F" w:rsidRPr="00AC2FAD" w:rsidRDefault="00A7702F" w:rsidP="00A4181A">
      <w:pPr>
        <w:pStyle w:val="Default"/>
        <w:keepNext/>
        <w:jc w:val="both"/>
        <w:rPr>
          <w:rFonts w:asciiTheme="minorHAnsi" w:hAnsiTheme="minorHAnsi"/>
          <w:sz w:val="22"/>
          <w:szCs w:val="22"/>
          <w:lang w:val="en-US"/>
        </w:rPr>
      </w:pPr>
    </w:p>
    <w:p w:rsidR="00F652D6" w:rsidRPr="00AC2FAD" w:rsidRDefault="00223493" w:rsidP="00F652D6">
      <w:pPr>
        <w:pStyle w:val="Default"/>
        <w:jc w:val="both"/>
        <w:rPr>
          <w:rFonts w:asciiTheme="minorHAnsi" w:hAnsiTheme="minorHAnsi"/>
          <w:b/>
          <w:sz w:val="22"/>
          <w:szCs w:val="22"/>
          <w:lang w:val="en-US"/>
        </w:rPr>
      </w:pPr>
      <w:r w:rsidRPr="00AC2FAD">
        <w:rPr>
          <w:rFonts w:asciiTheme="minorHAnsi" w:hAnsiTheme="minorHAnsi"/>
          <w:b/>
          <w:sz w:val="22"/>
          <w:szCs w:val="22"/>
          <w:lang w:val="en-US"/>
        </w:rPr>
        <w:t xml:space="preserve">State </w:t>
      </w:r>
      <w:r w:rsidR="003E37D7">
        <w:rPr>
          <w:rFonts w:asciiTheme="minorHAnsi" w:hAnsiTheme="minorHAnsi"/>
          <w:b/>
          <w:sz w:val="22"/>
          <w:szCs w:val="22"/>
          <w:lang w:val="en-US"/>
        </w:rPr>
        <w:t xml:space="preserve">Support or </w:t>
      </w:r>
      <w:r w:rsidRPr="00AC2FAD">
        <w:rPr>
          <w:rFonts w:asciiTheme="minorHAnsi" w:hAnsiTheme="minorHAnsi"/>
          <w:b/>
          <w:sz w:val="22"/>
          <w:szCs w:val="22"/>
          <w:lang w:val="en-US"/>
        </w:rPr>
        <w:t>Subsidies</w:t>
      </w:r>
    </w:p>
    <w:p w:rsidR="00F652D6" w:rsidRDefault="00F652D6" w:rsidP="00F652D6">
      <w:pPr>
        <w:pStyle w:val="Default"/>
        <w:jc w:val="both"/>
        <w:rPr>
          <w:rFonts w:asciiTheme="minorHAnsi" w:hAnsiTheme="minorHAnsi"/>
          <w:sz w:val="22"/>
          <w:szCs w:val="22"/>
          <w:lang w:val="en-US"/>
        </w:rPr>
      </w:pPr>
      <w:r w:rsidRPr="00AC2FAD">
        <w:rPr>
          <w:rFonts w:asciiTheme="minorHAnsi" w:hAnsiTheme="minorHAnsi"/>
          <w:sz w:val="22"/>
          <w:szCs w:val="22"/>
          <w:lang w:val="en-US"/>
        </w:rPr>
        <w:lastRenderedPageBreak/>
        <w:t xml:space="preserve">Where </w:t>
      </w:r>
      <w:r w:rsidR="00DD5FEE" w:rsidRPr="00AC2FAD">
        <w:rPr>
          <w:rFonts w:asciiTheme="minorHAnsi" w:hAnsiTheme="minorHAnsi"/>
          <w:sz w:val="22"/>
          <w:szCs w:val="22"/>
          <w:lang w:val="en-US"/>
        </w:rPr>
        <w:t>universal bank subsidiaries benefit</w:t>
      </w:r>
      <w:r w:rsidRPr="00AC2FAD">
        <w:rPr>
          <w:rFonts w:asciiTheme="minorHAnsi" w:hAnsiTheme="minorHAnsi"/>
          <w:sz w:val="22"/>
          <w:szCs w:val="22"/>
          <w:lang w:val="en-US"/>
        </w:rPr>
        <w:t xml:space="preserve"> </w:t>
      </w:r>
      <w:r w:rsidR="00DD5FEE" w:rsidRPr="00AC2FAD">
        <w:rPr>
          <w:rFonts w:asciiTheme="minorHAnsi" w:hAnsiTheme="minorHAnsi"/>
          <w:sz w:val="22"/>
          <w:szCs w:val="22"/>
          <w:lang w:val="en-US"/>
        </w:rPr>
        <w:t>from the indirect support of the National State</w:t>
      </w:r>
      <w:r w:rsidRPr="00AC2FAD">
        <w:rPr>
          <w:rFonts w:asciiTheme="minorHAnsi" w:hAnsiTheme="minorHAnsi"/>
          <w:sz w:val="22"/>
          <w:szCs w:val="22"/>
          <w:lang w:val="en-US"/>
        </w:rPr>
        <w:t xml:space="preserve"> they are able to provide governance and engagement overlay sources with significant and guaranteed resources not available to other parties.</w:t>
      </w:r>
    </w:p>
    <w:p w:rsidR="00BA38B3" w:rsidRPr="00AC2FAD" w:rsidRDefault="00BA38B3" w:rsidP="00F652D6">
      <w:pPr>
        <w:pStyle w:val="Default"/>
        <w:jc w:val="both"/>
        <w:rPr>
          <w:rFonts w:asciiTheme="minorHAnsi" w:hAnsiTheme="minorHAnsi"/>
          <w:sz w:val="22"/>
          <w:szCs w:val="22"/>
          <w:lang w:val="en-US"/>
        </w:rPr>
      </w:pPr>
    </w:p>
    <w:p w:rsidR="003E37D7" w:rsidRPr="00AC2FAD" w:rsidRDefault="003E37D7" w:rsidP="00F652D6">
      <w:pPr>
        <w:pStyle w:val="Default"/>
        <w:jc w:val="both"/>
        <w:rPr>
          <w:rFonts w:asciiTheme="minorHAnsi" w:hAnsiTheme="minorHAnsi"/>
          <w:sz w:val="22"/>
          <w:szCs w:val="22"/>
          <w:lang w:val="en-US"/>
        </w:rPr>
      </w:pPr>
    </w:p>
    <w:p w:rsidR="00F652D6" w:rsidRPr="00AC2FAD" w:rsidRDefault="00F652D6" w:rsidP="00F652D6">
      <w:pPr>
        <w:pStyle w:val="Default"/>
        <w:keepNext/>
        <w:keepLines/>
        <w:jc w:val="both"/>
        <w:rPr>
          <w:rFonts w:asciiTheme="minorHAnsi" w:hAnsiTheme="minorHAnsi"/>
          <w:b/>
          <w:sz w:val="22"/>
          <w:szCs w:val="22"/>
          <w:lang w:val="en-US"/>
        </w:rPr>
      </w:pPr>
      <w:r w:rsidRPr="00AC2FAD">
        <w:rPr>
          <w:rFonts w:asciiTheme="minorHAnsi" w:hAnsiTheme="minorHAnsi"/>
          <w:b/>
          <w:sz w:val="22"/>
          <w:szCs w:val="22"/>
          <w:lang w:val="en-US"/>
        </w:rPr>
        <w:t xml:space="preserve">Abuse of Market </w:t>
      </w:r>
      <w:r w:rsidR="00A4181A" w:rsidRPr="00AC2FAD">
        <w:rPr>
          <w:rFonts w:asciiTheme="minorHAnsi" w:hAnsiTheme="minorHAnsi"/>
          <w:b/>
          <w:sz w:val="22"/>
          <w:szCs w:val="22"/>
          <w:lang w:val="en-US"/>
        </w:rPr>
        <w:t>Dominan</w:t>
      </w:r>
      <w:r w:rsidRPr="00AC2FAD">
        <w:rPr>
          <w:rFonts w:asciiTheme="minorHAnsi" w:hAnsiTheme="minorHAnsi"/>
          <w:b/>
          <w:sz w:val="22"/>
          <w:szCs w:val="22"/>
          <w:lang w:val="en-US"/>
        </w:rPr>
        <w:t>ce</w:t>
      </w:r>
    </w:p>
    <w:p w:rsidR="003E37D7" w:rsidRDefault="003E37D7" w:rsidP="00F652D6">
      <w:pPr>
        <w:pStyle w:val="Default"/>
        <w:jc w:val="both"/>
        <w:rPr>
          <w:rFonts w:asciiTheme="minorHAnsi" w:hAnsiTheme="minorHAnsi"/>
          <w:sz w:val="22"/>
          <w:szCs w:val="22"/>
          <w:lang w:val="en-US"/>
        </w:rPr>
      </w:pPr>
    </w:p>
    <w:p w:rsidR="00223493" w:rsidRPr="00AC2FAD" w:rsidRDefault="00223493" w:rsidP="00F652D6">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The </w:t>
      </w:r>
      <w:r w:rsidR="00DD5FEE" w:rsidRPr="00AC2FAD">
        <w:rPr>
          <w:rFonts w:asciiTheme="minorHAnsi" w:hAnsiTheme="minorHAnsi"/>
          <w:sz w:val="22"/>
          <w:szCs w:val="22"/>
          <w:lang w:val="en-US"/>
        </w:rPr>
        <w:t>domina</w:t>
      </w:r>
      <w:r w:rsidRPr="00AC2FAD">
        <w:rPr>
          <w:rFonts w:asciiTheme="minorHAnsi" w:hAnsiTheme="minorHAnsi"/>
          <w:sz w:val="22"/>
          <w:szCs w:val="22"/>
          <w:lang w:val="en-US"/>
        </w:rPr>
        <w:t xml:space="preserve">nce of the largest US player in Europe is </w:t>
      </w:r>
      <w:r w:rsidR="003E37D7">
        <w:rPr>
          <w:rFonts w:asciiTheme="minorHAnsi" w:hAnsiTheme="minorHAnsi"/>
          <w:sz w:val="22"/>
          <w:szCs w:val="22"/>
          <w:lang w:val="en-US"/>
        </w:rPr>
        <w:t xml:space="preserve">now </w:t>
      </w:r>
      <w:r w:rsidRPr="00AC2FAD">
        <w:rPr>
          <w:rFonts w:asciiTheme="minorHAnsi" w:hAnsiTheme="minorHAnsi"/>
          <w:sz w:val="22"/>
          <w:szCs w:val="22"/>
          <w:lang w:val="en-US"/>
        </w:rPr>
        <w:t xml:space="preserve">compounded by </w:t>
      </w:r>
      <w:r w:rsidR="003E37D7">
        <w:rPr>
          <w:rFonts w:asciiTheme="minorHAnsi" w:hAnsiTheme="minorHAnsi"/>
          <w:sz w:val="22"/>
          <w:szCs w:val="22"/>
          <w:lang w:val="en-US"/>
        </w:rPr>
        <w:t xml:space="preserve">the exploitation of its </w:t>
      </w:r>
      <w:r w:rsidRPr="00AC2FAD">
        <w:rPr>
          <w:rFonts w:asciiTheme="minorHAnsi" w:hAnsiTheme="minorHAnsi"/>
          <w:sz w:val="22"/>
          <w:szCs w:val="22"/>
          <w:lang w:val="en-US"/>
        </w:rPr>
        <w:t>overwhelming market which is leveraged to sell corporate services to issuers who feel intimidated into taking the service in order to avoid a negative vote.</w:t>
      </w:r>
    </w:p>
    <w:p w:rsidR="00F652D6" w:rsidRPr="00AC2FAD" w:rsidRDefault="00F652D6" w:rsidP="00F652D6">
      <w:pPr>
        <w:pStyle w:val="Default"/>
        <w:jc w:val="both"/>
        <w:rPr>
          <w:rFonts w:asciiTheme="minorHAnsi" w:hAnsiTheme="minorHAnsi"/>
          <w:sz w:val="22"/>
          <w:szCs w:val="22"/>
          <w:lang w:val="en-US"/>
        </w:rPr>
      </w:pPr>
    </w:p>
    <w:p w:rsidR="000E06DF" w:rsidRDefault="00F652D6" w:rsidP="00F652D6">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do not believe that it is reasonable to ban the sale of research or consulting to companies – this would be a breach of a fundamental EU freedom – however where the dominance of the organization </w:t>
      </w:r>
      <w:r w:rsidR="00B82636" w:rsidRPr="00AC2FAD">
        <w:rPr>
          <w:rFonts w:asciiTheme="minorHAnsi" w:hAnsiTheme="minorHAnsi"/>
          <w:sz w:val="22"/>
          <w:szCs w:val="22"/>
          <w:lang w:val="en-US"/>
        </w:rPr>
        <w:t>is derived from</w:t>
      </w:r>
      <w:r w:rsidRPr="00AC2FAD">
        <w:rPr>
          <w:rFonts w:asciiTheme="minorHAnsi" w:hAnsiTheme="minorHAnsi"/>
          <w:sz w:val="22"/>
          <w:szCs w:val="22"/>
          <w:lang w:val="en-US"/>
        </w:rPr>
        <w:t xml:space="preserve"> special quasi regulatory privileges arising from the soft power </w:t>
      </w:r>
      <w:proofErr w:type="gramStart"/>
      <w:r w:rsidRPr="00AC2FAD">
        <w:rPr>
          <w:rFonts w:asciiTheme="minorHAnsi" w:hAnsiTheme="minorHAnsi"/>
          <w:sz w:val="22"/>
          <w:szCs w:val="22"/>
          <w:lang w:val="en-US"/>
        </w:rPr>
        <w:t xml:space="preserve">of </w:t>
      </w:r>
      <w:r w:rsidR="00B41D28">
        <w:rPr>
          <w:rFonts w:asciiTheme="minorHAnsi" w:hAnsiTheme="minorHAnsi"/>
          <w:sz w:val="22"/>
          <w:szCs w:val="22"/>
          <w:lang w:val="en-US"/>
        </w:rPr>
        <w:t xml:space="preserve"> bank</w:t>
      </w:r>
      <w:proofErr w:type="gramEnd"/>
      <w:r w:rsidR="00B41D28">
        <w:rPr>
          <w:rFonts w:asciiTheme="minorHAnsi" w:hAnsiTheme="minorHAnsi"/>
          <w:sz w:val="22"/>
          <w:szCs w:val="22"/>
          <w:lang w:val="en-US"/>
        </w:rPr>
        <w:t xml:space="preserve"> groups or </w:t>
      </w:r>
      <w:r w:rsidRPr="00AC2FAD">
        <w:rPr>
          <w:rFonts w:asciiTheme="minorHAnsi" w:hAnsiTheme="minorHAnsi"/>
          <w:sz w:val="22"/>
          <w:szCs w:val="22"/>
          <w:lang w:val="en-US"/>
        </w:rPr>
        <w:t>investor associations the combination is toxic to the market.</w:t>
      </w:r>
      <w:r w:rsidR="00B82636" w:rsidRPr="00AC2FAD">
        <w:rPr>
          <w:rFonts w:asciiTheme="minorHAnsi" w:hAnsiTheme="minorHAnsi"/>
          <w:sz w:val="22"/>
          <w:szCs w:val="22"/>
          <w:lang w:val="en-US"/>
        </w:rPr>
        <w:t xml:space="preserve"> </w:t>
      </w:r>
    </w:p>
    <w:p w:rsidR="003E37D7" w:rsidRPr="00AC2FAD" w:rsidRDefault="003E37D7" w:rsidP="00F652D6">
      <w:pPr>
        <w:pStyle w:val="Default"/>
        <w:jc w:val="both"/>
        <w:rPr>
          <w:rFonts w:asciiTheme="minorHAnsi" w:hAnsiTheme="minorHAnsi"/>
          <w:sz w:val="22"/>
          <w:szCs w:val="22"/>
          <w:lang w:val="en-US"/>
        </w:rPr>
      </w:pPr>
    </w:p>
    <w:p w:rsidR="00B82636" w:rsidRPr="00AC2FAD" w:rsidRDefault="00B82636" w:rsidP="00F652D6">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Regulation of proxy advisors will grant an already dominant vendor an unchallengeable </w:t>
      </w:r>
      <w:r w:rsidR="000E06DF" w:rsidRPr="00AC2FAD">
        <w:rPr>
          <w:rFonts w:asciiTheme="minorHAnsi" w:hAnsiTheme="minorHAnsi"/>
          <w:sz w:val="22"/>
          <w:szCs w:val="22"/>
          <w:lang w:val="en-US"/>
        </w:rPr>
        <w:t>monopoly</w:t>
      </w:r>
      <w:r w:rsidRPr="00AC2FAD">
        <w:rPr>
          <w:rFonts w:asciiTheme="minorHAnsi" w:hAnsiTheme="minorHAnsi"/>
          <w:sz w:val="22"/>
          <w:szCs w:val="22"/>
          <w:lang w:val="en-US"/>
        </w:rPr>
        <w:t xml:space="preserve"> as no regulation will be able to constrain their conduct – as the US experiment has demonstrated.</w:t>
      </w:r>
    </w:p>
    <w:p w:rsidR="00F652D6" w:rsidRPr="00AC2FAD" w:rsidRDefault="00F652D6" w:rsidP="00F652D6">
      <w:pPr>
        <w:pStyle w:val="Default"/>
        <w:jc w:val="both"/>
        <w:rPr>
          <w:rFonts w:asciiTheme="minorHAnsi" w:hAnsiTheme="minorHAnsi"/>
          <w:sz w:val="22"/>
          <w:szCs w:val="22"/>
          <w:lang w:val="en-US"/>
        </w:rPr>
      </w:pPr>
    </w:p>
    <w:p w:rsidR="00F652D6" w:rsidRPr="00AC2FAD" w:rsidRDefault="00F652D6" w:rsidP="00F652D6">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The </w:t>
      </w:r>
      <w:r w:rsidR="000E06DF" w:rsidRPr="00AC2FAD">
        <w:rPr>
          <w:rFonts w:asciiTheme="minorHAnsi" w:hAnsiTheme="minorHAnsi"/>
          <w:sz w:val="22"/>
          <w:szCs w:val="22"/>
          <w:lang w:val="en-US"/>
        </w:rPr>
        <w:t>minority of engaged investors</w:t>
      </w:r>
      <w:r w:rsidRPr="00AC2FAD">
        <w:rPr>
          <w:rFonts w:asciiTheme="minorHAnsi" w:hAnsiTheme="minorHAnsi"/>
          <w:sz w:val="22"/>
          <w:szCs w:val="22"/>
          <w:lang w:val="en-US"/>
        </w:rPr>
        <w:t xml:space="preserve"> are </w:t>
      </w:r>
      <w:r w:rsidR="00B82636" w:rsidRPr="00AC2FAD">
        <w:rPr>
          <w:rFonts w:asciiTheme="minorHAnsi" w:hAnsiTheme="minorHAnsi"/>
          <w:sz w:val="22"/>
          <w:szCs w:val="22"/>
          <w:lang w:val="en-US"/>
        </w:rPr>
        <w:t xml:space="preserve">just as </w:t>
      </w:r>
      <w:r w:rsidRPr="00AC2FAD">
        <w:rPr>
          <w:rFonts w:asciiTheme="minorHAnsi" w:hAnsiTheme="minorHAnsi"/>
          <w:sz w:val="22"/>
          <w:szCs w:val="22"/>
          <w:lang w:val="en-US"/>
        </w:rPr>
        <w:t xml:space="preserve">frustrated by this dominance as it undermines their ability to </w:t>
      </w:r>
      <w:r w:rsidR="00B82636" w:rsidRPr="00AC2FAD">
        <w:rPr>
          <w:rFonts w:asciiTheme="minorHAnsi" w:hAnsiTheme="minorHAnsi"/>
          <w:sz w:val="22"/>
          <w:szCs w:val="22"/>
          <w:lang w:val="en-US"/>
        </w:rPr>
        <w:t xml:space="preserve">constructively </w:t>
      </w:r>
      <w:r w:rsidRPr="00AC2FAD">
        <w:rPr>
          <w:rFonts w:asciiTheme="minorHAnsi" w:hAnsiTheme="minorHAnsi"/>
          <w:sz w:val="22"/>
          <w:szCs w:val="22"/>
          <w:lang w:val="en-US"/>
        </w:rPr>
        <w:t>engage with companies</w:t>
      </w:r>
      <w:r w:rsidR="00B82636" w:rsidRPr="00AC2FAD">
        <w:rPr>
          <w:rFonts w:asciiTheme="minorHAnsi" w:hAnsiTheme="minorHAnsi"/>
          <w:sz w:val="22"/>
          <w:szCs w:val="22"/>
          <w:lang w:val="en-US"/>
        </w:rPr>
        <w:t xml:space="preserve"> on the matters that are important to them</w:t>
      </w:r>
      <w:r w:rsidRPr="00AC2FAD">
        <w:rPr>
          <w:rFonts w:asciiTheme="minorHAnsi" w:hAnsiTheme="minorHAnsi"/>
          <w:sz w:val="22"/>
          <w:szCs w:val="22"/>
          <w:lang w:val="en-US"/>
        </w:rPr>
        <w:t>.</w:t>
      </w:r>
    </w:p>
    <w:p w:rsidR="00F652D6" w:rsidRPr="00AC2FAD" w:rsidRDefault="00F652D6" w:rsidP="00F652D6">
      <w:pPr>
        <w:pStyle w:val="Default"/>
        <w:jc w:val="both"/>
        <w:rPr>
          <w:rFonts w:asciiTheme="minorHAnsi" w:hAnsiTheme="minorHAnsi"/>
          <w:sz w:val="22"/>
          <w:szCs w:val="22"/>
          <w:lang w:val="en-US"/>
        </w:rPr>
      </w:pPr>
    </w:p>
    <w:p w:rsidR="00427ADA" w:rsidRDefault="00427ADA" w:rsidP="00427ADA">
      <w:pPr>
        <w:pStyle w:val="Default"/>
        <w:jc w:val="both"/>
        <w:rPr>
          <w:rFonts w:asciiTheme="minorHAnsi" w:hAnsiTheme="minorHAnsi"/>
          <w:sz w:val="22"/>
          <w:szCs w:val="22"/>
          <w:lang w:val="en-US"/>
        </w:rPr>
      </w:pPr>
    </w:p>
    <w:p w:rsidR="009E319B" w:rsidRPr="00AC2FAD" w:rsidRDefault="009E319B" w:rsidP="009E319B">
      <w:pPr>
        <w:jc w:val="both"/>
        <w:rPr>
          <w:rFonts w:eastAsia="Times New Roman" w:cs="Times New Roman"/>
          <w:b/>
          <w:bCs/>
          <w:i/>
          <w:lang w:val="en-US" w:eastAsia="fr-FR"/>
        </w:rPr>
      </w:pPr>
      <w:r w:rsidRPr="00AC2FAD">
        <w:rPr>
          <w:rFonts w:eastAsia="Times New Roman" w:cs="Times New Roman"/>
          <w:b/>
          <w:bCs/>
          <w:i/>
          <w:lang w:val="en-US" w:eastAsia="fr-FR"/>
        </w:rPr>
        <w:t xml:space="preserve">Q3: Did you become aware of the BPP at the time of their </w:t>
      </w:r>
      <w:proofErr w:type="gramStart"/>
      <w:r w:rsidRPr="00AC2FAD">
        <w:rPr>
          <w:rFonts w:eastAsia="Times New Roman" w:cs="Times New Roman"/>
          <w:b/>
          <w:bCs/>
          <w:i/>
          <w:lang w:val="en-US" w:eastAsia="fr-FR"/>
        </w:rPr>
        <w:t>publication ?</w:t>
      </w:r>
      <w:proofErr w:type="gramEnd"/>
      <w:r w:rsidRPr="00AC2FAD">
        <w:rPr>
          <w:rFonts w:eastAsia="Times New Roman" w:cs="Times New Roman"/>
          <w:b/>
          <w:bCs/>
          <w:i/>
          <w:lang w:val="en-US" w:eastAsia="fr-FR"/>
        </w:rPr>
        <w:t xml:space="preserve"> </w:t>
      </w:r>
    </w:p>
    <w:p w:rsidR="009E319B" w:rsidRPr="00AC2FAD" w:rsidRDefault="009E319B" w:rsidP="009E319B">
      <w:pPr>
        <w:jc w:val="both"/>
        <w:rPr>
          <w:rFonts w:cs="Arial"/>
          <w:lang w:val="en-US"/>
        </w:rPr>
      </w:pPr>
      <w:r w:rsidRPr="00AC2FAD">
        <w:rPr>
          <w:rFonts w:cs="Arial"/>
          <w:lang w:val="en-US"/>
        </w:rPr>
        <w:t>Proxinvest is one of the</w:t>
      </w:r>
      <w:r w:rsidR="00223493" w:rsidRPr="00AC2FAD">
        <w:rPr>
          <w:rFonts w:cs="Arial"/>
          <w:lang w:val="en-US"/>
        </w:rPr>
        <w:t xml:space="preserve"> founding</w:t>
      </w:r>
      <w:r w:rsidRPr="00AC2FAD">
        <w:rPr>
          <w:rFonts w:cs="Arial"/>
          <w:lang w:val="en-US"/>
        </w:rPr>
        <w:t xml:space="preserve"> members of the Best Practice Principles Group</w:t>
      </w:r>
    </w:p>
    <w:p w:rsidR="009E319B" w:rsidRPr="00AC2FAD" w:rsidRDefault="009E319B" w:rsidP="009E319B">
      <w:pPr>
        <w:jc w:val="both"/>
        <w:rPr>
          <w:rFonts w:cs="Arial"/>
          <w:lang w:val="en-US"/>
        </w:rPr>
      </w:pPr>
    </w:p>
    <w:p w:rsidR="009E319B" w:rsidRPr="00AC2FAD" w:rsidRDefault="009E319B" w:rsidP="00A4181A">
      <w:pPr>
        <w:keepNext/>
        <w:jc w:val="both"/>
        <w:rPr>
          <w:rFonts w:eastAsia="Times New Roman" w:cs="Times New Roman"/>
          <w:b/>
          <w:bCs/>
          <w:i/>
          <w:lang w:val="en-US" w:eastAsia="fr-FR"/>
        </w:rPr>
      </w:pPr>
      <w:r w:rsidRPr="00AC2FAD">
        <w:rPr>
          <w:rFonts w:eastAsia="Times New Roman" w:cs="Times New Roman"/>
          <w:b/>
          <w:bCs/>
          <w:i/>
          <w:lang w:val="en-US" w:eastAsia="fr-FR"/>
        </w:rPr>
        <w:t xml:space="preserve">Q4: What is your view on the width and clarity of the scope of entities covered by the BPP (i.e. do you consider that the BPP cover the European proxy advisory market appropriately)?  </w:t>
      </w:r>
    </w:p>
    <w:p w:rsidR="00223493" w:rsidRPr="00AC2FAD" w:rsidRDefault="009E319B" w:rsidP="00223493">
      <w:pPr>
        <w:jc w:val="both"/>
        <w:rPr>
          <w:rFonts w:cs="Arial"/>
          <w:lang w:val="en-US"/>
        </w:rPr>
      </w:pPr>
      <w:r w:rsidRPr="00AC2FAD">
        <w:rPr>
          <w:rFonts w:cs="Arial"/>
          <w:lang w:val="en-US"/>
        </w:rPr>
        <w:t>Proxinvest fully supports the BPP process and outcome</w:t>
      </w:r>
      <w:r w:rsidR="00223493" w:rsidRPr="00AC2FAD">
        <w:rPr>
          <w:rFonts w:cs="Arial"/>
          <w:lang w:val="en-US"/>
        </w:rPr>
        <w:t>. However Proxinvest does not share the view that the shareholder voting research industry is or ever was or should be a priority issue for regulators or legislators seeking to bring efficiency and trust back to our</w:t>
      </w:r>
      <w:r w:rsidR="0042314F">
        <w:rPr>
          <w:rFonts w:cs="Arial"/>
          <w:lang w:val="en-US"/>
        </w:rPr>
        <w:t xml:space="preserve"> </w:t>
      </w:r>
      <w:r w:rsidR="00223493" w:rsidRPr="00AC2FAD">
        <w:rPr>
          <w:rFonts w:cs="Arial"/>
          <w:lang w:val="en-US"/>
        </w:rPr>
        <w:t xml:space="preserve">financial markets. </w:t>
      </w:r>
    </w:p>
    <w:p w:rsidR="009E319B" w:rsidRPr="00AC2FAD" w:rsidRDefault="009E319B" w:rsidP="009E319B">
      <w:pPr>
        <w:jc w:val="both"/>
        <w:rPr>
          <w:rFonts w:cs="Arial"/>
          <w:lang w:val="en-US"/>
        </w:rPr>
      </w:pPr>
      <w:r w:rsidRPr="00AC2FAD">
        <w:rPr>
          <w:rFonts w:cs="Arial"/>
          <w:lang w:val="en-US"/>
        </w:rPr>
        <w:t xml:space="preserve">While it is true that proxy advisory agencies have always had an </w:t>
      </w:r>
      <w:r w:rsidR="00223493" w:rsidRPr="00AC2FAD">
        <w:rPr>
          <w:rFonts w:cs="Arial"/>
          <w:lang w:val="en-US"/>
        </w:rPr>
        <w:t xml:space="preserve">influence </w:t>
      </w:r>
      <w:r w:rsidRPr="00AC2FAD">
        <w:rPr>
          <w:rFonts w:cs="Arial"/>
          <w:lang w:val="en-US"/>
        </w:rPr>
        <w:t xml:space="preserve">in the voting of shares, this impact is </w:t>
      </w:r>
      <w:r w:rsidR="0042314F">
        <w:rPr>
          <w:rFonts w:cs="Arial"/>
          <w:lang w:val="en-US"/>
        </w:rPr>
        <w:t xml:space="preserve">as demonstrated above </w:t>
      </w:r>
      <w:r w:rsidRPr="00AC2FAD">
        <w:rPr>
          <w:rFonts w:cs="Arial"/>
          <w:lang w:val="en-US"/>
        </w:rPr>
        <w:t xml:space="preserve">not </w:t>
      </w:r>
      <w:r w:rsidR="00D72E6E" w:rsidRPr="00AC2FAD">
        <w:rPr>
          <w:rFonts w:cs="Arial"/>
          <w:lang w:val="en-US"/>
        </w:rPr>
        <w:t>as significant as the impact of the other</w:t>
      </w:r>
      <w:r w:rsidRPr="00AC2FAD">
        <w:rPr>
          <w:rFonts w:cs="Arial"/>
          <w:lang w:val="en-US"/>
        </w:rPr>
        <w:t xml:space="preserve"> conflict</w:t>
      </w:r>
      <w:r w:rsidR="00D72E6E" w:rsidRPr="00AC2FAD">
        <w:rPr>
          <w:rFonts w:cs="Arial"/>
          <w:lang w:val="en-US"/>
        </w:rPr>
        <w:t xml:space="preserve">ed </w:t>
      </w:r>
      <w:r w:rsidRPr="00AC2FAD">
        <w:rPr>
          <w:rFonts w:cs="Arial"/>
          <w:lang w:val="en-US"/>
        </w:rPr>
        <w:t xml:space="preserve">agents </w:t>
      </w:r>
      <w:r w:rsidR="00D72E6E" w:rsidRPr="00AC2FAD">
        <w:rPr>
          <w:rFonts w:cs="Arial"/>
          <w:lang w:val="en-US"/>
        </w:rPr>
        <w:t xml:space="preserve">in the </w:t>
      </w:r>
      <w:r w:rsidRPr="00AC2FAD">
        <w:rPr>
          <w:rFonts w:cs="Arial"/>
          <w:lang w:val="en-US"/>
        </w:rPr>
        <w:t>financial markets</w:t>
      </w:r>
      <w:r w:rsidR="00D72E6E" w:rsidRPr="00AC2FAD">
        <w:rPr>
          <w:rFonts w:cs="Arial"/>
          <w:lang w:val="en-US"/>
        </w:rPr>
        <w:t>,</w:t>
      </w:r>
      <w:r w:rsidRPr="00AC2FAD">
        <w:rPr>
          <w:rFonts w:cs="Arial"/>
          <w:lang w:val="en-US"/>
        </w:rPr>
        <w:t xml:space="preserve"> </w:t>
      </w:r>
      <w:r w:rsidR="0042314F">
        <w:rPr>
          <w:rFonts w:cs="Arial"/>
          <w:lang w:val="en-US"/>
        </w:rPr>
        <w:t xml:space="preserve">over </w:t>
      </w:r>
      <w:r w:rsidRPr="00AC2FAD">
        <w:rPr>
          <w:rFonts w:cs="Arial"/>
          <w:lang w:val="en-US"/>
        </w:rPr>
        <w:t>investment</w:t>
      </w:r>
      <w:r w:rsidR="00D72E6E" w:rsidRPr="00AC2FAD">
        <w:rPr>
          <w:rFonts w:cs="Arial"/>
          <w:lang w:val="en-US"/>
        </w:rPr>
        <w:t xml:space="preserve"> management</w:t>
      </w:r>
      <w:r w:rsidRPr="00AC2FAD">
        <w:rPr>
          <w:rFonts w:cs="Arial"/>
          <w:lang w:val="en-US"/>
        </w:rPr>
        <w:t xml:space="preserve"> and voting. </w:t>
      </w:r>
    </w:p>
    <w:p w:rsidR="009E319B" w:rsidRPr="00AC2FAD" w:rsidRDefault="00D72E6E" w:rsidP="009E319B">
      <w:pPr>
        <w:jc w:val="both"/>
        <w:rPr>
          <w:rFonts w:cs="Arial"/>
          <w:lang w:val="en-US"/>
        </w:rPr>
      </w:pPr>
      <w:r w:rsidRPr="00AC2FAD">
        <w:rPr>
          <w:rFonts w:cs="Arial"/>
          <w:lang w:val="en-US"/>
        </w:rPr>
        <w:t>We have always said and continue to believe that our pr</w:t>
      </w:r>
      <w:r w:rsidR="0042314F">
        <w:rPr>
          <w:rFonts w:cs="Arial"/>
          <w:lang w:val="en-US"/>
        </w:rPr>
        <w:t xml:space="preserve">iority must be to address the </w:t>
      </w:r>
      <w:r w:rsidR="009E319B" w:rsidRPr="00AC2FAD">
        <w:rPr>
          <w:rFonts w:cs="Arial"/>
          <w:b/>
          <w:lang w:val="en-US"/>
        </w:rPr>
        <w:t>numerous conflicts of interests of banks</w:t>
      </w:r>
      <w:r w:rsidR="009E319B" w:rsidRPr="00AC2FAD">
        <w:rPr>
          <w:rFonts w:cs="Arial"/>
          <w:lang w:val="en-US"/>
        </w:rPr>
        <w:t xml:space="preserve">, notably </w:t>
      </w:r>
      <w:r w:rsidRPr="00AC2FAD">
        <w:rPr>
          <w:rFonts w:cs="Arial"/>
          <w:lang w:val="en-US"/>
        </w:rPr>
        <w:t xml:space="preserve">their influence </w:t>
      </w:r>
      <w:r w:rsidR="009E319B" w:rsidRPr="00AC2FAD">
        <w:rPr>
          <w:rFonts w:cs="Arial"/>
          <w:lang w:val="en-US"/>
        </w:rPr>
        <w:t>over shareholder</w:t>
      </w:r>
      <w:r w:rsidRPr="00AC2FAD">
        <w:rPr>
          <w:rFonts w:cs="Arial"/>
          <w:lang w:val="en-US"/>
        </w:rPr>
        <w:t xml:space="preserve"> identification, and </w:t>
      </w:r>
      <w:r w:rsidR="0042314F">
        <w:rPr>
          <w:rFonts w:cs="Arial"/>
          <w:lang w:val="en-US"/>
        </w:rPr>
        <w:t xml:space="preserve">cross-border </w:t>
      </w:r>
      <w:r w:rsidRPr="00AC2FAD">
        <w:rPr>
          <w:rFonts w:cs="Arial"/>
          <w:lang w:val="en-US"/>
        </w:rPr>
        <w:t xml:space="preserve">vote </w:t>
      </w:r>
      <w:r w:rsidR="00660D49">
        <w:rPr>
          <w:rFonts w:cs="Arial"/>
          <w:lang w:val="en-US"/>
        </w:rPr>
        <w:t>channelin</w:t>
      </w:r>
      <w:r w:rsidR="00660D49" w:rsidRPr="00AC2FAD">
        <w:rPr>
          <w:rFonts w:cs="Arial"/>
          <w:lang w:val="en-US"/>
        </w:rPr>
        <w:t>g</w:t>
      </w:r>
      <w:r w:rsidRPr="00AC2FAD">
        <w:rPr>
          <w:rFonts w:cs="Arial"/>
          <w:lang w:val="en-US"/>
        </w:rPr>
        <w:t xml:space="preserve">. Since at least </w:t>
      </w:r>
      <w:hyperlink r:id="rId14" w:history="1">
        <w:r w:rsidRPr="00AC2FAD">
          <w:rPr>
            <w:rStyle w:val="Lienhypertexte"/>
            <w:rFonts w:cs="Arial"/>
            <w:lang w:val="en-US"/>
          </w:rPr>
          <w:t xml:space="preserve"> 2002 denounced by the </w:t>
        </w:r>
        <w:proofErr w:type="gramStart"/>
        <w:r w:rsidRPr="00AC2FAD">
          <w:rPr>
            <w:rStyle w:val="Lienhypertexte"/>
            <w:rFonts w:cs="Arial"/>
            <w:lang w:val="en-US"/>
          </w:rPr>
          <w:t>Proxinvest  CEO</w:t>
        </w:r>
        <w:proofErr w:type="gramEnd"/>
        <w:r w:rsidRPr="00AC2FAD">
          <w:rPr>
            <w:rStyle w:val="Lienhypertexte"/>
            <w:rFonts w:cs="Arial"/>
            <w:vertAlign w:val="superscript"/>
            <w:lang w:val="en-US"/>
          </w:rPr>
          <w:footnoteReference w:id="3"/>
        </w:r>
        <w:r w:rsidRPr="00AC2FAD">
          <w:rPr>
            <w:rStyle w:val="Lienhypertexte"/>
            <w:rFonts w:cs="Arial"/>
            <w:lang w:val="en-US"/>
          </w:rPr>
          <w:t xml:space="preserve"> in in newspaper Le </w:t>
        </w:r>
        <w:r w:rsidRPr="00AC2FAD">
          <w:rPr>
            <w:rStyle w:val="Lienhypertexte"/>
            <w:rFonts w:cs="Arial"/>
            <w:lang w:val="en-US"/>
          </w:rPr>
          <w:lastRenderedPageBreak/>
          <w:t>Monde</w:t>
        </w:r>
      </w:hyperlink>
      <w:r w:rsidRPr="00AC2FAD">
        <w:rPr>
          <w:rFonts w:cs="Arial"/>
          <w:lang w:val="en-US"/>
        </w:rPr>
        <w:t xml:space="preserve"> as well as at the French Parliament.)  One clear example is the dysfunction of the cross-border voting chain 100% attributed by Proxinvest to the unwillingness of big European deposit banks</w:t>
      </w:r>
      <w:r w:rsidRPr="00AC2FAD">
        <w:rPr>
          <w:rStyle w:val="Appelnotedebasdep"/>
          <w:rFonts w:cs="Arial"/>
          <w:lang w:val="en-US"/>
        </w:rPr>
        <w:footnoteReference w:id="4"/>
      </w:r>
      <w:r w:rsidR="00B82636" w:rsidRPr="00AC2FAD">
        <w:rPr>
          <w:rFonts w:cs="Arial"/>
          <w:lang w:val="en-US"/>
        </w:rPr>
        <w:t xml:space="preserve"> to permit innovation in the voting </w:t>
      </w:r>
      <w:proofErr w:type="spellStart"/>
      <w:r w:rsidR="009E319B" w:rsidRPr="00AC2FAD">
        <w:rPr>
          <w:rFonts w:cs="Arial"/>
          <w:lang w:val="en-US"/>
        </w:rPr>
        <w:t>voting</w:t>
      </w:r>
      <w:proofErr w:type="spellEnd"/>
      <w:r w:rsidR="009E319B" w:rsidRPr="00AC2FAD">
        <w:rPr>
          <w:rFonts w:cs="Arial"/>
          <w:lang w:val="en-US"/>
        </w:rPr>
        <w:t xml:space="preserve"> process</w:t>
      </w:r>
      <w:r w:rsidR="00B82636" w:rsidRPr="00AC2FAD">
        <w:rPr>
          <w:rFonts w:cs="Arial"/>
          <w:lang w:val="en-US"/>
        </w:rPr>
        <w:t xml:space="preserve">. The overbearing influence of the </w:t>
      </w:r>
      <w:r w:rsidR="0042314F">
        <w:rPr>
          <w:rFonts w:cs="Arial"/>
          <w:lang w:val="en-US"/>
        </w:rPr>
        <w:t xml:space="preserve">universal </w:t>
      </w:r>
      <w:r w:rsidR="00B82636" w:rsidRPr="00AC2FAD">
        <w:rPr>
          <w:rFonts w:cs="Arial"/>
          <w:lang w:val="en-US"/>
        </w:rPr>
        <w:t>banks through their corporate advisory</w:t>
      </w:r>
      <w:r w:rsidR="0042314F">
        <w:rPr>
          <w:rFonts w:cs="Arial"/>
          <w:lang w:val="en-US"/>
        </w:rPr>
        <w:t>, stock brokerage</w:t>
      </w:r>
      <w:r w:rsidR="00B82636" w:rsidRPr="00AC2FAD">
        <w:rPr>
          <w:rFonts w:cs="Arial"/>
          <w:lang w:val="en-US"/>
        </w:rPr>
        <w:t xml:space="preserve"> and sell side research activities has created an environment where</w:t>
      </w:r>
      <w:r w:rsidR="0042314F">
        <w:rPr>
          <w:rFonts w:cs="Arial"/>
          <w:lang w:val="en-US"/>
        </w:rPr>
        <w:t xml:space="preserve"> some</w:t>
      </w:r>
      <w:r w:rsidR="00B82636" w:rsidRPr="00AC2FAD">
        <w:rPr>
          <w:rFonts w:cs="Arial"/>
          <w:lang w:val="en-US"/>
        </w:rPr>
        <w:t xml:space="preserve"> fund managers are so dependent on their sell side relationships that they are unaware of their practicalities of voting or the true costs of providi</w:t>
      </w:r>
      <w:r w:rsidR="00660D49">
        <w:rPr>
          <w:rFonts w:cs="Arial"/>
          <w:lang w:val="en-US"/>
        </w:rPr>
        <w:t>ng high quality research. MIFID</w:t>
      </w:r>
      <w:r w:rsidR="0042314F">
        <w:rPr>
          <w:rFonts w:cs="Arial"/>
          <w:lang w:val="en-US"/>
        </w:rPr>
        <w:t xml:space="preserve"> might</w:t>
      </w:r>
      <w:r w:rsidR="00B82636" w:rsidRPr="00AC2FAD">
        <w:rPr>
          <w:rFonts w:cs="Arial"/>
          <w:lang w:val="en-US"/>
        </w:rPr>
        <w:t xml:space="preserve"> contribute to </w:t>
      </w:r>
      <w:r w:rsidR="003C1C8C" w:rsidRPr="00AC2FAD">
        <w:rPr>
          <w:rFonts w:cs="Arial"/>
          <w:lang w:val="en-US"/>
        </w:rPr>
        <w:t>making improvements in this area.</w:t>
      </w:r>
      <w:r w:rsidR="00B82636" w:rsidRPr="00AC2FAD">
        <w:rPr>
          <w:rFonts w:cs="Arial"/>
          <w:lang w:val="en-US"/>
        </w:rPr>
        <w:t xml:space="preserve"> </w:t>
      </w:r>
      <w:r w:rsidR="003C1C8C" w:rsidRPr="00AC2FAD">
        <w:rPr>
          <w:rFonts w:cs="Arial"/>
          <w:lang w:val="en-US"/>
        </w:rPr>
        <w:t xml:space="preserve">ESMA must remain </w:t>
      </w:r>
      <w:r w:rsidR="0042314F" w:rsidRPr="00AC2FAD">
        <w:rPr>
          <w:rFonts w:cs="Arial"/>
          <w:lang w:val="en-US"/>
        </w:rPr>
        <w:t>vigilant</w:t>
      </w:r>
      <w:r w:rsidR="003C1C8C" w:rsidRPr="00AC2FAD">
        <w:rPr>
          <w:rFonts w:cs="Arial"/>
          <w:lang w:val="en-US"/>
        </w:rPr>
        <w:t xml:space="preserve"> to the vested interests of the incumbents who would prefer </w:t>
      </w:r>
      <w:r w:rsidR="0042314F">
        <w:rPr>
          <w:rFonts w:cs="Arial"/>
          <w:lang w:val="en-US"/>
        </w:rPr>
        <w:t>not to reform</w:t>
      </w:r>
      <w:r w:rsidR="003C1C8C" w:rsidRPr="00AC2FAD">
        <w:rPr>
          <w:rFonts w:cs="Arial"/>
          <w:lang w:val="en-US"/>
        </w:rPr>
        <w:t xml:space="preserve">. One of the areas that </w:t>
      </w:r>
      <w:proofErr w:type="gramStart"/>
      <w:r w:rsidR="003C1C8C" w:rsidRPr="00AC2FAD">
        <w:rPr>
          <w:rFonts w:cs="Arial"/>
          <w:lang w:val="en-US"/>
        </w:rPr>
        <w:t>has</w:t>
      </w:r>
      <w:proofErr w:type="gramEnd"/>
      <w:r w:rsidR="003C1C8C" w:rsidRPr="00AC2FAD">
        <w:rPr>
          <w:rFonts w:cs="Arial"/>
          <w:lang w:val="en-US"/>
        </w:rPr>
        <w:t xml:space="preserve"> been largely ignored in the proxy advisor debate is the role of the </w:t>
      </w:r>
      <w:r w:rsidR="009E319B" w:rsidRPr="00AC2FAD">
        <w:rPr>
          <w:rFonts w:cs="Arial"/>
          <w:lang w:val="en-US"/>
        </w:rPr>
        <w:t>proxy solicitation firms, appointed by ma</w:t>
      </w:r>
      <w:r w:rsidR="0042314F">
        <w:rPr>
          <w:rFonts w:cs="Arial"/>
          <w:lang w:val="en-US"/>
        </w:rPr>
        <w:t>nagement and paid by companies,</w:t>
      </w:r>
      <w:r w:rsidR="003C1C8C" w:rsidRPr="00AC2FAD">
        <w:rPr>
          <w:rFonts w:cs="Arial"/>
          <w:lang w:val="en-US"/>
        </w:rPr>
        <w:t xml:space="preserve"> but with </w:t>
      </w:r>
      <w:r w:rsidR="009E319B" w:rsidRPr="00AC2FAD">
        <w:rPr>
          <w:rFonts w:cs="Arial"/>
          <w:lang w:val="en-US"/>
        </w:rPr>
        <w:t xml:space="preserve">shareholders money. </w:t>
      </w:r>
    </w:p>
    <w:p w:rsidR="003C1C8C" w:rsidRPr="00AC2FAD" w:rsidRDefault="003C1C8C" w:rsidP="00EB678F">
      <w:pPr>
        <w:jc w:val="both"/>
        <w:rPr>
          <w:rFonts w:cs="Arial"/>
          <w:lang w:val="en-US"/>
        </w:rPr>
      </w:pPr>
      <w:r w:rsidRPr="00AC2FAD">
        <w:rPr>
          <w:rFonts w:cs="Arial"/>
          <w:lang w:val="en-US"/>
        </w:rPr>
        <w:t xml:space="preserve">The objective of </w:t>
      </w:r>
      <w:r w:rsidR="009E319B" w:rsidRPr="00AC2FAD">
        <w:rPr>
          <w:rFonts w:cs="Arial"/>
          <w:lang w:val="en-US"/>
        </w:rPr>
        <w:t xml:space="preserve">Proxy </w:t>
      </w:r>
      <w:r w:rsidRPr="00AC2FAD">
        <w:rPr>
          <w:rFonts w:cs="Arial"/>
          <w:lang w:val="en-US"/>
        </w:rPr>
        <w:t>S</w:t>
      </w:r>
      <w:r w:rsidR="009E319B" w:rsidRPr="00AC2FAD">
        <w:rPr>
          <w:rFonts w:cs="Arial"/>
          <w:lang w:val="en-US"/>
        </w:rPr>
        <w:t>olicit</w:t>
      </w:r>
      <w:r w:rsidRPr="00AC2FAD">
        <w:rPr>
          <w:rFonts w:cs="Arial"/>
          <w:lang w:val="en-US"/>
        </w:rPr>
        <w:t xml:space="preserve">ors such as </w:t>
      </w:r>
      <w:proofErr w:type="spellStart"/>
      <w:r w:rsidRPr="00AC2FAD">
        <w:rPr>
          <w:rFonts w:cs="Arial"/>
          <w:lang w:val="en-US"/>
        </w:rPr>
        <w:t>Sodali</w:t>
      </w:r>
      <w:proofErr w:type="spellEnd"/>
      <w:r w:rsidRPr="00AC2FAD">
        <w:rPr>
          <w:rFonts w:cs="Arial"/>
          <w:lang w:val="en-US"/>
        </w:rPr>
        <w:t xml:space="preserve"> or </w:t>
      </w:r>
      <w:proofErr w:type="spellStart"/>
      <w:r w:rsidRPr="00AC2FAD">
        <w:rPr>
          <w:rFonts w:cs="Arial"/>
          <w:lang w:val="en-US"/>
        </w:rPr>
        <w:t>Georgeson</w:t>
      </w:r>
      <w:proofErr w:type="spellEnd"/>
      <w:r w:rsidRPr="00AC2FAD">
        <w:rPr>
          <w:rFonts w:cs="Arial"/>
          <w:lang w:val="en-US"/>
        </w:rPr>
        <w:t xml:space="preserve"> has always been to influence the outcome of the vote </w:t>
      </w:r>
      <w:r w:rsidR="00427ADA" w:rsidRPr="00AC2FAD">
        <w:rPr>
          <w:rFonts w:cs="Arial"/>
          <w:lang w:val="en-US"/>
        </w:rPr>
        <w:t xml:space="preserve">– </w:t>
      </w:r>
      <w:r w:rsidR="00427ADA">
        <w:rPr>
          <w:rFonts w:cs="Arial"/>
          <w:lang w:val="en-US"/>
        </w:rPr>
        <w:t>mirroring</w:t>
      </w:r>
      <w:r w:rsidRPr="00AC2FAD">
        <w:rPr>
          <w:rFonts w:cs="Arial"/>
          <w:lang w:val="en-US"/>
        </w:rPr>
        <w:t xml:space="preserve"> of the proxy advisors, the difference being</w:t>
      </w:r>
      <w:r w:rsidR="0042314F">
        <w:rPr>
          <w:rFonts w:cs="Arial"/>
          <w:lang w:val="en-US"/>
        </w:rPr>
        <w:t xml:space="preserve"> that</w:t>
      </w:r>
      <w:r w:rsidRPr="00AC2FAD">
        <w:rPr>
          <w:rFonts w:cs="Arial"/>
          <w:lang w:val="en-US"/>
        </w:rPr>
        <w:t xml:space="preserve"> proxy advisors work for investor</w:t>
      </w:r>
      <w:r w:rsidR="0042314F">
        <w:rPr>
          <w:rFonts w:cs="Arial"/>
          <w:lang w:val="en-US"/>
        </w:rPr>
        <w:t xml:space="preserve">s and </w:t>
      </w:r>
      <w:r w:rsidR="00427ADA">
        <w:rPr>
          <w:rFonts w:cs="Arial"/>
          <w:lang w:val="en-US"/>
        </w:rPr>
        <w:t xml:space="preserve">do </w:t>
      </w:r>
      <w:proofErr w:type="spellStart"/>
      <w:r w:rsidR="0042314F">
        <w:rPr>
          <w:rFonts w:cs="Arial"/>
          <w:lang w:val="en-US"/>
        </w:rPr>
        <w:t>analyse</w:t>
      </w:r>
      <w:proofErr w:type="spellEnd"/>
      <w:r w:rsidR="0042314F">
        <w:rPr>
          <w:rFonts w:cs="Arial"/>
          <w:lang w:val="en-US"/>
        </w:rPr>
        <w:t xml:space="preserve"> the situation</w:t>
      </w:r>
      <w:r w:rsidRPr="00AC2FAD">
        <w:rPr>
          <w:rFonts w:cs="Arial"/>
          <w:lang w:val="en-US"/>
        </w:rPr>
        <w:t xml:space="preserve">, </w:t>
      </w:r>
      <w:r w:rsidR="0042314F">
        <w:rPr>
          <w:rFonts w:cs="Arial"/>
          <w:lang w:val="en-US"/>
        </w:rPr>
        <w:t xml:space="preserve">while </w:t>
      </w:r>
      <w:r w:rsidRPr="00AC2FAD">
        <w:rPr>
          <w:rFonts w:cs="Arial"/>
          <w:lang w:val="en-US"/>
        </w:rPr>
        <w:t>proxy solicitors work for management</w:t>
      </w:r>
      <w:r w:rsidR="0042314F">
        <w:rPr>
          <w:rFonts w:cs="Arial"/>
          <w:lang w:val="en-US"/>
        </w:rPr>
        <w:t xml:space="preserve"> and </w:t>
      </w:r>
      <w:r w:rsidR="00427ADA">
        <w:rPr>
          <w:rFonts w:cs="Arial"/>
          <w:lang w:val="en-US"/>
        </w:rPr>
        <w:t>generally must reflect</w:t>
      </w:r>
      <w:r w:rsidR="0042314F">
        <w:rPr>
          <w:rFonts w:cs="Arial"/>
          <w:lang w:val="en-US"/>
        </w:rPr>
        <w:t xml:space="preserve"> its positions</w:t>
      </w:r>
      <w:r w:rsidRPr="00AC2FAD">
        <w:rPr>
          <w:rFonts w:cs="Arial"/>
          <w:lang w:val="en-US"/>
        </w:rPr>
        <w:t xml:space="preserve">. </w:t>
      </w:r>
    </w:p>
    <w:p w:rsidR="008F128D" w:rsidRPr="00AC2FAD" w:rsidRDefault="003C1C8C" w:rsidP="00EB678F">
      <w:pPr>
        <w:jc w:val="both"/>
        <w:rPr>
          <w:rFonts w:cs="Arial"/>
          <w:lang w:val="en-US"/>
        </w:rPr>
      </w:pPr>
      <w:r w:rsidRPr="00AC2FAD">
        <w:rPr>
          <w:rFonts w:cs="Arial"/>
          <w:lang w:val="en-US"/>
        </w:rPr>
        <w:t xml:space="preserve">This is a very conflicted model – </w:t>
      </w:r>
      <w:r w:rsidR="0042314F">
        <w:rPr>
          <w:rFonts w:cs="Arial"/>
          <w:lang w:val="en-US"/>
        </w:rPr>
        <w:t>Proxy s</w:t>
      </w:r>
      <w:r w:rsidRPr="00AC2FAD">
        <w:rPr>
          <w:rFonts w:cs="Arial"/>
          <w:lang w:val="en-US"/>
        </w:rPr>
        <w:t>olicitors are using shareholders’ funds to defend the interest</w:t>
      </w:r>
      <w:r w:rsidR="008F128D" w:rsidRPr="00AC2FAD">
        <w:rPr>
          <w:rFonts w:cs="Arial"/>
          <w:lang w:val="en-US"/>
        </w:rPr>
        <w:t>s</w:t>
      </w:r>
      <w:r w:rsidRPr="00AC2FAD">
        <w:rPr>
          <w:rFonts w:cs="Arial"/>
          <w:lang w:val="en-US"/>
        </w:rPr>
        <w:t xml:space="preserve"> of management which may not </w:t>
      </w:r>
      <w:r w:rsidR="0042314F">
        <w:rPr>
          <w:rFonts w:cs="Arial"/>
          <w:lang w:val="en-US"/>
        </w:rPr>
        <w:t xml:space="preserve">as we know </w:t>
      </w:r>
      <w:r w:rsidRPr="00AC2FAD">
        <w:rPr>
          <w:rFonts w:cs="Arial"/>
          <w:lang w:val="en-US"/>
        </w:rPr>
        <w:t>align with the best interests of owners.</w:t>
      </w:r>
      <w:r w:rsidR="0042314F">
        <w:rPr>
          <w:rFonts w:cs="Arial"/>
          <w:lang w:val="en-US"/>
        </w:rPr>
        <w:t xml:space="preserve"> </w:t>
      </w:r>
      <w:r w:rsidR="008F128D" w:rsidRPr="00AC2FAD">
        <w:rPr>
          <w:rFonts w:cs="Arial"/>
          <w:lang w:val="en-US"/>
        </w:rPr>
        <w:t xml:space="preserve">We believe, that, as with the case of headhunters and remuneration consultants, the appointment of any </w:t>
      </w:r>
      <w:r w:rsidR="0042314F">
        <w:rPr>
          <w:rFonts w:cs="Arial"/>
          <w:lang w:val="en-US"/>
        </w:rPr>
        <w:t>proxy solicitor</w:t>
      </w:r>
      <w:r w:rsidR="008F128D" w:rsidRPr="00AC2FAD">
        <w:rPr>
          <w:rFonts w:cs="Arial"/>
          <w:lang w:val="en-US"/>
        </w:rPr>
        <w:t xml:space="preserve"> involved in the governance activities of a company should be subject to robust conflict of interest declarati</w:t>
      </w:r>
      <w:r w:rsidR="0042314F">
        <w:rPr>
          <w:rFonts w:cs="Arial"/>
          <w:lang w:val="en-US"/>
        </w:rPr>
        <w:t>o</w:t>
      </w:r>
      <w:r w:rsidR="008F128D" w:rsidRPr="00AC2FAD">
        <w:rPr>
          <w:rFonts w:cs="Arial"/>
          <w:lang w:val="en-US"/>
        </w:rPr>
        <w:t xml:space="preserve">ns and </w:t>
      </w:r>
      <w:r w:rsidR="0042314F">
        <w:rPr>
          <w:rFonts w:cs="Arial"/>
          <w:lang w:val="en-US"/>
        </w:rPr>
        <w:t xml:space="preserve">preferably appointed </w:t>
      </w:r>
      <w:r w:rsidR="008F128D" w:rsidRPr="00AC2FAD">
        <w:rPr>
          <w:rFonts w:cs="Arial"/>
          <w:lang w:val="en-US"/>
        </w:rPr>
        <w:t>by the Board of Directors without any contribution of the company’s management.</w:t>
      </w:r>
      <w:r w:rsidR="0042314F">
        <w:rPr>
          <w:rFonts w:cs="Arial"/>
          <w:lang w:val="en-US"/>
        </w:rPr>
        <w:t xml:space="preserve"> </w:t>
      </w:r>
      <w:r w:rsidR="008F128D" w:rsidRPr="00AC2FAD">
        <w:rPr>
          <w:rFonts w:cs="Arial"/>
          <w:lang w:val="en-US"/>
        </w:rPr>
        <w:t xml:space="preserve">Proxy solicitors </w:t>
      </w:r>
      <w:r w:rsidR="0042314F">
        <w:rPr>
          <w:rFonts w:cs="Arial"/>
          <w:lang w:val="en-US"/>
        </w:rPr>
        <w:t xml:space="preserve">will become </w:t>
      </w:r>
      <w:r w:rsidR="0042314F" w:rsidRPr="00AC2FAD">
        <w:rPr>
          <w:rFonts w:cs="Arial"/>
          <w:lang w:val="en-US"/>
        </w:rPr>
        <w:t>the</w:t>
      </w:r>
      <w:r w:rsidR="008F128D" w:rsidRPr="00AC2FAD">
        <w:rPr>
          <w:rFonts w:cs="Arial"/>
          <w:lang w:val="en-US"/>
        </w:rPr>
        <w:t xml:space="preserve"> only constituent group without their own code of conduct and so we believe ESMA should also consider the regulatory position of these </w:t>
      </w:r>
      <w:proofErr w:type="spellStart"/>
      <w:r w:rsidR="008F128D" w:rsidRPr="00AC2FAD">
        <w:rPr>
          <w:rFonts w:cs="Arial"/>
          <w:lang w:val="en-US"/>
        </w:rPr>
        <w:t>organisations</w:t>
      </w:r>
      <w:proofErr w:type="spellEnd"/>
      <w:r w:rsidR="008F128D" w:rsidRPr="00AC2FAD">
        <w:rPr>
          <w:rFonts w:cs="Arial"/>
          <w:lang w:val="en-US"/>
        </w:rPr>
        <w:t xml:space="preserve"> given their obvious power and influence in European board rooms.</w:t>
      </w:r>
    </w:p>
    <w:p w:rsidR="009E319B" w:rsidRPr="00AC2FAD" w:rsidRDefault="009E319B" w:rsidP="009E319B">
      <w:pPr>
        <w:pStyle w:val="Default"/>
        <w:jc w:val="both"/>
        <w:rPr>
          <w:rFonts w:asciiTheme="minorHAnsi" w:hAnsiTheme="minorHAnsi"/>
          <w:sz w:val="22"/>
          <w:szCs w:val="22"/>
          <w:lang w:val="en-US"/>
        </w:rPr>
      </w:pPr>
    </w:p>
    <w:p w:rsidR="00EB678F" w:rsidRPr="00AC2FAD" w:rsidRDefault="009E319B" w:rsidP="009E319B">
      <w:pPr>
        <w:pStyle w:val="Default"/>
        <w:jc w:val="both"/>
        <w:rPr>
          <w:rFonts w:asciiTheme="minorHAnsi" w:eastAsia="Times New Roman" w:hAnsiTheme="minorHAnsi" w:cs="Times New Roman"/>
          <w:b/>
          <w:bCs/>
          <w:i/>
          <w:color w:val="auto"/>
          <w:sz w:val="22"/>
          <w:szCs w:val="22"/>
          <w:lang w:val="en-US"/>
        </w:rPr>
      </w:pPr>
      <w:r w:rsidRPr="00AC2FAD">
        <w:rPr>
          <w:rFonts w:asciiTheme="minorHAnsi" w:eastAsia="Times New Roman" w:hAnsiTheme="minorHAnsi" w:cs="Times New Roman"/>
          <w:b/>
          <w:bCs/>
          <w:i/>
          <w:color w:val="auto"/>
          <w:sz w:val="22"/>
          <w:szCs w:val="22"/>
          <w:lang w:val="en-US"/>
        </w:rPr>
        <w:t xml:space="preserve">Q5: In your view, are the BPP drafted in a way so that they address the following areas identified in ESMA’s 2013 Final Report? </w:t>
      </w:r>
    </w:p>
    <w:p w:rsidR="00EB678F" w:rsidRPr="00AC2FAD" w:rsidRDefault="00EB678F" w:rsidP="009E319B">
      <w:pPr>
        <w:pStyle w:val="Default"/>
        <w:jc w:val="both"/>
        <w:rPr>
          <w:rFonts w:asciiTheme="minorHAnsi" w:hAnsiTheme="minorHAnsi"/>
          <w:sz w:val="22"/>
          <w:szCs w:val="22"/>
          <w:lang w:val="en-US"/>
        </w:rPr>
      </w:pPr>
    </w:p>
    <w:p w:rsidR="009E319B" w:rsidRPr="00AC2FAD" w:rsidRDefault="009E319B" w:rsidP="009E319B">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As mentioned above Proxinvest fully supports the BPP as </w:t>
      </w:r>
      <w:r w:rsidR="00CC0401" w:rsidRPr="00AC2FAD">
        <w:rPr>
          <w:rFonts w:asciiTheme="minorHAnsi" w:hAnsiTheme="minorHAnsi"/>
          <w:sz w:val="22"/>
          <w:szCs w:val="22"/>
          <w:lang w:val="en-US"/>
        </w:rPr>
        <w:t xml:space="preserve">providing the adequate answers to the five areas identified by </w:t>
      </w:r>
      <w:proofErr w:type="gramStart"/>
      <w:r w:rsidR="00CC0401" w:rsidRPr="00AC2FAD">
        <w:rPr>
          <w:rFonts w:asciiTheme="minorHAnsi" w:hAnsiTheme="minorHAnsi"/>
          <w:sz w:val="22"/>
          <w:szCs w:val="22"/>
          <w:lang w:val="en-US"/>
        </w:rPr>
        <w:t>ESMA :</w:t>
      </w:r>
      <w:proofErr w:type="gramEnd"/>
    </w:p>
    <w:p w:rsidR="00CC0401" w:rsidRPr="00AC2FAD" w:rsidRDefault="00CC0401" w:rsidP="00CC0401">
      <w:pPr>
        <w:pStyle w:val="Default"/>
        <w:ind w:left="708"/>
        <w:jc w:val="both"/>
        <w:rPr>
          <w:rFonts w:asciiTheme="minorHAnsi" w:hAnsiTheme="minorHAnsi"/>
          <w:sz w:val="22"/>
          <w:szCs w:val="22"/>
          <w:lang w:val="en-US"/>
        </w:rPr>
      </w:pPr>
      <w:r w:rsidRPr="00AC2FAD">
        <w:rPr>
          <w:rFonts w:asciiTheme="minorHAnsi" w:hAnsiTheme="minorHAnsi"/>
          <w:sz w:val="22"/>
          <w:szCs w:val="22"/>
          <w:lang w:val="en-US"/>
        </w:rPr>
        <w:t xml:space="preserve">a. Identifying, disclosing and managing conflicts of interest; </w:t>
      </w:r>
    </w:p>
    <w:p w:rsidR="00CC0401" w:rsidRPr="00AC2FAD" w:rsidRDefault="00CC0401" w:rsidP="00CC0401">
      <w:pPr>
        <w:pStyle w:val="Default"/>
        <w:ind w:left="708"/>
        <w:jc w:val="both"/>
        <w:rPr>
          <w:rFonts w:asciiTheme="minorHAnsi" w:hAnsiTheme="minorHAnsi"/>
          <w:sz w:val="22"/>
          <w:szCs w:val="22"/>
          <w:lang w:val="en-US"/>
        </w:rPr>
      </w:pPr>
      <w:r w:rsidRPr="00AC2FAD">
        <w:rPr>
          <w:rFonts w:asciiTheme="minorHAnsi" w:hAnsiTheme="minorHAnsi"/>
          <w:sz w:val="22"/>
          <w:szCs w:val="22"/>
          <w:lang w:val="en-US"/>
        </w:rPr>
        <w:t xml:space="preserve">b. Fostering transparency to ensure the accuracy and reliability of the advice; </w:t>
      </w:r>
    </w:p>
    <w:p w:rsidR="00CC0401" w:rsidRPr="00AC2FAD" w:rsidRDefault="00CC0401" w:rsidP="00CC0401">
      <w:pPr>
        <w:pStyle w:val="Default"/>
        <w:ind w:left="708"/>
        <w:jc w:val="both"/>
        <w:rPr>
          <w:rFonts w:asciiTheme="minorHAnsi" w:hAnsiTheme="minorHAnsi"/>
          <w:sz w:val="22"/>
          <w:szCs w:val="22"/>
          <w:lang w:val="en-US"/>
        </w:rPr>
      </w:pPr>
      <w:r w:rsidRPr="00AC2FAD">
        <w:rPr>
          <w:rFonts w:asciiTheme="minorHAnsi" w:hAnsiTheme="minorHAnsi"/>
          <w:sz w:val="22"/>
          <w:szCs w:val="22"/>
          <w:lang w:val="en-US"/>
        </w:rPr>
        <w:t xml:space="preserve">c. Disclosing general voting policies and methodologies; </w:t>
      </w:r>
    </w:p>
    <w:p w:rsidR="00CC0401" w:rsidRPr="00AC2FAD" w:rsidRDefault="00CC0401" w:rsidP="00CC0401">
      <w:pPr>
        <w:pStyle w:val="Default"/>
        <w:ind w:left="708"/>
        <w:jc w:val="both"/>
        <w:rPr>
          <w:rFonts w:asciiTheme="minorHAnsi" w:hAnsiTheme="minorHAnsi"/>
          <w:sz w:val="22"/>
          <w:szCs w:val="22"/>
          <w:lang w:val="en-US"/>
        </w:rPr>
      </w:pPr>
      <w:r w:rsidRPr="00AC2FAD">
        <w:rPr>
          <w:rFonts w:asciiTheme="minorHAnsi" w:hAnsiTheme="minorHAnsi"/>
          <w:sz w:val="22"/>
          <w:szCs w:val="22"/>
          <w:lang w:val="en-US"/>
        </w:rPr>
        <w:t xml:space="preserve">d. Considering local market conditions; </w:t>
      </w:r>
    </w:p>
    <w:p w:rsidR="00CC0401" w:rsidRPr="00AC2FAD" w:rsidRDefault="00CC0401" w:rsidP="00CC0401">
      <w:pPr>
        <w:pStyle w:val="Default"/>
        <w:ind w:left="708"/>
        <w:jc w:val="both"/>
        <w:rPr>
          <w:rFonts w:asciiTheme="minorHAnsi" w:hAnsiTheme="minorHAnsi"/>
          <w:sz w:val="22"/>
          <w:szCs w:val="22"/>
          <w:lang w:val="en-US"/>
        </w:rPr>
      </w:pPr>
      <w:r w:rsidRPr="00AC2FAD">
        <w:rPr>
          <w:rFonts w:asciiTheme="minorHAnsi" w:hAnsiTheme="minorHAnsi"/>
          <w:sz w:val="22"/>
          <w:szCs w:val="22"/>
          <w:lang w:val="en-US"/>
        </w:rPr>
        <w:t>e. Providing information on engagement with issuers</w:t>
      </w:r>
    </w:p>
    <w:p w:rsidR="0042314F" w:rsidRDefault="0042314F" w:rsidP="009E319B">
      <w:pPr>
        <w:pStyle w:val="Default"/>
        <w:jc w:val="both"/>
        <w:rPr>
          <w:rFonts w:asciiTheme="minorHAnsi" w:hAnsiTheme="minorHAnsi"/>
          <w:sz w:val="22"/>
          <w:szCs w:val="22"/>
          <w:lang w:val="en-US"/>
        </w:rPr>
      </w:pPr>
    </w:p>
    <w:p w:rsidR="0042314F" w:rsidRDefault="0042314F" w:rsidP="009E319B">
      <w:pPr>
        <w:pStyle w:val="Default"/>
        <w:jc w:val="both"/>
        <w:rPr>
          <w:rFonts w:asciiTheme="minorHAnsi" w:hAnsiTheme="minorHAnsi"/>
          <w:sz w:val="22"/>
          <w:szCs w:val="22"/>
          <w:lang w:val="en-US"/>
        </w:rPr>
      </w:pPr>
    </w:p>
    <w:p w:rsidR="008F128D" w:rsidRDefault="0042314F" w:rsidP="009E319B">
      <w:pPr>
        <w:pStyle w:val="Default"/>
        <w:jc w:val="both"/>
        <w:rPr>
          <w:rFonts w:asciiTheme="minorHAnsi" w:hAnsiTheme="minorHAnsi"/>
          <w:sz w:val="22"/>
          <w:szCs w:val="22"/>
          <w:lang w:val="en-US"/>
        </w:rPr>
      </w:pPr>
      <w:r>
        <w:rPr>
          <w:rFonts w:asciiTheme="minorHAnsi" w:hAnsiTheme="minorHAnsi"/>
          <w:sz w:val="22"/>
          <w:szCs w:val="22"/>
          <w:lang w:val="en-US"/>
        </w:rPr>
        <w:t>We however regret that the</w:t>
      </w:r>
      <w:r w:rsidR="008F128D" w:rsidRPr="00AC2FAD">
        <w:rPr>
          <w:rFonts w:asciiTheme="minorHAnsi" w:hAnsiTheme="minorHAnsi"/>
          <w:sz w:val="22"/>
          <w:szCs w:val="22"/>
          <w:lang w:val="en-US"/>
        </w:rPr>
        <w:t xml:space="preserve"> </w:t>
      </w:r>
      <w:r>
        <w:rPr>
          <w:rFonts w:asciiTheme="minorHAnsi" w:hAnsiTheme="minorHAnsi"/>
          <w:sz w:val="22"/>
          <w:szCs w:val="22"/>
          <w:lang w:val="en-US"/>
        </w:rPr>
        <w:t xml:space="preserve">restricted </w:t>
      </w:r>
      <w:r w:rsidR="008F128D" w:rsidRPr="00AC2FAD">
        <w:rPr>
          <w:rFonts w:asciiTheme="minorHAnsi" w:hAnsiTheme="minorHAnsi"/>
          <w:sz w:val="22"/>
          <w:szCs w:val="22"/>
          <w:lang w:val="en-US"/>
        </w:rPr>
        <w:t xml:space="preserve">ESMA </w:t>
      </w:r>
      <w:r>
        <w:rPr>
          <w:rFonts w:asciiTheme="minorHAnsi" w:hAnsiTheme="minorHAnsi"/>
          <w:sz w:val="22"/>
          <w:szCs w:val="22"/>
          <w:lang w:val="en-US"/>
        </w:rPr>
        <w:t>request as not allowed then to</w:t>
      </w:r>
      <w:r w:rsidR="008F128D" w:rsidRPr="00AC2FAD">
        <w:rPr>
          <w:rFonts w:asciiTheme="minorHAnsi" w:hAnsiTheme="minorHAnsi"/>
          <w:sz w:val="22"/>
          <w:szCs w:val="22"/>
          <w:lang w:val="en-US"/>
        </w:rPr>
        <w:t xml:space="preserve"> look</w:t>
      </w:r>
      <w:r>
        <w:rPr>
          <w:rFonts w:asciiTheme="minorHAnsi" w:hAnsiTheme="minorHAnsi"/>
          <w:sz w:val="22"/>
          <w:szCs w:val="22"/>
          <w:lang w:val="en-US"/>
        </w:rPr>
        <w:t xml:space="preserve"> </w:t>
      </w:r>
      <w:r w:rsidR="008F128D" w:rsidRPr="00AC2FAD">
        <w:rPr>
          <w:rFonts w:asciiTheme="minorHAnsi" w:hAnsiTheme="minorHAnsi"/>
          <w:sz w:val="22"/>
          <w:szCs w:val="22"/>
          <w:lang w:val="en-US"/>
        </w:rPr>
        <w:t>at the real reasons why shareholders and companies are not communicating more effectively</w:t>
      </w:r>
      <w:r>
        <w:rPr>
          <w:rFonts w:asciiTheme="minorHAnsi" w:hAnsiTheme="minorHAnsi"/>
          <w:sz w:val="22"/>
          <w:szCs w:val="22"/>
          <w:lang w:val="en-US"/>
        </w:rPr>
        <w:t>.</w:t>
      </w:r>
    </w:p>
    <w:p w:rsidR="0042314F" w:rsidRPr="00AC2FAD" w:rsidRDefault="0042314F" w:rsidP="009E319B">
      <w:pPr>
        <w:pStyle w:val="Default"/>
        <w:jc w:val="both"/>
        <w:rPr>
          <w:rFonts w:asciiTheme="minorHAnsi" w:hAnsiTheme="minorHAnsi"/>
          <w:sz w:val="22"/>
          <w:szCs w:val="22"/>
          <w:lang w:val="en-US"/>
        </w:rPr>
      </w:pPr>
    </w:p>
    <w:p w:rsidR="000B7C4F" w:rsidRPr="00AC2FAD" w:rsidRDefault="000B7C4F" w:rsidP="009E319B">
      <w:pPr>
        <w:pStyle w:val="Default"/>
        <w:jc w:val="both"/>
        <w:rPr>
          <w:rFonts w:asciiTheme="minorHAnsi" w:hAnsiTheme="minorHAnsi"/>
          <w:sz w:val="22"/>
          <w:szCs w:val="22"/>
          <w:lang w:val="en-US"/>
        </w:rPr>
      </w:pPr>
    </w:p>
    <w:p w:rsidR="009E319B" w:rsidRPr="00AC2FAD" w:rsidRDefault="009E319B" w:rsidP="008F128D">
      <w:pPr>
        <w:pStyle w:val="Default"/>
        <w:keepNext/>
        <w:keepLines/>
        <w:jc w:val="both"/>
        <w:rPr>
          <w:rFonts w:asciiTheme="minorHAnsi" w:eastAsia="Times New Roman" w:hAnsiTheme="minorHAnsi" w:cs="Times New Roman"/>
          <w:b/>
          <w:bCs/>
          <w:i/>
          <w:color w:val="auto"/>
          <w:sz w:val="22"/>
          <w:szCs w:val="22"/>
          <w:lang w:val="en-US"/>
        </w:rPr>
      </w:pPr>
      <w:r w:rsidRPr="00AC2FAD">
        <w:rPr>
          <w:rFonts w:asciiTheme="minorHAnsi" w:eastAsia="Times New Roman" w:hAnsiTheme="minorHAnsi" w:cs="Times New Roman"/>
          <w:b/>
          <w:bCs/>
          <w:i/>
          <w:color w:val="auto"/>
          <w:sz w:val="22"/>
          <w:szCs w:val="22"/>
          <w:lang w:val="en-US"/>
        </w:rPr>
        <w:lastRenderedPageBreak/>
        <w:t xml:space="preserve">Q6: What is your overall assessment of the quality of the signatory statements? Please provide examples referring to the areas identified under Q5. </w:t>
      </w:r>
    </w:p>
    <w:p w:rsidR="00CC0401" w:rsidRPr="00AC2FAD" w:rsidRDefault="00A36112" w:rsidP="008F128D">
      <w:pPr>
        <w:keepNext/>
        <w:keepLines/>
        <w:jc w:val="both"/>
        <w:rPr>
          <w:rFonts w:eastAsia="Calibri" w:cs="Arial"/>
          <w:color w:val="000000"/>
          <w:lang w:val="en-US" w:eastAsia="fr-FR"/>
        </w:rPr>
      </w:pPr>
      <w:r w:rsidRPr="00AC2FAD">
        <w:rPr>
          <w:rFonts w:eastAsia="Calibri" w:cs="Arial"/>
          <w:color w:val="000000"/>
          <w:lang w:val="en-US" w:eastAsia="fr-FR"/>
        </w:rPr>
        <w:t>For Proxinvest, t</w:t>
      </w:r>
      <w:r w:rsidR="00CC0401" w:rsidRPr="00AC2FAD">
        <w:rPr>
          <w:rFonts w:eastAsia="Calibri" w:cs="Arial"/>
          <w:color w:val="000000"/>
          <w:lang w:val="en-US" w:eastAsia="fr-FR"/>
        </w:rPr>
        <w:t xml:space="preserve">he </w:t>
      </w:r>
      <w:r w:rsidRPr="00AC2FAD">
        <w:rPr>
          <w:rFonts w:eastAsia="Calibri" w:cs="Arial"/>
          <w:color w:val="000000"/>
          <w:lang w:val="en-US" w:eastAsia="fr-FR"/>
        </w:rPr>
        <w:t>most</w:t>
      </w:r>
      <w:r w:rsidR="00CC0401" w:rsidRPr="00AC2FAD">
        <w:rPr>
          <w:rFonts w:eastAsia="Calibri" w:cs="Arial"/>
          <w:color w:val="000000"/>
          <w:lang w:val="en-US" w:eastAsia="fr-FR"/>
        </w:rPr>
        <w:t xml:space="preserve"> important opinion i</w:t>
      </w:r>
      <w:r w:rsidR="002F7D04" w:rsidRPr="00AC2FAD">
        <w:rPr>
          <w:rFonts w:eastAsia="Calibri" w:cs="Arial"/>
          <w:color w:val="000000"/>
          <w:lang w:val="en-US" w:eastAsia="fr-FR"/>
        </w:rPr>
        <w:t>s</w:t>
      </w:r>
      <w:r w:rsidR="00CC0401" w:rsidRPr="00AC2FAD">
        <w:rPr>
          <w:rFonts w:eastAsia="Calibri" w:cs="Arial"/>
          <w:color w:val="000000"/>
          <w:lang w:val="en-US" w:eastAsia="fr-FR"/>
        </w:rPr>
        <w:t xml:space="preserve"> the one of our clients. Thanks to discussions with our clients, we know that </w:t>
      </w:r>
      <w:r w:rsidR="002F7D04" w:rsidRPr="00AC2FAD">
        <w:rPr>
          <w:rFonts w:eastAsia="Calibri" w:cs="Arial"/>
          <w:color w:val="000000"/>
          <w:lang w:val="en-US" w:eastAsia="fr-FR"/>
        </w:rPr>
        <w:t>they</w:t>
      </w:r>
      <w:r w:rsidR="00CC0401" w:rsidRPr="00AC2FAD">
        <w:rPr>
          <w:rFonts w:eastAsia="Calibri" w:cs="Arial"/>
          <w:color w:val="000000"/>
          <w:lang w:val="en-US" w:eastAsia="fr-FR"/>
        </w:rPr>
        <w:t xml:space="preserve"> have no concern </w:t>
      </w:r>
      <w:r w:rsidR="002F7D04" w:rsidRPr="00AC2FAD">
        <w:rPr>
          <w:rFonts w:eastAsia="Calibri" w:cs="Arial"/>
          <w:color w:val="000000"/>
          <w:lang w:val="en-US" w:eastAsia="fr-FR"/>
        </w:rPr>
        <w:t>regarding:</w:t>
      </w:r>
    </w:p>
    <w:p w:rsidR="00CC0401" w:rsidRPr="00AC2FAD" w:rsidRDefault="00CC0401" w:rsidP="008F128D">
      <w:pPr>
        <w:pStyle w:val="Paragraphedeliste"/>
        <w:keepNext/>
        <w:keepLines/>
        <w:numPr>
          <w:ilvl w:val="0"/>
          <w:numId w:val="16"/>
        </w:numPr>
        <w:jc w:val="both"/>
        <w:rPr>
          <w:rFonts w:eastAsia="Calibri" w:cs="Arial"/>
          <w:color w:val="000000"/>
          <w:lang w:val="en-US" w:eastAsia="fr-FR"/>
        </w:rPr>
      </w:pPr>
      <w:r w:rsidRPr="00AC2FAD">
        <w:rPr>
          <w:rFonts w:eastAsia="Calibri" w:cs="Arial"/>
          <w:color w:val="000000"/>
          <w:lang w:val="en-US" w:eastAsia="fr-FR"/>
        </w:rPr>
        <w:t>the way we identify, disclose and manage conflicts of interests,</w:t>
      </w:r>
    </w:p>
    <w:p w:rsidR="00CC0401" w:rsidRPr="00AC2FAD" w:rsidRDefault="00CC0401" w:rsidP="008F128D">
      <w:pPr>
        <w:pStyle w:val="Paragraphedeliste"/>
        <w:keepNext/>
        <w:keepLines/>
        <w:numPr>
          <w:ilvl w:val="0"/>
          <w:numId w:val="16"/>
        </w:numPr>
        <w:jc w:val="both"/>
        <w:rPr>
          <w:rFonts w:eastAsia="Calibri" w:cs="Arial"/>
          <w:color w:val="000000"/>
          <w:lang w:val="en-US" w:eastAsia="fr-FR"/>
        </w:rPr>
      </w:pPr>
      <w:r w:rsidRPr="00AC2FAD">
        <w:rPr>
          <w:rFonts w:eastAsia="Calibri" w:cs="Arial"/>
          <w:color w:val="000000"/>
          <w:lang w:val="en-US" w:eastAsia="fr-FR"/>
        </w:rPr>
        <w:t>the reliability of the advice,</w:t>
      </w:r>
    </w:p>
    <w:p w:rsidR="00CC0401" w:rsidRPr="00AC2FAD" w:rsidRDefault="00CC0401" w:rsidP="00CC0401">
      <w:pPr>
        <w:pStyle w:val="Paragraphedeliste"/>
        <w:numPr>
          <w:ilvl w:val="0"/>
          <w:numId w:val="16"/>
        </w:numPr>
        <w:jc w:val="both"/>
        <w:rPr>
          <w:rFonts w:eastAsia="Calibri" w:cs="Arial"/>
          <w:color w:val="000000"/>
          <w:lang w:val="en-US" w:eastAsia="fr-FR"/>
        </w:rPr>
      </w:pPr>
      <w:r w:rsidRPr="00AC2FAD">
        <w:rPr>
          <w:rFonts w:eastAsia="Calibri" w:cs="Arial"/>
          <w:color w:val="000000"/>
          <w:lang w:val="en-US" w:eastAsia="fr-FR"/>
        </w:rPr>
        <w:t>the disclosure of our voting policy,</w:t>
      </w:r>
    </w:p>
    <w:p w:rsidR="00CC0401" w:rsidRPr="00AC2FAD" w:rsidRDefault="00CC0401" w:rsidP="00CC0401">
      <w:pPr>
        <w:pStyle w:val="Paragraphedeliste"/>
        <w:numPr>
          <w:ilvl w:val="0"/>
          <w:numId w:val="16"/>
        </w:numPr>
        <w:jc w:val="both"/>
        <w:rPr>
          <w:rFonts w:eastAsia="Calibri" w:cs="Arial"/>
          <w:color w:val="000000"/>
          <w:lang w:val="en-US" w:eastAsia="fr-FR"/>
        </w:rPr>
      </w:pPr>
      <w:r w:rsidRPr="00AC2FAD">
        <w:rPr>
          <w:rFonts w:eastAsia="Calibri" w:cs="Arial"/>
          <w:color w:val="000000"/>
          <w:lang w:val="en-US" w:eastAsia="fr-FR"/>
        </w:rPr>
        <w:t>our consideration of local market conditions,</w:t>
      </w:r>
    </w:p>
    <w:p w:rsidR="00CC0401" w:rsidRPr="00AC2FAD" w:rsidRDefault="00CC0401" w:rsidP="00CC0401">
      <w:pPr>
        <w:pStyle w:val="Paragraphedeliste"/>
        <w:numPr>
          <w:ilvl w:val="0"/>
          <w:numId w:val="16"/>
        </w:numPr>
        <w:jc w:val="both"/>
        <w:rPr>
          <w:rFonts w:eastAsia="Calibri" w:cs="Arial"/>
          <w:color w:val="000000"/>
          <w:lang w:val="en-US" w:eastAsia="fr-FR"/>
        </w:rPr>
      </w:pPr>
      <w:proofErr w:type="gramStart"/>
      <w:r w:rsidRPr="00AC2FAD">
        <w:rPr>
          <w:rFonts w:eastAsia="Calibri" w:cs="Arial"/>
          <w:color w:val="000000"/>
          <w:lang w:val="en-US" w:eastAsia="fr-FR"/>
        </w:rPr>
        <w:t>our</w:t>
      </w:r>
      <w:proofErr w:type="gramEnd"/>
      <w:r w:rsidRPr="00AC2FAD">
        <w:rPr>
          <w:rFonts w:eastAsia="Calibri" w:cs="Arial"/>
          <w:color w:val="000000"/>
          <w:lang w:val="en-US" w:eastAsia="fr-FR"/>
        </w:rPr>
        <w:t xml:space="preserve"> engagement activities.</w:t>
      </w:r>
    </w:p>
    <w:p w:rsidR="00A36112" w:rsidRPr="00AC2FAD" w:rsidRDefault="00A36112" w:rsidP="002F7D04">
      <w:pPr>
        <w:jc w:val="both"/>
        <w:rPr>
          <w:rFonts w:eastAsia="Calibri" w:cs="Arial"/>
          <w:color w:val="000000"/>
          <w:lang w:val="en-US" w:eastAsia="fr-FR"/>
        </w:rPr>
      </w:pPr>
      <w:r w:rsidRPr="00AC2FAD">
        <w:rPr>
          <w:rFonts w:eastAsia="Calibri" w:cs="Arial"/>
          <w:color w:val="000000"/>
          <w:lang w:val="en-US" w:eastAsia="fr-FR"/>
        </w:rPr>
        <w:t>The quality of the signatory statements is generally good and provides investors with key information to understand and select their proxy advisors (ex: experience of staff, limited number of meetings to be covered by analyst, conflicts of interests, voting guidelines, etc.)</w:t>
      </w:r>
      <w:r w:rsidR="002D03C2" w:rsidRPr="00AC2FAD">
        <w:rPr>
          <w:rFonts w:eastAsia="Calibri" w:cs="Arial"/>
          <w:color w:val="000000"/>
          <w:lang w:val="en-US" w:eastAsia="fr-FR"/>
        </w:rPr>
        <w:t xml:space="preserve"> Unfortunately, the extra transparency appears to have discouraged investors from undertaking meaningful exploration of alternative service providers through direct dialogue and competitive tendering process, as was discussed in the group meeting in Paris.</w:t>
      </w:r>
    </w:p>
    <w:p w:rsidR="000B4787" w:rsidRDefault="000B4787" w:rsidP="00CC0401">
      <w:pPr>
        <w:pStyle w:val="Default"/>
        <w:jc w:val="both"/>
        <w:rPr>
          <w:rFonts w:asciiTheme="minorHAnsi" w:hAnsiTheme="minorHAnsi"/>
          <w:b/>
          <w:sz w:val="22"/>
          <w:szCs w:val="22"/>
          <w:lang w:val="en-US"/>
        </w:rPr>
      </w:pPr>
    </w:p>
    <w:p w:rsidR="00CC0401" w:rsidRPr="00AC2FAD" w:rsidRDefault="00CC0401" w:rsidP="00CC0401">
      <w:pPr>
        <w:pStyle w:val="Default"/>
        <w:jc w:val="both"/>
        <w:rPr>
          <w:rFonts w:asciiTheme="minorHAnsi" w:hAnsiTheme="minorHAnsi"/>
          <w:b/>
          <w:sz w:val="22"/>
          <w:szCs w:val="22"/>
          <w:lang w:val="en-US"/>
        </w:rPr>
      </w:pPr>
      <w:r w:rsidRPr="00AC2FAD">
        <w:rPr>
          <w:rFonts w:asciiTheme="minorHAnsi" w:hAnsiTheme="minorHAnsi"/>
          <w:b/>
          <w:sz w:val="22"/>
          <w:szCs w:val="22"/>
          <w:lang w:val="en-US"/>
        </w:rPr>
        <w:t xml:space="preserve">3.2.3 The BPP in </w:t>
      </w:r>
      <w:proofErr w:type="gramStart"/>
      <w:r w:rsidRPr="00AC2FAD">
        <w:rPr>
          <w:rFonts w:asciiTheme="minorHAnsi" w:hAnsiTheme="minorHAnsi"/>
          <w:b/>
          <w:sz w:val="22"/>
          <w:szCs w:val="22"/>
          <w:lang w:val="en-US"/>
        </w:rPr>
        <w:t>practice :</w:t>
      </w:r>
      <w:proofErr w:type="gramEnd"/>
    </w:p>
    <w:p w:rsidR="00CC0401" w:rsidRPr="00AC2FAD" w:rsidRDefault="00CC0401" w:rsidP="00CC0401">
      <w:pPr>
        <w:pStyle w:val="Default"/>
        <w:jc w:val="both"/>
        <w:rPr>
          <w:rFonts w:asciiTheme="minorHAnsi" w:eastAsia="Times New Roman" w:hAnsiTheme="minorHAnsi" w:cs="Times New Roman"/>
          <w:b/>
          <w:bCs/>
          <w:i/>
          <w:color w:val="auto"/>
          <w:sz w:val="22"/>
          <w:szCs w:val="22"/>
          <w:lang w:val="en-US"/>
        </w:rPr>
      </w:pPr>
      <w:r w:rsidRPr="00AC2FAD">
        <w:rPr>
          <w:rFonts w:asciiTheme="minorHAnsi" w:eastAsia="Times New Roman" w:hAnsiTheme="minorHAnsi" w:cs="Times New Roman"/>
          <w:b/>
          <w:bCs/>
          <w:i/>
          <w:color w:val="auto"/>
          <w:sz w:val="22"/>
          <w:szCs w:val="22"/>
          <w:lang w:val="en-US"/>
        </w:rPr>
        <w:t>Q7: In your view, are there proxy advisors which possibly fall within the scope of the BPP and have not signed the BPP?</w:t>
      </w:r>
    </w:p>
    <w:p w:rsidR="00CC0401" w:rsidRPr="00AC2FAD" w:rsidRDefault="00CC0401" w:rsidP="00CC0401">
      <w:pPr>
        <w:pStyle w:val="Default"/>
        <w:jc w:val="both"/>
        <w:rPr>
          <w:rFonts w:asciiTheme="minorHAnsi" w:hAnsiTheme="minorHAnsi"/>
          <w:sz w:val="22"/>
          <w:szCs w:val="22"/>
          <w:lang w:val="en-US"/>
        </w:rPr>
      </w:pPr>
    </w:p>
    <w:p w:rsidR="00CC0401" w:rsidRDefault="00CC0401" w:rsidP="00CC0401">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Yes and we consider that any public rule or </w:t>
      </w:r>
      <w:r w:rsidR="000B7C4F" w:rsidRPr="00AC2FAD">
        <w:rPr>
          <w:rFonts w:asciiTheme="minorHAnsi" w:hAnsiTheme="minorHAnsi"/>
          <w:sz w:val="22"/>
          <w:szCs w:val="22"/>
          <w:lang w:val="en-US"/>
        </w:rPr>
        <w:t>recommendation should</w:t>
      </w:r>
      <w:r w:rsidRPr="00AC2FAD">
        <w:rPr>
          <w:rFonts w:asciiTheme="minorHAnsi" w:hAnsiTheme="minorHAnsi"/>
          <w:sz w:val="22"/>
          <w:szCs w:val="22"/>
          <w:lang w:val="en-US"/>
        </w:rPr>
        <w:t xml:space="preserve"> apply similarly to all players</w:t>
      </w:r>
      <w:r w:rsidR="002D03C2" w:rsidRPr="00AC2FAD">
        <w:rPr>
          <w:rFonts w:asciiTheme="minorHAnsi" w:hAnsiTheme="minorHAnsi"/>
          <w:sz w:val="22"/>
          <w:szCs w:val="22"/>
          <w:lang w:val="en-US"/>
        </w:rPr>
        <w:t xml:space="preserve"> involved in the activities (rather than their name e.g. “proxy advisor”)</w:t>
      </w:r>
      <w:r w:rsidRPr="00AC2FAD">
        <w:rPr>
          <w:rFonts w:asciiTheme="minorHAnsi" w:hAnsiTheme="minorHAnsi"/>
          <w:sz w:val="22"/>
          <w:szCs w:val="22"/>
          <w:lang w:val="en-US"/>
        </w:rPr>
        <w:t xml:space="preserve"> and that no regulation should encourage free riding and unfair competition</w:t>
      </w:r>
      <w:r w:rsidR="00A75956" w:rsidRPr="00AC2FAD">
        <w:rPr>
          <w:rFonts w:asciiTheme="minorHAnsi" w:hAnsiTheme="minorHAnsi"/>
          <w:sz w:val="22"/>
          <w:szCs w:val="22"/>
          <w:lang w:val="en-US"/>
        </w:rPr>
        <w:t xml:space="preserve">. </w:t>
      </w:r>
    </w:p>
    <w:p w:rsidR="007D5607" w:rsidRPr="00AC2FAD" w:rsidRDefault="007D5607" w:rsidP="00CC0401">
      <w:pPr>
        <w:pStyle w:val="Default"/>
        <w:jc w:val="both"/>
        <w:rPr>
          <w:rFonts w:asciiTheme="minorHAnsi" w:hAnsiTheme="minorHAnsi"/>
          <w:sz w:val="22"/>
          <w:szCs w:val="22"/>
          <w:lang w:val="en-US"/>
        </w:rPr>
      </w:pPr>
    </w:p>
    <w:p w:rsidR="000B7C4F" w:rsidRPr="00AC2FAD" w:rsidRDefault="00CC0401" w:rsidP="00CC0401">
      <w:pPr>
        <w:pStyle w:val="Default"/>
        <w:spacing w:after="303"/>
        <w:jc w:val="both"/>
        <w:rPr>
          <w:rFonts w:asciiTheme="minorHAnsi" w:eastAsia="Times New Roman" w:hAnsiTheme="minorHAnsi" w:cs="Times New Roman"/>
          <w:b/>
          <w:bCs/>
          <w:i/>
          <w:color w:val="auto"/>
          <w:sz w:val="22"/>
          <w:szCs w:val="22"/>
          <w:lang w:val="en-US"/>
        </w:rPr>
      </w:pPr>
      <w:proofErr w:type="gramStart"/>
      <w:r w:rsidRPr="00AC2FAD">
        <w:rPr>
          <w:rFonts w:asciiTheme="minorHAnsi" w:eastAsia="Times New Roman" w:hAnsiTheme="minorHAnsi" w:cs="Times New Roman"/>
          <w:b/>
          <w:bCs/>
          <w:i/>
          <w:color w:val="auto"/>
          <w:sz w:val="22"/>
          <w:szCs w:val="22"/>
          <w:lang w:val="en-US"/>
        </w:rPr>
        <w:t>a</w:t>
      </w:r>
      <w:proofErr w:type="gramEnd"/>
      <w:r w:rsidRPr="00AC2FAD">
        <w:rPr>
          <w:rFonts w:asciiTheme="minorHAnsi" w:eastAsia="Times New Roman" w:hAnsiTheme="minorHAnsi" w:cs="Times New Roman"/>
          <w:b/>
          <w:bCs/>
          <w:i/>
          <w:color w:val="auto"/>
          <w:sz w:val="22"/>
          <w:szCs w:val="22"/>
          <w:lang w:val="en-US"/>
        </w:rPr>
        <w:t xml:space="preserve">. identify such entities; </w:t>
      </w:r>
    </w:p>
    <w:p w:rsidR="007D5607" w:rsidRPr="007D5607" w:rsidRDefault="000B7C4F" w:rsidP="000B4787">
      <w:pPr>
        <w:pStyle w:val="Default"/>
        <w:spacing w:after="303"/>
        <w:jc w:val="both"/>
        <w:rPr>
          <w:rFonts w:asciiTheme="minorHAnsi" w:hAnsiTheme="minorHAnsi"/>
          <w:sz w:val="22"/>
          <w:szCs w:val="22"/>
          <w:highlight w:val="yellow"/>
          <w:lang w:val="en-US"/>
        </w:rPr>
      </w:pPr>
      <w:r w:rsidRPr="00AC2FAD">
        <w:rPr>
          <w:rFonts w:asciiTheme="minorHAnsi" w:hAnsiTheme="minorHAnsi"/>
          <w:sz w:val="22"/>
          <w:szCs w:val="22"/>
          <w:lang w:val="en-US"/>
        </w:rPr>
        <w:t>T</w:t>
      </w:r>
      <w:r w:rsidR="00CC0401" w:rsidRPr="00AC2FAD">
        <w:rPr>
          <w:rFonts w:asciiTheme="minorHAnsi" w:hAnsiTheme="minorHAnsi"/>
          <w:sz w:val="22"/>
          <w:szCs w:val="22"/>
          <w:lang w:val="en-US"/>
        </w:rPr>
        <w:t>hese entities are</w:t>
      </w:r>
      <w:r w:rsidR="00DA18A0">
        <w:rPr>
          <w:rFonts w:asciiTheme="minorHAnsi" w:hAnsiTheme="minorHAnsi"/>
          <w:sz w:val="22"/>
          <w:szCs w:val="22"/>
          <w:lang w:val="en-US"/>
        </w:rPr>
        <w:t xml:space="preserve"> associated with major investors or trade association of </w:t>
      </w:r>
      <w:proofErr w:type="spellStart"/>
      <w:r w:rsidR="00DA18A0">
        <w:rPr>
          <w:rFonts w:asciiTheme="minorHAnsi" w:hAnsiTheme="minorHAnsi"/>
          <w:sz w:val="22"/>
          <w:szCs w:val="22"/>
          <w:lang w:val="en-US"/>
        </w:rPr>
        <w:t>eveb</w:t>
      </w:r>
      <w:proofErr w:type="spellEnd"/>
      <w:r w:rsidR="00DA18A0">
        <w:rPr>
          <w:rFonts w:asciiTheme="minorHAnsi" w:hAnsiTheme="minorHAnsi"/>
          <w:sz w:val="22"/>
          <w:szCs w:val="22"/>
          <w:lang w:val="en-US"/>
        </w:rPr>
        <w:t xml:space="preserve"> with asset management companies within universal bank groups. They are</w:t>
      </w:r>
      <w:r w:rsidR="00CC0401" w:rsidRPr="00AC2FAD">
        <w:rPr>
          <w:rFonts w:asciiTheme="minorHAnsi" w:hAnsiTheme="minorHAnsi"/>
          <w:sz w:val="22"/>
          <w:szCs w:val="22"/>
          <w:lang w:val="en-US"/>
        </w:rPr>
        <w:t xml:space="preserve"> well known and identified by issuers and </w:t>
      </w:r>
    </w:p>
    <w:p w:rsidR="007D5607" w:rsidRDefault="007D5607" w:rsidP="007D5607">
      <w:pPr>
        <w:pStyle w:val="Default"/>
        <w:spacing w:after="303"/>
        <w:ind w:left="720"/>
        <w:jc w:val="both"/>
        <w:rPr>
          <w:rFonts w:asciiTheme="majorHAnsi" w:hAnsiTheme="majorHAnsi"/>
          <w:sz w:val="22"/>
          <w:szCs w:val="22"/>
          <w:highlight w:val="yellow"/>
          <w:lang w:val="en-US"/>
        </w:rPr>
      </w:pPr>
    </w:p>
    <w:p w:rsidR="007D5607" w:rsidRDefault="007D5607" w:rsidP="007D5607">
      <w:pPr>
        <w:pStyle w:val="Default"/>
        <w:numPr>
          <w:ilvl w:val="0"/>
          <w:numId w:val="20"/>
        </w:numPr>
        <w:spacing w:after="303"/>
        <w:jc w:val="both"/>
        <w:rPr>
          <w:rFonts w:asciiTheme="majorHAnsi" w:hAnsiTheme="majorHAnsi"/>
          <w:sz w:val="22"/>
          <w:szCs w:val="22"/>
          <w:lang w:val="en-US"/>
        </w:rPr>
      </w:pPr>
      <w:r>
        <w:rPr>
          <w:rFonts w:asciiTheme="majorHAnsi" w:hAnsiTheme="majorHAnsi"/>
          <w:sz w:val="22"/>
          <w:szCs w:val="22"/>
          <w:lang w:val="en-US"/>
        </w:rPr>
        <w:t xml:space="preserve">Some </w:t>
      </w:r>
      <w:r w:rsidRPr="00815577">
        <w:rPr>
          <w:rFonts w:asciiTheme="majorHAnsi" w:hAnsiTheme="majorHAnsi"/>
          <w:sz w:val="22"/>
          <w:szCs w:val="22"/>
          <w:lang w:val="en-US"/>
        </w:rPr>
        <w:t xml:space="preserve">Proxinvest’ partners </w:t>
      </w:r>
      <w:r>
        <w:rPr>
          <w:rFonts w:asciiTheme="majorHAnsi" w:hAnsiTheme="majorHAnsi"/>
          <w:sz w:val="22"/>
          <w:szCs w:val="22"/>
          <w:lang w:val="en-US"/>
        </w:rPr>
        <w:t>fall also within the scope of the BPP. They have not yet signed the BPP but within our partnership (Expert Corporate Governance Service – ECGS Ltd.), their practices are quite close to that of Proxinvest</w:t>
      </w:r>
    </w:p>
    <w:p w:rsidR="007D5607" w:rsidRPr="00AC2FAD" w:rsidRDefault="007D5607" w:rsidP="000B4787">
      <w:pPr>
        <w:pStyle w:val="Default"/>
        <w:jc w:val="both"/>
        <w:rPr>
          <w:rFonts w:asciiTheme="minorHAnsi" w:hAnsiTheme="minorHAnsi"/>
          <w:sz w:val="22"/>
          <w:szCs w:val="22"/>
          <w:lang w:val="en-US"/>
        </w:rPr>
      </w:pPr>
    </w:p>
    <w:p w:rsidR="00815577" w:rsidRPr="00AC2FAD" w:rsidRDefault="00CC0401" w:rsidP="00CC0401">
      <w:pPr>
        <w:pStyle w:val="Default"/>
        <w:spacing w:after="303"/>
        <w:jc w:val="both"/>
        <w:rPr>
          <w:rFonts w:asciiTheme="minorHAnsi" w:hAnsiTheme="minorHAnsi"/>
          <w:sz w:val="22"/>
          <w:szCs w:val="22"/>
          <w:lang w:val="en-US"/>
        </w:rPr>
      </w:pPr>
      <w:proofErr w:type="gramStart"/>
      <w:r w:rsidRPr="00AC2FAD">
        <w:rPr>
          <w:rFonts w:asciiTheme="minorHAnsi" w:hAnsiTheme="minorHAnsi"/>
          <w:b/>
          <w:i/>
          <w:sz w:val="22"/>
          <w:szCs w:val="22"/>
          <w:lang w:val="en-US"/>
        </w:rPr>
        <w:t>b</w:t>
      </w:r>
      <w:proofErr w:type="gramEnd"/>
      <w:r w:rsidRPr="00AC2FAD">
        <w:rPr>
          <w:rFonts w:asciiTheme="minorHAnsi" w:hAnsiTheme="minorHAnsi"/>
          <w:b/>
          <w:i/>
          <w:sz w:val="22"/>
          <w:szCs w:val="22"/>
          <w:lang w:val="en-US"/>
        </w:rPr>
        <w:t>. explain why you consider them to be within the scope of the BPP</w:t>
      </w:r>
      <w:r w:rsidRPr="00AC2FAD">
        <w:rPr>
          <w:rFonts w:asciiTheme="minorHAnsi" w:hAnsiTheme="minorHAnsi"/>
          <w:sz w:val="22"/>
          <w:szCs w:val="22"/>
          <w:lang w:val="en-US"/>
        </w:rPr>
        <w:t xml:space="preserve"> : </w:t>
      </w:r>
    </w:p>
    <w:p w:rsidR="00CC0401" w:rsidRPr="00AC2FAD" w:rsidRDefault="002D03C2" w:rsidP="00CC0401">
      <w:pPr>
        <w:pStyle w:val="Default"/>
        <w:spacing w:after="303"/>
        <w:jc w:val="both"/>
        <w:rPr>
          <w:rFonts w:asciiTheme="minorHAnsi" w:hAnsiTheme="minorHAnsi"/>
          <w:sz w:val="22"/>
          <w:szCs w:val="22"/>
          <w:lang w:val="en-US"/>
        </w:rPr>
      </w:pPr>
      <w:r w:rsidRPr="00AC2FAD">
        <w:rPr>
          <w:rFonts w:asciiTheme="minorHAnsi" w:hAnsiTheme="minorHAnsi"/>
          <w:sz w:val="22"/>
          <w:szCs w:val="22"/>
          <w:lang w:val="en-US"/>
        </w:rPr>
        <w:t>Research and advisory services which inform and influence the ESG and Governance debate are part of the process which determines how investors engage and vote on shareholder matters. The SRD is clear that it expects ESG considerations to be part of “Responsible Investment” practices in the European market. The US does not share the European sensibilities on this matter.</w:t>
      </w:r>
    </w:p>
    <w:p w:rsidR="00CC0401" w:rsidRPr="00AC2FAD" w:rsidRDefault="00CC0401" w:rsidP="00CC0401">
      <w:pPr>
        <w:pStyle w:val="Default"/>
        <w:jc w:val="both"/>
        <w:rPr>
          <w:rFonts w:asciiTheme="minorHAnsi" w:hAnsiTheme="minorHAnsi"/>
          <w:b/>
          <w:i/>
          <w:sz w:val="22"/>
          <w:szCs w:val="22"/>
          <w:lang w:val="en-US"/>
        </w:rPr>
      </w:pPr>
      <w:proofErr w:type="gramStart"/>
      <w:r w:rsidRPr="00AC2FAD">
        <w:rPr>
          <w:rFonts w:asciiTheme="minorHAnsi" w:hAnsiTheme="minorHAnsi"/>
          <w:b/>
          <w:i/>
          <w:sz w:val="22"/>
          <w:szCs w:val="22"/>
          <w:lang w:val="en-US"/>
        </w:rPr>
        <w:lastRenderedPageBreak/>
        <w:t>c</w:t>
      </w:r>
      <w:proofErr w:type="gramEnd"/>
      <w:r w:rsidRPr="00AC2FAD">
        <w:rPr>
          <w:rFonts w:asciiTheme="minorHAnsi" w:hAnsiTheme="minorHAnsi"/>
          <w:b/>
          <w:i/>
          <w:sz w:val="22"/>
          <w:szCs w:val="22"/>
          <w:lang w:val="en-US"/>
        </w:rPr>
        <w:t>. indicate their size and the coverage of their operations within the European market.</w:t>
      </w:r>
    </w:p>
    <w:p w:rsidR="0027541B" w:rsidRDefault="002D03C2" w:rsidP="00CC0401">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There is very little public research available on the size and scope of the responsible investment ESG market – sources such as the Principles of Responsible Investment or the</w:t>
      </w:r>
      <w:r w:rsidR="0027541B">
        <w:rPr>
          <w:rFonts w:asciiTheme="minorHAnsi" w:hAnsiTheme="minorHAnsi"/>
          <w:b/>
          <w:i/>
          <w:sz w:val="22"/>
          <w:szCs w:val="22"/>
          <w:lang w:val="en-US"/>
        </w:rPr>
        <w:t xml:space="preserve"> </w:t>
      </w:r>
      <w:r w:rsidRPr="00AC2FAD">
        <w:rPr>
          <w:rFonts w:asciiTheme="minorHAnsi" w:hAnsiTheme="minorHAnsi"/>
          <w:b/>
          <w:i/>
          <w:sz w:val="22"/>
          <w:szCs w:val="22"/>
          <w:lang w:val="en-US"/>
        </w:rPr>
        <w:t>ICGN may be able to assist</w:t>
      </w:r>
      <w:r w:rsidR="0027541B">
        <w:rPr>
          <w:rFonts w:asciiTheme="minorHAnsi" w:hAnsiTheme="minorHAnsi"/>
          <w:b/>
          <w:i/>
          <w:sz w:val="22"/>
          <w:szCs w:val="22"/>
          <w:lang w:val="en-US"/>
        </w:rPr>
        <w:t>.</w:t>
      </w:r>
    </w:p>
    <w:p w:rsidR="00815577" w:rsidRPr="00AC2FAD" w:rsidRDefault="002D03C2" w:rsidP="00CC0401">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 Perhaps ESMA should consider asking member states regulators to gather this information as part of the MIFID implementation to determine the exact amounts spent by investors</w:t>
      </w:r>
    </w:p>
    <w:p w:rsidR="00CC0401" w:rsidRPr="00AC2FAD" w:rsidRDefault="00CC0401" w:rsidP="00CC0401">
      <w:pPr>
        <w:pStyle w:val="Default"/>
        <w:jc w:val="both"/>
        <w:rPr>
          <w:rFonts w:asciiTheme="minorHAnsi" w:hAnsiTheme="minorHAnsi"/>
          <w:sz w:val="22"/>
          <w:szCs w:val="22"/>
          <w:lang w:val="en-US"/>
        </w:rPr>
      </w:pPr>
    </w:p>
    <w:p w:rsidR="00815577" w:rsidRPr="00AC2FAD" w:rsidRDefault="00CC0401" w:rsidP="00CC0401">
      <w:pPr>
        <w:pStyle w:val="Default"/>
        <w:jc w:val="both"/>
        <w:rPr>
          <w:rFonts w:asciiTheme="minorHAnsi" w:hAnsiTheme="minorHAnsi"/>
          <w:sz w:val="22"/>
          <w:szCs w:val="22"/>
          <w:lang w:val="en-US"/>
        </w:rPr>
      </w:pPr>
      <w:r w:rsidRPr="00AC2FAD">
        <w:rPr>
          <w:rFonts w:asciiTheme="minorHAnsi" w:hAnsiTheme="minorHAnsi"/>
          <w:b/>
          <w:i/>
          <w:sz w:val="22"/>
          <w:szCs w:val="22"/>
          <w:lang w:val="en-US"/>
        </w:rPr>
        <w:t>Q8: How would you describe the impact which the BPP have had on the proxy advisory industry in practice?</w:t>
      </w:r>
      <w:r w:rsidRPr="00AC2FAD">
        <w:rPr>
          <w:rFonts w:asciiTheme="minorHAnsi" w:hAnsiTheme="minorHAnsi"/>
          <w:sz w:val="22"/>
          <w:szCs w:val="22"/>
          <w:lang w:val="en-US"/>
        </w:rPr>
        <w:t xml:space="preserve">  </w:t>
      </w:r>
    </w:p>
    <w:p w:rsidR="00CC0401" w:rsidRPr="00AC2FAD" w:rsidRDefault="00CC0401" w:rsidP="00CC0401">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See </w:t>
      </w:r>
      <w:r w:rsidR="002D03C2" w:rsidRPr="00AC2FAD">
        <w:rPr>
          <w:rFonts w:asciiTheme="minorHAnsi" w:hAnsiTheme="minorHAnsi"/>
          <w:sz w:val="22"/>
          <w:szCs w:val="22"/>
          <w:lang w:val="en-US"/>
        </w:rPr>
        <w:t>below</w:t>
      </w:r>
      <w:r w:rsidRPr="00AC2FAD">
        <w:rPr>
          <w:rFonts w:asciiTheme="minorHAnsi" w:hAnsiTheme="minorHAnsi"/>
          <w:sz w:val="22"/>
          <w:szCs w:val="22"/>
          <w:lang w:val="en-US"/>
        </w:rPr>
        <w:t>.</w:t>
      </w:r>
    </w:p>
    <w:p w:rsidR="00CC0401" w:rsidRPr="00AC2FAD" w:rsidRDefault="00CC0401" w:rsidP="00CC0401">
      <w:pPr>
        <w:pStyle w:val="Default"/>
        <w:jc w:val="both"/>
        <w:rPr>
          <w:rFonts w:asciiTheme="minorHAnsi" w:hAnsiTheme="minorHAnsi"/>
          <w:sz w:val="22"/>
          <w:szCs w:val="22"/>
          <w:lang w:val="en-US"/>
        </w:rPr>
      </w:pPr>
    </w:p>
    <w:p w:rsidR="00815577" w:rsidRPr="00AC2FAD" w:rsidRDefault="00CC0401" w:rsidP="00CC0401">
      <w:pPr>
        <w:jc w:val="both"/>
        <w:rPr>
          <w:rFonts w:cs="Arial"/>
          <w:lang w:val="en-US"/>
        </w:rPr>
      </w:pPr>
      <w:r w:rsidRPr="00AC2FAD">
        <w:rPr>
          <w:rFonts w:cs="Arial"/>
          <w:b/>
          <w:i/>
          <w:lang w:val="en-US"/>
        </w:rPr>
        <w:t>Q9: Have you observed any changes in signatories’ practices in the areas mentioned under Q5 since the publication of the BPP in March 2014 and specifically during the 2015 proxy season?</w:t>
      </w:r>
    </w:p>
    <w:p w:rsidR="00CC0401" w:rsidRPr="00AC2FAD" w:rsidRDefault="00CC0401" w:rsidP="00CC0401">
      <w:pPr>
        <w:jc w:val="both"/>
        <w:rPr>
          <w:rFonts w:cs="Arial"/>
          <w:lang w:val="en-US"/>
        </w:rPr>
      </w:pPr>
      <w:r w:rsidRPr="00AC2FAD">
        <w:rPr>
          <w:rFonts w:cs="Arial"/>
          <w:lang w:val="en-US"/>
        </w:rPr>
        <w:t xml:space="preserve"> See </w:t>
      </w:r>
      <w:r w:rsidR="002D03C2" w:rsidRPr="00AC2FAD">
        <w:rPr>
          <w:rFonts w:cs="Arial"/>
          <w:lang w:val="en-US"/>
        </w:rPr>
        <w:t>below</w:t>
      </w:r>
    </w:p>
    <w:p w:rsidR="00815577" w:rsidRPr="00AC2FAD" w:rsidRDefault="00815577" w:rsidP="00815577">
      <w:pPr>
        <w:pStyle w:val="Default"/>
        <w:jc w:val="both"/>
        <w:rPr>
          <w:rFonts w:asciiTheme="minorHAnsi" w:hAnsiTheme="minorHAnsi"/>
          <w:b/>
          <w:bCs/>
          <w:sz w:val="22"/>
          <w:szCs w:val="22"/>
          <w:lang w:val="en-US"/>
        </w:rPr>
      </w:pPr>
    </w:p>
    <w:p w:rsidR="00815577" w:rsidRPr="00AC2FAD" w:rsidRDefault="00815577" w:rsidP="00815577">
      <w:pPr>
        <w:pStyle w:val="Default"/>
        <w:jc w:val="both"/>
        <w:rPr>
          <w:rFonts w:asciiTheme="minorHAnsi" w:hAnsiTheme="minorHAnsi"/>
          <w:b/>
          <w:bCs/>
          <w:sz w:val="22"/>
          <w:szCs w:val="22"/>
          <w:lang w:val="en-US"/>
        </w:rPr>
      </w:pPr>
    </w:p>
    <w:p w:rsidR="00815577" w:rsidRPr="00AC2FAD" w:rsidRDefault="00815577" w:rsidP="00815577">
      <w:pPr>
        <w:pStyle w:val="Default"/>
        <w:jc w:val="both"/>
        <w:rPr>
          <w:rFonts w:asciiTheme="minorHAnsi" w:hAnsiTheme="minorHAnsi"/>
          <w:b/>
          <w:bCs/>
          <w:i/>
          <w:sz w:val="22"/>
          <w:szCs w:val="22"/>
          <w:lang w:val="en-US"/>
        </w:rPr>
      </w:pPr>
      <w:r w:rsidRPr="00AC2FAD">
        <w:rPr>
          <w:rFonts w:asciiTheme="minorHAnsi" w:hAnsiTheme="minorHAnsi"/>
          <w:b/>
          <w:bCs/>
          <w:i/>
          <w:sz w:val="22"/>
          <w:szCs w:val="22"/>
          <w:lang w:val="en-US"/>
        </w:rPr>
        <w:t xml:space="preserve">4 Questions for proxy advisors </w:t>
      </w:r>
    </w:p>
    <w:p w:rsidR="00815577" w:rsidRPr="00AC2FAD" w:rsidRDefault="00815577" w:rsidP="00815577">
      <w:pPr>
        <w:pStyle w:val="Default"/>
        <w:jc w:val="both"/>
        <w:rPr>
          <w:rFonts w:asciiTheme="minorHAnsi" w:hAnsiTheme="minorHAnsi"/>
          <w:i/>
          <w:sz w:val="22"/>
          <w:szCs w:val="22"/>
          <w:lang w:val="en-US"/>
        </w:rPr>
      </w:pPr>
    </w:p>
    <w:p w:rsidR="00815577" w:rsidRPr="00AC2FAD" w:rsidRDefault="00815577" w:rsidP="00815577">
      <w:pPr>
        <w:pStyle w:val="Default"/>
        <w:jc w:val="both"/>
        <w:rPr>
          <w:rFonts w:asciiTheme="minorHAnsi" w:hAnsiTheme="minorHAnsi"/>
          <w:i/>
          <w:sz w:val="22"/>
          <w:szCs w:val="22"/>
          <w:lang w:val="en-US"/>
        </w:rPr>
      </w:pPr>
      <w:r w:rsidRPr="00AC2FAD">
        <w:rPr>
          <w:rFonts w:asciiTheme="minorHAnsi" w:hAnsiTheme="minorHAnsi"/>
          <w:b/>
          <w:bCs/>
          <w:i/>
          <w:sz w:val="22"/>
          <w:szCs w:val="22"/>
          <w:lang w:val="en-US"/>
        </w:rPr>
        <w:t xml:space="preserve">4.1 Introduction </w:t>
      </w:r>
    </w:p>
    <w:p w:rsidR="00815577" w:rsidRPr="00AC2FAD" w:rsidRDefault="00815577" w:rsidP="00815577">
      <w:pPr>
        <w:pStyle w:val="Default"/>
        <w:jc w:val="both"/>
        <w:rPr>
          <w:rFonts w:asciiTheme="minorHAnsi" w:hAnsiTheme="minorHAnsi"/>
          <w:i/>
          <w:sz w:val="22"/>
          <w:szCs w:val="22"/>
          <w:lang w:val="en-US"/>
        </w:rPr>
      </w:pPr>
      <w:r w:rsidRPr="00AC2FAD">
        <w:rPr>
          <w:rFonts w:asciiTheme="minorHAnsi" w:hAnsiTheme="minorHAnsi"/>
          <w:i/>
          <w:sz w:val="22"/>
          <w:szCs w:val="22"/>
          <w:lang w:val="en-US"/>
        </w:rPr>
        <w:t xml:space="preserve">18. The following section presents questions addressed to all firms offering research, advice or recommendations on voting in relation to companies listed in Europe. While the questions under section 4.2.2 are directed at proxy advisors which have not signed the BPP, the questions under section 4.2.3 are directed specifically at BPP signatories, taking into account information already obtained by ESMA in the course of bilateral discussions with such. Section 4.2.1 contains a series of background questions intended for all proxy advisors. </w:t>
      </w:r>
    </w:p>
    <w:p w:rsidR="00815577" w:rsidRPr="00AC2FAD" w:rsidRDefault="00815577"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i/>
          <w:sz w:val="22"/>
          <w:szCs w:val="22"/>
          <w:lang w:val="en-US"/>
        </w:rPr>
      </w:pPr>
      <w:r w:rsidRPr="00AC2FAD">
        <w:rPr>
          <w:rFonts w:asciiTheme="minorHAnsi" w:hAnsiTheme="minorHAnsi"/>
          <w:b/>
          <w:bCs/>
          <w:i/>
          <w:sz w:val="22"/>
          <w:szCs w:val="22"/>
          <w:lang w:val="en-US"/>
        </w:rPr>
        <w:t xml:space="preserve">4.2 Questions </w:t>
      </w:r>
    </w:p>
    <w:p w:rsidR="00815577" w:rsidRPr="00AC2FAD" w:rsidRDefault="00815577" w:rsidP="00815577">
      <w:pPr>
        <w:pStyle w:val="Default"/>
        <w:jc w:val="both"/>
        <w:rPr>
          <w:rFonts w:asciiTheme="minorHAnsi" w:hAnsiTheme="minorHAnsi"/>
          <w:i/>
          <w:sz w:val="22"/>
          <w:szCs w:val="22"/>
          <w:lang w:val="en-US"/>
        </w:rPr>
      </w:pPr>
      <w:r w:rsidRPr="00AC2FAD">
        <w:rPr>
          <w:rFonts w:asciiTheme="minorHAnsi" w:hAnsiTheme="minorHAnsi"/>
          <w:i/>
          <w:sz w:val="22"/>
          <w:szCs w:val="22"/>
          <w:lang w:val="en-US"/>
        </w:rPr>
        <w:t xml:space="preserve">4.2.1 Background </w:t>
      </w:r>
    </w:p>
    <w:p w:rsidR="00815577" w:rsidRPr="00AC2FAD" w:rsidRDefault="00815577" w:rsidP="00815577">
      <w:pPr>
        <w:pStyle w:val="Default"/>
        <w:jc w:val="both"/>
        <w:rPr>
          <w:rFonts w:asciiTheme="minorHAnsi" w:hAnsiTheme="minorHAnsi"/>
          <w:i/>
          <w:sz w:val="22"/>
          <w:szCs w:val="22"/>
          <w:lang w:val="en-US"/>
        </w:rPr>
      </w:pPr>
    </w:p>
    <w:p w:rsidR="00393CE9" w:rsidRPr="00AC2FAD" w:rsidRDefault="00393CE9" w:rsidP="00815577">
      <w:pPr>
        <w:pStyle w:val="Default"/>
        <w:jc w:val="both"/>
        <w:rPr>
          <w:rFonts w:asciiTheme="minorHAnsi" w:hAnsiTheme="minorHAnsi"/>
          <w:b/>
          <w:i/>
          <w:sz w:val="22"/>
          <w:szCs w:val="22"/>
          <w:lang w:val="en-US"/>
        </w:rPr>
      </w:pPr>
    </w:p>
    <w:p w:rsidR="00815577" w:rsidRPr="00AC2FAD" w:rsidRDefault="00815577" w:rsidP="00815577">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Q13: Where are your company’s headquarters? </w:t>
      </w:r>
    </w:p>
    <w:p w:rsidR="00815577" w:rsidRPr="00AC2FAD" w:rsidRDefault="00815577"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Paris (France)</w:t>
      </w:r>
    </w:p>
    <w:p w:rsidR="00815577" w:rsidRPr="00AC2FAD" w:rsidRDefault="00815577" w:rsidP="00815577">
      <w:pPr>
        <w:pStyle w:val="Default"/>
        <w:jc w:val="both"/>
        <w:rPr>
          <w:rFonts w:asciiTheme="minorHAnsi" w:hAnsiTheme="minorHAnsi"/>
          <w:sz w:val="22"/>
          <w:szCs w:val="22"/>
          <w:lang w:val="en-US"/>
        </w:rPr>
      </w:pPr>
    </w:p>
    <w:p w:rsidR="00393CE9" w:rsidRPr="00AC2FAD" w:rsidRDefault="00393CE9" w:rsidP="00815577">
      <w:pPr>
        <w:pStyle w:val="Default"/>
        <w:jc w:val="both"/>
        <w:rPr>
          <w:rFonts w:asciiTheme="minorHAnsi" w:hAnsiTheme="minorHAnsi"/>
          <w:b/>
          <w:i/>
          <w:sz w:val="22"/>
          <w:szCs w:val="22"/>
          <w:lang w:val="en-US"/>
        </w:rPr>
      </w:pPr>
    </w:p>
    <w:p w:rsidR="00815577" w:rsidRPr="00AC2FAD" w:rsidRDefault="00815577" w:rsidP="00815577">
      <w:pPr>
        <w:pStyle w:val="Default"/>
        <w:jc w:val="both"/>
        <w:rPr>
          <w:rFonts w:asciiTheme="minorHAnsi" w:hAnsiTheme="minorHAnsi"/>
          <w:sz w:val="22"/>
          <w:szCs w:val="22"/>
          <w:lang w:val="en-US"/>
        </w:rPr>
      </w:pPr>
      <w:r w:rsidRPr="00AC2FAD">
        <w:rPr>
          <w:rFonts w:asciiTheme="minorHAnsi" w:hAnsiTheme="minorHAnsi"/>
          <w:b/>
          <w:i/>
          <w:sz w:val="22"/>
          <w:szCs w:val="22"/>
          <w:lang w:val="en-US"/>
        </w:rPr>
        <w:t xml:space="preserve">Q14: Does your proxy advisory business cover the global market or are you </w:t>
      </w:r>
      <w:proofErr w:type="spellStart"/>
      <w:r w:rsidRPr="00AC2FAD">
        <w:rPr>
          <w:rFonts w:asciiTheme="minorHAnsi" w:hAnsiTheme="minorHAnsi"/>
          <w:b/>
          <w:i/>
          <w:sz w:val="22"/>
          <w:szCs w:val="22"/>
          <w:lang w:val="en-US"/>
        </w:rPr>
        <w:t>specialised</w:t>
      </w:r>
      <w:proofErr w:type="spellEnd"/>
      <w:r w:rsidRPr="00AC2FAD">
        <w:rPr>
          <w:rFonts w:asciiTheme="minorHAnsi" w:hAnsiTheme="minorHAnsi"/>
          <w:b/>
          <w:i/>
          <w:sz w:val="22"/>
          <w:szCs w:val="22"/>
          <w:lang w:val="en-US"/>
        </w:rPr>
        <w:t xml:space="preserve"> in particular countries, regions and/or markets?</w:t>
      </w:r>
      <w:r w:rsidRPr="00AC2FAD">
        <w:rPr>
          <w:rFonts w:asciiTheme="minorHAnsi" w:hAnsiTheme="minorHAnsi"/>
          <w:sz w:val="22"/>
          <w:szCs w:val="22"/>
          <w:lang w:val="en-US"/>
        </w:rPr>
        <w:t xml:space="preserve"> </w:t>
      </w:r>
    </w:p>
    <w:p w:rsidR="00815577" w:rsidRPr="00AC2FAD" w:rsidRDefault="00815577"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Proxinvest is specialized </w:t>
      </w:r>
      <w:r w:rsidR="00393CE9" w:rsidRPr="00AC2FAD">
        <w:rPr>
          <w:rFonts w:asciiTheme="minorHAnsi" w:hAnsiTheme="minorHAnsi"/>
          <w:sz w:val="22"/>
          <w:szCs w:val="22"/>
          <w:lang w:val="en-US"/>
        </w:rPr>
        <w:t>in the French market and provides voting recommendation for the French market only.</w:t>
      </w:r>
    </w:p>
    <w:p w:rsidR="00393CE9" w:rsidRPr="00AC2FAD" w:rsidRDefault="00393CE9" w:rsidP="00815577">
      <w:pPr>
        <w:pStyle w:val="Default"/>
        <w:jc w:val="both"/>
        <w:rPr>
          <w:rFonts w:asciiTheme="minorHAnsi" w:hAnsiTheme="minorHAnsi"/>
          <w:sz w:val="22"/>
          <w:szCs w:val="22"/>
          <w:lang w:val="en-US"/>
        </w:rPr>
      </w:pPr>
    </w:p>
    <w:p w:rsidR="00815577" w:rsidRPr="00AC2FAD" w:rsidRDefault="00393CE9"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However, a</w:t>
      </w:r>
      <w:r w:rsidR="00815577" w:rsidRPr="00AC2FAD">
        <w:rPr>
          <w:rFonts w:asciiTheme="minorHAnsi" w:hAnsiTheme="minorHAnsi"/>
          <w:sz w:val="22"/>
          <w:szCs w:val="22"/>
          <w:lang w:val="en-US"/>
        </w:rPr>
        <w:t xml:space="preserve">s we believe that the local expertise brings value in the conduct of proxy analysis, Proxinvest allied with other advisory firms </w:t>
      </w:r>
      <w:r w:rsidRPr="00AC2FAD">
        <w:rPr>
          <w:rFonts w:asciiTheme="minorHAnsi" w:hAnsiTheme="minorHAnsi"/>
          <w:sz w:val="22"/>
          <w:szCs w:val="22"/>
          <w:lang w:val="en-US"/>
        </w:rPr>
        <w:t>to form ECGS (Expert Corporate Governance Service Ltd). ECGS provides voting recommendations on European general meetings and covers approximately 85% of the free float-adjusted market capitalization across the European Developed Markets equity universe.</w:t>
      </w:r>
    </w:p>
    <w:p w:rsidR="00815577" w:rsidRPr="00AC2FAD" w:rsidRDefault="00815577" w:rsidP="00815577">
      <w:pPr>
        <w:pStyle w:val="Default"/>
        <w:jc w:val="both"/>
        <w:rPr>
          <w:rFonts w:asciiTheme="minorHAnsi" w:hAnsiTheme="minorHAnsi"/>
          <w:sz w:val="22"/>
          <w:szCs w:val="22"/>
          <w:lang w:val="en-US"/>
        </w:rPr>
      </w:pPr>
    </w:p>
    <w:p w:rsidR="0027541B" w:rsidRDefault="0027541B">
      <w:pPr>
        <w:rPr>
          <w:rFonts w:eastAsia="Calibri" w:cs="Arial"/>
          <w:color w:val="000000"/>
          <w:lang w:val="en-US" w:eastAsia="fr-FR"/>
        </w:rPr>
      </w:pPr>
      <w:r>
        <w:rPr>
          <w:lang w:val="en-US"/>
        </w:rPr>
        <w:br w:type="page"/>
      </w:r>
    </w:p>
    <w:p w:rsidR="00393CE9" w:rsidRPr="00AC2FAD" w:rsidRDefault="00393CE9"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b/>
          <w:bCs/>
          <w:i/>
          <w:sz w:val="22"/>
          <w:szCs w:val="22"/>
          <w:lang w:val="en-US"/>
        </w:rPr>
      </w:pPr>
      <w:r w:rsidRPr="00AC2FAD">
        <w:rPr>
          <w:rFonts w:asciiTheme="minorHAnsi" w:hAnsiTheme="minorHAnsi"/>
          <w:b/>
          <w:i/>
          <w:sz w:val="22"/>
          <w:szCs w:val="22"/>
          <w:lang w:val="en-US"/>
        </w:rPr>
        <w:t xml:space="preserve">Q15: For </w:t>
      </w:r>
      <w:proofErr w:type="gramStart"/>
      <w:r w:rsidRPr="00AC2FAD">
        <w:rPr>
          <w:rFonts w:asciiTheme="minorHAnsi" w:hAnsiTheme="minorHAnsi"/>
          <w:b/>
          <w:i/>
          <w:sz w:val="22"/>
          <w:szCs w:val="22"/>
          <w:lang w:val="en-US"/>
        </w:rPr>
        <w:t>each  European</w:t>
      </w:r>
      <w:proofErr w:type="gramEnd"/>
      <w:r w:rsidRPr="00AC2FAD">
        <w:rPr>
          <w:rFonts w:asciiTheme="minorHAnsi" w:hAnsiTheme="minorHAnsi"/>
          <w:b/>
          <w:i/>
          <w:sz w:val="22"/>
          <w:szCs w:val="22"/>
          <w:lang w:val="en-US"/>
        </w:rPr>
        <w:t xml:space="preserve"> country in which you conduct your proxy advisory business, what is the percentage of listed companies that you cover? </w:t>
      </w:r>
      <w:r w:rsidR="0027541B">
        <w:rPr>
          <w:rFonts w:asciiTheme="minorHAnsi" w:hAnsiTheme="minorHAnsi"/>
          <w:b/>
          <w:i/>
          <w:sz w:val="22"/>
          <w:szCs w:val="22"/>
          <w:lang w:val="en-US"/>
        </w:rPr>
        <w:t xml:space="preserve"> </w:t>
      </w:r>
    </w:p>
    <w:p w:rsidR="00393CE9" w:rsidRPr="00AC2FAD" w:rsidRDefault="00393CE9" w:rsidP="00815577">
      <w:pPr>
        <w:pStyle w:val="Default"/>
        <w:jc w:val="both"/>
        <w:rPr>
          <w:rFonts w:asciiTheme="minorHAnsi" w:hAnsiTheme="minorHAnsi"/>
          <w:b/>
          <w:bCs/>
          <w:i/>
          <w:sz w:val="22"/>
          <w:szCs w:val="22"/>
          <w:lang w:val="en-US"/>
        </w:rPr>
      </w:pPr>
    </w:p>
    <w:p w:rsidR="00393CE9" w:rsidRPr="00AC2FAD" w:rsidRDefault="00BA38B3" w:rsidP="00815577">
      <w:pPr>
        <w:pStyle w:val="Default"/>
        <w:jc w:val="both"/>
        <w:rPr>
          <w:rFonts w:asciiTheme="minorHAnsi" w:hAnsiTheme="minorHAnsi"/>
          <w:b/>
          <w:bCs/>
          <w:i/>
          <w:sz w:val="22"/>
          <w:szCs w:val="22"/>
          <w:lang w:val="en-US"/>
        </w:rPr>
      </w:pPr>
      <w:r>
        <w:rPr>
          <w:rFonts w:asciiTheme="minorHAnsi" w:hAnsiTheme="minorHAnsi"/>
          <w:b/>
          <w:bCs/>
          <w:i/>
          <w:sz w:val="22"/>
          <w:szCs w:val="22"/>
          <w:lang w:val="en-US"/>
        </w:rPr>
        <w:t xml:space="preserve">The ECGS association with Manifest allows for a very extensive global coverage </w:t>
      </w:r>
      <w:r w:rsidR="0027541B">
        <w:rPr>
          <w:rFonts w:asciiTheme="minorHAnsi" w:hAnsiTheme="minorHAnsi"/>
          <w:b/>
          <w:bCs/>
          <w:i/>
          <w:sz w:val="22"/>
          <w:szCs w:val="22"/>
          <w:lang w:val="en-US"/>
        </w:rPr>
        <w:t xml:space="preserve">on demand </w:t>
      </w:r>
      <w:r>
        <w:rPr>
          <w:rFonts w:asciiTheme="minorHAnsi" w:hAnsiTheme="minorHAnsi"/>
          <w:b/>
          <w:bCs/>
          <w:i/>
          <w:sz w:val="22"/>
          <w:szCs w:val="22"/>
          <w:lang w:val="en-US"/>
        </w:rPr>
        <w:t xml:space="preserve">of about 8 000 companies in the world. </w:t>
      </w:r>
      <w:r w:rsidR="0027541B">
        <w:rPr>
          <w:rFonts w:asciiTheme="minorHAnsi" w:hAnsiTheme="minorHAnsi"/>
          <w:b/>
          <w:bCs/>
          <w:i/>
          <w:sz w:val="22"/>
          <w:szCs w:val="22"/>
          <w:lang w:val="en-US"/>
        </w:rPr>
        <w:t>Our common ECGS</w:t>
      </w:r>
      <w:r w:rsidR="0027541B" w:rsidRPr="0027541B">
        <w:rPr>
          <w:rFonts w:asciiTheme="minorHAnsi" w:hAnsiTheme="minorHAnsi"/>
          <w:b/>
          <w:bCs/>
          <w:i/>
          <w:sz w:val="22"/>
          <w:szCs w:val="22"/>
          <w:lang w:val="en-US"/>
        </w:rPr>
        <w:t xml:space="preserve"> </w:t>
      </w:r>
      <w:r w:rsidR="0027541B">
        <w:rPr>
          <w:rFonts w:asciiTheme="minorHAnsi" w:hAnsiTheme="minorHAnsi"/>
          <w:b/>
          <w:bCs/>
          <w:i/>
          <w:sz w:val="22"/>
          <w:szCs w:val="22"/>
          <w:lang w:val="en-US"/>
        </w:rPr>
        <w:t xml:space="preserve">format for </w:t>
      </w:r>
      <w:r>
        <w:rPr>
          <w:rFonts w:asciiTheme="minorHAnsi" w:hAnsiTheme="minorHAnsi"/>
          <w:b/>
          <w:bCs/>
          <w:i/>
          <w:sz w:val="22"/>
          <w:szCs w:val="22"/>
          <w:lang w:val="en-US"/>
        </w:rPr>
        <w:t xml:space="preserve">in depth local coverage </w:t>
      </w:r>
      <w:r w:rsidR="0027541B">
        <w:rPr>
          <w:rFonts w:asciiTheme="minorHAnsi" w:hAnsiTheme="minorHAnsi"/>
          <w:b/>
          <w:bCs/>
          <w:i/>
          <w:sz w:val="22"/>
          <w:szCs w:val="22"/>
          <w:lang w:val="en-US"/>
        </w:rPr>
        <w:t xml:space="preserve">currently </w:t>
      </w:r>
      <w:r>
        <w:rPr>
          <w:rFonts w:asciiTheme="minorHAnsi" w:hAnsiTheme="minorHAnsi"/>
          <w:b/>
          <w:bCs/>
          <w:i/>
          <w:sz w:val="22"/>
          <w:szCs w:val="22"/>
          <w:lang w:val="en-US"/>
        </w:rPr>
        <w:t xml:space="preserve">extends to </w:t>
      </w:r>
      <w:r w:rsidR="0027541B">
        <w:rPr>
          <w:rFonts w:asciiTheme="minorHAnsi" w:hAnsiTheme="minorHAnsi"/>
          <w:b/>
          <w:bCs/>
          <w:i/>
          <w:sz w:val="22"/>
          <w:szCs w:val="22"/>
          <w:lang w:val="en-US"/>
        </w:rPr>
        <w:t>814</w:t>
      </w:r>
      <w:r>
        <w:rPr>
          <w:rFonts w:asciiTheme="minorHAnsi" w:hAnsiTheme="minorHAnsi"/>
          <w:b/>
          <w:bCs/>
          <w:i/>
          <w:sz w:val="22"/>
          <w:szCs w:val="22"/>
          <w:lang w:val="en-US"/>
        </w:rPr>
        <w:t xml:space="preserve"> companies.</w:t>
      </w:r>
      <w:r w:rsidR="0027541B">
        <w:rPr>
          <w:rFonts w:asciiTheme="minorHAnsi" w:hAnsiTheme="minorHAnsi"/>
          <w:b/>
          <w:bCs/>
          <w:i/>
          <w:sz w:val="22"/>
          <w:szCs w:val="22"/>
          <w:lang w:val="en-US"/>
        </w:rPr>
        <w:t xml:space="preserve"> </w:t>
      </w:r>
    </w:p>
    <w:p w:rsidR="00393CE9" w:rsidRPr="00AC2FAD" w:rsidRDefault="00393CE9" w:rsidP="00815577">
      <w:pPr>
        <w:pStyle w:val="Default"/>
        <w:jc w:val="both"/>
        <w:rPr>
          <w:rFonts w:asciiTheme="minorHAnsi" w:hAnsiTheme="minorHAnsi"/>
          <w:b/>
          <w:bCs/>
          <w:i/>
          <w:sz w:val="22"/>
          <w:szCs w:val="22"/>
          <w:lang w:val="en-US"/>
        </w:rPr>
      </w:pPr>
    </w:p>
    <w:p w:rsidR="008150AC" w:rsidRPr="00AC2FAD" w:rsidRDefault="008150AC" w:rsidP="00815577">
      <w:pPr>
        <w:pStyle w:val="Default"/>
        <w:jc w:val="both"/>
        <w:rPr>
          <w:rFonts w:asciiTheme="minorHAnsi" w:hAnsiTheme="minorHAnsi"/>
          <w:sz w:val="22"/>
          <w:szCs w:val="22"/>
          <w:lang w:val="en-US"/>
        </w:rPr>
      </w:pPr>
    </w:p>
    <w:p w:rsidR="00BA38B3" w:rsidRPr="0027541B" w:rsidRDefault="0011714E" w:rsidP="00815577">
      <w:pPr>
        <w:pStyle w:val="Default"/>
        <w:jc w:val="both"/>
        <w:rPr>
          <w:rFonts w:asciiTheme="minorHAnsi" w:hAnsiTheme="minorHAnsi"/>
          <w:sz w:val="22"/>
          <w:szCs w:val="22"/>
          <w:lang w:val="en-US"/>
        </w:rPr>
      </w:pPr>
      <w:r w:rsidRPr="0027541B">
        <w:rPr>
          <w:rFonts w:asciiTheme="minorHAnsi" w:hAnsiTheme="minorHAnsi"/>
          <w:sz w:val="22"/>
          <w:szCs w:val="22"/>
          <w:lang w:val="en-US"/>
        </w:rPr>
        <w:t xml:space="preserve">The French market is covered by the French proxy advisory firm Proxinvest. The Swiss market is covered by </w:t>
      </w:r>
      <w:r w:rsidR="007F41E1" w:rsidRPr="0027541B">
        <w:rPr>
          <w:rFonts w:asciiTheme="minorHAnsi" w:hAnsiTheme="minorHAnsi"/>
          <w:sz w:val="22"/>
          <w:szCs w:val="22"/>
          <w:lang w:val="en-US"/>
        </w:rPr>
        <w:t>the S</w:t>
      </w:r>
      <w:r w:rsidRPr="0027541B">
        <w:rPr>
          <w:rFonts w:asciiTheme="minorHAnsi" w:hAnsiTheme="minorHAnsi"/>
          <w:sz w:val="22"/>
          <w:szCs w:val="22"/>
          <w:lang w:val="en-US"/>
        </w:rPr>
        <w:t xml:space="preserve">wiss proxy advisory firm and SRI asset manager Ethos Services. The German and Austrian markets are covered by Deutsche </w:t>
      </w:r>
      <w:proofErr w:type="spellStart"/>
      <w:r w:rsidRPr="0027541B">
        <w:rPr>
          <w:rFonts w:asciiTheme="minorHAnsi" w:hAnsiTheme="minorHAnsi"/>
          <w:sz w:val="22"/>
          <w:szCs w:val="22"/>
          <w:lang w:val="en-US"/>
        </w:rPr>
        <w:t>Schutzvereinigung</w:t>
      </w:r>
      <w:proofErr w:type="spellEnd"/>
      <w:r w:rsidRPr="0027541B">
        <w:rPr>
          <w:rFonts w:asciiTheme="minorHAnsi" w:hAnsiTheme="minorHAnsi"/>
          <w:sz w:val="22"/>
          <w:szCs w:val="22"/>
          <w:lang w:val="en-US"/>
        </w:rPr>
        <w:t xml:space="preserve"> </w:t>
      </w:r>
      <w:proofErr w:type="spellStart"/>
      <w:r w:rsidRPr="0027541B">
        <w:rPr>
          <w:rFonts w:asciiTheme="minorHAnsi" w:hAnsiTheme="minorHAnsi"/>
          <w:sz w:val="22"/>
          <w:szCs w:val="22"/>
          <w:lang w:val="en-US"/>
        </w:rPr>
        <w:t>für</w:t>
      </w:r>
      <w:proofErr w:type="spellEnd"/>
      <w:r w:rsidRPr="0027541B">
        <w:rPr>
          <w:rFonts w:asciiTheme="minorHAnsi" w:hAnsiTheme="minorHAnsi"/>
          <w:sz w:val="22"/>
          <w:szCs w:val="22"/>
          <w:lang w:val="en-US"/>
        </w:rPr>
        <w:t xml:space="preserve"> </w:t>
      </w:r>
      <w:proofErr w:type="spellStart"/>
      <w:r w:rsidRPr="0027541B">
        <w:rPr>
          <w:rFonts w:asciiTheme="minorHAnsi" w:hAnsiTheme="minorHAnsi"/>
          <w:sz w:val="22"/>
          <w:szCs w:val="22"/>
          <w:lang w:val="en-US"/>
        </w:rPr>
        <w:t>Wertpapierbesitz</w:t>
      </w:r>
      <w:proofErr w:type="spellEnd"/>
      <w:r w:rsidRPr="0027541B">
        <w:rPr>
          <w:rFonts w:asciiTheme="minorHAnsi" w:hAnsiTheme="minorHAnsi"/>
          <w:sz w:val="22"/>
          <w:szCs w:val="22"/>
          <w:lang w:val="en-US"/>
        </w:rPr>
        <w:t xml:space="preserve"> </w:t>
      </w:r>
      <w:proofErr w:type="spellStart"/>
      <w:r w:rsidRPr="0027541B">
        <w:rPr>
          <w:rFonts w:asciiTheme="minorHAnsi" w:hAnsiTheme="minorHAnsi"/>
          <w:sz w:val="22"/>
          <w:szCs w:val="22"/>
          <w:lang w:val="en-US"/>
        </w:rPr>
        <w:t>e.V</w:t>
      </w:r>
      <w:proofErr w:type="spellEnd"/>
      <w:r w:rsidRPr="0027541B">
        <w:rPr>
          <w:rFonts w:asciiTheme="minorHAnsi" w:hAnsiTheme="minorHAnsi"/>
          <w:sz w:val="22"/>
          <w:szCs w:val="22"/>
          <w:lang w:val="en-US"/>
        </w:rPr>
        <w:t xml:space="preserve">. (DSW), the German oldest and largest association for private investors. The Benelux and Scandinavian markets are covered by the proxy advisory firm Shareholder Support (Netherlands). </w:t>
      </w:r>
    </w:p>
    <w:p w:rsidR="00BA38B3" w:rsidRPr="0027541B" w:rsidRDefault="00BA38B3" w:rsidP="00815577">
      <w:pPr>
        <w:pStyle w:val="Default"/>
        <w:jc w:val="both"/>
        <w:rPr>
          <w:rFonts w:asciiTheme="minorHAnsi" w:hAnsiTheme="minorHAnsi"/>
          <w:sz w:val="22"/>
          <w:szCs w:val="22"/>
          <w:lang w:val="en-US"/>
        </w:rPr>
      </w:pPr>
    </w:p>
    <w:p w:rsidR="008150AC" w:rsidRDefault="0011714E" w:rsidP="00815577">
      <w:pPr>
        <w:pStyle w:val="Default"/>
        <w:jc w:val="both"/>
        <w:rPr>
          <w:rFonts w:asciiTheme="minorHAnsi" w:hAnsiTheme="minorHAnsi"/>
          <w:sz w:val="22"/>
          <w:szCs w:val="22"/>
          <w:lang w:val="en-US"/>
        </w:rPr>
      </w:pPr>
      <w:r w:rsidRPr="0027541B">
        <w:rPr>
          <w:rFonts w:asciiTheme="minorHAnsi" w:hAnsiTheme="minorHAnsi"/>
          <w:sz w:val="22"/>
          <w:szCs w:val="22"/>
          <w:lang w:val="en-US"/>
        </w:rPr>
        <w:t xml:space="preserve">The UK and Irish markets are covered by the </w:t>
      </w:r>
      <w:r w:rsidR="007F41E1" w:rsidRPr="0027541B">
        <w:rPr>
          <w:rFonts w:asciiTheme="minorHAnsi" w:hAnsiTheme="minorHAnsi"/>
          <w:sz w:val="22"/>
          <w:szCs w:val="22"/>
          <w:lang w:val="en-US"/>
        </w:rPr>
        <w:t>British</w:t>
      </w:r>
      <w:r w:rsidRPr="0027541B">
        <w:rPr>
          <w:rFonts w:asciiTheme="minorHAnsi" w:hAnsiTheme="minorHAnsi"/>
          <w:sz w:val="22"/>
          <w:szCs w:val="22"/>
          <w:lang w:val="en-US"/>
        </w:rPr>
        <w:t xml:space="preserve"> proxy advisory firm Manifest (which has </w:t>
      </w:r>
      <w:r w:rsidR="007F41E1" w:rsidRPr="0027541B">
        <w:rPr>
          <w:rFonts w:asciiTheme="minorHAnsi" w:hAnsiTheme="minorHAnsi"/>
          <w:sz w:val="22"/>
          <w:szCs w:val="22"/>
          <w:lang w:val="en-US"/>
        </w:rPr>
        <w:t xml:space="preserve">published its own compliance statement and was one of member of the working group). The Spanish and Italian markets are covered by the Italian proxy advisory firm </w:t>
      </w:r>
      <w:proofErr w:type="spellStart"/>
      <w:r w:rsidR="007F41E1" w:rsidRPr="0027541B">
        <w:rPr>
          <w:rFonts w:asciiTheme="minorHAnsi" w:hAnsiTheme="minorHAnsi"/>
          <w:sz w:val="22"/>
          <w:szCs w:val="22"/>
          <w:lang w:val="en-US"/>
        </w:rPr>
        <w:t>Frontis</w:t>
      </w:r>
      <w:proofErr w:type="spellEnd"/>
      <w:r w:rsidR="007F41E1" w:rsidRPr="0027541B">
        <w:rPr>
          <w:rFonts w:asciiTheme="minorHAnsi" w:hAnsiTheme="minorHAnsi"/>
          <w:sz w:val="22"/>
          <w:szCs w:val="22"/>
          <w:lang w:val="en-US"/>
        </w:rPr>
        <w:t xml:space="preserve"> Governance.)</w:t>
      </w:r>
    </w:p>
    <w:p w:rsidR="00BA38B3" w:rsidRDefault="00BA38B3" w:rsidP="00815577">
      <w:pPr>
        <w:pStyle w:val="Default"/>
        <w:jc w:val="both"/>
        <w:rPr>
          <w:rFonts w:asciiTheme="minorHAnsi" w:hAnsiTheme="minorHAnsi"/>
          <w:sz w:val="22"/>
          <w:szCs w:val="22"/>
          <w:lang w:val="en-US"/>
        </w:rPr>
      </w:pPr>
    </w:p>
    <w:p w:rsidR="00633010" w:rsidRPr="00AC2FAD" w:rsidRDefault="00633010" w:rsidP="00815577">
      <w:pPr>
        <w:pStyle w:val="Default"/>
        <w:jc w:val="both"/>
        <w:rPr>
          <w:rFonts w:asciiTheme="minorHAnsi" w:hAnsiTheme="minorHAnsi"/>
          <w:sz w:val="22"/>
          <w:szCs w:val="22"/>
          <w:lang w:val="en-US"/>
        </w:rPr>
      </w:pPr>
    </w:p>
    <w:p w:rsidR="00633010" w:rsidRPr="00AC2FAD" w:rsidRDefault="00633010"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The question of “coverage” requires a clear definition of what coverage is, some companies have multiple listings in different countries, also some services have a very level of coverage of ETFs or Mutual Funds which can inflate the numbers considerably. As with any statistics, the basis of calculation and comparison must be consistent.</w:t>
      </w:r>
    </w:p>
    <w:p w:rsidR="0011714E" w:rsidRPr="00AC2FAD" w:rsidRDefault="0011714E" w:rsidP="00815577">
      <w:pPr>
        <w:pStyle w:val="Default"/>
        <w:jc w:val="both"/>
        <w:rPr>
          <w:rFonts w:asciiTheme="minorHAnsi" w:hAnsiTheme="minorHAnsi"/>
          <w:color w:val="555555"/>
          <w:sz w:val="17"/>
          <w:szCs w:val="17"/>
          <w:shd w:val="clear" w:color="auto" w:fill="FFFFFF"/>
          <w:lang w:val="en-US"/>
        </w:rPr>
      </w:pPr>
    </w:p>
    <w:p w:rsidR="0011714E" w:rsidRPr="00AC2FAD" w:rsidRDefault="0011714E"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Q16: For each of the countries you have listed under Q15, can you provide the number of listed companies you had a dialogue with during or in relation to the 2015 proxy season? </w:t>
      </w:r>
    </w:p>
    <w:p w:rsidR="00815577" w:rsidRPr="00AC2FAD" w:rsidRDefault="00815577" w:rsidP="00815577">
      <w:pPr>
        <w:pStyle w:val="Default"/>
        <w:jc w:val="both"/>
        <w:rPr>
          <w:rFonts w:asciiTheme="minorHAnsi" w:hAnsiTheme="minorHAnsi"/>
          <w:sz w:val="22"/>
          <w:szCs w:val="22"/>
          <w:lang w:val="en-US"/>
        </w:rPr>
      </w:pPr>
    </w:p>
    <w:p w:rsidR="00D77A0C" w:rsidRPr="00AC2FAD" w:rsidRDefault="00D77A0C"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In the first instance we are not clear what is really meant by “dialogue”. Does it mean emails, telephone calls, meetings, round-tables, work-shops?</w:t>
      </w:r>
    </w:p>
    <w:p w:rsidR="000738A7" w:rsidRPr="00AC2FAD" w:rsidRDefault="000738A7" w:rsidP="00815577">
      <w:pPr>
        <w:pStyle w:val="Default"/>
        <w:jc w:val="both"/>
        <w:rPr>
          <w:rFonts w:asciiTheme="minorHAnsi" w:hAnsiTheme="minorHAnsi"/>
          <w:sz w:val="22"/>
          <w:szCs w:val="22"/>
          <w:lang w:val="en-US"/>
        </w:rPr>
      </w:pPr>
    </w:p>
    <w:p w:rsidR="008150AC" w:rsidRPr="00AC2FAD" w:rsidRDefault="000738A7"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From </w:t>
      </w:r>
      <w:proofErr w:type="spellStart"/>
      <w:r w:rsidRPr="00AC2FAD">
        <w:rPr>
          <w:rFonts w:asciiTheme="minorHAnsi" w:hAnsiTheme="minorHAnsi"/>
          <w:sz w:val="22"/>
          <w:szCs w:val="22"/>
          <w:lang w:val="en-US"/>
        </w:rPr>
        <w:t>Proxinvest’s</w:t>
      </w:r>
      <w:proofErr w:type="spellEnd"/>
      <w:r w:rsidRPr="00AC2FAD">
        <w:rPr>
          <w:rFonts w:asciiTheme="minorHAnsi" w:hAnsiTheme="minorHAnsi"/>
          <w:sz w:val="22"/>
          <w:szCs w:val="22"/>
          <w:lang w:val="en-US"/>
        </w:rPr>
        <w:t xml:space="preserve"> perspective d</w:t>
      </w:r>
      <w:r w:rsidR="008150AC" w:rsidRPr="00AC2FAD">
        <w:rPr>
          <w:rFonts w:asciiTheme="minorHAnsi" w:hAnsiTheme="minorHAnsi"/>
          <w:sz w:val="22"/>
          <w:szCs w:val="22"/>
          <w:lang w:val="en-US"/>
        </w:rPr>
        <w:t xml:space="preserve">ialogue is a question of </w:t>
      </w:r>
      <w:proofErr w:type="gramStart"/>
      <w:r w:rsidR="008150AC" w:rsidRPr="00AC2FAD">
        <w:rPr>
          <w:rFonts w:asciiTheme="minorHAnsi" w:hAnsiTheme="minorHAnsi"/>
          <w:sz w:val="22"/>
          <w:szCs w:val="22"/>
          <w:lang w:val="en-US"/>
        </w:rPr>
        <w:t>quality,</w:t>
      </w:r>
      <w:proofErr w:type="gramEnd"/>
      <w:r w:rsidR="008150AC"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therefore </w:t>
      </w:r>
      <w:r w:rsidR="008150AC" w:rsidRPr="00AC2FAD">
        <w:rPr>
          <w:rFonts w:asciiTheme="minorHAnsi" w:hAnsiTheme="minorHAnsi"/>
          <w:sz w:val="22"/>
          <w:szCs w:val="22"/>
          <w:lang w:val="en-US"/>
        </w:rPr>
        <w:t>we do not “quantify” the number of exchanges.</w:t>
      </w:r>
      <w:r w:rsidR="006534D0" w:rsidRPr="00AC2FAD">
        <w:rPr>
          <w:rFonts w:asciiTheme="minorHAnsi" w:hAnsiTheme="minorHAnsi"/>
          <w:sz w:val="22"/>
          <w:szCs w:val="22"/>
          <w:lang w:val="en-US"/>
        </w:rPr>
        <w:t xml:space="preserve"> However, </w:t>
      </w:r>
      <w:hyperlink r:id="rId15" w:history="1">
        <w:r w:rsidR="006534D0" w:rsidRPr="00AC2FAD">
          <w:rPr>
            <w:rStyle w:val="Lienhypertexte"/>
            <w:rFonts w:asciiTheme="minorHAnsi" w:hAnsiTheme="minorHAnsi"/>
            <w:sz w:val="22"/>
            <w:szCs w:val="22"/>
            <w:lang w:val="en-US"/>
          </w:rPr>
          <w:t>many questions and responses have been made publicly available on the Proxinvest website during the 2015 proxy season</w:t>
        </w:r>
      </w:hyperlink>
      <w:r w:rsidR="006534D0" w:rsidRPr="00AC2FAD">
        <w:rPr>
          <w:rFonts w:asciiTheme="minorHAnsi" w:hAnsiTheme="minorHAnsi"/>
          <w:sz w:val="22"/>
          <w:szCs w:val="22"/>
          <w:lang w:val="en-US"/>
        </w:rPr>
        <w:t>.</w:t>
      </w:r>
    </w:p>
    <w:p w:rsidR="008150AC" w:rsidRPr="00AC2FAD" w:rsidRDefault="008150AC"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Every issuer under Proxinvest coverage has been invited to a presentation of the Proxinvest voting policy. For more information about Proxinvest dialogue and engagement activities, please refer to the </w:t>
      </w:r>
      <w:hyperlink r:id="rId16" w:history="1">
        <w:r w:rsidRPr="00AC2FAD">
          <w:rPr>
            <w:rStyle w:val="Lienhypertexte"/>
            <w:rFonts w:asciiTheme="minorHAnsi" w:hAnsiTheme="minorHAnsi"/>
            <w:sz w:val="22"/>
            <w:szCs w:val="22"/>
            <w:lang w:val="en-US"/>
          </w:rPr>
          <w:t>Proxinvest compliance statement</w:t>
        </w:r>
      </w:hyperlink>
      <w:r w:rsidRPr="00AC2FAD">
        <w:rPr>
          <w:rFonts w:asciiTheme="minorHAnsi" w:hAnsiTheme="minorHAnsi"/>
          <w:sz w:val="22"/>
          <w:szCs w:val="22"/>
          <w:lang w:val="en-US"/>
        </w:rPr>
        <w:t xml:space="preserve"> (§ Dialogue policy).</w:t>
      </w:r>
    </w:p>
    <w:p w:rsidR="00815577" w:rsidRPr="00AC2FAD" w:rsidRDefault="00815577" w:rsidP="00815577">
      <w:pPr>
        <w:pStyle w:val="Default"/>
        <w:jc w:val="both"/>
        <w:rPr>
          <w:rFonts w:asciiTheme="minorHAnsi" w:hAnsiTheme="minorHAnsi"/>
          <w:sz w:val="22"/>
          <w:szCs w:val="22"/>
          <w:lang w:val="en-US"/>
        </w:rPr>
      </w:pPr>
    </w:p>
    <w:p w:rsidR="006534D0" w:rsidRPr="00AC2FAD" w:rsidRDefault="006534D0"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b/>
          <w:sz w:val="22"/>
          <w:szCs w:val="22"/>
          <w:lang w:val="en-US"/>
        </w:rPr>
      </w:pPr>
      <w:r w:rsidRPr="00AC2FAD">
        <w:rPr>
          <w:rFonts w:asciiTheme="minorHAnsi" w:hAnsiTheme="minorHAnsi"/>
          <w:b/>
          <w:sz w:val="22"/>
          <w:szCs w:val="22"/>
          <w:lang w:val="en-US"/>
        </w:rPr>
        <w:t xml:space="preserve">Q17: Are you providing proxy advisory services only or do you also offer other services? If you offer other services, please briefly describe the role proxy advisory services play relative to the share of total business. </w:t>
      </w:r>
    </w:p>
    <w:p w:rsidR="00815577" w:rsidRPr="00AC2FAD" w:rsidRDefault="00815577" w:rsidP="00815577">
      <w:pPr>
        <w:pStyle w:val="Default"/>
        <w:jc w:val="both"/>
        <w:rPr>
          <w:rFonts w:asciiTheme="minorHAnsi" w:hAnsiTheme="minorHAnsi"/>
          <w:sz w:val="22"/>
          <w:szCs w:val="22"/>
          <w:lang w:val="en-US"/>
        </w:rPr>
      </w:pPr>
    </w:p>
    <w:p w:rsidR="006534D0" w:rsidRPr="00AC2FAD" w:rsidRDefault="006534D0" w:rsidP="00815577">
      <w:pPr>
        <w:jc w:val="both"/>
        <w:rPr>
          <w:rFonts w:cs="Arial"/>
          <w:lang w:val="en-US"/>
        </w:rPr>
      </w:pPr>
      <w:r w:rsidRPr="00AC2FAD">
        <w:rPr>
          <w:rFonts w:cs="Arial"/>
          <w:lang w:val="en-US"/>
        </w:rPr>
        <w:t>Proxinvest does not</w:t>
      </w:r>
      <w:r w:rsidR="000738A7" w:rsidRPr="00AC2FAD">
        <w:rPr>
          <w:rFonts w:cs="Arial"/>
          <w:lang w:val="en-US"/>
        </w:rPr>
        <w:t xml:space="preserve"> only</w:t>
      </w:r>
      <w:r w:rsidRPr="00AC2FAD">
        <w:rPr>
          <w:rFonts w:cs="Arial"/>
          <w:lang w:val="en-US"/>
        </w:rPr>
        <w:t xml:space="preserve"> provide proxy advisory services</w:t>
      </w:r>
      <w:r w:rsidR="000B4787">
        <w:rPr>
          <w:rFonts w:cs="Arial"/>
          <w:lang w:val="en-US"/>
        </w:rPr>
        <w:t>.</w:t>
      </w:r>
    </w:p>
    <w:p w:rsidR="006534D0" w:rsidRPr="00AC2FAD" w:rsidRDefault="006534D0" w:rsidP="00815577">
      <w:pPr>
        <w:jc w:val="both"/>
        <w:rPr>
          <w:rFonts w:cs="Arial"/>
          <w:lang w:val="en-US"/>
        </w:rPr>
      </w:pPr>
      <w:r w:rsidRPr="00AC2FAD">
        <w:rPr>
          <w:rFonts w:cs="Arial"/>
          <w:lang w:val="en-US"/>
        </w:rPr>
        <w:t>Beyond the proxy advisory services (Proxy reports and monitoring of client specific voting guidelines)</w:t>
      </w:r>
      <w:proofErr w:type="gramStart"/>
      <w:r w:rsidRPr="00AC2FAD">
        <w:rPr>
          <w:rFonts w:cs="Arial"/>
          <w:lang w:val="en-US"/>
        </w:rPr>
        <w:t>,</w:t>
      </w:r>
      <w:proofErr w:type="gramEnd"/>
      <w:r w:rsidRPr="00AC2FAD">
        <w:rPr>
          <w:rFonts w:cs="Arial"/>
          <w:lang w:val="en-US"/>
        </w:rPr>
        <w:t xml:space="preserve"> Proxinvest also provides other services to investors:</w:t>
      </w:r>
    </w:p>
    <w:p w:rsidR="006534D0" w:rsidRPr="00AC2FAD" w:rsidRDefault="006534D0" w:rsidP="006534D0">
      <w:pPr>
        <w:pStyle w:val="Paragraphedeliste"/>
        <w:numPr>
          <w:ilvl w:val="0"/>
          <w:numId w:val="18"/>
        </w:numPr>
        <w:jc w:val="both"/>
        <w:rPr>
          <w:rFonts w:cs="Arial"/>
          <w:lang w:val="en-US"/>
        </w:rPr>
      </w:pPr>
      <w:r w:rsidRPr="00AC2FAD">
        <w:rPr>
          <w:rFonts w:cs="Arial"/>
          <w:lang w:val="en-US"/>
        </w:rPr>
        <w:t>Support for voting execution and statistics (voting platform)</w:t>
      </w:r>
    </w:p>
    <w:p w:rsidR="006534D0" w:rsidRPr="00AC2FAD" w:rsidRDefault="006534D0" w:rsidP="006534D0">
      <w:pPr>
        <w:pStyle w:val="Paragraphedeliste"/>
        <w:numPr>
          <w:ilvl w:val="0"/>
          <w:numId w:val="18"/>
        </w:numPr>
        <w:jc w:val="both"/>
        <w:rPr>
          <w:rFonts w:cs="Arial"/>
          <w:lang w:val="en-US"/>
        </w:rPr>
      </w:pPr>
      <w:r w:rsidRPr="00AC2FAD">
        <w:rPr>
          <w:rFonts w:cs="Arial"/>
          <w:lang w:val="en-US"/>
        </w:rPr>
        <w:lastRenderedPageBreak/>
        <w:t>Corporate Governance Data and Rating</w:t>
      </w:r>
    </w:p>
    <w:p w:rsidR="006534D0" w:rsidRPr="00AC2FAD" w:rsidRDefault="006534D0" w:rsidP="006534D0">
      <w:pPr>
        <w:pStyle w:val="Paragraphedeliste"/>
        <w:numPr>
          <w:ilvl w:val="0"/>
          <w:numId w:val="18"/>
        </w:numPr>
        <w:jc w:val="both"/>
        <w:rPr>
          <w:rFonts w:cs="Arial"/>
          <w:lang w:val="en-US"/>
        </w:rPr>
      </w:pPr>
      <w:r w:rsidRPr="00AC2FAD">
        <w:rPr>
          <w:rFonts w:cs="Arial"/>
          <w:lang w:val="en-US"/>
        </w:rPr>
        <w:t>Engagement services</w:t>
      </w:r>
    </w:p>
    <w:p w:rsidR="006534D0" w:rsidRPr="00AC2FAD" w:rsidRDefault="006534D0" w:rsidP="006534D0">
      <w:pPr>
        <w:pStyle w:val="Paragraphedeliste"/>
        <w:numPr>
          <w:ilvl w:val="0"/>
          <w:numId w:val="18"/>
        </w:numPr>
        <w:jc w:val="both"/>
        <w:rPr>
          <w:rFonts w:cs="Arial"/>
          <w:lang w:val="en-US"/>
        </w:rPr>
      </w:pPr>
      <w:r w:rsidRPr="00AC2FAD">
        <w:rPr>
          <w:rFonts w:cs="Arial"/>
          <w:lang w:val="en-US"/>
        </w:rPr>
        <w:t>Support to monitor shareholding notification requirements</w:t>
      </w:r>
    </w:p>
    <w:p w:rsidR="006534D0" w:rsidRPr="00AC2FAD" w:rsidRDefault="006534D0" w:rsidP="006534D0">
      <w:pPr>
        <w:pStyle w:val="Paragraphedeliste"/>
        <w:numPr>
          <w:ilvl w:val="0"/>
          <w:numId w:val="18"/>
        </w:numPr>
        <w:jc w:val="both"/>
        <w:rPr>
          <w:rFonts w:cs="Arial"/>
          <w:lang w:val="en-US"/>
        </w:rPr>
      </w:pPr>
      <w:r w:rsidRPr="00AC2FAD">
        <w:rPr>
          <w:rFonts w:cs="Arial"/>
          <w:lang w:val="en-US"/>
        </w:rPr>
        <w:t>Surveys analyzing trends in voting results and executive remuneration</w:t>
      </w:r>
    </w:p>
    <w:p w:rsidR="006534D0" w:rsidRPr="00AC2FAD" w:rsidRDefault="006534D0" w:rsidP="006534D0">
      <w:pPr>
        <w:pStyle w:val="Paragraphedeliste"/>
        <w:numPr>
          <w:ilvl w:val="0"/>
          <w:numId w:val="18"/>
        </w:numPr>
        <w:jc w:val="both"/>
        <w:rPr>
          <w:rFonts w:cs="Arial"/>
          <w:lang w:val="en-US"/>
        </w:rPr>
      </w:pPr>
      <w:r w:rsidRPr="00AC2FAD">
        <w:rPr>
          <w:rFonts w:cs="Arial"/>
          <w:lang w:val="en-US"/>
        </w:rPr>
        <w:t>Support in public policy.</w:t>
      </w:r>
    </w:p>
    <w:p w:rsidR="00815577" w:rsidRPr="00AC2FAD" w:rsidRDefault="00815577" w:rsidP="00815577">
      <w:pPr>
        <w:jc w:val="both"/>
        <w:rPr>
          <w:rFonts w:cs="Arial"/>
          <w:b/>
          <w:lang w:val="en-US"/>
        </w:rPr>
      </w:pPr>
      <w:r w:rsidRPr="00AC2FAD">
        <w:rPr>
          <w:rFonts w:cs="Arial"/>
          <w:b/>
          <w:lang w:val="en-US"/>
        </w:rPr>
        <w:t>Q18: For each European country in which you conduct business, what was your turnover in 2014? Please fill in the table below.</w:t>
      </w:r>
    </w:p>
    <w:p w:rsidR="00BA6DCA" w:rsidRPr="00AC2FAD" w:rsidRDefault="00BA6DCA" w:rsidP="00815577">
      <w:pPr>
        <w:jc w:val="both"/>
        <w:rPr>
          <w:rFonts w:cs="Arial"/>
          <w:lang w:val="en-US"/>
        </w:rPr>
      </w:pPr>
      <w:r w:rsidRPr="00AC2FAD">
        <w:rPr>
          <w:rFonts w:cs="Arial"/>
          <w:lang w:val="en-US"/>
        </w:rPr>
        <w:t xml:space="preserve">Proxinvest does not provide consultancy services to issuers. </w:t>
      </w:r>
    </w:p>
    <w:p w:rsidR="00BA6DCA" w:rsidRPr="00AC2FAD" w:rsidRDefault="00BA6DCA" w:rsidP="00815577">
      <w:pPr>
        <w:jc w:val="both"/>
        <w:rPr>
          <w:rFonts w:cs="Arial"/>
          <w:lang w:val="en-US"/>
        </w:rPr>
      </w:pPr>
      <w:r w:rsidRPr="00AC2FAD">
        <w:rPr>
          <w:rFonts w:cs="Arial"/>
          <w:lang w:val="en-US"/>
        </w:rPr>
        <w:t>As Proxinvest is not a listed company, the requested details are disclosed to ESMA on a confidential basis.</w:t>
      </w:r>
    </w:p>
    <w:p w:rsidR="00815577" w:rsidRPr="00AC2FAD" w:rsidRDefault="00815577" w:rsidP="00815577">
      <w:pPr>
        <w:jc w:val="both"/>
        <w:rPr>
          <w:rFonts w:cs="Arial"/>
          <w:lang w:val="en-US"/>
        </w:rPr>
      </w:pPr>
    </w:p>
    <w:p w:rsidR="00815577" w:rsidRPr="00AC2FAD" w:rsidRDefault="00815577" w:rsidP="00815577">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Q19: What is your total number of clients investing in European listed companies and their approximate total assets invested in such companies? </w:t>
      </w:r>
    </w:p>
    <w:p w:rsidR="007F41E1" w:rsidRPr="00AC2FAD" w:rsidRDefault="007F41E1" w:rsidP="00815577">
      <w:pPr>
        <w:pStyle w:val="Default"/>
        <w:jc w:val="both"/>
        <w:rPr>
          <w:rFonts w:asciiTheme="minorHAnsi" w:hAnsiTheme="minorHAnsi"/>
          <w:sz w:val="22"/>
          <w:szCs w:val="22"/>
          <w:lang w:val="en-US"/>
        </w:rPr>
      </w:pPr>
    </w:p>
    <w:p w:rsidR="007F41E1" w:rsidRPr="00AC2FAD" w:rsidRDefault="007F41E1"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are not </w:t>
      </w:r>
      <w:r w:rsidR="000738A7" w:rsidRPr="00AC2FAD">
        <w:rPr>
          <w:rFonts w:asciiTheme="minorHAnsi" w:hAnsiTheme="minorHAnsi"/>
          <w:sz w:val="22"/>
          <w:szCs w:val="22"/>
          <w:lang w:val="en-US"/>
        </w:rPr>
        <w:t xml:space="preserve">generally </w:t>
      </w:r>
      <w:r w:rsidRPr="00AC2FAD">
        <w:rPr>
          <w:rFonts w:asciiTheme="minorHAnsi" w:hAnsiTheme="minorHAnsi"/>
          <w:sz w:val="22"/>
          <w:szCs w:val="22"/>
          <w:lang w:val="en-US"/>
        </w:rPr>
        <w:t>aware of our clients</w:t>
      </w:r>
      <w:r w:rsidR="00220892" w:rsidRPr="00AC2FAD">
        <w:rPr>
          <w:rFonts w:asciiTheme="minorHAnsi" w:hAnsiTheme="minorHAnsi"/>
          <w:sz w:val="22"/>
          <w:szCs w:val="22"/>
          <w:lang w:val="en-US"/>
        </w:rPr>
        <w:t>’</w:t>
      </w:r>
      <w:r w:rsidRPr="00AC2FAD">
        <w:rPr>
          <w:rFonts w:asciiTheme="minorHAnsi" w:hAnsiTheme="minorHAnsi"/>
          <w:sz w:val="22"/>
          <w:szCs w:val="22"/>
          <w:lang w:val="en-US"/>
        </w:rPr>
        <w:t xml:space="preserve"> portfolio and when we</w:t>
      </w:r>
      <w:r w:rsidR="000738A7" w:rsidRPr="00AC2FAD">
        <w:rPr>
          <w:rFonts w:asciiTheme="minorHAnsi" w:hAnsiTheme="minorHAnsi"/>
          <w:sz w:val="22"/>
          <w:szCs w:val="22"/>
          <w:lang w:val="en-US"/>
        </w:rPr>
        <w:t xml:space="preserve"> do</w:t>
      </w:r>
      <w:r w:rsidRPr="00AC2FAD">
        <w:rPr>
          <w:rFonts w:asciiTheme="minorHAnsi" w:hAnsiTheme="minorHAnsi"/>
          <w:sz w:val="22"/>
          <w:szCs w:val="22"/>
          <w:lang w:val="en-US"/>
        </w:rPr>
        <w:t xml:space="preserve"> have access to </w:t>
      </w:r>
      <w:r w:rsidR="00220892" w:rsidRPr="00AC2FAD">
        <w:rPr>
          <w:rFonts w:asciiTheme="minorHAnsi" w:hAnsiTheme="minorHAnsi"/>
          <w:sz w:val="22"/>
          <w:szCs w:val="22"/>
          <w:lang w:val="en-US"/>
        </w:rPr>
        <w:t>that</w:t>
      </w:r>
      <w:r w:rsidRPr="00AC2FAD">
        <w:rPr>
          <w:rFonts w:asciiTheme="minorHAnsi" w:hAnsiTheme="minorHAnsi"/>
          <w:sz w:val="22"/>
          <w:szCs w:val="22"/>
          <w:lang w:val="en-US"/>
        </w:rPr>
        <w:t xml:space="preserve"> information, we are generally not allowed to use it. As far as we know, almost all our clients invest in European</w:t>
      </w:r>
      <w:r w:rsidR="000738A7" w:rsidRPr="00AC2FAD">
        <w:rPr>
          <w:rFonts w:asciiTheme="minorHAnsi" w:hAnsiTheme="minorHAnsi"/>
          <w:sz w:val="22"/>
          <w:szCs w:val="22"/>
          <w:lang w:val="en-US"/>
        </w:rPr>
        <w:t>-</w:t>
      </w:r>
      <w:r w:rsidRPr="00AC2FAD">
        <w:rPr>
          <w:rFonts w:asciiTheme="minorHAnsi" w:hAnsiTheme="minorHAnsi"/>
          <w:sz w:val="22"/>
          <w:szCs w:val="22"/>
          <w:lang w:val="en-US"/>
        </w:rPr>
        <w:t>listed companies.</w:t>
      </w:r>
    </w:p>
    <w:p w:rsidR="00220892" w:rsidRPr="00AC2FAD" w:rsidRDefault="00220892" w:rsidP="00815577">
      <w:pPr>
        <w:pStyle w:val="Default"/>
        <w:jc w:val="both"/>
        <w:rPr>
          <w:rFonts w:asciiTheme="minorHAnsi" w:hAnsiTheme="minorHAnsi"/>
          <w:sz w:val="22"/>
          <w:szCs w:val="22"/>
          <w:lang w:val="en-US"/>
        </w:rPr>
      </w:pPr>
    </w:p>
    <w:p w:rsidR="00220892" w:rsidRPr="00AC2FAD" w:rsidRDefault="00220892" w:rsidP="00815577">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estimate the global assets under management or ownership of our clients at </w:t>
      </w:r>
      <w:r w:rsidR="000738A7" w:rsidRPr="00AC2FAD">
        <w:rPr>
          <w:rFonts w:asciiTheme="minorHAnsi" w:hAnsiTheme="minorHAnsi"/>
          <w:sz w:val="22"/>
          <w:szCs w:val="22"/>
          <w:lang w:val="en-US"/>
        </w:rPr>
        <w:t>€</w:t>
      </w:r>
      <w:r w:rsidRPr="00AC2FAD">
        <w:rPr>
          <w:rFonts w:asciiTheme="minorHAnsi" w:hAnsiTheme="minorHAnsi"/>
          <w:sz w:val="22"/>
          <w:szCs w:val="22"/>
          <w:lang w:val="en-US"/>
        </w:rPr>
        <w:t>2-3 trillion</w:t>
      </w:r>
      <w:r w:rsidR="00A75956"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Their investment into European Equity (listed companies) is likely to between </w:t>
      </w:r>
      <w:r w:rsidR="000738A7" w:rsidRPr="00AC2FAD">
        <w:rPr>
          <w:rFonts w:asciiTheme="minorHAnsi" w:hAnsiTheme="minorHAnsi"/>
          <w:sz w:val="22"/>
          <w:szCs w:val="22"/>
          <w:lang w:val="en-US"/>
        </w:rPr>
        <w:t>€</w:t>
      </w:r>
      <w:r w:rsidRPr="00AC2FAD">
        <w:rPr>
          <w:rFonts w:asciiTheme="minorHAnsi" w:hAnsiTheme="minorHAnsi"/>
          <w:sz w:val="22"/>
          <w:szCs w:val="22"/>
          <w:lang w:val="en-US"/>
        </w:rPr>
        <w:t>200-500 billions.</w:t>
      </w:r>
    </w:p>
    <w:p w:rsidR="00815577" w:rsidRPr="00AC2FAD" w:rsidRDefault="00815577" w:rsidP="00815577">
      <w:pPr>
        <w:pStyle w:val="Default"/>
        <w:jc w:val="both"/>
        <w:rPr>
          <w:rFonts w:asciiTheme="minorHAnsi" w:hAnsiTheme="minorHAnsi"/>
          <w:sz w:val="22"/>
          <w:szCs w:val="22"/>
          <w:lang w:val="en-US"/>
        </w:rPr>
      </w:pPr>
    </w:p>
    <w:p w:rsidR="00815577" w:rsidRPr="00AC2FAD" w:rsidRDefault="00815577" w:rsidP="00815577">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Q20: Please estimate the percentage of clients using your proxy advisory services which request a custom policy. Have you noticed any trend in the services requested in recent years? Please differentiate across classes of investors (e.g. investment funds, pension funds, insurance companies etc.). </w:t>
      </w:r>
    </w:p>
    <w:p w:rsidR="00220892" w:rsidRPr="00AC2FAD" w:rsidRDefault="00220892" w:rsidP="00815577">
      <w:pPr>
        <w:pStyle w:val="Default"/>
        <w:jc w:val="both"/>
        <w:rPr>
          <w:rFonts w:asciiTheme="minorHAnsi" w:hAnsiTheme="minorHAnsi"/>
          <w:b/>
          <w:i/>
          <w:sz w:val="22"/>
          <w:szCs w:val="22"/>
          <w:lang w:val="en-US"/>
        </w:rPr>
      </w:pPr>
    </w:p>
    <w:p w:rsidR="00220892" w:rsidRPr="00AC2FAD" w:rsidRDefault="000738A7" w:rsidP="00220892">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The </w:t>
      </w:r>
      <w:proofErr w:type="gramStart"/>
      <w:r w:rsidR="00220892" w:rsidRPr="00AC2FAD">
        <w:rPr>
          <w:rFonts w:asciiTheme="minorHAnsi" w:hAnsiTheme="minorHAnsi"/>
          <w:sz w:val="22"/>
          <w:szCs w:val="22"/>
          <w:lang w:val="en-US"/>
        </w:rPr>
        <w:t>majority of Proxinvest clients are</w:t>
      </w:r>
      <w:proofErr w:type="gramEnd"/>
      <w:r w:rsidR="00220892" w:rsidRPr="00AC2FAD">
        <w:rPr>
          <w:rFonts w:asciiTheme="minorHAnsi" w:hAnsiTheme="minorHAnsi"/>
          <w:sz w:val="22"/>
          <w:szCs w:val="22"/>
          <w:lang w:val="en-US"/>
        </w:rPr>
        <w:t xml:space="preserve"> French asset managers and are therefore obliged to define their own voting policy. Every client has an access to Proxinvest proxy reports (“Lettre Conseil”). Beyond </w:t>
      </w:r>
      <w:r w:rsidRPr="00AC2FAD">
        <w:rPr>
          <w:rFonts w:asciiTheme="minorHAnsi" w:hAnsiTheme="minorHAnsi"/>
          <w:sz w:val="22"/>
          <w:szCs w:val="22"/>
          <w:lang w:val="en-US"/>
        </w:rPr>
        <w:t xml:space="preserve">our research offering </w:t>
      </w:r>
      <w:r w:rsidR="00220892" w:rsidRPr="00AC2FAD">
        <w:rPr>
          <w:rFonts w:asciiTheme="minorHAnsi" w:hAnsiTheme="minorHAnsi"/>
          <w:sz w:val="22"/>
          <w:szCs w:val="22"/>
          <w:lang w:val="en-US"/>
        </w:rPr>
        <w:t xml:space="preserve">our main activity is to provide investors with support to define and update their own </w:t>
      </w:r>
      <w:r w:rsidRPr="00AC2FAD">
        <w:rPr>
          <w:rFonts w:asciiTheme="minorHAnsi" w:hAnsiTheme="minorHAnsi"/>
          <w:sz w:val="22"/>
          <w:szCs w:val="22"/>
          <w:lang w:val="en-US"/>
        </w:rPr>
        <w:t xml:space="preserve">custom </w:t>
      </w:r>
      <w:r w:rsidR="00220892" w:rsidRPr="00AC2FAD">
        <w:rPr>
          <w:rFonts w:asciiTheme="minorHAnsi" w:hAnsiTheme="minorHAnsi"/>
          <w:sz w:val="22"/>
          <w:szCs w:val="22"/>
          <w:lang w:val="en-US"/>
        </w:rPr>
        <w:t>voting policy</w:t>
      </w:r>
      <w:r w:rsidRPr="00AC2FAD">
        <w:rPr>
          <w:rFonts w:asciiTheme="minorHAnsi" w:hAnsiTheme="minorHAnsi"/>
          <w:sz w:val="22"/>
          <w:szCs w:val="22"/>
          <w:lang w:val="en-US"/>
        </w:rPr>
        <w:t xml:space="preserve">. These custom policies can vary significantly from </w:t>
      </w:r>
      <w:proofErr w:type="gramStart"/>
      <w:r w:rsidRPr="00AC2FAD">
        <w:rPr>
          <w:rFonts w:asciiTheme="minorHAnsi" w:hAnsiTheme="minorHAnsi"/>
          <w:sz w:val="22"/>
          <w:szCs w:val="22"/>
          <w:lang w:val="en-US"/>
        </w:rPr>
        <w:t xml:space="preserve">the </w:t>
      </w:r>
      <w:r w:rsidR="00220892" w:rsidRPr="00AC2FAD">
        <w:rPr>
          <w:rFonts w:asciiTheme="minorHAnsi" w:hAnsiTheme="minorHAnsi"/>
          <w:sz w:val="22"/>
          <w:szCs w:val="22"/>
          <w:lang w:val="en-US"/>
        </w:rPr>
        <w:t xml:space="preserve"> Proxinvest</w:t>
      </w:r>
      <w:proofErr w:type="gramEnd"/>
      <w:r w:rsidR="00220892" w:rsidRPr="00AC2FAD">
        <w:rPr>
          <w:rFonts w:asciiTheme="minorHAnsi" w:hAnsiTheme="minorHAnsi"/>
          <w:sz w:val="22"/>
          <w:szCs w:val="22"/>
          <w:lang w:val="en-US"/>
        </w:rPr>
        <w:t xml:space="preserve"> view on each type of voting items. </w:t>
      </w:r>
      <w:r w:rsidRPr="00AC2FAD">
        <w:rPr>
          <w:rFonts w:asciiTheme="minorHAnsi" w:hAnsiTheme="minorHAnsi"/>
          <w:sz w:val="22"/>
          <w:szCs w:val="22"/>
          <w:lang w:val="en-US"/>
        </w:rPr>
        <w:t xml:space="preserve">Approximately half of our clients </w:t>
      </w:r>
      <w:r w:rsidR="00220892" w:rsidRPr="00AC2FAD">
        <w:rPr>
          <w:rFonts w:asciiTheme="minorHAnsi" w:hAnsiTheme="minorHAnsi"/>
          <w:sz w:val="22"/>
          <w:szCs w:val="22"/>
          <w:lang w:val="en-US"/>
        </w:rPr>
        <w:t xml:space="preserve">subscribe to </w:t>
      </w:r>
      <w:r w:rsidRPr="00AC2FAD">
        <w:rPr>
          <w:rFonts w:asciiTheme="minorHAnsi" w:hAnsiTheme="minorHAnsi"/>
          <w:sz w:val="22"/>
          <w:szCs w:val="22"/>
          <w:lang w:val="en-US"/>
        </w:rPr>
        <w:t xml:space="preserve">the custom guidelines service. The remaining half may subscribe the </w:t>
      </w:r>
      <w:proofErr w:type="gramStart"/>
      <w:r w:rsidRPr="00AC2FAD">
        <w:rPr>
          <w:rFonts w:asciiTheme="minorHAnsi" w:hAnsiTheme="minorHAnsi"/>
          <w:sz w:val="22"/>
          <w:szCs w:val="22"/>
          <w:lang w:val="en-US"/>
        </w:rPr>
        <w:t xml:space="preserve">Proxinvest  </w:t>
      </w:r>
      <w:r w:rsidR="00220892" w:rsidRPr="00AC2FAD">
        <w:rPr>
          <w:rFonts w:asciiTheme="minorHAnsi" w:hAnsiTheme="minorHAnsi"/>
          <w:sz w:val="22"/>
          <w:szCs w:val="22"/>
          <w:lang w:val="en-US"/>
        </w:rPr>
        <w:t>additional</w:t>
      </w:r>
      <w:proofErr w:type="gramEnd"/>
      <w:r w:rsidR="00220892" w:rsidRPr="00AC2FAD">
        <w:rPr>
          <w:rFonts w:asciiTheme="minorHAnsi" w:hAnsiTheme="minorHAnsi"/>
          <w:sz w:val="22"/>
          <w:szCs w:val="22"/>
          <w:lang w:val="en-US"/>
        </w:rPr>
        <w:t xml:space="preserve"> service</w:t>
      </w:r>
      <w:r w:rsidR="00216915" w:rsidRPr="00AC2FAD">
        <w:rPr>
          <w:rFonts w:asciiTheme="minorHAnsi" w:hAnsiTheme="minorHAnsi"/>
          <w:sz w:val="22"/>
          <w:szCs w:val="22"/>
          <w:lang w:val="en-US"/>
        </w:rPr>
        <w:t xml:space="preserve"> </w:t>
      </w:r>
      <w:r w:rsidR="00220892" w:rsidRPr="00AC2FAD">
        <w:rPr>
          <w:rFonts w:asciiTheme="minorHAnsi" w:hAnsiTheme="minorHAnsi"/>
          <w:sz w:val="22"/>
          <w:szCs w:val="22"/>
          <w:lang w:val="en-US"/>
        </w:rPr>
        <w:t>while othe</w:t>
      </w:r>
      <w:r w:rsidR="00216915" w:rsidRPr="00AC2FAD">
        <w:rPr>
          <w:rFonts w:asciiTheme="minorHAnsi" w:hAnsiTheme="minorHAnsi"/>
          <w:sz w:val="22"/>
          <w:szCs w:val="22"/>
          <w:lang w:val="en-US"/>
        </w:rPr>
        <w:t xml:space="preserve">r clients prefer to follow their voting policy without any external support (around half of the clients). </w:t>
      </w:r>
    </w:p>
    <w:p w:rsidR="00216915" w:rsidRPr="00AC2FAD" w:rsidRDefault="00216915" w:rsidP="00220892">
      <w:pPr>
        <w:pStyle w:val="Default"/>
        <w:jc w:val="both"/>
        <w:rPr>
          <w:rFonts w:asciiTheme="minorHAnsi" w:hAnsiTheme="minorHAnsi"/>
          <w:sz w:val="22"/>
          <w:szCs w:val="22"/>
          <w:lang w:val="en-US"/>
        </w:rPr>
      </w:pPr>
    </w:p>
    <w:p w:rsidR="00485865" w:rsidRPr="00AC2FAD" w:rsidRDefault="00485865" w:rsidP="00220892">
      <w:pPr>
        <w:pStyle w:val="Default"/>
        <w:jc w:val="both"/>
        <w:rPr>
          <w:rFonts w:asciiTheme="minorHAnsi" w:hAnsiTheme="minorHAnsi"/>
          <w:sz w:val="22"/>
          <w:szCs w:val="22"/>
          <w:lang w:val="en-US"/>
        </w:rPr>
      </w:pPr>
    </w:p>
    <w:p w:rsidR="00485865" w:rsidRDefault="00485865" w:rsidP="00220892">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What we are not able to determine is how our research is used by our clients once it is published. Contrary to some suggestions, we are not able to police our clients and </w:t>
      </w:r>
      <w:r w:rsidR="00CE505D">
        <w:rPr>
          <w:rFonts w:asciiTheme="minorHAnsi" w:hAnsiTheme="minorHAnsi"/>
          <w:sz w:val="22"/>
          <w:szCs w:val="22"/>
          <w:lang w:val="en-US"/>
        </w:rPr>
        <w:t xml:space="preserve">never attempts to </w:t>
      </w:r>
      <w:r w:rsidRPr="00AC2FAD">
        <w:rPr>
          <w:rFonts w:asciiTheme="minorHAnsi" w:hAnsiTheme="minorHAnsi"/>
          <w:sz w:val="22"/>
          <w:szCs w:val="22"/>
          <w:lang w:val="en-US"/>
        </w:rPr>
        <w:t xml:space="preserve">force them to make decisions. </w:t>
      </w:r>
    </w:p>
    <w:p w:rsidR="00CE505D" w:rsidRPr="00AC2FAD" w:rsidRDefault="00CE505D" w:rsidP="00220892">
      <w:pPr>
        <w:pStyle w:val="Default"/>
        <w:jc w:val="both"/>
        <w:rPr>
          <w:rFonts w:asciiTheme="minorHAnsi" w:hAnsiTheme="minorHAnsi"/>
          <w:sz w:val="22"/>
          <w:szCs w:val="22"/>
          <w:lang w:val="en-US"/>
        </w:rPr>
      </w:pPr>
    </w:p>
    <w:p w:rsidR="00485865" w:rsidRPr="00AC2FAD" w:rsidRDefault="00485865" w:rsidP="00220892">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 Over the last years, we observed higher interest from pension funds for becoming more active and for defining their own voting guidelines which may suggest a level of dissatisfaction with the approach taken by </w:t>
      </w:r>
      <w:r w:rsidR="00CE505D">
        <w:rPr>
          <w:rFonts w:asciiTheme="minorHAnsi" w:hAnsiTheme="minorHAnsi"/>
          <w:sz w:val="22"/>
          <w:szCs w:val="22"/>
          <w:lang w:val="en-US"/>
        </w:rPr>
        <w:t xml:space="preserve">some of </w:t>
      </w:r>
      <w:r w:rsidRPr="00AC2FAD">
        <w:rPr>
          <w:rFonts w:asciiTheme="minorHAnsi" w:hAnsiTheme="minorHAnsi"/>
          <w:sz w:val="22"/>
          <w:szCs w:val="22"/>
          <w:lang w:val="en-US"/>
        </w:rPr>
        <w:t>their fund managers</w:t>
      </w:r>
      <w:r w:rsidR="000D2C71">
        <w:rPr>
          <w:rFonts w:asciiTheme="minorHAnsi" w:hAnsiTheme="minorHAnsi"/>
          <w:sz w:val="22"/>
          <w:szCs w:val="22"/>
          <w:lang w:val="en-US"/>
        </w:rPr>
        <w:t xml:space="preserve">. </w:t>
      </w:r>
      <w:r w:rsidRPr="00AC2FAD">
        <w:rPr>
          <w:rFonts w:asciiTheme="minorHAnsi" w:hAnsiTheme="minorHAnsi"/>
          <w:sz w:val="22"/>
          <w:szCs w:val="22"/>
          <w:lang w:val="en-US"/>
        </w:rPr>
        <w:t xml:space="preserve"> </w:t>
      </w:r>
      <w:r w:rsidR="000D2C71">
        <w:rPr>
          <w:rFonts w:asciiTheme="minorHAnsi" w:hAnsiTheme="minorHAnsi"/>
          <w:sz w:val="22"/>
          <w:szCs w:val="22"/>
          <w:lang w:val="en-US"/>
        </w:rPr>
        <w:t xml:space="preserve"> </w:t>
      </w:r>
    </w:p>
    <w:p w:rsidR="00216915" w:rsidRPr="00AC2FAD" w:rsidRDefault="00216915" w:rsidP="00220892">
      <w:pPr>
        <w:pStyle w:val="Default"/>
        <w:jc w:val="both"/>
        <w:rPr>
          <w:rFonts w:asciiTheme="minorHAnsi" w:hAnsiTheme="minorHAnsi"/>
          <w:b/>
          <w:i/>
          <w:sz w:val="22"/>
          <w:szCs w:val="22"/>
          <w:lang w:val="en-US"/>
        </w:rPr>
      </w:pPr>
    </w:p>
    <w:p w:rsidR="000D2C71" w:rsidRPr="00AC2FAD" w:rsidRDefault="000D2C71" w:rsidP="00105B11">
      <w:pPr>
        <w:pStyle w:val="Default"/>
        <w:jc w:val="both"/>
        <w:rPr>
          <w:rFonts w:asciiTheme="minorHAnsi" w:hAnsiTheme="minorHAnsi"/>
          <w:sz w:val="22"/>
          <w:szCs w:val="22"/>
          <w:lang w:val="en-US"/>
        </w:rPr>
      </w:pPr>
      <w:bookmarkStart w:id="0" w:name="_GoBack"/>
      <w:bookmarkEnd w:id="0"/>
    </w:p>
    <w:p w:rsidR="00815577" w:rsidRPr="00AC2FAD" w:rsidRDefault="00815577" w:rsidP="00530F1B">
      <w:pPr>
        <w:keepNext/>
        <w:jc w:val="both"/>
        <w:rPr>
          <w:rFonts w:eastAsia="Calibri" w:cs="Arial"/>
          <w:b/>
          <w:i/>
          <w:color w:val="000000"/>
          <w:lang w:val="en-US" w:eastAsia="fr-FR"/>
        </w:rPr>
      </w:pPr>
      <w:r w:rsidRPr="00AC2FAD">
        <w:rPr>
          <w:rFonts w:eastAsia="Calibri" w:cs="Arial"/>
          <w:b/>
          <w:i/>
          <w:color w:val="000000"/>
          <w:lang w:val="en-US" w:eastAsia="fr-FR"/>
        </w:rPr>
        <w:t>Q21: Please indicate your number of employees during the 2015 proxy season and the percentage of seasonal employees.</w:t>
      </w:r>
    </w:p>
    <w:p w:rsidR="00485865" w:rsidRPr="00AC2FAD" w:rsidRDefault="00485865" w:rsidP="00530F1B">
      <w:pPr>
        <w:keepNext/>
        <w:jc w:val="both"/>
        <w:rPr>
          <w:rFonts w:cs="Arial"/>
          <w:lang w:val="en-US"/>
        </w:rPr>
      </w:pPr>
      <w:r w:rsidRPr="00AC2FAD">
        <w:rPr>
          <w:rFonts w:cs="Arial"/>
          <w:lang w:val="en-US"/>
        </w:rPr>
        <w:t xml:space="preserve">Proxinvest employed a total of </w:t>
      </w:r>
      <w:r w:rsidR="00497873" w:rsidRPr="00AC2FAD">
        <w:rPr>
          <w:rFonts w:cs="Arial"/>
          <w:lang w:val="en-US"/>
        </w:rPr>
        <w:t>14 employees during the 2015 proxy season</w:t>
      </w:r>
      <w:r w:rsidRPr="00AC2FAD">
        <w:rPr>
          <w:rFonts w:cs="Arial"/>
          <w:lang w:val="en-US"/>
        </w:rPr>
        <w:t>, of which six were seasonal staff who each received three months training prior to the commencement of the season.</w:t>
      </w:r>
    </w:p>
    <w:p w:rsidR="000D2C71" w:rsidRDefault="00485865" w:rsidP="00497873">
      <w:pPr>
        <w:pStyle w:val="Default"/>
        <w:jc w:val="both"/>
        <w:rPr>
          <w:rFonts w:asciiTheme="minorHAnsi" w:hAnsiTheme="minorHAnsi"/>
          <w:lang w:val="en-US"/>
        </w:rPr>
      </w:pPr>
      <w:r w:rsidRPr="00AC2FAD">
        <w:rPr>
          <w:rFonts w:asciiTheme="minorHAnsi" w:hAnsiTheme="minorHAnsi"/>
          <w:lang w:val="en-US"/>
        </w:rPr>
        <w:t xml:space="preserve">We </w:t>
      </w:r>
      <w:r w:rsidR="00633010" w:rsidRPr="00AC2FAD">
        <w:rPr>
          <w:rFonts w:asciiTheme="minorHAnsi" w:hAnsiTheme="minorHAnsi"/>
          <w:lang w:val="en-US"/>
        </w:rPr>
        <w:t>would</w:t>
      </w:r>
      <w:r w:rsidRPr="00AC2FAD">
        <w:rPr>
          <w:rFonts w:asciiTheme="minorHAnsi" w:hAnsiTheme="minorHAnsi"/>
          <w:lang w:val="en-US"/>
        </w:rPr>
        <w:t xml:space="preserve"> like to say here that focusing on headcount does not really inform ESMA particularly well as not all proxy services uses the same methodologies for managing workflows. Some may employ a great number of staff in offshore locations, some may not be </w:t>
      </w:r>
      <w:proofErr w:type="gramStart"/>
      <w:r w:rsidRPr="00AC2FAD">
        <w:rPr>
          <w:rFonts w:asciiTheme="minorHAnsi" w:hAnsiTheme="minorHAnsi"/>
          <w:lang w:val="en-US"/>
        </w:rPr>
        <w:t>very</w:t>
      </w:r>
      <w:proofErr w:type="gramEnd"/>
      <w:r w:rsidRPr="00AC2FAD">
        <w:rPr>
          <w:rFonts w:asciiTheme="minorHAnsi" w:hAnsiTheme="minorHAnsi"/>
          <w:lang w:val="en-US"/>
        </w:rPr>
        <w:t xml:space="preserve"> automated and so staff are repeating tasks unnecessarily. </w:t>
      </w:r>
      <w:r w:rsidR="00633010" w:rsidRPr="00AC2FAD">
        <w:rPr>
          <w:rFonts w:asciiTheme="minorHAnsi" w:hAnsiTheme="minorHAnsi"/>
          <w:lang w:val="en-US"/>
        </w:rPr>
        <w:t>It is for this reason we are also not happy with SRD proposals surrounding disclosures which are likely to be misunderstood. The total number of employees says nothing about which ones are involved in sales and finance or those which may be devoted to activities involved in services for companies.</w:t>
      </w:r>
    </w:p>
    <w:p w:rsidR="000D2C71" w:rsidRDefault="000D2C71" w:rsidP="00497873">
      <w:pPr>
        <w:pStyle w:val="Default"/>
        <w:jc w:val="both"/>
        <w:rPr>
          <w:rFonts w:asciiTheme="minorHAnsi" w:hAnsiTheme="minorHAnsi"/>
          <w:lang w:val="en-US"/>
        </w:rPr>
      </w:pPr>
    </w:p>
    <w:p w:rsidR="00497873" w:rsidRPr="00AC2FAD" w:rsidRDefault="00497873" w:rsidP="00497873">
      <w:pPr>
        <w:pStyle w:val="Default"/>
        <w:jc w:val="both"/>
        <w:rPr>
          <w:rFonts w:asciiTheme="minorHAnsi" w:hAnsiTheme="minorHAnsi"/>
          <w:b/>
          <w:sz w:val="22"/>
          <w:szCs w:val="22"/>
          <w:lang w:val="en-US"/>
        </w:rPr>
      </w:pPr>
      <w:r w:rsidRPr="00AC2FAD">
        <w:rPr>
          <w:rFonts w:asciiTheme="minorHAnsi" w:hAnsiTheme="minorHAnsi"/>
          <w:b/>
          <w:sz w:val="22"/>
          <w:szCs w:val="22"/>
          <w:lang w:val="en-US"/>
        </w:rPr>
        <w:t xml:space="preserve">4.2.3 Questions for signatories to the BPP </w:t>
      </w:r>
    </w:p>
    <w:p w:rsidR="00497873" w:rsidRPr="00AC2FAD" w:rsidRDefault="00497873" w:rsidP="00497873">
      <w:pPr>
        <w:jc w:val="both"/>
        <w:rPr>
          <w:rFonts w:cs="Arial"/>
          <w:lang w:val="en-US"/>
        </w:rPr>
      </w:pPr>
    </w:p>
    <w:p w:rsidR="00497873" w:rsidRPr="00AC2FAD" w:rsidRDefault="00497873" w:rsidP="00497873">
      <w:pPr>
        <w:jc w:val="both"/>
        <w:rPr>
          <w:rFonts w:eastAsia="Calibri" w:cs="Arial"/>
          <w:b/>
          <w:i/>
          <w:color w:val="000000"/>
          <w:lang w:val="en-US" w:eastAsia="fr-FR"/>
        </w:rPr>
      </w:pPr>
      <w:r w:rsidRPr="00AC2FAD">
        <w:rPr>
          <w:rFonts w:eastAsia="Calibri" w:cs="Arial"/>
          <w:b/>
          <w:i/>
          <w:color w:val="000000"/>
          <w:lang w:val="en-US" w:eastAsia="fr-FR"/>
        </w:rPr>
        <w:t>Q24: What made you decide to become a signatory to the BPP?</w:t>
      </w:r>
    </w:p>
    <w:p w:rsidR="00633010" w:rsidRPr="00AC2FAD" w:rsidRDefault="00497873" w:rsidP="00633010">
      <w:pPr>
        <w:jc w:val="both"/>
        <w:rPr>
          <w:rFonts w:cs="Arial"/>
          <w:lang w:val="en-US"/>
        </w:rPr>
      </w:pPr>
      <w:r w:rsidRPr="00AC2FAD">
        <w:rPr>
          <w:rFonts w:cs="Arial"/>
          <w:lang w:val="en-US"/>
        </w:rPr>
        <w:t>Proxinvest has always considered that</w:t>
      </w:r>
      <w:r w:rsidR="00633010" w:rsidRPr="00AC2FAD">
        <w:rPr>
          <w:rFonts w:cs="Arial"/>
          <w:lang w:val="en-US"/>
        </w:rPr>
        <w:t xml:space="preserve"> analysis of companies should respect local market conditions</w:t>
      </w:r>
      <w:r w:rsidR="000D2C71">
        <w:rPr>
          <w:rFonts w:cs="Arial"/>
          <w:lang w:val="en-US"/>
        </w:rPr>
        <w:t xml:space="preserve"> and regulators recommendations</w:t>
      </w:r>
      <w:r w:rsidR="00A75956" w:rsidRPr="00AC2FAD">
        <w:rPr>
          <w:rFonts w:cs="Arial"/>
          <w:lang w:val="en-US"/>
        </w:rPr>
        <w:t xml:space="preserve">. </w:t>
      </w:r>
      <w:r w:rsidR="00633010" w:rsidRPr="00AC2FAD">
        <w:rPr>
          <w:rFonts w:cs="Arial"/>
          <w:lang w:val="en-US"/>
        </w:rPr>
        <w:t xml:space="preserve">Therefore when ESMA suggested the creation of a group to write best practices for proxy advisory agencies, it was clear that Proxinvest as manager of the ECGS consortium had a contribution to make. The working group under the excellent leadership of Professor Zetsche offered rich opportunities for discussion of professional issues among members and certainly an opportunity to clarify for the general public our business activity. </w:t>
      </w:r>
    </w:p>
    <w:p w:rsidR="00497873" w:rsidRPr="00AC2FAD" w:rsidRDefault="00633010" w:rsidP="00497873">
      <w:pPr>
        <w:jc w:val="both"/>
        <w:rPr>
          <w:rFonts w:cs="Arial"/>
          <w:lang w:val="en-US"/>
        </w:rPr>
      </w:pPr>
      <w:r w:rsidRPr="00AC2FAD">
        <w:rPr>
          <w:rFonts w:cs="Arial"/>
          <w:lang w:val="en-US"/>
        </w:rPr>
        <w:t xml:space="preserve">Respecting local market views does not however guarantee that investors agree with local market conditions and may decide to vote against what they believe is bad practice, for example </w:t>
      </w:r>
      <w:proofErr w:type="spellStart"/>
      <w:r w:rsidRPr="00AC2FAD">
        <w:rPr>
          <w:rFonts w:cs="Arial"/>
          <w:lang w:val="en-US"/>
        </w:rPr>
        <w:t>Loi</w:t>
      </w:r>
      <w:proofErr w:type="spellEnd"/>
      <w:r w:rsidRPr="00AC2FAD">
        <w:rPr>
          <w:rFonts w:cs="Arial"/>
          <w:lang w:val="en-US"/>
        </w:rPr>
        <w:t xml:space="preserve"> </w:t>
      </w:r>
      <w:proofErr w:type="spellStart"/>
      <w:r w:rsidRPr="00AC2FAD">
        <w:rPr>
          <w:rFonts w:cs="Arial"/>
          <w:lang w:val="en-US"/>
        </w:rPr>
        <w:t>Florange</w:t>
      </w:r>
      <w:proofErr w:type="spellEnd"/>
      <w:r w:rsidRPr="00AC2FAD">
        <w:rPr>
          <w:rFonts w:cs="Arial"/>
          <w:lang w:val="en-US"/>
        </w:rPr>
        <w:t>. Raising the standards of governance left to companies alone would we believe take a very long time. It is unfortunate that some commentators believe that we are undertaking some kind of retaliation or vendetta against them, this is simply not true</w:t>
      </w:r>
    </w:p>
    <w:p w:rsidR="00497873" w:rsidRPr="00AC2FAD" w:rsidRDefault="00497873" w:rsidP="00497873">
      <w:pPr>
        <w:jc w:val="both"/>
        <w:rPr>
          <w:rFonts w:cs="Arial"/>
          <w:lang w:val="en-US"/>
        </w:rPr>
      </w:pPr>
    </w:p>
    <w:p w:rsidR="00497873" w:rsidRPr="00AC2FAD" w:rsidRDefault="00497873" w:rsidP="00497873">
      <w:pPr>
        <w:pStyle w:val="Default"/>
        <w:jc w:val="both"/>
        <w:rPr>
          <w:rFonts w:asciiTheme="minorHAnsi" w:hAnsiTheme="minorHAnsi"/>
          <w:b/>
          <w:i/>
          <w:sz w:val="22"/>
          <w:szCs w:val="22"/>
          <w:lang w:val="en-US"/>
        </w:rPr>
      </w:pPr>
      <w:r w:rsidRPr="00AC2FAD">
        <w:rPr>
          <w:rFonts w:asciiTheme="minorHAnsi" w:hAnsiTheme="minorHAnsi"/>
          <w:b/>
          <w:i/>
          <w:sz w:val="22"/>
          <w:szCs w:val="22"/>
          <w:lang w:val="en-US"/>
        </w:rPr>
        <w:t xml:space="preserve">Q25: Has your practice in the areas mentioned under Q23 changed since you signed the BPP? If yes, how did it change? Please provide examples, especially related to the 2015 proxy season, to support your response. </w:t>
      </w:r>
    </w:p>
    <w:p w:rsidR="00497873" w:rsidRPr="00AC2FAD" w:rsidRDefault="00497873" w:rsidP="00497873">
      <w:pPr>
        <w:pStyle w:val="Default"/>
        <w:jc w:val="both"/>
        <w:rPr>
          <w:rFonts w:asciiTheme="minorHAnsi" w:hAnsiTheme="minorHAnsi"/>
          <w:sz w:val="22"/>
          <w:szCs w:val="22"/>
          <w:lang w:val="en-US"/>
        </w:rPr>
      </w:pPr>
    </w:p>
    <w:p w:rsidR="00497873"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Yes, as stated at the ESMA open meeting on this call for Evidence, Proxinvest changed </w:t>
      </w:r>
      <w:r w:rsidR="00633010" w:rsidRPr="00AC2FAD">
        <w:rPr>
          <w:rFonts w:asciiTheme="minorHAnsi" w:hAnsiTheme="minorHAnsi"/>
          <w:sz w:val="22"/>
          <w:szCs w:val="22"/>
          <w:lang w:val="en-US"/>
        </w:rPr>
        <w:t>a number of its practices in the period</w:t>
      </w:r>
      <w:r w:rsidR="0053303D" w:rsidRPr="00AC2FAD">
        <w:rPr>
          <w:rFonts w:asciiTheme="minorHAnsi" w:hAnsiTheme="minorHAnsi"/>
          <w:sz w:val="22"/>
          <w:szCs w:val="22"/>
          <w:lang w:val="en-US"/>
        </w:rPr>
        <w:t xml:space="preserve"> 2013-2015</w:t>
      </w:r>
      <w:r w:rsidRPr="00AC2FAD">
        <w:rPr>
          <w:rFonts w:asciiTheme="minorHAnsi" w:hAnsiTheme="minorHAnsi"/>
          <w:sz w:val="22"/>
          <w:szCs w:val="22"/>
          <w:lang w:val="en-US"/>
        </w:rPr>
        <w:t xml:space="preserve"> following the starting discussions with other members of the BPP Group</w:t>
      </w:r>
      <w:r w:rsidR="0053303D" w:rsidRPr="00AC2FAD">
        <w:rPr>
          <w:rFonts w:asciiTheme="minorHAnsi" w:hAnsiTheme="minorHAnsi"/>
          <w:sz w:val="22"/>
          <w:szCs w:val="22"/>
          <w:lang w:val="en-US"/>
        </w:rPr>
        <w:t xml:space="preserve"> and following the adoption of the BPP</w:t>
      </w:r>
      <w:r w:rsidRPr="00AC2FAD">
        <w:rPr>
          <w:rFonts w:asciiTheme="minorHAnsi" w:hAnsiTheme="minorHAnsi"/>
          <w:sz w:val="22"/>
          <w:szCs w:val="22"/>
          <w:lang w:val="en-US"/>
        </w:rPr>
        <w:t>.</w:t>
      </w:r>
      <w:r w:rsidR="00633010" w:rsidRPr="00AC2FAD">
        <w:rPr>
          <w:rFonts w:asciiTheme="minorHAnsi" w:hAnsiTheme="minorHAnsi"/>
          <w:sz w:val="22"/>
          <w:szCs w:val="22"/>
          <w:lang w:val="en-US"/>
        </w:rPr>
        <w:t xml:space="preserve"> Some of them may not have been appreciated by the </w:t>
      </w:r>
      <w:proofErr w:type="gramStart"/>
      <w:r w:rsidR="00633010" w:rsidRPr="00AC2FAD">
        <w:rPr>
          <w:rFonts w:asciiTheme="minorHAnsi" w:hAnsiTheme="minorHAnsi"/>
          <w:sz w:val="22"/>
          <w:szCs w:val="22"/>
          <w:lang w:val="en-US"/>
        </w:rPr>
        <w:t>companies,</w:t>
      </w:r>
      <w:proofErr w:type="gramEnd"/>
      <w:r w:rsidR="00633010" w:rsidRPr="00AC2FAD">
        <w:rPr>
          <w:rFonts w:asciiTheme="minorHAnsi" w:hAnsiTheme="minorHAnsi"/>
          <w:sz w:val="22"/>
          <w:szCs w:val="22"/>
          <w:lang w:val="en-US"/>
        </w:rPr>
        <w:t xml:space="preserve"> however, it became clear to us that some of the activities being demanded by companies were compromising our independence, not improving it</w:t>
      </w:r>
    </w:p>
    <w:p w:rsidR="00497873" w:rsidRPr="00AC2FAD" w:rsidRDefault="00497873" w:rsidP="00497873">
      <w:pPr>
        <w:pStyle w:val="Default"/>
        <w:jc w:val="both"/>
        <w:rPr>
          <w:rFonts w:asciiTheme="minorHAnsi" w:hAnsiTheme="minorHAnsi"/>
          <w:sz w:val="22"/>
          <w:szCs w:val="22"/>
          <w:lang w:val="en-US"/>
        </w:rPr>
      </w:pPr>
    </w:p>
    <w:p w:rsidR="00497873"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Proxinvest always had a strict independence policy, not offering any consulting services to public corporations, nor advising them on their governance structures or conduct. Proxinvest </w:t>
      </w:r>
      <w:r w:rsidR="00633010" w:rsidRPr="00AC2FAD">
        <w:rPr>
          <w:rFonts w:asciiTheme="minorHAnsi" w:hAnsiTheme="minorHAnsi"/>
          <w:sz w:val="22"/>
          <w:szCs w:val="22"/>
          <w:lang w:val="en-US"/>
        </w:rPr>
        <w:t xml:space="preserve">has always </w:t>
      </w:r>
      <w:r w:rsidR="00633010" w:rsidRPr="00AC2FAD">
        <w:rPr>
          <w:rFonts w:asciiTheme="minorHAnsi" w:hAnsiTheme="minorHAnsi"/>
          <w:sz w:val="22"/>
          <w:szCs w:val="22"/>
          <w:lang w:val="en-US"/>
        </w:rPr>
        <w:lastRenderedPageBreak/>
        <w:t xml:space="preserve">declined to </w:t>
      </w:r>
      <w:r w:rsidRPr="00AC2FAD">
        <w:rPr>
          <w:rFonts w:asciiTheme="minorHAnsi" w:hAnsiTheme="minorHAnsi"/>
          <w:sz w:val="22"/>
          <w:szCs w:val="22"/>
          <w:lang w:val="en-US"/>
        </w:rPr>
        <w:t>use its position as a trusted advisor to institutional investors to win consulting mandates with issuers. Thanks to this</w:t>
      </w:r>
      <w:r w:rsidR="000D2C71">
        <w:rPr>
          <w:rFonts w:asciiTheme="minorHAnsi" w:hAnsiTheme="minorHAnsi"/>
          <w:sz w:val="22"/>
          <w:szCs w:val="22"/>
          <w:lang w:val="en-US"/>
        </w:rPr>
        <w:t xml:space="preserve"> costly policy</w:t>
      </w:r>
      <w:r w:rsidRPr="00AC2FAD">
        <w:rPr>
          <w:rFonts w:asciiTheme="minorHAnsi" w:hAnsiTheme="minorHAnsi"/>
          <w:sz w:val="22"/>
          <w:szCs w:val="22"/>
          <w:lang w:val="en-US"/>
        </w:rPr>
        <w:t xml:space="preserve"> Proxinvest has built a strong reputation as a reference on corporate governance and independent shareholder advisor. </w:t>
      </w:r>
    </w:p>
    <w:p w:rsidR="00497873" w:rsidRPr="00AC2FAD" w:rsidRDefault="00497873" w:rsidP="00497873">
      <w:pPr>
        <w:pStyle w:val="Default"/>
        <w:jc w:val="both"/>
        <w:rPr>
          <w:rFonts w:asciiTheme="minorHAnsi" w:hAnsiTheme="minorHAnsi"/>
          <w:sz w:val="22"/>
          <w:szCs w:val="22"/>
          <w:lang w:val="en-US"/>
        </w:rPr>
      </w:pPr>
    </w:p>
    <w:p w:rsidR="00530F1B" w:rsidRPr="00AC2FAD" w:rsidRDefault="00530F1B"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The three specific changes were:</w:t>
      </w:r>
    </w:p>
    <w:p w:rsidR="00530F1B" w:rsidRPr="00AC2FAD" w:rsidRDefault="00497873" w:rsidP="00530F1B">
      <w:pPr>
        <w:pStyle w:val="Default"/>
        <w:numPr>
          <w:ilvl w:val="0"/>
          <w:numId w:val="22"/>
        </w:numPr>
        <w:jc w:val="both"/>
        <w:rPr>
          <w:rFonts w:asciiTheme="minorHAnsi" w:hAnsiTheme="minorHAnsi"/>
          <w:sz w:val="22"/>
          <w:szCs w:val="22"/>
          <w:lang w:val="en-US"/>
        </w:rPr>
      </w:pPr>
      <w:r w:rsidRPr="00AC2FAD">
        <w:rPr>
          <w:rFonts w:asciiTheme="minorHAnsi" w:hAnsiTheme="minorHAnsi"/>
          <w:sz w:val="22"/>
          <w:szCs w:val="22"/>
          <w:lang w:val="en-US"/>
        </w:rPr>
        <w:t xml:space="preserve">the publication of the Voting Policy, </w:t>
      </w:r>
    </w:p>
    <w:p w:rsidR="00530F1B" w:rsidRPr="00AC2FAD" w:rsidRDefault="00497873" w:rsidP="00530F1B">
      <w:pPr>
        <w:pStyle w:val="Default"/>
        <w:numPr>
          <w:ilvl w:val="0"/>
          <w:numId w:val="22"/>
        </w:numPr>
        <w:jc w:val="both"/>
        <w:rPr>
          <w:rFonts w:asciiTheme="minorHAnsi" w:hAnsiTheme="minorHAnsi"/>
          <w:sz w:val="22"/>
          <w:szCs w:val="22"/>
          <w:lang w:val="en-US"/>
        </w:rPr>
      </w:pPr>
      <w:r w:rsidRPr="00AC2FAD">
        <w:rPr>
          <w:rFonts w:asciiTheme="minorHAnsi" w:hAnsiTheme="minorHAnsi"/>
          <w:sz w:val="22"/>
          <w:szCs w:val="22"/>
          <w:lang w:val="en-US"/>
        </w:rPr>
        <w:t>the Communication Policy</w:t>
      </w:r>
      <w:r w:rsidR="00530F1B" w:rsidRPr="00AC2FAD">
        <w:rPr>
          <w:rFonts w:asciiTheme="minorHAnsi" w:hAnsiTheme="minorHAnsi"/>
          <w:sz w:val="22"/>
          <w:szCs w:val="22"/>
          <w:lang w:val="en-US"/>
        </w:rPr>
        <w:t xml:space="preserve"> covering </w:t>
      </w:r>
      <w:r w:rsidR="000D2C71">
        <w:rPr>
          <w:rFonts w:asciiTheme="minorHAnsi" w:hAnsiTheme="minorHAnsi"/>
          <w:sz w:val="22"/>
          <w:szCs w:val="22"/>
          <w:lang w:val="en-US"/>
        </w:rPr>
        <w:t xml:space="preserve">dialogue with </w:t>
      </w:r>
      <w:r w:rsidRPr="00AC2FAD">
        <w:rPr>
          <w:rFonts w:asciiTheme="minorHAnsi" w:hAnsiTheme="minorHAnsi"/>
          <w:sz w:val="22"/>
          <w:szCs w:val="22"/>
          <w:lang w:val="en-US"/>
        </w:rPr>
        <w:t xml:space="preserve">issuers </w:t>
      </w:r>
      <w:r w:rsidR="000D2C71">
        <w:rPr>
          <w:rFonts w:asciiTheme="minorHAnsi" w:hAnsiTheme="minorHAnsi"/>
          <w:sz w:val="22"/>
          <w:szCs w:val="22"/>
          <w:lang w:val="en-US"/>
        </w:rPr>
        <w:t xml:space="preserve"> </w:t>
      </w:r>
    </w:p>
    <w:p w:rsidR="00497873" w:rsidRPr="00AC2FAD" w:rsidRDefault="00530F1B" w:rsidP="00530F1B">
      <w:pPr>
        <w:pStyle w:val="Default"/>
        <w:numPr>
          <w:ilvl w:val="0"/>
          <w:numId w:val="22"/>
        </w:numPr>
        <w:jc w:val="both"/>
        <w:rPr>
          <w:rFonts w:asciiTheme="minorHAnsi" w:hAnsiTheme="minorHAnsi"/>
          <w:sz w:val="22"/>
          <w:szCs w:val="22"/>
          <w:lang w:val="en-US"/>
        </w:rPr>
      </w:pPr>
      <w:proofErr w:type="gramStart"/>
      <w:r w:rsidRPr="00AC2FAD">
        <w:rPr>
          <w:rFonts w:asciiTheme="minorHAnsi" w:hAnsiTheme="minorHAnsi"/>
          <w:sz w:val="22"/>
          <w:szCs w:val="22"/>
          <w:lang w:val="en-US"/>
        </w:rPr>
        <w:t>a</w:t>
      </w:r>
      <w:proofErr w:type="gramEnd"/>
      <w:r w:rsidRPr="00AC2FAD">
        <w:rPr>
          <w:rFonts w:asciiTheme="minorHAnsi" w:hAnsiTheme="minorHAnsi"/>
          <w:sz w:val="22"/>
          <w:szCs w:val="22"/>
          <w:lang w:val="en-US"/>
        </w:rPr>
        <w:t xml:space="preserve"> revi</w:t>
      </w:r>
      <w:r w:rsidR="000D2C71">
        <w:rPr>
          <w:rFonts w:asciiTheme="minorHAnsi" w:hAnsiTheme="minorHAnsi"/>
          <w:sz w:val="22"/>
          <w:szCs w:val="22"/>
          <w:lang w:val="en-US"/>
        </w:rPr>
        <w:t>e</w:t>
      </w:r>
      <w:r w:rsidRPr="00AC2FAD">
        <w:rPr>
          <w:rFonts w:asciiTheme="minorHAnsi" w:hAnsiTheme="minorHAnsi"/>
          <w:sz w:val="22"/>
          <w:szCs w:val="22"/>
          <w:lang w:val="en-US"/>
        </w:rPr>
        <w:t xml:space="preserve">w of the implications of the </w:t>
      </w:r>
      <w:r w:rsidR="00497873" w:rsidRPr="00AC2FAD">
        <w:rPr>
          <w:rFonts w:asciiTheme="minorHAnsi" w:hAnsiTheme="minorHAnsi"/>
          <w:sz w:val="22"/>
          <w:szCs w:val="22"/>
          <w:lang w:val="en-US"/>
        </w:rPr>
        <w:t>French AMF 2011 recommendation on Proxy advisory companies.</w:t>
      </w:r>
    </w:p>
    <w:p w:rsidR="00497873" w:rsidRPr="00AC2FAD" w:rsidRDefault="00497873" w:rsidP="00497873">
      <w:pPr>
        <w:pStyle w:val="Default"/>
        <w:jc w:val="both"/>
        <w:rPr>
          <w:rFonts w:asciiTheme="minorHAnsi" w:hAnsiTheme="minorHAnsi"/>
          <w:sz w:val="22"/>
          <w:szCs w:val="22"/>
          <w:lang w:val="en-US"/>
        </w:rPr>
      </w:pPr>
    </w:p>
    <w:p w:rsidR="00497873" w:rsidRPr="00AC2FAD" w:rsidRDefault="00530F1B" w:rsidP="00497873">
      <w:pPr>
        <w:pStyle w:val="Default"/>
        <w:jc w:val="both"/>
        <w:rPr>
          <w:rFonts w:asciiTheme="minorHAnsi" w:hAnsiTheme="minorHAnsi"/>
          <w:sz w:val="22"/>
          <w:szCs w:val="22"/>
          <w:u w:val="single"/>
          <w:lang w:val="en-US"/>
        </w:rPr>
      </w:pPr>
      <w:r w:rsidRPr="00AC2FAD">
        <w:rPr>
          <w:rFonts w:asciiTheme="minorHAnsi" w:hAnsiTheme="minorHAnsi"/>
          <w:sz w:val="22"/>
          <w:szCs w:val="22"/>
          <w:u w:val="single"/>
          <w:lang w:val="en-US"/>
        </w:rPr>
        <w:t xml:space="preserve">1. </w:t>
      </w:r>
      <w:r w:rsidR="00497873" w:rsidRPr="00AC2FAD">
        <w:rPr>
          <w:rFonts w:asciiTheme="minorHAnsi" w:hAnsiTheme="minorHAnsi"/>
          <w:sz w:val="22"/>
          <w:szCs w:val="22"/>
          <w:u w:val="single"/>
          <w:lang w:val="en-US"/>
        </w:rPr>
        <w:t>Voting Policy:</w:t>
      </w:r>
    </w:p>
    <w:p w:rsidR="00497873" w:rsidRPr="00AC2FAD" w:rsidRDefault="00530F1B"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Proxinvest decided to disclose not only its high level principles but also the very precise requirements at French general meetings from a long-term Equity investor point of view. </w:t>
      </w:r>
      <w:proofErr w:type="spellStart"/>
      <w:r w:rsidR="00497873" w:rsidRPr="00AC2FAD">
        <w:rPr>
          <w:rFonts w:asciiTheme="minorHAnsi" w:hAnsiTheme="minorHAnsi"/>
          <w:sz w:val="22"/>
          <w:szCs w:val="22"/>
          <w:lang w:val="en-US"/>
        </w:rPr>
        <w:t>Proxinvest</w:t>
      </w:r>
      <w:r w:rsidRPr="00AC2FAD">
        <w:rPr>
          <w:rFonts w:asciiTheme="minorHAnsi" w:hAnsiTheme="minorHAnsi"/>
          <w:sz w:val="22"/>
          <w:szCs w:val="22"/>
          <w:lang w:val="en-US"/>
        </w:rPr>
        <w:t>’s</w:t>
      </w:r>
      <w:proofErr w:type="spellEnd"/>
      <w:r w:rsidR="00497873" w:rsidRPr="00AC2FAD">
        <w:rPr>
          <w:rFonts w:asciiTheme="minorHAnsi" w:hAnsiTheme="minorHAnsi"/>
          <w:sz w:val="22"/>
          <w:szCs w:val="22"/>
          <w:lang w:val="en-US"/>
        </w:rPr>
        <w:t xml:space="preserve"> voting policy is</w:t>
      </w:r>
      <w:r w:rsidRPr="00AC2FAD">
        <w:rPr>
          <w:rFonts w:asciiTheme="minorHAnsi" w:hAnsiTheme="minorHAnsi"/>
          <w:sz w:val="22"/>
          <w:szCs w:val="22"/>
          <w:lang w:val="en-US"/>
        </w:rPr>
        <w:t xml:space="preserve"> therefore</w:t>
      </w:r>
      <w:r w:rsidR="00497873" w:rsidRPr="00AC2FAD">
        <w:rPr>
          <w:rFonts w:asciiTheme="minorHAnsi" w:hAnsiTheme="minorHAnsi"/>
          <w:sz w:val="22"/>
          <w:szCs w:val="22"/>
          <w:lang w:val="en-US"/>
        </w:rPr>
        <w:t xml:space="preserve"> now publicly available </w:t>
      </w:r>
      <w:r w:rsidRPr="00AC2FAD">
        <w:rPr>
          <w:rFonts w:asciiTheme="minorHAnsi" w:hAnsiTheme="minorHAnsi"/>
          <w:sz w:val="22"/>
          <w:szCs w:val="22"/>
          <w:lang w:val="en-US"/>
        </w:rPr>
        <w:t xml:space="preserve">in full </w:t>
      </w:r>
      <w:r w:rsidR="00497873" w:rsidRPr="00AC2FAD">
        <w:rPr>
          <w:rFonts w:asciiTheme="minorHAnsi" w:hAnsiTheme="minorHAnsi"/>
          <w:sz w:val="22"/>
          <w:szCs w:val="22"/>
          <w:lang w:val="en-US"/>
        </w:rPr>
        <w:t xml:space="preserve">with a high level of precision under each agenda item. </w:t>
      </w:r>
    </w:p>
    <w:p w:rsidR="00497873" w:rsidRPr="00AC2FAD" w:rsidRDefault="00497873" w:rsidP="00497873">
      <w:pPr>
        <w:pStyle w:val="Default"/>
        <w:jc w:val="both"/>
        <w:rPr>
          <w:rFonts w:asciiTheme="minorHAnsi" w:hAnsiTheme="minorHAnsi"/>
          <w:sz w:val="22"/>
          <w:szCs w:val="22"/>
          <w:lang w:val="en-US"/>
        </w:rPr>
      </w:pPr>
    </w:p>
    <w:p w:rsidR="00497873"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The objective of this high level of transparency is to influence market practices: issuers, business organizations (AFG, AFEP-MEDEF, </w:t>
      </w:r>
      <w:proofErr w:type="spellStart"/>
      <w:proofErr w:type="gramStart"/>
      <w:r w:rsidRPr="00AC2FAD">
        <w:rPr>
          <w:rFonts w:asciiTheme="minorHAnsi" w:hAnsiTheme="minorHAnsi"/>
          <w:sz w:val="22"/>
          <w:szCs w:val="22"/>
          <w:lang w:val="en-US"/>
        </w:rPr>
        <w:t>Middlenext</w:t>
      </w:r>
      <w:proofErr w:type="spellEnd"/>
      <w:r w:rsidRPr="00AC2FAD">
        <w:rPr>
          <w:rFonts w:asciiTheme="minorHAnsi" w:hAnsiTheme="minorHAnsi"/>
          <w:sz w:val="22"/>
          <w:szCs w:val="22"/>
          <w:lang w:val="en-US"/>
        </w:rPr>
        <w:t xml:space="preserve"> )</w:t>
      </w:r>
      <w:proofErr w:type="gramEnd"/>
      <w:r w:rsidRPr="00AC2FAD">
        <w:rPr>
          <w:rFonts w:asciiTheme="minorHAnsi" w:hAnsiTheme="minorHAnsi"/>
          <w:sz w:val="22"/>
          <w:szCs w:val="22"/>
          <w:lang w:val="en-US"/>
        </w:rPr>
        <w:t xml:space="preserve"> and also investors which could have not sufficient resources to be involved in the French debates and to become aware of the market specificities requirements.</w:t>
      </w:r>
      <w:r w:rsidR="00530F1B" w:rsidRPr="00AC2FAD">
        <w:rPr>
          <w:rFonts w:asciiTheme="minorHAnsi" w:hAnsiTheme="minorHAnsi"/>
          <w:sz w:val="22"/>
          <w:szCs w:val="22"/>
          <w:lang w:val="en-US"/>
        </w:rPr>
        <w:t xml:space="preserve"> Obviously the danger for us here is that we are informing potential competitors of our approach. Given that we do not sell services to issuers puts us at a competitive and therefore revenue and resource disadvantage.</w:t>
      </w:r>
    </w:p>
    <w:p w:rsidR="00497873" w:rsidRPr="00AC2FAD" w:rsidRDefault="00497873" w:rsidP="00497873">
      <w:pPr>
        <w:pStyle w:val="Default"/>
        <w:jc w:val="both"/>
        <w:rPr>
          <w:rFonts w:asciiTheme="minorHAnsi" w:hAnsiTheme="minorHAnsi"/>
          <w:sz w:val="22"/>
          <w:szCs w:val="22"/>
          <w:lang w:val="en-US"/>
        </w:rPr>
      </w:pPr>
    </w:p>
    <w:p w:rsidR="006F36C4" w:rsidRPr="00AC2FAD" w:rsidRDefault="00530F1B" w:rsidP="00497873">
      <w:pPr>
        <w:pStyle w:val="Default"/>
        <w:jc w:val="both"/>
        <w:rPr>
          <w:rFonts w:asciiTheme="minorHAnsi" w:hAnsiTheme="minorHAnsi"/>
          <w:sz w:val="22"/>
          <w:szCs w:val="22"/>
          <w:u w:val="single"/>
          <w:lang w:val="en-US"/>
        </w:rPr>
      </w:pPr>
      <w:r w:rsidRPr="00AC2FAD">
        <w:rPr>
          <w:rFonts w:asciiTheme="minorHAnsi" w:hAnsiTheme="minorHAnsi"/>
          <w:sz w:val="22"/>
          <w:szCs w:val="22"/>
          <w:u w:val="single"/>
          <w:lang w:val="en-US"/>
        </w:rPr>
        <w:t xml:space="preserve">2. </w:t>
      </w:r>
      <w:proofErr w:type="gramStart"/>
      <w:r w:rsidR="006F36C4" w:rsidRPr="00AC2FAD">
        <w:rPr>
          <w:rFonts w:asciiTheme="minorHAnsi" w:hAnsiTheme="minorHAnsi"/>
          <w:sz w:val="22"/>
          <w:szCs w:val="22"/>
          <w:u w:val="single"/>
          <w:lang w:val="en-US"/>
        </w:rPr>
        <w:t xml:space="preserve">Communication </w:t>
      </w:r>
      <w:r w:rsidRPr="00AC2FAD">
        <w:rPr>
          <w:rFonts w:asciiTheme="minorHAnsi" w:hAnsiTheme="minorHAnsi"/>
          <w:sz w:val="22"/>
          <w:szCs w:val="22"/>
          <w:u w:val="single"/>
          <w:lang w:val="en-US"/>
        </w:rPr>
        <w:t xml:space="preserve"> &amp;</w:t>
      </w:r>
      <w:proofErr w:type="gramEnd"/>
      <w:r w:rsidRPr="00AC2FAD">
        <w:rPr>
          <w:rFonts w:asciiTheme="minorHAnsi" w:hAnsiTheme="minorHAnsi"/>
          <w:sz w:val="22"/>
          <w:szCs w:val="22"/>
          <w:u w:val="single"/>
          <w:lang w:val="en-US"/>
        </w:rPr>
        <w:t xml:space="preserve"> Dialogue Policy</w:t>
      </w:r>
    </w:p>
    <w:p w:rsidR="006F36C4" w:rsidRPr="00AC2FAD" w:rsidRDefault="006F36C4" w:rsidP="00497873">
      <w:pPr>
        <w:pStyle w:val="Default"/>
        <w:jc w:val="both"/>
        <w:rPr>
          <w:rFonts w:asciiTheme="minorHAnsi" w:hAnsiTheme="minorHAnsi"/>
          <w:sz w:val="22"/>
          <w:szCs w:val="22"/>
          <w:u w:val="single"/>
          <w:lang w:val="en-US"/>
        </w:rPr>
      </w:pPr>
    </w:p>
    <w:p w:rsidR="006F36C4" w:rsidRPr="00AC2FAD" w:rsidRDefault="006F36C4" w:rsidP="006F36C4">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In order to promote the best corporate governance practices, to help retail shareholders to vote and the media to better understand </w:t>
      </w:r>
      <w:r w:rsidR="00530F1B" w:rsidRPr="00AC2FAD">
        <w:rPr>
          <w:rFonts w:asciiTheme="minorHAnsi" w:hAnsiTheme="minorHAnsi"/>
          <w:sz w:val="22"/>
          <w:szCs w:val="22"/>
          <w:lang w:val="en-US"/>
        </w:rPr>
        <w:t xml:space="preserve">governance and voting </w:t>
      </w:r>
      <w:r w:rsidRPr="00AC2FAD">
        <w:rPr>
          <w:rFonts w:asciiTheme="minorHAnsi" w:hAnsiTheme="minorHAnsi"/>
          <w:sz w:val="22"/>
          <w:szCs w:val="22"/>
          <w:lang w:val="en-US"/>
        </w:rPr>
        <w:t>issues, Proxinvest has implemented a new voting disclosure policy</w:t>
      </w:r>
      <w:r w:rsidR="00530F1B" w:rsidRPr="00AC2FAD">
        <w:rPr>
          <w:rFonts w:asciiTheme="minorHAnsi" w:hAnsiTheme="minorHAnsi"/>
          <w:sz w:val="22"/>
          <w:szCs w:val="22"/>
          <w:lang w:val="en-US"/>
        </w:rPr>
        <w:t xml:space="preserve">. From the beginning </w:t>
      </w:r>
      <w:proofErr w:type="gramStart"/>
      <w:r w:rsidR="00530F1B" w:rsidRPr="00AC2FAD">
        <w:rPr>
          <w:rFonts w:asciiTheme="minorHAnsi" w:hAnsiTheme="minorHAnsi"/>
          <w:sz w:val="22"/>
          <w:szCs w:val="22"/>
          <w:lang w:val="en-US"/>
        </w:rPr>
        <w:t xml:space="preserve">of </w:t>
      </w:r>
      <w:r w:rsidRPr="00AC2FAD">
        <w:rPr>
          <w:rFonts w:asciiTheme="minorHAnsi" w:hAnsiTheme="minorHAnsi"/>
          <w:sz w:val="22"/>
          <w:szCs w:val="22"/>
          <w:lang w:val="en-US"/>
        </w:rPr>
        <w:t xml:space="preserve"> 2015</w:t>
      </w:r>
      <w:proofErr w:type="gramEnd"/>
      <w:r w:rsidRPr="00AC2FAD">
        <w:rPr>
          <w:rFonts w:asciiTheme="minorHAnsi" w:hAnsiTheme="minorHAnsi"/>
          <w:sz w:val="22"/>
          <w:szCs w:val="22"/>
          <w:lang w:val="en-US"/>
        </w:rPr>
        <w:t xml:space="preserve">. </w:t>
      </w:r>
      <w:hyperlink r:id="rId17" w:history="1">
        <w:proofErr w:type="gramStart"/>
        <w:r w:rsidR="00530F1B" w:rsidRPr="00AC2FAD">
          <w:rPr>
            <w:rStyle w:val="Lienhypertexte"/>
            <w:rFonts w:asciiTheme="minorHAnsi" w:hAnsiTheme="minorHAnsi"/>
            <w:sz w:val="22"/>
            <w:szCs w:val="22"/>
            <w:lang w:val="en-US"/>
          </w:rPr>
          <w:t>e</w:t>
        </w:r>
        <w:r w:rsidRPr="00AC2FAD">
          <w:rPr>
            <w:rStyle w:val="Lienhypertexte"/>
            <w:rFonts w:asciiTheme="minorHAnsi" w:hAnsiTheme="minorHAnsi"/>
            <w:sz w:val="22"/>
            <w:szCs w:val="22"/>
            <w:lang w:val="en-US"/>
          </w:rPr>
          <w:t>ach</w:t>
        </w:r>
        <w:proofErr w:type="gramEnd"/>
        <w:r w:rsidR="00530F1B" w:rsidRPr="00AC2FAD">
          <w:rPr>
            <w:rStyle w:val="Lienhypertexte"/>
            <w:rFonts w:asciiTheme="minorHAnsi" w:hAnsiTheme="minorHAnsi"/>
            <w:sz w:val="22"/>
            <w:szCs w:val="22"/>
            <w:lang w:val="en-US"/>
          </w:rPr>
          <w:t xml:space="preserve"> Proxinvest </w:t>
        </w:r>
        <w:r w:rsidRPr="00AC2FAD">
          <w:rPr>
            <w:rStyle w:val="Lienhypertexte"/>
            <w:rFonts w:asciiTheme="minorHAnsi" w:hAnsiTheme="minorHAnsi"/>
            <w:sz w:val="22"/>
            <w:szCs w:val="22"/>
            <w:lang w:val="en-US"/>
          </w:rPr>
          <w:t xml:space="preserve">voting recommendation is </w:t>
        </w:r>
        <w:r w:rsidR="00530F1B" w:rsidRPr="00AC2FAD">
          <w:rPr>
            <w:rStyle w:val="Lienhypertexte"/>
            <w:rFonts w:asciiTheme="minorHAnsi" w:hAnsiTheme="minorHAnsi"/>
            <w:sz w:val="22"/>
            <w:szCs w:val="22"/>
            <w:lang w:val="en-US"/>
          </w:rPr>
          <w:t xml:space="preserve">now </w:t>
        </w:r>
        <w:r w:rsidRPr="00AC2FAD">
          <w:rPr>
            <w:rStyle w:val="Lienhypertexte"/>
            <w:rFonts w:asciiTheme="minorHAnsi" w:hAnsiTheme="minorHAnsi"/>
            <w:sz w:val="22"/>
            <w:szCs w:val="22"/>
            <w:lang w:val="en-US"/>
          </w:rPr>
          <w:t>made publicly available</w:t>
        </w:r>
      </w:hyperlink>
      <w:r w:rsidRPr="00AC2FAD">
        <w:rPr>
          <w:rFonts w:asciiTheme="minorHAnsi" w:hAnsiTheme="minorHAnsi"/>
          <w:sz w:val="22"/>
          <w:szCs w:val="22"/>
          <w:lang w:val="en-US"/>
        </w:rPr>
        <w:t xml:space="preserve"> two days before the general meeting.</w:t>
      </w:r>
    </w:p>
    <w:p w:rsidR="006F36C4" w:rsidRPr="00AC2FAD" w:rsidRDefault="006F36C4" w:rsidP="006F36C4">
      <w:pPr>
        <w:pStyle w:val="Default"/>
        <w:jc w:val="both"/>
        <w:rPr>
          <w:rFonts w:asciiTheme="minorHAnsi" w:hAnsiTheme="minorHAnsi"/>
          <w:sz w:val="22"/>
          <w:szCs w:val="22"/>
          <w:u w:val="single"/>
          <w:lang w:val="en-US"/>
        </w:rPr>
      </w:pPr>
    </w:p>
    <w:p w:rsidR="00497873" w:rsidRPr="00AC2FAD" w:rsidRDefault="00530F1B"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When </w:t>
      </w:r>
      <w:r w:rsidR="00497873" w:rsidRPr="00AC2FAD">
        <w:rPr>
          <w:rFonts w:asciiTheme="minorHAnsi" w:hAnsiTheme="minorHAnsi"/>
          <w:sz w:val="22"/>
          <w:szCs w:val="22"/>
          <w:lang w:val="en-US"/>
        </w:rPr>
        <w:t xml:space="preserve">Proxinvest </w:t>
      </w:r>
      <w:r w:rsidRPr="00AC2FAD">
        <w:rPr>
          <w:rFonts w:asciiTheme="minorHAnsi" w:hAnsiTheme="minorHAnsi"/>
          <w:sz w:val="22"/>
          <w:szCs w:val="22"/>
          <w:lang w:val="en-US"/>
        </w:rPr>
        <w:t xml:space="preserve">was launched in </w:t>
      </w:r>
      <w:r w:rsidR="00497873" w:rsidRPr="00AC2FAD">
        <w:rPr>
          <w:rFonts w:asciiTheme="minorHAnsi" w:hAnsiTheme="minorHAnsi"/>
          <w:sz w:val="22"/>
          <w:szCs w:val="22"/>
          <w:lang w:val="en-US"/>
        </w:rPr>
        <w:t>in 1995</w:t>
      </w:r>
      <w:r w:rsidRPr="00AC2FAD">
        <w:rPr>
          <w:rFonts w:asciiTheme="minorHAnsi" w:hAnsiTheme="minorHAnsi"/>
          <w:sz w:val="22"/>
          <w:szCs w:val="22"/>
          <w:lang w:val="en-US"/>
        </w:rPr>
        <w:t xml:space="preserve"> we developed a policy of</w:t>
      </w:r>
      <w:r w:rsidR="00497873"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allowing companies to comment on its reports. This was a practice that </w:t>
      </w:r>
      <w:r w:rsidR="00497873" w:rsidRPr="00AC2FAD">
        <w:rPr>
          <w:rFonts w:asciiTheme="minorHAnsi" w:hAnsiTheme="minorHAnsi"/>
          <w:sz w:val="22"/>
          <w:szCs w:val="22"/>
          <w:lang w:val="en-US"/>
        </w:rPr>
        <w:t xml:space="preserve"> </w:t>
      </w:r>
      <w:r w:rsidRPr="00AC2FAD">
        <w:rPr>
          <w:rFonts w:asciiTheme="minorHAnsi" w:hAnsiTheme="minorHAnsi"/>
          <w:sz w:val="22"/>
          <w:szCs w:val="22"/>
          <w:lang w:val="en-US"/>
        </w:rPr>
        <w:t>the</w:t>
      </w:r>
      <w:r w:rsidR="00497873" w:rsidRPr="00AC2FAD">
        <w:rPr>
          <w:rFonts w:asciiTheme="minorHAnsi" w:hAnsiTheme="minorHAnsi"/>
          <w:sz w:val="22"/>
          <w:szCs w:val="22"/>
          <w:lang w:val="en-US"/>
        </w:rPr>
        <w:t xml:space="preserve"> French Financial Authority (AMF) </w:t>
      </w:r>
      <w:r w:rsidRPr="00AC2FAD">
        <w:rPr>
          <w:rFonts w:asciiTheme="minorHAnsi" w:hAnsiTheme="minorHAnsi"/>
          <w:sz w:val="22"/>
          <w:szCs w:val="22"/>
          <w:lang w:val="en-US"/>
        </w:rPr>
        <w:t xml:space="preserve">included it is </w:t>
      </w:r>
      <w:r w:rsidR="00497873" w:rsidRPr="00AC2FAD">
        <w:rPr>
          <w:rFonts w:asciiTheme="minorHAnsi" w:hAnsiTheme="minorHAnsi"/>
          <w:sz w:val="22"/>
          <w:szCs w:val="22"/>
          <w:lang w:val="en-US"/>
        </w:rPr>
        <w:t>2011 recommendation</w:t>
      </w:r>
      <w:r w:rsidRPr="00AC2FAD">
        <w:rPr>
          <w:rStyle w:val="Appelnotedebasdep"/>
          <w:rFonts w:asciiTheme="minorHAnsi" w:hAnsiTheme="minorHAnsi"/>
          <w:sz w:val="22"/>
          <w:szCs w:val="22"/>
          <w:lang w:val="en-US"/>
        </w:rPr>
        <w:footnoteReference w:id="5"/>
      </w:r>
      <w:r w:rsidRPr="00AC2FAD">
        <w:rPr>
          <w:rFonts w:asciiTheme="minorHAnsi" w:hAnsiTheme="minorHAnsi"/>
          <w:sz w:val="22"/>
          <w:szCs w:val="22"/>
          <w:lang w:val="en-US"/>
        </w:rPr>
        <w:t xml:space="preserve">, </w:t>
      </w:r>
      <w:r w:rsidR="000A4B7C" w:rsidRPr="00AC2FAD">
        <w:rPr>
          <w:rFonts w:asciiTheme="minorHAnsi" w:hAnsiTheme="minorHAnsi"/>
          <w:sz w:val="22"/>
          <w:szCs w:val="22"/>
          <w:lang w:val="en-US"/>
        </w:rPr>
        <w:t xml:space="preserve">This Recommendation also suggested that </w:t>
      </w:r>
      <w:r w:rsidR="00497873" w:rsidRPr="00AC2FAD">
        <w:rPr>
          <w:rFonts w:asciiTheme="minorHAnsi" w:hAnsiTheme="minorHAnsi"/>
          <w:sz w:val="22"/>
          <w:szCs w:val="22"/>
          <w:lang w:val="en-US"/>
        </w:rPr>
        <w:t>the proxy advisor</w:t>
      </w:r>
      <w:r w:rsidR="000A4B7C" w:rsidRPr="00AC2FAD">
        <w:rPr>
          <w:rFonts w:asciiTheme="minorHAnsi" w:hAnsiTheme="minorHAnsi"/>
          <w:sz w:val="22"/>
          <w:szCs w:val="22"/>
          <w:lang w:val="en-US"/>
        </w:rPr>
        <w:t>s should</w:t>
      </w:r>
      <w:r w:rsidR="00497873" w:rsidRPr="00AC2FAD">
        <w:rPr>
          <w:rFonts w:asciiTheme="minorHAnsi" w:hAnsiTheme="minorHAnsi"/>
          <w:sz w:val="22"/>
          <w:szCs w:val="22"/>
          <w:lang w:val="en-US"/>
        </w:rPr>
        <w:t xml:space="preserve"> </w:t>
      </w:r>
      <w:r w:rsidR="000A4B7C" w:rsidRPr="00AC2FAD">
        <w:rPr>
          <w:rFonts w:asciiTheme="minorHAnsi" w:hAnsiTheme="minorHAnsi"/>
          <w:sz w:val="22"/>
          <w:szCs w:val="22"/>
          <w:lang w:val="en-US"/>
        </w:rPr>
        <w:t>“</w:t>
      </w:r>
      <w:r w:rsidR="00497873" w:rsidRPr="00AC2FAD">
        <w:rPr>
          <w:rFonts w:asciiTheme="minorHAnsi" w:hAnsiTheme="minorHAnsi"/>
          <w:sz w:val="22"/>
          <w:szCs w:val="22"/>
          <w:lang w:val="en-US"/>
        </w:rPr>
        <w:t>shall include the company’s comments on the voting recommendations in the analysis report that it submits to the investors”</w:t>
      </w:r>
      <w:r w:rsidR="00A75956" w:rsidRPr="00AC2FAD">
        <w:rPr>
          <w:rFonts w:asciiTheme="minorHAnsi" w:hAnsiTheme="minorHAnsi"/>
          <w:sz w:val="22"/>
          <w:szCs w:val="22"/>
          <w:lang w:val="en-US"/>
        </w:rPr>
        <w:t xml:space="preserve">. </w:t>
      </w:r>
    </w:p>
    <w:p w:rsidR="00497873" w:rsidRPr="00AC2FAD" w:rsidRDefault="00497873" w:rsidP="00497873">
      <w:pPr>
        <w:pStyle w:val="Default"/>
        <w:jc w:val="both"/>
        <w:rPr>
          <w:rFonts w:asciiTheme="minorHAnsi" w:hAnsiTheme="minorHAnsi"/>
          <w:sz w:val="22"/>
          <w:szCs w:val="22"/>
          <w:lang w:val="en-US"/>
        </w:rPr>
      </w:pPr>
    </w:p>
    <w:p w:rsidR="00497873"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Following the ESMA analysis of the proxy advisory business and the need for direct active dialogue between issuers and investors rather than between issuers and proxy agencies,   Proxinvest explained in a 2013 letter to AMF why it decided to stop to submit its draft report to the issuers </w:t>
      </w:r>
      <w:r w:rsidR="0053303D" w:rsidRPr="00AC2FAD">
        <w:rPr>
          <w:rFonts w:asciiTheme="minorHAnsi" w:hAnsiTheme="minorHAnsi"/>
          <w:sz w:val="22"/>
          <w:szCs w:val="22"/>
          <w:lang w:val="en-US"/>
        </w:rPr>
        <w:t>and provided</w:t>
      </w:r>
      <w:r w:rsidRPr="00AC2FAD">
        <w:rPr>
          <w:rFonts w:asciiTheme="minorHAnsi" w:hAnsiTheme="minorHAnsi"/>
          <w:sz w:val="22"/>
          <w:szCs w:val="22"/>
          <w:lang w:val="en-US"/>
        </w:rPr>
        <w:t xml:space="preserve"> the following explanations:</w:t>
      </w:r>
    </w:p>
    <w:p w:rsidR="00497873" w:rsidRPr="00AC2FAD" w:rsidRDefault="00497873" w:rsidP="00497873">
      <w:pPr>
        <w:pStyle w:val="Default"/>
        <w:jc w:val="both"/>
        <w:rPr>
          <w:rFonts w:asciiTheme="minorHAnsi" w:hAnsiTheme="minorHAnsi"/>
          <w:sz w:val="22"/>
          <w:szCs w:val="22"/>
          <w:lang w:val="en-US"/>
        </w:rPr>
      </w:pPr>
    </w:p>
    <w:p w:rsidR="000A4B7C" w:rsidRDefault="000A4B7C"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Due to the antiquated and inefficient systems that we are forced to use by intermediaries, i</w:t>
      </w:r>
      <w:r w:rsidR="00497873" w:rsidRPr="00AC2FAD">
        <w:rPr>
          <w:rFonts w:asciiTheme="minorHAnsi" w:hAnsiTheme="minorHAnsi"/>
          <w:sz w:val="22"/>
          <w:szCs w:val="22"/>
          <w:lang w:val="en-US"/>
        </w:rPr>
        <w:t xml:space="preserve">nvestors face incredibly short voting deadlines to </w:t>
      </w:r>
      <w:r w:rsidRPr="00AC2FAD">
        <w:rPr>
          <w:rFonts w:asciiTheme="minorHAnsi" w:hAnsiTheme="minorHAnsi"/>
          <w:sz w:val="22"/>
          <w:szCs w:val="22"/>
          <w:lang w:val="en-US"/>
        </w:rPr>
        <w:t xml:space="preserve">submit their votes. </w:t>
      </w:r>
      <w:r w:rsidR="00497873" w:rsidRPr="00AC2FAD">
        <w:rPr>
          <w:rFonts w:asciiTheme="minorHAnsi" w:hAnsiTheme="minorHAnsi"/>
          <w:sz w:val="22"/>
          <w:szCs w:val="22"/>
          <w:lang w:val="en-US"/>
        </w:rPr>
        <w:t xml:space="preserve">This reduces the </w:t>
      </w:r>
      <w:r w:rsidRPr="00AC2FAD">
        <w:rPr>
          <w:rFonts w:asciiTheme="minorHAnsi" w:hAnsiTheme="minorHAnsi"/>
          <w:sz w:val="22"/>
          <w:szCs w:val="22"/>
          <w:lang w:val="en-US"/>
        </w:rPr>
        <w:t>time available for our clients to be able to review the proxy reports and enter into their own proper dialogue with either their end clients or the issuers</w:t>
      </w:r>
      <w:r w:rsidR="00A75956" w:rsidRPr="00AC2FAD">
        <w:rPr>
          <w:rFonts w:asciiTheme="minorHAnsi" w:hAnsiTheme="minorHAnsi"/>
          <w:sz w:val="22"/>
          <w:szCs w:val="22"/>
          <w:lang w:val="en-US"/>
        </w:rPr>
        <w:t xml:space="preserve">. </w:t>
      </w:r>
      <w:r w:rsidRPr="00AC2FAD">
        <w:rPr>
          <w:rFonts w:asciiTheme="minorHAnsi" w:hAnsiTheme="minorHAnsi"/>
          <w:sz w:val="22"/>
          <w:szCs w:val="22"/>
          <w:lang w:val="en-US"/>
        </w:rPr>
        <w:t xml:space="preserve"> </w:t>
      </w:r>
    </w:p>
    <w:p w:rsidR="000D2C71" w:rsidRPr="00AC2FAD" w:rsidRDefault="000D2C71" w:rsidP="00497873">
      <w:pPr>
        <w:pStyle w:val="Default"/>
        <w:jc w:val="both"/>
        <w:rPr>
          <w:rFonts w:asciiTheme="minorHAnsi" w:hAnsiTheme="minorHAnsi"/>
          <w:sz w:val="22"/>
          <w:szCs w:val="22"/>
          <w:lang w:val="en-US"/>
        </w:rPr>
      </w:pPr>
    </w:p>
    <w:p w:rsidR="000A4B7C"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lastRenderedPageBreak/>
        <w:t xml:space="preserve">For many clients, </w:t>
      </w:r>
      <w:r w:rsidR="000A4B7C" w:rsidRPr="00AC2FAD">
        <w:rPr>
          <w:rFonts w:asciiTheme="minorHAnsi" w:hAnsiTheme="minorHAnsi"/>
          <w:sz w:val="22"/>
          <w:szCs w:val="22"/>
          <w:lang w:val="en-US"/>
        </w:rPr>
        <w:t xml:space="preserve">their utmost </w:t>
      </w:r>
      <w:r w:rsidRPr="00AC2FAD">
        <w:rPr>
          <w:rFonts w:asciiTheme="minorHAnsi" w:hAnsiTheme="minorHAnsi"/>
          <w:sz w:val="22"/>
          <w:szCs w:val="22"/>
          <w:lang w:val="en-US"/>
        </w:rPr>
        <w:t>priority is to receive the proxy report as soon as possible to get time to read it carefully, to develop its own thinking and enter into dialogue with the issuers</w:t>
      </w:r>
      <w:r w:rsidR="000A4B7C" w:rsidRPr="00AC2FAD">
        <w:rPr>
          <w:rFonts w:asciiTheme="minorHAnsi" w:hAnsiTheme="minorHAnsi"/>
          <w:sz w:val="22"/>
          <w:szCs w:val="22"/>
          <w:lang w:val="en-US"/>
        </w:rPr>
        <w:t xml:space="preserve"> if necessary</w:t>
      </w:r>
      <w:r w:rsidRPr="00AC2FAD">
        <w:rPr>
          <w:rFonts w:asciiTheme="minorHAnsi" w:hAnsiTheme="minorHAnsi"/>
          <w:sz w:val="22"/>
          <w:szCs w:val="22"/>
          <w:lang w:val="en-US"/>
        </w:rPr>
        <w:t>. As a result they have only few days to finalize their voting decisions</w:t>
      </w:r>
      <w:r w:rsidR="00A75956" w:rsidRPr="00AC2FAD">
        <w:rPr>
          <w:rFonts w:asciiTheme="minorHAnsi" w:hAnsiTheme="minorHAnsi"/>
          <w:sz w:val="22"/>
          <w:szCs w:val="22"/>
          <w:lang w:val="en-US"/>
        </w:rPr>
        <w:t xml:space="preserve">. </w:t>
      </w:r>
      <w:r w:rsidR="000A4B7C" w:rsidRPr="00AC2FAD">
        <w:rPr>
          <w:rFonts w:asciiTheme="minorHAnsi" w:hAnsiTheme="minorHAnsi"/>
          <w:sz w:val="22"/>
          <w:szCs w:val="22"/>
          <w:lang w:val="en-US"/>
        </w:rPr>
        <w:t>This is</w:t>
      </w:r>
      <w:r w:rsidR="000D2C71">
        <w:rPr>
          <w:rFonts w:asciiTheme="minorHAnsi" w:hAnsiTheme="minorHAnsi"/>
          <w:sz w:val="22"/>
          <w:szCs w:val="22"/>
          <w:lang w:val="en-US"/>
        </w:rPr>
        <w:t xml:space="preserve"> particularly important when so</w:t>
      </w:r>
      <w:r w:rsidR="000A4B7C" w:rsidRPr="00AC2FAD">
        <w:rPr>
          <w:rFonts w:asciiTheme="minorHAnsi" w:hAnsiTheme="minorHAnsi"/>
          <w:sz w:val="22"/>
          <w:szCs w:val="22"/>
          <w:lang w:val="en-US"/>
        </w:rPr>
        <w:t xml:space="preserve"> many companies insist on holding their AGMs in such bunched timeframes, a real problem that the Shareholder Rights Directive did not address.</w:t>
      </w:r>
    </w:p>
    <w:p w:rsidR="000A4B7C" w:rsidRPr="00AC2FAD" w:rsidRDefault="000A4B7C" w:rsidP="00497873">
      <w:pPr>
        <w:pStyle w:val="Default"/>
        <w:jc w:val="both"/>
        <w:rPr>
          <w:rFonts w:asciiTheme="minorHAnsi" w:hAnsiTheme="minorHAnsi"/>
          <w:sz w:val="22"/>
          <w:szCs w:val="22"/>
          <w:lang w:val="en-US"/>
        </w:rPr>
      </w:pPr>
    </w:p>
    <w:p w:rsidR="00497873" w:rsidRPr="00AC2FAD" w:rsidRDefault="000A4B7C"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The </w:t>
      </w:r>
      <w:r w:rsidR="00497873" w:rsidRPr="00AC2FAD">
        <w:rPr>
          <w:rFonts w:asciiTheme="minorHAnsi" w:hAnsiTheme="minorHAnsi"/>
          <w:sz w:val="22"/>
          <w:szCs w:val="22"/>
          <w:lang w:val="en-US"/>
        </w:rPr>
        <w:t>Proxinvest proxy report is one among several tools used by investors to build their own voting decisions</w:t>
      </w:r>
      <w:r w:rsidRPr="00AC2FAD">
        <w:rPr>
          <w:rFonts w:asciiTheme="minorHAnsi" w:hAnsiTheme="minorHAnsi"/>
          <w:sz w:val="22"/>
          <w:szCs w:val="22"/>
          <w:lang w:val="en-US"/>
        </w:rPr>
        <w:t>. Unfortunately</w:t>
      </w:r>
      <w:r w:rsidR="000D2C71">
        <w:rPr>
          <w:rFonts w:asciiTheme="minorHAnsi" w:hAnsiTheme="minorHAnsi"/>
          <w:sz w:val="22"/>
          <w:szCs w:val="22"/>
          <w:lang w:val="en-US"/>
        </w:rPr>
        <w:t xml:space="preserve"> </w:t>
      </w:r>
      <w:r w:rsidR="00497873" w:rsidRPr="00AC2FAD">
        <w:rPr>
          <w:rFonts w:asciiTheme="minorHAnsi" w:hAnsiTheme="minorHAnsi"/>
          <w:sz w:val="22"/>
          <w:szCs w:val="22"/>
          <w:lang w:val="en-US"/>
        </w:rPr>
        <w:t xml:space="preserve">some issuers focused too much on </w:t>
      </w:r>
      <w:r w:rsidRPr="00AC2FAD">
        <w:rPr>
          <w:rFonts w:asciiTheme="minorHAnsi" w:hAnsiTheme="minorHAnsi"/>
          <w:sz w:val="22"/>
          <w:szCs w:val="22"/>
          <w:lang w:val="en-US"/>
        </w:rPr>
        <w:t xml:space="preserve">the contents of proxy advisor reports rather than talking to their shareholders about their points of view and achieving resolution </w:t>
      </w:r>
      <w:r w:rsidR="00497873" w:rsidRPr="00AC2FAD">
        <w:rPr>
          <w:rFonts w:asciiTheme="minorHAnsi" w:hAnsiTheme="minorHAnsi"/>
          <w:sz w:val="22"/>
          <w:szCs w:val="22"/>
          <w:lang w:val="en-US"/>
        </w:rPr>
        <w:t xml:space="preserve">Proxinvest proxy report which had emphasized some corporate governance concerns and forgot to ensure </w:t>
      </w:r>
      <w:r w:rsidR="0053303D" w:rsidRPr="00AC2FAD">
        <w:rPr>
          <w:rFonts w:asciiTheme="minorHAnsi" w:hAnsiTheme="minorHAnsi"/>
          <w:sz w:val="22"/>
          <w:szCs w:val="22"/>
          <w:lang w:val="en-US"/>
        </w:rPr>
        <w:t>a dialogue</w:t>
      </w:r>
      <w:r w:rsidR="00497873" w:rsidRPr="00AC2FAD">
        <w:rPr>
          <w:rFonts w:asciiTheme="minorHAnsi" w:hAnsiTheme="minorHAnsi"/>
          <w:sz w:val="22"/>
          <w:szCs w:val="22"/>
          <w:lang w:val="en-US"/>
        </w:rPr>
        <w:t xml:space="preserve"> with their shareholders about how these issues may be solved.</w:t>
      </w:r>
    </w:p>
    <w:p w:rsidR="00C63944" w:rsidRPr="00AC2FAD" w:rsidRDefault="00C63944"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From our experience the comments that were included </w:t>
      </w:r>
      <w:r w:rsidR="000D2C71">
        <w:rPr>
          <w:rFonts w:asciiTheme="minorHAnsi" w:hAnsiTheme="minorHAnsi"/>
          <w:sz w:val="22"/>
          <w:szCs w:val="22"/>
          <w:lang w:val="en-US"/>
        </w:rPr>
        <w:t xml:space="preserve">then </w:t>
      </w:r>
      <w:r w:rsidRPr="00AC2FAD">
        <w:rPr>
          <w:rFonts w:asciiTheme="minorHAnsi" w:hAnsiTheme="minorHAnsi"/>
          <w:sz w:val="22"/>
          <w:szCs w:val="22"/>
          <w:lang w:val="en-US"/>
        </w:rPr>
        <w:t xml:space="preserve">were of little value to our clients as they largely </w:t>
      </w:r>
      <w:r w:rsidR="000D2C71" w:rsidRPr="00AC2FAD">
        <w:rPr>
          <w:rFonts w:asciiTheme="minorHAnsi" w:hAnsiTheme="minorHAnsi"/>
          <w:sz w:val="22"/>
          <w:szCs w:val="22"/>
          <w:lang w:val="en-US"/>
        </w:rPr>
        <w:t>comprised</w:t>
      </w:r>
      <w:r w:rsidRPr="00AC2FAD">
        <w:rPr>
          <w:rFonts w:asciiTheme="minorHAnsi" w:hAnsiTheme="minorHAnsi"/>
          <w:sz w:val="22"/>
          <w:szCs w:val="22"/>
          <w:lang w:val="en-US"/>
        </w:rPr>
        <w:t xml:space="preserve"> </w:t>
      </w:r>
      <w:r w:rsidR="000D2C71" w:rsidRPr="00AC2FAD">
        <w:rPr>
          <w:rFonts w:asciiTheme="minorHAnsi" w:hAnsiTheme="minorHAnsi"/>
          <w:sz w:val="22"/>
          <w:szCs w:val="22"/>
          <w:lang w:val="en-US"/>
        </w:rPr>
        <w:t>extensive</w:t>
      </w:r>
      <w:r w:rsidRPr="00AC2FAD">
        <w:rPr>
          <w:rFonts w:asciiTheme="minorHAnsi" w:hAnsiTheme="minorHAnsi"/>
          <w:sz w:val="22"/>
          <w:szCs w:val="22"/>
          <w:lang w:val="en-US"/>
        </w:rPr>
        <w:t xml:space="preserve"> copy/paste of material already available in public documents.</w:t>
      </w:r>
    </w:p>
    <w:p w:rsidR="00C63944" w:rsidRPr="00AC2FAD" w:rsidRDefault="00497873"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Sometimes these comments were</w:t>
      </w:r>
      <w:r w:rsidR="00C63944" w:rsidRPr="00AC2FAD">
        <w:rPr>
          <w:rFonts w:asciiTheme="minorHAnsi" w:hAnsiTheme="minorHAnsi"/>
          <w:sz w:val="22"/>
          <w:szCs w:val="22"/>
          <w:lang w:val="en-US"/>
        </w:rPr>
        <w:t xml:space="preserve"> also potentially </w:t>
      </w:r>
      <w:r w:rsidR="000D2C71" w:rsidRPr="00AC2FAD">
        <w:rPr>
          <w:rFonts w:asciiTheme="minorHAnsi" w:hAnsiTheme="minorHAnsi"/>
          <w:sz w:val="22"/>
          <w:szCs w:val="22"/>
          <w:lang w:val="en-US"/>
        </w:rPr>
        <w:t>very controversial</w:t>
      </w:r>
      <w:r w:rsidRPr="00AC2FAD">
        <w:rPr>
          <w:rFonts w:asciiTheme="minorHAnsi" w:hAnsiTheme="minorHAnsi"/>
          <w:sz w:val="22"/>
          <w:szCs w:val="22"/>
          <w:lang w:val="en-US"/>
        </w:rPr>
        <w:t xml:space="preserve"> or flawed a</w:t>
      </w:r>
    </w:p>
    <w:p w:rsidR="00C63944" w:rsidRPr="00AC2FAD" w:rsidRDefault="00C63944" w:rsidP="00497873">
      <w:pPr>
        <w:pStyle w:val="Default"/>
        <w:jc w:val="both"/>
        <w:rPr>
          <w:rFonts w:asciiTheme="minorHAnsi" w:hAnsiTheme="minorHAnsi"/>
          <w:sz w:val="22"/>
          <w:szCs w:val="22"/>
          <w:lang w:val="en-US"/>
        </w:rPr>
      </w:pPr>
    </w:p>
    <w:p w:rsidR="00497873" w:rsidRPr="00AC2FAD" w:rsidRDefault="00C63944"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Either way the process entailed significant extra work</w:t>
      </w:r>
      <w:r w:rsidR="00497873" w:rsidRPr="00AC2FAD">
        <w:rPr>
          <w:rFonts w:asciiTheme="minorHAnsi" w:hAnsiTheme="minorHAnsi"/>
          <w:sz w:val="22"/>
          <w:szCs w:val="22"/>
          <w:lang w:val="en-US"/>
        </w:rPr>
        <w:t xml:space="preserve"> for Proxinvest analysts to set the record straight, delaying the report availability for the clients.</w:t>
      </w:r>
    </w:p>
    <w:p w:rsidR="00C63944" w:rsidRPr="00AC2FAD" w:rsidRDefault="00C63944" w:rsidP="00497873">
      <w:pPr>
        <w:pStyle w:val="Default"/>
        <w:jc w:val="both"/>
        <w:rPr>
          <w:rFonts w:asciiTheme="minorHAnsi" w:hAnsiTheme="minorHAnsi"/>
          <w:sz w:val="22"/>
          <w:szCs w:val="22"/>
          <w:lang w:val="en-US"/>
        </w:rPr>
      </w:pPr>
    </w:p>
    <w:p w:rsidR="00C63944" w:rsidRPr="00AC2FAD" w:rsidRDefault="00C63944"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also were concerned about abuse of our proprietary rights and discovered that our reports were being circulated </w:t>
      </w:r>
      <w:r w:rsidR="006305E2" w:rsidRPr="00AC2FAD">
        <w:rPr>
          <w:rFonts w:asciiTheme="minorHAnsi" w:hAnsiTheme="minorHAnsi"/>
          <w:sz w:val="22"/>
          <w:szCs w:val="22"/>
          <w:lang w:val="en-US"/>
        </w:rPr>
        <w:t xml:space="preserve">to advisors and other non-client asset managers </w:t>
      </w:r>
      <w:r w:rsidRPr="00AC2FAD">
        <w:rPr>
          <w:rFonts w:asciiTheme="minorHAnsi" w:hAnsiTheme="minorHAnsi"/>
          <w:sz w:val="22"/>
          <w:szCs w:val="22"/>
          <w:lang w:val="en-US"/>
        </w:rPr>
        <w:t xml:space="preserve">without our consent. </w:t>
      </w:r>
      <w:r w:rsidR="006305E2" w:rsidRPr="00AC2FAD">
        <w:rPr>
          <w:rFonts w:asciiTheme="minorHAnsi" w:hAnsiTheme="minorHAnsi"/>
          <w:sz w:val="22"/>
          <w:szCs w:val="22"/>
          <w:lang w:val="en-US"/>
        </w:rPr>
        <w:t xml:space="preserve">Obviously such abuse of our moral and </w:t>
      </w:r>
      <w:r w:rsidR="000E21D8" w:rsidRPr="00AC2FAD">
        <w:rPr>
          <w:rFonts w:asciiTheme="minorHAnsi" w:hAnsiTheme="minorHAnsi"/>
          <w:sz w:val="22"/>
          <w:szCs w:val="22"/>
          <w:lang w:val="en-US"/>
        </w:rPr>
        <w:t>commercial rights is a significant infringement which compromises our ability to re-invest in our services.</w:t>
      </w:r>
    </w:p>
    <w:p w:rsidR="00497873" w:rsidRPr="00AC2FAD" w:rsidRDefault="00497873" w:rsidP="00497873">
      <w:pPr>
        <w:pStyle w:val="Default"/>
        <w:jc w:val="both"/>
        <w:rPr>
          <w:rFonts w:asciiTheme="minorHAnsi" w:hAnsiTheme="minorHAnsi"/>
          <w:sz w:val="22"/>
          <w:szCs w:val="22"/>
          <w:lang w:val="en-US"/>
        </w:rPr>
      </w:pPr>
    </w:p>
    <w:p w:rsidR="00497873" w:rsidRPr="00AC2FAD" w:rsidRDefault="000E21D8"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Therefore, i</w:t>
      </w:r>
      <w:r w:rsidR="00497873" w:rsidRPr="00AC2FAD">
        <w:rPr>
          <w:rFonts w:asciiTheme="minorHAnsi" w:hAnsiTheme="minorHAnsi"/>
          <w:sz w:val="22"/>
          <w:szCs w:val="22"/>
          <w:lang w:val="en-US"/>
        </w:rPr>
        <w:t xml:space="preserve">n 2014 </w:t>
      </w:r>
      <w:r w:rsidRPr="00AC2FAD">
        <w:rPr>
          <w:rFonts w:asciiTheme="minorHAnsi" w:hAnsiTheme="minorHAnsi"/>
          <w:sz w:val="22"/>
          <w:szCs w:val="22"/>
          <w:lang w:val="en-US"/>
        </w:rPr>
        <w:t xml:space="preserve">access to </w:t>
      </w:r>
      <w:r w:rsidR="00497873" w:rsidRPr="00AC2FAD">
        <w:rPr>
          <w:rFonts w:asciiTheme="minorHAnsi" w:hAnsiTheme="minorHAnsi"/>
          <w:sz w:val="22"/>
          <w:szCs w:val="22"/>
          <w:lang w:val="en-US"/>
        </w:rPr>
        <w:t>Proxinvest proxy report</w:t>
      </w:r>
      <w:r w:rsidRPr="00AC2FAD">
        <w:rPr>
          <w:rFonts w:asciiTheme="minorHAnsi" w:hAnsiTheme="minorHAnsi"/>
          <w:sz w:val="22"/>
          <w:szCs w:val="22"/>
          <w:lang w:val="en-US"/>
        </w:rPr>
        <w:t xml:space="preserve">s was made available exclusively either through our annual subscriptions or through our web-shop after completion and release to clients. The fee per report is extremely modest in the context of and business </w:t>
      </w:r>
      <w:r w:rsidR="00A75956" w:rsidRPr="00AC2FAD">
        <w:rPr>
          <w:rFonts w:asciiTheme="minorHAnsi" w:hAnsiTheme="minorHAnsi"/>
          <w:sz w:val="22"/>
          <w:szCs w:val="22"/>
          <w:lang w:val="en-US"/>
        </w:rPr>
        <w:t>intelligence and</w:t>
      </w:r>
      <w:r w:rsidRPr="00AC2FAD">
        <w:rPr>
          <w:rFonts w:asciiTheme="minorHAnsi" w:hAnsiTheme="minorHAnsi"/>
          <w:sz w:val="22"/>
          <w:szCs w:val="22"/>
          <w:lang w:val="en-US"/>
        </w:rPr>
        <w:t xml:space="preserve"> advisory </w:t>
      </w:r>
      <w:proofErr w:type="gramStart"/>
      <w:r w:rsidRPr="00AC2FAD">
        <w:rPr>
          <w:rFonts w:asciiTheme="minorHAnsi" w:hAnsiTheme="minorHAnsi"/>
          <w:sz w:val="22"/>
          <w:szCs w:val="22"/>
          <w:lang w:val="en-US"/>
        </w:rPr>
        <w:t>services  purchased</w:t>
      </w:r>
      <w:proofErr w:type="gramEnd"/>
      <w:r w:rsidRPr="00AC2FAD">
        <w:rPr>
          <w:rFonts w:asciiTheme="minorHAnsi" w:hAnsiTheme="minorHAnsi"/>
          <w:sz w:val="22"/>
          <w:szCs w:val="22"/>
          <w:lang w:val="en-US"/>
        </w:rPr>
        <w:t xml:space="preserve"> by companies</w:t>
      </w:r>
      <w:r w:rsidR="00497873" w:rsidRPr="00AC2FAD">
        <w:rPr>
          <w:rFonts w:asciiTheme="minorHAnsi" w:hAnsiTheme="minorHAnsi"/>
          <w:sz w:val="22"/>
          <w:szCs w:val="22"/>
          <w:lang w:val="en-US"/>
        </w:rPr>
        <w:t>.</w:t>
      </w:r>
      <w:r w:rsidRPr="00AC2FAD">
        <w:rPr>
          <w:rFonts w:asciiTheme="minorHAnsi" w:hAnsiTheme="minorHAnsi"/>
          <w:sz w:val="22"/>
          <w:szCs w:val="22"/>
          <w:lang w:val="en-US"/>
        </w:rPr>
        <w:t xml:space="preserve"> </w:t>
      </w:r>
    </w:p>
    <w:p w:rsidR="000E06DF" w:rsidRPr="00AC2FAD" w:rsidRDefault="000E06DF" w:rsidP="00497873">
      <w:pPr>
        <w:pStyle w:val="Default"/>
        <w:jc w:val="both"/>
        <w:rPr>
          <w:rFonts w:asciiTheme="minorHAnsi" w:hAnsiTheme="minorHAnsi"/>
          <w:sz w:val="22"/>
          <w:szCs w:val="22"/>
          <w:lang w:val="en-US"/>
        </w:rPr>
      </w:pPr>
    </w:p>
    <w:p w:rsidR="00497873" w:rsidRPr="00AC2FAD" w:rsidRDefault="000E21D8" w:rsidP="00497873">
      <w:pPr>
        <w:pStyle w:val="Default"/>
        <w:jc w:val="both"/>
        <w:rPr>
          <w:rFonts w:asciiTheme="minorHAnsi" w:hAnsiTheme="minorHAnsi"/>
          <w:sz w:val="22"/>
          <w:szCs w:val="22"/>
          <w:lang w:val="en-US"/>
        </w:rPr>
      </w:pPr>
      <w:r w:rsidRPr="00AC2FAD">
        <w:rPr>
          <w:rFonts w:asciiTheme="minorHAnsi" w:hAnsiTheme="minorHAnsi"/>
          <w:sz w:val="22"/>
          <w:szCs w:val="22"/>
          <w:lang w:val="en-US"/>
        </w:rPr>
        <w:t xml:space="preserve">We have no doubt that </w:t>
      </w:r>
      <w:r w:rsidR="000D2C71">
        <w:rPr>
          <w:rFonts w:asciiTheme="minorHAnsi" w:hAnsiTheme="minorHAnsi"/>
          <w:sz w:val="22"/>
          <w:szCs w:val="22"/>
          <w:lang w:val="en-US"/>
        </w:rPr>
        <w:t xml:space="preserve">some </w:t>
      </w:r>
      <w:r w:rsidRPr="00AC2FAD">
        <w:rPr>
          <w:rFonts w:asciiTheme="minorHAnsi" w:hAnsiTheme="minorHAnsi"/>
          <w:sz w:val="22"/>
          <w:szCs w:val="22"/>
          <w:lang w:val="en-US"/>
        </w:rPr>
        <w:t>issuers</w:t>
      </w:r>
      <w:r w:rsidR="000D2C71">
        <w:rPr>
          <w:rFonts w:asciiTheme="minorHAnsi" w:hAnsiTheme="minorHAnsi"/>
          <w:sz w:val="22"/>
          <w:szCs w:val="22"/>
          <w:lang w:val="en-US"/>
        </w:rPr>
        <w:t xml:space="preserve"> might</w:t>
      </w:r>
      <w:r w:rsidRPr="00AC2FAD">
        <w:rPr>
          <w:rFonts w:asciiTheme="minorHAnsi" w:hAnsiTheme="minorHAnsi"/>
          <w:sz w:val="22"/>
          <w:szCs w:val="22"/>
          <w:lang w:val="en-US"/>
        </w:rPr>
        <w:t xml:space="preserve"> not </w:t>
      </w:r>
      <w:r w:rsidR="000D2C71">
        <w:rPr>
          <w:rFonts w:asciiTheme="minorHAnsi" w:hAnsiTheme="minorHAnsi"/>
          <w:sz w:val="22"/>
          <w:szCs w:val="22"/>
          <w:lang w:val="en-US"/>
        </w:rPr>
        <w:t xml:space="preserve">be </w:t>
      </w:r>
      <w:r w:rsidRPr="00AC2FAD">
        <w:rPr>
          <w:rFonts w:asciiTheme="minorHAnsi" w:hAnsiTheme="minorHAnsi"/>
          <w:sz w:val="22"/>
          <w:szCs w:val="22"/>
          <w:lang w:val="en-US"/>
        </w:rPr>
        <w:t xml:space="preserve">happy about this change, however, we are certain that if Proxinvest attempted to demand free services from </w:t>
      </w:r>
      <w:r w:rsidR="000D2C71">
        <w:rPr>
          <w:rFonts w:asciiTheme="minorHAnsi" w:hAnsiTheme="minorHAnsi"/>
          <w:sz w:val="22"/>
          <w:szCs w:val="22"/>
          <w:lang w:val="en-US"/>
        </w:rPr>
        <w:t xml:space="preserve">these </w:t>
      </w:r>
      <w:r w:rsidRPr="00AC2FAD">
        <w:rPr>
          <w:rFonts w:asciiTheme="minorHAnsi" w:hAnsiTheme="minorHAnsi"/>
          <w:sz w:val="22"/>
          <w:szCs w:val="22"/>
          <w:lang w:val="en-US"/>
        </w:rPr>
        <w:t>French corporations we know that the answer would be &lt;&lt;Non!&gt;&gt;.</w:t>
      </w:r>
    </w:p>
    <w:p w:rsidR="00A75956" w:rsidRPr="00AC2FAD" w:rsidRDefault="00A75956" w:rsidP="00497873">
      <w:pPr>
        <w:pStyle w:val="Default"/>
        <w:jc w:val="both"/>
        <w:rPr>
          <w:rFonts w:asciiTheme="minorHAnsi" w:hAnsiTheme="minorHAnsi"/>
          <w:sz w:val="22"/>
          <w:szCs w:val="22"/>
          <w:lang w:val="en-US"/>
        </w:rPr>
      </w:pPr>
    </w:p>
    <w:p w:rsidR="00497873" w:rsidRPr="00AC2FAD" w:rsidRDefault="00497873" w:rsidP="00497873">
      <w:pPr>
        <w:jc w:val="both"/>
        <w:rPr>
          <w:rFonts w:cs="Arial"/>
          <w:b/>
          <w:i/>
          <w:lang w:val="en-US"/>
        </w:rPr>
      </w:pPr>
      <w:r w:rsidRPr="00AC2FAD">
        <w:rPr>
          <w:rFonts w:cs="Arial"/>
          <w:b/>
          <w:i/>
          <w:lang w:val="en-US"/>
        </w:rPr>
        <w:t>Q26: Have you taken any other practical initiatives in direct response to, or generally reflecting, the introduction of the BPP which are still in the process of being implemented? If yes, please specify what these are and the time frame you are envisaging for their implementation.</w:t>
      </w:r>
    </w:p>
    <w:p w:rsidR="00A75956" w:rsidRPr="00AC2FAD" w:rsidRDefault="0053303D" w:rsidP="00815577">
      <w:pPr>
        <w:jc w:val="both"/>
        <w:rPr>
          <w:rFonts w:cs="Arial"/>
          <w:lang w:val="en-US"/>
        </w:rPr>
      </w:pPr>
      <w:r w:rsidRPr="00AC2FAD">
        <w:rPr>
          <w:rFonts w:cs="Arial"/>
          <w:lang w:val="en-US"/>
        </w:rPr>
        <w:t xml:space="preserve">Proxinvest </w:t>
      </w:r>
      <w:r w:rsidR="00A75956" w:rsidRPr="00AC2FAD">
        <w:rPr>
          <w:rFonts w:cs="Arial"/>
          <w:lang w:val="en-US"/>
        </w:rPr>
        <w:t xml:space="preserve">had </w:t>
      </w:r>
      <w:r w:rsidRPr="00AC2FAD">
        <w:rPr>
          <w:rFonts w:cs="Arial"/>
          <w:lang w:val="en-US"/>
        </w:rPr>
        <w:t>expect</w:t>
      </w:r>
      <w:r w:rsidR="00A75956" w:rsidRPr="00AC2FAD">
        <w:rPr>
          <w:rFonts w:cs="Arial"/>
          <w:lang w:val="en-US"/>
        </w:rPr>
        <w:t>ed</w:t>
      </w:r>
      <w:r w:rsidRPr="00AC2FAD">
        <w:rPr>
          <w:rFonts w:cs="Arial"/>
          <w:lang w:val="en-US"/>
        </w:rPr>
        <w:t xml:space="preserve"> that the different stakeholders will use the new feedback mechanism at the Proxinvest level or at the BPP Group level to identify any problem that may remain.</w:t>
      </w:r>
      <w:r w:rsidR="00A75956" w:rsidRPr="00AC2FAD">
        <w:rPr>
          <w:rFonts w:cs="Arial"/>
          <w:lang w:val="en-US"/>
        </w:rPr>
        <w:t xml:space="preserve"> The response rate so far has been very disappointing. We can only assume either that stakeholders do not wish to engage at all. Even if the Principles are not considered good enough we had a very genuine intent to engage. </w:t>
      </w:r>
    </w:p>
    <w:p w:rsidR="00287F13" w:rsidRPr="00AC2FAD" w:rsidRDefault="00A75956" w:rsidP="000E06DF">
      <w:pPr>
        <w:jc w:val="both"/>
        <w:rPr>
          <w:rFonts w:cs="Arial"/>
          <w:lang w:val="en-US"/>
        </w:rPr>
      </w:pPr>
      <w:r w:rsidRPr="00AC2FAD">
        <w:rPr>
          <w:rFonts w:cs="Arial"/>
          <w:lang w:val="en-US"/>
        </w:rPr>
        <w:t>Thank you for the opportunity to explain our position and contribute to the development of better stewardship in Europe.</w:t>
      </w:r>
      <w:r w:rsidR="000E06DF" w:rsidRPr="00AC2FAD">
        <w:rPr>
          <w:rFonts w:cs="Arial"/>
          <w:lang w:val="en-US"/>
        </w:rPr>
        <w:t xml:space="preserve"> In closing we would like to respectfully remind ESMA that the publication of Rapport </w:t>
      </w:r>
      <w:proofErr w:type="spellStart"/>
      <w:r w:rsidR="000E06DF" w:rsidRPr="00AC2FAD">
        <w:rPr>
          <w:rFonts w:cs="Arial"/>
          <w:lang w:val="en-US"/>
        </w:rPr>
        <w:t>Bouton</w:t>
      </w:r>
      <w:proofErr w:type="spellEnd"/>
      <w:r w:rsidR="000E06DF" w:rsidRPr="00AC2FAD">
        <w:rPr>
          <w:rFonts w:cs="Arial"/>
          <w:lang w:val="en-US"/>
        </w:rPr>
        <w:t>, commissioned by MEDEF and AFEP, published on 23rd September, 2002 concluded that new legislation was not needed to address corporate governance issues in France. Instead, the report asked that it should be regarded as a set of “corporate governance recommendations constituting a code of conduct to be applied by company managers.”</w:t>
      </w:r>
    </w:p>
    <w:p w:rsidR="000E06DF" w:rsidRPr="00AC2FAD" w:rsidRDefault="000D2C71" w:rsidP="000E06DF">
      <w:pPr>
        <w:jc w:val="both"/>
        <w:rPr>
          <w:lang w:val="en-GB"/>
        </w:rPr>
      </w:pPr>
      <w:r>
        <w:rPr>
          <w:rFonts w:cs="Arial"/>
          <w:lang w:val="en-US"/>
        </w:rPr>
        <w:lastRenderedPageBreak/>
        <w:t xml:space="preserve"> </w:t>
      </w:r>
      <w:r w:rsidR="000E06DF" w:rsidRPr="00AC2FAD">
        <w:rPr>
          <w:rFonts w:cs="Arial"/>
          <w:lang w:val="en-US"/>
        </w:rPr>
        <w:t xml:space="preserve"> </w:t>
      </w:r>
      <w:r>
        <w:rPr>
          <w:lang w:val="en-GB"/>
        </w:rPr>
        <w:t>MEDEF and AFEP</w:t>
      </w:r>
      <w:r w:rsidR="000E06DF" w:rsidRPr="00AC2FAD">
        <w:rPr>
          <w:lang w:val="en-GB"/>
        </w:rPr>
        <w:t xml:space="preserve"> are</w:t>
      </w:r>
      <w:r>
        <w:rPr>
          <w:lang w:val="en-GB"/>
        </w:rPr>
        <w:t xml:space="preserve"> the</w:t>
      </w:r>
      <w:r w:rsidR="000E06DF" w:rsidRPr="00AC2FAD">
        <w:rPr>
          <w:lang w:val="en-GB"/>
        </w:rPr>
        <w:t xml:space="preserve"> organisations representing French businesses, whose key objectives comprise lobbying the government for a legal and regulatory environment that is favourable to French </w:t>
      </w:r>
      <w:r>
        <w:rPr>
          <w:lang w:val="en-GB"/>
        </w:rPr>
        <w:t>big busines</w:t>
      </w:r>
      <w:r w:rsidR="000E06DF" w:rsidRPr="00AC2FAD">
        <w:rPr>
          <w:lang w:val="en-GB"/>
        </w:rPr>
        <w:t>s.</w:t>
      </w:r>
    </w:p>
    <w:p w:rsidR="000E06DF" w:rsidRDefault="000E06DF" w:rsidP="000E06DF">
      <w:pPr>
        <w:jc w:val="both"/>
        <w:rPr>
          <w:lang w:val="en-GB"/>
        </w:rPr>
      </w:pPr>
      <w:r w:rsidRPr="00AC2FAD">
        <w:rPr>
          <w:lang w:val="en-GB"/>
        </w:rPr>
        <w:t xml:space="preserve">The irony of demands for regulatory scrutiny and oversight of French corporate governance analysts by the very organisation which has lobbied against </w:t>
      </w:r>
      <w:r w:rsidR="0005150F">
        <w:rPr>
          <w:lang w:val="en-GB"/>
        </w:rPr>
        <w:t>it</w:t>
      </w:r>
      <w:r w:rsidRPr="00AC2FAD">
        <w:rPr>
          <w:lang w:val="en-GB"/>
        </w:rPr>
        <w:t xml:space="preserve"> will not be lost we feel sure. Nevertheless we continue to work towards good governance for the benefit of our clients.</w:t>
      </w:r>
    </w:p>
    <w:p w:rsidR="0005150F" w:rsidRDefault="0005150F" w:rsidP="000E06DF">
      <w:pPr>
        <w:jc w:val="both"/>
        <w:rPr>
          <w:lang w:val="en-GB"/>
        </w:rPr>
      </w:pPr>
    </w:p>
    <w:p w:rsidR="0005150F" w:rsidRDefault="0005150F" w:rsidP="000E06DF">
      <w:pPr>
        <w:jc w:val="both"/>
        <w:rPr>
          <w:lang w:val="en-GB"/>
        </w:rPr>
      </w:pPr>
    </w:p>
    <w:p w:rsidR="0005150F" w:rsidRPr="00AC2FAD" w:rsidRDefault="0005150F" w:rsidP="000E06DF">
      <w:pPr>
        <w:jc w:val="both"/>
        <w:rPr>
          <w:rFonts w:cs="Arial"/>
          <w:lang w:val="en-GB"/>
        </w:rPr>
      </w:pPr>
      <w:r>
        <w:rPr>
          <w:lang w:val="en-GB"/>
        </w:rPr>
        <w:t xml:space="preserve">                                                                                                                                          July 2015</w:t>
      </w:r>
    </w:p>
    <w:p w:rsidR="00F10781" w:rsidRPr="00AC2FAD" w:rsidRDefault="00F10781" w:rsidP="00EA5D9E">
      <w:pPr>
        <w:pStyle w:val="NormalWeb"/>
        <w:spacing w:line="285" w:lineRule="atLeast"/>
        <w:jc w:val="both"/>
        <w:rPr>
          <w:rFonts w:asciiTheme="minorHAnsi" w:hAnsiTheme="minorHAnsi" w:cs="Arial"/>
          <w:sz w:val="22"/>
          <w:szCs w:val="22"/>
          <w:lang w:val="en-US"/>
        </w:rPr>
      </w:pPr>
      <w:r w:rsidRPr="00AC2FAD">
        <w:rPr>
          <w:rFonts w:asciiTheme="minorHAnsi" w:hAnsiTheme="minorHAnsi" w:cs="Arial"/>
          <w:sz w:val="22"/>
          <w:szCs w:val="22"/>
          <w:lang w:val="en-US"/>
        </w:rPr>
        <w:t xml:space="preserve">For any </w:t>
      </w:r>
      <w:r w:rsidR="008544C5" w:rsidRPr="00AC2FAD">
        <w:rPr>
          <w:rFonts w:asciiTheme="minorHAnsi" w:hAnsiTheme="minorHAnsi" w:cs="Arial"/>
          <w:sz w:val="22"/>
          <w:szCs w:val="22"/>
          <w:lang w:val="en-US"/>
        </w:rPr>
        <w:t>question</w:t>
      </w:r>
      <w:r w:rsidRPr="00AC2FAD">
        <w:rPr>
          <w:rFonts w:asciiTheme="minorHAnsi" w:hAnsiTheme="minorHAnsi" w:cs="Arial"/>
          <w:sz w:val="22"/>
          <w:szCs w:val="22"/>
          <w:lang w:val="en-US"/>
        </w:rPr>
        <w:t xml:space="preserve"> about this </w:t>
      </w:r>
      <w:r w:rsidR="008544C5" w:rsidRPr="00AC2FAD">
        <w:rPr>
          <w:rFonts w:asciiTheme="minorHAnsi" w:hAnsiTheme="minorHAnsi" w:cs="Arial"/>
          <w:sz w:val="22"/>
          <w:szCs w:val="22"/>
          <w:lang w:val="en-US"/>
        </w:rPr>
        <w:t>answer</w:t>
      </w:r>
      <w:r w:rsidRPr="00AC2FAD">
        <w:rPr>
          <w:rFonts w:asciiTheme="minorHAnsi" w:hAnsiTheme="minorHAnsi" w:cs="Arial"/>
          <w:sz w:val="22"/>
          <w:szCs w:val="22"/>
          <w:lang w:val="en-US"/>
        </w:rPr>
        <w:t xml:space="preserve">: </w:t>
      </w:r>
    </w:p>
    <w:p w:rsidR="00F10781" w:rsidRPr="00AC2FAD" w:rsidRDefault="00F10781" w:rsidP="00F10781">
      <w:pPr>
        <w:pStyle w:val="NormalWeb"/>
        <w:contextualSpacing/>
        <w:jc w:val="both"/>
        <w:rPr>
          <w:rFonts w:asciiTheme="minorHAnsi" w:hAnsiTheme="minorHAnsi" w:cs="Arial"/>
          <w:lang w:val="en-US"/>
        </w:rPr>
      </w:pPr>
      <w:r w:rsidRPr="00AC2FAD">
        <w:rPr>
          <w:rFonts w:asciiTheme="minorHAnsi" w:hAnsiTheme="minorHAnsi" w:cs="Arial"/>
          <w:lang w:val="en-US"/>
        </w:rPr>
        <w:t>Loïc Dessaint</w:t>
      </w:r>
      <w:r w:rsidR="008544C5" w:rsidRPr="00AC2FAD">
        <w:rPr>
          <w:rFonts w:asciiTheme="minorHAnsi" w:hAnsiTheme="minorHAnsi" w:cs="Arial"/>
          <w:lang w:val="en-US"/>
        </w:rPr>
        <w:t xml:space="preserve">, </w:t>
      </w:r>
      <w:r w:rsidRPr="00AC2FAD">
        <w:rPr>
          <w:rFonts w:asciiTheme="minorHAnsi" w:hAnsiTheme="minorHAnsi" w:cs="Arial"/>
          <w:lang w:val="en-US"/>
        </w:rPr>
        <w:t>Chief Executive Officer</w:t>
      </w:r>
      <w:r w:rsidR="008544C5" w:rsidRPr="00AC2FAD">
        <w:rPr>
          <w:rFonts w:asciiTheme="minorHAnsi" w:hAnsiTheme="minorHAnsi" w:cs="Arial"/>
          <w:lang w:val="en-US"/>
        </w:rPr>
        <w:t xml:space="preserve"> </w:t>
      </w:r>
    </w:p>
    <w:p w:rsidR="00A75956" w:rsidRPr="00AC2FAD" w:rsidRDefault="00A75956" w:rsidP="00F10781">
      <w:pPr>
        <w:pStyle w:val="NormalWeb"/>
        <w:contextualSpacing/>
        <w:jc w:val="both"/>
        <w:rPr>
          <w:rFonts w:asciiTheme="minorHAnsi" w:hAnsiTheme="minorHAnsi" w:cs="Arial"/>
          <w:lang w:val="en-US"/>
        </w:rPr>
      </w:pPr>
      <w:r w:rsidRPr="00AC2FAD">
        <w:rPr>
          <w:rFonts w:asciiTheme="minorHAnsi" w:hAnsiTheme="minorHAnsi" w:cs="Arial"/>
          <w:lang w:val="en-US"/>
        </w:rPr>
        <w:t xml:space="preserve">In respect of </w:t>
      </w:r>
      <w:proofErr w:type="spellStart"/>
      <w:r w:rsidRPr="00AC2FAD">
        <w:rPr>
          <w:rFonts w:asciiTheme="minorHAnsi" w:hAnsiTheme="minorHAnsi" w:cs="Arial"/>
          <w:lang w:val="en-US"/>
        </w:rPr>
        <w:t>ProxInvest</w:t>
      </w:r>
      <w:proofErr w:type="spellEnd"/>
    </w:p>
    <w:p w:rsidR="00A75956" w:rsidRPr="00AC2FAD" w:rsidRDefault="00A75956" w:rsidP="00F10781">
      <w:pPr>
        <w:pStyle w:val="NormalWeb"/>
        <w:contextualSpacing/>
        <w:jc w:val="both"/>
        <w:rPr>
          <w:rFonts w:asciiTheme="minorHAnsi" w:hAnsiTheme="minorHAnsi" w:cs="Arial"/>
          <w:lang w:val="en-US"/>
        </w:rPr>
      </w:pPr>
    </w:p>
    <w:p w:rsidR="00A75956" w:rsidRPr="00AC2FAD" w:rsidRDefault="008544C5" w:rsidP="00F10781">
      <w:pPr>
        <w:pStyle w:val="NormalWeb"/>
        <w:contextualSpacing/>
        <w:jc w:val="both"/>
        <w:rPr>
          <w:rFonts w:asciiTheme="minorHAnsi" w:hAnsiTheme="minorHAnsi" w:cs="Arial"/>
          <w:lang w:val="en-US"/>
        </w:rPr>
      </w:pPr>
      <w:r w:rsidRPr="00AC2FAD">
        <w:rPr>
          <w:rFonts w:asciiTheme="minorHAnsi" w:hAnsiTheme="minorHAnsi" w:cs="Arial"/>
          <w:lang w:val="en-US"/>
        </w:rPr>
        <w:t xml:space="preserve">Or </w:t>
      </w:r>
    </w:p>
    <w:p w:rsidR="008544C5" w:rsidRPr="00AC2FAD" w:rsidRDefault="008544C5" w:rsidP="00F10781">
      <w:pPr>
        <w:pStyle w:val="NormalWeb"/>
        <w:contextualSpacing/>
        <w:jc w:val="both"/>
        <w:rPr>
          <w:rFonts w:asciiTheme="minorHAnsi" w:hAnsiTheme="minorHAnsi" w:cs="Arial"/>
          <w:lang w:val="en-US"/>
        </w:rPr>
      </w:pPr>
      <w:r w:rsidRPr="00AC2FAD">
        <w:rPr>
          <w:rFonts w:asciiTheme="minorHAnsi" w:hAnsiTheme="minorHAnsi" w:cs="Arial"/>
          <w:lang w:val="en-US"/>
        </w:rPr>
        <w:t>Pierre-Henri Leroy, Chairman</w:t>
      </w:r>
    </w:p>
    <w:p w:rsidR="008544C5" w:rsidRPr="00AC2FAD" w:rsidRDefault="008544C5" w:rsidP="00EA5D9E">
      <w:pPr>
        <w:pStyle w:val="NormalWeb"/>
        <w:spacing w:line="285" w:lineRule="atLeast"/>
        <w:jc w:val="both"/>
        <w:rPr>
          <w:rFonts w:asciiTheme="minorHAnsi" w:hAnsiTheme="minorHAnsi" w:cs="Arial"/>
          <w:sz w:val="22"/>
          <w:szCs w:val="22"/>
          <w:lang w:val="en-US"/>
        </w:rPr>
      </w:pPr>
      <w:r w:rsidRPr="00AC2FAD">
        <w:rPr>
          <w:rFonts w:asciiTheme="minorHAnsi" w:hAnsiTheme="minorHAnsi" w:cs="Arial"/>
          <w:sz w:val="22"/>
          <w:szCs w:val="22"/>
          <w:lang w:val="en-US"/>
        </w:rPr>
        <w:t>For any question related to ECGS</w:t>
      </w:r>
    </w:p>
    <w:p w:rsidR="008544C5" w:rsidRPr="00AC2FAD" w:rsidRDefault="008544C5" w:rsidP="00EA5D9E">
      <w:pPr>
        <w:pStyle w:val="NormalWeb"/>
        <w:spacing w:line="285" w:lineRule="atLeast"/>
        <w:jc w:val="both"/>
        <w:rPr>
          <w:rFonts w:asciiTheme="minorHAnsi" w:hAnsiTheme="minorHAnsi" w:cs="Arial"/>
          <w:sz w:val="22"/>
          <w:szCs w:val="22"/>
          <w:lang w:val="en-US"/>
        </w:rPr>
      </w:pPr>
    </w:p>
    <w:sectPr w:rsidR="008544C5" w:rsidRPr="00AC2FAD" w:rsidSect="004F5D4C">
      <w:headerReference w:type="even" r:id="rId18"/>
      <w:headerReference w:type="default" r:id="rId19"/>
      <w:footerReference w:type="even" r:id="rId20"/>
      <w:footerReference w:type="default" r:id="rId21"/>
      <w:headerReference w:type="first" r:id="rId22"/>
      <w:footerReference w:type="first" r:id="rId23"/>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4F" w:rsidRDefault="0042314F" w:rsidP="004F5D4C">
      <w:pPr>
        <w:spacing w:after="0" w:line="240" w:lineRule="auto"/>
      </w:pPr>
      <w:r>
        <w:separator/>
      </w:r>
    </w:p>
  </w:endnote>
  <w:endnote w:type="continuationSeparator" w:id="0">
    <w:p w:rsidR="0042314F" w:rsidRDefault="0042314F" w:rsidP="004F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Regular">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4231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42314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4231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4F" w:rsidRDefault="0042314F" w:rsidP="004F5D4C">
      <w:pPr>
        <w:spacing w:after="0" w:line="240" w:lineRule="auto"/>
      </w:pPr>
      <w:r>
        <w:separator/>
      </w:r>
    </w:p>
  </w:footnote>
  <w:footnote w:type="continuationSeparator" w:id="0">
    <w:p w:rsidR="0042314F" w:rsidRDefault="0042314F" w:rsidP="004F5D4C">
      <w:pPr>
        <w:spacing w:after="0" w:line="240" w:lineRule="auto"/>
      </w:pPr>
      <w:r>
        <w:continuationSeparator/>
      </w:r>
    </w:p>
  </w:footnote>
  <w:footnote w:id="1">
    <w:p w:rsidR="0042314F" w:rsidRPr="000339C9" w:rsidRDefault="0042314F">
      <w:pPr>
        <w:pStyle w:val="Notedebasdepage"/>
        <w:rPr>
          <w:lang w:val="en-US"/>
        </w:rPr>
      </w:pPr>
      <w:r>
        <w:rPr>
          <w:rStyle w:val="Appelnotedebasdep"/>
        </w:rPr>
        <w:footnoteRef/>
      </w:r>
      <w:r w:rsidRPr="000339C9">
        <w:rPr>
          <w:lang w:val="en-US"/>
        </w:rPr>
        <w:t xml:space="preserve"> </w:t>
      </w:r>
      <w:r w:rsidRPr="000B4787">
        <w:rPr>
          <w:color w:val="1F497D"/>
          <w:lang w:val="en-US"/>
        </w:rPr>
        <w:t>M</w:t>
      </w:r>
      <w:r>
        <w:rPr>
          <w:color w:val="1F497D"/>
          <w:lang w:val="en-US"/>
        </w:rPr>
        <w:t xml:space="preserve">ost PA companies are not subject to any more oversight than unlisted consulting firms, law firm or industrial firms. Many service providers </w:t>
      </w:r>
      <w:proofErr w:type="gramStart"/>
      <w:r>
        <w:rPr>
          <w:color w:val="1F497D"/>
          <w:lang w:val="en-US"/>
        </w:rPr>
        <w:t>of  listed</w:t>
      </w:r>
      <w:proofErr w:type="gramEnd"/>
      <w:r>
        <w:rPr>
          <w:color w:val="1F497D"/>
          <w:lang w:val="en-US"/>
        </w:rPr>
        <w:t xml:space="preserve"> companies, and primarily their proxy solicitation firms, are not subject to any other oversight than these PAs.   It should be reminded that the market </w:t>
      </w:r>
      <w:proofErr w:type="gramStart"/>
      <w:r>
        <w:rPr>
          <w:color w:val="1F497D"/>
          <w:lang w:val="en-US"/>
        </w:rPr>
        <w:t>authorities</w:t>
      </w:r>
      <w:proofErr w:type="gramEnd"/>
      <w:r>
        <w:rPr>
          <w:color w:val="1F497D"/>
          <w:lang w:val="en-US"/>
        </w:rPr>
        <w:t xml:space="preserve"> oversight of investment, deposit banks and other market intermediaries is concerned with their public information, technical liquidity and solvency positions creating potential systemic risk. Financial analysts, who are highly influential on the market value of companies, are licensed but their activity is only regulated when performed within a regulated market player such as a bank, broker or insurer.</w:t>
      </w:r>
    </w:p>
  </w:footnote>
  <w:footnote w:id="2">
    <w:p w:rsidR="0042314F" w:rsidRPr="00A4181A" w:rsidRDefault="0042314F" w:rsidP="006F44E8">
      <w:pPr>
        <w:pStyle w:val="Titre1"/>
        <w:rPr>
          <w:rFonts w:asciiTheme="minorHAnsi" w:hAnsiTheme="minorHAnsi"/>
          <w:sz w:val="20"/>
          <w:szCs w:val="20"/>
          <w:lang w:val="en-GB"/>
        </w:rPr>
      </w:pPr>
      <w:r w:rsidRPr="00A4181A">
        <w:rPr>
          <w:rStyle w:val="Appelnotedebasdep"/>
          <w:sz w:val="20"/>
          <w:szCs w:val="20"/>
        </w:rPr>
        <w:footnoteRef/>
      </w:r>
      <w:r w:rsidRPr="00A4181A">
        <w:rPr>
          <w:sz w:val="20"/>
          <w:szCs w:val="20"/>
          <w:lang w:val="en-GB"/>
        </w:rPr>
        <w:t xml:space="preserve"> </w:t>
      </w:r>
      <w:r w:rsidRPr="00A4181A">
        <w:rPr>
          <w:rFonts w:asciiTheme="minorHAnsi" w:hAnsiTheme="minorHAnsi"/>
          <w:sz w:val="20"/>
          <w:szCs w:val="20"/>
          <w:lang w:val="en-GB"/>
        </w:rPr>
        <w:t xml:space="preserve">Nokia and Alcatel-Lucent should heed the lesson of past mergers 14 April 2015, Financial Times, [online] </w:t>
      </w:r>
      <w:hyperlink r:id="rId1" w:history="1">
        <w:r w:rsidRPr="00A4181A">
          <w:rPr>
            <w:rStyle w:val="Lienhypertexte"/>
            <w:rFonts w:asciiTheme="minorHAnsi" w:hAnsiTheme="minorHAnsi"/>
            <w:sz w:val="20"/>
            <w:szCs w:val="20"/>
            <w:lang w:val="en-GB"/>
          </w:rPr>
          <w:t>http://www.ft.com/cms/s/0/bccd2ce0-e290-11e4-ba33-00144feab7de.html</w:t>
        </w:r>
      </w:hyperlink>
    </w:p>
    <w:p w:rsidR="0042314F" w:rsidRPr="00A4181A" w:rsidRDefault="0042314F">
      <w:pPr>
        <w:pStyle w:val="Notedebasdepage"/>
        <w:rPr>
          <w:lang w:val="en-GB"/>
        </w:rPr>
      </w:pPr>
    </w:p>
  </w:footnote>
  <w:footnote w:id="3">
    <w:p w:rsidR="0042314F" w:rsidRPr="00EB678F" w:rsidRDefault="0042314F" w:rsidP="00D72E6E">
      <w:pPr>
        <w:autoSpaceDE w:val="0"/>
        <w:autoSpaceDN w:val="0"/>
        <w:adjustRightInd w:val="0"/>
        <w:spacing w:after="0" w:line="240" w:lineRule="auto"/>
        <w:rPr>
          <w:rFonts w:asciiTheme="majorHAnsi" w:hAnsiTheme="majorHAnsi" w:cs="AGaramond-Regular"/>
          <w:sz w:val="16"/>
          <w:szCs w:val="16"/>
          <w:lang w:eastAsia="fr-FR"/>
        </w:rPr>
      </w:pPr>
      <w:r w:rsidRPr="00EB678F">
        <w:rPr>
          <w:rStyle w:val="Appelnotedebasdep"/>
          <w:rFonts w:asciiTheme="majorHAnsi" w:hAnsiTheme="majorHAnsi"/>
          <w:sz w:val="16"/>
          <w:szCs w:val="16"/>
        </w:rPr>
        <w:footnoteRef/>
      </w:r>
      <w:r w:rsidRPr="00EB678F">
        <w:rPr>
          <w:rFonts w:asciiTheme="majorHAnsi" w:hAnsiTheme="majorHAnsi"/>
          <w:sz w:val="16"/>
          <w:szCs w:val="16"/>
        </w:rPr>
        <w:t xml:space="preserve"> </w:t>
      </w:r>
      <w:r w:rsidRPr="00EB678F">
        <w:rPr>
          <w:rFonts w:asciiTheme="majorHAnsi" w:hAnsiTheme="majorHAnsi" w:cs="AGaramond-Regular"/>
          <w:sz w:val="16"/>
          <w:szCs w:val="16"/>
          <w:lang w:eastAsia="fr-FR"/>
        </w:rPr>
        <w:t>March 2002, Le Monde: « Enron, dans la ligne des krachs Continental Bank, Crédit Lyonnais et LTCM, symbolise, d’une part, le soutien grégaire prolongé de la communauté financière au service des grands émetteurs et, d’autre part, l’accumulation de crédits bancaires mis généreusement par les mêmes banques au service d’un empilement de produits dérivés optionnels ou de titrisation…Ceci résulte de la confusion croissante entre deux types de métiers autrefois incompatibles</w:t>
      </w:r>
      <w:proofErr w:type="gramStart"/>
      <w:r w:rsidRPr="00EB678F">
        <w:rPr>
          <w:rFonts w:asciiTheme="majorHAnsi" w:hAnsiTheme="majorHAnsi" w:cs="AGaramond-Regular"/>
          <w:sz w:val="16"/>
          <w:szCs w:val="16"/>
          <w:lang w:eastAsia="fr-FR"/>
        </w:rPr>
        <w:t>./</w:t>
      </w:r>
      <w:proofErr w:type="gramEnd"/>
      <w:r w:rsidRPr="00EB678F">
        <w:rPr>
          <w:rFonts w:asciiTheme="majorHAnsi" w:hAnsiTheme="majorHAnsi" w:cs="AGaramond-Regular"/>
          <w:sz w:val="16"/>
          <w:szCs w:val="16"/>
          <w:lang w:eastAsia="fr-FR"/>
        </w:rPr>
        <w:t xml:space="preserve">.. La gouvernance est une bonne chose, mais elle ne suffira pas à prévenir d’autres Enron : il faut revenir au Glass </w:t>
      </w:r>
      <w:proofErr w:type="spellStart"/>
      <w:r w:rsidRPr="00EB678F">
        <w:rPr>
          <w:rFonts w:asciiTheme="majorHAnsi" w:hAnsiTheme="majorHAnsi" w:cs="AGaramond-Regular"/>
          <w:sz w:val="16"/>
          <w:szCs w:val="16"/>
          <w:lang w:eastAsia="fr-FR"/>
        </w:rPr>
        <w:t>Steagall</w:t>
      </w:r>
      <w:proofErr w:type="spellEnd"/>
      <w:r w:rsidRPr="00EB678F">
        <w:rPr>
          <w:rFonts w:asciiTheme="majorHAnsi" w:hAnsiTheme="majorHAnsi" w:cs="AGaramond-Regular"/>
          <w:sz w:val="16"/>
          <w:szCs w:val="16"/>
          <w:lang w:eastAsia="fr-FR"/>
        </w:rPr>
        <w:t xml:space="preserve"> </w:t>
      </w:r>
      <w:proofErr w:type="spellStart"/>
      <w:proofErr w:type="gramStart"/>
      <w:r w:rsidRPr="00EB678F">
        <w:rPr>
          <w:rFonts w:asciiTheme="majorHAnsi" w:hAnsiTheme="majorHAnsi" w:cs="AGaramond-Regular"/>
          <w:sz w:val="16"/>
          <w:szCs w:val="16"/>
          <w:lang w:eastAsia="fr-FR"/>
        </w:rPr>
        <w:t>Act</w:t>
      </w:r>
      <w:proofErr w:type="spellEnd"/>
      <w:r w:rsidRPr="00EB678F">
        <w:rPr>
          <w:rFonts w:asciiTheme="majorHAnsi" w:hAnsiTheme="majorHAnsi" w:cs="AGaramond-Regular"/>
          <w:sz w:val="16"/>
          <w:szCs w:val="16"/>
          <w:lang w:eastAsia="fr-FR"/>
        </w:rPr>
        <w:t xml:space="preserve"> .</w:t>
      </w:r>
      <w:proofErr w:type="gramEnd"/>
      <w:r w:rsidRPr="00EB678F">
        <w:rPr>
          <w:rFonts w:asciiTheme="majorHAnsi" w:hAnsiTheme="majorHAnsi" w:cs="AGaramond-Regular"/>
          <w:sz w:val="16"/>
          <w:szCs w:val="16"/>
          <w:lang w:eastAsia="fr-FR"/>
        </w:rPr>
        <w:t xml:space="preserve"> »</w:t>
      </w:r>
      <w:r>
        <w:rPr>
          <w:rFonts w:asciiTheme="majorHAnsi" w:hAnsiTheme="majorHAnsi" w:cs="AGaramond-Regular"/>
          <w:sz w:val="16"/>
          <w:szCs w:val="16"/>
          <w:lang w:eastAsia="fr-FR"/>
        </w:rPr>
        <w:t xml:space="preserve">. </w:t>
      </w:r>
    </w:p>
    <w:p w:rsidR="0042314F" w:rsidRPr="00EB678F" w:rsidRDefault="0042314F" w:rsidP="00D72E6E">
      <w:pPr>
        <w:autoSpaceDE w:val="0"/>
        <w:autoSpaceDN w:val="0"/>
        <w:adjustRightInd w:val="0"/>
        <w:spacing w:after="0" w:line="240" w:lineRule="auto"/>
        <w:rPr>
          <w:rFonts w:asciiTheme="majorHAnsi" w:hAnsiTheme="majorHAnsi" w:cs="AGaramond-Regular"/>
          <w:sz w:val="16"/>
          <w:szCs w:val="16"/>
          <w:lang w:eastAsia="fr-FR"/>
        </w:rPr>
      </w:pPr>
      <w:proofErr w:type="spellStart"/>
      <w:r w:rsidRPr="00EB678F">
        <w:rPr>
          <w:rFonts w:asciiTheme="majorHAnsi" w:hAnsiTheme="majorHAnsi" w:cs="AGaramond-Regular"/>
          <w:sz w:val="16"/>
          <w:szCs w:val="16"/>
          <w:lang w:eastAsia="fr-FR"/>
        </w:rPr>
        <w:t>October</w:t>
      </w:r>
      <w:proofErr w:type="spellEnd"/>
      <w:r w:rsidRPr="00EB678F">
        <w:rPr>
          <w:rFonts w:asciiTheme="majorHAnsi" w:hAnsiTheme="majorHAnsi" w:cs="AGaramond-Regular"/>
          <w:sz w:val="16"/>
          <w:szCs w:val="16"/>
          <w:lang w:eastAsia="fr-FR"/>
        </w:rPr>
        <w:t xml:space="preserve"> 2003 Assemblée Nationale  Commission des Finances : « Le scandale des rémunérations abusives n’est que l’un des symptômes</w:t>
      </w:r>
    </w:p>
    <w:p w:rsidR="0042314F" w:rsidRPr="00EB678F" w:rsidRDefault="0042314F" w:rsidP="00D72E6E">
      <w:pPr>
        <w:autoSpaceDE w:val="0"/>
        <w:autoSpaceDN w:val="0"/>
        <w:adjustRightInd w:val="0"/>
        <w:spacing w:after="0" w:line="240" w:lineRule="auto"/>
        <w:rPr>
          <w:rFonts w:asciiTheme="majorHAnsi" w:hAnsiTheme="majorHAnsi"/>
          <w:sz w:val="16"/>
          <w:szCs w:val="16"/>
        </w:rPr>
      </w:pPr>
      <w:proofErr w:type="gramStart"/>
      <w:r w:rsidRPr="00EB678F">
        <w:rPr>
          <w:rFonts w:asciiTheme="majorHAnsi" w:hAnsiTheme="majorHAnsi" w:cs="AGaramond-Regular"/>
          <w:sz w:val="16"/>
          <w:szCs w:val="16"/>
          <w:lang w:eastAsia="fr-FR"/>
        </w:rPr>
        <w:t>d’une</w:t>
      </w:r>
      <w:proofErr w:type="gramEnd"/>
      <w:r w:rsidRPr="00EB678F">
        <w:rPr>
          <w:rFonts w:asciiTheme="majorHAnsi" w:hAnsiTheme="majorHAnsi" w:cs="AGaramond-Regular"/>
          <w:sz w:val="16"/>
          <w:szCs w:val="16"/>
          <w:lang w:eastAsia="fr-FR"/>
        </w:rPr>
        <w:t xml:space="preserve"> crise financière, la problématique générale de la sécurité financière en France comme à l’étranger relève, selon nous et pour l’essentiel, de la confusion regrettable des grandes fonctions financières que permet le régime désormais quasi généralisé de banque universelle. »</w:t>
      </w:r>
    </w:p>
  </w:footnote>
  <w:footnote w:id="4">
    <w:p w:rsidR="0042314F" w:rsidRPr="00BC206B" w:rsidRDefault="0042314F" w:rsidP="00D72E6E">
      <w:pPr>
        <w:pStyle w:val="Notedebasdepage"/>
        <w:rPr>
          <w:lang w:val="en-US"/>
        </w:rPr>
      </w:pPr>
      <w:r w:rsidRPr="00EB678F">
        <w:rPr>
          <w:rStyle w:val="Appelnotedebasdep"/>
          <w:rFonts w:asciiTheme="majorHAnsi" w:hAnsiTheme="majorHAnsi"/>
          <w:sz w:val="16"/>
          <w:szCs w:val="16"/>
        </w:rPr>
        <w:footnoteRef/>
      </w:r>
      <w:r w:rsidRPr="00EB678F">
        <w:rPr>
          <w:rFonts w:asciiTheme="majorHAnsi" w:hAnsiTheme="majorHAnsi"/>
          <w:sz w:val="16"/>
          <w:szCs w:val="16"/>
          <w:lang w:val="en-US"/>
        </w:rPr>
        <w:t xml:space="preserve"> Proxinvest has since long demonstrated that the misappropriation by deposit banks of both the shareholders identification and of the shareholders voting instructions was at the root of the voting chain failure to serve both issuers and investors in due time</w:t>
      </w:r>
      <w:r>
        <w:rPr>
          <w:rFonts w:asciiTheme="majorHAnsi" w:hAnsiTheme="majorHAnsi"/>
          <w:sz w:val="16"/>
          <w:szCs w:val="16"/>
          <w:lang w:val="en-US"/>
        </w:rPr>
        <w:t xml:space="preserve">. </w:t>
      </w:r>
    </w:p>
  </w:footnote>
  <w:footnote w:id="5">
    <w:p w:rsidR="0042314F" w:rsidRPr="00A75956" w:rsidRDefault="0042314F">
      <w:pPr>
        <w:pStyle w:val="Notedebasdepage"/>
        <w:rPr>
          <w:lang w:val="en-US"/>
        </w:rPr>
      </w:pPr>
      <w:r>
        <w:rPr>
          <w:rStyle w:val="Appelnotedebasdep"/>
        </w:rPr>
        <w:footnoteRef/>
      </w:r>
      <w:r w:rsidRPr="00A75956">
        <w:rPr>
          <w:lang w:val="en-US"/>
        </w:rPr>
        <w:t xml:space="preserve"> </w:t>
      </w:r>
      <w:hyperlink r:id="rId2" w:tooltip="Read more of: AMF Recommandation 2011-06: Proxy voting advisory firms" w:history="1">
        <w:r w:rsidRPr="00A75956">
          <w:rPr>
            <w:rStyle w:val="Lienhypertexte"/>
            <w:lang w:val="en-GB"/>
          </w:rPr>
          <w:t>AMF Recommandation 2011-06: Proxy voting advisory firms</w:t>
        </w:r>
      </w:hyperlink>
      <w:r w:rsidRPr="00530F1B">
        <w:rPr>
          <w:lang w:val="en-US"/>
        </w:rPr>
        <w:t xml:space="preserve"> </w:t>
      </w:r>
      <w:r w:rsidRPr="00A75956">
        <w:rPr>
          <w:lang w:val="en-US"/>
        </w:rPr>
        <w:t>http://www.amf-france.org/en_US/Reglementation/Dossiers-thematiques/Societes-cotees-et-operations-financieres/Gouvernement-d-entreprise/Les-recommandations-de-l-AMF-sur-les-agences-en-conseil-de-vote.html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4231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42314F" w:rsidP="00DA18A0">
    <w:pPr>
      <w:pStyle w:val="En-tte"/>
      <w:jc w:val="center"/>
    </w:pPr>
    <w:r>
      <w:rPr>
        <w:noProof/>
        <w:lang w:eastAsia="fr-FR"/>
      </w:rPr>
      <w:drawing>
        <wp:inline distT="0" distB="0" distL="0" distR="0" wp14:anchorId="151E36DF" wp14:editId="432BD690">
          <wp:extent cx="2066925" cy="623358"/>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XINVEST-Web.gif"/>
                  <pic:cNvPicPr/>
                </pic:nvPicPr>
                <pic:blipFill>
                  <a:blip r:embed="rId1">
                    <a:extLst>
                      <a:ext uri="{28A0092B-C50C-407E-A947-70E740481C1C}">
                        <a14:useLocalDpi xmlns:a14="http://schemas.microsoft.com/office/drawing/2010/main" val="0"/>
                      </a:ext>
                    </a:extLst>
                  </a:blip>
                  <a:stretch>
                    <a:fillRect/>
                  </a:stretch>
                </pic:blipFill>
                <pic:spPr>
                  <a:xfrm>
                    <a:off x="0" y="0"/>
                    <a:ext cx="2066925" cy="62335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4F" w:rsidRDefault="000B4787">
    <w:pPr>
      <w:pStyle w:val="En-tte"/>
    </w:pPr>
    <w:sdt>
      <w:sdtPr>
        <w:id w:val="-1067647031"/>
        <w:placeholder>
          <w:docPart w:val="40D9C338E2D9496CBE1D68B13D6616FD"/>
        </w:placeholder>
        <w:temporary/>
        <w:showingPlcHdr/>
      </w:sdtPr>
      <w:sdtEndPr/>
      <w:sdtContent>
        <w:r w:rsidR="00DA18A0">
          <w:t>[Texte]</w:t>
        </w:r>
      </w:sdtContent>
    </w:sdt>
    <w:r w:rsidR="00DA18A0">
      <w:ptab w:relativeTo="margin" w:alignment="center" w:leader="none"/>
    </w:r>
    <w:sdt>
      <w:sdtPr>
        <w:id w:val="968859947"/>
        <w:placeholder>
          <w:docPart w:val="40D9C338E2D9496CBE1D68B13D6616FD"/>
        </w:placeholder>
        <w:temporary/>
        <w:showingPlcHdr/>
      </w:sdtPr>
      <w:sdtEndPr/>
      <w:sdtContent>
        <w:r w:rsidR="00DA18A0">
          <w:t>[Texte]</w:t>
        </w:r>
      </w:sdtContent>
    </w:sdt>
    <w:r w:rsidR="00DA18A0">
      <w:ptab w:relativeTo="margin" w:alignment="right" w:leader="none"/>
    </w:r>
    <w:sdt>
      <w:sdtPr>
        <w:id w:val="968859952"/>
        <w:placeholder>
          <w:docPart w:val="40D9C338E2D9496CBE1D68B13D6616FD"/>
        </w:placeholder>
        <w:temporary/>
        <w:showingPlcHdr/>
      </w:sdtPr>
      <w:sdtEndPr/>
      <w:sdtContent>
        <w:r w:rsidR="00DA18A0">
          <w:t>[Texte]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340"/>
    <w:multiLevelType w:val="hybridMultilevel"/>
    <w:tmpl w:val="7688A4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D5222B"/>
    <w:multiLevelType w:val="hybridMultilevel"/>
    <w:tmpl w:val="027E035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0C3879BC"/>
    <w:multiLevelType w:val="hybridMultilevel"/>
    <w:tmpl w:val="EA72C0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DAB7956"/>
    <w:multiLevelType w:val="hybridMultilevel"/>
    <w:tmpl w:val="8152B176"/>
    <w:lvl w:ilvl="0" w:tplc="6C628BFA">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nsid w:val="109F4690"/>
    <w:multiLevelType w:val="hybridMultilevel"/>
    <w:tmpl w:val="9F3AF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BD7DEA"/>
    <w:multiLevelType w:val="hybridMultilevel"/>
    <w:tmpl w:val="BCFC9674"/>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7C43F1"/>
    <w:multiLevelType w:val="multilevel"/>
    <w:tmpl w:val="648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06EFE"/>
    <w:multiLevelType w:val="hybridMultilevel"/>
    <w:tmpl w:val="63A8A19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3DDF54D8"/>
    <w:multiLevelType w:val="multilevel"/>
    <w:tmpl w:val="6520D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36B30EA"/>
    <w:multiLevelType w:val="hybridMultilevel"/>
    <w:tmpl w:val="8152B176"/>
    <w:lvl w:ilvl="0" w:tplc="6C628BFA">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0">
    <w:nsid w:val="43B0729A"/>
    <w:multiLevelType w:val="hybridMultilevel"/>
    <w:tmpl w:val="93D02E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233EE7"/>
    <w:multiLevelType w:val="hybridMultilevel"/>
    <w:tmpl w:val="CC02037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45CA2C3E"/>
    <w:multiLevelType w:val="hybridMultilevel"/>
    <w:tmpl w:val="E5D2506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nsid w:val="4B87397F"/>
    <w:multiLevelType w:val="hybridMultilevel"/>
    <w:tmpl w:val="8152B176"/>
    <w:lvl w:ilvl="0" w:tplc="6C628BFA">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4">
    <w:nsid w:val="558B06C1"/>
    <w:multiLevelType w:val="hybridMultilevel"/>
    <w:tmpl w:val="B4F6B49A"/>
    <w:lvl w:ilvl="0" w:tplc="040C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EA2A1B"/>
    <w:multiLevelType w:val="hybridMultilevel"/>
    <w:tmpl w:val="0C10451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5A3C7EFC"/>
    <w:multiLevelType w:val="hybridMultilevel"/>
    <w:tmpl w:val="D07E2FD8"/>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D01EDD"/>
    <w:multiLevelType w:val="hybridMultilevel"/>
    <w:tmpl w:val="8152B176"/>
    <w:lvl w:ilvl="0" w:tplc="6C628BFA">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8">
    <w:nsid w:val="5B91056C"/>
    <w:multiLevelType w:val="multilevel"/>
    <w:tmpl w:val="7262978C"/>
    <w:lvl w:ilvl="0">
      <w:start w:val="1"/>
      <w:numFmt w:val="bullet"/>
      <w:lvlText w:val=""/>
      <w:lvlJc w:val="left"/>
      <w:pPr>
        <w:tabs>
          <w:tab w:val="num" w:pos="4680"/>
        </w:tabs>
        <w:ind w:left="4680" w:hanging="360"/>
      </w:pPr>
      <w:rPr>
        <w:rFonts w:ascii="Symbol" w:hAnsi="Symbol" w:hint="default"/>
        <w:sz w:val="20"/>
      </w:rPr>
    </w:lvl>
    <w:lvl w:ilvl="1" w:tentative="1">
      <w:start w:val="1"/>
      <w:numFmt w:val="bullet"/>
      <w:lvlText w:val=""/>
      <w:lvlJc w:val="left"/>
      <w:pPr>
        <w:tabs>
          <w:tab w:val="num" w:pos="5400"/>
        </w:tabs>
        <w:ind w:left="5400" w:hanging="360"/>
      </w:pPr>
      <w:rPr>
        <w:rFonts w:ascii="Symbol" w:hAnsi="Symbol" w:hint="default"/>
        <w:sz w:val="20"/>
      </w:rPr>
    </w:lvl>
    <w:lvl w:ilvl="2" w:tentative="1">
      <w:start w:val="1"/>
      <w:numFmt w:val="bullet"/>
      <w:lvlText w:val=""/>
      <w:lvlJc w:val="left"/>
      <w:pPr>
        <w:tabs>
          <w:tab w:val="num" w:pos="6120"/>
        </w:tabs>
        <w:ind w:left="6120" w:hanging="360"/>
      </w:pPr>
      <w:rPr>
        <w:rFonts w:ascii="Symbol" w:hAnsi="Symbol" w:hint="default"/>
        <w:sz w:val="20"/>
      </w:rPr>
    </w:lvl>
    <w:lvl w:ilvl="3" w:tentative="1">
      <w:start w:val="1"/>
      <w:numFmt w:val="bullet"/>
      <w:lvlText w:val=""/>
      <w:lvlJc w:val="left"/>
      <w:pPr>
        <w:tabs>
          <w:tab w:val="num" w:pos="6840"/>
        </w:tabs>
        <w:ind w:left="6840" w:hanging="360"/>
      </w:pPr>
      <w:rPr>
        <w:rFonts w:ascii="Symbol" w:hAnsi="Symbol" w:hint="default"/>
        <w:sz w:val="20"/>
      </w:rPr>
    </w:lvl>
    <w:lvl w:ilvl="4" w:tentative="1">
      <w:start w:val="1"/>
      <w:numFmt w:val="bullet"/>
      <w:lvlText w:val=""/>
      <w:lvlJc w:val="left"/>
      <w:pPr>
        <w:tabs>
          <w:tab w:val="num" w:pos="7560"/>
        </w:tabs>
        <w:ind w:left="7560" w:hanging="360"/>
      </w:pPr>
      <w:rPr>
        <w:rFonts w:ascii="Symbol" w:hAnsi="Symbol" w:hint="default"/>
        <w:sz w:val="20"/>
      </w:rPr>
    </w:lvl>
    <w:lvl w:ilvl="5" w:tentative="1">
      <w:start w:val="1"/>
      <w:numFmt w:val="bullet"/>
      <w:lvlText w:val=""/>
      <w:lvlJc w:val="left"/>
      <w:pPr>
        <w:tabs>
          <w:tab w:val="num" w:pos="8280"/>
        </w:tabs>
        <w:ind w:left="8280" w:hanging="360"/>
      </w:pPr>
      <w:rPr>
        <w:rFonts w:ascii="Symbol" w:hAnsi="Symbol" w:hint="default"/>
        <w:sz w:val="20"/>
      </w:rPr>
    </w:lvl>
    <w:lvl w:ilvl="6" w:tentative="1">
      <w:start w:val="1"/>
      <w:numFmt w:val="bullet"/>
      <w:lvlText w:val=""/>
      <w:lvlJc w:val="left"/>
      <w:pPr>
        <w:tabs>
          <w:tab w:val="num" w:pos="9000"/>
        </w:tabs>
        <w:ind w:left="9000" w:hanging="360"/>
      </w:pPr>
      <w:rPr>
        <w:rFonts w:ascii="Symbol" w:hAnsi="Symbol" w:hint="default"/>
        <w:sz w:val="20"/>
      </w:rPr>
    </w:lvl>
    <w:lvl w:ilvl="7" w:tentative="1">
      <w:start w:val="1"/>
      <w:numFmt w:val="bullet"/>
      <w:lvlText w:val=""/>
      <w:lvlJc w:val="left"/>
      <w:pPr>
        <w:tabs>
          <w:tab w:val="num" w:pos="9720"/>
        </w:tabs>
        <w:ind w:left="9720" w:hanging="360"/>
      </w:pPr>
      <w:rPr>
        <w:rFonts w:ascii="Symbol" w:hAnsi="Symbol" w:hint="default"/>
        <w:sz w:val="20"/>
      </w:rPr>
    </w:lvl>
    <w:lvl w:ilvl="8" w:tentative="1">
      <w:start w:val="1"/>
      <w:numFmt w:val="bullet"/>
      <w:lvlText w:val=""/>
      <w:lvlJc w:val="left"/>
      <w:pPr>
        <w:tabs>
          <w:tab w:val="num" w:pos="10440"/>
        </w:tabs>
        <w:ind w:left="10440" w:hanging="360"/>
      </w:pPr>
      <w:rPr>
        <w:rFonts w:ascii="Symbol" w:hAnsi="Symbol" w:hint="default"/>
        <w:sz w:val="20"/>
      </w:rPr>
    </w:lvl>
  </w:abstractNum>
  <w:abstractNum w:abstractNumId="19">
    <w:nsid w:val="65470FB8"/>
    <w:multiLevelType w:val="hybridMultilevel"/>
    <w:tmpl w:val="B3265B3C"/>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nsid w:val="67335EDB"/>
    <w:multiLevelType w:val="multilevel"/>
    <w:tmpl w:val="684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580C42"/>
    <w:multiLevelType w:val="multilevel"/>
    <w:tmpl w:val="DE12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A67DA5"/>
    <w:multiLevelType w:val="hybridMultilevel"/>
    <w:tmpl w:val="CD1C38A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21"/>
  </w:num>
  <w:num w:numId="2">
    <w:abstractNumId w:val="6"/>
  </w:num>
  <w:num w:numId="3">
    <w:abstractNumId w:val="20"/>
  </w:num>
  <w:num w:numId="4">
    <w:abstractNumId w:val="8"/>
  </w:num>
  <w:num w:numId="5">
    <w:abstractNumId w:val="22"/>
  </w:num>
  <w:num w:numId="6">
    <w:abstractNumId w:val="12"/>
  </w:num>
  <w:num w:numId="7">
    <w:abstractNumId w:val="11"/>
  </w:num>
  <w:num w:numId="8">
    <w:abstractNumId w:val="4"/>
  </w:num>
  <w:num w:numId="9">
    <w:abstractNumId w:val="19"/>
  </w:num>
  <w:num w:numId="10">
    <w:abstractNumId w:val="17"/>
  </w:num>
  <w:num w:numId="11">
    <w:abstractNumId w:val="3"/>
  </w:num>
  <w:num w:numId="12">
    <w:abstractNumId w:val="18"/>
  </w:num>
  <w:num w:numId="13">
    <w:abstractNumId w:val="13"/>
  </w:num>
  <w:num w:numId="14">
    <w:abstractNumId w:val="9"/>
  </w:num>
  <w:num w:numId="15">
    <w:abstractNumId w:val="7"/>
  </w:num>
  <w:num w:numId="16">
    <w:abstractNumId w:val="15"/>
  </w:num>
  <w:num w:numId="17">
    <w:abstractNumId w:val="2"/>
  </w:num>
  <w:num w:numId="18">
    <w:abstractNumId w:val="1"/>
  </w:num>
  <w:num w:numId="19">
    <w:abstractNumId w:val="14"/>
  </w:num>
  <w:num w:numId="20">
    <w:abstractNumId w:val="16"/>
  </w:num>
  <w:num w:numId="21">
    <w:abstractNumId w:val="5"/>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86"/>
    <w:rsid w:val="000238D4"/>
    <w:rsid w:val="000244E4"/>
    <w:rsid w:val="000339C9"/>
    <w:rsid w:val="0005150F"/>
    <w:rsid w:val="00056609"/>
    <w:rsid w:val="00066BFF"/>
    <w:rsid w:val="0007162B"/>
    <w:rsid w:val="000738A7"/>
    <w:rsid w:val="000867E4"/>
    <w:rsid w:val="00087D54"/>
    <w:rsid w:val="000A1510"/>
    <w:rsid w:val="000A4B7C"/>
    <w:rsid w:val="000B4787"/>
    <w:rsid w:val="000B7490"/>
    <w:rsid w:val="000B7C4F"/>
    <w:rsid w:val="000C55DC"/>
    <w:rsid w:val="000D09D9"/>
    <w:rsid w:val="000D18A4"/>
    <w:rsid w:val="000D2C71"/>
    <w:rsid w:val="000D548E"/>
    <w:rsid w:val="000E06DF"/>
    <w:rsid w:val="000E21D8"/>
    <w:rsid w:val="000E34F5"/>
    <w:rsid w:val="000E4F89"/>
    <w:rsid w:val="00103968"/>
    <w:rsid w:val="00105B11"/>
    <w:rsid w:val="0011714E"/>
    <w:rsid w:val="001203E0"/>
    <w:rsid w:val="00140A74"/>
    <w:rsid w:val="00145550"/>
    <w:rsid w:val="00146139"/>
    <w:rsid w:val="001473DB"/>
    <w:rsid w:val="00147F43"/>
    <w:rsid w:val="001827E8"/>
    <w:rsid w:val="001A75D9"/>
    <w:rsid w:val="00216915"/>
    <w:rsid w:val="00220892"/>
    <w:rsid w:val="00223493"/>
    <w:rsid w:val="002431FE"/>
    <w:rsid w:val="00255145"/>
    <w:rsid w:val="00272062"/>
    <w:rsid w:val="0027541B"/>
    <w:rsid w:val="00287F13"/>
    <w:rsid w:val="0029046B"/>
    <w:rsid w:val="00292E8F"/>
    <w:rsid w:val="002D03C2"/>
    <w:rsid w:val="002F7D04"/>
    <w:rsid w:val="00321A79"/>
    <w:rsid w:val="00321FD8"/>
    <w:rsid w:val="00363058"/>
    <w:rsid w:val="00365205"/>
    <w:rsid w:val="00381E45"/>
    <w:rsid w:val="00393CE9"/>
    <w:rsid w:val="00394AD3"/>
    <w:rsid w:val="003A4A9F"/>
    <w:rsid w:val="003B0D43"/>
    <w:rsid w:val="003B5186"/>
    <w:rsid w:val="003C1C8C"/>
    <w:rsid w:val="003E37D7"/>
    <w:rsid w:val="003E74CD"/>
    <w:rsid w:val="00403E98"/>
    <w:rsid w:val="0041598B"/>
    <w:rsid w:val="0042314F"/>
    <w:rsid w:val="00427ADA"/>
    <w:rsid w:val="00453927"/>
    <w:rsid w:val="00453A17"/>
    <w:rsid w:val="00474373"/>
    <w:rsid w:val="00477AE5"/>
    <w:rsid w:val="00485865"/>
    <w:rsid w:val="00497873"/>
    <w:rsid w:val="00497DD2"/>
    <w:rsid w:val="004A693B"/>
    <w:rsid w:val="004C30AF"/>
    <w:rsid w:val="004C7529"/>
    <w:rsid w:val="004E6933"/>
    <w:rsid w:val="004F5D4C"/>
    <w:rsid w:val="00501651"/>
    <w:rsid w:val="00501F34"/>
    <w:rsid w:val="00530F1B"/>
    <w:rsid w:val="0053303D"/>
    <w:rsid w:val="005671CF"/>
    <w:rsid w:val="00576BD4"/>
    <w:rsid w:val="006305E2"/>
    <w:rsid w:val="00633010"/>
    <w:rsid w:val="00643B17"/>
    <w:rsid w:val="006534D0"/>
    <w:rsid w:val="006551E0"/>
    <w:rsid w:val="00656647"/>
    <w:rsid w:val="00660D49"/>
    <w:rsid w:val="00666078"/>
    <w:rsid w:val="00672ABE"/>
    <w:rsid w:val="0068015E"/>
    <w:rsid w:val="00697CB5"/>
    <w:rsid w:val="006F36C4"/>
    <w:rsid w:val="006F44E8"/>
    <w:rsid w:val="00700962"/>
    <w:rsid w:val="007021B4"/>
    <w:rsid w:val="0071746D"/>
    <w:rsid w:val="00751848"/>
    <w:rsid w:val="00774964"/>
    <w:rsid w:val="007D5607"/>
    <w:rsid w:val="007E1D6A"/>
    <w:rsid w:val="007E7865"/>
    <w:rsid w:val="007F41E1"/>
    <w:rsid w:val="008002A5"/>
    <w:rsid w:val="008024DB"/>
    <w:rsid w:val="008150AC"/>
    <w:rsid w:val="008151BB"/>
    <w:rsid w:val="00815577"/>
    <w:rsid w:val="008175B9"/>
    <w:rsid w:val="008544C5"/>
    <w:rsid w:val="008B176F"/>
    <w:rsid w:val="008B427E"/>
    <w:rsid w:val="008B63E9"/>
    <w:rsid w:val="008F128D"/>
    <w:rsid w:val="009347CD"/>
    <w:rsid w:val="009725A3"/>
    <w:rsid w:val="00982D9B"/>
    <w:rsid w:val="00986269"/>
    <w:rsid w:val="009C7A68"/>
    <w:rsid w:val="009E319B"/>
    <w:rsid w:val="00A12CDC"/>
    <w:rsid w:val="00A33006"/>
    <w:rsid w:val="00A36112"/>
    <w:rsid w:val="00A410EF"/>
    <w:rsid w:val="00A4181A"/>
    <w:rsid w:val="00A75956"/>
    <w:rsid w:val="00A7702F"/>
    <w:rsid w:val="00A92EEA"/>
    <w:rsid w:val="00AB335F"/>
    <w:rsid w:val="00AB6EC6"/>
    <w:rsid w:val="00AC2FAD"/>
    <w:rsid w:val="00B02640"/>
    <w:rsid w:val="00B173D6"/>
    <w:rsid w:val="00B41D28"/>
    <w:rsid w:val="00B564D8"/>
    <w:rsid w:val="00B7758A"/>
    <w:rsid w:val="00B82636"/>
    <w:rsid w:val="00B84709"/>
    <w:rsid w:val="00BA08A0"/>
    <w:rsid w:val="00BA38B3"/>
    <w:rsid w:val="00BA6DCA"/>
    <w:rsid w:val="00BC27B0"/>
    <w:rsid w:val="00BC2806"/>
    <w:rsid w:val="00BC76FE"/>
    <w:rsid w:val="00BE38DC"/>
    <w:rsid w:val="00C0308E"/>
    <w:rsid w:val="00C27323"/>
    <w:rsid w:val="00C63944"/>
    <w:rsid w:val="00C80060"/>
    <w:rsid w:val="00C91E67"/>
    <w:rsid w:val="00CB6117"/>
    <w:rsid w:val="00CC0401"/>
    <w:rsid w:val="00CC3563"/>
    <w:rsid w:val="00CE505D"/>
    <w:rsid w:val="00CF7590"/>
    <w:rsid w:val="00D31758"/>
    <w:rsid w:val="00D37C41"/>
    <w:rsid w:val="00D72E6E"/>
    <w:rsid w:val="00D77A0C"/>
    <w:rsid w:val="00D92A9C"/>
    <w:rsid w:val="00DA18A0"/>
    <w:rsid w:val="00DC5762"/>
    <w:rsid w:val="00DD2901"/>
    <w:rsid w:val="00DD5FEE"/>
    <w:rsid w:val="00DE4897"/>
    <w:rsid w:val="00DE58F4"/>
    <w:rsid w:val="00DF0F7E"/>
    <w:rsid w:val="00E35F7D"/>
    <w:rsid w:val="00E370F9"/>
    <w:rsid w:val="00E372AB"/>
    <w:rsid w:val="00E41C6C"/>
    <w:rsid w:val="00E45B5C"/>
    <w:rsid w:val="00E639AE"/>
    <w:rsid w:val="00E64DCC"/>
    <w:rsid w:val="00E8516F"/>
    <w:rsid w:val="00E86666"/>
    <w:rsid w:val="00E934B5"/>
    <w:rsid w:val="00EA5D9E"/>
    <w:rsid w:val="00EB678F"/>
    <w:rsid w:val="00ED4D3E"/>
    <w:rsid w:val="00F10781"/>
    <w:rsid w:val="00F2368A"/>
    <w:rsid w:val="00F37A09"/>
    <w:rsid w:val="00F652D6"/>
    <w:rsid w:val="00FC3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51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5186"/>
    <w:rPr>
      <w:rFonts w:ascii="Tahoma" w:hAnsi="Tahoma" w:cs="Tahoma"/>
      <w:sz w:val="16"/>
      <w:szCs w:val="16"/>
    </w:rPr>
  </w:style>
  <w:style w:type="paragraph" w:styleId="Citationintense">
    <w:name w:val="Intense Quote"/>
    <w:basedOn w:val="Normal"/>
    <w:next w:val="Normal"/>
    <w:link w:val="CitationintenseCar"/>
    <w:uiPriority w:val="30"/>
    <w:qFormat/>
    <w:rsid w:val="003B518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B5186"/>
    <w:rPr>
      <w:b/>
      <w:bCs/>
      <w:i/>
      <w:iCs/>
      <w:color w:val="4F81BD" w:themeColor="accent1"/>
    </w:rPr>
  </w:style>
  <w:style w:type="character" w:customStyle="1" w:styleId="Titre1Car">
    <w:name w:val="Titre 1 Car"/>
    <w:basedOn w:val="Policepardfaut"/>
    <w:link w:val="Titre1"/>
    <w:uiPriority w:val="9"/>
    <w:rsid w:val="00E45B5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45B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45B5C"/>
    <w:rPr>
      <w:color w:val="0000FF"/>
      <w:u w:val="single"/>
    </w:rPr>
  </w:style>
  <w:style w:type="paragraph" w:styleId="En-tte">
    <w:name w:val="header"/>
    <w:basedOn w:val="Normal"/>
    <w:link w:val="En-tteCar"/>
    <w:uiPriority w:val="99"/>
    <w:unhideWhenUsed/>
    <w:rsid w:val="004F5D4C"/>
    <w:pPr>
      <w:tabs>
        <w:tab w:val="center" w:pos="4536"/>
        <w:tab w:val="right" w:pos="9072"/>
      </w:tabs>
      <w:spacing w:after="0" w:line="240" w:lineRule="auto"/>
    </w:pPr>
  </w:style>
  <w:style w:type="character" w:customStyle="1" w:styleId="En-tteCar">
    <w:name w:val="En-tête Car"/>
    <w:basedOn w:val="Policepardfaut"/>
    <w:link w:val="En-tte"/>
    <w:uiPriority w:val="99"/>
    <w:rsid w:val="004F5D4C"/>
  </w:style>
  <w:style w:type="paragraph" w:styleId="Pieddepage">
    <w:name w:val="footer"/>
    <w:basedOn w:val="Normal"/>
    <w:link w:val="PieddepageCar"/>
    <w:uiPriority w:val="99"/>
    <w:unhideWhenUsed/>
    <w:rsid w:val="004F5D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D4C"/>
  </w:style>
  <w:style w:type="character" w:customStyle="1" w:styleId="apple-converted-space">
    <w:name w:val="apple-converted-space"/>
    <w:basedOn w:val="Policepardfaut"/>
    <w:rsid w:val="00292E8F"/>
  </w:style>
  <w:style w:type="character" w:styleId="lev">
    <w:name w:val="Strong"/>
    <w:basedOn w:val="Policepardfaut"/>
    <w:uiPriority w:val="22"/>
    <w:qFormat/>
    <w:rsid w:val="00E35F7D"/>
    <w:rPr>
      <w:b/>
      <w:bCs/>
    </w:rPr>
  </w:style>
  <w:style w:type="paragraph" w:styleId="Paragraphedeliste">
    <w:name w:val="List Paragraph"/>
    <w:basedOn w:val="Normal"/>
    <w:uiPriority w:val="34"/>
    <w:qFormat/>
    <w:rsid w:val="00DC5762"/>
    <w:pPr>
      <w:ind w:left="720"/>
      <w:contextualSpacing/>
    </w:pPr>
  </w:style>
  <w:style w:type="character" w:styleId="Accentuation">
    <w:name w:val="Emphasis"/>
    <w:basedOn w:val="Policepardfaut"/>
    <w:uiPriority w:val="20"/>
    <w:qFormat/>
    <w:rsid w:val="000D18A4"/>
    <w:rPr>
      <w:i/>
      <w:iCs/>
    </w:rPr>
  </w:style>
  <w:style w:type="character" w:customStyle="1" w:styleId="b2">
    <w:name w:val="b2"/>
    <w:basedOn w:val="Policepardfaut"/>
    <w:rsid w:val="000D18A4"/>
  </w:style>
  <w:style w:type="character" w:customStyle="1" w:styleId="b5">
    <w:name w:val="b5"/>
    <w:basedOn w:val="Policepardfaut"/>
    <w:rsid w:val="000D18A4"/>
  </w:style>
  <w:style w:type="character" w:customStyle="1" w:styleId="b4">
    <w:name w:val="b4"/>
    <w:basedOn w:val="Policepardfaut"/>
    <w:rsid w:val="000D18A4"/>
  </w:style>
  <w:style w:type="character" w:customStyle="1" w:styleId="b3">
    <w:name w:val="b3"/>
    <w:basedOn w:val="Policepardfaut"/>
    <w:rsid w:val="000D18A4"/>
  </w:style>
  <w:style w:type="character" w:customStyle="1" w:styleId="b1">
    <w:name w:val="b1"/>
    <w:basedOn w:val="Policepardfaut"/>
    <w:rsid w:val="000D18A4"/>
  </w:style>
  <w:style w:type="paragraph" w:styleId="En-ttedetabledesmatires">
    <w:name w:val="TOC Heading"/>
    <w:basedOn w:val="Titre1"/>
    <w:next w:val="Normal"/>
    <w:uiPriority w:val="39"/>
    <w:semiHidden/>
    <w:unhideWhenUsed/>
    <w:qFormat/>
    <w:rsid w:val="00BC27B0"/>
    <w:pPr>
      <w:outlineLvl w:val="9"/>
    </w:pPr>
    <w:rPr>
      <w:lang w:eastAsia="fr-FR"/>
    </w:rPr>
  </w:style>
  <w:style w:type="paragraph" w:styleId="TM1">
    <w:name w:val="toc 1"/>
    <w:basedOn w:val="Normal"/>
    <w:next w:val="Normal"/>
    <w:autoRedefine/>
    <w:uiPriority w:val="39"/>
    <w:unhideWhenUsed/>
    <w:rsid w:val="00BC27B0"/>
    <w:pPr>
      <w:spacing w:after="100"/>
    </w:pPr>
  </w:style>
  <w:style w:type="paragraph" w:customStyle="1" w:styleId="Default">
    <w:name w:val="Default"/>
    <w:rsid w:val="008B427E"/>
    <w:pPr>
      <w:autoSpaceDE w:val="0"/>
      <w:autoSpaceDN w:val="0"/>
      <w:adjustRightInd w:val="0"/>
      <w:spacing w:after="0" w:line="240" w:lineRule="auto"/>
    </w:pPr>
    <w:rPr>
      <w:rFonts w:ascii="Arial" w:eastAsia="Calibri" w:hAnsi="Arial" w:cs="Arial"/>
      <w:color w:val="000000"/>
      <w:sz w:val="24"/>
      <w:szCs w:val="24"/>
      <w:lang w:eastAsia="fr-FR"/>
    </w:rPr>
  </w:style>
  <w:style w:type="paragraph" w:styleId="Notedebasdepage">
    <w:name w:val="footnote text"/>
    <w:basedOn w:val="Normal"/>
    <w:link w:val="NotedebasdepageCar"/>
    <w:uiPriority w:val="99"/>
    <w:semiHidden/>
    <w:unhideWhenUsed/>
    <w:rsid w:val="002720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2062"/>
    <w:rPr>
      <w:sz w:val="20"/>
      <w:szCs w:val="20"/>
    </w:rPr>
  </w:style>
  <w:style w:type="character" w:styleId="Appelnotedebasdep">
    <w:name w:val="footnote reference"/>
    <w:basedOn w:val="Policepardfaut"/>
    <w:uiPriority w:val="99"/>
    <w:semiHidden/>
    <w:unhideWhenUsed/>
    <w:rsid w:val="00272062"/>
    <w:rPr>
      <w:vertAlign w:val="superscript"/>
    </w:rPr>
  </w:style>
  <w:style w:type="character" w:styleId="Marquedecommentaire">
    <w:name w:val="annotation reference"/>
    <w:basedOn w:val="Policepardfaut"/>
    <w:uiPriority w:val="99"/>
    <w:semiHidden/>
    <w:unhideWhenUsed/>
    <w:rsid w:val="00E8516F"/>
    <w:rPr>
      <w:sz w:val="16"/>
      <w:szCs w:val="16"/>
    </w:rPr>
  </w:style>
  <w:style w:type="paragraph" w:styleId="Commentaire">
    <w:name w:val="annotation text"/>
    <w:basedOn w:val="Normal"/>
    <w:link w:val="CommentaireCar"/>
    <w:uiPriority w:val="99"/>
    <w:semiHidden/>
    <w:unhideWhenUsed/>
    <w:rsid w:val="00E8516F"/>
    <w:pPr>
      <w:spacing w:line="240" w:lineRule="auto"/>
    </w:pPr>
    <w:rPr>
      <w:sz w:val="20"/>
      <w:szCs w:val="20"/>
    </w:rPr>
  </w:style>
  <w:style w:type="character" w:customStyle="1" w:styleId="CommentaireCar">
    <w:name w:val="Commentaire Car"/>
    <w:basedOn w:val="Policepardfaut"/>
    <w:link w:val="Commentaire"/>
    <w:uiPriority w:val="99"/>
    <w:semiHidden/>
    <w:rsid w:val="00E8516F"/>
    <w:rPr>
      <w:sz w:val="20"/>
      <w:szCs w:val="20"/>
    </w:rPr>
  </w:style>
  <w:style w:type="paragraph" w:styleId="Objetducommentaire">
    <w:name w:val="annotation subject"/>
    <w:basedOn w:val="Commentaire"/>
    <w:next w:val="Commentaire"/>
    <w:link w:val="ObjetducommentaireCar"/>
    <w:uiPriority w:val="99"/>
    <w:semiHidden/>
    <w:unhideWhenUsed/>
    <w:rsid w:val="00E8516F"/>
    <w:rPr>
      <w:b/>
      <w:bCs/>
    </w:rPr>
  </w:style>
  <w:style w:type="character" w:customStyle="1" w:styleId="ObjetducommentaireCar">
    <w:name w:val="Objet du commentaire Car"/>
    <w:basedOn w:val="CommentaireCar"/>
    <w:link w:val="Objetducommentaire"/>
    <w:uiPriority w:val="99"/>
    <w:semiHidden/>
    <w:rsid w:val="00E8516F"/>
    <w:rPr>
      <w:b/>
      <w:bCs/>
      <w:sz w:val="20"/>
      <w:szCs w:val="20"/>
    </w:rPr>
  </w:style>
  <w:style w:type="character" w:styleId="Lienhypertextesuivivisit">
    <w:name w:val="FollowedHyperlink"/>
    <w:basedOn w:val="Policepardfaut"/>
    <w:uiPriority w:val="99"/>
    <w:semiHidden/>
    <w:unhideWhenUsed/>
    <w:rsid w:val="00D77A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51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5186"/>
    <w:rPr>
      <w:rFonts w:ascii="Tahoma" w:hAnsi="Tahoma" w:cs="Tahoma"/>
      <w:sz w:val="16"/>
      <w:szCs w:val="16"/>
    </w:rPr>
  </w:style>
  <w:style w:type="paragraph" w:styleId="Citationintense">
    <w:name w:val="Intense Quote"/>
    <w:basedOn w:val="Normal"/>
    <w:next w:val="Normal"/>
    <w:link w:val="CitationintenseCar"/>
    <w:uiPriority w:val="30"/>
    <w:qFormat/>
    <w:rsid w:val="003B518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B5186"/>
    <w:rPr>
      <w:b/>
      <w:bCs/>
      <w:i/>
      <w:iCs/>
      <w:color w:val="4F81BD" w:themeColor="accent1"/>
    </w:rPr>
  </w:style>
  <w:style w:type="character" w:customStyle="1" w:styleId="Titre1Car">
    <w:name w:val="Titre 1 Car"/>
    <w:basedOn w:val="Policepardfaut"/>
    <w:link w:val="Titre1"/>
    <w:uiPriority w:val="9"/>
    <w:rsid w:val="00E45B5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45B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45B5C"/>
    <w:rPr>
      <w:color w:val="0000FF"/>
      <w:u w:val="single"/>
    </w:rPr>
  </w:style>
  <w:style w:type="paragraph" w:styleId="En-tte">
    <w:name w:val="header"/>
    <w:basedOn w:val="Normal"/>
    <w:link w:val="En-tteCar"/>
    <w:uiPriority w:val="99"/>
    <w:unhideWhenUsed/>
    <w:rsid w:val="004F5D4C"/>
    <w:pPr>
      <w:tabs>
        <w:tab w:val="center" w:pos="4536"/>
        <w:tab w:val="right" w:pos="9072"/>
      </w:tabs>
      <w:spacing w:after="0" w:line="240" w:lineRule="auto"/>
    </w:pPr>
  </w:style>
  <w:style w:type="character" w:customStyle="1" w:styleId="En-tteCar">
    <w:name w:val="En-tête Car"/>
    <w:basedOn w:val="Policepardfaut"/>
    <w:link w:val="En-tte"/>
    <w:uiPriority w:val="99"/>
    <w:rsid w:val="004F5D4C"/>
  </w:style>
  <w:style w:type="paragraph" w:styleId="Pieddepage">
    <w:name w:val="footer"/>
    <w:basedOn w:val="Normal"/>
    <w:link w:val="PieddepageCar"/>
    <w:uiPriority w:val="99"/>
    <w:unhideWhenUsed/>
    <w:rsid w:val="004F5D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D4C"/>
  </w:style>
  <w:style w:type="character" w:customStyle="1" w:styleId="apple-converted-space">
    <w:name w:val="apple-converted-space"/>
    <w:basedOn w:val="Policepardfaut"/>
    <w:rsid w:val="00292E8F"/>
  </w:style>
  <w:style w:type="character" w:styleId="lev">
    <w:name w:val="Strong"/>
    <w:basedOn w:val="Policepardfaut"/>
    <w:uiPriority w:val="22"/>
    <w:qFormat/>
    <w:rsid w:val="00E35F7D"/>
    <w:rPr>
      <w:b/>
      <w:bCs/>
    </w:rPr>
  </w:style>
  <w:style w:type="paragraph" w:styleId="Paragraphedeliste">
    <w:name w:val="List Paragraph"/>
    <w:basedOn w:val="Normal"/>
    <w:uiPriority w:val="34"/>
    <w:qFormat/>
    <w:rsid w:val="00DC5762"/>
    <w:pPr>
      <w:ind w:left="720"/>
      <w:contextualSpacing/>
    </w:pPr>
  </w:style>
  <w:style w:type="character" w:styleId="Accentuation">
    <w:name w:val="Emphasis"/>
    <w:basedOn w:val="Policepardfaut"/>
    <w:uiPriority w:val="20"/>
    <w:qFormat/>
    <w:rsid w:val="000D18A4"/>
    <w:rPr>
      <w:i/>
      <w:iCs/>
    </w:rPr>
  </w:style>
  <w:style w:type="character" w:customStyle="1" w:styleId="b2">
    <w:name w:val="b2"/>
    <w:basedOn w:val="Policepardfaut"/>
    <w:rsid w:val="000D18A4"/>
  </w:style>
  <w:style w:type="character" w:customStyle="1" w:styleId="b5">
    <w:name w:val="b5"/>
    <w:basedOn w:val="Policepardfaut"/>
    <w:rsid w:val="000D18A4"/>
  </w:style>
  <w:style w:type="character" w:customStyle="1" w:styleId="b4">
    <w:name w:val="b4"/>
    <w:basedOn w:val="Policepardfaut"/>
    <w:rsid w:val="000D18A4"/>
  </w:style>
  <w:style w:type="character" w:customStyle="1" w:styleId="b3">
    <w:name w:val="b3"/>
    <w:basedOn w:val="Policepardfaut"/>
    <w:rsid w:val="000D18A4"/>
  </w:style>
  <w:style w:type="character" w:customStyle="1" w:styleId="b1">
    <w:name w:val="b1"/>
    <w:basedOn w:val="Policepardfaut"/>
    <w:rsid w:val="000D18A4"/>
  </w:style>
  <w:style w:type="paragraph" w:styleId="En-ttedetabledesmatires">
    <w:name w:val="TOC Heading"/>
    <w:basedOn w:val="Titre1"/>
    <w:next w:val="Normal"/>
    <w:uiPriority w:val="39"/>
    <w:semiHidden/>
    <w:unhideWhenUsed/>
    <w:qFormat/>
    <w:rsid w:val="00BC27B0"/>
    <w:pPr>
      <w:outlineLvl w:val="9"/>
    </w:pPr>
    <w:rPr>
      <w:lang w:eastAsia="fr-FR"/>
    </w:rPr>
  </w:style>
  <w:style w:type="paragraph" w:styleId="TM1">
    <w:name w:val="toc 1"/>
    <w:basedOn w:val="Normal"/>
    <w:next w:val="Normal"/>
    <w:autoRedefine/>
    <w:uiPriority w:val="39"/>
    <w:unhideWhenUsed/>
    <w:rsid w:val="00BC27B0"/>
    <w:pPr>
      <w:spacing w:after="100"/>
    </w:pPr>
  </w:style>
  <w:style w:type="paragraph" w:customStyle="1" w:styleId="Default">
    <w:name w:val="Default"/>
    <w:rsid w:val="008B427E"/>
    <w:pPr>
      <w:autoSpaceDE w:val="0"/>
      <w:autoSpaceDN w:val="0"/>
      <w:adjustRightInd w:val="0"/>
      <w:spacing w:after="0" w:line="240" w:lineRule="auto"/>
    </w:pPr>
    <w:rPr>
      <w:rFonts w:ascii="Arial" w:eastAsia="Calibri" w:hAnsi="Arial" w:cs="Arial"/>
      <w:color w:val="000000"/>
      <w:sz w:val="24"/>
      <w:szCs w:val="24"/>
      <w:lang w:eastAsia="fr-FR"/>
    </w:rPr>
  </w:style>
  <w:style w:type="paragraph" w:styleId="Notedebasdepage">
    <w:name w:val="footnote text"/>
    <w:basedOn w:val="Normal"/>
    <w:link w:val="NotedebasdepageCar"/>
    <w:uiPriority w:val="99"/>
    <w:semiHidden/>
    <w:unhideWhenUsed/>
    <w:rsid w:val="002720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2062"/>
    <w:rPr>
      <w:sz w:val="20"/>
      <w:szCs w:val="20"/>
    </w:rPr>
  </w:style>
  <w:style w:type="character" w:styleId="Appelnotedebasdep">
    <w:name w:val="footnote reference"/>
    <w:basedOn w:val="Policepardfaut"/>
    <w:uiPriority w:val="99"/>
    <w:semiHidden/>
    <w:unhideWhenUsed/>
    <w:rsid w:val="00272062"/>
    <w:rPr>
      <w:vertAlign w:val="superscript"/>
    </w:rPr>
  </w:style>
  <w:style w:type="character" w:styleId="Marquedecommentaire">
    <w:name w:val="annotation reference"/>
    <w:basedOn w:val="Policepardfaut"/>
    <w:uiPriority w:val="99"/>
    <w:semiHidden/>
    <w:unhideWhenUsed/>
    <w:rsid w:val="00E8516F"/>
    <w:rPr>
      <w:sz w:val="16"/>
      <w:szCs w:val="16"/>
    </w:rPr>
  </w:style>
  <w:style w:type="paragraph" w:styleId="Commentaire">
    <w:name w:val="annotation text"/>
    <w:basedOn w:val="Normal"/>
    <w:link w:val="CommentaireCar"/>
    <w:uiPriority w:val="99"/>
    <w:semiHidden/>
    <w:unhideWhenUsed/>
    <w:rsid w:val="00E8516F"/>
    <w:pPr>
      <w:spacing w:line="240" w:lineRule="auto"/>
    </w:pPr>
    <w:rPr>
      <w:sz w:val="20"/>
      <w:szCs w:val="20"/>
    </w:rPr>
  </w:style>
  <w:style w:type="character" w:customStyle="1" w:styleId="CommentaireCar">
    <w:name w:val="Commentaire Car"/>
    <w:basedOn w:val="Policepardfaut"/>
    <w:link w:val="Commentaire"/>
    <w:uiPriority w:val="99"/>
    <w:semiHidden/>
    <w:rsid w:val="00E8516F"/>
    <w:rPr>
      <w:sz w:val="20"/>
      <w:szCs w:val="20"/>
    </w:rPr>
  </w:style>
  <w:style w:type="paragraph" w:styleId="Objetducommentaire">
    <w:name w:val="annotation subject"/>
    <w:basedOn w:val="Commentaire"/>
    <w:next w:val="Commentaire"/>
    <w:link w:val="ObjetducommentaireCar"/>
    <w:uiPriority w:val="99"/>
    <w:semiHidden/>
    <w:unhideWhenUsed/>
    <w:rsid w:val="00E8516F"/>
    <w:rPr>
      <w:b/>
      <w:bCs/>
    </w:rPr>
  </w:style>
  <w:style w:type="character" w:customStyle="1" w:styleId="ObjetducommentaireCar">
    <w:name w:val="Objet du commentaire Car"/>
    <w:basedOn w:val="CommentaireCar"/>
    <w:link w:val="Objetducommentaire"/>
    <w:uiPriority w:val="99"/>
    <w:semiHidden/>
    <w:rsid w:val="00E8516F"/>
    <w:rPr>
      <w:b/>
      <w:bCs/>
      <w:sz w:val="20"/>
      <w:szCs w:val="20"/>
    </w:rPr>
  </w:style>
  <w:style w:type="character" w:styleId="Lienhypertextesuivivisit">
    <w:name w:val="FollowedHyperlink"/>
    <w:basedOn w:val="Policepardfaut"/>
    <w:uiPriority w:val="99"/>
    <w:semiHidden/>
    <w:unhideWhenUsed/>
    <w:rsid w:val="00D77A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0827">
      <w:bodyDiv w:val="1"/>
      <w:marLeft w:val="0"/>
      <w:marRight w:val="0"/>
      <w:marTop w:val="0"/>
      <w:marBottom w:val="0"/>
      <w:divBdr>
        <w:top w:val="none" w:sz="0" w:space="0" w:color="auto"/>
        <w:left w:val="none" w:sz="0" w:space="0" w:color="auto"/>
        <w:bottom w:val="none" w:sz="0" w:space="0" w:color="auto"/>
        <w:right w:val="none" w:sz="0" w:space="0" w:color="auto"/>
      </w:divBdr>
    </w:div>
    <w:div w:id="273290445">
      <w:bodyDiv w:val="1"/>
      <w:marLeft w:val="0"/>
      <w:marRight w:val="0"/>
      <w:marTop w:val="0"/>
      <w:marBottom w:val="0"/>
      <w:divBdr>
        <w:top w:val="none" w:sz="0" w:space="0" w:color="auto"/>
        <w:left w:val="none" w:sz="0" w:space="0" w:color="auto"/>
        <w:bottom w:val="none" w:sz="0" w:space="0" w:color="auto"/>
        <w:right w:val="none" w:sz="0" w:space="0" w:color="auto"/>
      </w:divBdr>
    </w:div>
    <w:div w:id="387463049">
      <w:bodyDiv w:val="1"/>
      <w:marLeft w:val="0"/>
      <w:marRight w:val="0"/>
      <w:marTop w:val="0"/>
      <w:marBottom w:val="0"/>
      <w:divBdr>
        <w:top w:val="none" w:sz="0" w:space="0" w:color="auto"/>
        <w:left w:val="none" w:sz="0" w:space="0" w:color="auto"/>
        <w:bottom w:val="none" w:sz="0" w:space="0" w:color="auto"/>
        <w:right w:val="none" w:sz="0" w:space="0" w:color="auto"/>
      </w:divBdr>
    </w:div>
    <w:div w:id="428233071">
      <w:bodyDiv w:val="1"/>
      <w:marLeft w:val="0"/>
      <w:marRight w:val="0"/>
      <w:marTop w:val="0"/>
      <w:marBottom w:val="0"/>
      <w:divBdr>
        <w:top w:val="none" w:sz="0" w:space="0" w:color="auto"/>
        <w:left w:val="none" w:sz="0" w:space="0" w:color="auto"/>
        <w:bottom w:val="none" w:sz="0" w:space="0" w:color="auto"/>
        <w:right w:val="none" w:sz="0" w:space="0" w:color="auto"/>
      </w:divBdr>
      <w:divsChild>
        <w:div w:id="1761171521">
          <w:marLeft w:val="0"/>
          <w:marRight w:val="0"/>
          <w:marTop w:val="0"/>
          <w:marBottom w:val="0"/>
          <w:divBdr>
            <w:top w:val="none" w:sz="0" w:space="0" w:color="auto"/>
            <w:left w:val="none" w:sz="0" w:space="0" w:color="auto"/>
            <w:bottom w:val="none" w:sz="0" w:space="0" w:color="auto"/>
            <w:right w:val="none" w:sz="0" w:space="0" w:color="auto"/>
          </w:divBdr>
        </w:div>
        <w:div w:id="1375154639">
          <w:marLeft w:val="0"/>
          <w:marRight w:val="0"/>
          <w:marTop w:val="0"/>
          <w:marBottom w:val="0"/>
          <w:divBdr>
            <w:top w:val="none" w:sz="0" w:space="0" w:color="auto"/>
            <w:left w:val="none" w:sz="0" w:space="0" w:color="auto"/>
            <w:bottom w:val="none" w:sz="0" w:space="0" w:color="auto"/>
            <w:right w:val="none" w:sz="0" w:space="0" w:color="auto"/>
          </w:divBdr>
        </w:div>
        <w:div w:id="1926496418">
          <w:marLeft w:val="0"/>
          <w:marRight w:val="0"/>
          <w:marTop w:val="0"/>
          <w:marBottom w:val="0"/>
          <w:divBdr>
            <w:top w:val="none" w:sz="0" w:space="0" w:color="auto"/>
            <w:left w:val="none" w:sz="0" w:space="0" w:color="auto"/>
            <w:bottom w:val="none" w:sz="0" w:space="0" w:color="auto"/>
            <w:right w:val="none" w:sz="0" w:space="0" w:color="auto"/>
          </w:divBdr>
        </w:div>
        <w:div w:id="1119030534">
          <w:marLeft w:val="0"/>
          <w:marRight w:val="0"/>
          <w:marTop w:val="0"/>
          <w:marBottom w:val="0"/>
          <w:divBdr>
            <w:top w:val="none" w:sz="0" w:space="0" w:color="auto"/>
            <w:left w:val="none" w:sz="0" w:space="0" w:color="auto"/>
            <w:bottom w:val="none" w:sz="0" w:space="0" w:color="auto"/>
            <w:right w:val="none" w:sz="0" w:space="0" w:color="auto"/>
          </w:divBdr>
        </w:div>
        <w:div w:id="784692897">
          <w:marLeft w:val="0"/>
          <w:marRight w:val="0"/>
          <w:marTop w:val="0"/>
          <w:marBottom w:val="0"/>
          <w:divBdr>
            <w:top w:val="none" w:sz="0" w:space="0" w:color="auto"/>
            <w:left w:val="none" w:sz="0" w:space="0" w:color="auto"/>
            <w:bottom w:val="none" w:sz="0" w:space="0" w:color="auto"/>
            <w:right w:val="none" w:sz="0" w:space="0" w:color="auto"/>
          </w:divBdr>
        </w:div>
        <w:div w:id="665207058">
          <w:marLeft w:val="0"/>
          <w:marRight w:val="0"/>
          <w:marTop w:val="0"/>
          <w:marBottom w:val="0"/>
          <w:divBdr>
            <w:top w:val="none" w:sz="0" w:space="0" w:color="auto"/>
            <w:left w:val="none" w:sz="0" w:space="0" w:color="auto"/>
            <w:bottom w:val="none" w:sz="0" w:space="0" w:color="auto"/>
            <w:right w:val="none" w:sz="0" w:space="0" w:color="auto"/>
          </w:divBdr>
        </w:div>
        <w:div w:id="1782339118">
          <w:marLeft w:val="0"/>
          <w:marRight w:val="0"/>
          <w:marTop w:val="0"/>
          <w:marBottom w:val="0"/>
          <w:divBdr>
            <w:top w:val="none" w:sz="0" w:space="0" w:color="auto"/>
            <w:left w:val="none" w:sz="0" w:space="0" w:color="auto"/>
            <w:bottom w:val="none" w:sz="0" w:space="0" w:color="auto"/>
            <w:right w:val="none" w:sz="0" w:space="0" w:color="auto"/>
          </w:divBdr>
        </w:div>
        <w:div w:id="1444152194">
          <w:marLeft w:val="0"/>
          <w:marRight w:val="0"/>
          <w:marTop w:val="0"/>
          <w:marBottom w:val="0"/>
          <w:divBdr>
            <w:top w:val="none" w:sz="0" w:space="0" w:color="auto"/>
            <w:left w:val="none" w:sz="0" w:space="0" w:color="auto"/>
            <w:bottom w:val="none" w:sz="0" w:space="0" w:color="auto"/>
            <w:right w:val="none" w:sz="0" w:space="0" w:color="auto"/>
          </w:divBdr>
        </w:div>
        <w:div w:id="581843090">
          <w:marLeft w:val="0"/>
          <w:marRight w:val="0"/>
          <w:marTop w:val="0"/>
          <w:marBottom w:val="0"/>
          <w:divBdr>
            <w:top w:val="none" w:sz="0" w:space="0" w:color="auto"/>
            <w:left w:val="none" w:sz="0" w:space="0" w:color="auto"/>
            <w:bottom w:val="none" w:sz="0" w:space="0" w:color="auto"/>
            <w:right w:val="none" w:sz="0" w:space="0" w:color="auto"/>
          </w:divBdr>
        </w:div>
        <w:div w:id="1532839426">
          <w:marLeft w:val="0"/>
          <w:marRight w:val="0"/>
          <w:marTop w:val="0"/>
          <w:marBottom w:val="0"/>
          <w:divBdr>
            <w:top w:val="none" w:sz="0" w:space="0" w:color="auto"/>
            <w:left w:val="none" w:sz="0" w:space="0" w:color="auto"/>
            <w:bottom w:val="none" w:sz="0" w:space="0" w:color="auto"/>
            <w:right w:val="none" w:sz="0" w:space="0" w:color="auto"/>
          </w:divBdr>
        </w:div>
        <w:div w:id="1244290705">
          <w:marLeft w:val="0"/>
          <w:marRight w:val="0"/>
          <w:marTop w:val="0"/>
          <w:marBottom w:val="0"/>
          <w:divBdr>
            <w:top w:val="none" w:sz="0" w:space="0" w:color="auto"/>
            <w:left w:val="none" w:sz="0" w:space="0" w:color="auto"/>
            <w:bottom w:val="none" w:sz="0" w:space="0" w:color="auto"/>
            <w:right w:val="none" w:sz="0" w:space="0" w:color="auto"/>
          </w:divBdr>
        </w:div>
        <w:div w:id="327635708">
          <w:marLeft w:val="0"/>
          <w:marRight w:val="0"/>
          <w:marTop w:val="0"/>
          <w:marBottom w:val="0"/>
          <w:divBdr>
            <w:top w:val="none" w:sz="0" w:space="0" w:color="auto"/>
            <w:left w:val="none" w:sz="0" w:space="0" w:color="auto"/>
            <w:bottom w:val="none" w:sz="0" w:space="0" w:color="auto"/>
            <w:right w:val="none" w:sz="0" w:space="0" w:color="auto"/>
          </w:divBdr>
        </w:div>
        <w:div w:id="1011564807">
          <w:marLeft w:val="0"/>
          <w:marRight w:val="0"/>
          <w:marTop w:val="0"/>
          <w:marBottom w:val="0"/>
          <w:divBdr>
            <w:top w:val="none" w:sz="0" w:space="0" w:color="auto"/>
            <w:left w:val="none" w:sz="0" w:space="0" w:color="auto"/>
            <w:bottom w:val="none" w:sz="0" w:space="0" w:color="auto"/>
            <w:right w:val="none" w:sz="0" w:space="0" w:color="auto"/>
          </w:divBdr>
        </w:div>
        <w:div w:id="1135876545">
          <w:marLeft w:val="0"/>
          <w:marRight w:val="0"/>
          <w:marTop w:val="0"/>
          <w:marBottom w:val="0"/>
          <w:divBdr>
            <w:top w:val="none" w:sz="0" w:space="0" w:color="auto"/>
            <w:left w:val="none" w:sz="0" w:space="0" w:color="auto"/>
            <w:bottom w:val="none" w:sz="0" w:space="0" w:color="auto"/>
            <w:right w:val="none" w:sz="0" w:space="0" w:color="auto"/>
          </w:divBdr>
        </w:div>
      </w:divsChild>
    </w:div>
    <w:div w:id="481846657">
      <w:bodyDiv w:val="1"/>
      <w:marLeft w:val="0"/>
      <w:marRight w:val="0"/>
      <w:marTop w:val="0"/>
      <w:marBottom w:val="0"/>
      <w:divBdr>
        <w:top w:val="none" w:sz="0" w:space="0" w:color="auto"/>
        <w:left w:val="none" w:sz="0" w:space="0" w:color="auto"/>
        <w:bottom w:val="none" w:sz="0" w:space="0" w:color="auto"/>
        <w:right w:val="none" w:sz="0" w:space="0" w:color="auto"/>
      </w:divBdr>
    </w:div>
    <w:div w:id="519592587">
      <w:bodyDiv w:val="1"/>
      <w:marLeft w:val="0"/>
      <w:marRight w:val="0"/>
      <w:marTop w:val="0"/>
      <w:marBottom w:val="0"/>
      <w:divBdr>
        <w:top w:val="none" w:sz="0" w:space="0" w:color="auto"/>
        <w:left w:val="none" w:sz="0" w:space="0" w:color="auto"/>
        <w:bottom w:val="none" w:sz="0" w:space="0" w:color="auto"/>
        <w:right w:val="none" w:sz="0" w:space="0" w:color="auto"/>
      </w:divBdr>
    </w:div>
    <w:div w:id="791677429">
      <w:bodyDiv w:val="1"/>
      <w:marLeft w:val="0"/>
      <w:marRight w:val="0"/>
      <w:marTop w:val="0"/>
      <w:marBottom w:val="0"/>
      <w:divBdr>
        <w:top w:val="none" w:sz="0" w:space="0" w:color="auto"/>
        <w:left w:val="none" w:sz="0" w:space="0" w:color="auto"/>
        <w:bottom w:val="none" w:sz="0" w:space="0" w:color="auto"/>
        <w:right w:val="none" w:sz="0" w:space="0" w:color="auto"/>
      </w:divBdr>
    </w:div>
    <w:div w:id="862017147">
      <w:bodyDiv w:val="1"/>
      <w:marLeft w:val="0"/>
      <w:marRight w:val="0"/>
      <w:marTop w:val="0"/>
      <w:marBottom w:val="0"/>
      <w:divBdr>
        <w:top w:val="none" w:sz="0" w:space="0" w:color="auto"/>
        <w:left w:val="none" w:sz="0" w:space="0" w:color="auto"/>
        <w:bottom w:val="none" w:sz="0" w:space="0" w:color="auto"/>
        <w:right w:val="none" w:sz="0" w:space="0" w:color="auto"/>
      </w:divBdr>
    </w:div>
    <w:div w:id="956831163">
      <w:bodyDiv w:val="1"/>
      <w:marLeft w:val="0"/>
      <w:marRight w:val="0"/>
      <w:marTop w:val="0"/>
      <w:marBottom w:val="0"/>
      <w:divBdr>
        <w:top w:val="none" w:sz="0" w:space="0" w:color="auto"/>
        <w:left w:val="none" w:sz="0" w:space="0" w:color="auto"/>
        <w:bottom w:val="none" w:sz="0" w:space="0" w:color="auto"/>
        <w:right w:val="none" w:sz="0" w:space="0" w:color="auto"/>
      </w:divBdr>
    </w:div>
    <w:div w:id="990211497">
      <w:bodyDiv w:val="1"/>
      <w:marLeft w:val="0"/>
      <w:marRight w:val="0"/>
      <w:marTop w:val="0"/>
      <w:marBottom w:val="0"/>
      <w:divBdr>
        <w:top w:val="none" w:sz="0" w:space="0" w:color="auto"/>
        <w:left w:val="none" w:sz="0" w:space="0" w:color="auto"/>
        <w:bottom w:val="none" w:sz="0" w:space="0" w:color="auto"/>
        <w:right w:val="none" w:sz="0" w:space="0" w:color="auto"/>
      </w:divBdr>
    </w:div>
    <w:div w:id="1205291502">
      <w:bodyDiv w:val="1"/>
      <w:marLeft w:val="0"/>
      <w:marRight w:val="0"/>
      <w:marTop w:val="0"/>
      <w:marBottom w:val="0"/>
      <w:divBdr>
        <w:top w:val="none" w:sz="0" w:space="0" w:color="auto"/>
        <w:left w:val="none" w:sz="0" w:space="0" w:color="auto"/>
        <w:bottom w:val="none" w:sz="0" w:space="0" w:color="auto"/>
        <w:right w:val="none" w:sz="0" w:space="0" w:color="auto"/>
      </w:divBdr>
    </w:div>
    <w:div w:id="1221866543">
      <w:bodyDiv w:val="1"/>
      <w:marLeft w:val="0"/>
      <w:marRight w:val="0"/>
      <w:marTop w:val="0"/>
      <w:marBottom w:val="0"/>
      <w:divBdr>
        <w:top w:val="none" w:sz="0" w:space="0" w:color="auto"/>
        <w:left w:val="none" w:sz="0" w:space="0" w:color="auto"/>
        <w:bottom w:val="none" w:sz="0" w:space="0" w:color="auto"/>
        <w:right w:val="none" w:sz="0" w:space="0" w:color="auto"/>
      </w:divBdr>
    </w:div>
    <w:div w:id="1867599181">
      <w:bodyDiv w:val="1"/>
      <w:marLeft w:val="0"/>
      <w:marRight w:val="0"/>
      <w:marTop w:val="0"/>
      <w:marBottom w:val="0"/>
      <w:divBdr>
        <w:top w:val="none" w:sz="0" w:space="0" w:color="auto"/>
        <w:left w:val="none" w:sz="0" w:space="0" w:color="auto"/>
        <w:bottom w:val="none" w:sz="0" w:space="0" w:color="auto"/>
        <w:right w:val="none" w:sz="0" w:space="0" w:color="auto"/>
      </w:divBdr>
    </w:div>
    <w:div w:id="1914312203">
      <w:bodyDiv w:val="1"/>
      <w:marLeft w:val="0"/>
      <w:marRight w:val="0"/>
      <w:marTop w:val="0"/>
      <w:marBottom w:val="0"/>
      <w:divBdr>
        <w:top w:val="none" w:sz="0" w:space="0" w:color="auto"/>
        <w:left w:val="none" w:sz="0" w:space="0" w:color="auto"/>
        <w:bottom w:val="none" w:sz="0" w:space="0" w:color="auto"/>
        <w:right w:val="none" w:sz="0" w:space="0" w:color="auto"/>
      </w:divBdr>
    </w:div>
    <w:div w:id="20057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xinvest.fr/?page_id=884&amp;lang=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roxinvest.com" TargetMode="External"/><Relationship Id="rId17" Type="http://schemas.openxmlformats.org/officeDocument/2006/relationships/hyperlink" Target="http://www.proxinvest.fr/?page_id=194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proxinvest.fr/?page_id=2828&amp;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gn.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oxinvest.fr/?page_id=22" TargetMode="External"/><Relationship Id="rId23" Type="http://schemas.openxmlformats.org/officeDocument/2006/relationships/footer" Target="footer3.xml"/><Relationship Id="rId10" Type="http://schemas.openxmlformats.org/officeDocument/2006/relationships/hyperlink" Target="http://www.ecgs.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les-crises.fr/documents/2012/interview-leroy-monde-2002.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amf-france.org/technique/proxy-lien?docId=workspace%3A%2F%2FSpacesStore%2F12e1aead-0ff9-4f26-8fd0-d0ebe29d0efe&amp;famille=DOCTRINE&amp;langue=en" TargetMode="External"/><Relationship Id="rId1" Type="http://schemas.openxmlformats.org/officeDocument/2006/relationships/hyperlink" Target="http://www.ft.com/cms/s/0/bccd2ce0-e290-11e4-ba33-00144feab7d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D9C338E2D9496CBE1D68B13D6616FD"/>
        <w:category>
          <w:name w:val="Général"/>
          <w:gallery w:val="placeholder"/>
        </w:category>
        <w:types>
          <w:type w:val="bbPlcHdr"/>
        </w:types>
        <w:behaviors>
          <w:behavior w:val="content"/>
        </w:behaviors>
        <w:guid w:val="{00DDAA3D-5D7F-45A1-B134-B36E13F55665}"/>
      </w:docPartPr>
      <w:docPartBody>
        <w:p w:rsidR="00456CC7" w:rsidRDefault="00345ED8" w:rsidP="00345ED8">
          <w:pPr>
            <w:pStyle w:val="40D9C338E2D9496CBE1D68B13D6616FD"/>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Regular">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D8"/>
    <w:rsid w:val="00345ED8"/>
    <w:rsid w:val="00456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0D9C338E2D9496CBE1D68B13D6616FD">
    <w:name w:val="40D9C338E2D9496CBE1D68B13D6616FD"/>
    <w:rsid w:val="00345E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0D9C338E2D9496CBE1D68B13D6616FD">
    <w:name w:val="40D9C338E2D9496CBE1D68B13D6616FD"/>
    <w:rsid w:val="00345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646D-CAED-4F09-A162-A5532EB3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5628</Words>
  <Characters>30959</Characters>
  <Application>Microsoft Office Word</Application>
  <DocSecurity>0</DocSecurity>
  <Lines>257</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36514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2015-07-24T14:18:00Z</dcterms:created>
  <dcterms:modified xsi:type="dcterms:W3CDTF">2015-08-10T16:32:00Z</dcterms:modified>
</cp:coreProperties>
</file>