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B33CB1" w:rsidRPr="00E679BA" w:rsidTr="003763DB">
        <w:trPr>
          <w:trHeight w:val="284"/>
        </w:trPr>
        <w:tc>
          <w:tcPr>
            <w:tcW w:w="9412" w:type="dxa"/>
          </w:tcPr>
          <w:p w:rsidR="00B33CB1" w:rsidRPr="00376B02" w:rsidRDefault="00B33CB1" w:rsidP="003763DB">
            <w:pPr>
              <w:pStyle w:val="00bDBInfo"/>
            </w:pPr>
            <w:bookmarkStart w:id="0" w:name="_GoBack"/>
            <w:bookmarkEnd w:id="0"/>
            <w:r>
              <w:t>26 September</w:t>
            </w:r>
            <w:r w:rsidRPr="00376B02">
              <w:t xml:space="preserve"> 2014</w:t>
            </w:r>
          </w:p>
        </w:tc>
      </w:tr>
    </w:tbl>
    <w:p w:rsidR="00B33CB1" w:rsidRPr="00640DCD" w:rsidRDefault="00B33CB1" w:rsidP="00B33CB1">
      <w:pPr>
        <w:rPr>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R="00B33CB1" w:rsidRPr="00E679BA" w:rsidTr="003763DB">
        <w:trPr>
          <w:trHeight w:hRule="exact" w:val="1209"/>
        </w:trPr>
        <w:tc>
          <w:tcPr>
            <w:tcW w:w="9397" w:type="dxa"/>
            <w:vAlign w:val="bottom"/>
          </w:tcPr>
          <w:p w:rsidR="00B33CB1" w:rsidRDefault="006F52FC" w:rsidP="006F52FC">
            <w:pPr>
              <w:pStyle w:val="01aDBTitle"/>
              <w:jc w:val="left"/>
            </w:pPr>
            <w:r>
              <w:rPr>
                <w:color w:val="FF0000"/>
              </w:rPr>
              <w:t>Custodian Bank Council at the Polish</w:t>
            </w:r>
            <w:r w:rsidR="00814B2D">
              <w:rPr>
                <w:color w:val="FF0000"/>
              </w:rPr>
              <w:t xml:space="preserve"> </w:t>
            </w:r>
            <w:r>
              <w:rPr>
                <w:color w:val="FF0000"/>
              </w:rPr>
              <w:t>Bank  Asso</w:t>
            </w:r>
            <w:r w:rsidR="00814B2D">
              <w:rPr>
                <w:color w:val="FF0000"/>
              </w:rPr>
              <w:t>c</w:t>
            </w:r>
            <w:r>
              <w:rPr>
                <w:color w:val="FF0000"/>
              </w:rPr>
              <w:t xml:space="preserve">iation </w:t>
            </w:r>
            <w:r w:rsidR="00B33CB1">
              <w:rPr>
                <w:color w:val="FF0000"/>
              </w:rPr>
              <w:t xml:space="preserve"> </w:t>
            </w:r>
            <w:r w:rsidR="00B33CB1">
              <w:t xml:space="preserve">Reply for the </w:t>
            </w:r>
          </w:p>
          <w:p w:rsidR="00B33CB1" w:rsidRDefault="00B33CB1" w:rsidP="003763DB">
            <w:pPr>
              <w:pStyle w:val="01aDBTitle"/>
            </w:pPr>
            <w:r>
              <w:t>T</w:t>
            </w:r>
            <w:r w:rsidRPr="008319C1">
              <w:t xml:space="preserve">echnical </w:t>
            </w:r>
            <w:r>
              <w:t>A</w:t>
            </w:r>
            <w:r w:rsidRPr="008319C1">
              <w:t>dvice the on delegated acts required by the UCITS V Directive</w:t>
            </w:r>
            <w:r w:rsidRPr="00C8677B">
              <w:t xml:space="preserve"> </w:t>
            </w:r>
          </w:p>
          <w:p w:rsidR="00B33CB1" w:rsidRDefault="00B33CB1" w:rsidP="003763DB">
            <w:pPr>
              <w:pStyle w:val="01aDBTitle"/>
            </w:pPr>
            <w:r>
              <w:t xml:space="preserve"> </w:t>
            </w:r>
          </w:p>
          <w:p w:rsidR="00B33CB1" w:rsidRDefault="00B33CB1" w:rsidP="003763DB">
            <w:pPr>
              <w:pStyle w:val="01aDBTitle"/>
            </w:pPr>
            <w:r>
              <w:t>Template for comments</w:t>
            </w:r>
          </w:p>
          <w:p w:rsidR="00B33CB1" w:rsidRPr="00E679BA" w:rsidRDefault="00B33CB1" w:rsidP="003763DB">
            <w:pPr>
              <w:pStyle w:val="01aDBTitle"/>
            </w:pPr>
            <w:r>
              <w:t xml:space="preserve">for the ESMA </w:t>
            </w:r>
            <w:proofErr w:type="spellStart"/>
            <w:r>
              <w:t>MiFID</w:t>
            </w:r>
            <w:proofErr w:type="spellEnd"/>
            <w:r>
              <w:t xml:space="preserve"> II/</w:t>
            </w:r>
            <w:proofErr w:type="spellStart"/>
            <w:r>
              <w:t>MiFIR</w:t>
            </w:r>
            <w:proofErr w:type="spellEnd"/>
            <w:r>
              <w:t xml:space="preserve"> Discussion Paper  </w:t>
            </w:r>
            <w:r w:rsidRPr="00E679BA">
              <w:t xml:space="preserve"> </w:t>
            </w:r>
          </w:p>
        </w:tc>
      </w:tr>
      <w:tr w:rsidR="00B33CB1" w:rsidRPr="00E679BA" w:rsidTr="003763DB">
        <w:trPr>
          <w:trHeight w:hRule="exact" w:val="605"/>
        </w:trPr>
        <w:tc>
          <w:tcPr>
            <w:tcW w:w="9397" w:type="dxa"/>
            <w:tcMar>
              <w:top w:w="142" w:type="dxa"/>
            </w:tcMar>
          </w:tcPr>
          <w:p w:rsidR="00B33CB1" w:rsidRPr="00E679BA" w:rsidRDefault="00B33CB1" w:rsidP="003763DB">
            <w:pPr>
              <w:pStyle w:val="01bDBSubtitle"/>
            </w:pPr>
            <w:r w:rsidRPr="00E679BA">
              <w:t xml:space="preserve"> </w:t>
            </w:r>
          </w:p>
        </w:tc>
      </w:tr>
    </w:tbl>
    <w:p w:rsidR="00B33CB1" w:rsidRPr="00E679BA" w:rsidRDefault="00B33CB1" w:rsidP="00B33CB1">
      <w:pPr>
        <w:pStyle w:val="05HeadlinenoIndex"/>
        <w:sectPr w:rsidR="00B33CB1" w:rsidRPr="00E679BA" w:rsidSect="006E3C72">
          <w:headerReference w:type="default" r:id="rId10"/>
          <w:footerReference w:type="default" r:id="rId11"/>
          <w:headerReference w:type="first" r:id="rId12"/>
          <w:footerReference w:type="first" r:id="rId13"/>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B33CB1" w:rsidRPr="00E679BA" w:rsidTr="003763DB">
        <w:trPr>
          <w:trHeight w:hRule="exact" w:val="964"/>
        </w:trPr>
        <w:tc>
          <w:tcPr>
            <w:tcW w:w="2325" w:type="dxa"/>
          </w:tcPr>
          <w:p w:rsidR="00B33CB1" w:rsidRPr="00E679BA" w:rsidRDefault="00B33CB1" w:rsidP="003763DB">
            <w:pPr>
              <w:pStyle w:val="02Date"/>
            </w:pPr>
            <w:r w:rsidRPr="00222D9B">
              <w:lastRenderedPageBreak/>
              <w:t xml:space="preserve">Date: </w:t>
            </w:r>
            <w:r>
              <w:t>26 September</w:t>
            </w:r>
            <w:r w:rsidRPr="00222D9B">
              <w:t xml:space="preserve"> 2014</w:t>
            </w:r>
          </w:p>
        </w:tc>
      </w:tr>
    </w:tbl>
    <w:p w:rsidR="00B33CB1" w:rsidRDefault="00B33CB1" w:rsidP="00B33CB1">
      <w:pPr>
        <w:pStyle w:val="05HeadlinenoIndex"/>
      </w:pPr>
      <w:bookmarkStart w:id="1" w:name="_Toc280628648"/>
    </w:p>
    <w:p w:rsidR="00B33CB1" w:rsidRPr="00321CD3" w:rsidRDefault="00B33CB1" w:rsidP="00B33CB1">
      <w:pPr>
        <w:pStyle w:val="05HeadlinenoIndex"/>
      </w:pPr>
      <w:r>
        <w:br w:type="page"/>
      </w:r>
      <w:r w:rsidRPr="00321CD3">
        <w:lastRenderedPageBreak/>
        <w:t xml:space="preserve">Responding to this paper </w:t>
      </w:r>
    </w:p>
    <w:p w:rsidR="00B33CB1" w:rsidRDefault="00B33CB1" w:rsidP="00B33CB1">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Pr="0060674A">
        <w:t xml:space="preserve">Consultation Paper - </w:t>
      </w:r>
      <w:r w:rsidRPr="00F23C3D">
        <w:t>ESMA's technical advice to the European Commission on delegated acts required by the UCITS V Directive</w:t>
      </w:r>
      <w:r>
        <w:t xml:space="preserve">, </w:t>
      </w:r>
      <w:r w:rsidRPr="00015B5E">
        <w:t>published</w:t>
      </w:r>
      <w:r>
        <w:t xml:space="preserve"> on the ESMA website (</w:t>
      </w:r>
      <w:hyperlink r:id="rId14" w:history="1">
        <w:r w:rsidRPr="00015B5E">
          <w:rPr>
            <w:rStyle w:val="Hipercze"/>
          </w:rPr>
          <w:t>here</w:t>
        </w:r>
      </w:hyperlink>
      <w:r>
        <w:t>).</w:t>
      </w:r>
    </w:p>
    <w:p w:rsidR="00B33CB1" w:rsidRDefault="00B33CB1" w:rsidP="00B33CB1">
      <w:pPr>
        <w:pStyle w:val="04BodyText"/>
        <w:spacing w:before="120" w:after="120"/>
      </w:pPr>
    </w:p>
    <w:p w:rsidR="00B33CB1" w:rsidRPr="00F574D0" w:rsidRDefault="00B33CB1" w:rsidP="00B33CB1">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B33CB1" w:rsidRPr="0081710D" w:rsidRDefault="00B33CB1" w:rsidP="00B33CB1">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Pr="0081710D">
        <w:t>:</w:t>
      </w:r>
    </w:p>
    <w:p w:rsidR="00B33CB1" w:rsidRPr="00C0197A" w:rsidRDefault="00B33CB1" w:rsidP="00B33CB1">
      <w:pPr>
        <w:pStyle w:val="04bList"/>
        <w:numPr>
          <w:ilvl w:val="0"/>
          <w:numId w:val="2"/>
        </w:numPr>
        <w:spacing w:before="120" w:after="120"/>
        <w:ind w:left="720"/>
      </w:pPr>
      <w:r w:rsidRPr="00C0197A">
        <w:t xml:space="preserve">use this </w:t>
      </w:r>
      <w:r>
        <w:t>form</w:t>
      </w:r>
      <w:r w:rsidRPr="00C0197A">
        <w:t xml:space="preserve"> and send </w:t>
      </w:r>
      <w:r>
        <w:t>your</w:t>
      </w:r>
      <w:r w:rsidRPr="00C0197A">
        <w:t xml:space="preserve"> response</w:t>
      </w:r>
      <w:r>
        <w:t>s</w:t>
      </w:r>
      <w:r w:rsidRPr="00C0197A">
        <w:t xml:space="preserve"> in Word format;</w:t>
      </w:r>
    </w:p>
    <w:p w:rsidR="00B33CB1" w:rsidRPr="0081710D" w:rsidRDefault="00B33CB1" w:rsidP="00B33CB1">
      <w:pPr>
        <w:pStyle w:val="04bList"/>
        <w:numPr>
          <w:ilvl w:val="0"/>
          <w:numId w:val="2"/>
        </w:numPr>
        <w:spacing w:before="120" w:after="120"/>
        <w:ind w:left="720"/>
      </w:pPr>
      <w:r>
        <w:t xml:space="preserve">do </w:t>
      </w:r>
      <w:r w:rsidRPr="0081710D">
        <w:t>not remove the tags of type &lt;</w:t>
      </w:r>
      <w:r w:rsidRPr="00395EF9">
        <w:t xml:space="preserve"> </w:t>
      </w:r>
      <w:r>
        <w:t>ESMA_UCITS_QUESTION_</w:t>
      </w:r>
      <w:r w:rsidRPr="0081710D">
        <w:t>1&gt; - i.e. the response to one question has to be framed by the 2 tags corresponding to the question; and</w:t>
      </w:r>
    </w:p>
    <w:p w:rsidR="00B33CB1" w:rsidRPr="0081710D" w:rsidRDefault="00B33CB1" w:rsidP="00B33CB1">
      <w:pPr>
        <w:pStyle w:val="04bList"/>
        <w:numPr>
          <w:ilvl w:val="0"/>
          <w:numId w:val="2"/>
        </w:numPr>
        <w:spacing w:before="120" w:after="120"/>
        <w:ind w:left="720"/>
      </w:pPr>
      <w:r w:rsidRPr="0081710D">
        <w:t xml:space="preserve">if </w:t>
      </w:r>
      <w:r>
        <w:t>you do not have a</w:t>
      </w:r>
      <w:r w:rsidRPr="0081710D">
        <w:t xml:space="preserve"> response to a question, </w:t>
      </w:r>
      <w:r>
        <w:t xml:space="preserve">do </w:t>
      </w:r>
      <w:r w:rsidRPr="0081710D">
        <w:t>not delete it and leave the text “TYPE YOUR TEXT HERE” between the tags.</w:t>
      </w:r>
    </w:p>
    <w:p w:rsidR="00B33CB1" w:rsidRPr="0081710D" w:rsidRDefault="00B33CB1" w:rsidP="00B33CB1">
      <w:pPr>
        <w:pStyle w:val="04bList"/>
        <w:numPr>
          <w:ilvl w:val="0"/>
          <w:numId w:val="0"/>
        </w:numPr>
        <w:spacing w:before="120" w:after="120"/>
      </w:pPr>
      <w:r w:rsidRPr="0081710D">
        <w:t>Responses are most helpful:</w:t>
      </w:r>
    </w:p>
    <w:p w:rsidR="00B33CB1" w:rsidRPr="0081710D" w:rsidRDefault="00B33CB1" w:rsidP="00B33CB1">
      <w:pPr>
        <w:pStyle w:val="04bList"/>
        <w:numPr>
          <w:ilvl w:val="0"/>
          <w:numId w:val="5"/>
        </w:numPr>
        <w:spacing w:before="120" w:after="120"/>
      </w:pPr>
      <w:r w:rsidRPr="0081710D">
        <w:t>if they respond to the question stated;</w:t>
      </w:r>
    </w:p>
    <w:p w:rsidR="00B33CB1" w:rsidRPr="0081710D" w:rsidRDefault="00B33CB1" w:rsidP="00B33CB1">
      <w:pPr>
        <w:pStyle w:val="04bList"/>
        <w:numPr>
          <w:ilvl w:val="0"/>
          <w:numId w:val="5"/>
        </w:numPr>
        <w:spacing w:before="120" w:after="120"/>
      </w:pPr>
      <w:r w:rsidRPr="0081710D">
        <w:t>contain a clear rationale, including on any related costs and benefits; and</w:t>
      </w:r>
    </w:p>
    <w:p w:rsidR="00B33CB1" w:rsidRPr="0081710D" w:rsidRDefault="00B33CB1" w:rsidP="00B33CB1">
      <w:pPr>
        <w:pStyle w:val="04bList"/>
        <w:numPr>
          <w:ilvl w:val="0"/>
          <w:numId w:val="5"/>
        </w:numPr>
        <w:spacing w:before="120" w:after="120"/>
      </w:pPr>
      <w:r w:rsidRPr="0081710D">
        <w:t>describe any alternatives that ESMA should consider</w:t>
      </w:r>
    </w:p>
    <w:p w:rsidR="00B33CB1" w:rsidRDefault="00B33CB1" w:rsidP="00B33CB1">
      <w:pPr>
        <w:pStyle w:val="04bList"/>
        <w:numPr>
          <w:ilvl w:val="0"/>
          <w:numId w:val="0"/>
        </w:numPr>
        <w:spacing w:before="120" w:after="120"/>
      </w:pPr>
      <w:r w:rsidRPr="0081710D">
        <w:t>Given the breadth of issues covered, ESMA expects and encourages respondents to specially answer those questions relevant to their business, interest and experience.</w:t>
      </w:r>
    </w:p>
    <w:p w:rsidR="00B33CB1" w:rsidRPr="0081710D" w:rsidRDefault="00B33CB1" w:rsidP="00B33CB1">
      <w:pPr>
        <w:pStyle w:val="04bList"/>
        <w:numPr>
          <w:ilvl w:val="0"/>
          <w:numId w:val="0"/>
        </w:numPr>
        <w:spacing w:before="120" w:after="120"/>
      </w:pPr>
      <w:r w:rsidRPr="004E1A0F">
        <w:t>To help you navigate this document more easily, bookmarks are available in “Navigation Pane” for Word 2010 and in “Document Map” for Word 2007.</w:t>
      </w:r>
    </w:p>
    <w:p w:rsidR="00B33CB1" w:rsidRPr="0081710D" w:rsidRDefault="00B33CB1" w:rsidP="00B33CB1">
      <w:pPr>
        <w:pStyle w:val="04BodyText"/>
        <w:spacing w:before="120" w:after="120"/>
      </w:pPr>
      <w:r w:rsidRPr="0081710D">
        <w:t xml:space="preserve">Responses must reach us by </w:t>
      </w:r>
      <w:r>
        <w:rPr>
          <w:b/>
        </w:rPr>
        <w:t xml:space="preserve">24 October </w:t>
      </w:r>
      <w:r w:rsidRPr="0081710D">
        <w:rPr>
          <w:b/>
        </w:rPr>
        <w:t>2014</w:t>
      </w:r>
      <w:r w:rsidRPr="0081710D">
        <w:t xml:space="preserve">. </w:t>
      </w:r>
    </w:p>
    <w:p w:rsidR="00B33CB1" w:rsidRDefault="00B33CB1" w:rsidP="00B33CB1">
      <w:pPr>
        <w:pStyle w:val="04BodyText"/>
        <w:spacing w:before="120" w:after="120"/>
      </w:pPr>
      <w:r w:rsidRPr="00321CD3">
        <w:t xml:space="preserve">All contributions should be submitted online at </w:t>
      </w:r>
      <w:hyperlink r:id="rId15" w:history="1">
        <w:r w:rsidRPr="00321CD3">
          <w:rPr>
            <w:rStyle w:val="Hipercze"/>
          </w:rPr>
          <w:t>www.esma.europa.eu</w:t>
        </w:r>
      </w:hyperlink>
      <w:r w:rsidRPr="00321CD3">
        <w:t xml:space="preserve"> under the heading ‘Your input/Consultations’. </w:t>
      </w:r>
    </w:p>
    <w:p w:rsidR="00B33CB1" w:rsidRPr="00321CD3" w:rsidRDefault="00B33CB1" w:rsidP="00B33CB1">
      <w:pPr>
        <w:pStyle w:val="04BodyText"/>
        <w:spacing w:before="120" w:after="120"/>
      </w:pPr>
    </w:p>
    <w:p w:rsidR="00B33CB1" w:rsidRPr="00F574D0" w:rsidRDefault="00B33CB1" w:rsidP="00B33CB1">
      <w:pPr>
        <w:autoSpaceDE w:val="0"/>
        <w:autoSpaceDN w:val="0"/>
        <w:adjustRightInd w:val="0"/>
        <w:spacing w:before="120" w:after="120" w:line="276" w:lineRule="auto"/>
        <w:jc w:val="both"/>
        <w:rPr>
          <w:rFonts w:cs="Georgia"/>
          <w:b/>
          <w:bCs/>
          <w:i/>
          <w:color w:val="000000"/>
          <w:szCs w:val="20"/>
          <w:lang w:eastAsia="en-GB"/>
        </w:rPr>
      </w:pPr>
      <w:bookmarkStart w:id="2" w:name="_Toc335141334"/>
      <w:r w:rsidRPr="00F574D0">
        <w:rPr>
          <w:rFonts w:cs="Georgia"/>
          <w:b/>
          <w:bCs/>
          <w:i/>
          <w:color w:val="000000"/>
          <w:szCs w:val="20"/>
          <w:lang w:eastAsia="en-GB"/>
        </w:rPr>
        <w:t>Publication of responses</w:t>
      </w:r>
      <w:bookmarkEnd w:id="2"/>
    </w:p>
    <w:p w:rsidR="00B33CB1" w:rsidRDefault="00B33CB1" w:rsidP="00B33CB1">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B33CB1" w:rsidRPr="0081710D" w:rsidRDefault="00B33CB1" w:rsidP="00B33CB1">
      <w:pPr>
        <w:pStyle w:val="04BodyText"/>
        <w:spacing w:before="120" w:after="120"/>
      </w:pPr>
    </w:p>
    <w:p w:rsidR="00B33CB1" w:rsidRPr="00F574D0" w:rsidRDefault="00B33CB1" w:rsidP="00B33CB1">
      <w:pPr>
        <w:autoSpaceDE w:val="0"/>
        <w:autoSpaceDN w:val="0"/>
        <w:adjustRightInd w:val="0"/>
        <w:spacing w:before="120" w:after="120" w:line="276" w:lineRule="auto"/>
        <w:jc w:val="both"/>
        <w:rPr>
          <w:rFonts w:cs="Georgia"/>
          <w:b/>
          <w:bCs/>
          <w:i/>
          <w:color w:val="000000"/>
          <w:szCs w:val="20"/>
          <w:lang w:eastAsia="en-GB"/>
        </w:rPr>
      </w:pPr>
      <w:bookmarkStart w:id="3" w:name="_Toc335141335"/>
      <w:r w:rsidRPr="00F574D0">
        <w:rPr>
          <w:rFonts w:cs="Georgia"/>
          <w:b/>
          <w:bCs/>
          <w:i/>
          <w:color w:val="000000"/>
          <w:szCs w:val="20"/>
          <w:lang w:eastAsia="en-GB"/>
        </w:rPr>
        <w:t>Data protection</w:t>
      </w:r>
      <w:bookmarkEnd w:id="3"/>
    </w:p>
    <w:p w:rsidR="00B33CB1" w:rsidRDefault="00B33CB1" w:rsidP="00B33CB1">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6" w:history="1">
        <w:r w:rsidRPr="00321CD3">
          <w:rPr>
            <w:rStyle w:val="Hipercze"/>
            <w:szCs w:val="20"/>
          </w:rPr>
          <w:t>www.esma.europa.eu</w:t>
        </w:r>
      </w:hyperlink>
      <w:r w:rsidRPr="00321CD3">
        <w:rPr>
          <w:szCs w:val="20"/>
        </w:rPr>
        <w:t xml:space="preserve"> under the heading ‘Disclaimer’.</w:t>
      </w:r>
    </w:p>
    <w:p w:rsidR="00B33CB1" w:rsidRDefault="00B33CB1" w:rsidP="00B33CB1">
      <w:pPr>
        <w:pStyle w:val="Nagwek5"/>
        <w:keepNext w:val="0"/>
        <w:keepLines w:val="0"/>
        <w:numPr>
          <w:ilvl w:val="0"/>
          <w:numId w:val="0"/>
        </w:numPr>
        <w:spacing w:after="250" w:line="276" w:lineRule="auto"/>
      </w:pPr>
      <w:r w:rsidRPr="00321CD3">
        <w:br w:type="page"/>
      </w:r>
      <w:bookmarkStart w:id="4" w:name="_Toc398029983"/>
      <w:bookmarkEnd w:id="1"/>
      <w:r>
        <w:lastRenderedPageBreak/>
        <w:t xml:space="preserve">III. </w:t>
      </w:r>
      <w:r w:rsidRPr="00D72304">
        <w:t>Advice on the insolvency protection of UCITS assets when delegating safekeeping (Art. 22a(3)(e)</w:t>
      </w:r>
      <w:r w:rsidRPr="00D72304">
        <w:rPr>
          <w:vertAlign w:val="superscript"/>
        </w:rPr>
        <w:footnoteReference w:id="1"/>
      </w:r>
      <w:r w:rsidRPr="00D72304">
        <w:t xml:space="preserve"> and 26b(e) UCITS V)</w:t>
      </w:r>
      <w:bookmarkEnd w:id="4"/>
    </w:p>
    <w:p w:rsidR="00B33CB1" w:rsidRDefault="00B33CB1" w:rsidP="00B33CB1">
      <w:pPr>
        <w:pStyle w:val="Nagwek5"/>
        <w:keepNext w:val="0"/>
        <w:keepLines w:val="0"/>
        <w:numPr>
          <w:ilvl w:val="0"/>
          <w:numId w:val="6"/>
        </w:numPr>
        <w:spacing w:after="250" w:line="276" w:lineRule="auto"/>
        <w:ind w:left="0" w:firstLine="0"/>
      </w:pPr>
      <w:r>
        <w:t>Do you agree that the steps to be taken by the third party are ultimately intended to ensure that the level of segregation foreseen under 22a(3)(d) of the UCITS Directive is recognised in the context of an insolvency proceeding involving the third party?</w:t>
      </w:r>
    </w:p>
    <w:p w:rsidR="00B33CB1" w:rsidRDefault="00B33CB1" w:rsidP="00B33CB1">
      <w:r>
        <w:t>&lt;ESMA_UCITS_QUESTION_1&gt;</w:t>
      </w:r>
    </w:p>
    <w:p w:rsidR="002D13DB" w:rsidRPr="00D868D3" w:rsidRDefault="002D13DB" w:rsidP="002D13DB">
      <w:pPr>
        <w:jc w:val="both"/>
      </w:pPr>
      <w:r w:rsidRPr="00D868D3">
        <w:t>Yes we do .However confusion can arise from the use of the term ‘third pa</w:t>
      </w:r>
      <w:r>
        <w:t>rty’ where sub-delegation takes</w:t>
      </w:r>
      <w:r w:rsidRPr="00D868D3">
        <w:t>. Given the wording of Art 22a and the last paragraph of 22a(3), we understand ‘third party’ to mean the party or parties which the dep</w:t>
      </w:r>
      <w:r w:rsidR="00496969">
        <w:t xml:space="preserve">ositary appoints as custodian. </w:t>
      </w:r>
      <w:r w:rsidRPr="00D868D3">
        <w:t>If that custodian (the ‘third party’) th</w:t>
      </w:r>
      <w:r w:rsidR="00496969">
        <w:t xml:space="preserve">en delegates to another party, </w:t>
      </w:r>
      <w:r w:rsidRPr="00D868D3">
        <w:t xml:space="preserve">that relationship is captured by the last paragraph of 22a(3) and the third party has to ensure that its sub-delegates meet all the requirements of  Art 22a(3).  </w:t>
      </w:r>
    </w:p>
    <w:p w:rsidR="00B33CB1" w:rsidRDefault="00B33CB1" w:rsidP="00B33CB1">
      <w:r>
        <w:t>&lt;ESMA_UCITS_QUESTION_1&gt;</w:t>
      </w:r>
    </w:p>
    <w:p w:rsidR="00B33CB1" w:rsidRDefault="00B33CB1" w:rsidP="00B33CB1"/>
    <w:p w:rsidR="00B33CB1" w:rsidRDefault="00B33CB1" w:rsidP="00B33CB1">
      <w:pPr>
        <w:pStyle w:val="Nagwek5"/>
        <w:keepNext w:val="0"/>
        <w:keepLines w:val="0"/>
        <w:numPr>
          <w:ilvl w:val="0"/>
          <w:numId w:val="6"/>
        </w:numPr>
        <w:spacing w:after="250" w:line="276" w:lineRule="auto"/>
        <w:ind w:left="0" w:firstLine="0"/>
      </w:pPr>
      <w:r>
        <w:t>Do you consider that the level of segregation foreseen under Art 22a(3)(d) of the UCITS Directive should protect UCITS assets from claims by creditors of an insolvent third party which had been delegated the safekeeping of the assets by the UCITS' depositary?</w:t>
      </w:r>
    </w:p>
    <w:p w:rsidR="00B33CB1" w:rsidRDefault="00B33CB1" w:rsidP="00B33CB1">
      <w:r>
        <w:t>&lt;ESMA_UCITS_QUESTION_2&gt;</w:t>
      </w:r>
    </w:p>
    <w:p w:rsidR="00496969" w:rsidRDefault="00496969" w:rsidP="00496969">
      <w:pPr>
        <w:jc w:val="both"/>
      </w:pPr>
      <w:r>
        <w:t>Yes it should. It is, however, subject to any developments in l insolvency laws and jurisprudence. Therefore we</w:t>
      </w:r>
      <w:r w:rsidRPr="00496969">
        <w:t xml:space="preserve"> strongly recommend ESMA and the EU Commission to support a harmonisation at International level (i.e. IOSCO level) of the insolvency laws in third jurisdictions as regards their effects on assets segregation.</w:t>
      </w:r>
    </w:p>
    <w:p w:rsidR="00B33CB1" w:rsidRDefault="00B33CB1" w:rsidP="00B33CB1">
      <w:r>
        <w:t>&lt;ESMA_UCITS_QUESTION_2&gt;</w:t>
      </w:r>
    </w:p>
    <w:p w:rsidR="00B33CB1" w:rsidRDefault="00B33CB1" w:rsidP="00B33CB1"/>
    <w:p w:rsidR="00B33CB1" w:rsidRDefault="00B33CB1" w:rsidP="00B33CB1">
      <w:pPr>
        <w:pStyle w:val="Nagwek5"/>
        <w:keepNext w:val="0"/>
        <w:keepLines w:val="0"/>
        <w:numPr>
          <w:ilvl w:val="0"/>
          <w:numId w:val="6"/>
        </w:numPr>
        <w:spacing w:after="250" w:line="276" w:lineRule="auto"/>
        <w:ind w:left="0" w:firstLine="0"/>
      </w:pPr>
      <w:r>
        <w:t>Are there other measures which could also help achieve this objective?</w:t>
      </w:r>
    </w:p>
    <w:p w:rsidR="00B33CB1" w:rsidRDefault="00B33CB1" w:rsidP="00B33CB1">
      <w:r>
        <w:t>&lt;ESMA_UCITS_QUESTION_3&gt;</w:t>
      </w:r>
    </w:p>
    <w:p w:rsidR="00496969" w:rsidRPr="00496969" w:rsidRDefault="00496969" w:rsidP="00496969">
      <w:pPr>
        <w:jc w:val="both"/>
      </w:pPr>
      <w:r>
        <w:t xml:space="preserve">We agree that </w:t>
      </w:r>
      <w:r w:rsidRPr="00496969">
        <w:t>the pro</w:t>
      </w:r>
      <w:r>
        <w:t xml:space="preserve">posed steps are necessary but they </w:t>
      </w:r>
      <w:r w:rsidRPr="00496969">
        <w:t>are not sufficien</w:t>
      </w:r>
      <w:r>
        <w:t xml:space="preserve">t to protect the UCITS’ assets </w:t>
      </w:r>
      <w:r w:rsidRPr="00496969">
        <w:t>in the event wh</w:t>
      </w:r>
      <w:r>
        <w:t xml:space="preserve">ere the local law does not any </w:t>
      </w:r>
      <w:r w:rsidRPr="00496969">
        <w:t>longer</w:t>
      </w:r>
      <w:r>
        <w:t xml:space="preserve"> </w:t>
      </w:r>
      <w:r w:rsidRPr="00496969">
        <w:t>recogni</w:t>
      </w:r>
      <w:r>
        <w:t>ze the effects of segregation.</w:t>
      </w:r>
    </w:p>
    <w:p w:rsidR="004D33A6" w:rsidRDefault="004D33A6" w:rsidP="00496969">
      <w:pPr>
        <w:jc w:val="both"/>
      </w:pPr>
    </w:p>
    <w:p w:rsidR="00496969" w:rsidRPr="00496969" w:rsidRDefault="00496969" w:rsidP="00496969">
      <w:pPr>
        <w:jc w:val="both"/>
      </w:pPr>
      <w:r w:rsidRPr="00496969">
        <w:t>Upon the depositary becoming aware that segregation is no longer sufficient we recommend that the depositary must also immediately inform the Com</w:t>
      </w:r>
      <w:r>
        <w:t xml:space="preserve">petent Authority of the UCITS. </w:t>
      </w:r>
      <w:r w:rsidRPr="00496969">
        <w:t>It will wish to ensure that the Management Company o</w:t>
      </w:r>
      <w:r>
        <w:t xml:space="preserve">r UCITS Board if self-managed, takes appropriate and swift  </w:t>
      </w:r>
      <w:r w:rsidRPr="00496969">
        <w:t>action.</w:t>
      </w:r>
    </w:p>
    <w:p w:rsidR="00496969" w:rsidRPr="00496969" w:rsidRDefault="00496969" w:rsidP="00496969">
      <w:pPr>
        <w:jc w:val="both"/>
      </w:pPr>
      <w:r>
        <w:t>In most cases</w:t>
      </w:r>
      <w:r w:rsidRPr="00496969">
        <w:t>, a s</w:t>
      </w:r>
      <w:r>
        <w:t xml:space="preserve">ecurity is issued by an entity in a country where it is located </w:t>
      </w:r>
      <w:r w:rsidRPr="00496969">
        <w:t>and it is not possible for the depo</w:t>
      </w:r>
      <w:r>
        <w:t xml:space="preserve">sitary to select a third party, </w:t>
      </w:r>
      <w:r w:rsidRPr="00496969">
        <w:t>which is not located in this coun</w:t>
      </w:r>
      <w:r>
        <w:t>try.</w:t>
      </w:r>
    </w:p>
    <w:p w:rsidR="00496969" w:rsidRPr="00496969" w:rsidRDefault="00496969" w:rsidP="00496969">
      <w:pPr>
        <w:jc w:val="both"/>
      </w:pPr>
      <w:r w:rsidRPr="00496969">
        <w:t>In such a situation there would be only tw</w:t>
      </w:r>
      <w:r>
        <w:t xml:space="preserve">o ways to protect the affected securities of the UCITS </w:t>
      </w:r>
      <w:r w:rsidRPr="00496969">
        <w:t>against claims of creditors</w:t>
      </w:r>
      <w:r>
        <w:t xml:space="preserve"> of a third party</w:t>
      </w:r>
      <w:r w:rsidRPr="00496969">
        <w:t>:</w:t>
      </w:r>
    </w:p>
    <w:p w:rsidR="00496969" w:rsidRPr="00496969" w:rsidRDefault="00496969" w:rsidP="00496969">
      <w:pPr>
        <w:jc w:val="both"/>
      </w:pPr>
      <w:proofErr w:type="spellStart"/>
      <w:r w:rsidRPr="00496969">
        <w:t>i</w:t>
      </w:r>
      <w:proofErr w:type="spellEnd"/>
      <w:r w:rsidRPr="00496969">
        <w:t>) to</w:t>
      </w:r>
      <w:r>
        <w:t xml:space="preserve"> dispose of these securities or</w:t>
      </w:r>
      <w:r w:rsidRPr="00496969">
        <w:t>, ii) these securities should be converted from</w:t>
      </w:r>
      <w:r>
        <w:t xml:space="preserve"> a bearer form </w:t>
      </w:r>
      <w:r w:rsidRPr="00496969">
        <w:t xml:space="preserve">to a registered form (a security that is registered in the books of the issuer in the name of the owner). </w:t>
      </w:r>
    </w:p>
    <w:p w:rsidR="00B33CB1" w:rsidRDefault="00B33CB1" w:rsidP="00B33CB1">
      <w:r>
        <w:t>&lt;ESMA_UCITS_QUESTION_3&gt;</w:t>
      </w:r>
    </w:p>
    <w:p w:rsidR="00B33CB1" w:rsidRDefault="00B33CB1" w:rsidP="00B33CB1"/>
    <w:p w:rsidR="00B33CB1" w:rsidRDefault="00B33CB1" w:rsidP="00B33CB1">
      <w:pPr>
        <w:pStyle w:val="Nagwek5"/>
        <w:keepNext w:val="0"/>
        <w:keepLines w:val="0"/>
        <w:numPr>
          <w:ilvl w:val="0"/>
          <w:numId w:val="6"/>
        </w:numPr>
        <w:spacing w:after="250" w:line="276" w:lineRule="auto"/>
        <w:ind w:left="0" w:firstLine="0"/>
      </w:pPr>
      <w:r>
        <w:t>Do you agree with the steps to be taken by the third party as identified above? If not, please explain the reasons.</w:t>
      </w:r>
    </w:p>
    <w:p w:rsidR="00B33CB1" w:rsidRDefault="00B33CB1" w:rsidP="00B33CB1">
      <w:r>
        <w:t>&lt;ESMA_UCITS_QUESTION_4&gt;</w:t>
      </w:r>
    </w:p>
    <w:p w:rsidR="004D33A6" w:rsidRDefault="004D33A6" w:rsidP="004D33A6">
      <w:pPr>
        <w:jc w:val="both"/>
      </w:pPr>
      <w:r>
        <w:t>Yes we do. However  for the sake of clarity, we recommend that the draft advice includes a paragraph to the effect that if the third party to whom the depositary has delegated functions referred to in Art 22(5), in turn sub-delegates those functions, such sub-delegation is subject to the same requirements (i.e. application mutatis mutandis). Whilst this is already the case by virtue of the last paragraph of Art 22a(3), it would be helpful for it to be included in L2 measures. This would also be consistent with the approach taken in AIFMR (</w:t>
      </w:r>
      <w:proofErr w:type="spellStart"/>
      <w:r>
        <w:t>eg</w:t>
      </w:r>
      <w:proofErr w:type="spellEnd"/>
      <w:r>
        <w:t xml:space="preserve"> Art 98(4)). </w:t>
      </w:r>
    </w:p>
    <w:p w:rsidR="004D33A6" w:rsidRDefault="004D33A6" w:rsidP="004D33A6"/>
    <w:p w:rsidR="004D33A6" w:rsidRDefault="004D33A6" w:rsidP="004D33A6">
      <w:pPr>
        <w:jc w:val="both"/>
      </w:pPr>
      <w:r>
        <w:t xml:space="preserve">It is not uncommon for a depositary to delegate custody to a Global Custodian (the third party) who, in turn, may delegate to other parties. The clarity mentioned regarding a third party sub-delegating, above would therefore be helpful. </w:t>
      </w:r>
    </w:p>
    <w:p w:rsidR="00B33CB1" w:rsidRDefault="00B33CB1" w:rsidP="00B33CB1">
      <w:r>
        <w:t>&lt;ESMA_UCITS_QUESTION_4&gt;</w:t>
      </w:r>
    </w:p>
    <w:p w:rsidR="00B33CB1" w:rsidRDefault="00B33CB1" w:rsidP="00B33CB1"/>
    <w:p w:rsidR="00B33CB1" w:rsidRDefault="00B33CB1" w:rsidP="00B33CB1">
      <w:pPr>
        <w:pStyle w:val="Nagwek5"/>
        <w:keepNext w:val="0"/>
        <w:keepLines w:val="0"/>
        <w:numPr>
          <w:ilvl w:val="0"/>
          <w:numId w:val="6"/>
        </w:numPr>
        <w:spacing w:after="250" w:line="276" w:lineRule="auto"/>
        <w:ind w:left="0" w:firstLine="0"/>
      </w:pPr>
      <w:r>
        <w:t>Do you consider that there are any specific difficulties that may arise in verifying the applicable insolvency regime that makes the proposed rules difficult to be complied with? In particular, do you consider the requirement for the third party located in a jurisdiction outside the Union to obtain independent legal advice could give rise to specific issues?</w:t>
      </w:r>
    </w:p>
    <w:p w:rsidR="00B33CB1" w:rsidRDefault="00B33CB1" w:rsidP="00B33CB1">
      <w:r>
        <w:t>&lt;ESMA_UCITS_QUESTION_5&gt;</w:t>
      </w:r>
    </w:p>
    <w:p w:rsidR="004D33A6" w:rsidRDefault="004D33A6" w:rsidP="004D33A6">
      <w:pPr>
        <w:jc w:val="both"/>
      </w:pPr>
      <w:r>
        <w:t>Yes we do. It may depend upon how complex the applicable insolvency regime is, whether there is an existing jurisprudence or how certain the legal advice is.</w:t>
      </w:r>
    </w:p>
    <w:p w:rsidR="004D33A6" w:rsidRDefault="004D33A6" w:rsidP="004D33A6">
      <w:pPr>
        <w:jc w:val="both"/>
      </w:pPr>
      <w:r>
        <w:t>It is also important to be clear what entity constitutes the ‘third party’. As we recommend in response to Q</w:t>
      </w:r>
      <w:r w:rsidRPr="00CB63C0">
        <w:t xml:space="preserve"> </w:t>
      </w:r>
      <w:r>
        <w:t>4, we recommend that the draft advice includes a paragraph to the effect that if the third party to whom the depositary has delegated functions referred to in Art 22(5), in turn sub-delegates those functions, such sub-delegation is subject to the same requirements. Whilst this is already the case by virtue of the last paragraph of Art 22a(3), it would be helpful for it to be included in L2 measures. This would also be consistent with the approach taken in AIFMR (</w:t>
      </w:r>
      <w:proofErr w:type="spellStart"/>
      <w:r>
        <w:t>eg</w:t>
      </w:r>
      <w:proofErr w:type="spellEnd"/>
      <w:r>
        <w:t xml:space="preserve"> Art 98(4)). </w:t>
      </w:r>
    </w:p>
    <w:p w:rsidR="00B33CB1" w:rsidRDefault="00B33CB1" w:rsidP="00B33CB1">
      <w:r>
        <w:t>&lt;ESMA_UCITS_QUESTION_5&gt;</w:t>
      </w:r>
    </w:p>
    <w:p w:rsidR="00B33CB1" w:rsidRDefault="00B33CB1" w:rsidP="00B33CB1"/>
    <w:p w:rsidR="00B33CB1" w:rsidRDefault="00B33CB1" w:rsidP="00B33CB1">
      <w:pPr>
        <w:pStyle w:val="Nagwek5"/>
        <w:keepNext w:val="0"/>
        <w:keepLines w:val="0"/>
        <w:numPr>
          <w:ilvl w:val="0"/>
          <w:numId w:val="6"/>
        </w:numPr>
        <w:spacing w:after="250" w:line="276" w:lineRule="auto"/>
        <w:ind w:left="0" w:firstLine="0"/>
      </w:pPr>
      <w:r>
        <w:t>Do you expect a significant increase in terms of costs that would be faced by the third party delegated entities located in jurisdictions outside the Union in order to obtain independent legal advice on the applicable insolvency regime? If yes, please provide any available data and/or estimation.</w:t>
      </w:r>
    </w:p>
    <w:p w:rsidR="00B33CB1" w:rsidRDefault="00B33CB1" w:rsidP="00B33CB1">
      <w:r>
        <w:t>&lt;ESMA_UCITS_QUESTION_6&gt;</w:t>
      </w:r>
    </w:p>
    <w:p w:rsidR="00DA6099" w:rsidRDefault="00DA6099" w:rsidP="00DA6099">
      <w:pPr>
        <w:jc w:val="both"/>
      </w:pPr>
      <w:r>
        <w:t xml:space="preserve">Yes we do. Costs will increase and could be substantial. The legal advice will be needed for any jurisdiction outside the Union where financial instruments are held in custody.  </w:t>
      </w:r>
    </w:p>
    <w:p w:rsidR="00B33CB1" w:rsidRDefault="00B33CB1" w:rsidP="00B33CB1">
      <w:r>
        <w:t>&lt;ESMA_UCITS_QUESTION_6&gt;</w:t>
      </w:r>
    </w:p>
    <w:p w:rsidR="00B33CB1" w:rsidRDefault="00B33CB1" w:rsidP="00B33CB1"/>
    <w:p w:rsidR="00B33CB1" w:rsidRDefault="00B33CB1" w:rsidP="00B33CB1">
      <w:pPr>
        <w:pStyle w:val="Nagwek5"/>
        <w:keepNext w:val="0"/>
        <w:keepLines w:val="0"/>
        <w:numPr>
          <w:ilvl w:val="0"/>
          <w:numId w:val="6"/>
        </w:numPr>
        <w:spacing w:after="250" w:line="276" w:lineRule="auto"/>
        <w:ind w:left="0" w:firstLine="0"/>
      </w:pPr>
      <w:r>
        <w:t>Would you suggest requiring the third party to take any further steps which are not foreseen in the draft advice?</w:t>
      </w:r>
    </w:p>
    <w:p w:rsidR="00B33CB1" w:rsidRDefault="00B33CB1" w:rsidP="00B33CB1">
      <w:r>
        <w:t>&lt;ESMA_UCITS_QUESTION_7&gt;</w:t>
      </w:r>
    </w:p>
    <w:p w:rsidR="00DA6099" w:rsidRDefault="00DA6099" w:rsidP="00DA6099">
      <w:r>
        <w:t xml:space="preserve">No we would not. </w:t>
      </w:r>
    </w:p>
    <w:p w:rsidR="00B33CB1" w:rsidRDefault="00B33CB1" w:rsidP="00B33CB1">
      <w:r>
        <w:t>&lt;ESMA_UCITS_QUESTION_7&gt;</w:t>
      </w:r>
    </w:p>
    <w:p w:rsidR="00B33CB1" w:rsidRDefault="00B33CB1" w:rsidP="00B33CB1"/>
    <w:p w:rsidR="00B33CB1" w:rsidRDefault="00B33CB1" w:rsidP="00B33CB1">
      <w:pPr>
        <w:pStyle w:val="Nagwek5"/>
        <w:keepNext w:val="0"/>
        <w:keepLines w:val="0"/>
        <w:numPr>
          <w:ilvl w:val="0"/>
          <w:numId w:val="6"/>
        </w:numPr>
        <w:spacing w:after="250" w:line="276" w:lineRule="auto"/>
        <w:ind w:left="0" w:firstLine="0"/>
      </w:pPr>
      <w:r>
        <w:t>Should any specific consideration be given to the scenario where the third party further sub-delegates the safe-keeping of the UCITS’ assets in accordance with Article 22a(3), last sub-paragraph of the UCITS Directive (as inserted by UCITS V)? Should the third party take any additional/different steps or measures in this case?</w:t>
      </w:r>
    </w:p>
    <w:p w:rsidR="00B33CB1" w:rsidRDefault="00B33CB1" w:rsidP="00B33CB1">
      <w:r>
        <w:t>&lt;ESMA_UCITS_QUESTION_8&gt;</w:t>
      </w:r>
    </w:p>
    <w:p w:rsidR="00DA6099" w:rsidRDefault="00DA6099" w:rsidP="00DA6099">
      <w:pPr>
        <w:jc w:val="both"/>
      </w:pPr>
      <w:r>
        <w:t>Yes we do. Please see answers to questions 4,5 and 7. We recommend that the draft advice includes a paragraph to the effect that if the third party to whom the depositary has delegated functions referred to in Art 22(5), in turn sub-delegates those functions, such sub-delegation is subject to the same requirements. Whilst this is already the case by virtue of the last paragraph of Art 22a(3), it would be helpful for it to be included in L2 measures. This would also be consistent with the approach taken in AIFMR (</w:t>
      </w:r>
      <w:proofErr w:type="spellStart"/>
      <w:r>
        <w:t>eg</w:t>
      </w:r>
      <w:proofErr w:type="spellEnd"/>
      <w:r>
        <w:t xml:space="preserve"> Art 98(4)). </w:t>
      </w:r>
    </w:p>
    <w:p w:rsidR="00B33CB1" w:rsidRDefault="00B33CB1" w:rsidP="00B33CB1">
      <w:r>
        <w:t>&lt;ESMA_UCITS_QUESTION_8&gt;</w:t>
      </w:r>
    </w:p>
    <w:p w:rsidR="00B33CB1" w:rsidRDefault="00B33CB1" w:rsidP="00B33CB1"/>
    <w:p w:rsidR="00B33CB1" w:rsidRDefault="00B33CB1" w:rsidP="00B33CB1">
      <w:pPr>
        <w:pStyle w:val="Nagwek5"/>
        <w:keepNext w:val="0"/>
        <w:keepLines w:val="0"/>
        <w:numPr>
          <w:ilvl w:val="0"/>
          <w:numId w:val="6"/>
        </w:numPr>
        <w:spacing w:after="250" w:line="276" w:lineRule="auto"/>
        <w:ind w:left="0" w:firstLine="0"/>
      </w:pPr>
      <w:r>
        <w:t>Do you agree with the steps to be taken by the depositary as identified above? If not, please explain the reasons.</w:t>
      </w:r>
    </w:p>
    <w:p w:rsidR="00B33CB1" w:rsidRDefault="00B33CB1" w:rsidP="00B33CB1">
      <w:r>
        <w:lastRenderedPageBreak/>
        <w:t>&lt;ESMA_UCITS_QUESTION_9&gt;</w:t>
      </w:r>
    </w:p>
    <w:p w:rsidR="00105890" w:rsidRDefault="00105890" w:rsidP="00105890">
      <w:pPr>
        <w:jc w:val="both"/>
      </w:pPr>
      <w:r>
        <w:t xml:space="preserve">No, We do not. In a situation where a depositary believes that the only appropriate action </w:t>
      </w:r>
      <w:r>
        <w:rPr>
          <w:b/>
        </w:rPr>
        <w:t xml:space="preserve">is either </w:t>
      </w:r>
      <w:r w:rsidRPr="00203DCD">
        <w:rPr>
          <w:b/>
        </w:rPr>
        <w:t>to dispos</w:t>
      </w:r>
      <w:r>
        <w:rPr>
          <w:b/>
        </w:rPr>
        <w:t xml:space="preserve">e of the financial instruments </w:t>
      </w:r>
      <w:r w:rsidRPr="00203DCD">
        <w:rPr>
          <w:b/>
        </w:rPr>
        <w:t>or</w:t>
      </w:r>
      <w:r w:rsidRPr="00203DCD">
        <w:rPr>
          <w:rFonts w:cs="Georgia"/>
          <w:b/>
          <w:szCs w:val="20"/>
          <w:lang w:val="en-US"/>
        </w:rPr>
        <w:t xml:space="preserve"> to dispose of these securities or </w:t>
      </w:r>
      <w:r>
        <w:rPr>
          <w:rFonts w:cs="Georgia"/>
          <w:b/>
          <w:szCs w:val="20"/>
          <w:lang w:val="en-US"/>
        </w:rPr>
        <w:t xml:space="preserve">to convert them, from a bearer form </w:t>
      </w:r>
      <w:r w:rsidRPr="00203DCD">
        <w:rPr>
          <w:rFonts w:cs="Georgia"/>
          <w:b/>
          <w:szCs w:val="20"/>
          <w:lang w:val="en-US"/>
        </w:rPr>
        <w:t>to a registered form</w:t>
      </w:r>
      <w:r>
        <w:t xml:space="preserve">, and, it informs the Management Company or UCITS if self-managed, if the Management Company/UCITS Board disregards this advice, the only remaining appropriate action is that of notifying the UCITS’s Competent Authority. We do, however, think that the notification should be made at the same time as the Management Company/UCITS Board is notified given the importance of UCITS. </w:t>
      </w:r>
      <w:r w:rsidRPr="00AF5E5E">
        <w:rPr>
          <w:b/>
        </w:rPr>
        <w:t>Such notification to the UCITS’s Competent Authority should be sufficient to discharge the depositary of its liability as it will have made all reasonable efforts</w:t>
      </w:r>
      <w:r>
        <w:t>. It should not be unreasonable to expect the Competent Authority to have a responsibility to ensure that the Management Company/UCITS Board is acting in a manner that is not going to cause investor detriment or potentially create greater systemic risk. That would be more consistent with the current arrangements for the roles and responsibilities of public agencies charged with overseeing markets including funds.</w:t>
      </w:r>
    </w:p>
    <w:p w:rsidR="00105890" w:rsidRDefault="00105890" w:rsidP="00105890">
      <w:pPr>
        <w:jc w:val="both"/>
      </w:pPr>
    </w:p>
    <w:p w:rsidR="00105890" w:rsidRDefault="00105890" w:rsidP="00105890">
      <w:pPr>
        <w:jc w:val="both"/>
      </w:pPr>
      <w:r>
        <w:t xml:space="preserve">The above approach also recognises the fact that it is the Management Company/UCITS Board who has responsibility for portfolio management and who ultimately will make the decision whether or not to act upon the alert from the depositary.  </w:t>
      </w:r>
    </w:p>
    <w:p w:rsidR="00105890" w:rsidRDefault="00105890" w:rsidP="00105890">
      <w:pPr>
        <w:jc w:val="both"/>
      </w:pPr>
    </w:p>
    <w:p w:rsidR="00105890" w:rsidRDefault="00105890" w:rsidP="00105890">
      <w:pPr>
        <w:jc w:val="both"/>
      </w:pPr>
      <w:r>
        <w:t xml:space="preserve">If this is not the case, it leaves a depositary with open-ended liability until such time as it is able to terminate the contract in respect of something it has made all reasonable efforts to address. </w:t>
      </w:r>
    </w:p>
    <w:p w:rsidR="00105890" w:rsidRDefault="00105890" w:rsidP="00105890">
      <w:pPr>
        <w:jc w:val="both"/>
      </w:pPr>
    </w:p>
    <w:p w:rsidR="00105890" w:rsidRDefault="00105890" w:rsidP="00105890">
      <w:pPr>
        <w:jc w:val="both"/>
      </w:pPr>
      <w:r>
        <w:t xml:space="preserve">It is important too, to recognise the fiduciary role of the Management Company/UCITS Board. It, rather than the depositary, is responsible for making investment decisions for the UCITS and must take swift steps to act upon the information received from the depositary. Immediately upon receipt of such notification, there should be a burden of proof upon the Management Company/UCITS Board to demonstrate that any steps it takes are taken in the best interests of the UCITS. </w:t>
      </w:r>
    </w:p>
    <w:p w:rsidR="00105890" w:rsidRDefault="00105890" w:rsidP="00105890">
      <w:pPr>
        <w:jc w:val="both"/>
      </w:pPr>
    </w:p>
    <w:p w:rsidR="00105890" w:rsidRDefault="00105890" w:rsidP="00105890">
      <w:pPr>
        <w:jc w:val="both"/>
      </w:pPr>
      <w:r>
        <w:t>We strongly recommend that ESMA develops guidelines for Management Company/UCITS Board and Competent Authorities on the action that should be taken in the event that the depositary makes a notification that it has becomes aware that the applicable insolvency laws and jurisprudence no longer guarantees the segregation of UCITS assets in the event of the insolvency of the entity holding the financial instruments.  Further comments are provided in response to question 11.</w:t>
      </w:r>
    </w:p>
    <w:p w:rsidR="00B33CB1" w:rsidRDefault="00B33CB1" w:rsidP="00B33CB1">
      <w:r>
        <w:t>&lt;ESMA_UCITS_QUESTION_9&gt;</w:t>
      </w:r>
    </w:p>
    <w:p w:rsidR="00B33CB1" w:rsidRDefault="00B33CB1" w:rsidP="00B33CB1"/>
    <w:p w:rsidR="00B33CB1" w:rsidRDefault="00B33CB1" w:rsidP="00B33CB1">
      <w:pPr>
        <w:pStyle w:val="Nagwek5"/>
        <w:keepNext w:val="0"/>
        <w:keepLines w:val="0"/>
        <w:numPr>
          <w:ilvl w:val="0"/>
          <w:numId w:val="6"/>
        </w:numPr>
        <w:spacing w:after="250" w:line="276" w:lineRule="auto"/>
        <w:ind w:left="0" w:firstLine="0"/>
      </w:pPr>
      <w:r>
        <w:t>Do you expect any significant one-off and ongoing compliance costs for depositaries in order to take the steps identified above? If yes, please provide any available data and/or estimation.</w:t>
      </w:r>
    </w:p>
    <w:p w:rsidR="00B33CB1" w:rsidRDefault="00B33CB1" w:rsidP="00B33CB1">
      <w:r>
        <w:t>&lt;ESMA_UCITS_QUESTION_10&gt;</w:t>
      </w:r>
    </w:p>
    <w:p w:rsidR="00105890" w:rsidRDefault="00105890" w:rsidP="00105890">
      <w:pPr>
        <w:jc w:val="both"/>
      </w:pPr>
      <w:r>
        <w:t>Yes we do as there is a resultant need to review and change contracts-both as between the depositary and the third party, and between the third and any entity to which it delegates custody.</w:t>
      </w:r>
    </w:p>
    <w:p w:rsidR="00B33CB1" w:rsidRDefault="00B33CB1" w:rsidP="00B33CB1">
      <w:r>
        <w:t>&lt;ESMA_UCITS_QUESTION_10&gt;</w:t>
      </w:r>
    </w:p>
    <w:p w:rsidR="00B33CB1" w:rsidRDefault="00B33CB1" w:rsidP="00B33CB1"/>
    <w:p w:rsidR="00B33CB1" w:rsidRDefault="00B33CB1" w:rsidP="00B33CB1">
      <w:pPr>
        <w:pStyle w:val="Nagwek5"/>
        <w:keepNext w:val="0"/>
        <w:keepLines w:val="0"/>
        <w:numPr>
          <w:ilvl w:val="0"/>
          <w:numId w:val="6"/>
        </w:numPr>
        <w:spacing w:after="250" w:line="276" w:lineRule="auto"/>
        <w:ind w:left="0" w:firstLine="0"/>
      </w:pPr>
      <w:r>
        <w:t>Would you suggest requiring the depositary to take any further steps which are not foreseen in the draft advice?</w:t>
      </w:r>
    </w:p>
    <w:p w:rsidR="00B33CB1" w:rsidRDefault="00B33CB1" w:rsidP="00B33CB1">
      <w:r>
        <w:t>&lt;ESMA_UCITS_QUESTION_11&gt;</w:t>
      </w:r>
    </w:p>
    <w:p w:rsidR="00105890" w:rsidRDefault="00105890" w:rsidP="00105890">
      <w:r>
        <w:t>Yes we do.  Please see answers to questions 3 and 9.  .</w:t>
      </w:r>
    </w:p>
    <w:p w:rsidR="00B33CB1" w:rsidRDefault="00B33CB1" w:rsidP="00B33CB1">
      <w:r>
        <w:t>&lt;ESMA_UCITS_QUESTION_11&gt;</w:t>
      </w:r>
    </w:p>
    <w:p w:rsidR="00B33CB1" w:rsidRDefault="00B33CB1" w:rsidP="00B33CB1"/>
    <w:p w:rsidR="00B33CB1" w:rsidRDefault="00B33CB1" w:rsidP="00B33CB1">
      <w:pPr>
        <w:pStyle w:val="Nagwek5"/>
        <w:keepNext w:val="0"/>
        <w:keepLines w:val="0"/>
        <w:numPr>
          <w:ilvl w:val="0"/>
          <w:numId w:val="6"/>
        </w:numPr>
        <w:spacing w:after="250" w:line="276" w:lineRule="auto"/>
        <w:ind w:left="0" w:firstLine="0"/>
      </w:pPr>
      <w:r>
        <w:t xml:space="preserve">Which measures do you think should be taken by the depositary and/or the investment company/management company in the best interest of the investors once the depositary has informed the investment company or the management company on behalf of the UCITS that the segregation of the UCITS’ assets in the event of insolvency of the third </w:t>
      </w:r>
      <w:r>
        <w:lastRenderedPageBreak/>
        <w:t>party is no longer guaranteed in a given jurisdiction located outside the Union? Would the transfer of the relevant UCITS’ assets held by the third party in a non-EU jurisdiction to another (EU or non-EU) jurisdiction which recognises the segregation of the UCITS’ assets in the event of insolvency of the third party/depositary be a possible measure?</w:t>
      </w:r>
    </w:p>
    <w:p w:rsidR="00B33CB1" w:rsidRDefault="00B33CB1" w:rsidP="00B33CB1">
      <w:r>
        <w:t>&lt;ESMA_UCITS_QUESTION_12&gt;</w:t>
      </w:r>
    </w:p>
    <w:p w:rsidR="00105890" w:rsidRDefault="00105890" w:rsidP="00105890">
      <w:pPr>
        <w:jc w:val="both"/>
      </w:pPr>
      <w:r>
        <w:t>The measures that should be taken by the depositary and the investment company/management company in the best interest of the investors once the depositary has informed the investment company or the management company on behalf of the UCITS that the segregation of the UCITS’ assets in the event of insolvency of the third party is no longer guaranteed in a given jurisdiction located outside the Union are described in our answer to Q 3 and Q9.</w:t>
      </w:r>
    </w:p>
    <w:p w:rsidR="00105890" w:rsidRDefault="00105890" w:rsidP="00105890">
      <w:pPr>
        <w:jc w:val="both"/>
      </w:pPr>
    </w:p>
    <w:p w:rsidR="00105890" w:rsidRPr="00AF5E5E" w:rsidRDefault="00105890" w:rsidP="00105890">
      <w:pPr>
        <w:jc w:val="both"/>
        <w:rPr>
          <w:rFonts w:cs="Arial"/>
          <w:b/>
          <w:szCs w:val="20"/>
          <w:lang w:val="en-US"/>
        </w:rPr>
      </w:pPr>
      <w:r>
        <w:t>ESMA asks whether the transfer of the relevant UCITS’ assets held by the third party in a non-EU jurisdiction to another (EU or non-EU) jurisdiction which recognises the segregation of the UCITS’ assets in the event of insolvency of the third party/depositary be a possible measure.  We are not certain that this would be possible.</w:t>
      </w:r>
      <w:r w:rsidRPr="00AF5E5E">
        <w:rPr>
          <w:rFonts w:cs="Arial"/>
          <w:b/>
          <w:szCs w:val="20"/>
          <w:lang w:val="en-US"/>
        </w:rPr>
        <w:t xml:space="preserve"> </w:t>
      </w:r>
      <w:r>
        <w:rPr>
          <w:rFonts w:cs="Arial"/>
          <w:b/>
          <w:szCs w:val="20"/>
          <w:lang w:val="en-US"/>
        </w:rPr>
        <w:t>In most cases</w:t>
      </w:r>
      <w:r w:rsidRPr="00AF5E5E">
        <w:rPr>
          <w:rFonts w:cs="Arial"/>
          <w:b/>
          <w:szCs w:val="20"/>
          <w:lang w:val="en-US"/>
        </w:rPr>
        <w:t xml:space="preserve">, </w:t>
      </w:r>
      <w:r w:rsidRPr="00AF5E5E">
        <w:rPr>
          <w:rFonts w:cs="Arial"/>
          <w:b/>
          <w:szCs w:val="20"/>
        </w:rPr>
        <w:t>a s</w:t>
      </w:r>
      <w:r>
        <w:rPr>
          <w:rFonts w:cs="Arial"/>
          <w:b/>
          <w:szCs w:val="20"/>
        </w:rPr>
        <w:t xml:space="preserve">ecurity is issued by an entity </w:t>
      </w:r>
      <w:r w:rsidRPr="00AF5E5E">
        <w:rPr>
          <w:rFonts w:cs="Arial"/>
          <w:b/>
          <w:szCs w:val="20"/>
        </w:rPr>
        <w:t>in a country where it is</w:t>
      </w:r>
      <w:r>
        <w:rPr>
          <w:rFonts w:cs="Arial"/>
          <w:b/>
          <w:szCs w:val="20"/>
        </w:rPr>
        <w:t xml:space="preserve"> located and </w:t>
      </w:r>
      <w:r w:rsidRPr="00AF5E5E">
        <w:rPr>
          <w:rFonts w:cs="Arial"/>
          <w:b/>
          <w:szCs w:val="20"/>
          <w:lang w:val="en-US"/>
        </w:rPr>
        <w:t>it is not possible for the depositary to</w:t>
      </w:r>
      <w:r>
        <w:rPr>
          <w:rFonts w:cs="Arial"/>
          <w:b/>
          <w:szCs w:val="20"/>
          <w:lang w:val="en-US"/>
        </w:rPr>
        <w:t xml:space="preserve"> select a third party </w:t>
      </w:r>
      <w:r w:rsidRPr="00AF5E5E">
        <w:rPr>
          <w:rFonts w:cs="Arial"/>
          <w:b/>
          <w:szCs w:val="20"/>
          <w:lang w:val="en-US"/>
        </w:rPr>
        <w:t>which is not located in th</w:t>
      </w:r>
      <w:r>
        <w:rPr>
          <w:rFonts w:cs="Arial"/>
          <w:b/>
          <w:szCs w:val="20"/>
          <w:lang w:val="en-US"/>
        </w:rPr>
        <w:t xml:space="preserve">is </w:t>
      </w:r>
      <w:r w:rsidRPr="00AF5E5E">
        <w:rPr>
          <w:rFonts w:cs="Arial"/>
          <w:b/>
          <w:szCs w:val="20"/>
          <w:lang w:val="en-US"/>
        </w:rPr>
        <w:t>coun</w:t>
      </w:r>
      <w:r>
        <w:rPr>
          <w:rFonts w:cs="Arial"/>
          <w:b/>
          <w:szCs w:val="20"/>
          <w:lang w:val="en-US"/>
        </w:rPr>
        <w:t>try</w:t>
      </w:r>
      <w:r w:rsidRPr="00AF5E5E">
        <w:rPr>
          <w:rFonts w:cs="Arial"/>
          <w:b/>
          <w:szCs w:val="20"/>
          <w:lang w:val="en-US"/>
        </w:rPr>
        <w:t>.</w:t>
      </w:r>
    </w:p>
    <w:p w:rsidR="00B33CB1" w:rsidRDefault="00B33CB1" w:rsidP="00B33CB1">
      <w:r>
        <w:t>&lt;ESMA_UCITS_QUESTION_12&gt;</w:t>
      </w:r>
    </w:p>
    <w:p w:rsidR="00B33CB1" w:rsidRDefault="00B33CB1" w:rsidP="00B33CB1"/>
    <w:p w:rsidR="00B33CB1" w:rsidRPr="00CE2878" w:rsidRDefault="00B33CB1" w:rsidP="00B33CB1">
      <w:pPr>
        <w:keepNext/>
        <w:tabs>
          <w:tab w:val="left" w:pos="284"/>
          <w:tab w:val="left" w:pos="397"/>
        </w:tabs>
        <w:spacing w:after="280" w:line="280" w:lineRule="exact"/>
        <w:ind w:left="284" w:hanging="284"/>
        <w:jc w:val="both"/>
        <w:rPr>
          <w:b/>
        </w:rPr>
      </w:pPr>
      <w:bookmarkStart w:id="5" w:name="_Toc398029991"/>
      <w:r>
        <w:rPr>
          <w:b/>
        </w:rPr>
        <w:t xml:space="preserve">IV. </w:t>
      </w:r>
      <w:r w:rsidRPr="00CE2878">
        <w:rPr>
          <w:b/>
        </w:rPr>
        <w:t>Advice on the independence requirement (Art. 25(2) and 26(b)(h) UCITS V)</w:t>
      </w:r>
      <w:bookmarkEnd w:id="5"/>
    </w:p>
    <w:p w:rsidR="00B33CB1" w:rsidRDefault="00B33CB1" w:rsidP="00B33CB1">
      <w:pPr>
        <w:pStyle w:val="Nagwek5"/>
        <w:keepNext w:val="0"/>
        <w:keepLines w:val="0"/>
        <w:numPr>
          <w:ilvl w:val="0"/>
          <w:numId w:val="6"/>
        </w:numPr>
        <w:spacing w:after="250" w:line="276" w:lineRule="auto"/>
        <w:ind w:left="0" w:firstLine="0"/>
      </w:pPr>
      <w:r>
        <w:t>Do you agree with the identified links that may jeopardise the independence of the Relevant Entities? If not, please explain the reasons.</w:t>
      </w:r>
    </w:p>
    <w:p w:rsidR="00B33CB1" w:rsidRDefault="00B33CB1" w:rsidP="00B33CB1">
      <w:r>
        <w:t>&lt;ESMA_UCITS_QUESTION_13&gt;</w:t>
      </w:r>
    </w:p>
    <w:p w:rsidR="0053605A" w:rsidRPr="004D5AA1" w:rsidRDefault="0053605A" w:rsidP="0053605A">
      <w:pPr>
        <w:autoSpaceDE w:val="0"/>
        <w:autoSpaceDN w:val="0"/>
        <w:adjustRightInd w:val="0"/>
        <w:jc w:val="both"/>
        <w:rPr>
          <w:rFonts w:cs="Arial"/>
          <w:szCs w:val="20"/>
          <w:lang w:val="en-US"/>
        </w:rPr>
      </w:pPr>
      <w:r w:rsidRPr="004D5AA1">
        <w:rPr>
          <w:rFonts w:cs="Arial"/>
          <w:szCs w:val="20"/>
          <w:lang w:val="en-US"/>
        </w:rPr>
        <w:t>By way of introduction and from a purely legal point of view, we strongly disagree with the scope of the mandate given by the European Commission to ESMA concerning the conditions for fulfilling the independence requirement referred to in Article 25(2) of the UCITS V Directive.</w:t>
      </w:r>
    </w:p>
    <w:p w:rsidR="0053605A" w:rsidRPr="004D5AA1" w:rsidRDefault="0053605A" w:rsidP="0053605A">
      <w:pPr>
        <w:autoSpaceDE w:val="0"/>
        <w:autoSpaceDN w:val="0"/>
        <w:adjustRightInd w:val="0"/>
        <w:jc w:val="both"/>
        <w:rPr>
          <w:rFonts w:cs="Arial"/>
          <w:szCs w:val="20"/>
          <w:lang w:val="en-US"/>
        </w:rPr>
      </w:pPr>
    </w:p>
    <w:p w:rsidR="0053605A" w:rsidRPr="004D5AA1" w:rsidRDefault="0053605A" w:rsidP="0053605A">
      <w:pPr>
        <w:autoSpaceDE w:val="0"/>
        <w:autoSpaceDN w:val="0"/>
        <w:adjustRightInd w:val="0"/>
        <w:jc w:val="both"/>
        <w:rPr>
          <w:rFonts w:cs="Arial"/>
          <w:szCs w:val="20"/>
          <w:lang w:val="en-US"/>
        </w:rPr>
      </w:pPr>
      <w:r w:rsidRPr="004D5AA1">
        <w:rPr>
          <w:rFonts w:cs="Arial"/>
          <w:szCs w:val="20"/>
          <w:lang w:val="en-US"/>
        </w:rPr>
        <w:t>As it is clearly stated in the new article 26b (h) of the UCITS V Directive, which defines the scope of the Commission’s empowerment to adopt delegated acts, the conditions for the independence of the depositary must be founded upon a legal basis laid down in article 25 (2) which provides that the management company and the depositary have to “act honestly, fairly, independently and solely in the interest of the UCITS and the investors of the UCITS […]</w:t>
      </w:r>
    </w:p>
    <w:p w:rsidR="0053605A" w:rsidRPr="004D5AA1" w:rsidRDefault="0053605A" w:rsidP="0053605A">
      <w:pPr>
        <w:autoSpaceDE w:val="0"/>
        <w:autoSpaceDN w:val="0"/>
        <w:adjustRightInd w:val="0"/>
        <w:jc w:val="both"/>
        <w:rPr>
          <w:rFonts w:cs="Arial"/>
          <w:szCs w:val="20"/>
          <w:lang w:val="en-US"/>
        </w:rPr>
      </w:pPr>
    </w:p>
    <w:p w:rsidR="0053605A" w:rsidRPr="004D5AA1" w:rsidRDefault="0053605A" w:rsidP="0053605A">
      <w:pPr>
        <w:autoSpaceDE w:val="0"/>
        <w:autoSpaceDN w:val="0"/>
        <w:adjustRightInd w:val="0"/>
        <w:jc w:val="both"/>
        <w:rPr>
          <w:rFonts w:cs="Arial"/>
          <w:szCs w:val="20"/>
          <w:lang w:val="en-US"/>
        </w:rPr>
      </w:pPr>
      <w:r w:rsidRPr="004D5AA1">
        <w:rPr>
          <w:rFonts w:cs="Arial"/>
          <w:szCs w:val="20"/>
          <w:lang w:val="en-US"/>
        </w:rPr>
        <w:t>We are concerned that the outright  prohibition of  cross-shareholdings/group inclusion, goes  far beyond the objectives and the legal basis set out in the level 1 of the UCITS V directive, and  we are convinced that proposing recommendations based only on  this will not achieve the final objective of higher investor protection but will rather lead to disproportionate costs and have a substantive impact on the existing shareholding structures of management companies and depositaries in Europe (see our answer to Q22).</w:t>
      </w:r>
    </w:p>
    <w:p w:rsidR="0053605A" w:rsidRPr="004D5AA1" w:rsidRDefault="0053605A" w:rsidP="0053605A">
      <w:pPr>
        <w:autoSpaceDE w:val="0"/>
        <w:autoSpaceDN w:val="0"/>
        <w:adjustRightInd w:val="0"/>
        <w:jc w:val="both"/>
        <w:rPr>
          <w:rFonts w:cs="Arial"/>
          <w:bCs/>
          <w:szCs w:val="20"/>
          <w:lang w:val="en-US"/>
        </w:rPr>
      </w:pPr>
      <w:r w:rsidRPr="004D5AA1">
        <w:rPr>
          <w:rFonts w:cs="Arial"/>
          <w:szCs w:val="20"/>
          <w:lang w:val="en-US"/>
        </w:rPr>
        <w:t>Thus we urge ESMA to propose final recommendations that are strictly proportionate to the objectives to be achieved.</w:t>
      </w:r>
      <w:r w:rsidRPr="004D5AA1">
        <w:rPr>
          <w:rFonts w:cs="Arial"/>
          <w:szCs w:val="20"/>
        </w:rPr>
        <w:t xml:space="preserve"> Indeed, the principle of proportionality is intended to ensure that regulatory measures go no further than is required to achieve a set objective, which is to ensure that both the management company and the depositary have specific safeguards against conflicts of interest to allow for the independent performance of their activities.</w:t>
      </w:r>
      <w:r w:rsidRPr="004D5AA1">
        <w:rPr>
          <w:rFonts w:cs="Arial"/>
          <w:bCs/>
          <w:szCs w:val="20"/>
          <w:lang w:val="en-US"/>
        </w:rPr>
        <w:t xml:space="preserve">This is the reason why we strongly disagree with the  </w:t>
      </w:r>
      <w:r w:rsidRPr="004D5AA1">
        <w:rPr>
          <w:rFonts w:cs="Arial"/>
          <w:szCs w:val="20"/>
          <w:lang w:val="en-US"/>
        </w:rPr>
        <w:t xml:space="preserve">cross-shareholdings/group inclusion </w:t>
      </w:r>
      <w:r w:rsidRPr="004D5AA1">
        <w:rPr>
          <w:rFonts w:cs="Arial"/>
          <w:bCs/>
          <w:szCs w:val="20"/>
          <w:lang w:val="en-US"/>
        </w:rPr>
        <w:t xml:space="preserve">as identified links which may </w:t>
      </w:r>
      <w:proofErr w:type="spellStart"/>
      <w:r w:rsidRPr="004D5AA1">
        <w:rPr>
          <w:rFonts w:cs="Arial"/>
          <w:bCs/>
          <w:szCs w:val="20"/>
          <w:lang w:val="en-US"/>
        </w:rPr>
        <w:t>jeopardise</w:t>
      </w:r>
      <w:proofErr w:type="spellEnd"/>
      <w:r w:rsidRPr="004D5AA1">
        <w:rPr>
          <w:rFonts w:cs="Arial"/>
          <w:bCs/>
          <w:szCs w:val="20"/>
          <w:lang w:val="en-US"/>
        </w:rPr>
        <w:t xml:space="preserve"> the independence of the Relevant Entities where an  adequate conflict of interest policy is in place .</w:t>
      </w:r>
    </w:p>
    <w:p w:rsidR="0053605A" w:rsidRPr="004D5AA1" w:rsidRDefault="0053605A" w:rsidP="0053605A">
      <w:pPr>
        <w:autoSpaceDE w:val="0"/>
        <w:autoSpaceDN w:val="0"/>
        <w:adjustRightInd w:val="0"/>
        <w:jc w:val="both"/>
        <w:rPr>
          <w:rFonts w:cs="Arial"/>
          <w:szCs w:val="20"/>
          <w:lang w:val="en-US"/>
        </w:rPr>
      </w:pPr>
    </w:p>
    <w:p w:rsidR="0053605A" w:rsidRPr="004D5AA1" w:rsidRDefault="0053605A" w:rsidP="0053605A">
      <w:pPr>
        <w:autoSpaceDE w:val="0"/>
        <w:autoSpaceDN w:val="0"/>
        <w:adjustRightInd w:val="0"/>
        <w:jc w:val="both"/>
        <w:rPr>
          <w:rFonts w:cs="Arial"/>
          <w:bCs/>
          <w:szCs w:val="20"/>
          <w:lang w:val="en-US"/>
        </w:rPr>
      </w:pPr>
      <w:r w:rsidRPr="004D5AA1">
        <w:rPr>
          <w:rFonts w:cs="Arial"/>
          <w:bCs/>
          <w:szCs w:val="20"/>
          <w:lang w:val="en-US"/>
        </w:rPr>
        <w:t>Many financial groups, amongst</w:t>
      </w:r>
      <w:r w:rsidRPr="004D5AA1">
        <w:rPr>
          <w:rFonts w:cs="Arial"/>
          <w:b/>
          <w:bCs/>
          <w:szCs w:val="20"/>
          <w:lang w:val="en-US"/>
        </w:rPr>
        <w:t xml:space="preserve"> </w:t>
      </w:r>
      <w:r w:rsidRPr="004D5AA1">
        <w:rPr>
          <w:rFonts w:cs="Arial"/>
          <w:bCs/>
          <w:szCs w:val="20"/>
          <w:lang w:val="en-US"/>
        </w:rPr>
        <w:t xml:space="preserve">them; the largest, have developed asset management and depositary bank businesses which represent </w:t>
      </w:r>
      <w:r w:rsidRPr="004D5AA1">
        <w:rPr>
          <w:rFonts w:cs="Arial"/>
          <w:b/>
          <w:bCs/>
          <w:szCs w:val="20"/>
          <w:lang w:val="en-US"/>
        </w:rPr>
        <w:t xml:space="preserve"> </w:t>
      </w:r>
      <w:r w:rsidRPr="004D5AA1">
        <w:rPr>
          <w:rFonts w:cs="Arial"/>
          <w:bCs/>
          <w:szCs w:val="20"/>
          <w:lang w:val="en-US"/>
        </w:rPr>
        <w:t>a  significant share of the global market of depositaries of UCITS. This is indeed a common</w:t>
      </w:r>
      <w:r w:rsidRPr="004D5AA1">
        <w:rPr>
          <w:rFonts w:cs="Arial"/>
          <w:szCs w:val="20"/>
        </w:rPr>
        <w:t xml:space="preserve"> practice in many European Member States, where financial groups are active both in asset management and depositary activities,  providing a full range of services to UCITS funds. The prohibition of cross-shareholding (1</w:t>
      </w:r>
      <w:r w:rsidRPr="004D5AA1">
        <w:rPr>
          <w:rFonts w:cs="Arial"/>
          <w:szCs w:val="20"/>
          <w:vertAlign w:val="superscript"/>
        </w:rPr>
        <w:t>st</w:t>
      </w:r>
      <w:r w:rsidRPr="004D5AA1">
        <w:rPr>
          <w:rFonts w:cs="Arial"/>
          <w:szCs w:val="20"/>
        </w:rPr>
        <w:t xml:space="preserve"> option) is also not acceptable as it would lead to substantive additional costs as it would imply the separation of a large number of entities,  in several Member States </w:t>
      </w:r>
      <w:r w:rsidRPr="004D5AA1">
        <w:rPr>
          <w:rFonts w:cs="Arial"/>
          <w:szCs w:val="20"/>
        </w:rPr>
        <w:lastRenderedPageBreak/>
        <w:t>with a significant share of the UCITS market such as  France , Germany, Luxembourg, Belgium, Denmark, Sweden.</w:t>
      </w:r>
    </w:p>
    <w:p w:rsidR="0053605A" w:rsidRPr="004D5AA1" w:rsidRDefault="0053605A" w:rsidP="0053605A">
      <w:pPr>
        <w:autoSpaceDE w:val="0"/>
        <w:autoSpaceDN w:val="0"/>
        <w:adjustRightInd w:val="0"/>
        <w:jc w:val="both"/>
        <w:rPr>
          <w:rFonts w:cs="Arial"/>
          <w:szCs w:val="20"/>
        </w:rPr>
      </w:pPr>
    </w:p>
    <w:p w:rsidR="0053605A" w:rsidRPr="004D5AA1" w:rsidRDefault="0053605A" w:rsidP="0053605A">
      <w:pPr>
        <w:pStyle w:val="Akapitzlist"/>
        <w:ind w:left="0"/>
        <w:rPr>
          <w:rFonts w:cs="Arial"/>
          <w:szCs w:val="20"/>
        </w:rPr>
      </w:pPr>
      <w:r w:rsidRPr="004D5AA1">
        <w:rPr>
          <w:rFonts w:cs="Arial"/>
          <w:szCs w:val="20"/>
        </w:rPr>
        <w:t>We strongly believe that this long established market practice should not be restricted by any level – 2 measures for the following reasons:</w:t>
      </w:r>
    </w:p>
    <w:p w:rsidR="0053605A" w:rsidRPr="004D5AA1" w:rsidRDefault="0053605A" w:rsidP="0053605A">
      <w:pPr>
        <w:pStyle w:val="Akapitzlist"/>
        <w:ind w:left="0"/>
        <w:rPr>
          <w:rFonts w:cs="Arial"/>
          <w:szCs w:val="20"/>
        </w:rPr>
      </w:pPr>
    </w:p>
    <w:p w:rsidR="0053605A" w:rsidRPr="004D5AA1" w:rsidRDefault="0053605A" w:rsidP="0053605A">
      <w:pPr>
        <w:pStyle w:val="Akapitzlist"/>
        <w:numPr>
          <w:ilvl w:val="0"/>
          <w:numId w:val="8"/>
        </w:numPr>
        <w:ind w:left="357" w:firstLine="0"/>
        <w:jc w:val="both"/>
        <w:rPr>
          <w:rFonts w:cs="Arial"/>
          <w:szCs w:val="20"/>
          <w:lang w:val="en-US"/>
        </w:rPr>
      </w:pPr>
      <w:r w:rsidRPr="004D5AA1">
        <w:rPr>
          <w:rFonts w:cs="Arial"/>
          <w:szCs w:val="20"/>
        </w:rPr>
        <w:t>The absence of evidenced market failure: r</w:t>
      </w:r>
      <w:proofErr w:type="spellStart"/>
      <w:r w:rsidRPr="004D5AA1">
        <w:rPr>
          <w:rFonts w:cs="Arial"/>
          <w:szCs w:val="20"/>
          <w:lang w:val="en-US"/>
        </w:rPr>
        <w:t>ecent</w:t>
      </w:r>
      <w:proofErr w:type="spellEnd"/>
      <w:r w:rsidRPr="004D5AA1">
        <w:rPr>
          <w:rFonts w:cs="Arial"/>
          <w:szCs w:val="20"/>
          <w:lang w:val="en-US"/>
        </w:rPr>
        <w:t xml:space="preserve"> events affecting UCITS, such as the Madoff scandal were not connected to circumstances where the asset management companies and funds depositories belonged to the same financial group. However, it was </w:t>
      </w:r>
      <w:proofErr w:type="spellStart"/>
      <w:r w:rsidRPr="004D5AA1">
        <w:rPr>
          <w:rFonts w:cs="Arial"/>
          <w:szCs w:val="20"/>
          <w:lang w:val="en-US"/>
        </w:rPr>
        <w:t>recognised</w:t>
      </w:r>
      <w:proofErr w:type="spellEnd"/>
      <w:r w:rsidRPr="004D5AA1">
        <w:rPr>
          <w:rFonts w:cs="Arial"/>
          <w:szCs w:val="20"/>
          <w:lang w:val="en-US"/>
        </w:rPr>
        <w:t xml:space="preserve"> that a better clarification and </w:t>
      </w:r>
      <w:proofErr w:type="spellStart"/>
      <w:r w:rsidRPr="004D5AA1">
        <w:rPr>
          <w:rFonts w:cs="Arial"/>
          <w:szCs w:val="20"/>
          <w:lang w:val="en-US"/>
        </w:rPr>
        <w:t>harmonisation</w:t>
      </w:r>
      <w:proofErr w:type="spellEnd"/>
      <w:r w:rsidRPr="004D5AA1">
        <w:rPr>
          <w:rFonts w:cs="Arial"/>
          <w:szCs w:val="20"/>
          <w:lang w:val="en-US"/>
        </w:rPr>
        <w:t xml:space="preserve"> of depositary duties and liability regime were necessary. These issues were adequately addressed in the AIFMD. The AIFM level1 and level 2 establish strict requirements with regard to oversight duties, asset segregation, due diligence, and the liability regime for depositories. In addition AIFMD Article 21 4 (a) provides that an AIFM shall not act as a depositary. AIFMD does not impose additional requirements.</w:t>
      </w:r>
    </w:p>
    <w:p w:rsidR="0053605A" w:rsidRPr="004D5AA1" w:rsidRDefault="0053605A" w:rsidP="0053605A">
      <w:pPr>
        <w:pStyle w:val="Akapitzlist"/>
        <w:ind w:left="360"/>
        <w:rPr>
          <w:rFonts w:cs="Arial"/>
          <w:szCs w:val="20"/>
          <w:lang w:val="en-US"/>
        </w:rPr>
      </w:pPr>
    </w:p>
    <w:p w:rsidR="0053605A" w:rsidRPr="004D5AA1" w:rsidRDefault="0053605A" w:rsidP="0053605A">
      <w:pPr>
        <w:pStyle w:val="Akapitzlist"/>
        <w:numPr>
          <w:ilvl w:val="0"/>
          <w:numId w:val="8"/>
        </w:numPr>
        <w:shd w:val="clear" w:color="auto" w:fill="FFFFFF"/>
        <w:jc w:val="both"/>
        <w:rPr>
          <w:rFonts w:cs="Arial"/>
          <w:szCs w:val="20"/>
          <w:lang w:val="en-US"/>
        </w:rPr>
      </w:pPr>
      <w:r w:rsidRPr="004D5AA1">
        <w:rPr>
          <w:rFonts w:cs="Arial"/>
          <w:szCs w:val="20"/>
          <w:lang w:val="en-US"/>
        </w:rPr>
        <w:t>The new UCITS  regulatory framework  will provide investors with a greater level of protection:</w:t>
      </w:r>
    </w:p>
    <w:p w:rsidR="0053605A" w:rsidRPr="004D5AA1" w:rsidRDefault="0053605A" w:rsidP="0053605A">
      <w:pPr>
        <w:pStyle w:val="Default"/>
        <w:numPr>
          <w:ilvl w:val="0"/>
          <w:numId w:val="7"/>
        </w:numPr>
        <w:shd w:val="clear" w:color="auto" w:fill="FFFFFF"/>
        <w:autoSpaceDE/>
        <w:autoSpaceDN/>
        <w:adjustRightInd/>
        <w:contextualSpacing/>
        <w:jc w:val="both"/>
        <w:rPr>
          <w:rFonts w:cs="Arial"/>
          <w:sz w:val="20"/>
          <w:szCs w:val="20"/>
          <w:lang w:val="en-US"/>
        </w:rPr>
      </w:pPr>
      <w:r w:rsidRPr="004D5AA1">
        <w:rPr>
          <w:rFonts w:cs="Arial"/>
          <w:sz w:val="20"/>
          <w:szCs w:val="20"/>
          <w:lang w:val="en-US"/>
        </w:rPr>
        <w:t>The strict liability regime of the depository in UCITS V goes even further than AIFMD as the depositary’s liability can, in no circumstances, be contractually waived.</w:t>
      </w:r>
      <w:r>
        <w:rPr>
          <w:rFonts w:cs="Arial"/>
          <w:sz w:val="20"/>
          <w:szCs w:val="20"/>
          <w:lang w:val="en-US"/>
        </w:rPr>
        <w:t xml:space="preserve"> </w:t>
      </w:r>
      <w:r w:rsidRPr="004D5AA1">
        <w:rPr>
          <w:rFonts w:cs="Arial"/>
          <w:sz w:val="20"/>
          <w:szCs w:val="20"/>
          <w:lang w:val="en-US"/>
        </w:rPr>
        <w:t>Depositaries are regulated entities, must comply with stringent eligibility criteria and are subject to ongoing supervision.</w:t>
      </w:r>
      <w:r>
        <w:rPr>
          <w:rFonts w:cs="Arial"/>
          <w:sz w:val="20"/>
          <w:szCs w:val="20"/>
          <w:lang w:val="en-US"/>
        </w:rPr>
        <w:t xml:space="preserve"> </w:t>
      </w:r>
      <w:r w:rsidRPr="004D5AA1">
        <w:rPr>
          <w:rFonts w:cs="Arial"/>
          <w:sz w:val="20"/>
          <w:szCs w:val="20"/>
          <w:lang w:val="en-US"/>
        </w:rPr>
        <w:t xml:space="preserve">Article 5 of the current UCITS IV Directive, requires that “The competent authorities of the UCITS home Member State shall not </w:t>
      </w:r>
      <w:proofErr w:type="spellStart"/>
      <w:r w:rsidRPr="004D5AA1">
        <w:rPr>
          <w:rFonts w:cs="Arial"/>
          <w:sz w:val="20"/>
          <w:szCs w:val="20"/>
          <w:lang w:val="en-US"/>
        </w:rPr>
        <w:t>authorise</w:t>
      </w:r>
      <w:proofErr w:type="spellEnd"/>
      <w:r w:rsidRPr="004D5AA1">
        <w:rPr>
          <w:rFonts w:cs="Arial"/>
          <w:sz w:val="20"/>
          <w:szCs w:val="20"/>
          <w:lang w:val="en-US"/>
        </w:rPr>
        <w:t xml:space="preserve"> a UCITS if the directors of the depositary are not of sufficiently good repute or are not sufficiently experienced also in relation to the type of UCITS to be managed (…….) . Directors shall mean those persons who, under the law or the instruments of incorporation, represent the depositary, or who effectively determine the policy of the depositary.” </w:t>
      </w:r>
    </w:p>
    <w:p w:rsidR="0053605A" w:rsidRPr="004D5AA1" w:rsidRDefault="0053605A" w:rsidP="0053605A">
      <w:pPr>
        <w:pStyle w:val="Default"/>
        <w:numPr>
          <w:ilvl w:val="0"/>
          <w:numId w:val="7"/>
        </w:numPr>
        <w:shd w:val="clear" w:color="auto" w:fill="FFFFFF"/>
        <w:jc w:val="both"/>
        <w:rPr>
          <w:rFonts w:cs="Arial"/>
          <w:sz w:val="20"/>
          <w:szCs w:val="20"/>
          <w:lang w:val="en-US"/>
        </w:rPr>
      </w:pPr>
      <w:r w:rsidRPr="004D5AA1">
        <w:rPr>
          <w:rFonts w:cs="Arial"/>
          <w:sz w:val="20"/>
          <w:szCs w:val="20"/>
          <w:lang w:val="en-US"/>
        </w:rPr>
        <w:t xml:space="preserve">Depositories are required to have in place and implement strict and detailed internal procedures for the prevention of conflicts of interest. They are also subject to a regular internal control process for the adequacy of resources and competences. </w:t>
      </w:r>
    </w:p>
    <w:p w:rsidR="0053605A" w:rsidRPr="004D5AA1" w:rsidRDefault="0053605A" w:rsidP="0053605A">
      <w:pPr>
        <w:pStyle w:val="Default"/>
        <w:numPr>
          <w:ilvl w:val="0"/>
          <w:numId w:val="7"/>
        </w:numPr>
        <w:shd w:val="clear" w:color="auto" w:fill="FFFFFF"/>
        <w:jc w:val="both"/>
        <w:rPr>
          <w:rFonts w:cs="Arial"/>
          <w:sz w:val="20"/>
          <w:szCs w:val="20"/>
          <w:lang w:val="en-US"/>
        </w:rPr>
      </w:pPr>
      <w:r w:rsidRPr="004D5AA1">
        <w:rPr>
          <w:rFonts w:cs="Arial"/>
          <w:sz w:val="20"/>
          <w:szCs w:val="20"/>
          <w:lang w:val="en-US"/>
        </w:rPr>
        <w:t>In addition MIFID reporting obligations include; on an annual basis, specific reporting on the safeguard of assets  performed by an independent audit firm.</w:t>
      </w:r>
    </w:p>
    <w:p w:rsidR="0053605A" w:rsidRPr="004D5AA1" w:rsidRDefault="0053605A" w:rsidP="0053605A">
      <w:pPr>
        <w:pStyle w:val="Default"/>
        <w:shd w:val="clear" w:color="auto" w:fill="FFFFFF"/>
        <w:ind w:left="1776"/>
        <w:jc w:val="both"/>
        <w:rPr>
          <w:rFonts w:cs="Arial"/>
          <w:sz w:val="20"/>
          <w:szCs w:val="20"/>
          <w:lang w:val="en-US"/>
        </w:rPr>
      </w:pPr>
    </w:p>
    <w:p w:rsidR="0053605A" w:rsidRPr="004D5AA1" w:rsidRDefault="0053605A" w:rsidP="0053605A">
      <w:pPr>
        <w:pStyle w:val="Default"/>
        <w:shd w:val="clear" w:color="auto" w:fill="FFFFFF"/>
        <w:ind w:left="1776"/>
        <w:jc w:val="both"/>
        <w:rPr>
          <w:rFonts w:cs="Arial"/>
          <w:sz w:val="20"/>
          <w:szCs w:val="20"/>
          <w:lang w:val="en-US"/>
        </w:rPr>
      </w:pPr>
    </w:p>
    <w:p w:rsidR="0053605A" w:rsidRPr="00C97522" w:rsidRDefault="0053605A" w:rsidP="0053605A">
      <w:pPr>
        <w:pStyle w:val="Akapitzlist"/>
        <w:shd w:val="clear" w:color="auto" w:fill="FFFFFF"/>
        <w:ind w:left="0"/>
        <w:contextualSpacing w:val="0"/>
        <w:jc w:val="both"/>
        <w:rPr>
          <w:rFonts w:ascii="Arial" w:hAnsi="Arial" w:cs="Arial"/>
          <w:szCs w:val="20"/>
          <w:lang w:val="en-US"/>
        </w:rPr>
      </w:pPr>
      <w:r w:rsidRPr="004D5AA1">
        <w:rPr>
          <w:rFonts w:cs="Arial"/>
          <w:szCs w:val="20"/>
          <w:lang w:val="en-US"/>
        </w:rPr>
        <w:t>However we are of the opinion that some common management/supervision may to a certain extent,</w:t>
      </w:r>
      <w:r w:rsidRPr="004D5AA1">
        <w:rPr>
          <w:rFonts w:cs="Arial"/>
          <w:bCs/>
          <w:szCs w:val="20"/>
          <w:lang w:val="en-US"/>
        </w:rPr>
        <w:t xml:space="preserve"> interfere with the independence of the Relevant Entities</w:t>
      </w:r>
      <w:r w:rsidRPr="004D5AA1">
        <w:rPr>
          <w:rFonts w:cs="Arial"/>
          <w:szCs w:val="20"/>
          <w:lang w:val="en-US"/>
        </w:rPr>
        <w:t xml:space="preserve"> .Please see our answer to Q15</w:t>
      </w:r>
      <w:r>
        <w:rPr>
          <w:rFonts w:ascii="Arial" w:hAnsi="Arial" w:cs="Arial"/>
          <w:szCs w:val="20"/>
          <w:lang w:val="en-US"/>
        </w:rPr>
        <w:t xml:space="preserve">. </w:t>
      </w:r>
    </w:p>
    <w:p w:rsidR="00B33CB1" w:rsidRDefault="00B33CB1" w:rsidP="00B33CB1">
      <w:r>
        <w:t>&lt;ESMA_UCITS_QUESTION_13&gt;</w:t>
      </w:r>
    </w:p>
    <w:p w:rsidR="00B33CB1" w:rsidRDefault="00B33CB1" w:rsidP="00B33CB1"/>
    <w:p w:rsidR="00B33CB1" w:rsidRDefault="00B33CB1" w:rsidP="00B33CB1">
      <w:pPr>
        <w:pStyle w:val="Nagwek5"/>
        <w:keepNext w:val="0"/>
        <w:keepLines w:val="0"/>
        <w:numPr>
          <w:ilvl w:val="0"/>
          <w:numId w:val="6"/>
        </w:numPr>
        <w:spacing w:after="250" w:line="276" w:lineRule="auto"/>
        <w:ind w:left="0" w:firstLine="0"/>
      </w:pPr>
      <w:r>
        <w:t>Do you consider that any additional links should be taken into account such as, for instance, the existence of any contractual commitment or other relationship which would affect the independence of the Relevant Entities? If yes, please provide details.</w:t>
      </w:r>
    </w:p>
    <w:p w:rsidR="00B33CB1" w:rsidRDefault="00B33CB1" w:rsidP="00B33CB1">
      <w:r>
        <w:t>&lt;ESMA_UCITS_QUESTION_14&gt;</w:t>
      </w:r>
    </w:p>
    <w:p w:rsidR="0053605A" w:rsidRPr="004D5AA1" w:rsidRDefault="0053605A" w:rsidP="0053605A">
      <w:pPr>
        <w:autoSpaceDE w:val="0"/>
        <w:autoSpaceDN w:val="0"/>
        <w:adjustRightInd w:val="0"/>
        <w:jc w:val="both"/>
        <w:rPr>
          <w:rFonts w:cs="Arial"/>
          <w:bCs/>
          <w:szCs w:val="20"/>
          <w:lang w:val="en-US"/>
        </w:rPr>
      </w:pPr>
      <w:r w:rsidRPr="004D5AA1">
        <w:rPr>
          <w:rFonts w:cs="Arial"/>
          <w:bCs/>
          <w:szCs w:val="20"/>
          <w:lang w:val="en-US"/>
        </w:rPr>
        <w:t>We do not consider that any additional links should be taken into account.</w:t>
      </w:r>
    </w:p>
    <w:p w:rsidR="00B33CB1" w:rsidRDefault="00B33CB1" w:rsidP="00B33CB1">
      <w:r>
        <w:t>&lt;ESMA_UCITS_QUESTION_14&gt;</w:t>
      </w:r>
    </w:p>
    <w:p w:rsidR="00B33CB1" w:rsidRDefault="00B33CB1" w:rsidP="00B33CB1"/>
    <w:p w:rsidR="00B33CB1" w:rsidRDefault="00B33CB1" w:rsidP="00B33CB1">
      <w:pPr>
        <w:pStyle w:val="Nagwek5"/>
        <w:keepNext w:val="0"/>
        <w:keepLines w:val="0"/>
        <w:numPr>
          <w:ilvl w:val="0"/>
          <w:numId w:val="6"/>
        </w:numPr>
        <w:spacing w:after="250" w:line="276" w:lineRule="auto"/>
        <w:ind w:left="0" w:firstLine="0"/>
      </w:pPr>
      <w:r>
        <w:t>Do you consider that the cumulative presence of all or some of the identified links is necessary to jeopardise the independence of the Relevant Entities or the presence of any of these links is sufficient to determine a lack of independence?</w:t>
      </w:r>
    </w:p>
    <w:p w:rsidR="00B33CB1" w:rsidRDefault="00B33CB1" w:rsidP="00B33CB1">
      <w:r>
        <w:t>&lt;ESMA_UCITS_QUESTION_15&gt;</w:t>
      </w:r>
    </w:p>
    <w:p w:rsidR="0053605A" w:rsidRPr="0053605A" w:rsidRDefault="0053605A" w:rsidP="0053605A">
      <w:pPr>
        <w:autoSpaceDE w:val="0"/>
        <w:autoSpaceDN w:val="0"/>
        <w:adjustRightInd w:val="0"/>
        <w:jc w:val="both"/>
        <w:rPr>
          <w:rFonts w:cs="Arial"/>
          <w:bCs/>
          <w:szCs w:val="20"/>
          <w:lang w:val="en-US"/>
        </w:rPr>
      </w:pPr>
      <w:r w:rsidRPr="0053605A">
        <w:rPr>
          <w:rFonts w:cs="Arial"/>
          <w:bCs/>
          <w:szCs w:val="20"/>
          <w:lang w:val="en-US"/>
        </w:rPr>
        <w:t xml:space="preserve">We are strongly opposed to the cross-shareholdings/group inclusion links as it cannot pre determine a lack of independence of the Relevant Entities. </w:t>
      </w:r>
    </w:p>
    <w:p w:rsidR="0053605A" w:rsidRPr="0053605A" w:rsidRDefault="0053605A" w:rsidP="0053605A">
      <w:pPr>
        <w:jc w:val="both"/>
        <w:rPr>
          <w:rFonts w:cs="Arial"/>
          <w:bCs/>
          <w:szCs w:val="20"/>
          <w:lang w:val="en-US"/>
        </w:rPr>
      </w:pPr>
      <w:r w:rsidRPr="0053605A">
        <w:rPr>
          <w:rFonts w:cs="Arial"/>
          <w:bCs/>
          <w:szCs w:val="20"/>
          <w:lang w:val="en-US"/>
        </w:rPr>
        <w:t>However, we are of the opinion that a certain level of common management/supervision, may to a certain extent, interfere with the independence of the Relevant Entities</w:t>
      </w:r>
    </w:p>
    <w:p w:rsidR="00B33CB1" w:rsidRDefault="00B33CB1" w:rsidP="00B33CB1">
      <w:r>
        <w:lastRenderedPageBreak/>
        <w:t>&lt;ESMA_UCITS_QUESTION_15&gt;</w:t>
      </w:r>
    </w:p>
    <w:p w:rsidR="00B33CB1" w:rsidRDefault="00B33CB1" w:rsidP="00B33CB1"/>
    <w:p w:rsidR="00B33CB1" w:rsidRDefault="00B33CB1" w:rsidP="00B33CB1">
      <w:pPr>
        <w:pStyle w:val="Nagwek5"/>
        <w:keepNext w:val="0"/>
        <w:keepLines w:val="0"/>
        <w:numPr>
          <w:ilvl w:val="0"/>
          <w:numId w:val="6"/>
        </w:numPr>
        <w:spacing w:after="250" w:line="276" w:lineRule="auto"/>
        <w:ind w:left="0" w:firstLine="0"/>
      </w:pPr>
      <w:r>
        <w:t xml:space="preserve">Do you agree with the proposed option to ensure the separation of the management bodies/bodies in charge of the supervisory functions of the Relevant Entities? </w:t>
      </w:r>
    </w:p>
    <w:p w:rsidR="00B33CB1" w:rsidRDefault="00B33CB1" w:rsidP="00B33CB1">
      <w:pPr>
        <w:pStyle w:val="Nagwek5"/>
        <w:keepNext w:val="0"/>
        <w:keepLines w:val="0"/>
        <w:numPr>
          <w:ilvl w:val="0"/>
          <w:numId w:val="0"/>
        </w:numPr>
        <w:spacing w:after="250" w:line="276" w:lineRule="auto"/>
      </w:pPr>
      <w:r>
        <w:t>Do you have any alternative options to suggest, taking into account those identified under paragraph 47?</w:t>
      </w:r>
    </w:p>
    <w:p w:rsidR="00B33CB1" w:rsidRDefault="00B33CB1" w:rsidP="00B33CB1">
      <w:r>
        <w:t>&lt;ESMA_UCITS_QUESTION_16&gt;</w:t>
      </w:r>
    </w:p>
    <w:p w:rsidR="0053605A" w:rsidRPr="004D5AA1" w:rsidRDefault="0053605A" w:rsidP="0053605A">
      <w:pPr>
        <w:autoSpaceDE w:val="0"/>
        <w:autoSpaceDN w:val="0"/>
        <w:adjustRightInd w:val="0"/>
        <w:jc w:val="both"/>
        <w:rPr>
          <w:rFonts w:cs="Arial"/>
          <w:szCs w:val="20"/>
          <w:lang w:val="en-US"/>
        </w:rPr>
      </w:pPr>
      <w:r w:rsidRPr="004D5AA1">
        <w:rPr>
          <w:rFonts w:cs="Arial"/>
          <w:szCs w:val="20"/>
          <w:lang w:val="en-US"/>
        </w:rPr>
        <w:t>We agree with the proposed option to ensure the separation of the management bodies/bodies in charge of the supervisory functions of each entity by prohibiting any member of the management body of one of the relevant entities from also being a member of the management body or employee of the other relevant entity.</w:t>
      </w:r>
    </w:p>
    <w:p w:rsidR="00B33CB1" w:rsidRDefault="00B33CB1" w:rsidP="00B33CB1">
      <w:r>
        <w:t>&lt;ESMA_UCITS_QUESTION_16&gt;</w:t>
      </w:r>
    </w:p>
    <w:p w:rsidR="00B33CB1" w:rsidRDefault="00B33CB1" w:rsidP="00B33CB1"/>
    <w:p w:rsidR="00B33CB1" w:rsidRDefault="00B33CB1" w:rsidP="00B33CB1">
      <w:pPr>
        <w:pStyle w:val="Nagwek5"/>
        <w:keepNext w:val="0"/>
        <w:keepLines w:val="0"/>
        <w:numPr>
          <w:ilvl w:val="0"/>
          <w:numId w:val="6"/>
        </w:numPr>
        <w:spacing w:after="250" w:line="276" w:lineRule="auto"/>
        <w:ind w:left="0" w:firstLine="0"/>
      </w:pPr>
      <w:r>
        <w:t>Do you consider that the cap of one third of members of the body in charge of the supervisory functions of one of the Relevant Entities to also be members of the management body, the body in charge of the supervisory functions or employees of the other Relevant Entity is appropriate?</w:t>
      </w:r>
      <w:r>
        <w:rPr>
          <w:sz w:val="22"/>
        </w:rPr>
        <w:t xml:space="preserve"> </w:t>
      </w:r>
      <w:r>
        <w:t>Would you suggest any alternative percentage? If yes, please provide the reasons why.</w:t>
      </w:r>
    </w:p>
    <w:p w:rsidR="00B33CB1" w:rsidRDefault="00B33CB1" w:rsidP="00B33CB1">
      <w:r>
        <w:t>&lt;ESMA_UCITS_QUESTION_17&gt;</w:t>
      </w:r>
    </w:p>
    <w:p w:rsidR="0053605A" w:rsidRPr="004D5AA1" w:rsidRDefault="0053605A" w:rsidP="0053605A">
      <w:pPr>
        <w:autoSpaceDE w:val="0"/>
        <w:autoSpaceDN w:val="0"/>
        <w:adjustRightInd w:val="0"/>
        <w:jc w:val="both"/>
        <w:rPr>
          <w:rFonts w:cs="Arial"/>
          <w:b/>
          <w:bCs/>
          <w:color w:val="FF0000"/>
          <w:szCs w:val="20"/>
          <w:lang w:val="en-US"/>
        </w:rPr>
      </w:pPr>
      <w:r w:rsidRPr="004D5AA1">
        <w:rPr>
          <w:rFonts w:cs="Arial"/>
          <w:szCs w:val="20"/>
          <w:lang w:val="en-US"/>
        </w:rPr>
        <w:t>We</w:t>
      </w:r>
      <w:r w:rsidRPr="00A76F6B">
        <w:rPr>
          <w:rFonts w:cs="Arial"/>
          <w:szCs w:val="20"/>
          <w:lang w:val="en-US"/>
        </w:rPr>
        <w:t xml:space="preserve"> </w:t>
      </w:r>
      <w:r w:rsidRPr="004D5AA1">
        <w:rPr>
          <w:rFonts w:cs="Arial"/>
          <w:szCs w:val="20"/>
          <w:lang w:val="en-US"/>
        </w:rPr>
        <w:t>agree that there should be a less stringent rule for the members of the body in charge of the supervisory functions for entities, which have a dual structure (i.e. the body in charge of the supervisory functions is different from the body in charge of the managerial functions). We believe that there should be a cap which should not be higher than the</w:t>
      </w:r>
      <w:r w:rsidRPr="004D5AA1">
        <w:rPr>
          <w:rFonts w:cs="Arial"/>
          <w:bCs/>
          <w:szCs w:val="20"/>
          <w:lang w:val="en-US"/>
        </w:rPr>
        <w:t xml:space="preserve"> cap of one third of members of the body in charge of the supervisory functions of one of the Relevant Entities to also be members of the management body, the body in charge of the supervisory functions or employees of the other Relevant entity. </w:t>
      </w:r>
    </w:p>
    <w:p w:rsidR="00B33CB1" w:rsidRDefault="00B33CB1" w:rsidP="00B33CB1">
      <w:r>
        <w:t>&lt;ESMA_UCITS_QUESTION_17&gt;</w:t>
      </w:r>
    </w:p>
    <w:p w:rsidR="00B33CB1" w:rsidRDefault="00B33CB1" w:rsidP="00B33CB1"/>
    <w:p w:rsidR="00B33CB1" w:rsidRDefault="00B33CB1" w:rsidP="00B33CB1">
      <w:pPr>
        <w:pStyle w:val="Nagwek5"/>
        <w:keepNext w:val="0"/>
        <w:keepLines w:val="0"/>
        <w:numPr>
          <w:ilvl w:val="0"/>
          <w:numId w:val="6"/>
        </w:numPr>
        <w:spacing w:after="250" w:line="276" w:lineRule="auto"/>
        <w:ind w:left="0" w:firstLine="0"/>
      </w:pPr>
      <w:r>
        <w:t>Do you have knowledge of any restructuring in the composition of the management bodies/bodies in charge of the supervisory functions of any Relevant Entities that would be triggered by the identified option? If yes, please provide data and an estimation of the one-off and ongoing costs that would be incurred.</w:t>
      </w:r>
    </w:p>
    <w:p w:rsidR="00B33CB1" w:rsidRDefault="00B33CB1" w:rsidP="00B33CB1">
      <w:r>
        <w:t>&lt;ESMA_UCITS_QUESTION_18&gt;</w:t>
      </w:r>
    </w:p>
    <w:p w:rsidR="0053605A" w:rsidRPr="00A76F6B" w:rsidRDefault="0053605A" w:rsidP="0053605A">
      <w:pPr>
        <w:autoSpaceDE w:val="0"/>
        <w:autoSpaceDN w:val="0"/>
        <w:adjustRightInd w:val="0"/>
        <w:jc w:val="both"/>
        <w:rPr>
          <w:rFonts w:cs="Arial"/>
          <w:bCs/>
          <w:szCs w:val="20"/>
          <w:lang w:val="en-US"/>
        </w:rPr>
      </w:pPr>
      <w:r w:rsidRPr="00A76F6B">
        <w:rPr>
          <w:rFonts w:cs="Arial"/>
          <w:bCs/>
          <w:szCs w:val="20"/>
          <w:lang w:val="en-US"/>
        </w:rPr>
        <w:t>Comparing to both options on cross-shareholding, the implementation of the common management / supervision option is likely to lead to limited additional costs.</w:t>
      </w:r>
    </w:p>
    <w:p w:rsidR="00B33CB1" w:rsidRDefault="00B33CB1" w:rsidP="00B33CB1">
      <w:r>
        <w:t>&lt;ESMA_UCITS_QUESTION_18&gt;</w:t>
      </w:r>
    </w:p>
    <w:p w:rsidR="00B33CB1" w:rsidRDefault="00B33CB1" w:rsidP="00B33CB1"/>
    <w:p w:rsidR="00B33CB1" w:rsidRDefault="00B33CB1" w:rsidP="00B33CB1">
      <w:pPr>
        <w:pStyle w:val="Nagwek5"/>
        <w:keepNext w:val="0"/>
        <w:keepLines w:val="0"/>
        <w:numPr>
          <w:ilvl w:val="0"/>
          <w:numId w:val="6"/>
        </w:numPr>
        <w:spacing w:after="250" w:line="276" w:lineRule="auto"/>
        <w:ind w:left="0" w:firstLine="0"/>
      </w:pPr>
      <w:r>
        <w:t>Which of the two identified options do you prefer? Would you suggest any alternative option? If yes, please provide details.</w:t>
      </w:r>
    </w:p>
    <w:p w:rsidR="00B33CB1" w:rsidRDefault="00B33CB1" w:rsidP="00B33CB1">
      <w:r>
        <w:t>&lt;ESMA_UCITS_QUESTION_19&gt;</w:t>
      </w:r>
    </w:p>
    <w:p w:rsidR="0053605A" w:rsidRDefault="0053605A" w:rsidP="0053605A">
      <w:pPr>
        <w:autoSpaceDE w:val="0"/>
        <w:autoSpaceDN w:val="0"/>
        <w:adjustRightInd w:val="0"/>
        <w:jc w:val="both"/>
        <w:rPr>
          <w:rFonts w:ascii="Arial" w:hAnsi="Arial" w:cs="Arial"/>
          <w:szCs w:val="20"/>
          <w:lang w:val="en-US"/>
        </w:rPr>
      </w:pPr>
      <w:r w:rsidRPr="00A76F6B">
        <w:rPr>
          <w:rFonts w:cs="Arial"/>
          <w:szCs w:val="20"/>
          <w:lang w:val="en-US"/>
        </w:rPr>
        <w:t xml:space="preserve">For the reasons set out in our response to question 13, we find the first option unacceptable and potentially </w:t>
      </w:r>
      <w:proofErr w:type="spellStart"/>
      <w:r w:rsidRPr="00A76F6B">
        <w:rPr>
          <w:rFonts w:cs="Arial"/>
          <w:szCs w:val="20"/>
          <w:lang w:val="en-US"/>
        </w:rPr>
        <w:t>destabilising</w:t>
      </w:r>
      <w:proofErr w:type="spellEnd"/>
      <w:r w:rsidRPr="00A76F6B">
        <w:rPr>
          <w:rFonts w:cs="Arial"/>
          <w:szCs w:val="20"/>
          <w:lang w:val="en-US"/>
        </w:rPr>
        <w:t xml:space="preserve"> for the banking industry in the EU. </w:t>
      </w:r>
      <w:r w:rsidRPr="00A76F6B">
        <w:rPr>
          <w:rFonts w:cs="Arial"/>
          <w:szCs w:val="20"/>
        </w:rPr>
        <w:t xml:space="preserve">The principle of proportionality is intended to ensure that regulatory measures go no further than is required to achieve a set objective, which is to ensure that both the management company and the depositary have specific safeguards against conflicts of interest to allow for the independent performance of their activities. </w:t>
      </w:r>
      <w:r w:rsidRPr="00A76F6B">
        <w:rPr>
          <w:rFonts w:cs="Arial"/>
          <w:szCs w:val="20"/>
          <w:lang w:val="en-US"/>
        </w:rPr>
        <w:t xml:space="preserve">We support the second option, which aims at </w:t>
      </w:r>
      <w:proofErr w:type="spellStart"/>
      <w:r w:rsidRPr="00A76F6B">
        <w:rPr>
          <w:rFonts w:cs="Arial"/>
          <w:szCs w:val="20"/>
          <w:lang w:val="en-US"/>
        </w:rPr>
        <w:t>harmonising</w:t>
      </w:r>
      <w:proofErr w:type="spellEnd"/>
      <w:r w:rsidRPr="00A76F6B">
        <w:rPr>
          <w:rFonts w:cs="Arial"/>
          <w:szCs w:val="20"/>
          <w:lang w:val="en-US"/>
        </w:rPr>
        <w:t xml:space="preserve"> governance and organizational arrangements</w:t>
      </w:r>
      <w:r w:rsidRPr="006F2AE3">
        <w:rPr>
          <w:rFonts w:ascii="Arial" w:hAnsi="Arial" w:cs="Arial"/>
          <w:szCs w:val="20"/>
          <w:lang w:val="en-US"/>
        </w:rPr>
        <w:t>.</w:t>
      </w:r>
    </w:p>
    <w:p w:rsidR="00B33CB1" w:rsidRDefault="00B33CB1" w:rsidP="00B33CB1">
      <w:r>
        <w:t>&lt;ESMA_UCITS_QUESTION_19&gt;</w:t>
      </w:r>
    </w:p>
    <w:p w:rsidR="00B33CB1" w:rsidRDefault="00B33CB1" w:rsidP="00B33CB1"/>
    <w:p w:rsidR="00B33CB1" w:rsidRDefault="00B33CB1" w:rsidP="00B33CB1">
      <w:pPr>
        <w:pStyle w:val="Nagwek5"/>
        <w:keepNext w:val="0"/>
        <w:keepLines w:val="0"/>
        <w:numPr>
          <w:ilvl w:val="0"/>
          <w:numId w:val="6"/>
        </w:numPr>
        <w:spacing w:after="250" w:line="276" w:lineRule="auto"/>
        <w:ind w:left="0" w:firstLine="0"/>
      </w:pPr>
      <w:r>
        <w:lastRenderedPageBreak/>
        <w:t xml:space="preserve">Under the second option, do you consider that it would be appropriate to require that – whenever the Relevant Entities are part of the same group – at least one third of the members of the management body of the management company/investment company and depositary should be independent? Would you suggest any alternative percentage? If yes, please provide the reasons why. </w:t>
      </w:r>
    </w:p>
    <w:p w:rsidR="00B33CB1" w:rsidRDefault="00B33CB1" w:rsidP="00B33CB1">
      <w:r>
        <w:t>&lt;ESMA_UCITS_QUESTION_20&gt;</w:t>
      </w:r>
    </w:p>
    <w:p w:rsidR="0053605A" w:rsidRPr="00A76F6B" w:rsidRDefault="0053605A" w:rsidP="0053605A">
      <w:pPr>
        <w:jc w:val="both"/>
        <w:rPr>
          <w:rFonts w:cs="Arial"/>
          <w:color w:val="000000"/>
          <w:szCs w:val="20"/>
          <w:lang w:val="en-US"/>
        </w:rPr>
      </w:pPr>
      <w:r w:rsidRPr="00A76F6B">
        <w:rPr>
          <w:rFonts w:cs="Arial"/>
          <w:color w:val="000000"/>
          <w:szCs w:val="20"/>
          <w:lang w:val="en-US"/>
        </w:rPr>
        <w:t xml:space="preserve">We do not support the requirement of at least one third of the members of the management body of </w:t>
      </w:r>
      <w:r w:rsidRPr="00A76F6B">
        <w:rPr>
          <w:rFonts w:cs="Calibri"/>
          <w:lang w:val="en-US"/>
        </w:rPr>
        <w:t>both entities should be independent</w:t>
      </w:r>
      <w:r w:rsidRPr="00A76F6B">
        <w:rPr>
          <w:rFonts w:cs="Arial"/>
          <w:color w:val="000000"/>
          <w:szCs w:val="20"/>
          <w:lang w:val="en-US"/>
        </w:rPr>
        <w:t>. This it would raise many practical issues, (in particular for small structures and structures with joint or multiple shareholdings). An additional operational hurdle would also be the regulatory limits imposed on the number of directorships held by directors.</w:t>
      </w:r>
    </w:p>
    <w:p w:rsidR="0053605A" w:rsidRDefault="0053605A" w:rsidP="0053605A">
      <w:pPr>
        <w:jc w:val="both"/>
      </w:pPr>
      <w:r w:rsidRPr="00A76F6B">
        <w:rPr>
          <w:rFonts w:cs="Arial"/>
          <w:color w:val="000000"/>
          <w:szCs w:val="20"/>
          <w:lang w:val="en-US"/>
        </w:rPr>
        <w:t>Should Independent directors be imposed, we suggest limiting the number to 1, or 2. This arrangement would allow reaching the same objectives without unnecessary constraints</w:t>
      </w:r>
    </w:p>
    <w:p w:rsidR="00B33CB1" w:rsidRDefault="00B33CB1" w:rsidP="00B33CB1">
      <w:r>
        <w:t>&lt;ESMA_UCITS_QUESTION_20&gt;</w:t>
      </w:r>
    </w:p>
    <w:p w:rsidR="00B33CB1" w:rsidRDefault="00B33CB1" w:rsidP="00B33CB1"/>
    <w:p w:rsidR="00B33CB1" w:rsidRDefault="00B33CB1" w:rsidP="00B33CB1">
      <w:pPr>
        <w:pStyle w:val="Nagwek5"/>
        <w:keepNext w:val="0"/>
        <w:keepLines w:val="0"/>
        <w:numPr>
          <w:ilvl w:val="0"/>
          <w:numId w:val="6"/>
        </w:numPr>
        <w:spacing w:after="250" w:line="276" w:lineRule="auto"/>
        <w:ind w:left="0" w:firstLine="0"/>
      </w:pPr>
      <w:r>
        <w:t>Do you agree that the concept of independence should be understood as requiring that independent directors should not be member of the management body or the body in charge of the supervisory function nor employees of any of the undertakings within the group?</w:t>
      </w:r>
    </w:p>
    <w:p w:rsidR="00B33CB1" w:rsidRDefault="00B33CB1" w:rsidP="00B33CB1">
      <w:r>
        <w:t>&lt;ESMA_UCITS_QUESTION_21&gt;</w:t>
      </w:r>
    </w:p>
    <w:p w:rsidR="0053605A" w:rsidRDefault="0053605A" w:rsidP="0053605A">
      <w:pPr>
        <w:jc w:val="both"/>
        <w:rPr>
          <w:rFonts w:ascii="Arial" w:hAnsi="Arial" w:cs="Arial"/>
          <w:szCs w:val="20"/>
          <w:lang w:val="en-US"/>
        </w:rPr>
      </w:pPr>
      <w:r w:rsidRPr="00A76F6B">
        <w:rPr>
          <w:rFonts w:cs="Arial"/>
          <w:szCs w:val="20"/>
          <w:lang w:val="en-US"/>
        </w:rPr>
        <w:t>No we do not agree. The concept of Independence should not include members of the management body nor employees of undertakings of the group, provided the undertakings are not the Depositary, the asset management company themselves or their affiliates</w:t>
      </w:r>
      <w:r>
        <w:rPr>
          <w:rFonts w:ascii="Arial" w:hAnsi="Arial" w:cs="Arial"/>
          <w:szCs w:val="20"/>
          <w:lang w:val="en-US"/>
        </w:rPr>
        <w:t xml:space="preserve">. </w:t>
      </w:r>
    </w:p>
    <w:p w:rsidR="00B33CB1" w:rsidRDefault="00B33CB1" w:rsidP="00B33CB1">
      <w:r>
        <w:t>&lt;ESMA_UCITS_QUESTION_21&gt;</w:t>
      </w:r>
    </w:p>
    <w:p w:rsidR="00B33CB1" w:rsidRDefault="00B33CB1" w:rsidP="00B33CB1"/>
    <w:p w:rsidR="00B33CB1" w:rsidRDefault="00B33CB1" w:rsidP="00B33CB1">
      <w:pPr>
        <w:pStyle w:val="Nagwek5"/>
        <w:keepNext w:val="0"/>
        <w:keepLines w:val="0"/>
        <w:numPr>
          <w:ilvl w:val="0"/>
          <w:numId w:val="6"/>
        </w:numPr>
        <w:spacing w:after="250" w:line="276" w:lineRule="auto"/>
        <w:ind w:left="0" w:firstLine="0"/>
      </w:pPr>
      <w:r>
        <w:t>Do you have knowledge of the impact that each of the two options identified would have in terms of restructuring the shareholding of any Relevant Entities or finding alternative service providers? If yes, please provide data and an estimation of the one-off and ongoing costs that would be incurred.</w:t>
      </w:r>
    </w:p>
    <w:p w:rsidR="00B33CB1" w:rsidRDefault="00B33CB1" w:rsidP="00B33CB1">
      <w:r>
        <w:t>&lt;ESMA_UCITS_QUESTION_22&gt;</w:t>
      </w:r>
    </w:p>
    <w:p w:rsidR="0053605A" w:rsidRPr="00A76F6B" w:rsidRDefault="0053605A" w:rsidP="0053605A">
      <w:pPr>
        <w:autoSpaceDE w:val="0"/>
        <w:autoSpaceDN w:val="0"/>
        <w:jc w:val="both"/>
        <w:rPr>
          <w:rFonts w:cs="Arial"/>
          <w:color w:val="000000"/>
          <w:szCs w:val="20"/>
          <w:lang w:val="en-US" w:eastAsia="fr-FR"/>
        </w:rPr>
      </w:pPr>
      <w:r w:rsidRPr="00A76F6B">
        <w:rPr>
          <w:rFonts w:cs="Arial"/>
          <w:color w:val="000000"/>
          <w:szCs w:val="20"/>
          <w:lang w:val="en-US" w:eastAsia="fr-FR"/>
        </w:rPr>
        <w:t xml:space="preserve">The prohibition of cross shareholding, as envisaged in option 1 (“the management company company/investment company shall not be included in the same group...”) may, if retained by ESMA, lead to </w:t>
      </w:r>
      <w:r w:rsidR="003665C1">
        <w:rPr>
          <w:rFonts w:cs="Arial"/>
          <w:color w:val="000000"/>
          <w:szCs w:val="20"/>
          <w:lang w:val="en-US" w:eastAsia="fr-FR"/>
        </w:rPr>
        <w:t>4</w:t>
      </w:r>
      <w:r w:rsidR="002D2D7B" w:rsidRPr="00A76F6B">
        <w:rPr>
          <w:rFonts w:cs="Arial"/>
          <w:color w:val="000000"/>
          <w:szCs w:val="20"/>
          <w:lang w:val="en-US" w:eastAsia="fr-FR"/>
        </w:rPr>
        <w:t xml:space="preserve"> </w:t>
      </w:r>
      <w:r w:rsidRPr="00A76F6B">
        <w:rPr>
          <w:rFonts w:cs="Arial"/>
          <w:color w:val="000000"/>
          <w:szCs w:val="20"/>
          <w:lang w:val="en-US" w:eastAsia="fr-FR"/>
        </w:rPr>
        <w:t xml:space="preserve">types of consequences, </w:t>
      </w:r>
      <w:r w:rsidR="00176B4B">
        <w:rPr>
          <w:rFonts w:cs="Arial"/>
          <w:color w:val="000000"/>
          <w:szCs w:val="20"/>
          <w:lang w:val="en-US" w:eastAsia="fr-FR"/>
        </w:rPr>
        <w:t>all</w:t>
      </w:r>
      <w:r w:rsidR="00176B4B" w:rsidRPr="00A76F6B">
        <w:rPr>
          <w:rFonts w:cs="Arial"/>
          <w:color w:val="000000"/>
          <w:szCs w:val="20"/>
          <w:lang w:val="en-US" w:eastAsia="fr-FR"/>
        </w:rPr>
        <w:t xml:space="preserve"> </w:t>
      </w:r>
      <w:r w:rsidRPr="00A76F6B">
        <w:rPr>
          <w:rFonts w:cs="Arial"/>
          <w:color w:val="000000"/>
          <w:szCs w:val="20"/>
          <w:lang w:val="en-US" w:eastAsia="fr-FR"/>
        </w:rPr>
        <w:t xml:space="preserve">significantly detrimental to the investors: </w:t>
      </w:r>
    </w:p>
    <w:p w:rsidR="0053605A" w:rsidRPr="00A76F6B" w:rsidRDefault="0053605A" w:rsidP="0053605A">
      <w:pPr>
        <w:autoSpaceDE w:val="0"/>
        <w:autoSpaceDN w:val="0"/>
        <w:ind w:left="708"/>
        <w:jc w:val="both"/>
        <w:rPr>
          <w:rFonts w:cs="Arial"/>
          <w:color w:val="000000"/>
          <w:szCs w:val="20"/>
          <w:lang w:val="en-US" w:eastAsia="fr-FR"/>
        </w:rPr>
      </w:pPr>
    </w:p>
    <w:p w:rsidR="0053605A" w:rsidRDefault="0053605A" w:rsidP="0053605A">
      <w:pPr>
        <w:pStyle w:val="Akapitzlist"/>
        <w:numPr>
          <w:ilvl w:val="0"/>
          <w:numId w:val="9"/>
        </w:numPr>
        <w:spacing w:after="200" w:line="276" w:lineRule="auto"/>
        <w:ind w:left="720"/>
        <w:jc w:val="both"/>
        <w:rPr>
          <w:rFonts w:cs="Arial"/>
          <w:szCs w:val="20"/>
          <w:lang w:val="en-US"/>
        </w:rPr>
      </w:pPr>
      <w:r w:rsidRPr="00A76F6B">
        <w:rPr>
          <w:rFonts w:cs="Arial"/>
          <w:color w:val="000000"/>
          <w:szCs w:val="20"/>
          <w:lang w:val="en-US"/>
        </w:rPr>
        <w:t>-European-based diversified financial groups with a depositary arm will be compelled to limit their operations in asset management, thus depriving the market of a substantial part of the range of products available for investment for the retail market.</w:t>
      </w:r>
      <w:r w:rsidRPr="00A76F6B">
        <w:rPr>
          <w:rFonts w:cs="Arial"/>
          <w:szCs w:val="20"/>
          <w:lang w:val="en-US"/>
        </w:rPr>
        <w:t xml:space="preserve"> A significant amount of UCITS would be closed and their assets could be transferred to other investment veh</w:t>
      </w:r>
      <w:r>
        <w:rPr>
          <w:rFonts w:cs="Arial"/>
          <w:szCs w:val="20"/>
          <w:lang w:val="en-US"/>
        </w:rPr>
        <w:t>icles offering less protection.</w:t>
      </w:r>
    </w:p>
    <w:p w:rsidR="0053605A" w:rsidRPr="002D2D7B" w:rsidRDefault="00FD7566" w:rsidP="0053605A">
      <w:pPr>
        <w:pStyle w:val="Akapitzlist"/>
        <w:numPr>
          <w:ilvl w:val="0"/>
          <w:numId w:val="9"/>
        </w:numPr>
        <w:spacing w:after="200" w:line="276" w:lineRule="auto"/>
        <w:ind w:left="720"/>
        <w:jc w:val="both"/>
        <w:rPr>
          <w:rFonts w:cs="Arial"/>
          <w:szCs w:val="20"/>
          <w:lang w:val="en-US"/>
        </w:rPr>
      </w:pPr>
      <w:r w:rsidRPr="00A76F6B">
        <w:rPr>
          <w:rFonts w:cs="Arial"/>
          <w:color w:val="000000"/>
          <w:szCs w:val="20"/>
          <w:lang w:val="en-US" w:eastAsia="fr-FR"/>
        </w:rPr>
        <w:t>European-based diversified financial groups with an asset management arm will exit the depositary sector. Depositary service offering in the UE will therefore be reduced, be limited to fewer players, and is likely to be offered by banks somewhat away from the asset industry constraints.</w:t>
      </w:r>
    </w:p>
    <w:p w:rsidR="002D2D7B" w:rsidRPr="003665C1" w:rsidRDefault="002D2D7B" w:rsidP="0053605A">
      <w:pPr>
        <w:pStyle w:val="Akapitzlist"/>
        <w:numPr>
          <w:ilvl w:val="0"/>
          <w:numId w:val="9"/>
        </w:numPr>
        <w:spacing w:after="200" w:line="276" w:lineRule="auto"/>
        <w:ind w:left="720"/>
        <w:jc w:val="both"/>
        <w:rPr>
          <w:rFonts w:cs="Arial"/>
          <w:szCs w:val="20"/>
          <w:lang w:val="en-US"/>
        </w:rPr>
      </w:pPr>
      <w:r>
        <w:rPr>
          <w:rFonts w:cs="Arial"/>
          <w:color w:val="000000"/>
          <w:szCs w:val="20"/>
          <w:lang w:val="en-US" w:eastAsia="fr-FR"/>
        </w:rPr>
        <w:t>Potential disruptions in taking over depository duties by new entities, as different depositories would be appointed.</w:t>
      </w:r>
    </w:p>
    <w:p w:rsidR="003665C1" w:rsidRPr="00A76F6B" w:rsidRDefault="003665C1" w:rsidP="0053605A">
      <w:pPr>
        <w:pStyle w:val="Akapitzlist"/>
        <w:numPr>
          <w:ilvl w:val="0"/>
          <w:numId w:val="9"/>
        </w:numPr>
        <w:spacing w:after="200" w:line="276" w:lineRule="auto"/>
        <w:ind w:left="720"/>
        <w:jc w:val="both"/>
        <w:rPr>
          <w:rFonts w:cs="Arial"/>
          <w:szCs w:val="20"/>
          <w:lang w:val="en-US"/>
        </w:rPr>
      </w:pPr>
      <w:r>
        <w:rPr>
          <w:rFonts w:cs="Arial"/>
          <w:color w:val="000000"/>
          <w:szCs w:val="20"/>
          <w:lang w:val="en-US" w:eastAsia="fr-FR"/>
        </w:rPr>
        <w:t>Costs of depository duties migration including transfer of assets would be borne by funds and ultimately by the investors.</w:t>
      </w:r>
    </w:p>
    <w:p w:rsidR="00FD7566" w:rsidRDefault="00FD7566" w:rsidP="0053605A">
      <w:pPr>
        <w:pStyle w:val="Akapitzlist"/>
        <w:ind w:left="708"/>
        <w:rPr>
          <w:rFonts w:cs="Arial"/>
          <w:szCs w:val="20"/>
          <w:lang w:val="en-US"/>
        </w:rPr>
      </w:pPr>
    </w:p>
    <w:p w:rsidR="0053605A" w:rsidRPr="00A76F6B" w:rsidRDefault="0053605A" w:rsidP="00FD7566">
      <w:pPr>
        <w:pStyle w:val="Akapitzlist"/>
        <w:ind w:left="0"/>
        <w:rPr>
          <w:rFonts w:cs="Arial"/>
          <w:szCs w:val="20"/>
        </w:rPr>
      </w:pPr>
      <w:r w:rsidRPr="00A76F6B">
        <w:rPr>
          <w:rFonts w:cs="Arial"/>
          <w:szCs w:val="20"/>
          <w:lang w:val="en-US"/>
        </w:rPr>
        <w:t xml:space="preserve">Option 1 </w:t>
      </w:r>
      <w:r w:rsidRPr="00A76F6B">
        <w:rPr>
          <w:rFonts w:cs="Arial"/>
          <w:szCs w:val="20"/>
        </w:rPr>
        <w:t>would entail huge costs and a complete transformation of the existing models with a chanc</w:t>
      </w:r>
      <w:r w:rsidR="00FD7566">
        <w:rPr>
          <w:rFonts w:cs="Arial"/>
          <w:szCs w:val="20"/>
        </w:rPr>
        <w:t xml:space="preserve">e to put at risk and to weaken </w:t>
      </w:r>
      <w:r w:rsidRPr="00A76F6B">
        <w:rPr>
          <w:rFonts w:cs="Arial"/>
          <w:szCs w:val="20"/>
        </w:rPr>
        <w:t>the overall sector. These costs would ultimately be borne by UCITS investors with no added benefits in terms of protection given the absence of evidenced market failure.</w:t>
      </w:r>
    </w:p>
    <w:p w:rsidR="00FD7566" w:rsidRDefault="00FD7566" w:rsidP="00FD7566">
      <w:pPr>
        <w:autoSpaceDE w:val="0"/>
        <w:autoSpaceDN w:val="0"/>
        <w:jc w:val="both"/>
        <w:rPr>
          <w:rFonts w:cs="Arial"/>
          <w:color w:val="000000"/>
          <w:szCs w:val="20"/>
          <w:lang w:val="en-US" w:eastAsia="fr-FR"/>
        </w:rPr>
      </w:pPr>
    </w:p>
    <w:p w:rsidR="0053605A" w:rsidRPr="00A76F6B" w:rsidRDefault="0053605A" w:rsidP="00FD7566">
      <w:pPr>
        <w:autoSpaceDE w:val="0"/>
        <w:autoSpaceDN w:val="0"/>
        <w:jc w:val="both"/>
        <w:rPr>
          <w:rFonts w:cs="Arial"/>
          <w:color w:val="000000"/>
          <w:szCs w:val="20"/>
          <w:lang w:val="en-US" w:eastAsia="fr-FR"/>
        </w:rPr>
      </w:pPr>
      <w:r w:rsidRPr="00A76F6B">
        <w:rPr>
          <w:rFonts w:cs="Arial"/>
          <w:color w:val="000000"/>
          <w:szCs w:val="20"/>
          <w:lang w:val="en-US" w:eastAsia="fr-FR"/>
        </w:rPr>
        <w:t>But these costs would go far beyond the costs of transfer since option 1 would, in our view contradict, without any compelling grounds, the freedom of enterprise in the European financial and lead to a far reaching market restructuration detrimental to:</w:t>
      </w:r>
    </w:p>
    <w:p w:rsidR="0053605A" w:rsidRPr="00A76F6B" w:rsidRDefault="0053605A" w:rsidP="0053605A">
      <w:pPr>
        <w:autoSpaceDE w:val="0"/>
        <w:autoSpaceDN w:val="0"/>
        <w:ind w:left="360"/>
        <w:jc w:val="both"/>
        <w:rPr>
          <w:rFonts w:cs="Arial"/>
          <w:color w:val="000000"/>
          <w:szCs w:val="20"/>
          <w:lang w:val="en-US" w:eastAsia="fr-FR"/>
        </w:rPr>
      </w:pPr>
      <w:r w:rsidRPr="00A76F6B">
        <w:rPr>
          <w:rFonts w:cs="Arial"/>
          <w:color w:val="000000"/>
          <w:szCs w:val="20"/>
          <w:lang w:val="en-US" w:eastAsia="fr-FR"/>
        </w:rPr>
        <w:t>1) The employment in the financing sector</w:t>
      </w:r>
    </w:p>
    <w:p w:rsidR="0053605A" w:rsidRPr="00A76F6B" w:rsidRDefault="0053605A" w:rsidP="0053605A">
      <w:pPr>
        <w:autoSpaceDE w:val="0"/>
        <w:autoSpaceDN w:val="0"/>
        <w:ind w:left="360"/>
        <w:jc w:val="both"/>
        <w:rPr>
          <w:rFonts w:cs="Arial"/>
          <w:color w:val="000000"/>
          <w:szCs w:val="20"/>
          <w:lang w:val="en-US" w:eastAsia="fr-FR"/>
        </w:rPr>
      </w:pPr>
      <w:r w:rsidRPr="00A76F6B">
        <w:rPr>
          <w:rFonts w:cs="Arial"/>
          <w:color w:val="000000"/>
          <w:szCs w:val="20"/>
          <w:lang w:val="en-US" w:eastAsia="fr-FR"/>
        </w:rPr>
        <w:t xml:space="preserve">2) The financing of the economy </w:t>
      </w:r>
    </w:p>
    <w:p w:rsidR="0053605A" w:rsidRPr="00A76F6B" w:rsidRDefault="0053605A" w:rsidP="0053605A">
      <w:pPr>
        <w:autoSpaceDE w:val="0"/>
        <w:autoSpaceDN w:val="0"/>
        <w:ind w:left="360"/>
        <w:jc w:val="both"/>
        <w:rPr>
          <w:rFonts w:cs="Arial"/>
          <w:color w:val="000000"/>
          <w:szCs w:val="20"/>
          <w:lang w:val="en-US" w:eastAsia="fr-FR"/>
        </w:rPr>
      </w:pPr>
      <w:r w:rsidRPr="00A76F6B">
        <w:rPr>
          <w:rFonts w:cs="Arial"/>
          <w:color w:val="000000"/>
          <w:szCs w:val="20"/>
          <w:lang w:val="en-US" w:eastAsia="fr-FR"/>
        </w:rPr>
        <w:t>3) The stability and safety of the whole UCITS model</w:t>
      </w:r>
    </w:p>
    <w:p w:rsidR="0053605A" w:rsidRPr="00A76F6B" w:rsidRDefault="0053605A" w:rsidP="0053605A">
      <w:pPr>
        <w:autoSpaceDE w:val="0"/>
        <w:autoSpaceDN w:val="0"/>
        <w:ind w:left="360"/>
        <w:jc w:val="both"/>
        <w:rPr>
          <w:rFonts w:cs="Arial"/>
          <w:color w:val="000000"/>
          <w:szCs w:val="20"/>
          <w:lang w:val="en-US" w:eastAsia="fr-FR"/>
        </w:rPr>
      </w:pPr>
      <w:r w:rsidRPr="00A76F6B">
        <w:rPr>
          <w:rFonts w:cs="Arial"/>
          <w:color w:val="000000"/>
          <w:szCs w:val="20"/>
          <w:lang w:val="en-US" w:eastAsia="fr-FR"/>
        </w:rPr>
        <w:t xml:space="preserve">4) The stability of the banking sector. </w:t>
      </w:r>
    </w:p>
    <w:p w:rsidR="00B33CB1" w:rsidRDefault="00B33CB1" w:rsidP="00B33CB1">
      <w:r>
        <w:t>&lt;ESMA_UCITS_QUESTION_22&gt;</w:t>
      </w:r>
    </w:p>
    <w:p w:rsidR="00B33CB1" w:rsidRDefault="00B33CB1" w:rsidP="00B33CB1"/>
    <w:p w:rsidR="00B33CB1" w:rsidRDefault="00B33CB1" w:rsidP="00B33CB1">
      <w:pPr>
        <w:rPr>
          <w:b/>
        </w:rPr>
      </w:pPr>
      <w:r>
        <w:rPr>
          <w:b/>
        </w:rPr>
        <w:t>Annex III</w:t>
      </w:r>
    </w:p>
    <w:p w:rsidR="00B33CB1" w:rsidRDefault="00B33CB1" w:rsidP="00B33CB1">
      <w:pPr>
        <w:rPr>
          <w:b/>
        </w:rPr>
      </w:pPr>
    </w:p>
    <w:p w:rsidR="00B33CB1" w:rsidRPr="00037818" w:rsidRDefault="00B33CB1" w:rsidP="00B33CB1">
      <w:pPr>
        <w:rPr>
          <w:b/>
        </w:rPr>
      </w:pPr>
      <w:r w:rsidRPr="00037818">
        <w:rPr>
          <w:b/>
        </w:rPr>
        <w:t>Cost-benefit analysis</w:t>
      </w:r>
    </w:p>
    <w:p w:rsidR="00B33CB1" w:rsidRDefault="00B33CB1" w:rsidP="00B33CB1"/>
    <w:p w:rsidR="00B33CB1" w:rsidRDefault="00B33CB1" w:rsidP="00B33CB1">
      <w:pPr>
        <w:pStyle w:val="Nagwek5"/>
        <w:keepNext w:val="0"/>
        <w:keepLines w:val="0"/>
        <w:numPr>
          <w:ilvl w:val="0"/>
          <w:numId w:val="6"/>
        </w:numPr>
        <w:spacing w:after="250" w:line="276" w:lineRule="auto"/>
        <w:ind w:left="0" w:firstLine="0"/>
      </w:pPr>
      <w:r>
        <w:t>Do you agree with ESMA’s approach to discard the second and third options described above?</w:t>
      </w:r>
    </w:p>
    <w:p w:rsidR="00B33CB1" w:rsidRDefault="00B33CB1" w:rsidP="00B33CB1">
      <w:r>
        <w:t>&lt;ESMA_UCITS_QUESTION_23&gt;</w:t>
      </w:r>
    </w:p>
    <w:p w:rsidR="00FD7566" w:rsidRPr="00A76F6B" w:rsidRDefault="00FD7566" w:rsidP="00FD7566">
      <w:r w:rsidRPr="00A76F6B">
        <w:rPr>
          <w:rFonts w:cs="Arial"/>
          <w:szCs w:val="20"/>
          <w:lang w:val="en-US"/>
        </w:rPr>
        <w:t>We agree with ESMA’s approach to discard the second and third option</w:t>
      </w:r>
      <w:r w:rsidRPr="00A76F6B">
        <w:t xml:space="preserve"> </w:t>
      </w:r>
    </w:p>
    <w:p w:rsidR="00B33CB1" w:rsidRDefault="00B33CB1" w:rsidP="00B33CB1">
      <w:r>
        <w:t>&lt;ESMA_UCITS_QUESTION_23&gt;</w:t>
      </w:r>
    </w:p>
    <w:p w:rsidR="00B33CB1" w:rsidRDefault="00B33CB1" w:rsidP="00B33CB1"/>
    <w:p w:rsidR="00B33CB1" w:rsidRPr="009137B6" w:rsidRDefault="00B33CB1" w:rsidP="00B33CB1">
      <w:pPr>
        <w:pStyle w:val="aNEW-Level0"/>
        <w:numPr>
          <w:ilvl w:val="0"/>
          <w:numId w:val="0"/>
        </w:numPr>
        <w:ind w:left="425" w:hanging="425"/>
      </w:pPr>
    </w:p>
    <w:p w:rsidR="00FD54AB" w:rsidRDefault="00380852"/>
    <w:sectPr w:rsidR="00FD54AB" w:rsidSect="000C06C9">
      <w:headerReference w:type="even" r:id="rId17"/>
      <w:headerReference w:type="first" r:id="rId18"/>
      <w:footerReference w:type="first" r:id="rId19"/>
      <w:pgSz w:w="11906" w:h="16838" w:code="9"/>
      <w:pgMar w:top="2552" w:right="1247" w:bottom="1361"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852" w:rsidRDefault="00380852" w:rsidP="00B33CB1">
      <w:r>
        <w:separator/>
      </w:r>
    </w:p>
  </w:endnote>
  <w:endnote w:type="continuationSeparator" w:id="0">
    <w:p w:rsidR="00380852" w:rsidRDefault="00380852" w:rsidP="00B33C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B33CB1" w:rsidRPr="00315E96" w:rsidTr="00315E96">
      <w:trPr>
        <w:trHeight w:val="284"/>
      </w:trPr>
      <w:tc>
        <w:tcPr>
          <w:tcW w:w="8460" w:type="dxa"/>
        </w:tcPr>
        <w:p w:rsidR="00B33CB1" w:rsidRPr="00315E96" w:rsidRDefault="00B33CB1" w:rsidP="00315E96">
          <w:pPr>
            <w:pStyle w:val="00Footer"/>
            <w:rPr>
              <w:lang w:val="fr-FR"/>
            </w:rPr>
          </w:pPr>
        </w:p>
      </w:tc>
      <w:tc>
        <w:tcPr>
          <w:tcW w:w="952" w:type="dxa"/>
        </w:tcPr>
        <w:p w:rsidR="00B33CB1" w:rsidRPr="002C5B2D" w:rsidRDefault="0037142C" w:rsidP="002C5B2D">
          <w:pPr>
            <w:pStyle w:val="00aPagenumber"/>
          </w:pPr>
          <w:r>
            <w:fldChar w:fldCharType="begin"/>
          </w:r>
          <w:r w:rsidR="00B33CB1">
            <w:instrText xml:space="preserve"> PAGE </w:instrText>
          </w:r>
          <w:r>
            <w:fldChar w:fldCharType="separate"/>
          </w:r>
          <w:r w:rsidR="00814B2D">
            <w:rPr>
              <w:noProof/>
            </w:rPr>
            <w:t>4</w:t>
          </w:r>
          <w:r>
            <w:rPr>
              <w:noProof/>
            </w:rPr>
            <w:fldChar w:fldCharType="end"/>
          </w:r>
        </w:p>
      </w:tc>
    </w:tr>
  </w:tbl>
  <w:p w:rsidR="00B33CB1" w:rsidRDefault="00B33CB1">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CB1" w:rsidRDefault="00B33CB1" w:rsidP="00395EF9">
    <w:pPr>
      <w:pStyle w:val="Stopka"/>
      <w:tabs>
        <w:tab w:val="clear" w:pos="4536"/>
        <w:tab w:val="clear" w:pos="9072"/>
        <w:tab w:val="left" w:pos="8115"/>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38085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852" w:rsidRDefault="00380852" w:rsidP="00B33CB1">
      <w:r>
        <w:separator/>
      </w:r>
    </w:p>
  </w:footnote>
  <w:footnote w:type="continuationSeparator" w:id="0">
    <w:p w:rsidR="00380852" w:rsidRDefault="00380852" w:rsidP="00B33CB1">
      <w:r>
        <w:continuationSeparator/>
      </w:r>
    </w:p>
  </w:footnote>
  <w:footnote w:id="1">
    <w:p w:rsidR="00B33CB1" w:rsidRDefault="00B33CB1" w:rsidP="00B33CB1">
      <w:pPr>
        <w:pStyle w:val="Tekstprzypisudolnego"/>
      </w:pPr>
      <w:r>
        <w:rPr>
          <w:rStyle w:val="Odwoanieprzypisudolnego"/>
        </w:rPr>
        <w:footnoteRef/>
      </w:r>
      <w:r>
        <w:t xml:space="preserve"> </w:t>
      </w:r>
      <w:r w:rsidRPr="00395D33">
        <w:t>Article 22a(3)(d) in the text of UCITS V published in the Official Journal.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CB1" w:rsidRDefault="00B33CB1">
    <w:pPr>
      <w:pStyle w:val="Nagwek"/>
    </w:pPr>
    <w:r>
      <w:rPr>
        <w:noProof/>
        <w:lang w:val="pl-PL" w:eastAsia="pl-PL"/>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5" name="Picture 5"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anchor>
      </w:drawing>
    </w:r>
    <w:r w:rsidR="0037142C">
      <w:rPr>
        <w:noProof/>
        <w:lang w:val="pl-PL" w:eastAsia="pl-PL"/>
      </w:rPr>
      <w:pict>
        <v:line id="Straight Connector 4" o:spid="_x0000_s4098" style="position:absolute;z-index:251660288;visibility:visible;mso-wrap-distance-left:3.17486mm;mso-wrap-distance-right:3.17486mm;mso-position-horizontal-relative:page;mso-position-vertical-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CB1" w:rsidRDefault="00B33CB1" w:rsidP="00013CCE">
    <w:pPr>
      <w:pStyle w:val="Nagwek"/>
      <w:jc w:val="right"/>
    </w:pPr>
    <w:r>
      <w:rPr>
        <w:noProof/>
        <w:lang w:val="pl-PL" w:eastAsia="pl-PL"/>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3" name="Picture 3"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val="pl-PL" w:eastAsia="pl-PL"/>
      </w:rPr>
      <w:drawing>
        <wp:anchor distT="0" distB="0" distL="114300" distR="114300" simplePos="0" relativeHeight="251656192"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2" name="Picture 2"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anchor>
      </w:drawing>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380852"/>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811EDA" w:rsidRPr="002F4496" w:rsidTr="000C06C9">
      <w:trPr>
        <w:trHeight w:val="284"/>
      </w:trPr>
      <w:tc>
        <w:tcPr>
          <w:tcW w:w="8460" w:type="dxa"/>
        </w:tcPr>
        <w:p w:rsidR="00811EDA" w:rsidRPr="000C3B6D" w:rsidRDefault="00380852" w:rsidP="000C06C9">
          <w:pPr>
            <w:pStyle w:val="00Footer"/>
            <w:rPr>
              <w:lang w:val="fr-FR"/>
            </w:rPr>
          </w:pPr>
        </w:p>
      </w:tc>
      <w:tc>
        <w:tcPr>
          <w:tcW w:w="952" w:type="dxa"/>
        </w:tcPr>
        <w:p w:rsidR="00811EDA" w:rsidRPr="00146B34" w:rsidRDefault="00380852" w:rsidP="000C06C9">
          <w:pPr>
            <w:pStyle w:val="00aPagenumber"/>
            <w:rPr>
              <w:lang w:val="fr-FR"/>
            </w:rPr>
          </w:pPr>
        </w:p>
      </w:tc>
    </w:tr>
  </w:tbl>
  <w:p w:rsidR="00811EDA" w:rsidRPr="00DB46C3" w:rsidRDefault="00380852">
    <w:pPr>
      <w:rPr>
        <w:lang w:val="fr-FR"/>
      </w:rPr>
    </w:pPr>
  </w:p>
  <w:p w:rsidR="00811EDA" w:rsidRPr="002F4496" w:rsidRDefault="00380852">
    <w:pPr>
      <w:pStyle w:val="Nagwek"/>
      <w:rPr>
        <w:lang w:val="fr-FR"/>
      </w:rPr>
    </w:pPr>
  </w:p>
  <w:p w:rsidR="00811EDA" w:rsidRPr="002F4496" w:rsidRDefault="00380852" w:rsidP="000C06C9">
    <w:pPr>
      <w:pStyle w:val="Nagwek"/>
      <w:tabs>
        <w:tab w:val="clear" w:pos="4536"/>
        <w:tab w:val="clear" w:pos="9072"/>
        <w:tab w:val="left" w:pos="8227"/>
      </w:tabs>
      <w:rPr>
        <w:lang w:val="fr-FR"/>
      </w:rPr>
    </w:pPr>
  </w:p>
  <w:p w:rsidR="00811EDA" w:rsidRPr="002F4496" w:rsidRDefault="00380852" w:rsidP="000C06C9">
    <w:pPr>
      <w:pStyle w:val="Nagwek"/>
      <w:tabs>
        <w:tab w:val="clear" w:pos="4536"/>
        <w:tab w:val="clear" w:pos="9072"/>
        <w:tab w:val="left" w:pos="8227"/>
      </w:tabs>
      <w:rPr>
        <w:lang w:val="fr-FR"/>
      </w:rPr>
    </w:pPr>
  </w:p>
  <w:p w:rsidR="00811EDA" w:rsidRPr="002F4496" w:rsidRDefault="00380852">
    <w:pPr>
      <w:pStyle w:val="Nagwek"/>
      <w:rPr>
        <w:lang w:val="fr-FR"/>
      </w:rPr>
    </w:pPr>
  </w:p>
  <w:p w:rsidR="00811EDA" w:rsidRPr="002F4496" w:rsidRDefault="00380852">
    <w:pPr>
      <w:pStyle w:val="Nagwek"/>
      <w:rPr>
        <w:lang w:val="fr-FR"/>
      </w:rPr>
    </w:pPr>
  </w:p>
  <w:p w:rsidR="00811EDA" w:rsidRPr="002F4496" w:rsidRDefault="00380852">
    <w:pPr>
      <w:pStyle w:val="Nagwek"/>
      <w:rPr>
        <w:lang w:val="fr-FR"/>
      </w:rPr>
    </w:pPr>
  </w:p>
  <w:p w:rsidR="00811EDA" w:rsidRPr="002F4496" w:rsidRDefault="00380852">
    <w:pPr>
      <w:pStyle w:val="Nagwek"/>
      <w:rPr>
        <w:lang w:val="fr-FR"/>
      </w:rPr>
    </w:pPr>
  </w:p>
  <w:p w:rsidR="00811EDA" w:rsidRPr="002F4496" w:rsidRDefault="00380852">
    <w:pPr>
      <w:pStyle w:val="Nagwek"/>
      <w:rPr>
        <w:highlight w:val="yellow"/>
        <w:lang w:val="fr-FR"/>
      </w:rPr>
    </w:pPr>
  </w:p>
  <w:p w:rsidR="00811EDA" w:rsidRDefault="0037142C">
    <w:pPr>
      <w:pStyle w:val="Nagwek"/>
    </w:pPr>
    <w:r>
      <w:rPr>
        <w:noProof/>
        <w:lang w:val="pl-PL" w:eastAsia="pl-PL"/>
      </w:rPr>
      <w:pict>
        <v:line id="Straight Connector 138" o:spid="_x0000_s4097" style="position:absolute;z-index:251659264;visibility:visible;mso-wrap-distance-left:3.17497mm;mso-wrap-distance-right:3.17497mm;mso-position-horizontal-relative:page;mso-position-vertical-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sidR="00B33CB1">
      <w:rPr>
        <w:noProof/>
        <w:lang w:val="pl-PL" w:eastAsia="pl-PL"/>
      </w:rPr>
      <w:drawing>
        <wp:anchor distT="0" distB="0" distL="114300" distR="114300" simplePos="0" relativeHeight="251655168"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1653D6"/>
    <w:multiLevelType w:val="hybridMultilevel"/>
    <w:tmpl w:val="E3DC1D80"/>
    <w:lvl w:ilvl="0" w:tplc="703E936E">
      <w:start w:val="1"/>
      <w:numFmt w:val="decimal"/>
      <w:lvlText w:val="%1"/>
      <w:lvlJc w:val="left"/>
      <w:pPr>
        <w:ind w:left="1230" w:hanging="8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6957DF0"/>
    <w:multiLevelType w:val="hybridMultilevel"/>
    <w:tmpl w:val="10B2DD8A"/>
    <w:lvl w:ilvl="0" w:tplc="18090001">
      <w:start w:val="1"/>
      <w:numFmt w:val="bullet"/>
      <w:lvlText w:val=""/>
      <w:lvlJc w:val="left"/>
      <w:pPr>
        <w:ind w:left="1776" w:hanging="360"/>
      </w:pPr>
      <w:rPr>
        <w:rFonts w:ascii="Symbol" w:hAnsi="Symbol" w:hint="default"/>
      </w:rPr>
    </w:lvl>
    <w:lvl w:ilvl="1" w:tplc="18090003">
      <w:start w:val="1"/>
      <w:numFmt w:val="bullet"/>
      <w:lvlText w:val="o"/>
      <w:lvlJc w:val="left"/>
      <w:pPr>
        <w:ind w:left="2496" w:hanging="360"/>
      </w:pPr>
      <w:rPr>
        <w:rFonts w:ascii="Courier New" w:hAnsi="Courier New" w:cs="Courier New" w:hint="default"/>
      </w:rPr>
    </w:lvl>
    <w:lvl w:ilvl="2" w:tplc="18090005" w:tentative="1">
      <w:start w:val="1"/>
      <w:numFmt w:val="bullet"/>
      <w:lvlText w:val=""/>
      <w:lvlJc w:val="left"/>
      <w:pPr>
        <w:ind w:left="3216" w:hanging="360"/>
      </w:pPr>
      <w:rPr>
        <w:rFonts w:ascii="Wingdings" w:hAnsi="Wingdings" w:hint="default"/>
      </w:rPr>
    </w:lvl>
    <w:lvl w:ilvl="3" w:tplc="18090001" w:tentative="1">
      <w:start w:val="1"/>
      <w:numFmt w:val="bullet"/>
      <w:lvlText w:val=""/>
      <w:lvlJc w:val="left"/>
      <w:pPr>
        <w:ind w:left="3936" w:hanging="360"/>
      </w:pPr>
      <w:rPr>
        <w:rFonts w:ascii="Symbol" w:hAnsi="Symbol" w:hint="default"/>
      </w:rPr>
    </w:lvl>
    <w:lvl w:ilvl="4" w:tplc="18090003" w:tentative="1">
      <w:start w:val="1"/>
      <w:numFmt w:val="bullet"/>
      <w:lvlText w:val="o"/>
      <w:lvlJc w:val="left"/>
      <w:pPr>
        <w:ind w:left="4656" w:hanging="360"/>
      </w:pPr>
      <w:rPr>
        <w:rFonts w:ascii="Courier New" w:hAnsi="Courier New" w:cs="Courier New" w:hint="default"/>
      </w:rPr>
    </w:lvl>
    <w:lvl w:ilvl="5" w:tplc="18090005" w:tentative="1">
      <w:start w:val="1"/>
      <w:numFmt w:val="bullet"/>
      <w:lvlText w:val=""/>
      <w:lvlJc w:val="left"/>
      <w:pPr>
        <w:ind w:left="5376" w:hanging="360"/>
      </w:pPr>
      <w:rPr>
        <w:rFonts w:ascii="Wingdings" w:hAnsi="Wingdings" w:hint="default"/>
      </w:rPr>
    </w:lvl>
    <w:lvl w:ilvl="6" w:tplc="18090001" w:tentative="1">
      <w:start w:val="1"/>
      <w:numFmt w:val="bullet"/>
      <w:lvlText w:val=""/>
      <w:lvlJc w:val="left"/>
      <w:pPr>
        <w:ind w:left="6096" w:hanging="360"/>
      </w:pPr>
      <w:rPr>
        <w:rFonts w:ascii="Symbol" w:hAnsi="Symbol" w:hint="default"/>
      </w:rPr>
    </w:lvl>
    <w:lvl w:ilvl="7" w:tplc="18090003" w:tentative="1">
      <w:start w:val="1"/>
      <w:numFmt w:val="bullet"/>
      <w:lvlText w:val="o"/>
      <w:lvlJc w:val="left"/>
      <w:pPr>
        <w:ind w:left="6816" w:hanging="360"/>
      </w:pPr>
      <w:rPr>
        <w:rFonts w:ascii="Courier New" w:hAnsi="Courier New" w:cs="Courier New" w:hint="default"/>
      </w:rPr>
    </w:lvl>
    <w:lvl w:ilvl="8" w:tplc="18090005" w:tentative="1">
      <w:start w:val="1"/>
      <w:numFmt w:val="bullet"/>
      <w:lvlText w:val=""/>
      <w:lvlJc w:val="left"/>
      <w:pPr>
        <w:ind w:left="7536" w:hanging="360"/>
      </w:pPr>
      <w:rPr>
        <w:rFonts w:ascii="Wingdings" w:hAnsi="Wingdings" w:hint="default"/>
      </w:rPr>
    </w:lvl>
  </w:abstractNum>
  <w:abstractNum w:abstractNumId="5">
    <w:nsid w:val="172F245F"/>
    <w:multiLevelType w:val="hybridMultilevel"/>
    <w:tmpl w:val="00D41A64"/>
    <w:lvl w:ilvl="0" w:tplc="E896658E">
      <w:start w:val="1"/>
      <w:numFmt w:val="decimal"/>
      <w:pStyle w:val="Stopka"/>
      <w:lvlText w:val="Q%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5FE36447"/>
    <w:multiLevelType w:val="hybridMultilevel"/>
    <w:tmpl w:val="92D0E0CA"/>
    <w:lvl w:ilvl="0" w:tplc="040C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05735B9"/>
    <w:multiLevelType w:val="hybridMultilevel"/>
    <w:tmpl w:val="AD1C76E8"/>
    <w:lvl w:ilvl="0" w:tplc="6658B948">
      <w:start w:val="1"/>
      <w:numFmt w:val="decimal"/>
      <w:pStyle w:val="Nagwek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787ECB"/>
    <w:multiLevelType w:val="hybridMultilevel"/>
    <w:tmpl w:val="AB3EFF44"/>
    <w:lvl w:ilvl="0" w:tplc="FD566192">
      <w:numFmt w:val="bullet"/>
      <w:lvlText w:val="-"/>
      <w:lvlJc w:val="left"/>
      <w:pPr>
        <w:ind w:left="360" w:hanging="360"/>
      </w:pPr>
      <w:rPr>
        <w:rFonts w:ascii="Arial" w:eastAsia="Calibri" w:hAnsi="Arial" w:cs="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8"/>
  </w:num>
  <w:num w:numId="4">
    <w:abstractNumId w:val="3"/>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hyphenationZone w:val="425"/>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B33CB1"/>
    <w:rsid w:val="00105890"/>
    <w:rsid w:val="00176B4B"/>
    <w:rsid w:val="001D3274"/>
    <w:rsid w:val="002D13DB"/>
    <w:rsid w:val="002D2D7B"/>
    <w:rsid w:val="003665C1"/>
    <w:rsid w:val="0037142C"/>
    <w:rsid w:val="00380852"/>
    <w:rsid w:val="00394B26"/>
    <w:rsid w:val="00496969"/>
    <w:rsid w:val="004D33A6"/>
    <w:rsid w:val="0053605A"/>
    <w:rsid w:val="006F52FC"/>
    <w:rsid w:val="0070731A"/>
    <w:rsid w:val="00814B2D"/>
    <w:rsid w:val="00914B4C"/>
    <w:rsid w:val="00A321B5"/>
    <w:rsid w:val="00A70F08"/>
    <w:rsid w:val="00B33CB1"/>
    <w:rsid w:val="00B91CD5"/>
    <w:rsid w:val="00C6426F"/>
    <w:rsid w:val="00D44E01"/>
    <w:rsid w:val="00DA6099"/>
    <w:rsid w:val="00FD756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3CB1"/>
    <w:pPr>
      <w:spacing w:after="0" w:line="240" w:lineRule="auto"/>
    </w:pPr>
    <w:rPr>
      <w:rFonts w:ascii="Georgia" w:eastAsia="Times New Roman" w:hAnsi="Georgia" w:cs="Times New Roman"/>
      <w:sz w:val="20"/>
      <w:szCs w:val="24"/>
      <w:lang w:eastAsia="de-DE"/>
    </w:rPr>
  </w:style>
  <w:style w:type="paragraph" w:styleId="Nagwek5">
    <w:name w:val="heading 5"/>
    <w:aliases w:val="Questions"/>
    <w:basedOn w:val="Normalny"/>
    <w:next w:val="Normalny"/>
    <w:link w:val="Nagwek5Znak"/>
    <w:qFormat/>
    <w:rsid w:val="00B33CB1"/>
    <w:pPr>
      <w:keepNext/>
      <w:keepLines/>
      <w:numPr>
        <w:numId w:val="3"/>
      </w:numPr>
      <w:ind w:left="0" w:firstLine="0"/>
      <w:jc w:val="both"/>
      <w:outlineLvl w:val="4"/>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5Char">
    <w:name w:val="Heading 5 Char"/>
    <w:basedOn w:val="Domylnaczcionkaakapitu"/>
    <w:uiPriority w:val="9"/>
    <w:semiHidden/>
    <w:rsid w:val="00B33CB1"/>
    <w:rPr>
      <w:rFonts w:asciiTheme="majorHAnsi" w:eastAsiaTheme="majorEastAsia" w:hAnsiTheme="majorHAnsi" w:cstheme="majorBidi"/>
      <w:color w:val="2E74B5" w:themeColor="accent1" w:themeShade="BF"/>
      <w:sz w:val="20"/>
      <w:szCs w:val="24"/>
      <w:lang w:eastAsia="de-DE"/>
    </w:rPr>
  </w:style>
  <w:style w:type="paragraph" w:styleId="Nagwek">
    <w:name w:val="header"/>
    <w:basedOn w:val="Normalny"/>
    <w:link w:val="NagwekZnak"/>
    <w:rsid w:val="00B33CB1"/>
    <w:pPr>
      <w:tabs>
        <w:tab w:val="center" w:pos="4536"/>
        <w:tab w:val="right" w:pos="9072"/>
      </w:tabs>
    </w:pPr>
  </w:style>
  <w:style w:type="character" w:customStyle="1" w:styleId="NagwekZnak">
    <w:name w:val="Nagłówek Znak"/>
    <w:basedOn w:val="Domylnaczcionkaakapitu"/>
    <w:link w:val="Nagwek"/>
    <w:rsid w:val="00B33CB1"/>
    <w:rPr>
      <w:rFonts w:ascii="Georgia" w:eastAsia="Times New Roman" w:hAnsi="Georgia" w:cs="Times New Roman"/>
      <w:sz w:val="20"/>
      <w:szCs w:val="24"/>
      <w:lang w:eastAsia="de-DE"/>
    </w:rPr>
  </w:style>
  <w:style w:type="paragraph" w:styleId="Stopka">
    <w:name w:val="footer"/>
    <w:basedOn w:val="Normalny"/>
    <w:link w:val="StopkaZnak"/>
    <w:rsid w:val="00B33CB1"/>
    <w:pPr>
      <w:numPr>
        <w:numId w:val="6"/>
      </w:numPr>
      <w:tabs>
        <w:tab w:val="center" w:pos="4536"/>
        <w:tab w:val="right" w:pos="9072"/>
      </w:tabs>
      <w:ind w:left="0" w:firstLine="0"/>
    </w:pPr>
  </w:style>
  <w:style w:type="character" w:customStyle="1" w:styleId="StopkaZnak">
    <w:name w:val="Stopka Znak"/>
    <w:basedOn w:val="Domylnaczcionkaakapitu"/>
    <w:link w:val="Stopka"/>
    <w:rsid w:val="00B33CB1"/>
    <w:rPr>
      <w:rFonts w:ascii="Georgia" w:eastAsia="Times New Roman" w:hAnsi="Georgia" w:cs="Times New Roman"/>
      <w:sz w:val="20"/>
      <w:szCs w:val="24"/>
      <w:lang w:eastAsia="de-DE"/>
    </w:rPr>
  </w:style>
  <w:style w:type="paragraph" w:customStyle="1" w:styleId="00Footer">
    <w:name w:val="00_Footer"/>
    <w:basedOn w:val="Normalny"/>
    <w:rsid w:val="00B33CB1"/>
    <w:pPr>
      <w:spacing w:line="200" w:lineRule="exact"/>
    </w:pPr>
    <w:rPr>
      <w:color w:val="2D4190"/>
      <w:sz w:val="16"/>
    </w:rPr>
  </w:style>
  <w:style w:type="paragraph" w:customStyle="1" w:styleId="02Date">
    <w:name w:val="02_Date"/>
    <w:basedOn w:val="Normalny"/>
    <w:rsid w:val="00B33CB1"/>
    <w:pPr>
      <w:spacing w:line="220" w:lineRule="exact"/>
    </w:pPr>
    <w:rPr>
      <w:sz w:val="17"/>
    </w:rPr>
  </w:style>
  <w:style w:type="paragraph" w:customStyle="1" w:styleId="00aPagenumber">
    <w:name w:val="00a_Page number"/>
    <w:basedOn w:val="00Footer"/>
    <w:rsid w:val="00B33CB1"/>
    <w:pPr>
      <w:spacing w:line="280" w:lineRule="atLeast"/>
      <w:jc w:val="right"/>
    </w:pPr>
    <w:rPr>
      <w:color w:val="000000"/>
      <w:sz w:val="20"/>
    </w:rPr>
  </w:style>
  <w:style w:type="paragraph" w:customStyle="1" w:styleId="04BodyText">
    <w:name w:val="04_Body Text"/>
    <w:basedOn w:val="Normalny"/>
    <w:link w:val="04BodyTextChar"/>
    <w:rsid w:val="00B33CB1"/>
    <w:pPr>
      <w:spacing w:after="250" w:line="276" w:lineRule="auto"/>
      <w:jc w:val="both"/>
    </w:pPr>
  </w:style>
  <w:style w:type="paragraph" w:customStyle="1" w:styleId="05HeadlinenoIndex">
    <w:name w:val="05_Headline no Index"/>
    <w:basedOn w:val="04BodyText"/>
    <w:rsid w:val="00B33CB1"/>
    <w:pPr>
      <w:spacing w:line="300" w:lineRule="exact"/>
    </w:pPr>
    <w:rPr>
      <w:b/>
      <w:sz w:val="24"/>
    </w:rPr>
  </w:style>
  <w:style w:type="paragraph" w:customStyle="1" w:styleId="00bDBInfo">
    <w:name w:val="00b_DB_Info"/>
    <w:basedOn w:val="00aPagenumber"/>
    <w:rsid w:val="00B33CB1"/>
    <w:rPr>
      <w:color w:val="FFFFFF"/>
    </w:rPr>
  </w:style>
  <w:style w:type="paragraph" w:customStyle="1" w:styleId="01aDBTitle">
    <w:name w:val="01a_DB_Title"/>
    <w:basedOn w:val="Normalny"/>
    <w:rsid w:val="00B33CB1"/>
    <w:pPr>
      <w:spacing w:line="400" w:lineRule="exact"/>
      <w:jc w:val="right"/>
    </w:pPr>
    <w:rPr>
      <w:b/>
      <w:color w:val="2D4190"/>
      <w:sz w:val="40"/>
    </w:rPr>
  </w:style>
  <w:style w:type="paragraph" w:customStyle="1" w:styleId="01bDBSubtitle">
    <w:name w:val="01b_DB_Subtitle"/>
    <w:rsid w:val="00B33CB1"/>
    <w:pPr>
      <w:spacing w:after="0" w:line="240" w:lineRule="auto"/>
      <w:jc w:val="right"/>
    </w:pPr>
    <w:rPr>
      <w:rFonts w:ascii="Georgia" w:eastAsia="Times New Roman" w:hAnsi="Georgia" w:cs="Times New Roman"/>
      <w:color w:val="000000"/>
      <w:sz w:val="24"/>
      <w:szCs w:val="24"/>
      <w:lang w:eastAsia="de-DE"/>
    </w:rPr>
  </w:style>
  <w:style w:type="character" w:styleId="Hipercze">
    <w:name w:val="Hyperlink"/>
    <w:uiPriority w:val="99"/>
    <w:rsid w:val="00B33CB1"/>
    <w:rPr>
      <w:color w:val="0000FF"/>
      <w:u w:val="single"/>
    </w:rPr>
  </w:style>
  <w:style w:type="paragraph" w:customStyle="1" w:styleId="04bList">
    <w:name w:val="04b_List"/>
    <w:basedOn w:val="04BodyText"/>
    <w:uiPriority w:val="99"/>
    <w:rsid w:val="00B33CB1"/>
    <w:pPr>
      <w:numPr>
        <w:numId w:val="1"/>
      </w:numPr>
      <w:tabs>
        <w:tab w:val="clear" w:pos="568"/>
        <w:tab w:val="num" w:pos="360"/>
      </w:tabs>
      <w:ind w:left="0" w:firstLine="0"/>
    </w:pPr>
  </w:style>
  <w:style w:type="paragraph" w:styleId="Tekstprzypisudolnego">
    <w:name w:val="footnote text"/>
    <w:aliases w:val="Char3, Char3,Fußnotentextf,Fußnotentextr,stile 1,Footnote1,Footnote2,Footnote3,Footnote4,Footnote5,Footnote6,Footnote7,Footnote8,Footnote9,Footnote10,Footnote11,Footnote21,Footnote31,Footnote41,Footnote51,Footnote61,Footnote71"/>
    <w:basedOn w:val="Normalny"/>
    <w:link w:val="TekstprzypisudolnegoZnak"/>
    <w:rsid w:val="00B33CB1"/>
    <w:pPr>
      <w:spacing w:line="200" w:lineRule="exact"/>
    </w:pPr>
    <w:rPr>
      <w:sz w:val="16"/>
      <w:szCs w:val="20"/>
    </w:rPr>
  </w:style>
  <w:style w:type="character" w:customStyle="1" w:styleId="TekstprzypisudolnegoZnak">
    <w:name w:val="Tekst przypisu dolnego Znak"/>
    <w:aliases w:val="Char3 Znak, Char3 Znak,Fußnotentextf Znak,Fußnotentextr Znak,stile 1 Znak,Footnote1 Znak,Footnote2 Znak,Footnote3 Znak,Footnote4 Znak,Footnote5 Znak,Footnote6 Znak,Footnote7 Znak,Footnote8 Znak,Footnote9 Znak,Footnote10 Znak"/>
    <w:basedOn w:val="Domylnaczcionkaakapitu"/>
    <w:link w:val="Tekstprzypisudolnego"/>
    <w:rsid w:val="00B33CB1"/>
    <w:rPr>
      <w:rFonts w:ascii="Georgia" w:eastAsia="Times New Roman" w:hAnsi="Georgia" w:cs="Times New Roman"/>
      <w:sz w:val="16"/>
      <w:szCs w:val="20"/>
      <w:lang w:eastAsia="de-DE"/>
    </w:rPr>
  </w:style>
  <w:style w:type="character" w:styleId="Odwoanieprzypisudolnego">
    <w:name w:val="footnote reference"/>
    <w:aliases w:val="SUPERS,Footnote reference number,Footnote symbol,note TESI,-E Fußnotenzeichen,number,BVI fnr,Footnote,Footnote Reference Superscript,(Footnote Reference),EN Footnote Reference,Voetnootverwijzing,Times 10 Point,Exposant 3 Poi"/>
    <w:uiPriority w:val="99"/>
    <w:rsid w:val="00B33CB1"/>
    <w:rPr>
      <w:vertAlign w:val="superscript"/>
    </w:rPr>
  </w:style>
  <w:style w:type="character" w:customStyle="1" w:styleId="Nagwek5Znak">
    <w:name w:val="Nagłówek 5 Znak"/>
    <w:aliases w:val="Questions Znak"/>
    <w:link w:val="Nagwek5"/>
    <w:rsid w:val="00B33CB1"/>
    <w:rPr>
      <w:rFonts w:ascii="Georgia" w:eastAsia="Times New Roman" w:hAnsi="Georgia" w:cs="Times New Roman"/>
      <w:b/>
      <w:sz w:val="20"/>
      <w:szCs w:val="24"/>
      <w:lang w:eastAsia="de-DE"/>
    </w:rPr>
  </w:style>
  <w:style w:type="character" w:customStyle="1" w:styleId="04BodyTextChar">
    <w:name w:val="04_Body Text Char"/>
    <w:link w:val="04BodyText"/>
    <w:rsid w:val="00B33CB1"/>
    <w:rPr>
      <w:rFonts w:ascii="Georgia" w:eastAsia="Times New Roman" w:hAnsi="Georgia" w:cs="Times New Roman"/>
      <w:sz w:val="20"/>
      <w:szCs w:val="24"/>
      <w:lang w:eastAsia="de-DE"/>
    </w:rPr>
  </w:style>
  <w:style w:type="paragraph" w:customStyle="1" w:styleId="NEW-Level0">
    <w:name w:val="NEW-Level0"/>
    <w:basedOn w:val="Normalny"/>
    <w:rsid w:val="00B33CB1"/>
    <w:pPr>
      <w:keepNext/>
      <w:numPr>
        <w:numId w:val="4"/>
      </w:numPr>
      <w:spacing w:before="240" w:after="250" w:line="276" w:lineRule="auto"/>
      <w:outlineLvl w:val="0"/>
    </w:pPr>
    <w:rPr>
      <w:rFonts w:cs="Arial"/>
      <w:b/>
      <w:bCs/>
      <w:kern w:val="32"/>
      <w:sz w:val="28"/>
      <w:szCs w:val="28"/>
    </w:rPr>
  </w:style>
  <w:style w:type="paragraph" w:customStyle="1" w:styleId="NEW-Level1">
    <w:name w:val="NEW-Level1"/>
    <w:basedOn w:val="Normalny"/>
    <w:rsid w:val="00B33CB1"/>
    <w:pPr>
      <w:keepNext/>
      <w:numPr>
        <w:ilvl w:val="1"/>
        <w:numId w:val="4"/>
      </w:numPr>
      <w:spacing w:before="240" w:after="250" w:line="276" w:lineRule="auto"/>
      <w:outlineLvl w:val="0"/>
    </w:pPr>
    <w:rPr>
      <w:rFonts w:cs="Arial"/>
      <w:b/>
      <w:bCs/>
      <w:kern w:val="32"/>
      <w:sz w:val="24"/>
      <w:szCs w:val="32"/>
    </w:rPr>
  </w:style>
  <w:style w:type="paragraph" w:customStyle="1" w:styleId="aNEW-Level0">
    <w:name w:val="aNEW-Level0"/>
    <w:basedOn w:val="NEW-Level0"/>
    <w:link w:val="aNEW-Level0Char"/>
    <w:qFormat/>
    <w:rsid w:val="00B33CB1"/>
    <w:pPr>
      <w:spacing w:before="120" w:after="120"/>
      <w:ind w:left="425" w:hanging="425"/>
    </w:pPr>
  </w:style>
  <w:style w:type="character" w:customStyle="1" w:styleId="aNEW-Level0Char">
    <w:name w:val="aNEW-Level0 Char"/>
    <w:link w:val="aNEW-Level0"/>
    <w:rsid w:val="00B33CB1"/>
    <w:rPr>
      <w:rFonts w:ascii="Georgia" w:eastAsia="Times New Roman" w:hAnsi="Georgia" w:cs="Arial"/>
      <w:b/>
      <w:bCs/>
      <w:kern w:val="32"/>
      <w:sz w:val="28"/>
      <w:szCs w:val="28"/>
      <w:lang w:eastAsia="de-DE"/>
    </w:rPr>
  </w:style>
  <w:style w:type="character" w:styleId="Odwoaniedokomentarza">
    <w:name w:val="annotation reference"/>
    <w:rsid w:val="00DA6099"/>
    <w:rPr>
      <w:sz w:val="16"/>
      <w:szCs w:val="16"/>
    </w:rPr>
  </w:style>
  <w:style w:type="paragraph" w:styleId="Tekstkomentarza">
    <w:name w:val="annotation text"/>
    <w:basedOn w:val="Normalny"/>
    <w:link w:val="TekstkomentarzaZnak"/>
    <w:rsid w:val="00DA6099"/>
    <w:rPr>
      <w:szCs w:val="20"/>
    </w:rPr>
  </w:style>
  <w:style w:type="character" w:customStyle="1" w:styleId="TekstkomentarzaZnak">
    <w:name w:val="Tekst komentarza Znak"/>
    <w:basedOn w:val="Domylnaczcionkaakapitu"/>
    <w:link w:val="Tekstkomentarza"/>
    <w:uiPriority w:val="99"/>
    <w:rsid w:val="00DA6099"/>
    <w:rPr>
      <w:rFonts w:ascii="Georgia" w:eastAsia="Times New Roman" w:hAnsi="Georgia" w:cs="Times New Roman"/>
      <w:sz w:val="20"/>
      <w:szCs w:val="20"/>
      <w:lang w:eastAsia="de-DE"/>
    </w:rPr>
  </w:style>
  <w:style w:type="paragraph" w:styleId="Tekstdymka">
    <w:name w:val="Balloon Text"/>
    <w:basedOn w:val="Normalny"/>
    <w:link w:val="TekstdymkaZnak"/>
    <w:uiPriority w:val="99"/>
    <w:semiHidden/>
    <w:unhideWhenUsed/>
    <w:rsid w:val="00DA6099"/>
    <w:rPr>
      <w:rFonts w:ascii="Tahoma" w:hAnsi="Tahoma" w:cs="Tahoma"/>
      <w:sz w:val="16"/>
      <w:szCs w:val="16"/>
    </w:rPr>
  </w:style>
  <w:style w:type="character" w:customStyle="1" w:styleId="TekstdymkaZnak">
    <w:name w:val="Tekst dymka Znak"/>
    <w:basedOn w:val="Domylnaczcionkaakapitu"/>
    <w:link w:val="Tekstdymka"/>
    <w:uiPriority w:val="99"/>
    <w:semiHidden/>
    <w:rsid w:val="00DA6099"/>
    <w:rPr>
      <w:rFonts w:ascii="Tahoma" w:eastAsia="Times New Roman" w:hAnsi="Tahoma" w:cs="Tahoma"/>
      <w:sz w:val="16"/>
      <w:szCs w:val="16"/>
      <w:lang w:eastAsia="de-DE"/>
    </w:rPr>
  </w:style>
  <w:style w:type="paragraph" w:styleId="Akapitzlist">
    <w:name w:val="List Paragraph"/>
    <w:aliases w:val="Paragraphe EI,Paragraphe de liste1,EC"/>
    <w:basedOn w:val="Normalny"/>
    <w:link w:val="AkapitzlistZnak"/>
    <w:uiPriority w:val="34"/>
    <w:qFormat/>
    <w:rsid w:val="0053605A"/>
    <w:pPr>
      <w:ind w:left="720"/>
      <w:contextualSpacing/>
    </w:pPr>
  </w:style>
  <w:style w:type="paragraph" w:customStyle="1" w:styleId="Default">
    <w:name w:val="Default"/>
    <w:rsid w:val="0053605A"/>
    <w:pPr>
      <w:autoSpaceDE w:val="0"/>
      <w:autoSpaceDN w:val="0"/>
      <w:adjustRightInd w:val="0"/>
      <w:spacing w:after="0" w:line="240" w:lineRule="auto"/>
    </w:pPr>
    <w:rPr>
      <w:rFonts w:ascii="Georgia" w:eastAsia="Times New Roman" w:hAnsi="Georgia" w:cs="Georgia"/>
      <w:color w:val="000000"/>
      <w:sz w:val="24"/>
      <w:szCs w:val="24"/>
      <w:lang w:val="fr-FR" w:eastAsia="en-GB"/>
    </w:rPr>
  </w:style>
  <w:style w:type="character" w:customStyle="1" w:styleId="AkapitzlistZnak">
    <w:name w:val="Akapit z listą Znak"/>
    <w:aliases w:val="Paragraphe EI Znak,Paragraphe de liste1 Znak,EC Znak"/>
    <w:link w:val="Akapitzlist"/>
    <w:uiPriority w:val="34"/>
    <w:locked/>
    <w:rsid w:val="0053605A"/>
    <w:rPr>
      <w:rFonts w:ascii="Georgia" w:eastAsia="Times New Roman" w:hAnsi="Georgia" w:cs="Times New Roman"/>
      <w:sz w:val="20"/>
      <w:szCs w:val="24"/>
      <w:lang w:eastAsia="de-DE"/>
    </w:rPr>
  </w:style>
  <w:style w:type="paragraph" w:styleId="Tematkomentarza">
    <w:name w:val="annotation subject"/>
    <w:basedOn w:val="Tekstkomentarza"/>
    <w:next w:val="Tekstkomentarza"/>
    <w:link w:val="TematkomentarzaZnak"/>
    <w:uiPriority w:val="99"/>
    <w:semiHidden/>
    <w:unhideWhenUsed/>
    <w:rsid w:val="00394B26"/>
    <w:rPr>
      <w:b/>
      <w:bCs/>
    </w:rPr>
  </w:style>
  <w:style w:type="character" w:customStyle="1" w:styleId="TematkomentarzaZnak">
    <w:name w:val="Temat komentarza Znak"/>
    <w:basedOn w:val="TekstkomentarzaZnak"/>
    <w:link w:val="Tematkomentarza"/>
    <w:uiPriority w:val="99"/>
    <w:semiHidden/>
    <w:rsid w:val="00394B26"/>
    <w:rPr>
      <w:rFonts w:ascii="Georgia" w:eastAsia="Times New Roman" w:hAnsi="Georgia" w:cs="Times New Roman"/>
      <w:b/>
      <w:bCs/>
      <w:sz w:val="2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3CB1"/>
    <w:pPr>
      <w:spacing w:after="0" w:line="240" w:lineRule="auto"/>
    </w:pPr>
    <w:rPr>
      <w:rFonts w:ascii="Georgia" w:eastAsia="Times New Roman" w:hAnsi="Georgia" w:cs="Times New Roman"/>
      <w:sz w:val="20"/>
      <w:szCs w:val="24"/>
      <w:lang w:eastAsia="de-DE"/>
    </w:rPr>
  </w:style>
  <w:style w:type="paragraph" w:styleId="Nagwek5">
    <w:name w:val="heading 5"/>
    <w:aliases w:val="Questions"/>
    <w:basedOn w:val="Normalny"/>
    <w:next w:val="Normalny"/>
    <w:link w:val="Nagwek5Znak"/>
    <w:qFormat/>
    <w:rsid w:val="00B33CB1"/>
    <w:pPr>
      <w:keepNext/>
      <w:keepLines/>
      <w:numPr>
        <w:numId w:val="3"/>
      </w:numPr>
      <w:ind w:left="0" w:firstLine="0"/>
      <w:jc w:val="both"/>
      <w:outlineLvl w:val="4"/>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5Char">
    <w:name w:val="Heading 5 Char"/>
    <w:basedOn w:val="Domylnaczcionkaakapitu"/>
    <w:uiPriority w:val="9"/>
    <w:semiHidden/>
    <w:rsid w:val="00B33CB1"/>
    <w:rPr>
      <w:rFonts w:asciiTheme="majorHAnsi" w:eastAsiaTheme="majorEastAsia" w:hAnsiTheme="majorHAnsi" w:cstheme="majorBidi"/>
      <w:color w:val="2E74B5" w:themeColor="accent1" w:themeShade="BF"/>
      <w:sz w:val="20"/>
      <w:szCs w:val="24"/>
      <w:lang w:eastAsia="de-DE"/>
    </w:rPr>
  </w:style>
  <w:style w:type="paragraph" w:styleId="Nagwek">
    <w:name w:val="header"/>
    <w:basedOn w:val="Normalny"/>
    <w:link w:val="NagwekZnak"/>
    <w:rsid w:val="00B33CB1"/>
    <w:pPr>
      <w:tabs>
        <w:tab w:val="center" w:pos="4536"/>
        <w:tab w:val="right" w:pos="9072"/>
      </w:tabs>
    </w:pPr>
  </w:style>
  <w:style w:type="character" w:customStyle="1" w:styleId="NagwekZnak">
    <w:name w:val="Nagłówek Znak"/>
    <w:basedOn w:val="Domylnaczcionkaakapitu"/>
    <w:link w:val="Nagwek"/>
    <w:rsid w:val="00B33CB1"/>
    <w:rPr>
      <w:rFonts w:ascii="Georgia" w:eastAsia="Times New Roman" w:hAnsi="Georgia" w:cs="Times New Roman"/>
      <w:sz w:val="20"/>
      <w:szCs w:val="24"/>
      <w:lang w:eastAsia="de-DE"/>
    </w:rPr>
  </w:style>
  <w:style w:type="paragraph" w:styleId="Stopka">
    <w:name w:val="footer"/>
    <w:basedOn w:val="Normalny"/>
    <w:link w:val="StopkaZnak"/>
    <w:rsid w:val="00B33CB1"/>
    <w:pPr>
      <w:numPr>
        <w:numId w:val="6"/>
      </w:numPr>
      <w:tabs>
        <w:tab w:val="center" w:pos="4536"/>
        <w:tab w:val="right" w:pos="9072"/>
      </w:tabs>
      <w:ind w:left="0" w:firstLine="0"/>
    </w:pPr>
  </w:style>
  <w:style w:type="character" w:customStyle="1" w:styleId="StopkaZnak">
    <w:name w:val="Stopka Znak"/>
    <w:basedOn w:val="Domylnaczcionkaakapitu"/>
    <w:link w:val="Stopka"/>
    <w:rsid w:val="00B33CB1"/>
    <w:rPr>
      <w:rFonts w:ascii="Georgia" w:eastAsia="Times New Roman" w:hAnsi="Georgia" w:cs="Times New Roman"/>
      <w:sz w:val="20"/>
      <w:szCs w:val="24"/>
      <w:lang w:eastAsia="de-DE"/>
    </w:rPr>
  </w:style>
  <w:style w:type="paragraph" w:customStyle="1" w:styleId="00Footer">
    <w:name w:val="00_Footer"/>
    <w:basedOn w:val="Normalny"/>
    <w:rsid w:val="00B33CB1"/>
    <w:pPr>
      <w:spacing w:line="200" w:lineRule="exact"/>
    </w:pPr>
    <w:rPr>
      <w:color w:val="2D4190"/>
      <w:sz w:val="16"/>
    </w:rPr>
  </w:style>
  <w:style w:type="paragraph" w:customStyle="1" w:styleId="02Date">
    <w:name w:val="02_Date"/>
    <w:basedOn w:val="Normalny"/>
    <w:rsid w:val="00B33CB1"/>
    <w:pPr>
      <w:spacing w:line="220" w:lineRule="exact"/>
    </w:pPr>
    <w:rPr>
      <w:sz w:val="17"/>
    </w:rPr>
  </w:style>
  <w:style w:type="paragraph" w:customStyle="1" w:styleId="00aPagenumber">
    <w:name w:val="00a_Page number"/>
    <w:basedOn w:val="00Footer"/>
    <w:rsid w:val="00B33CB1"/>
    <w:pPr>
      <w:spacing w:line="280" w:lineRule="atLeast"/>
      <w:jc w:val="right"/>
    </w:pPr>
    <w:rPr>
      <w:color w:val="000000"/>
      <w:sz w:val="20"/>
    </w:rPr>
  </w:style>
  <w:style w:type="paragraph" w:customStyle="1" w:styleId="04BodyText">
    <w:name w:val="04_Body Text"/>
    <w:basedOn w:val="Normalny"/>
    <w:link w:val="04BodyTextChar"/>
    <w:rsid w:val="00B33CB1"/>
    <w:pPr>
      <w:spacing w:after="250" w:line="276" w:lineRule="auto"/>
      <w:jc w:val="both"/>
    </w:pPr>
  </w:style>
  <w:style w:type="paragraph" w:customStyle="1" w:styleId="05HeadlinenoIndex">
    <w:name w:val="05_Headline no Index"/>
    <w:basedOn w:val="04BodyText"/>
    <w:rsid w:val="00B33CB1"/>
    <w:pPr>
      <w:spacing w:line="300" w:lineRule="exact"/>
    </w:pPr>
    <w:rPr>
      <w:b/>
      <w:sz w:val="24"/>
    </w:rPr>
  </w:style>
  <w:style w:type="paragraph" w:customStyle="1" w:styleId="00bDBInfo">
    <w:name w:val="00b_DB_Info"/>
    <w:basedOn w:val="00aPagenumber"/>
    <w:rsid w:val="00B33CB1"/>
    <w:rPr>
      <w:color w:val="FFFFFF"/>
    </w:rPr>
  </w:style>
  <w:style w:type="paragraph" w:customStyle="1" w:styleId="01aDBTitle">
    <w:name w:val="01a_DB_Title"/>
    <w:basedOn w:val="Normalny"/>
    <w:rsid w:val="00B33CB1"/>
    <w:pPr>
      <w:spacing w:line="400" w:lineRule="exact"/>
      <w:jc w:val="right"/>
    </w:pPr>
    <w:rPr>
      <w:b/>
      <w:color w:val="2D4190"/>
      <w:sz w:val="40"/>
    </w:rPr>
  </w:style>
  <w:style w:type="paragraph" w:customStyle="1" w:styleId="01bDBSubtitle">
    <w:name w:val="01b_DB_Subtitle"/>
    <w:rsid w:val="00B33CB1"/>
    <w:pPr>
      <w:spacing w:after="0" w:line="240" w:lineRule="auto"/>
      <w:jc w:val="right"/>
    </w:pPr>
    <w:rPr>
      <w:rFonts w:ascii="Georgia" w:eastAsia="Times New Roman" w:hAnsi="Georgia" w:cs="Times New Roman"/>
      <w:color w:val="000000"/>
      <w:sz w:val="24"/>
      <w:szCs w:val="24"/>
      <w:lang w:eastAsia="de-DE"/>
    </w:rPr>
  </w:style>
  <w:style w:type="character" w:styleId="Hipercze">
    <w:name w:val="Hyperlink"/>
    <w:uiPriority w:val="99"/>
    <w:rsid w:val="00B33CB1"/>
    <w:rPr>
      <w:color w:val="0000FF"/>
      <w:u w:val="single"/>
    </w:rPr>
  </w:style>
  <w:style w:type="paragraph" w:customStyle="1" w:styleId="04bList">
    <w:name w:val="04b_List"/>
    <w:basedOn w:val="04BodyText"/>
    <w:uiPriority w:val="99"/>
    <w:rsid w:val="00B33CB1"/>
    <w:pPr>
      <w:numPr>
        <w:numId w:val="1"/>
      </w:numPr>
      <w:tabs>
        <w:tab w:val="clear" w:pos="568"/>
        <w:tab w:val="num" w:pos="360"/>
      </w:tabs>
      <w:ind w:left="0" w:firstLine="0"/>
    </w:pPr>
  </w:style>
  <w:style w:type="paragraph" w:styleId="Tekstprzypisudolnego">
    <w:name w:val="footnote text"/>
    <w:aliases w:val="Char3, Char3,Fußnotentextf,Fußnotentextr,stile 1,Footnote1,Footnote2,Footnote3,Footnote4,Footnote5,Footnote6,Footnote7,Footnote8,Footnote9,Footnote10,Footnote11,Footnote21,Footnote31,Footnote41,Footnote51,Footnote61,Footnote71"/>
    <w:basedOn w:val="Normalny"/>
    <w:link w:val="TekstprzypisudolnegoZnak"/>
    <w:rsid w:val="00B33CB1"/>
    <w:pPr>
      <w:spacing w:line="200" w:lineRule="exact"/>
    </w:pPr>
    <w:rPr>
      <w:sz w:val="16"/>
      <w:szCs w:val="20"/>
    </w:rPr>
  </w:style>
  <w:style w:type="character" w:customStyle="1" w:styleId="TekstprzypisudolnegoZnak">
    <w:name w:val="Tekst przypisu dolnego Znak"/>
    <w:aliases w:val="Char3 Znak, Char3 Znak,Fußnotentextf Znak,Fußnotentextr Znak,stile 1 Znak,Footnote1 Znak,Footnote2 Znak,Footnote3 Znak,Footnote4 Znak,Footnote5 Znak,Footnote6 Znak,Footnote7 Znak,Footnote8 Znak,Footnote9 Znak,Footnote10 Znak"/>
    <w:basedOn w:val="Domylnaczcionkaakapitu"/>
    <w:link w:val="Tekstprzypisudolnego"/>
    <w:rsid w:val="00B33CB1"/>
    <w:rPr>
      <w:rFonts w:ascii="Georgia" w:eastAsia="Times New Roman" w:hAnsi="Georgia" w:cs="Times New Roman"/>
      <w:sz w:val="16"/>
      <w:szCs w:val="20"/>
      <w:lang w:eastAsia="de-DE"/>
    </w:rPr>
  </w:style>
  <w:style w:type="character" w:styleId="Odwoanieprzypisudolnego">
    <w:name w:val="footnote reference"/>
    <w:aliases w:val="SUPERS,Footnote reference number,Footnote symbol,note TESI,-E Fußnotenzeichen,number,BVI fnr,Footnote,Footnote Reference Superscript,(Footnote Reference),EN Footnote Reference,Voetnootverwijzing,Times 10 Point,Exposant 3 Poi"/>
    <w:uiPriority w:val="99"/>
    <w:rsid w:val="00B33CB1"/>
    <w:rPr>
      <w:vertAlign w:val="superscript"/>
    </w:rPr>
  </w:style>
  <w:style w:type="character" w:customStyle="1" w:styleId="Nagwek5Znak">
    <w:name w:val="Nagłówek 5 Znak"/>
    <w:aliases w:val="Questions Znak"/>
    <w:link w:val="Nagwek5"/>
    <w:rsid w:val="00B33CB1"/>
    <w:rPr>
      <w:rFonts w:ascii="Georgia" w:eastAsia="Times New Roman" w:hAnsi="Georgia" w:cs="Times New Roman"/>
      <w:b/>
      <w:sz w:val="20"/>
      <w:szCs w:val="24"/>
      <w:lang w:eastAsia="de-DE"/>
    </w:rPr>
  </w:style>
  <w:style w:type="character" w:customStyle="1" w:styleId="04BodyTextChar">
    <w:name w:val="04_Body Text Char"/>
    <w:link w:val="04BodyText"/>
    <w:rsid w:val="00B33CB1"/>
    <w:rPr>
      <w:rFonts w:ascii="Georgia" w:eastAsia="Times New Roman" w:hAnsi="Georgia" w:cs="Times New Roman"/>
      <w:sz w:val="20"/>
      <w:szCs w:val="24"/>
      <w:lang w:eastAsia="de-DE"/>
    </w:rPr>
  </w:style>
  <w:style w:type="paragraph" w:customStyle="1" w:styleId="NEW-Level0">
    <w:name w:val="NEW-Level0"/>
    <w:basedOn w:val="Normalny"/>
    <w:rsid w:val="00B33CB1"/>
    <w:pPr>
      <w:keepNext/>
      <w:numPr>
        <w:numId w:val="4"/>
      </w:numPr>
      <w:spacing w:before="240" w:after="250" w:line="276" w:lineRule="auto"/>
      <w:outlineLvl w:val="0"/>
    </w:pPr>
    <w:rPr>
      <w:rFonts w:cs="Arial"/>
      <w:b/>
      <w:bCs/>
      <w:kern w:val="32"/>
      <w:sz w:val="28"/>
      <w:szCs w:val="28"/>
    </w:rPr>
  </w:style>
  <w:style w:type="paragraph" w:customStyle="1" w:styleId="NEW-Level1">
    <w:name w:val="NEW-Level1"/>
    <w:basedOn w:val="Normalny"/>
    <w:rsid w:val="00B33CB1"/>
    <w:pPr>
      <w:keepNext/>
      <w:numPr>
        <w:ilvl w:val="1"/>
        <w:numId w:val="4"/>
      </w:numPr>
      <w:spacing w:before="240" w:after="250" w:line="276" w:lineRule="auto"/>
      <w:outlineLvl w:val="0"/>
    </w:pPr>
    <w:rPr>
      <w:rFonts w:cs="Arial"/>
      <w:b/>
      <w:bCs/>
      <w:kern w:val="32"/>
      <w:sz w:val="24"/>
      <w:szCs w:val="32"/>
    </w:rPr>
  </w:style>
  <w:style w:type="paragraph" w:customStyle="1" w:styleId="aNEW-Level0">
    <w:name w:val="aNEW-Level0"/>
    <w:basedOn w:val="NEW-Level0"/>
    <w:link w:val="aNEW-Level0Char"/>
    <w:qFormat/>
    <w:rsid w:val="00B33CB1"/>
    <w:pPr>
      <w:spacing w:before="120" w:after="120"/>
      <w:ind w:left="425" w:hanging="425"/>
    </w:pPr>
  </w:style>
  <w:style w:type="character" w:customStyle="1" w:styleId="aNEW-Level0Char">
    <w:name w:val="aNEW-Level0 Char"/>
    <w:link w:val="aNEW-Level0"/>
    <w:rsid w:val="00B33CB1"/>
    <w:rPr>
      <w:rFonts w:ascii="Georgia" w:eastAsia="Times New Roman" w:hAnsi="Georgia" w:cs="Arial"/>
      <w:b/>
      <w:bCs/>
      <w:kern w:val="32"/>
      <w:sz w:val="28"/>
      <w:szCs w:val="28"/>
      <w:lang w:eastAsia="de-DE"/>
    </w:rPr>
  </w:style>
  <w:style w:type="character" w:styleId="Odwoaniedokomentarza">
    <w:name w:val="annotation reference"/>
    <w:rsid w:val="00DA6099"/>
    <w:rPr>
      <w:sz w:val="16"/>
      <w:szCs w:val="16"/>
    </w:rPr>
  </w:style>
  <w:style w:type="paragraph" w:styleId="Tekstkomentarza">
    <w:name w:val="annotation text"/>
    <w:basedOn w:val="Normalny"/>
    <w:link w:val="TekstkomentarzaZnak"/>
    <w:rsid w:val="00DA6099"/>
    <w:rPr>
      <w:szCs w:val="20"/>
    </w:rPr>
  </w:style>
  <w:style w:type="character" w:customStyle="1" w:styleId="TekstkomentarzaZnak">
    <w:name w:val="Tekst komentarza Znak"/>
    <w:basedOn w:val="Domylnaczcionkaakapitu"/>
    <w:link w:val="Tekstkomentarza"/>
    <w:uiPriority w:val="99"/>
    <w:rsid w:val="00DA6099"/>
    <w:rPr>
      <w:rFonts w:ascii="Georgia" w:eastAsia="Times New Roman" w:hAnsi="Georgia" w:cs="Times New Roman"/>
      <w:sz w:val="20"/>
      <w:szCs w:val="20"/>
      <w:lang w:eastAsia="de-DE"/>
    </w:rPr>
  </w:style>
  <w:style w:type="paragraph" w:styleId="Tekstdymka">
    <w:name w:val="Balloon Text"/>
    <w:basedOn w:val="Normalny"/>
    <w:link w:val="TekstdymkaZnak"/>
    <w:uiPriority w:val="99"/>
    <w:semiHidden/>
    <w:unhideWhenUsed/>
    <w:rsid w:val="00DA6099"/>
    <w:rPr>
      <w:rFonts w:ascii="Tahoma" w:hAnsi="Tahoma" w:cs="Tahoma"/>
      <w:sz w:val="16"/>
      <w:szCs w:val="16"/>
    </w:rPr>
  </w:style>
  <w:style w:type="character" w:customStyle="1" w:styleId="TekstdymkaZnak">
    <w:name w:val="Tekst dymka Znak"/>
    <w:basedOn w:val="Domylnaczcionkaakapitu"/>
    <w:link w:val="Tekstdymka"/>
    <w:uiPriority w:val="99"/>
    <w:semiHidden/>
    <w:rsid w:val="00DA6099"/>
    <w:rPr>
      <w:rFonts w:ascii="Tahoma" w:eastAsia="Times New Roman" w:hAnsi="Tahoma" w:cs="Tahoma"/>
      <w:sz w:val="16"/>
      <w:szCs w:val="16"/>
      <w:lang w:eastAsia="de-DE"/>
    </w:rPr>
  </w:style>
  <w:style w:type="paragraph" w:styleId="Akapitzlist">
    <w:name w:val="List Paragraph"/>
    <w:aliases w:val="Paragraphe EI,Paragraphe de liste1,EC"/>
    <w:basedOn w:val="Normalny"/>
    <w:link w:val="AkapitzlistZnak"/>
    <w:uiPriority w:val="34"/>
    <w:qFormat/>
    <w:rsid w:val="0053605A"/>
    <w:pPr>
      <w:ind w:left="720"/>
      <w:contextualSpacing/>
    </w:pPr>
  </w:style>
  <w:style w:type="paragraph" w:customStyle="1" w:styleId="Default">
    <w:name w:val="Default"/>
    <w:rsid w:val="0053605A"/>
    <w:pPr>
      <w:autoSpaceDE w:val="0"/>
      <w:autoSpaceDN w:val="0"/>
      <w:adjustRightInd w:val="0"/>
      <w:spacing w:after="0" w:line="240" w:lineRule="auto"/>
    </w:pPr>
    <w:rPr>
      <w:rFonts w:ascii="Georgia" w:eastAsia="Times New Roman" w:hAnsi="Georgia" w:cs="Georgia"/>
      <w:color w:val="000000"/>
      <w:sz w:val="24"/>
      <w:szCs w:val="24"/>
      <w:lang w:val="fr-FR" w:eastAsia="en-GB"/>
    </w:rPr>
  </w:style>
  <w:style w:type="character" w:customStyle="1" w:styleId="AkapitzlistZnak">
    <w:name w:val="Akapit z listą Znak"/>
    <w:aliases w:val="Paragraphe EI Znak,Paragraphe de liste1 Znak,EC Znak"/>
    <w:link w:val="Akapitzlist"/>
    <w:uiPriority w:val="34"/>
    <w:locked/>
    <w:rsid w:val="0053605A"/>
    <w:rPr>
      <w:rFonts w:ascii="Georgia" w:eastAsia="Times New Roman" w:hAnsi="Georgia" w:cs="Times New Roman"/>
      <w:sz w:val="20"/>
      <w:szCs w:val="24"/>
      <w:lang w:eastAsia="de-DE"/>
    </w:rPr>
  </w:style>
  <w:style w:type="paragraph" w:styleId="Tematkomentarza">
    <w:name w:val="annotation subject"/>
    <w:basedOn w:val="Tekstkomentarza"/>
    <w:next w:val="Tekstkomentarza"/>
    <w:link w:val="TematkomentarzaZnak"/>
    <w:uiPriority w:val="99"/>
    <w:semiHidden/>
    <w:unhideWhenUsed/>
    <w:rsid w:val="00394B26"/>
    <w:rPr>
      <w:b/>
      <w:bCs/>
    </w:rPr>
  </w:style>
  <w:style w:type="character" w:customStyle="1" w:styleId="TematkomentarzaZnak">
    <w:name w:val="Temat komentarza Znak"/>
    <w:basedOn w:val="TekstkomentarzaZnak"/>
    <w:link w:val="Tematkomentarza"/>
    <w:uiPriority w:val="99"/>
    <w:semiHidden/>
    <w:rsid w:val="00394B26"/>
    <w:rPr>
      <w:rFonts w:ascii="Georgia" w:eastAsia="Times New Roman" w:hAnsi="Georgia" w:cs="Times New Roman"/>
      <w:b/>
      <w:bCs/>
      <w:sz w:val="20"/>
      <w:szCs w:val="20"/>
      <w:lang w:eastAsia="de-D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esma.europa.eu" TargetMode="Externa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sma.europa.eu/consultation/Consultation-delegated-acts-required-UCITS-V-Directive" TargetMode="Externa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ferenceFileID xmlns="8b76e640-9ff4-4d3b-a80d-ae743ace85eb" xsi:nil="true"/>
    <DocRef xmlns="8b76e640-9ff4-4d3b-a80d-ae743ace85eb">EBF_010712</DocRef>
    <DocSnippet xmlns="8b76e640-9ff4-4d3b-a80d-ae743ace85eb" xsi:nil="true"/>
    <ReferenceVersion xmlns="8b76e640-9ff4-4d3b-a80d-ae743ace85eb" xsi:nil="true"/>
    <DocSource xmlns="8b76e640-9ff4-4d3b-a80d-ae743ace85eb">Internal</DocSource>
    <ReviewURL xmlns="8b76e640-9ff4-4d3b-a80d-ae743ace85eb">
      <Url xsi:nil="true"/>
      <Description xsi:nil="true"/>
    </ReviewURL>
    <DocType xmlns="8b76e640-9ff4-4d3b-a80d-ae743ace85eb" xsi:nil="true"/>
    <OriginalDocUrl xmlns="8b76e640-9ff4-4d3b-a80d-ae743ace85eb">
      <Url xsi:nil="true"/>
      <Description xsi:nil="true"/>
    </OriginalDocUrl>
  </documentManagement>
</p:properties>
</file>

<file path=customXml/item2.xml><?xml version="1.0" encoding="utf-8"?>
<ct:contentTypeSchema xmlns:ct="http://schemas.microsoft.com/office/2006/metadata/contentType" xmlns:ma="http://schemas.microsoft.com/office/2006/metadata/properties/metaAttributes" ct:_="" ma:_="" ma:contentTypeName="EBF Document" ma:contentTypeID="0x0101004BE274EDB6DB4922B212C2A6A2929FFF001EE68B1AF8A11E4BB07B049765808D89" ma:contentTypeVersion="13" ma:contentTypeDescription="Create a new document." ma:contentTypeScope="" ma:versionID="ff8beeb1051282d0767202b356625a23">
  <xsd:schema xmlns:xsd="http://www.w3.org/2001/XMLSchema" xmlns:xs="http://www.w3.org/2001/XMLSchema" xmlns:p="http://schemas.microsoft.com/office/2006/metadata/properties" xmlns:ns2="8b76e640-9ff4-4d3b-a80d-ae743ace85eb" targetNamespace="http://schemas.microsoft.com/office/2006/metadata/properties" ma:root="true" ma:fieldsID="2aca80c004ec2097f8216d5df938d159" ns2:_="">
    <xsd:import namespace="8b76e640-9ff4-4d3b-a80d-ae743ace85eb"/>
    <xsd:element name="properties">
      <xsd:complexType>
        <xsd:sequence>
          <xsd:element name="documentManagement">
            <xsd:complexType>
              <xsd:all>
                <xsd:element ref="ns2:DocRef" minOccurs="0"/>
                <xsd:element ref="ns2:DocType" minOccurs="0"/>
                <xsd:element ref="ns2:DocSource" minOccurs="0"/>
                <xsd:element ref="ns2:ReviewURL" minOccurs="0"/>
                <xsd:element ref="ns2:OriginalDocUrl" minOccurs="0"/>
                <xsd:element ref="ns2:DocSnippet" minOccurs="0"/>
                <xsd:element ref="ns2:ReferenceVersion" minOccurs="0"/>
                <xsd:element ref="ns2:ReferenceFil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6e640-9ff4-4d3b-a80d-ae743ace85eb" elementFormDefault="qualified">
    <xsd:import namespace="http://schemas.microsoft.com/office/2006/documentManagement/types"/>
    <xsd:import namespace="http://schemas.microsoft.com/office/infopath/2007/PartnerControls"/>
    <xsd:element name="DocRef" ma:index="8" nillable="true" ma:displayName="Document Ref" ma:internalName="DocRef" ma:readOnly="false">
      <xsd:simpleType>
        <xsd:restriction base="dms:Text"/>
      </xsd:simpleType>
    </xsd:element>
    <xsd:element name="DocType" ma:index="9" nillable="true" ma:displayName="Document Type" ma:internalName="DocType" ma:readOnly="false">
      <xsd:simpleType>
        <xsd:restriction base="dms:Text"/>
      </xsd:simpleType>
    </xsd:element>
    <xsd:element name="DocSource" ma:index="10" nillable="true" ma:displayName="Document Source" ma:format="Dropdown" ma:internalName="DocSource">
      <xsd:simpleType>
        <xsd:restriction base="dms:Choice">
          <xsd:enumeration value="Internal"/>
          <xsd:enumeration value="External"/>
          <xsd:enumeration value="External without reference"/>
        </xsd:restriction>
      </xsd:simpleType>
    </xsd:element>
    <xsd:element name="ReviewURL" ma:index="11" nillable="true" ma:displayName="Review Location" ma:internalName="Review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riginalDocUrl" ma:index="12" nillable="true" ma:displayName="Original Document Location" ma:internalName="OriginalDoc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Snippet" ma:index="13" nillable="true" ma:displayName="Snippet" ma:internalName="DocSnippet" ma:readOnly="false">
      <xsd:simpleType>
        <xsd:restriction base="dms:Choice">
          <xsd:enumeration value="Agenda"/>
          <xsd:enumeration value="C-Letter"/>
          <xsd:enumeration value="Chief Executive Letter"/>
          <xsd:enumeration value="Coms Doc"/>
          <xsd:enumeration value="Excochair Letter"/>
          <xsd:enumeration value="Fax"/>
          <xsd:enumeration value="Letter President"/>
          <xsd:enumeration value="Master Document"/>
          <xsd:enumeration value="Memo"/>
          <xsd:enumeration value="Minutes"/>
          <xsd:enumeration value="Non C-Letter"/>
          <xsd:enumeration value="Press Release"/>
          <xsd:enumeration value="Public Document"/>
          <xsd:enumeration value="Statement"/>
          <xsd:enumeration value="TWG Template"/>
        </xsd:restriction>
      </xsd:simpleType>
    </xsd:element>
    <xsd:element name="ReferenceVersion" ma:index="14" nillable="true" ma:displayName="Reference Version" ma:internalName="ReferenceVersion" ma:readOnly="false">
      <xsd:simpleType>
        <xsd:restriction base="dms:Text"/>
      </xsd:simpleType>
    </xsd:element>
    <xsd:element name="ReferenceFileID" ma:index="15" nillable="true" ma:displayName="Reference File ID" ma:internalName="ReferenceFileID"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40C950-77CE-44F3-BA61-25E33C6DC7D9}">
  <ds:schemaRefs>
    <ds:schemaRef ds:uri="http://schemas.microsoft.com/office/2006/metadata/properties"/>
    <ds:schemaRef ds:uri="http://schemas.microsoft.com/office/infopath/2007/PartnerControls"/>
    <ds:schemaRef ds:uri="8b76e640-9ff4-4d3b-a80d-ae743ace85eb"/>
  </ds:schemaRefs>
</ds:datastoreItem>
</file>

<file path=customXml/itemProps2.xml><?xml version="1.0" encoding="utf-8"?>
<ds:datastoreItem xmlns:ds="http://schemas.openxmlformats.org/officeDocument/2006/customXml" ds:itemID="{28035E7E-EA19-4F92-B792-BC4C19DDE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6e640-9ff4-4d3b-a80d-ae743ace8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B62BB0-7345-4215-AC0E-E7BC0B2BDB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3950</Words>
  <Characters>23705</Characters>
  <Application>Microsoft Office Word</Application>
  <DocSecurity>0</DocSecurity>
  <Lines>197</Lines>
  <Paragraphs>55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EBF</Company>
  <LinksUpToDate>false</LinksUpToDate>
  <CharactersWithSpaces>27600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Pettinger</dc:creator>
  <cp:lastModifiedBy>Norbert Jeziolowicz</cp:lastModifiedBy>
  <cp:revision>5</cp:revision>
  <dcterms:created xsi:type="dcterms:W3CDTF">2014-10-15T10:16:00Z</dcterms:created>
  <dcterms:modified xsi:type="dcterms:W3CDTF">2014-10-23T06:05:00Z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0x0101004BE274EDB6DB4922B212C2A6A2929FFF001EE68B1AF8A11E4BB07B049765808D89</vt:lpwstr>
  </property>
</Properties>
</file>