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3A5DAC" w:rsidP="00EF0769">
            <w:pPr>
              <w:pStyle w:val="00bDBInfo"/>
              <w:rPr>
                <w:rFonts w:cs="Arial"/>
              </w:rPr>
            </w:pPr>
            <w:r>
              <w:rPr>
                <w:rFonts w:cs="Arial"/>
              </w:rPr>
              <w:t>1</w:t>
            </w:r>
            <w:r w:rsidR="00EF0769">
              <w:rPr>
                <w:rFonts w:cs="Arial"/>
              </w:rPr>
              <w:t>8</w:t>
            </w:r>
            <w:r>
              <w:rPr>
                <w:rFonts w:cs="Arial"/>
              </w:rPr>
              <w:t xml:space="preserve"> February</w:t>
            </w:r>
            <w:r w:rsidR="00ED351E" w:rsidRPr="004E49B0">
              <w:rPr>
                <w:rFonts w:cs="Arial"/>
              </w:rPr>
              <w:t xml:space="preserve"> </w:t>
            </w:r>
            <w:r w:rsidR="006F4B04" w:rsidRPr="004E49B0">
              <w:rPr>
                <w:rFonts w:cs="Arial"/>
              </w:rPr>
              <w:t>20</w:t>
            </w:r>
            <w:r>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422A7D" w:rsidRPr="00616B9B" w:rsidRDefault="00EF0769" w:rsidP="00C000A5">
            <w:pPr>
              <w:pStyle w:val="01aDBTitle"/>
              <w:rPr>
                <w:rFonts w:cs="Arial"/>
              </w:rPr>
            </w:pPr>
            <w:r>
              <w:rPr>
                <w:rFonts w:cs="Arial"/>
              </w:rPr>
              <w:t xml:space="preserve">Addendum </w:t>
            </w:r>
            <w:r w:rsidR="003A5DAC">
              <w:rPr>
                <w:rFonts w:cs="Arial"/>
              </w:rPr>
              <w:t xml:space="preserve">Consultation Paper </w:t>
            </w:r>
            <w:r>
              <w:rPr>
                <w:rFonts w:cs="Arial"/>
              </w:rPr>
              <w:t>on MiFID II/MiFIR</w:t>
            </w:r>
            <w:r w:rsidR="00422A7D" w:rsidRPr="00616B9B">
              <w:rPr>
                <w:rFonts w:cs="Arial"/>
              </w:rPr>
              <w:t xml:space="preserve"> </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EF0769">
            <w:pPr>
              <w:pStyle w:val="02Date"/>
              <w:rPr>
                <w:rFonts w:cs="Arial"/>
              </w:rPr>
            </w:pPr>
            <w:r w:rsidRPr="004E49B0">
              <w:rPr>
                <w:rFonts w:cs="Arial"/>
              </w:rPr>
              <w:lastRenderedPageBreak/>
              <w:t xml:space="preserve">Date: </w:t>
            </w:r>
            <w:r w:rsidR="004E49B0" w:rsidRPr="004E49B0">
              <w:rPr>
                <w:rFonts w:cs="Arial"/>
              </w:rPr>
              <w:t>1</w:t>
            </w:r>
            <w:r w:rsidR="00EF0769">
              <w:rPr>
                <w:rFonts w:cs="Arial"/>
              </w:rPr>
              <w:t>8</w:t>
            </w:r>
            <w:r w:rsidR="004E49B0" w:rsidRPr="004E49B0">
              <w:rPr>
                <w:rFonts w:cs="Arial"/>
              </w:rPr>
              <w:t xml:space="preserve"> </w:t>
            </w:r>
            <w:r w:rsidR="003A5DAC">
              <w:rPr>
                <w:rFonts w:cs="Arial"/>
              </w:rPr>
              <w:t>February</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Pr>
          <w:rFonts w:cs="Arial"/>
        </w:rPr>
        <w:t xml:space="preserve">Addendum </w:t>
      </w:r>
      <w:r w:rsidR="00332304" w:rsidRPr="00EF0769">
        <w:rPr>
          <w:rFonts w:cs="Arial"/>
        </w:rPr>
        <w:t xml:space="preserve">Consultation Paper </w:t>
      </w:r>
      <w:r w:rsidR="00332304">
        <w:rPr>
          <w:rFonts w:cs="Arial"/>
        </w:rPr>
        <w:t xml:space="preserve">on </w:t>
      </w:r>
      <w:r w:rsidR="00955F48" w:rsidRPr="00EF0769">
        <w:rPr>
          <w:rFonts w:cs="Arial"/>
        </w:rPr>
        <w:t>MiFID II/MiFIR</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QUESTION_MIFID_ADD</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ESMA_MiFID_</w:t>
      </w:r>
      <w:r w:rsidR="00332304">
        <w:rPr>
          <w:rFonts w:cs="Arial"/>
        </w:rPr>
        <w:t>ADD</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_ADD_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ESMA_MiFID_</w:t>
      </w:r>
      <w:r w:rsidR="00332304">
        <w:rPr>
          <w:rFonts w:cs="Arial"/>
        </w:rPr>
        <w:t>ADD</w:t>
      </w:r>
      <w:r w:rsidRPr="00EF0769">
        <w:rPr>
          <w:rFonts w:cs="Arial"/>
        </w:rPr>
        <w:t>_ESMA_ANNEX1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021E83" w:rsidRPr="00EF0769">
        <w:rPr>
          <w:rFonts w:cs="Arial"/>
          <w:b/>
        </w:rPr>
        <w:t>20 March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Rubrik1"/>
        <w:numPr>
          <w:ilvl w:val="0"/>
          <w:numId w:val="0"/>
        </w:numPr>
      </w:pPr>
      <w:r w:rsidRPr="00AB6D88">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9E517C">
        <w:tc>
          <w:tcPr>
            <w:tcW w:w="3929" w:type="dxa"/>
            <w:shd w:val="clear" w:color="auto" w:fill="auto"/>
          </w:tcPr>
          <w:p w:rsidR="00D34282" w:rsidRPr="00AB6D88" w:rsidRDefault="00D34282" w:rsidP="009E517C">
            <w:pPr>
              <w:rPr>
                <w:rFonts w:cs="Arial"/>
              </w:rPr>
            </w:pPr>
            <w:permStart w:id="1523937803" w:edGrp="everyone" w:colFirst="1" w:colLast="1"/>
            <w:r w:rsidRPr="00AB6D88">
              <w:rPr>
                <w:rFonts w:cs="Arial"/>
              </w:rPr>
              <w:t>Name of the company / organisation</w:t>
            </w:r>
          </w:p>
        </w:tc>
        <w:sdt>
          <w:sdtPr>
            <w:rPr>
              <w:rStyle w:val="Platshllartext"/>
              <w:rFonts w:cs="Arial"/>
            </w:rPr>
            <w:id w:val="-1905066999"/>
            <w:text/>
          </w:sdtPr>
          <w:sdtContent>
            <w:permStart w:id="1592224320" w:edGrp="everyone" w:displacedByCustomXml="prev"/>
            <w:tc>
              <w:tcPr>
                <w:tcW w:w="5595" w:type="dxa"/>
                <w:shd w:val="clear" w:color="auto" w:fill="auto"/>
              </w:tcPr>
              <w:p w:rsidR="00D34282" w:rsidRPr="00AB6D88" w:rsidRDefault="007B43E6" w:rsidP="007B43E6">
                <w:pPr>
                  <w:rPr>
                    <w:rStyle w:val="Platshllartext"/>
                    <w:rFonts w:cs="Arial"/>
                  </w:rPr>
                </w:pPr>
                <w:r>
                  <w:rPr>
                    <w:rStyle w:val="Platshllartext"/>
                    <w:rFonts w:cs="Arial"/>
                  </w:rPr>
                  <w:t>Nordic Securities Association</w:t>
                </w:r>
              </w:p>
            </w:tc>
            <w:permEnd w:id="1592224320" w:displacedByCustomXml="next"/>
          </w:sdtContent>
        </w:sdt>
      </w:tr>
      <w:tr w:rsidR="00D34282" w:rsidRPr="00AB6D88" w:rsidTr="009E517C">
        <w:tc>
          <w:tcPr>
            <w:tcW w:w="3929" w:type="dxa"/>
            <w:shd w:val="clear" w:color="auto" w:fill="auto"/>
          </w:tcPr>
          <w:p w:rsidR="00D34282" w:rsidRPr="00AB6D88" w:rsidRDefault="00D34282" w:rsidP="009E517C">
            <w:pPr>
              <w:rPr>
                <w:rFonts w:cs="Arial"/>
              </w:rPr>
            </w:pPr>
            <w:permStart w:id="661152805" w:edGrp="everyone" w:colFirst="1" w:colLast="1"/>
            <w:permEnd w:id="1523937803"/>
            <w:r w:rsidRPr="00AB6D88">
              <w:rPr>
                <w:rFonts w:cs="Arial"/>
              </w:rPr>
              <w:t>Confidential</w:t>
            </w:r>
            <w:r w:rsidRPr="00AB6D88">
              <w:rPr>
                <w:rStyle w:val="Fotnotsreferens"/>
                <w:rFonts w:cs="Arial"/>
              </w:rPr>
              <w:footnoteReference w:id="2"/>
            </w:r>
          </w:p>
        </w:tc>
        <w:sdt>
          <w:sdtPr>
            <w:rPr>
              <w:rStyle w:val="Platshllartext"/>
              <w:rFonts w:cs="Arial"/>
            </w:rPr>
            <w:id w:val="-2035031634"/>
            <w14:checkbox>
              <w14:checked w14:val="0"/>
              <w14:checkedState w14:val="2612" w14:font="MS Gothic"/>
              <w14:uncheckedState w14:val="2610" w14:font="MS Gothic"/>
            </w14:checkbox>
          </w:sdtPr>
          <w:sdtContent>
            <w:tc>
              <w:tcPr>
                <w:tcW w:w="5595" w:type="dxa"/>
                <w:shd w:val="clear" w:color="auto" w:fill="auto"/>
              </w:tcPr>
              <w:p w:rsidR="00D34282" w:rsidRPr="00AB6D88" w:rsidRDefault="00D34282" w:rsidP="009E517C">
                <w:pPr>
                  <w:rPr>
                    <w:rStyle w:val="Platshllartext"/>
                    <w:rFonts w:cs="Arial"/>
                  </w:rPr>
                </w:pPr>
                <w:r>
                  <w:rPr>
                    <w:rStyle w:val="Platshllartext"/>
                    <w:rFonts w:ascii="MS Gothic" w:eastAsia="MS Gothic" w:hAnsi="MS Gothic" w:cs="Arial" w:hint="eastAsia"/>
                  </w:rPr>
                  <w:t>☐</w:t>
                </w:r>
              </w:p>
            </w:tc>
          </w:sdtContent>
        </w:sdt>
      </w:tr>
      <w:tr w:rsidR="00D34282" w:rsidRPr="00AB6D88" w:rsidTr="009E517C">
        <w:tc>
          <w:tcPr>
            <w:tcW w:w="3929" w:type="dxa"/>
            <w:shd w:val="clear" w:color="auto" w:fill="auto"/>
          </w:tcPr>
          <w:p w:rsidR="00D34282" w:rsidRPr="00AB6D88" w:rsidRDefault="00D34282" w:rsidP="009E517C">
            <w:pPr>
              <w:rPr>
                <w:rFonts w:cs="Arial"/>
              </w:rPr>
            </w:pPr>
            <w:permStart w:id="1384410671" w:edGrp="everyone" w:colFirst="1" w:colLast="1"/>
            <w:permEnd w:id="661152805"/>
            <w:r w:rsidRPr="00AB6D88">
              <w:rPr>
                <w:rFonts w:cs="Arial"/>
              </w:rPr>
              <w:t>Activity</w:t>
            </w:r>
          </w:p>
        </w:tc>
        <w:tc>
          <w:tcPr>
            <w:tcW w:w="5595" w:type="dxa"/>
            <w:shd w:val="clear" w:color="auto" w:fill="auto"/>
          </w:tcPr>
          <w:p w:rsidR="00D34282" w:rsidRPr="00AB6D88" w:rsidRDefault="00363CE2" w:rsidP="009E517C">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688870860" w:edGrp="everyone"/>
                <w:r w:rsidR="007B43E6">
                  <w:rPr>
                    <w:rFonts w:cs="Arial"/>
                  </w:rPr>
                  <w:t>Investment Services</w:t>
                </w:r>
                <w:permEnd w:id="688870860"/>
              </w:sdtContent>
            </w:sdt>
          </w:p>
        </w:tc>
      </w:tr>
      <w:tr w:rsidR="00D34282" w:rsidRPr="00AB6D88" w:rsidTr="009E517C">
        <w:tc>
          <w:tcPr>
            <w:tcW w:w="3929" w:type="dxa"/>
            <w:shd w:val="clear" w:color="auto" w:fill="auto"/>
          </w:tcPr>
          <w:p w:rsidR="00D34282" w:rsidRPr="00AB6D88" w:rsidRDefault="00D34282" w:rsidP="009E517C">
            <w:pPr>
              <w:rPr>
                <w:rFonts w:cs="Arial"/>
              </w:rPr>
            </w:pPr>
            <w:permStart w:id="697649013" w:edGrp="everyone" w:colFirst="1" w:colLast="1"/>
            <w:permEnd w:id="1384410671"/>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Content>
            <w:tc>
              <w:tcPr>
                <w:tcW w:w="5595" w:type="dxa"/>
                <w:shd w:val="clear" w:color="auto" w:fill="auto"/>
              </w:tcPr>
              <w:p w:rsidR="00D34282" w:rsidRPr="00AB6D88" w:rsidRDefault="007B43E6" w:rsidP="009E517C">
                <w:pPr>
                  <w:rPr>
                    <w:rFonts w:cs="Arial"/>
                  </w:rPr>
                </w:pPr>
                <w:r>
                  <w:rPr>
                    <w:rFonts w:ascii="MS Gothic" w:eastAsia="MS Gothic" w:hAnsi="MS Gothic" w:cs="Arial" w:hint="eastAsia"/>
                  </w:rPr>
                  <w:t>☒</w:t>
                </w:r>
              </w:p>
            </w:tc>
          </w:sdtContent>
        </w:sdt>
      </w:tr>
      <w:tr w:rsidR="00D34282" w:rsidRPr="00AB6D88" w:rsidTr="009E517C">
        <w:tc>
          <w:tcPr>
            <w:tcW w:w="3929" w:type="dxa"/>
            <w:shd w:val="clear" w:color="auto" w:fill="auto"/>
          </w:tcPr>
          <w:p w:rsidR="00D34282" w:rsidRPr="00AB6D88" w:rsidRDefault="00D34282" w:rsidP="009E517C">
            <w:pPr>
              <w:rPr>
                <w:rFonts w:cs="Arial"/>
              </w:rPr>
            </w:pPr>
            <w:permStart w:id="692545537" w:edGrp="everyone" w:colFirst="1" w:colLast="1"/>
            <w:permEnd w:id="697649013"/>
            <w:r w:rsidRPr="00AB6D88">
              <w:rPr>
                <w:rFonts w:cs="Arial"/>
              </w:rPr>
              <w:t>Country/Region</w:t>
            </w:r>
          </w:p>
        </w:tc>
        <w:permStart w:id="618286822"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362128481" w:edGrp="everyone" w:displacedByCustomXml="prev"/>
            <w:tc>
              <w:tcPr>
                <w:tcW w:w="5595" w:type="dxa"/>
                <w:shd w:val="clear" w:color="auto" w:fill="auto"/>
              </w:tcPr>
              <w:p w:rsidR="00D34282" w:rsidRPr="00AB6D88" w:rsidRDefault="007B43E6" w:rsidP="007B43E6">
                <w:pPr>
                  <w:rPr>
                    <w:rFonts w:cs="Arial"/>
                  </w:rPr>
                </w:pPr>
                <w:r>
                  <w:rPr>
                    <w:rFonts w:cs="Arial"/>
                  </w:rPr>
                  <w:t>Sweden, Denmark, Finland, Norway</w:t>
                </w:r>
              </w:p>
            </w:tc>
            <w:permEnd w:id="1362128481" w:displacedByCustomXml="next"/>
          </w:sdtContent>
        </w:sdt>
        <w:permEnd w:id="618286822" w:displacedByCustomXml="prev"/>
      </w:tr>
      <w:permEnd w:id="692545537"/>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Rubrik1"/>
        <w:numPr>
          <w:ilvl w:val="0"/>
          <w:numId w:val="0"/>
        </w:numPr>
        <w:ind w:left="431" w:hanging="431"/>
      </w:pPr>
      <w:r>
        <w:t>Introduction</w:t>
      </w:r>
    </w:p>
    <w:p w:rsidR="00D34282" w:rsidRPr="001D47A5" w:rsidRDefault="00D34282" w:rsidP="00D34282">
      <w:pPr>
        <w:rPr>
          <w:rStyle w:val="Starkbetoning"/>
        </w:rPr>
      </w:pPr>
      <w:r w:rsidRPr="001D47A5">
        <w:rPr>
          <w:rStyle w:val="Starkbetoning"/>
        </w:rPr>
        <w:t>Please make your introductory comments below, if any:</w:t>
      </w:r>
    </w:p>
    <w:p w:rsidR="00D34282" w:rsidRPr="00C25863" w:rsidRDefault="00D34282" w:rsidP="00D34282">
      <w:r w:rsidRPr="00C25863">
        <w:t>&lt;</w:t>
      </w:r>
      <w:r w:rsidRPr="00D74C9D">
        <w:t xml:space="preserve"> </w:t>
      </w:r>
      <w:r>
        <w:t>ESMA_COMMENT</w:t>
      </w:r>
      <w:r w:rsidRPr="00C25863">
        <w:t>_</w:t>
      </w:r>
      <w:r w:rsidR="00F70207">
        <w:t>MIFID_ADD</w:t>
      </w:r>
      <w:r w:rsidRPr="00C25863">
        <w:t>_1&gt;</w:t>
      </w:r>
    </w:p>
    <w:p w:rsidR="00E6678C" w:rsidRPr="00304DC8" w:rsidRDefault="00E6678C" w:rsidP="00F174AD">
      <w:pPr>
        <w:rPr>
          <w:rFonts w:cs="Calibri"/>
          <w:sz w:val="22"/>
          <w:szCs w:val="22"/>
        </w:rPr>
      </w:pPr>
      <w:permStart w:id="31471395" w:edGrp="everyone"/>
      <w:r w:rsidRPr="00304DC8">
        <w:rPr>
          <w:rFonts w:cs="Calibri"/>
          <w:sz w:val="22"/>
          <w:szCs w:val="22"/>
        </w:rPr>
        <w:t>The Nordic Securities Association (NSA)</w:t>
      </w:r>
      <w:r w:rsidR="00E330A9" w:rsidRPr="00304DC8">
        <w:rPr>
          <w:rStyle w:val="Fotnotsreferens"/>
          <w:rFonts w:cs="Calibri"/>
          <w:sz w:val="22"/>
          <w:szCs w:val="22"/>
        </w:rPr>
        <w:footnoteReference w:id="3"/>
      </w:r>
      <w:r w:rsidRPr="00304DC8">
        <w:rPr>
          <w:rFonts w:cs="Calibri"/>
          <w:sz w:val="22"/>
          <w:szCs w:val="22"/>
        </w:rPr>
        <w:t xml:space="preserve"> has the following introductory comments regarding </w:t>
      </w:r>
      <w:r w:rsidR="007C73F0" w:rsidRPr="00304DC8">
        <w:rPr>
          <w:rFonts w:cs="Calibri"/>
          <w:sz w:val="22"/>
          <w:szCs w:val="22"/>
        </w:rPr>
        <w:t>the Addendum Consultation Paper</w:t>
      </w:r>
      <w:r w:rsidRPr="00304DC8">
        <w:rPr>
          <w:rFonts w:cs="Calibri"/>
          <w:sz w:val="22"/>
          <w:szCs w:val="22"/>
        </w:rPr>
        <w:t xml:space="preserve"> ESMA/2015/319 (Addendum Consultation Paper): </w:t>
      </w:r>
    </w:p>
    <w:p w:rsidR="00E6678C" w:rsidRPr="00304DC8" w:rsidRDefault="00E6678C" w:rsidP="00F174AD">
      <w:pPr>
        <w:rPr>
          <w:rFonts w:cs="Calibri"/>
          <w:sz w:val="22"/>
          <w:szCs w:val="22"/>
        </w:rPr>
      </w:pPr>
    </w:p>
    <w:p w:rsidR="00F174AD" w:rsidRPr="00304DC8" w:rsidRDefault="008508DB" w:rsidP="00F174AD">
      <w:pPr>
        <w:rPr>
          <w:rFonts w:cs="Calibri"/>
          <w:sz w:val="22"/>
          <w:szCs w:val="22"/>
        </w:rPr>
      </w:pPr>
      <w:r w:rsidRPr="00304DC8">
        <w:rPr>
          <w:rFonts w:cs="Calibri"/>
          <w:sz w:val="22"/>
          <w:szCs w:val="22"/>
        </w:rPr>
        <w:t xml:space="preserve">The NSA considers </w:t>
      </w:r>
      <w:r w:rsidR="00270846" w:rsidRPr="00304DC8">
        <w:rPr>
          <w:rFonts w:cs="Calibri"/>
          <w:sz w:val="22"/>
          <w:szCs w:val="22"/>
        </w:rPr>
        <w:t>t</w:t>
      </w:r>
      <w:r w:rsidR="00F174AD" w:rsidRPr="00304DC8">
        <w:rPr>
          <w:rFonts w:cs="Calibri"/>
          <w:sz w:val="22"/>
          <w:szCs w:val="22"/>
        </w:rPr>
        <w:t xml:space="preserve">he non-equity transparency related issues </w:t>
      </w:r>
      <w:r w:rsidR="00270846" w:rsidRPr="00304DC8">
        <w:rPr>
          <w:rFonts w:cs="Calibri"/>
          <w:sz w:val="22"/>
          <w:szCs w:val="22"/>
        </w:rPr>
        <w:t xml:space="preserve">to be </w:t>
      </w:r>
      <w:r w:rsidR="00F174AD" w:rsidRPr="00304DC8">
        <w:rPr>
          <w:rFonts w:cs="Calibri"/>
          <w:sz w:val="22"/>
          <w:szCs w:val="22"/>
        </w:rPr>
        <w:t>among the most difficult and sensitive items on Level II. Unless properly calibrated, the new transparency regime could have highly detrimental effects on the liquidity of existing non-equity markets and damage the SME financing in many Member States. This could in turn compromise the amb</w:t>
      </w:r>
      <w:r w:rsidR="00F174AD" w:rsidRPr="00304DC8">
        <w:rPr>
          <w:rFonts w:cs="Calibri"/>
          <w:sz w:val="22"/>
          <w:szCs w:val="22"/>
        </w:rPr>
        <w:t>i</w:t>
      </w:r>
      <w:r w:rsidR="00F174AD" w:rsidRPr="00304DC8">
        <w:rPr>
          <w:rFonts w:cs="Calibri"/>
          <w:sz w:val="22"/>
          <w:szCs w:val="22"/>
        </w:rPr>
        <w:t xml:space="preserve">tions to build an efficient Capital Markets Union. </w:t>
      </w:r>
    </w:p>
    <w:p w:rsidR="00F174AD" w:rsidRPr="00304DC8" w:rsidRDefault="00F174AD" w:rsidP="00F174AD">
      <w:pPr>
        <w:rPr>
          <w:rFonts w:cs="Calibri"/>
          <w:sz w:val="22"/>
          <w:szCs w:val="22"/>
        </w:rPr>
      </w:pPr>
    </w:p>
    <w:p w:rsidR="00F174AD" w:rsidRPr="00304DC8" w:rsidRDefault="00F174AD" w:rsidP="00F174AD">
      <w:pPr>
        <w:rPr>
          <w:rFonts w:cs="Calibri"/>
          <w:sz w:val="22"/>
          <w:szCs w:val="22"/>
        </w:rPr>
      </w:pPr>
      <w:r w:rsidRPr="00304DC8">
        <w:rPr>
          <w:rFonts w:cs="Calibri"/>
          <w:sz w:val="22"/>
          <w:szCs w:val="22"/>
        </w:rPr>
        <w:t xml:space="preserve">In order to achieve a proper calibration, it is important to take the interests of investors, issuers and different market structures into account (recital 16 of </w:t>
      </w:r>
      <w:proofErr w:type="spellStart"/>
      <w:r w:rsidRPr="00304DC8">
        <w:rPr>
          <w:rFonts w:cs="Calibri"/>
          <w:sz w:val="22"/>
          <w:szCs w:val="22"/>
        </w:rPr>
        <w:t>MiFIR</w:t>
      </w:r>
      <w:proofErr w:type="spellEnd"/>
      <w:r w:rsidRPr="00304DC8">
        <w:rPr>
          <w:rFonts w:cs="Calibri"/>
          <w:sz w:val="22"/>
          <w:szCs w:val="22"/>
        </w:rPr>
        <w:t>) and to make sure that the future Level II rules have an evidence-based footing. It is also important to develop a flexible system that works for different types of non-equity markets rather than - at this stage - focus on a one-size fits all approach.  Nordic markets, for ins</w:t>
      </w:r>
      <w:r w:rsidR="00270846" w:rsidRPr="00304DC8">
        <w:rPr>
          <w:rFonts w:cs="Calibri"/>
          <w:sz w:val="22"/>
          <w:szCs w:val="22"/>
        </w:rPr>
        <w:t>tance, can be characterized by</w:t>
      </w:r>
      <w:r w:rsidRPr="00304DC8">
        <w:rPr>
          <w:rFonts w:cs="Calibri"/>
          <w:sz w:val="22"/>
          <w:szCs w:val="22"/>
        </w:rPr>
        <w:t xml:space="preserve"> following perim</w:t>
      </w:r>
      <w:r w:rsidRPr="00304DC8">
        <w:rPr>
          <w:rFonts w:cs="Calibri"/>
          <w:sz w:val="22"/>
          <w:szCs w:val="22"/>
        </w:rPr>
        <w:t>e</w:t>
      </w:r>
      <w:r w:rsidRPr="00304DC8">
        <w:rPr>
          <w:rFonts w:cs="Calibri"/>
          <w:sz w:val="22"/>
          <w:szCs w:val="22"/>
        </w:rPr>
        <w:t>ters:</w:t>
      </w:r>
    </w:p>
    <w:p w:rsidR="00F174AD" w:rsidRPr="00304DC8" w:rsidRDefault="00F174AD" w:rsidP="00F174AD">
      <w:pPr>
        <w:rPr>
          <w:rFonts w:cs="Calibri"/>
          <w:sz w:val="22"/>
          <w:szCs w:val="22"/>
        </w:rPr>
      </w:pPr>
      <w:r w:rsidRPr="00304DC8">
        <w:rPr>
          <w:rFonts w:cs="Calibri"/>
          <w:sz w:val="22"/>
          <w:szCs w:val="22"/>
        </w:rPr>
        <w:t xml:space="preserve"> </w:t>
      </w:r>
    </w:p>
    <w:p w:rsidR="00F174AD" w:rsidRPr="00304DC8" w:rsidRDefault="00F174AD" w:rsidP="00F174AD">
      <w:pPr>
        <w:numPr>
          <w:ilvl w:val="0"/>
          <w:numId w:val="51"/>
        </w:numPr>
        <w:tabs>
          <w:tab w:val="left" w:pos="284"/>
        </w:tabs>
        <w:spacing w:line="270" w:lineRule="exact"/>
        <w:jc w:val="both"/>
        <w:rPr>
          <w:rFonts w:cs="Calibri"/>
          <w:sz w:val="22"/>
          <w:szCs w:val="22"/>
        </w:rPr>
      </w:pPr>
      <w:r w:rsidRPr="00304DC8">
        <w:rPr>
          <w:rFonts w:cs="Calibri"/>
          <w:sz w:val="22"/>
          <w:szCs w:val="22"/>
        </w:rPr>
        <w:t>Limited number of liquidity providers</w:t>
      </w:r>
    </w:p>
    <w:p w:rsidR="00F174AD" w:rsidRPr="00304DC8" w:rsidRDefault="00F174AD" w:rsidP="00F174AD">
      <w:pPr>
        <w:numPr>
          <w:ilvl w:val="0"/>
          <w:numId w:val="51"/>
        </w:numPr>
        <w:tabs>
          <w:tab w:val="left" w:pos="284"/>
        </w:tabs>
        <w:spacing w:line="270" w:lineRule="exact"/>
        <w:jc w:val="both"/>
        <w:rPr>
          <w:rFonts w:cs="Calibri"/>
          <w:sz w:val="22"/>
          <w:szCs w:val="22"/>
        </w:rPr>
      </w:pPr>
      <w:r w:rsidRPr="00304DC8">
        <w:rPr>
          <w:rFonts w:cs="Calibri"/>
          <w:sz w:val="22"/>
          <w:szCs w:val="22"/>
        </w:rPr>
        <w:t>Limited number of end-clients</w:t>
      </w:r>
    </w:p>
    <w:p w:rsidR="00F174AD" w:rsidRPr="00304DC8" w:rsidRDefault="00F174AD" w:rsidP="00F174AD">
      <w:pPr>
        <w:numPr>
          <w:ilvl w:val="0"/>
          <w:numId w:val="51"/>
        </w:numPr>
        <w:tabs>
          <w:tab w:val="left" w:pos="284"/>
        </w:tabs>
        <w:spacing w:line="270" w:lineRule="exact"/>
        <w:jc w:val="both"/>
        <w:rPr>
          <w:rFonts w:cs="Calibri"/>
          <w:sz w:val="22"/>
          <w:szCs w:val="22"/>
        </w:rPr>
      </w:pPr>
      <w:r w:rsidRPr="00304DC8">
        <w:rPr>
          <w:rFonts w:cs="Calibri"/>
          <w:sz w:val="22"/>
          <w:szCs w:val="22"/>
        </w:rPr>
        <w:t>Large transactions</w:t>
      </w:r>
    </w:p>
    <w:p w:rsidR="00F174AD" w:rsidRPr="00304DC8" w:rsidRDefault="00F174AD" w:rsidP="00F174AD">
      <w:pPr>
        <w:numPr>
          <w:ilvl w:val="0"/>
          <w:numId w:val="51"/>
        </w:numPr>
        <w:tabs>
          <w:tab w:val="left" w:pos="284"/>
        </w:tabs>
        <w:spacing w:line="270" w:lineRule="exact"/>
        <w:jc w:val="both"/>
        <w:rPr>
          <w:rFonts w:cs="Calibri"/>
          <w:sz w:val="22"/>
          <w:szCs w:val="22"/>
        </w:rPr>
      </w:pPr>
      <w:r w:rsidRPr="00304DC8">
        <w:rPr>
          <w:rFonts w:cs="Calibri"/>
          <w:sz w:val="22"/>
          <w:szCs w:val="22"/>
        </w:rPr>
        <w:t xml:space="preserve">Infrequent trading </w:t>
      </w:r>
    </w:p>
    <w:p w:rsidR="00F174AD" w:rsidRPr="00304DC8" w:rsidRDefault="00F174AD" w:rsidP="00F174AD">
      <w:pPr>
        <w:numPr>
          <w:ilvl w:val="0"/>
          <w:numId w:val="51"/>
        </w:numPr>
        <w:tabs>
          <w:tab w:val="left" w:pos="284"/>
        </w:tabs>
        <w:spacing w:line="270" w:lineRule="exact"/>
        <w:jc w:val="both"/>
        <w:rPr>
          <w:rFonts w:cs="Calibri"/>
          <w:sz w:val="22"/>
          <w:szCs w:val="22"/>
        </w:rPr>
      </w:pPr>
      <w:r w:rsidRPr="00304DC8">
        <w:rPr>
          <w:rFonts w:cs="Calibri"/>
          <w:sz w:val="22"/>
          <w:szCs w:val="22"/>
        </w:rPr>
        <w:t>Own currency (</w:t>
      </w:r>
      <w:r w:rsidR="00270846" w:rsidRPr="00304DC8">
        <w:rPr>
          <w:rFonts w:cs="Calibri"/>
          <w:sz w:val="22"/>
          <w:szCs w:val="22"/>
        </w:rPr>
        <w:t xml:space="preserve">with the exception of </w:t>
      </w:r>
      <w:r w:rsidRPr="00304DC8">
        <w:rPr>
          <w:rFonts w:cs="Calibri"/>
          <w:sz w:val="22"/>
          <w:szCs w:val="22"/>
        </w:rPr>
        <w:t xml:space="preserve">Finland </w:t>
      </w:r>
      <w:r w:rsidR="00270846" w:rsidRPr="00304DC8">
        <w:rPr>
          <w:rFonts w:cs="Calibri"/>
          <w:sz w:val="22"/>
          <w:szCs w:val="22"/>
        </w:rPr>
        <w:t xml:space="preserve">which </w:t>
      </w:r>
      <w:r w:rsidRPr="00304DC8">
        <w:rPr>
          <w:rFonts w:cs="Calibri"/>
          <w:sz w:val="22"/>
          <w:szCs w:val="22"/>
        </w:rPr>
        <w:t xml:space="preserve">belongs to </w:t>
      </w:r>
      <w:r w:rsidR="00E330A9" w:rsidRPr="00304DC8">
        <w:rPr>
          <w:rFonts w:cs="Calibri"/>
          <w:sz w:val="22"/>
          <w:szCs w:val="22"/>
        </w:rPr>
        <w:t xml:space="preserve">the </w:t>
      </w:r>
      <w:r w:rsidRPr="00304DC8">
        <w:rPr>
          <w:rFonts w:cs="Calibri"/>
          <w:sz w:val="22"/>
          <w:szCs w:val="22"/>
        </w:rPr>
        <w:t xml:space="preserve">Eurozone) </w:t>
      </w:r>
    </w:p>
    <w:p w:rsidR="00F174AD" w:rsidRPr="00304DC8" w:rsidRDefault="00F174AD" w:rsidP="00F174AD">
      <w:pPr>
        <w:rPr>
          <w:rFonts w:cs="Calibri"/>
          <w:b/>
          <w:bCs/>
          <w:i/>
          <w:sz w:val="22"/>
          <w:szCs w:val="22"/>
        </w:rPr>
      </w:pPr>
    </w:p>
    <w:p w:rsidR="00F174AD" w:rsidRPr="00304DC8" w:rsidRDefault="00F174AD" w:rsidP="00F174AD">
      <w:pPr>
        <w:rPr>
          <w:rFonts w:cs="Calibri"/>
          <w:b/>
          <w:i/>
          <w:sz w:val="22"/>
          <w:szCs w:val="22"/>
        </w:rPr>
      </w:pPr>
      <w:r w:rsidRPr="00304DC8">
        <w:rPr>
          <w:rFonts w:cs="Calibri"/>
          <w:b/>
          <w:bCs/>
          <w:i/>
          <w:sz w:val="22"/>
          <w:szCs w:val="22"/>
        </w:rPr>
        <w:t xml:space="preserve">It is very important that the harmonized transparency regime also works </w:t>
      </w:r>
      <w:r w:rsidRPr="00304DC8">
        <w:rPr>
          <w:rFonts w:cs="Calibri"/>
          <w:b/>
          <w:i/>
          <w:sz w:val="22"/>
          <w:szCs w:val="22"/>
        </w:rPr>
        <w:t xml:space="preserve">for smaller (and new) non-equity markets in the EU. </w:t>
      </w:r>
    </w:p>
    <w:p w:rsidR="00270846" w:rsidRPr="00304DC8" w:rsidRDefault="00270846" w:rsidP="00F174AD">
      <w:pPr>
        <w:rPr>
          <w:sz w:val="22"/>
          <w:szCs w:val="22"/>
        </w:rPr>
      </w:pPr>
    </w:p>
    <w:p w:rsidR="00F174AD" w:rsidRPr="00304DC8" w:rsidRDefault="00F174AD" w:rsidP="00F174AD">
      <w:pPr>
        <w:rPr>
          <w:sz w:val="22"/>
          <w:szCs w:val="22"/>
        </w:rPr>
      </w:pPr>
      <w:r w:rsidRPr="00304DC8">
        <w:rPr>
          <w:sz w:val="22"/>
          <w:szCs w:val="22"/>
        </w:rPr>
        <w:t>For a large number of classes and sub-classes of derivatives covered by the Addendum Consu</w:t>
      </w:r>
      <w:r w:rsidRPr="00304DC8">
        <w:rPr>
          <w:sz w:val="22"/>
          <w:szCs w:val="22"/>
        </w:rPr>
        <w:t>l</w:t>
      </w:r>
      <w:r w:rsidRPr="00304DC8">
        <w:rPr>
          <w:sz w:val="22"/>
          <w:szCs w:val="22"/>
        </w:rPr>
        <w:t xml:space="preserve">tation Paper, ESMA’s approach implies that instruments with a very low trading activity will be classified as liquid. In the opinion of NSA, this is not acceptable. Our </w:t>
      </w:r>
      <w:r w:rsidRPr="00304DC8">
        <w:rPr>
          <w:rFonts w:cstheme="minorHAnsi"/>
          <w:sz w:val="22"/>
          <w:szCs w:val="22"/>
        </w:rPr>
        <w:t xml:space="preserve">main concern is that these (in fact) illiquid products, when classified as having a liquid market, will become subject to more stringent transparency </w:t>
      </w:r>
      <w:r w:rsidR="00270846" w:rsidRPr="00304DC8">
        <w:rPr>
          <w:rFonts w:cstheme="minorHAnsi"/>
          <w:sz w:val="22"/>
          <w:szCs w:val="22"/>
        </w:rPr>
        <w:t xml:space="preserve">rules </w:t>
      </w:r>
      <w:r w:rsidRPr="00304DC8">
        <w:rPr>
          <w:rFonts w:cstheme="minorHAnsi"/>
          <w:sz w:val="22"/>
          <w:szCs w:val="22"/>
        </w:rPr>
        <w:t xml:space="preserve">and SI obligations under </w:t>
      </w:r>
      <w:proofErr w:type="spellStart"/>
      <w:r w:rsidRPr="00304DC8">
        <w:rPr>
          <w:rFonts w:cstheme="minorHAnsi"/>
          <w:sz w:val="22"/>
          <w:szCs w:val="22"/>
        </w:rPr>
        <w:t>MiFIR</w:t>
      </w:r>
      <w:proofErr w:type="spellEnd"/>
      <w:r w:rsidRPr="00304DC8">
        <w:rPr>
          <w:rFonts w:cstheme="minorHAnsi"/>
          <w:sz w:val="22"/>
          <w:szCs w:val="22"/>
        </w:rPr>
        <w:t>.</w:t>
      </w:r>
      <w:r w:rsidR="003E77E7" w:rsidRPr="00304DC8">
        <w:rPr>
          <w:rFonts w:cstheme="minorHAnsi"/>
          <w:sz w:val="22"/>
          <w:szCs w:val="22"/>
        </w:rPr>
        <w:t xml:space="preserve"> </w:t>
      </w:r>
      <w:r w:rsidR="00270846" w:rsidRPr="00304DC8">
        <w:rPr>
          <w:rFonts w:cstheme="minorHAnsi"/>
          <w:sz w:val="22"/>
          <w:szCs w:val="22"/>
        </w:rPr>
        <w:t>The</w:t>
      </w:r>
      <w:r w:rsidR="007C73F0" w:rsidRPr="00304DC8">
        <w:rPr>
          <w:rFonts w:cstheme="minorHAnsi"/>
          <w:sz w:val="22"/>
          <w:szCs w:val="22"/>
        </w:rPr>
        <w:t>se</w:t>
      </w:r>
      <w:r w:rsidR="00C0501E" w:rsidRPr="00304DC8">
        <w:rPr>
          <w:rFonts w:cstheme="minorHAnsi"/>
          <w:sz w:val="22"/>
          <w:szCs w:val="22"/>
        </w:rPr>
        <w:t xml:space="preserve"> </w:t>
      </w:r>
      <w:r w:rsidRPr="00304DC8">
        <w:rPr>
          <w:rFonts w:cstheme="minorHAnsi"/>
          <w:sz w:val="22"/>
          <w:szCs w:val="22"/>
        </w:rPr>
        <w:t xml:space="preserve">regulatory requirements will increase the risks of market makers/SIs which will then become less willing to provide prices to the markets. This will in turn </w:t>
      </w:r>
      <w:r w:rsidRPr="00304DC8">
        <w:rPr>
          <w:sz w:val="22"/>
          <w:szCs w:val="22"/>
        </w:rPr>
        <w:t xml:space="preserve">lead to a decrease in the offering of these already rarely traded contracts and to an increase in transaction costs. </w:t>
      </w:r>
      <w:r w:rsidR="00D55C89" w:rsidRPr="00304DC8">
        <w:rPr>
          <w:sz w:val="22"/>
          <w:szCs w:val="22"/>
        </w:rPr>
        <w:t>In t</w:t>
      </w:r>
      <w:r w:rsidR="00270846" w:rsidRPr="00304DC8">
        <w:rPr>
          <w:sz w:val="22"/>
          <w:szCs w:val="22"/>
        </w:rPr>
        <w:t>he opinion of the NSA, ESMA should</w:t>
      </w:r>
      <w:r w:rsidR="00D55C89" w:rsidRPr="00304DC8">
        <w:rPr>
          <w:sz w:val="22"/>
          <w:szCs w:val="22"/>
        </w:rPr>
        <w:t xml:space="preserve"> ther</w:t>
      </w:r>
      <w:r w:rsidR="00D55C89" w:rsidRPr="00304DC8">
        <w:rPr>
          <w:sz w:val="22"/>
          <w:szCs w:val="22"/>
        </w:rPr>
        <w:t>e</w:t>
      </w:r>
      <w:r w:rsidR="00D55C89" w:rsidRPr="00304DC8">
        <w:rPr>
          <w:sz w:val="22"/>
          <w:szCs w:val="22"/>
        </w:rPr>
        <w:t xml:space="preserve">fore revise the criteria used for </w:t>
      </w:r>
      <w:r w:rsidR="007C73F0" w:rsidRPr="00304DC8">
        <w:rPr>
          <w:sz w:val="22"/>
          <w:szCs w:val="22"/>
        </w:rPr>
        <w:t xml:space="preserve">the </w:t>
      </w:r>
      <w:r w:rsidR="00D55C89" w:rsidRPr="00304DC8">
        <w:rPr>
          <w:sz w:val="22"/>
          <w:szCs w:val="22"/>
        </w:rPr>
        <w:t xml:space="preserve">liquidity assessment in order to better capture truly liquid instruments. </w:t>
      </w:r>
      <w:r w:rsidR="002826D2" w:rsidRPr="00304DC8">
        <w:rPr>
          <w:sz w:val="22"/>
          <w:szCs w:val="22"/>
        </w:rPr>
        <w:t>However, this measure alone will not be sufficient in order to avoid unintended negative consequences for the market</w:t>
      </w:r>
      <w:r w:rsidR="008508DB" w:rsidRPr="00304DC8">
        <w:rPr>
          <w:sz w:val="22"/>
          <w:szCs w:val="22"/>
        </w:rPr>
        <w:t>s</w:t>
      </w:r>
      <w:r w:rsidR="002826D2" w:rsidRPr="00304DC8">
        <w:rPr>
          <w:sz w:val="22"/>
          <w:szCs w:val="22"/>
        </w:rPr>
        <w:t>. In addition, ESMA must reconsider its proposals for</w:t>
      </w:r>
      <w:r w:rsidR="003E77E7" w:rsidRPr="00304DC8">
        <w:rPr>
          <w:sz w:val="22"/>
          <w:szCs w:val="22"/>
        </w:rPr>
        <w:t xml:space="preserve"> </w:t>
      </w:r>
      <w:r w:rsidR="002826D2" w:rsidRPr="00304DC8">
        <w:rPr>
          <w:sz w:val="22"/>
          <w:szCs w:val="22"/>
        </w:rPr>
        <w:t>L</w:t>
      </w:r>
      <w:r w:rsidR="003F1B6F" w:rsidRPr="00304DC8">
        <w:rPr>
          <w:sz w:val="22"/>
          <w:szCs w:val="22"/>
        </w:rPr>
        <w:t xml:space="preserve">arge </w:t>
      </w:r>
      <w:proofErr w:type="gramStart"/>
      <w:r w:rsidR="002826D2" w:rsidRPr="00304DC8">
        <w:rPr>
          <w:sz w:val="22"/>
          <w:szCs w:val="22"/>
        </w:rPr>
        <w:t>I</w:t>
      </w:r>
      <w:r w:rsidR="003F1B6F" w:rsidRPr="00304DC8">
        <w:rPr>
          <w:sz w:val="22"/>
          <w:szCs w:val="22"/>
        </w:rPr>
        <w:t>n</w:t>
      </w:r>
      <w:proofErr w:type="gramEnd"/>
      <w:r w:rsidR="003F1B6F" w:rsidRPr="00304DC8">
        <w:rPr>
          <w:sz w:val="22"/>
          <w:szCs w:val="22"/>
        </w:rPr>
        <w:t xml:space="preserve"> </w:t>
      </w:r>
      <w:r w:rsidR="002826D2" w:rsidRPr="00304DC8">
        <w:rPr>
          <w:sz w:val="22"/>
          <w:szCs w:val="22"/>
        </w:rPr>
        <w:t>S</w:t>
      </w:r>
      <w:r w:rsidR="003F1B6F" w:rsidRPr="00304DC8">
        <w:rPr>
          <w:sz w:val="22"/>
          <w:szCs w:val="22"/>
        </w:rPr>
        <w:t>cale (LIS)</w:t>
      </w:r>
      <w:r w:rsidR="002826D2" w:rsidRPr="00304DC8">
        <w:rPr>
          <w:sz w:val="22"/>
          <w:szCs w:val="22"/>
        </w:rPr>
        <w:t xml:space="preserve"> and S</w:t>
      </w:r>
      <w:r w:rsidR="003F1B6F" w:rsidRPr="00304DC8">
        <w:rPr>
          <w:sz w:val="22"/>
          <w:szCs w:val="22"/>
        </w:rPr>
        <w:t xml:space="preserve">ize </w:t>
      </w:r>
      <w:r w:rsidR="002826D2" w:rsidRPr="00304DC8">
        <w:rPr>
          <w:sz w:val="22"/>
          <w:szCs w:val="22"/>
        </w:rPr>
        <w:t>S</w:t>
      </w:r>
      <w:r w:rsidR="003F1B6F" w:rsidRPr="00304DC8">
        <w:rPr>
          <w:sz w:val="22"/>
          <w:szCs w:val="22"/>
        </w:rPr>
        <w:t xml:space="preserve">pecific </w:t>
      </w:r>
      <w:r w:rsidR="002826D2" w:rsidRPr="00304DC8">
        <w:rPr>
          <w:sz w:val="22"/>
          <w:szCs w:val="22"/>
        </w:rPr>
        <w:t>T</w:t>
      </w:r>
      <w:r w:rsidR="003F1B6F" w:rsidRPr="00304DC8">
        <w:rPr>
          <w:sz w:val="22"/>
          <w:szCs w:val="22"/>
        </w:rPr>
        <w:t xml:space="preserve">o the </w:t>
      </w:r>
      <w:r w:rsidR="002826D2" w:rsidRPr="00304DC8">
        <w:rPr>
          <w:sz w:val="22"/>
          <w:szCs w:val="22"/>
        </w:rPr>
        <w:t>I</w:t>
      </w:r>
      <w:r w:rsidR="003F1B6F" w:rsidRPr="00304DC8">
        <w:rPr>
          <w:sz w:val="22"/>
          <w:szCs w:val="22"/>
        </w:rPr>
        <w:t>nstrument (SSTI)</w:t>
      </w:r>
      <w:r w:rsidR="002826D2" w:rsidRPr="00304DC8">
        <w:rPr>
          <w:sz w:val="22"/>
          <w:szCs w:val="22"/>
        </w:rPr>
        <w:t xml:space="preserve"> thresholds</w:t>
      </w:r>
      <w:r w:rsidR="000629DB" w:rsidRPr="00304DC8">
        <w:rPr>
          <w:sz w:val="22"/>
          <w:szCs w:val="22"/>
        </w:rPr>
        <w:t xml:space="preserve">. </w:t>
      </w:r>
      <w:r w:rsidR="002826D2" w:rsidRPr="00304DC8">
        <w:rPr>
          <w:sz w:val="22"/>
          <w:szCs w:val="22"/>
        </w:rPr>
        <w:t xml:space="preserve"> </w:t>
      </w:r>
      <w:r w:rsidR="001032F6" w:rsidRPr="00304DC8">
        <w:rPr>
          <w:sz w:val="22"/>
          <w:szCs w:val="22"/>
        </w:rPr>
        <w:t xml:space="preserve"> </w:t>
      </w:r>
    </w:p>
    <w:p w:rsidR="002826D2" w:rsidRPr="00304DC8" w:rsidRDefault="002826D2" w:rsidP="00F174AD">
      <w:pPr>
        <w:rPr>
          <w:sz w:val="22"/>
          <w:szCs w:val="22"/>
        </w:rPr>
      </w:pPr>
    </w:p>
    <w:p w:rsidR="002826D2" w:rsidRPr="00304DC8" w:rsidRDefault="008C642C" w:rsidP="002826D2">
      <w:pPr>
        <w:rPr>
          <w:sz w:val="22"/>
          <w:szCs w:val="22"/>
        </w:rPr>
      </w:pPr>
      <w:r w:rsidRPr="00304DC8">
        <w:rPr>
          <w:sz w:val="22"/>
          <w:szCs w:val="22"/>
        </w:rPr>
        <w:t>T</w:t>
      </w:r>
      <w:r w:rsidR="002826D2" w:rsidRPr="00304DC8">
        <w:rPr>
          <w:sz w:val="22"/>
          <w:szCs w:val="22"/>
        </w:rPr>
        <w:t xml:space="preserve">he NSA is very concerned with the proposed SSTI level (50% of LIS) which we consider to be far too </w:t>
      </w:r>
      <w:r w:rsidR="00363CE2">
        <w:rPr>
          <w:sz w:val="22"/>
          <w:szCs w:val="22"/>
        </w:rPr>
        <w:t>high. These high SSTI thresholds</w:t>
      </w:r>
      <w:r w:rsidR="002826D2" w:rsidRPr="00304DC8">
        <w:rPr>
          <w:sz w:val="22"/>
          <w:szCs w:val="22"/>
        </w:rPr>
        <w:t xml:space="preserve"> </w:t>
      </w:r>
      <w:r w:rsidRPr="00304DC8">
        <w:rPr>
          <w:sz w:val="22"/>
          <w:szCs w:val="22"/>
        </w:rPr>
        <w:t xml:space="preserve">will </w:t>
      </w:r>
      <w:r w:rsidR="002826D2" w:rsidRPr="00304DC8">
        <w:rPr>
          <w:sz w:val="22"/>
          <w:szCs w:val="22"/>
        </w:rPr>
        <w:t>increas</w:t>
      </w:r>
      <w:r w:rsidRPr="00304DC8">
        <w:rPr>
          <w:sz w:val="22"/>
          <w:szCs w:val="22"/>
        </w:rPr>
        <w:t>e</w:t>
      </w:r>
      <w:r w:rsidR="002826D2" w:rsidRPr="00304DC8">
        <w:rPr>
          <w:sz w:val="22"/>
          <w:szCs w:val="22"/>
        </w:rPr>
        <w:t xml:space="preserve"> the risks of SIs which will have a negative effect on their ability to provide </w:t>
      </w:r>
      <w:r w:rsidR="00C0501E" w:rsidRPr="00304DC8">
        <w:rPr>
          <w:sz w:val="22"/>
          <w:szCs w:val="22"/>
        </w:rPr>
        <w:t>liquidity to non-equity markets</w:t>
      </w:r>
      <w:r w:rsidR="002826D2" w:rsidRPr="00304DC8">
        <w:rPr>
          <w:sz w:val="22"/>
          <w:szCs w:val="22"/>
        </w:rPr>
        <w:t xml:space="preserve">. </w:t>
      </w:r>
      <w:r w:rsidR="000629DB" w:rsidRPr="00304DC8">
        <w:rPr>
          <w:sz w:val="22"/>
          <w:szCs w:val="22"/>
        </w:rPr>
        <w:t xml:space="preserve">This is in particular the case considering the </w:t>
      </w:r>
      <w:r w:rsidR="008508DB" w:rsidRPr="00304DC8">
        <w:rPr>
          <w:sz w:val="22"/>
          <w:szCs w:val="22"/>
        </w:rPr>
        <w:t xml:space="preserve">high number of </w:t>
      </w:r>
      <w:r w:rsidRPr="00304DC8">
        <w:rPr>
          <w:sz w:val="22"/>
          <w:szCs w:val="22"/>
        </w:rPr>
        <w:t>“</w:t>
      </w:r>
      <w:r w:rsidR="000629DB" w:rsidRPr="00304DC8">
        <w:rPr>
          <w:sz w:val="22"/>
          <w:szCs w:val="22"/>
        </w:rPr>
        <w:t xml:space="preserve">false </w:t>
      </w:r>
      <w:r w:rsidR="00F95877">
        <w:rPr>
          <w:sz w:val="22"/>
          <w:szCs w:val="22"/>
        </w:rPr>
        <w:t>positives</w:t>
      </w:r>
      <w:r w:rsidRPr="00304DC8">
        <w:rPr>
          <w:sz w:val="22"/>
          <w:szCs w:val="22"/>
        </w:rPr>
        <w:t>”</w:t>
      </w:r>
      <w:r w:rsidR="000629DB" w:rsidRPr="00304DC8">
        <w:rPr>
          <w:sz w:val="22"/>
          <w:szCs w:val="22"/>
        </w:rPr>
        <w:t xml:space="preserve"> </w:t>
      </w:r>
      <w:r w:rsidRPr="00304DC8">
        <w:rPr>
          <w:sz w:val="22"/>
          <w:szCs w:val="22"/>
        </w:rPr>
        <w:t xml:space="preserve">(i.e. instruments classified as liquid which are really not) </w:t>
      </w:r>
      <w:r w:rsidR="000629DB" w:rsidRPr="00304DC8">
        <w:rPr>
          <w:sz w:val="22"/>
          <w:szCs w:val="22"/>
        </w:rPr>
        <w:t xml:space="preserve">that will be the result of ESMA’s </w:t>
      </w:r>
      <w:r w:rsidR="009F7695">
        <w:rPr>
          <w:sz w:val="22"/>
          <w:szCs w:val="22"/>
        </w:rPr>
        <w:t xml:space="preserve">choice of model for </w:t>
      </w:r>
      <w:r w:rsidR="000629DB" w:rsidRPr="00304DC8">
        <w:rPr>
          <w:sz w:val="22"/>
          <w:szCs w:val="22"/>
        </w:rPr>
        <w:t xml:space="preserve">liquidity assessment. </w:t>
      </w:r>
      <w:r w:rsidR="002826D2" w:rsidRPr="00304DC8">
        <w:rPr>
          <w:sz w:val="22"/>
          <w:szCs w:val="22"/>
        </w:rPr>
        <w:t xml:space="preserve">As a result, the costs will increase, many </w:t>
      </w:r>
      <w:proofErr w:type="gramStart"/>
      <w:r w:rsidR="002826D2" w:rsidRPr="00304DC8">
        <w:rPr>
          <w:sz w:val="22"/>
          <w:szCs w:val="22"/>
        </w:rPr>
        <w:t>SIs</w:t>
      </w:r>
      <w:proofErr w:type="gramEnd"/>
      <w:r w:rsidR="002826D2" w:rsidRPr="00304DC8">
        <w:rPr>
          <w:sz w:val="22"/>
          <w:szCs w:val="22"/>
        </w:rPr>
        <w:t xml:space="preserve"> will step </w:t>
      </w:r>
      <w:r w:rsidR="002B198D" w:rsidRPr="00304DC8">
        <w:rPr>
          <w:sz w:val="22"/>
          <w:szCs w:val="22"/>
        </w:rPr>
        <w:t xml:space="preserve">out </w:t>
      </w:r>
      <w:r w:rsidR="002826D2" w:rsidRPr="00304DC8">
        <w:rPr>
          <w:sz w:val="22"/>
          <w:szCs w:val="22"/>
        </w:rPr>
        <w:t>o</w:t>
      </w:r>
      <w:r w:rsidR="00C0501E" w:rsidRPr="00304DC8">
        <w:rPr>
          <w:sz w:val="22"/>
          <w:szCs w:val="22"/>
        </w:rPr>
        <w:t>f</w:t>
      </w:r>
      <w:r w:rsidR="002826D2" w:rsidRPr="00304DC8">
        <w:rPr>
          <w:sz w:val="22"/>
          <w:szCs w:val="22"/>
        </w:rPr>
        <w:t xml:space="preserve"> the market and competition will be negatively a</w:t>
      </w:r>
      <w:r w:rsidR="002826D2" w:rsidRPr="00304DC8">
        <w:rPr>
          <w:sz w:val="22"/>
          <w:szCs w:val="22"/>
        </w:rPr>
        <w:t>f</w:t>
      </w:r>
      <w:r w:rsidR="002826D2" w:rsidRPr="00304DC8">
        <w:rPr>
          <w:sz w:val="22"/>
          <w:szCs w:val="22"/>
        </w:rPr>
        <w:t xml:space="preserve">fected. </w:t>
      </w:r>
    </w:p>
    <w:p w:rsidR="002826D2" w:rsidRPr="00304DC8" w:rsidRDefault="002826D2" w:rsidP="002826D2">
      <w:pPr>
        <w:rPr>
          <w:sz w:val="22"/>
          <w:szCs w:val="22"/>
        </w:rPr>
      </w:pPr>
    </w:p>
    <w:p w:rsidR="002826D2" w:rsidRPr="00304DC8" w:rsidRDefault="000629DB" w:rsidP="002826D2">
      <w:pPr>
        <w:rPr>
          <w:sz w:val="22"/>
          <w:szCs w:val="22"/>
        </w:rPr>
      </w:pPr>
      <w:r w:rsidRPr="00304DC8">
        <w:rPr>
          <w:sz w:val="22"/>
          <w:szCs w:val="22"/>
        </w:rPr>
        <w:t>The NSA would like to stress that t</w:t>
      </w:r>
      <w:r w:rsidR="00363CE2">
        <w:rPr>
          <w:sz w:val="22"/>
          <w:szCs w:val="22"/>
        </w:rPr>
        <w:t>he SSTI</w:t>
      </w:r>
      <w:r w:rsidR="002826D2" w:rsidRPr="00304DC8">
        <w:rPr>
          <w:sz w:val="22"/>
          <w:szCs w:val="22"/>
        </w:rPr>
        <w:t>, according to the political agreement on Level I, intends to protect liquidity providers and SIs from “undue risk”. In order</w:t>
      </w:r>
      <w:r w:rsidR="00363CE2">
        <w:rPr>
          <w:sz w:val="22"/>
          <w:szCs w:val="22"/>
        </w:rPr>
        <w:t xml:space="preserve"> to achieve this goal, the SSTI </w:t>
      </w:r>
      <w:r w:rsidR="002826D2" w:rsidRPr="00304DC8">
        <w:rPr>
          <w:sz w:val="22"/>
          <w:szCs w:val="22"/>
        </w:rPr>
        <w:t>threshold</w:t>
      </w:r>
      <w:r w:rsidR="007C73F0" w:rsidRPr="00304DC8">
        <w:rPr>
          <w:sz w:val="22"/>
          <w:szCs w:val="22"/>
        </w:rPr>
        <w:t>s</w:t>
      </w:r>
      <w:r w:rsidR="002826D2" w:rsidRPr="00304DC8">
        <w:rPr>
          <w:sz w:val="22"/>
          <w:szCs w:val="22"/>
        </w:rPr>
        <w:t xml:space="preserve"> should be able to be adjusted for local market needs and not be set as one fixed threshold for the EU as a whole. However, If ESMA persists in having one S</w:t>
      </w:r>
      <w:r w:rsidR="00C0501E" w:rsidRPr="00304DC8">
        <w:rPr>
          <w:sz w:val="22"/>
          <w:szCs w:val="22"/>
        </w:rPr>
        <w:t xml:space="preserve">STI threshold </w:t>
      </w:r>
      <w:r w:rsidR="007C73F0" w:rsidRPr="00304DC8">
        <w:rPr>
          <w:sz w:val="22"/>
          <w:szCs w:val="22"/>
        </w:rPr>
        <w:t xml:space="preserve">for the whole of </w:t>
      </w:r>
      <w:proofErr w:type="gramStart"/>
      <w:r w:rsidR="007C73F0" w:rsidRPr="00304DC8">
        <w:rPr>
          <w:sz w:val="22"/>
          <w:szCs w:val="22"/>
        </w:rPr>
        <w:t>EU</w:t>
      </w:r>
      <w:r w:rsidR="002826D2" w:rsidRPr="00304DC8">
        <w:rPr>
          <w:sz w:val="22"/>
          <w:szCs w:val="22"/>
        </w:rPr>
        <w:t>,</w:t>
      </w:r>
      <w:proofErr w:type="gramEnd"/>
      <w:r w:rsidR="002826D2" w:rsidRPr="00304DC8">
        <w:rPr>
          <w:sz w:val="22"/>
          <w:szCs w:val="22"/>
        </w:rPr>
        <w:t xml:space="preserve"> it needs to be signif</w:t>
      </w:r>
      <w:r w:rsidR="00C0501E" w:rsidRPr="00304DC8">
        <w:rPr>
          <w:sz w:val="22"/>
          <w:szCs w:val="22"/>
        </w:rPr>
        <w:t xml:space="preserve">icantly lower than 50% of LIS. </w:t>
      </w:r>
      <w:proofErr w:type="gramStart"/>
      <w:r w:rsidR="002826D2" w:rsidRPr="00304DC8">
        <w:rPr>
          <w:sz w:val="22"/>
          <w:szCs w:val="22"/>
        </w:rPr>
        <w:t>A maximum SSTI thres</w:t>
      </w:r>
      <w:r w:rsidR="002826D2" w:rsidRPr="00304DC8">
        <w:rPr>
          <w:sz w:val="22"/>
          <w:szCs w:val="22"/>
        </w:rPr>
        <w:t>h</w:t>
      </w:r>
      <w:r w:rsidR="002826D2" w:rsidRPr="00304DC8">
        <w:rPr>
          <w:sz w:val="22"/>
          <w:szCs w:val="22"/>
        </w:rPr>
        <w:t>old that is 5-10% of LIS or retail market size more in line with Level I.</w:t>
      </w:r>
      <w:proofErr w:type="gramEnd"/>
      <w:r w:rsidR="002826D2" w:rsidRPr="00304DC8">
        <w:rPr>
          <w:sz w:val="22"/>
          <w:szCs w:val="22"/>
        </w:rPr>
        <w:t xml:space="preserve"> </w:t>
      </w:r>
    </w:p>
    <w:p w:rsidR="002826D2" w:rsidRPr="00304DC8" w:rsidRDefault="002826D2" w:rsidP="00F174AD">
      <w:pPr>
        <w:rPr>
          <w:sz w:val="22"/>
          <w:szCs w:val="22"/>
        </w:rPr>
      </w:pPr>
    </w:p>
    <w:p w:rsidR="00D55C89" w:rsidRPr="00304DC8" w:rsidRDefault="00D55C89" w:rsidP="00D55C89">
      <w:pPr>
        <w:rPr>
          <w:sz w:val="22"/>
          <w:szCs w:val="22"/>
        </w:rPr>
      </w:pPr>
      <w:r w:rsidRPr="00304DC8">
        <w:rPr>
          <w:sz w:val="22"/>
          <w:szCs w:val="22"/>
        </w:rPr>
        <w:t xml:space="preserve">The NSA agrees with ESMA that there are major quality issues related to the data </w:t>
      </w:r>
      <w:r w:rsidR="009F7695">
        <w:rPr>
          <w:sz w:val="22"/>
          <w:szCs w:val="22"/>
        </w:rPr>
        <w:t xml:space="preserve">acquired </w:t>
      </w:r>
      <w:r w:rsidRPr="00304DC8">
        <w:rPr>
          <w:sz w:val="22"/>
          <w:szCs w:val="22"/>
        </w:rPr>
        <w:t xml:space="preserve">from </w:t>
      </w:r>
      <w:r w:rsidR="00304DC8" w:rsidRPr="00304DC8">
        <w:rPr>
          <w:sz w:val="22"/>
          <w:szCs w:val="22"/>
        </w:rPr>
        <w:t>t</w:t>
      </w:r>
      <w:r w:rsidR="008508DB" w:rsidRPr="00304DC8">
        <w:rPr>
          <w:sz w:val="22"/>
          <w:szCs w:val="22"/>
        </w:rPr>
        <w:t xml:space="preserve">rade </w:t>
      </w:r>
      <w:r w:rsidR="00304DC8" w:rsidRPr="00304DC8">
        <w:rPr>
          <w:sz w:val="22"/>
          <w:szCs w:val="22"/>
        </w:rPr>
        <w:t>r</w:t>
      </w:r>
      <w:r w:rsidR="008508DB" w:rsidRPr="00304DC8">
        <w:rPr>
          <w:sz w:val="22"/>
          <w:szCs w:val="22"/>
        </w:rPr>
        <w:t>epositories</w:t>
      </w:r>
      <w:r w:rsidR="00F95877">
        <w:rPr>
          <w:sz w:val="22"/>
          <w:szCs w:val="22"/>
        </w:rPr>
        <w:t xml:space="preserve"> (TR)</w:t>
      </w:r>
      <w:r w:rsidR="00304DC8" w:rsidRPr="00304DC8">
        <w:rPr>
          <w:sz w:val="22"/>
          <w:szCs w:val="22"/>
        </w:rPr>
        <w:t>.</w:t>
      </w:r>
      <w:r w:rsidRPr="00304DC8">
        <w:rPr>
          <w:sz w:val="22"/>
          <w:szCs w:val="22"/>
        </w:rPr>
        <w:t xml:space="preserve"> Especially the fact that there is incorrect or inco</w:t>
      </w:r>
      <w:r w:rsidRPr="00304DC8">
        <w:rPr>
          <w:sz w:val="22"/>
          <w:szCs w:val="22"/>
        </w:rPr>
        <w:t>n</w:t>
      </w:r>
      <w:r w:rsidRPr="00304DC8">
        <w:rPr>
          <w:sz w:val="22"/>
          <w:szCs w:val="22"/>
        </w:rPr>
        <w:t>sistent reporting of some of the data fields is very concerning as this data forms the building blocks for defi</w:t>
      </w:r>
      <w:r w:rsidRPr="00304DC8">
        <w:rPr>
          <w:sz w:val="22"/>
          <w:szCs w:val="22"/>
        </w:rPr>
        <w:t>n</w:t>
      </w:r>
      <w:r w:rsidRPr="00304DC8">
        <w:rPr>
          <w:sz w:val="22"/>
          <w:szCs w:val="22"/>
        </w:rPr>
        <w:t>ing liquidity and calculating LIS and SSTI. I</w:t>
      </w:r>
      <w:r w:rsidR="000629DB" w:rsidRPr="00304DC8">
        <w:rPr>
          <w:sz w:val="22"/>
          <w:szCs w:val="22"/>
        </w:rPr>
        <w:t>n our</w:t>
      </w:r>
      <w:r w:rsidR="00C0501E" w:rsidRPr="00304DC8">
        <w:rPr>
          <w:sz w:val="22"/>
          <w:szCs w:val="22"/>
        </w:rPr>
        <w:t xml:space="preserve"> reply, we give</w:t>
      </w:r>
      <w:r w:rsidRPr="00304DC8">
        <w:rPr>
          <w:sz w:val="22"/>
          <w:szCs w:val="22"/>
        </w:rPr>
        <w:t xml:space="preserve"> several examples which show that the data </w:t>
      </w:r>
      <w:r w:rsidR="00842ADE" w:rsidRPr="00304DC8">
        <w:rPr>
          <w:sz w:val="22"/>
          <w:szCs w:val="22"/>
        </w:rPr>
        <w:t xml:space="preserve">used </w:t>
      </w:r>
      <w:r w:rsidRPr="00304DC8">
        <w:rPr>
          <w:sz w:val="22"/>
          <w:szCs w:val="22"/>
        </w:rPr>
        <w:t>is not acceptable as the sole basis for EU regulation in this area. The analysis must be and should be supplemented with views from experts that are capable to assess whether the defin</w:t>
      </w:r>
      <w:r w:rsidRPr="00304DC8">
        <w:rPr>
          <w:sz w:val="22"/>
          <w:szCs w:val="22"/>
        </w:rPr>
        <w:t>i</w:t>
      </w:r>
      <w:r w:rsidRPr="00304DC8">
        <w:rPr>
          <w:sz w:val="22"/>
          <w:szCs w:val="22"/>
        </w:rPr>
        <w:t>tion of liquidity and the calculations of LIS and SSTI are correct when looking at the market for the different asset- and sub</w:t>
      </w:r>
      <w:r w:rsidR="000629DB" w:rsidRPr="00304DC8">
        <w:rPr>
          <w:sz w:val="22"/>
          <w:szCs w:val="22"/>
        </w:rPr>
        <w:t>classes.</w:t>
      </w:r>
    </w:p>
    <w:p w:rsidR="00D55C89" w:rsidRPr="00304DC8" w:rsidRDefault="00D55C89" w:rsidP="00D55C89">
      <w:pPr>
        <w:rPr>
          <w:sz w:val="22"/>
          <w:szCs w:val="22"/>
        </w:rPr>
      </w:pPr>
    </w:p>
    <w:p w:rsidR="003E6AB5" w:rsidRPr="00304DC8" w:rsidRDefault="00842ADE" w:rsidP="007B43E6">
      <w:pPr>
        <w:rPr>
          <w:sz w:val="22"/>
          <w:szCs w:val="22"/>
        </w:rPr>
      </w:pPr>
      <w:r w:rsidRPr="00304DC8">
        <w:rPr>
          <w:sz w:val="22"/>
          <w:szCs w:val="22"/>
        </w:rPr>
        <w:t>T</w:t>
      </w:r>
      <w:r w:rsidR="00D55C89" w:rsidRPr="00304DC8">
        <w:rPr>
          <w:sz w:val="22"/>
          <w:szCs w:val="22"/>
        </w:rPr>
        <w:t>he NSA takes the view that ESMA’</w:t>
      </w:r>
      <w:r w:rsidR="008508DB" w:rsidRPr="00304DC8">
        <w:rPr>
          <w:sz w:val="22"/>
          <w:szCs w:val="22"/>
        </w:rPr>
        <w:t xml:space="preserve">s model for assessing liquidity </w:t>
      </w:r>
      <w:r w:rsidR="00D55C89" w:rsidRPr="00304DC8">
        <w:rPr>
          <w:sz w:val="22"/>
          <w:szCs w:val="22"/>
        </w:rPr>
        <w:t>is too static. The proposal by NSA is to recalibrate within 6 months and thereafter on a yearly basis. I</w:t>
      </w:r>
      <w:r w:rsidR="000629DB" w:rsidRPr="00304DC8">
        <w:rPr>
          <w:sz w:val="22"/>
          <w:szCs w:val="22"/>
        </w:rPr>
        <w:t>n our opinion, i</w:t>
      </w:r>
      <w:r w:rsidR="00D55C89" w:rsidRPr="00304DC8">
        <w:rPr>
          <w:sz w:val="22"/>
          <w:szCs w:val="22"/>
        </w:rPr>
        <w:t>t is abs</w:t>
      </w:r>
      <w:r w:rsidR="00D55C89" w:rsidRPr="00304DC8">
        <w:rPr>
          <w:sz w:val="22"/>
          <w:szCs w:val="22"/>
        </w:rPr>
        <w:t>o</w:t>
      </w:r>
      <w:r w:rsidR="00D55C89" w:rsidRPr="00304DC8">
        <w:rPr>
          <w:sz w:val="22"/>
          <w:szCs w:val="22"/>
        </w:rPr>
        <w:t>lutely crucial that any re-assessment/re-calculation take</w:t>
      </w:r>
      <w:r w:rsidR="00363CE2">
        <w:rPr>
          <w:sz w:val="22"/>
          <w:szCs w:val="22"/>
        </w:rPr>
        <w:t>s</w:t>
      </w:r>
      <w:r w:rsidR="00D55C89" w:rsidRPr="00304DC8">
        <w:rPr>
          <w:sz w:val="22"/>
          <w:szCs w:val="22"/>
        </w:rPr>
        <w:t xml:space="preserve"> into account</w:t>
      </w:r>
      <w:r w:rsidR="007C73F0" w:rsidRPr="00304DC8">
        <w:rPr>
          <w:sz w:val="22"/>
          <w:szCs w:val="22"/>
        </w:rPr>
        <w:t xml:space="preserve"> </w:t>
      </w:r>
      <w:r w:rsidR="00D55C89" w:rsidRPr="00304DC8">
        <w:rPr>
          <w:sz w:val="22"/>
          <w:szCs w:val="22"/>
        </w:rPr>
        <w:t>the impact that the intr</w:t>
      </w:r>
      <w:r w:rsidR="00D55C89" w:rsidRPr="00304DC8">
        <w:rPr>
          <w:sz w:val="22"/>
          <w:szCs w:val="22"/>
        </w:rPr>
        <w:t>o</w:t>
      </w:r>
      <w:r w:rsidR="00D55C89" w:rsidRPr="00304DC8">
        <w:rPr>
          <w:sz w:val="22"/>
          <w:szCs w:val="22"/>
        </w:rPr>
        <w:t>duction of the new EU transparency regime will have on the liquidity of the instruments</w:t>
      </w:r>
      <w:r w:rsidR="007C73F0" w:rsidRPr="00304DC8">
        <w:rPr>
          <w:sz w:val="22"/>
          <w:szCs w:val="22"/>
        </w:rPr>
        <w:t xml:space="preserve"> (Ex-Post Effects)</w:t>
      </w:r>
      <w:r w:rsidR="00D55C89" w:rsidRPr="00304DC8">
        <w:rPr>
          <w:sz w:val="22"/>
          <w:szCs w:val="22"/>
        </w:rPr>
        <w:t xml:space="preserve">. Such Ex-Post Effects need to be based on expert </w:t>
      </w:r>
      <w:r w:rsidRPr="00304DC8">
        <w:rPr>
          <w:sz w:val="22"/>
          <w:szCs w:val="22"/>
        </w:rPr>
        <w:t>judgement. TYPE</w:t>
      </w:r>
      <w:r w:rsidR="00D34282" w:rsidRPr="00304DC8">
        <w:rPr>
          <w:sz w:val="22"/>
          <w:szCs w:val="22"/>
        </w:rPr>
        <w:t xml:space="preserve"> YOUR TEXT HERE</w:t>
      </w:r>
    </w:p>
    <w:permEnd w:id="31471395"/>
    <w:p w:rsidR="00D34282" w:rsidRPr="00C25863" w:rsidRDefault="00D34282" w:rsidP="00D34282">
      <w:r w:rsidRPr="00C25863">
        <w:t>&lt;</w:t>
      </w:r>
      <w:r w:rsidRPr="00D74C9D">
        <w:t xml:space="preserve"> </w:t>
      </w:r>
      <w:r>
        <w:t>ESMA_COMMENT</w:t>
      </w:r>
      <w:r w:rsidRPr="00C25863">
        <w:t>_</w:t>
      </w:r>
      <w:r w:rsidR="00F70207">
        <w:t>MIFID_ADD</w:t>
      </w:r>
      <w:r w:rsidRPr="00C25863">
        <w:t>_1&gt;</w:t>
      </w:r>
    </w:p>
    <w:p w:rsidR="00A8728B" w:rsidRPr="00B62727" w:rsidRDefault="00F32462" w:rsidP="00A8728B">
      <w:pPr>
        <w:pStyle w:val="CPQuestions"/>
        <w:ind w:left="714" w:hanging="357"/>
      </w:pPr>
      <w:r>
        <w:rPr>
          <w:rFonts w:cs="Arial"/>
          <w:szCs w:val="22"/>
        </w:rPr>
        <w:br w:type="page"/>
      </w:r>
      <w:r w:rsidR="00A8728B" w:rsidRPr="00C24BCA">
        <w:t>Do you agree with ESMA’s proposal for the definition of a liquid market? Please provide an answer detailed per asset class identified (deliverable forwards, non-deliverable forwards, options, swaps, spread</w:t>
      </w:r>
      <w:r w:rsidR="00A8728B">
        <w:t xml:space="preserve"> betting contracts and futures)</w:t>
      </w:r>
      <w:r w:rsidR="00A8728B" w:rsidRPr="00B62727">
        <w:t xml:space="preserve"> </w:t>
      </w:r>
      <w:r w:rsidR="00A8728B">
        <w:t>a</w:t>
      </w:r>
      <w:r w:rsidR="00A8728B" w:rsidRPr="00B62727">
        <w:t>d</w:t>
      </w:r>
      <w:r w:rsidR="00A8728B" w:rsidRPr="00B62727">
        <w:t xml:space="preserve">dressing the following points: </w:t>
      </w:r>
    </w:p>
    <w:p w:rsidR="00A8728B" w:rsidRPr="00B62727" w:rsidRDefault="00A8728B" w:rsidP="00566C6A">
      <w:pPr>
        <w:pStyle w:val="CPQuest2"/>
      </w:pPr>
      <w:r w:rsidRPr="00B62727">
        <w:t>Would you use different qualitative criteria to define the sub-classes?</w:t>
      </w:r>
      <w:r>
        <w:t xml:space="preserve"> Please also specify if you agree in </w:t>
      </w:r>
      <w:r w:rsidRPr="00313056">
        <w:t>distinguish</w:t>
      </w:r>
      <w:r>
        <w:t>ing or not distinguishing</w:t>
      </w:r>
      <w:r w:rsidRPr="00313056">
        <w:t xml:space="preserve"> between deliverable and non-deliverable contracts</w:t>
      </w:r>
      <w:r>
        <w:t>. If you would distinguish between deliverable and non-deliverable contracts for other classes besides forwards, please provide your</w:t>
      </w:r>
      <w:r w:rsidRPr="00313056">
        <w:t xml:space="preserve"> feedback </w:t>
      </w:r>
      <w:r>
        <w:t>as specific as possible with regard to the sub-classes that should be deemed liquid for deliverable contracts and those for non-deliverable contracts, pointing out the differences between the two sub-groups.</w:t>
      </w:r>
    </w:p>
    <w:p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rsidR="00A8728B" w:rsidRPr="00B62727" w:rsidRDefault="00A8728B" w:rsidP="00566C6A">
      <w:pPr>
        <w:pStyle w:val="CPQuest2"/>
      </w:pPr>
      <w:r w:rsidRPr="00B62727">
        <w:t xml:space="preserve">Would you define </w:t>
      </w:r>
      <w:r>
        <w:t xml:space="preserve">some specific </w:t>
      </w:r>
      <w:r w:rsidRPr="00B62727">
        <w:t>classes declared as liquid in ESMA’s proposal as illiquid (</w:t>
      </w:r>
      <w:r>
        <w:t>and</w:t>
      </w:r>
      <w:r w:rsidRPr="00B62727">
        <w:t xml:space="preserve"> vice versa)? Please provide reasons for your answer.</w:t>
      </w:r>
    </w:p>
    <w:p w:rsidR="00A8728B" w:rsidRDefault="00A8728B" w:rsidP="00A8728B">
      <w:r>
        <w:t>&lt;ESMA_QUESTION_MIFID_ADD_1&gt;</w:t>
      </w:r>
    </w:p>
    <w:p w:rsidR="007B43E6" w:rsidRPr="00304DC8" w:rsidRDefault="00DF5F18" w:rsidP="00A8728B">
      <w:pPr>
        <w:rPr>
          <w:sz w:val="22"/>
          <w:szCs w:val="22"/>
        </w:rPr>
      </w:pPr>
      <w:permStart w:id="1274353787" w:edGrp="everyone"/>
      <w:r w:rsidRPr="00304DC8">
        <w:rPr>
          <w:sz w:val="22"/>
          <w:szCs w:val="22"/>
        </w:rPr>
        <w:t>Please note that unless otherwise stated, NSA’s reply below is valid for all</w:t>
      </w:r>
      <w:r w:rsidR="00DE0CD6" w:rsidRPr="00304DC8">
        <w:rPr>
          <w:sz w:val="22"/>
          <w:szCs w:val="22"/>
        </w:rPr>
        <w:t xml:space="preserve"> FX-</w:t>
      </w:r>
      <w:r w:rsidRPr="00304DC8">
        <w:rPr>
          <w:sz w:val="22"/>
          <w:szCs w:val="22"/>
        </w:rPr>
        <w:t xml:space="preserve"> derivatives me</w:t>
      </w:r>
      <w:r w:rsidRPr="00304DC8">
        <w:rPr>
          <w:sz w:val="22"/>
          <w:szCs w:val="22"/>
        </w:rPr>
        <w:t>n</w:t>
      </w:r>
      <w:r w:rsidRPr="00304DC8">
        <w:rPr>
          <w:sz w:val="22"/>
          <w:szCs w:val="22"/>
        </w:rPr>
        <w:t xml:space="preserve">tioned in the question (deliverable forwards, non-deliverable forwards, </w:t>
      </w:r>
      <w:r w:rsidR="00A979AE" w:rsidRPr="00304DC8">
        <w:rPr>
          <w:sz w:val="22"/>
          <w:szCs w:val="22"/>
        </w:rPr>
        <w:t xml:space="preserve">FX </w:t>
      </w:r>
      <w:r w:rsidRPr="00304DC8">
        <w:rPr>
          <w:sz w:val="22"/>
          <w:szCs w:val="22"/>
        </w:rPr>
        <w:t xml:space="preserve">options, </w:t>
      </w:r>
      <w:r w:rsidR="00A979AE" w:rsidRPr="00304DC8">
        <w:rPr>
          <w:sz w:val="22"/>
          <w:szCs w:val="22"/>
        </w:rPr>
        <w:t xml:space="preserve">FX </w:t>
      </w:r>
      <w:r w:rsidRPr="00304DC8">
        <w:rPr>
          <w:sz w:val="22"/>
          <w:szCs w:val="22"/>
        </w:rPr>
        <w:t xml:space="preserve">swaps, spread betting contracts and </w:t>
      </w:r>
      <w:r w:rsidR="00A979AE" w:rsidRPr="00304DC8">
        <w:rPr>
          <w:sz w:val="22"/>
          <w:szCs w:val="22"/>
        </w:rPr>
        <w:t xml:space="preserve">FX </w:t>
      </w:r>
      <w:r w:rsidR="001669ED" w:rsidRPr="00304DC8">
        <w:rPr>
          <w:sz w:val="22"/>
          <w:szCs w:val="22"/>
        </w:rPr>
        <w:t>futures).</w:t>
      </w:r>
    </w:p>
    <w:p w:rsidR="00DF5F18" w:rsidRPr="00304DC8" w:rsidRDefault="00DF5F18" w:rsidP="00A8728B">
      <w:pPr>
        <w:rPr>
          <w:sz w:val="22"/>
          <w:szCs w:val="22"/>
        </w:rPr>
      </w:pPr>
    </w:p>
    <w:p w:rsidR="00224947" w:rsidRPr="00304DC8" w:rsidRDefault="00775B9C" w:rsidP="00224947">
      <w:pPr>
        <w:rPr>
          <w:sz w:val="22"/>
          <w:szCs w:val="22"/>
          <w:u w:val="single"/>
        </w:rPr>
      </w:pPr>
      <w:r w:rsidRPr="00304DC8">
        <w:rPr>
          <w:sz w:val="22"/>
          <w:szCs w:val="22"/>
          <w:u w:val="single"/>
        </w:rPr>
        <w:t xml:space="preserve">General comments: </w:t>
      </w:r>
    </w:p>
    <w:p w:rsidR="0010763C" w:rsidRPr="00304DC8" w:rsidRDefault="00AD483B" w:rsidP="00775B9C">
      <w:pPr>
        <w:rPr>
          <w:sz w:val="22"/>
          <w:szCs w:val="22"/>
        </w:rPr>
      </w:pPr>
      <w:r w:rsidRPr="00304DC8">
        <w:rPr>
          <w:sz w:val="22"/>
          <w:szCs w:val="22"/>
        </w:rPr>
        <w:t xml:space="preserve">For a large number of </w:t>
      </w:r>
      <w:r w:rsidR="00775B9C" w:rsidRPr="00304DC8">
        <w:rPr>
          <w:sz w:val="22"/>
          <w:szCs w:val="22"/>
        </w:rPr>
        <w:t xml:space="preserve">classes and sub-classes of derivatives </w:t>
      </w:r>
      <w:r w:rsidRPr="00304DC8">
        <w:rPr>
          <w:sz w:val="22"/>
          <w:szCs w:val="22"/>
        </w:rPr>
        <w:t>covered by</w:t>
      </w:r>
      <w:r w:rsidR="00775B9C" w:rsidRPr="00304DC8">
        <w:rPr>
          <w:sz w:val="22"/>
          <w:szCs w:val="22"/>
        </w:rPr>
        <w:t xml:space="preserve"> the </w:t>
      </w:r>
      <w:r w:rsidR="00A979AE" w:rsidRPr="00304DC8">
        <w:rPr>
          <w:sz w:val="22"/>
          <w:szCs w:val="22"/>
        </w:rPr>
        <w:t xml:space="preserve">Addendum </w:t>
      </w:r>
      <w:r w:rsidR="00775B9C" w:rsidRPr="00304DC8">
        <w:rPr>
          <w:sz w:val="22"/>
          <w:szCs w:val="22"/>
        </w:rPr>
        <w:t>Consu</w:t>
      </w:r>
      <w:r w:rsidR="00775B9C" w:rsidRPr="00304DC8">
        <w:rPr>
          <w:sz w:val="22"/>
          <w:szCs w:val="22"/>
        </w:rPr>
        <w:t>l</w:t>
      </w:r>
      <w:r w:rsidR="00775B9C" w:rsidRPr="00304DC8">
        <w:rPr>
          <w:sz w:val="22"/>
          <w:szCs w:val="22"/>
        </w:rPr>
        <w:t>tation Paper, ESMA</w:t>
      </w:r>
      <w:r w:rsidR="00660D20" w:rsidRPr="00304DC8">
        <w:rPr>
          <w:sz w:val="22"/>
          <w:szCs w:val="22"/>
        </w:rPr>
        <w:t>’s</w:t>
      </w:r>
      <w:r w:rsidR="003E1D1A" w:rsidRPr="00304DC8">
        <w:rPr>
          <w:sz w:val="22"/>
          <w:szCs w:val="22"/>
        </w:rPr>
        <w:t xml:space="preserve"> approach implies t</w:t>
      </w:r>
      <w:r w:rsidR="00660D20" w:rsidRPr="00304DC8">
        <w:rPr>
          <w:sz w:val="22"/>
          <w:szCs w:val="22"/>
        </w:rPr>
        <w:t>hat</w:t>
      </w:r>
      <w:r w:rsidRPr="00304DC8">
        <w:rPr>
          <w:sz w:val="22"/>
          <w:szCs w:val="22"/>
        </w:rPr>
        <w:t xml:space="preserve"> instruments </w:t>
      </w:r>
      <w:r w:rsidR="00775B9C" w:rsidRPr="00304DC8">
        <w:rPr>
          <w:sz w:val="22"/>
          <w:szCs w:val="22"/>
        </w:rPr>
        <w:t xml:space="preserve">with </w:t>
      </w:r>
      <w:r w:rsidR="00660D20" w:rsidRPr="00304DC8">
        <w:rPr>
          <w:sz w:val="22"/>
          <w:szCs w:val="22"/>
        </w:rPr>
        <w:t xml:space="preserve">a </w:t>
      </w:r>
      <w:r w:rsidRPr="00304DC8">
        <w:rPr>
          <w:sz w:val="22"/>
          <w:szCs w:val="22"/>
        </w:rPr>
        <w:t xml:space="preserve">very </w:t>
      </w:r>
      <w:r w:rsidR="00775B9C" w:rsidRPr="00304DC8">
        <w:rPr>
          <w:sz w:val="22"/>
          <w:szCs w:val="22"/>
        </w:rPr>
        <w:t xml:space="preserve">low </w:t>
      </w:r>
      <w:r w:rsidR="003E1D1A" w:rsidRPr="00304DC8">
        <w:rPr>
          <w:sz w:val="22"/>
          <w:szCs w:val="22"/>
        </w:rPr>
        <w:t>t</w:t>
      </w:r>
      <w:r w:rsidR="008C7125" w:rsidRPr="00304DC8">
        <w:rPr>
          <w:sz w:val="22"/>
          <w:szCs w:val="22"/>
        </w:rPr>
        <w:t xml:space="preserve">rading </w:t>
      </w:r>
      <w:r w:rsidR="00775B9C" w:rsidRPr="00304DC8">
        <w:rPr>
          <w:sz w:val="22"/>
          <w:szCs w:val="22"/>
        </w:rPr>
        <w:t xml:space="preserve">activity </w:t>
      </w:r>
      <w:r w:rsidR="003E1D1A" w:rsidRPr="00304DC8">
        <w:rPr>
          <w:sz w:val="22"/>
          <w:szCs w:val="22"/>
        </w:rPr>
        <w:t xml:space="preserve">will be classified </w:t>
      </w:r>
      <w:r w:rsidR="00775B9C" w:rsidRPr="00304DC8">
        <w:rPr>
          <w:sz w:val="22"/>
          <w:szCs w:val="22"/>
        </w:rPr>
        <w:t>as liquid</w:t>
      </w:r>
      <w:r w:rsidR="003E1D1A" w:rsidRPr="00304DC8">
        <w:rPr>
          <w:sz w:val="22"/>
          <w:szCs w:val="22"/>
        </w:rPr>
        <w:t xml:space="preserve">. </w:t>
      </w:r>
      <w:r w:rsidRPr="00304DC8">
        <w:rPr>
          <w:sz w:val="22"/>
          <w:szCs w:val="22"/>
        </w:rPr>
        <w:t xml:space="preserve">In the opinion of NSA, this is not acceptable. </w:t>
      </w:r>
      <w:r w:rsidR="002104DD" w:rsidRPr="00304DC8">
        <w:rPr>
          <w:sz w:val="22"/>
          <w:szCs w:val="22"/>
        </w:rPr>
        <w:t xml:space="preserve">Our </w:t>
      </w:r>
      <w:r w:rsidR="003E1D1A" w:rsidRPr="00304DC8">
        <w:rPr>
          <w:rFonts w:cstheme="minorHAnsi"/>
          <w:sz w:val="22"/>
          <w:szCs w:val="22"/>
        </w:rPr>
        <w:t xml:space="preserve">main </w:t>
      </w:r>
      <w:r w:rsidR="008C7125" w:rsidRPr="00304DC8">
        <w:rPr>
          <w:rFonts w:cstheme="minorHAnsi"/>
          <w:sz w:val="22"/>
          <w:szCs w:val="22"/>
        </w:rPr>
        <w:t>concern is that these (in fact) illiquid prod</w:t>
      </w:r>
      <w:r w:rsidRPr="00304DC8">
        <w:rPr>
          <w:rFonts w:cstheme="minorHAnsi"/>
          <w:sz w:val="22"/>
          <w:szCs w:val="22"/>
        </w:rPr>
        <w:t>ucts</w:t>
      </w:r>
      <w:r w:rsidR="008C7125" w:rsidRPr="00304DC8">
        <w:rPr>
          <w:rFonts w:cstheme="minorHAnsi"/>
          <w:sz w:val="22"/>
          <w:szCs w:val="22"/>
        </w:rPr>
        <w:t xml:space="preserve">, when classified as having a liquid market, </w:t>
      </w:r>
      <w:r w:rsidRPr="00304DC8">
        <w:rPr>
          <w:rFonts w:cstheme="minorHAnsi"/>
          <w:sz w:val="22"/>
          <w:szCs w:val="22"/>
        </w:rPr>
        <w:t xml:space="preserve">will </w:t>
      </w:r>
      <w:r w:rsidR="008C7125" w:rsidRPr="00304DC8">
        <w:rPr>
          <w:rFonts w:cstheme="minorHAnsi"/>
          <w:sz w:val="22"/>
          <w:szCs w:val="22"/>
        </w:rPr>
        <w:t>be</w:t>
      </w:r>
      <w:r w:rsidR="003E1D1A" w:rsidRPr="00304DC8">
        <w:rPr>
          <w:rFonts w:cstheme="minorHAnsi"/>
          <w:sz w:val="22"/>
          <w:szCs w:val="22"/>
        </w:rPr>
        <w:t>come</w:t>
      </w:r>
      <w:r w:rsidR="008C7125" w:rsidRPr="00304DC8">
        <w:rPr>
          <w:rFonts w:cstheme="minorHAnsi"/>
          <w:sz w:val="22"/>
          <w:szCs w:val="22"/>
        </w:rPr>
        <w:t xml:space="preserve"> subject to more stringent transparency requirements and SI obligations under </w:t>
      </w:r>
      <w:proofErr w:type="spellStart"/>
      <w:r w:rsidR="008C7125" w:rsidRPr="00304DC8">
        <w:rPr>
          <w:rFonts w:cstheme="minorHAnsi"/>
          <w:sz w:val="22"/>
          <w:szCs w:val="22"/>
        </w:rPr>
        <w:t>MiFIR</w:t>
      </w:r>
      <w:proofErr w:type="spellEnd"/>
      <w:r w:rsidR="008C7125" w:rsidRPr="00304DC8">
        <w:rPr>
          <w:rFonts w:cstheme="minorHAnsi"/>
          <w:sz w:val="22"/>
          <w:szCs w:val="22"/>
        </w:rPr>
        <w:t>.</w:t>
      </w:r>
      <w:r w:rsidR="00FB12B7" w:rsidRPr="00304DC8">
        <w:rPr>
          <w:rFonts w:cstheme="minorHAnsi"/>
          <w:sz w:val="22"/>
          <w:szCs w:val="22"/>
        </w:rPr>
        <w:t xml:space="preserve"> </w:t>
      </w:r>
      <w:r w:rsidR="00C0501E" w:rsidRPr="00304DC8">
        <w:rPr>
          <w:rFonts w:cstheme="minorHAnsi"/>
          <w:sz w:val="22"/>
          <w:szCs w:val="22"/>
        </w:rPr>
        <w:t>The</w:t>
      </w:r>
      <w:r w:rsidR="007C73F0" w:rsidRPr="00304DC8">
        <w:rPr>
          <w:rFonts w:cstheme="minorHAnsi"/>
          <w:sz w:val="22"/>
          <w:szCs w:val="22"/>
        </w:rPr>
        <w:t>se</w:t>
      </w:r>
      <w:r w:rsidR="00C0501E" w:rsidRPr="00304DC8">
        <w:rPr>
          <w:rFonts w:cstheme="minorHAnsi"/>
          <w:sz w:val="22"/>
          <w:szCs w:val="22"/>
        </w:rPr>
        <w:t xml:space="preserve"> </w:t>
      </w:r>
      <w:r w:rsidR="00A34EFA" w:rsidRPr="00304DC8">
        <w:rPr>
          <w:rFonts w:cstheme="minorHAnsi"/>
          <w:sz w:val="22"/>
          <w:szCs w:val="22"/>
        </w:rPr>
        <w:t xml:space="preserve">regulatory </w:t>
      </w:r>
      <w:r w:rsidR="003E1D1A" w:rsidRPr="00304DC8">
        <w:rPr>
          <w:rFonts w:cstheme="minorHAnsi"/>
          <w:sz w:val="22"/>
          <w:szCs w:val="22"/>
        </w:rPr>
        <w:t>requir</w:t>
      </w:r>
      <w:r w:rsidR="003E1D1A" w:rsidRPr="00304DC8">
        <w:rPr>
          <w:rFonts w:cstheme="minorHAnsi"/>
          <w:sz w:val="22"/>
          <w:szCs w:val="22"/>
        </w:rPr>
        <w:t>e</w:t>
      </w:r>
      <w:r w:rsidR="003E1D1A" w:rsidRPr="00304DC8">
        <w:rPr>
          <w:rFonts w:cstheme="minorHAnsi"/>
          <w:sz w:val="22"/>
          <w:szCs w:val="22"/>
        </w:rPr>
        <w:t>ments</w:t>
      </w:r>
      <w:r w:rsidR="008C7125" w:rsidRPr="00304DC8">
        <w:rPr>
          <w:rFonts w:cstheme="minorHAnsi"/>
          <w:sz w:val="22"/>
          <w:szCs w:val="22"/>
        </w:rPr>
        <w:t xml:space="preserve"> will increase the risks of market makers/SIs </w:t>
      </w:r>
      <w:r w:rsidR="00D860B9" w:rsidRPr="00304DC8">
        <w:rPr>
          <w:rFonts w:cstheme="minorHAnsi"/>
          <w:sz w:val="22"/>
          <w:szCs w:val="22"/>
        </w:rPr>
        <w:t xml:space="preserve">which will </w:t>
      </w:r>
      <w:r w:rsidR="00660D20" w:rsidRPr="00304DC8">
        <w:rPr>
          <w:rFonts w:cstheme="minorHAnsi"/>
          <w:sz w:val="22"/>
          <w:szCs w:val="22"/>
        </w:rPr>
        <w:t>then become less willing to provid</w:t>
      </w:r>
      <w:r w:rsidR="00026D33" w:rsidRPr="00304DC8">
        <w:rPr>
          <w:rFonts w:cstheme="minorHAnsi"/>
          <w:sz w:val="22"/>
          <w:szCs w:val="22"/>
        </w:rPr>
        <w:t xml:space="preserve">e </w:t>
      </w:r>
      <w:r w:rsidR="002C3167" w:rsidRPr="00304DC8">
        <w:rPr>
          <w:rFonts w:cstheme="minorHAnsi"/>
          <w:sz w:val="22"/>
          <w:szCs w:val="22"/>
        </w:rPr>
        <w:t xml:space="preserve">prices </w:t>
      </w:r>
      <w:r w:rsidR="00A34EFA" w:rsidRPr="00304DC8">
        <w:rPr>
          <w:rFonts w:cstheme="minorHAnsi"/>
          <w:sz w:val="22"/>
          <w:szCs w:val="22"/>
        </w:rPr>
        <w:t>to the markets</w:t>
      </w:r>
      <w:r w:rsidR="003E1D1A" w:rsidRPr="00304DC8">
        <w:rPr>
          <w:rFonts w:cstheme="minorHAnsi"/>
          <w:sz w:val="22"/>
          <w:szCs w:val="22"/>
        </w:rPr>
        <w:t xml:space="preserve">. </w:t>
      </w:r>
      <w:r w:rsidR="00660D20" w:rsidRPr="00304DC8">
        <w:rPr>
          <w:rFonts w:cstheme="minorHAnsi"/>
          <w:sz w:val="22"/>
          <w:szCs w:val="22"/>
        </w:rPr>
        <w:t xml:space="preserve">This will in turn </w:t>
      </w:r>
      <w:r w:rsidR="00775B9C" w:rsidRPr="00304DC8">
        <w:rPr>
          <w:sz w:val="22"/>
          <w:szCs w:val="22"/>
        </w:rPr>
        <w:t>lead to a decrease in the offering of the</w:t>
      </w:r>
      <w:r w:rsidR="008C7125" w:rsidRPr="00304DC8">
        <w:rPr>
          <w:sz w:val="22"/>
          <w:szCs w:val="22"/>
        </w:rPr>
        <w:t xml:space="preserve">se </w:t>
      </w:r>
      <w:r w:rsidR="00FB12B7" w:rsidRPr="00304DC8">
        <w:rPr>
          <w:sz w:val="22"/>
          <w:szCs w:val="22"/>
        </w:rPr>
        <w:t xml:space="preserve">already </w:t>
      </w:r>
      <w:r w:rsidR="008C7125" w:rsidRPr="00304DC8">
        <w:rPr>
          <w:sz w:val="22"/>
          <w:szCs w:val="22"/>
        </w:rPr>
        <w:t xml:space="preserve">rarely traded </w:t>
      </w:r>
      <w:r w:rsidR="00775B9C" w:rsidRPr="00304DC8">
        <w:rPr>
          <w:sz w:val="22"/>
          <w:szCs w:val="22"/>
        </w:rPr>
        <w:t>con</w:t>
      </w:r>
      <w:r w:rsidR="00745F3A" w:rsidRPr="00304DC8">
        <w:rPr>
          <w:sz w:val="22"/>
          <w:szCs w:val="22"/>
        </w:rPr>
        <w:t>tracts</w:t>
      </w:r>
      <w:r w:rsidR="008C7125" w:rsidRPr="00304DC8">
        <w:rPr>
          <w:sz w:val="22"/>
          <w:szCs w:val="22"/>
        </w:rPr>
        <w:t xml:space="preserve"> and </w:t>
      </w:r>
      <w:r w:rsidR="00FB12B7" w:rsidRPr="00304DC8">
        <w:rPr>
          <w:sz w:val="22"/>
          <w:szCs w:val="22"/>
        </w:rPr>
        <w:t xml:space="preserve">to an </w:t>
      </w:r>
      <w:r w:rsidR="008C7125" w:rsidRPr="00304DC8">
        <w:rPr>
          <w:sz w:val="22"/>
          <w:szCs w:val="22"/>
        </w:rPr>
        <w:t xml:space="preserve">increase </w:t>
      </w:r>
      <w:r w:rsidR="003E1D1A" w:rsidRPr="00304DC8">
        <w:rPr>
          <w:sz w:val="22"/>
          <w:szCs w:val="22"/>
        </w:rPr>
        <w:t>in</w:t>
      </w:r>
      <w:r w:rsidR="002C3167" w:rsidRPr="00304DC8">
        <w:rPr>
          <w:sz w:val="22"/>
          <w:szCs w:val="22"/>
        </w:rPr>
        <w:t xml:space="preserve"> transaction costs</w:t>
      </w:r>
      <w:r w:rsidR="00745F3A" w:rsidRPr="00304DC8">
        <w:rPr>
          <w:sz w:val="22"/>
          <w:szCs w:val="22"/>
        </w:rPr>
        <w:t xml:space="preserve">. </w:t>
      </w:r>
    </w:p>
    <w:p w:rsidR="0010763C" w:rsidRPr="00304DC8" w:rsidRDefault="0010763C" w:rsidP="00B65922">
      <w:pPr>
        <w:rPr>
          <w:sz w:val="22"/>
          <w:szCs w:val="22"/>
        </w:rPr>
      </w:pPr>
    </w:p>
    <w:p w:rsidR="0010763C" w:rsidRPr="00304DC8" w:rsidRDefault="0010763C" w:rsidP="00B65922">
      <w:pPr>
        <w:rPr>
          <w:sz w:val="22"/>
          <w:szCs w:val="22"/>
        </w:rPr>
      </w:pPr>
      <w:r w:rsidRPr="00304DC8">
        <w:rPr>
          <w:sz w:val="22"/>
          <w:szCs w:val="22"/>
        </w:rPr>
        <w:t xml:space="preserve">It should be noted that derivatives serve an important role in allowing </w:t>
      </w:r>
      <w:r w:rsidR="002C3167" w:rsidRPr="00304DC8">
        <w:rPr>
          <w:sz w:val="22"/>
          <w:szCs w:val="22"/>
        </w:rPr>
        <w:t xml:space="preserve">corporates </w:t>
      </w:r>
      <w:r w:rsidRPr="00304DC8">
        <w:rPr>
          <w:sz w:val="22"/>
          <w:szCs w:val="22"/>
        </w:rPr>
        <w:t xml:space="preserve">to manage risks arising from their commercial activities. If a product type is made too expensive for the end user, the end user may </w:t>
      </w:r>
      <w:r w:rsidR="00C0501E" w:rsidRPr="00304DC8">
        <w:rPr>
          <w:sz w:val="22"/>
          <w:szCs w:val="22"/>
        </w:rPr>
        <w:t xml:space="preserve">refrain </w:t>
      </w:r>
      <w:r w:rsidRPr="00304DC8">
        <w:rPr>
          <w:sz w:val="22"/>
          <w:szCs w:val="22"/>
        </w:rPr>
        <w:t xml:space="preserve">from doing any hedging (at all), or if they cannot find the product that meets their specific needs they may use a less suitable product that leaves certain risks un-hedged (i.e. basis risk), or end users find it takes longer and is more difficult to fulfil their needs (i.e. execution risk). At an overall economic level this would increase systemic vulnerability as hedging levels could generally decrease and risks remain in the real economy. In order to avoid these adverse effects on EU-markets, NSA urges ESMA to </w:t>
      </w:r>
      <w:r w:rsidR="00A34EFA" w:rsidRPr="00304DC8">
        <w:rPr>
          <w:sz w:val="22"/>
          <w:szCs w:val="22"/>
        </w:rPr>
        <w:t xml:space="preserve">take a cautious approach and </w:t>
      </w:r>
      <w:r w:rsidRPr="00304DC8">
        <w:rPr>
          <w:sz w:val="22"/>
          <w:szCs w:val="22"/>
        </w:rPr>
        <w:t>e</w:t>
      </w:r>
      <w:r w:rsidRPr="00304DC8">
        <w:rPr>
          <w:sz w:val="22"/>
          <w:szCs w:val="22"/>
        </w:rPr>
        <w:t>n</w:t>
      </w:r>
      <w:r w:rsidRPr="00304DC8">
        <w:rPr>
          <w:sz w:val="22"/>
          <w:szCs w:val="22"/>
        </w:rPr>
        <w:t>sure that the liquidity criteria used for classifying derivatives as having a liquid market only ca</w:t>
      </w:r>
      <w:r w:rsidRPr="00304DC8">
        <w:rPr>
          <w:sz w:val="22"/>
          <w:szCs w:val="22"/>
        </w:rPr>
        <w:t>p</w:t>
      </w:r>
      <w:r w:rsidRPr="00304DC8">
        <w:rPr>
          <w:sz w:val="22"/>
          <w:szCs w:val="22"/>
        </w:rPr>
        <w:t xml:space="preserve">tures truly liquid instrument. </w:t>
      </w:r>
      <w:r w:rsidR="00FB12B7" w:rsidRPr="00304DC8">
        <w:rPr>
          <w:sz w:val="22"/>
          <w:szCs w:val="22"/>
        </w:rPr>
        <w:t xml:space="preserve">For instance, bespoke OTC derivatives used for hedging purposes should never be considered as having a liquid market. </w:t>
      </w:r>
    </w:p>
    <w:p w:rsidR="004D6B38" w:rsidRPr="00304DC8" w:rsidRDefault="004D6B38" w:rsidP="00B65922">
      <w:pPr>
        <w:rPr>
          <w:sz w:val="22"/>
          <w:szCs w:val="22"/>
        </w:rPr>
      </w:pPr>
    </w:p>
    <w:p w:rsidR="004D6B38" w:rsidRPr="00304DC8" w:rsidRDefault="00134665" w:rsidP="004D6B38">
      <w:pPr>
        <w:rPr>
          <w:rFonts w:ascii="Calibri" w:hAnsi="Calibri"/>
          <w:sz w:val="22"/>
          <w:szCs w:val="22"/>
          <w:lang w:eastAsia="sv-SE"/>
        </w:rPr>
      </w:pPr>
      <w:r w:rsidRPr="00304DC8">
        <w:rPr>
          <w:sz w:val="22"/>
          <w:szCs w:val="22"/>
        </w:rPr>
        <w:t>ESMA’s l</w:t>
      </w:r>
      <w:r w:rsidR="004D6B38" w:rsidRPr="00304DC8">
        <w:rPr>
          <w:sz w:val="22"/>
          <w:szCs w:val="22"/>
        </w:rPr>
        <w:t xml:space="preserve">iquidity analysis of derivatives classes is massive. Hundreds of different sub-classes have already been </w:t>
      </w:r>
      <w:r w:rsidR="00487875" w:rsidRPr="00304DC8">
        <w:rPr>
          <w:sz w:val="22"/>
          <w:szCs w:val="22"/>
        </w:rPr>
        <w:t>analysed</w:t>
      </w:r>
      <w:r w:rsidR="004D6B38" w:rsidRPr="00304DC8">
        <w:rPr>
          <w:sz w:val="22"/>
          <w:szCs w:val="22"/>
        </w:rPr>
        <w:t xml:space="preserve"> and </w:t>
      </w:r>
      <w:r w:rsidR="00487875" w:rsidRPr="00304DC8">
        <w:rPr>
          <w:sz w:val="22"/>
          <w:szCs w:val="22"/>
        </w:rPr>
        <w:t>labelled</w:t>
      </w:r>
      <w:r w:rsidR="004D6B38" w:rsidRPr="00304DC8">
        <w:rPr>
          <w:sz w:val="22"/>
          <w:szCs w:val="22"/>
        </w:rPr>
        <w:t xml:space="preserve"> as liquid or illiquid. However, the analysis is based on very generic criteria that fail to take into account many crucial elements of derivatives contracts. At least maturity, amortization and notional amount would have to be considered thoroughly. There are also concerns on the quality of the data. As a result, many sub-classes that are </w:t>
      </w:r>
      <w:r w:rsidR="00487875" w:rsidRPr="00304DC8">
        <w:rPr>
          <w:sz w:val="22"/>
          <w:szCs w:val="22"/>
        </w:rPr>
        <w:t>l</w:t>
      </w:r>
      <w:r w:rsidR="00487875" w:rsidRPr="00304DC8">
        <w:rPr>
          <w:sz w:val="22"/>
          <w:szCs w:val="22"/>
        </w:rPr>
        <w:t>a</w:t>
      </w:r>
      <w:r w:rsidR="00487875" w:rsidRPr="00304DC8">
        <w:rPr>
          <w:sz w:val="22"/>
          <w:szCs w:val="22"/>
        </w:rPr>
        <w:t>belled</w:t>
      </w:r>
      <w:r w:rsidR="004D6B38" w:rsidRPr="00304DC8">
        <w:rPr>
          <w:sz w:val="22"/>
          <w:szCs w:val="22"/>
        </w:rPr>
        <w:t xml:space="preserve"> liquid are not in practice liquid at all. It should also be noticed that the mapping of such huge amounts of listed contracts into systems will be very time-consuming and hence may lead to increased hedging costs. In many cases it is likely that this will have to be done manually which in turn might increase the probability of mistakes in the mapping process.  </w:t>
      </w:r>
    </w:p>
    <w:p w:rsidR="004D6B38" w:rsidRPr="00304DC8" w:rsidRDefault="004D6B38" w:rsidP="00861EC1">
      <w:pPr>
        <w:rPr>
          <w:sz w:val="22"/>
          <w:szCs w:val="22"/>
        </w:rPr>
      </w:pPr>
    </w:p>
    <w:p w:rsidR="009F0AFE" w:rsidRPr="00304DC8" w:rsidRDefault="009F0AFE" w:rsidP="009F0AFE">
      <w:pPr>
        <w:rPr>
          <w:sz w:val="22"/>
          <w:szCs w:val="22"/>
        </w:rPr>
      </w:pPr>
      <w:r w:rsidRPr="00304DC8">
        <w:rPr>
          <w:sz w:val="22"/>
          <w:szCs w:val="22"/>
        </w:rPr>
        <w:t>The NSA agrees with ESMA that there are major quality issues related to the data acquired from trade repositories</w:t>
      </w:r>
      <w:r w:rsidR="006B301B">
        <w:rPr>
          <w:sz w:val="22"/>
          <w:szCs w:val="22"/>
        </w:rPr>
        <w:t xml:space="preserve"> (TR)</w:t>
      </w:r>
      <w:r w:rsidRPr="00304DC8">
        <w:rPr>
          <w:sz w:val="22"/>
          <w:szCs w:val="22"/>
        </w:rPr>
        <w:t>. Especially the fact that there is incorrect or inconsistent reporting of some of the data fields is very concerning as this data forms the building blocks for defi</w:t>
      </w:r>
      <w:r w:rsidRPr="00304DC8">
        <w:rPr>
          <w:sz w:val="22"/>
          <w:szCs w:val="22"/>
        </w:rPr>
        <w:t>n</w:t>
      </w:r>
      <w:r w:rsidRPr="00304DC8">
        <w:rPr>
          <w:sz w:val="22"/>
          <w:szCs w:val="22"/>
        </w:rPr>
        <w:t>ing liquidity and calculating LIS and SSTI thresholds. We therefore take the view that the data pr</w:t>
      </w:r>
      <w:r w:rsidRPr="00304DC8">
        <w:rPr>
          <w:sz w:val="22"/>
          <w:szCs w:val="22"/>
        </w:rPr>
        <w:t>e</w:t>
      </w:r>
      <w:r w:rsidRPr="00304DC8">
        <w:rPr>
          <w:sz w:val="22"/>
          <w:szCs w:val="22"/>
        </w:rPr>
        <w:t>sented in the Addendum Consultation Paper is not acceptable as the sole basis for EU regul</w:t>
      </w:r>
      <w:r w:rsidRPr="00304DC8">
        <w:rPr>
          <w:sz w:val="22"/>
          <w:szCs w:val="22"/>
        </w:rPr>
        <w:t>a</w:t>
      </w:r>
      <w:r w:rsidRPr="00304DC8">
        <w:rPr>
          <w:sz w:val="22"/>
          <w:szCs w:val="22"/>
        </w:rPr>
        <w:t xml:space="preserve">tion in this area. The analysis must be and should be supplemented with </w:t>
      </w:r>
      <w:r w:rsidRPr="00304DC8">
        <w:rPr>
          <w:sz w:val="22"/>
          <w:szCs w:val="22"/>
          <w:u w:val="single"/>
        </w:rPr>
        <w:t>views from experts</w:t>
      </w:r>
      <w:r w:rsidRPr="00304DC8">
        <w:rPr>
          <w:sz w:val="22"/>
          <w:szCs w:val="22"/>
        </w:rPr>
        <w:t xml:space="preserve"> that are capable to assess whether the definition of liquidity and the calcul</w:t>
      </w:r>
      <w:r w:rsidRPr="00304DC8">
        <w:rPr>
          <w:sz w:val="22"/>
          <w:szCs w:val="22"/>
        </w:rPr>
        <w:t>a</w:t>
      </w:r>
      <w:r w:rsidRPr="00304DC8">
        <w:rPr>
          <w:sz w:val="22"/>
          <w:szCs w:val="22"/>
        </w:rPr>
        <w:t>tions of LIS and SSTI are correct when looking at the market for the different asset- and su</w:t>
      </w:r>
      <w:r w:rsidRPr="00304DC8">
        <w:rPr>
          <w:sz w:val="22"/>
          <w:szCs w:val="22"/>
        </w:rPr>
        <w:t>b</w:t>
      </w:r>
      <w:r w:rsidRPr="00304DC8">
        <w:rPr>
          <w:sz w:val="22"/>
          <w:szCs w:val="22"/>
        </w:rPr>
        <w:t>classes. Having expert views will improve the overall quality and ensure a more correct definition of liquidity and more acc</w:t>
      </w:r>
      <w:r w:rsidRPr="00304DC8">
        <w:rPr>
          <w:sz w:val="22"/>
          <w:szCs w:val="22"/>
        </w:rPr>
        <w:t>u</w:t>
      </w:r>
      <w:r w:rsidRPr="00304DC8">
        <w:rPr>
          <w:sz w:val="22"/>
          <w:szCs w:val="22"/>
        </w:rPr>
        <w:t>rate determin</w:t>
      </w:r>
      <w:r w:rsidRPr="00304DC8">
        <w:rPr>
          <w:sz w:val="22"/>
          <w:szCs w:val="22"/>
        </w:rPr>
        <w:t>a</w:t>
      </w:r>
      <w:r w:rsidRPr="00304DC8">
        <w:rPr>
          <w:sz w:val="22"/>
          <w:szCs w:val="22"/>
        </w:rPr>
        <w:t xml:space="preserve">tion of LIS and SSTI.  </w:t>
      </w:r>
    </w:p>
    <w:p w:rsidR="00775B9C" w:rsidRPr="00304DC8" w:rsidRDefault="00775B9C" w:rsidP="00775B9C">
      <w:pPr>
        <w:rPr>
          <w:sz w:val="22"/>
          <w:szCs w:val="22"/>
        </w:rPr>
      </w:pPr>
    </w:p>
    <w:p w:rsidR="00775B9C" w:rsidRPr="00304DC8" w:rsidRDefault="00D860B9" w:rsidP="00775B9C">
      <w:pPr>
        <w:rPr>
          <w:sz w:val="22"/>
          <w:szCs w:val="22"/>
        </w:rPr>
      </w:pPr>
      <w:r w:rsidRPr="00304DC8">
        <w:rPr>
          <w:sz w:val="22"/>
          <w:szCs w:val="22"/>
        </w:rPr>
        <w:t xml:space="preserve">The </w:t>
      </w:r>
      <w:r w:rsidR="00775B9C" w:rsidRPr="00304DC8">
        <w:rPr>
          <w:sz w:val="22"/>
          <w:szCs w:val="22"/>
        </w:rPr>
        <w:t xml:space="preserve">NSA </w:t>
      </w:r>
      <w:r w:rsidR="00026D33" w:rsidRPr="00304DC8">
        <w:rPr>
          <w:sz w:val="22"/>
          <w:szCs w:val="22"/>
        </w:rPr>
        <w:t xml:space="preserve">also </w:t>
      </w:r>
      <w:r w:rsidR="00775B9C" w:rsidRPr="00304DC8">
        <w:rPr>
          <w:sz w:val="22"/>
          <w:szCs w:val="22"/>
        </w:rPr>
        <w:t xml:space="preserve">supports introducing the new </w:t>
      </w:r>
      <w:r w:rsidRPr="00304DC8">
        <w:rPr>
          <w:sz w:val="22"/>
          <w:szCs w:val="22"/>
        </w:rPr>
        <w:t xml:space="preserve">transparency </w:t>
      </w:r>
      <w:r w:rsidR="00775B9C" w:rsidRPr="00304DC8">
        <w:rPr>
          <w:sz w:val="22"/>
          <w:szCs w:val="22"/>
        </w:rPr>
        <w:t xml:space="preserve">rules by a </w:t>
      </w:r>
      <w:r w:rsidR="00775B9C" w:rsidRPr="00304DC8">
        <w:rPr>
          <w:sz w:val="22"/>
          <w:szCs w:val="22"/>
          <w:u w:val="single"/>
        </w:rPr>
        <w:t xml:space="preserve">stepwise approach </w:t>
      </w:r>
      <w:r w:rsidR="00775B9C" w:rsidRPr="00304DC8">
        <w:rPr>
          <w:sz w:val="22"/>
          <w:szCs w:val="22"/>
        </w:rPr>
        <w:t xml:space="preserve">(rather than a “big bang”), carefully investigating the impact of each step before introducing the next step. In this respect, a stepwise approach would mean that ESMA should </w:t>
      </w:r>
      <w:r w:rsidR="00775B9C" w:rsidRPr="00304DC8">
        <w:rPr>
          <w:sz w:val="22"/>
          <w:szCs w:val="22"/>
          <w:u w:val="single"/>
        </w:rPr>
        <w:t xml:space="preserve">only consider </w:t>
      </w:r>
      <w:r w:rsidR="00530DC2" w:rsidRPr="00304DC8">
        <w:rPr>
          <w:sz w:val="22"/>
          <w:szCs w:val="22"/>
          <w:u w:val="single"/>
        </w:rPr>
        <w:t xml:space="preserve">as </w:t>
      </w:r>
      <w:r w:rsidR="00775B9C" w:rsidRPr="00304DC8">
        <w:rPr>
          <w:sz w:val="22"/>
          <w:szCs w:val="22"/>
          <w:u w:val="single"/>
        </w:rPr>
        <w:t>liquid a few of the most liquid derivative subclasses.</w:t>
      </w:r>
    </w:p>
    <w:p w:rsidR="00775B9C" w:rsidRPr="00304DC8" w:rsidRDefault="00775B9C" w:rsidP="00861EC1">
      <w:pPr>
        <w:rPr>
          <w:sz w:val="22"/>
          <w:szCs w:val="22"/>
        </w:rPr>
      </w:pPr>
    </w:p>
    <w:p w:rsidR="00115F5A" w:rsidRPr="00304DC8" w:rsidRDefault="00FB12B7" w:rsidP="00861EC1">
      <w:pPr>
        <w:rPr>
          <w:sz w:val="22"/>
          <w:szCs w:val="22"/>
        </w:rPr>
      </w:pPr>
      <w:r w:rsidRPr="00304DC8">
        <w:rPr>
          <w:sz w:val="22"/>
          <w:szCs w:val="22"/>
        </w:rPr>
        <w:t xml:space="preserve">The NSA generally takes the view that </w:t>
      </w:r>
      <w:r w:rsidR="00775B9C" w:rsidRPr="00304DC8">
        <w:rPr>
          <w:sz w:val="22"/>
          <w:szCs w:val="22"/>
        </w:rPr>
        <w:t>ESMA’s model for ass</w:t>
      </w:r>
      <w:r w:rsidR="00530DC2" w:rsidRPr="00304DC8">
        <w:rPr>
          <w:sz w:val="22"/>
          <w:szCs w:val="22"/>
        </w:rPr>
        <w:t xml:space="preserve">essing liquidity is too static. </w:t>
      </w:r>
      <w:r w:rsidR="00775B9C" w:rsidRPr="00304DC8">
        <w:rPr>
          <w:sz w:val="22"/>
          <w:szCs w:val="22"/>
        </w:rPr>
        <w:t xml:space="preserve">The proposal by NSA is to </w:t>
      </w:r>
      <w:r w:rsidR="00775B9C" w:rsidRPr="00304DC8">
        <w:rPr>
          <w:sz w:val="22"/>
          <w:szCs w:val="22"/>
          <w:u w:val="single"/>
        </w:rPr>
        <w:t>recalibrate within 6 months</w:t>
      </w:r>
      <w:r w:rsidR="00775B9C" w:rsidRPr="00304DC8">
        <w:rPr>
          <w:sz w:val="22"/>
          <w:szCs w:val="22"/>
        </w:rPr>
        <w:t xml:space="preserve"> and thereafter on a yearly basis. It is absolut</w:t>
      </w:r>
      <w:r w:rsidR="00775B9C" w:rsidRPr="00304DC8">
        <w:rPr>
          <w:sz w:val="22"/>
          <w:szCs w:val="22"/>
        </w:rPr>
        <w:t>e</w:t>
      </w:r>
      <w:r w:rsidR="00775B9C" w:rsidRPr="00304DC8">
        <w:rPr>
          <w:sz w:val="22"/>
          <w:szCs w:val="22"/>
        </w:rPr>
        <w:t xml:space="preserve">ly crucial that any recalibration takes </w:t>
      </w:r>
      <w:r w:rsidR="00775B9C" w:rsidRPr="00304DC8">
        <w:rPr>
          <w:sz w:val="22"/>
          <w:szCs w:val="22"/>
          <w:u w:val="single"/>
        </w:rPr>
        <w:t>Ex-Post Effects</w:t>
      </w:r>
      <w:r w:rsidR="00775B9C" w:rsidRPr="00304DC8">
        <w:rPr>
          <w:sz w:val="22"/>
          <w:szCs w:val="22"/>
        </w:rPr>
        <w:t xml:space="preserve"> into account</w:t>
      </w:r>
      <w:r w:rsidR="00530DC2" w:rsidRPr="00304DC8">
        <w:rPr>
          <w:sz w:val="22"/>
          <w:szCs w:val="22"/>
        </w:rPr>
        <w:t xml:space="preserve">, i.e. </w:t>
      </w:r>
      <w:r w:rsidR="00115F5A" w:rsidRPr="00304DC8">
        <w:rPr>
          <w:sz w:val="22"/>
          <w:szCs w:val="22"/>
        </w:rPr>
        <w:t>the impact that the intr</w:t>
      </w:r>
      <w:r w:rsidR="00115F5A" w:rsidRPr="00304DC8">
        <w:rPr>
          <w:sz w:val="22"/>
          <w:szCs w:val="22"/>
        </w:rPr>
        <w:t>o</w:t>
      </w:r>
      <w:r w:rsidR="00115F5A" w:rsidRPr="00304DC8">
        <w:rPr>
          <w:sz w:val="22"/>
          <w:szCs w:val="22"/>
        </w:rPr>
        <w:t>duction of the new EU transparency regime will have on the liquidity of the instruments</w:t>
      </w:r>
      <w:r w:rsidR="00775B9C" w:rsidRPr="00304DC8">
        <w:rPr>
          <w:sz w:val="22"/>
          <w:szCs w:val="22"/>
        </w:rPr>
        <w:t xml:space="preserve">. </w:t>
      </w:r>
      <w:r w:rsidR="00115F5A" w:rsidRPr="00304DC8">
        <w:rPr>
          <w:sz w:val="22"/>
          <w:szCs w:val="22"/>
        </w:rPr>
        <w:t xml:space="preserve">Such Ex-Post Effects need to be based on </w:t>
      </w:r>
      <w:r w:rsidR="00115F5A" w:rsidRPr="00304DC8">
        <w:rPr>
          <w:sz w:val="22"/>
          <w:szCs w:val="22"/>
          <w:u w:val="single"/>
        </w:rPr>
        <w:t>expert judgement</w:t>
      </w:r>
      <w:r w:rsidR="00115F5A" w:rsidRPr="00304DC8">
        <w:rPr>
          <w:sz w:val="22"/>
          <w:szCs w:val="22"/>
        </w:rPr>
        <w:t>.</w:t>
      </w:r>
    </w:p>
    <w:p w:rsidR="002104DD" w:rsidRPr="00304DC8" w:rsidRDefault="002104DD" w:rsidP="00861EC1">
      <w:pPr>
        <w:rPr>
          <w:sz w:val="22"/>
          <w:szCs w:val="22"/>
        </w:rPr>
      </w:pPr>
    </w:p>
    <w:p w:rsidR="00DF5F18" w:rsidRPr="00304DC8" w:rsidRDefault="00DF5F18" w:rsidP="00A8728B">
      <w:pPr>
        <w:rPr>
          <w:sz w:val="22"/>
          <w:szCs w:val="22"/>
        </w:rPr>
      </w:pPr>
      <w:r w:rsidRPr="00304DC8">
        <w:rPr>
          <w:sz w:val="22"/>
          <w:szCs w:val="22"/>
          <w:u w:val="single"/>
        </w:rPr>
        <w:t>Questions</w:t>
      </w:r>
      <w:r w:rsidRPr="00304DC8">
        <w:rPr>
          <w:sz w:val="22"/>
          <w:szCs w:val="22"/>
        </w:rPr>
        <w:t xml:space="preserve">: </w:t>
      </w:r>
    </w:p>
    <w:p w:rsidR="002104DD" w:rsidRPr="00304DC8" w:rsidRDefault="002104DD" w:rsidP="002104DD">
      <w:pPr>
        <w:rPr>
          <w:sz w:val="22"/>
          <w:szCs w:val="22"/>
        </w:rPr>
      </w:pPr>
      <w:r w:rsidRPr="00304DC8">
        <w:rPr>
          <w:sz w:val="22"/>
          <w:szCs w:val="22"/>
        </w:rPr>
        <w:t>No</w:t>
      </w:r>
      <w:r w:rsidR="00861EC1" w:rsidRPr="00304DC8">
        <w:rPr>
          <w:sz w:val="22"/>
          <w:szCs w:val="22"/>
        </w:rPr>
        <w:t>,</w:t>
      </w:r>
      <w:r w:rsidRPr="00304DC8">
        <w:rPr>
          <w:sz w:val="22"/>
          <w:szCs w:val="22"/>
        </w:rPr>
        <w:t xml:space="preserve"> the NSA does not agree with ESMA’s proposal </w:t>
      </w:r>
      <w:r w:rsidR="007B52C6" w:rsidRPr="00304DC8">
        <w:rPr>
          <w:sz w:val="22"/>
          <w:szCs w:val="22"/>
        </w:rPr>
        <w:t xml:space="preserve">regarding </w:t>
      </w:r>
      <w:r w:rsidRPr="00304DC8">
        <w:rPr>
          <w:sz w:val="22"/>
          <w:szCs w:val="22"/>
        </w:rPr>
        <w:t xml:space="preserve">the definition of a liquid market. Using these </w:t>
      </w:r>
      <w:r w:rsidR="004C2EC3" w:rsidRPr="00304DC8">
        <w:rPr>
          <w:sz w:val="22"/>
          <w:szCs w:val="22"/>
        </w:rPr>
        <w:t xml:space="preserve">criteria as suggested </w:t>
      </w:r>
      <w:r w:rsidRPr="00304DC8">
        <w:rPr>
          <w:sz w:val="22"/>
          <w:szCs w:val="22"/>
        </w:rPr>
        <w:t>togeth</w:t>
      </w:r>
      <w:r w:rsidR="007B52C6" w:rsidRPr="00304DC8">
        <w:rPr>
          <w:sz w:val="22"/>
          <w:szCs w:val="22"/>
        </w:rPr>
        <w:t>er with the data from TR</w:t>
      </w:r>
      <w:r w:rsidRPr="00304DC8">
        <w:rPr>
          <w:sz w:val="22"/>
          <w:szCs w:val="22"/>
        </w:rPr>
        <w:t xml:space="preserve"> </w:t>
      </w:r>
      <w:r w:rsidR="007B52C6" w:rsidRPr="00304DC8">
        <w:rPr>
          <w:sz w:val="22"/>
          <w:szCs w:val="22"/>
        </w:rPr>
        <w:t>(</w:t>
      </w:r>
      <w:r w:rsidRPr="00304DC8">
        <w:rPr>
          <w:sz w:val="22"/>
          <w:szCs w:val="22"/>
        </w:rPr>
        <w:t>which the NSA b</w:t>
      </w:r>
      <w:r w:rsidRPr="00304DC8">
        <w:rPr>
          <w:sz w:val="22"/>
          <w:szCs w:val="22"/>
        </w:rPr>
        <w:t>e</w:t>
      </w:r>
      <w:r w:rsidRPr="00304DC8">
        <w:rPr>
          <w:sz w:val="22"/>
          <w:szCs w:val="22"/>
        </w:rPr>
        <w:t>lieve</w:t>
      </w:r>
      <w:r w:rsidR="00F231FB" w:rsidRPr="00304DC8">
        <w:rPr>
          <w:sz w:val="22"/>
          <w:szCs w:val="22"/>
        </w:rPr>
        <w:t>s</w:t>
      </w:r>
      <w:r w:rsidRPr="00304DC8">
        <w:rPr>
          <w:sz w:val="22"/>
          <w:szCs w:val="22"/>
        </w:rPr>
        <w:t xml:space="preserve"> </w:t>
      </w:r>
      <w:r w:rsidR="00F231FB" w:rsidRPr="00304DC8">
        <w:rPr>
          <w:sz w:val="22"/>
          <w:szCs w:val="22"/>
        </w:rPr>
        <w:t>to be in</w:t>
      </w:r>
      <w:r w:rsidR="00B43041" w:rsidRPr="00304DC8">
        <w:rPr>
          <w:sz w:val="22"/>
          <w:szCs w:val="22"/>
        </w:rPr>
        <w:t xml:space="preserve">adequate or </w:t>
      </w:r>
      <w:r w:rsidR="00F231FB" w:rsidRPr="00304DC8">
        <w:rPr>
          <w:sz w:val="22"/>
          <w:szCs w:val="22"/>
        </w:rPr>
        <w:t>in</w:t>
      </w:r>
      <w:r w:rsidRPr="00304DC8">
        <w:rPr>
          <w:sz w:val="22"/>
          <w:szCs w:val="22"/>
        </w:rPr>
        <w:t>sufficient as stated above</w:t>
      </w:r>
      <w:r w:rsidR="007B52C6" w:rsidRPr="00304DC8">
        <w:rPr>
          <w:sz w:val="22"/>
          <w:szCs w:val="22"/>
        </w:rPr>
        <w:t>)</w:t>
      </w:r>
      <w:r w:rsidRPr="00304DC8">
        <w:rPr>
          <w:sz w:val="22"/>
          <w:szCs w:val="22"/>
        </w:rPr>
        <w:t xml:space="preserve"> risks qualifying asset classes </w:t>
      </w:r>
      <w:r w:rsidR="00B43041" w:rsidRPr="00304DC8">
        <w:rPr>
          <w:sz w:val="22"/>
          <w:szCs w:val="22"/>
        </w:rPr>
        <w:t>of deriv</w:t>
      </w:r>
      <w:r w:rsidR="00B43041" w:rsidRPr="00304DC8">
        <w:rPr>
          <w:sz w:val="22"/>
          <w:szCs w:val="22"/>
        </w:rPr>
        <w:t>a</w:t>
      </w:r>
      <w:r w:rsidR="00B43041" w:rsidRPr="00304DC8">
        <w:rPr>
          <w:sz w:val="22"/>
          <w:szCs w:val="22"/>
        </w:rPr>
        <w:t xml:space="preserve">tives </w:t>
      </w:r>
      <w:r w:rsidR="007B52C6" w:rsidRPr="00304DC8">
        <w:rPr>
          <w:sz w:val="22"/>
          <w:szCs w:val="22"/>
        </w:rPr>
        <w:t xml:space="preserve">as </w:t>
      </w:r>
      <w:r w:rsidRPr="00304DC8">
        <w:rPr>
          <w:sz w:val="22"/>
          <w:szCs w:val="22"/>
        </w:rPr>
        <w:t xml:space="preserve">liquid </w:t>
      </w:r>
      <w:r w:rsidR="007B52C6" w:rsidRPr="00304DC8">
        <w:rPr>
          <w:sz w:val="22"/>
          <w:szCs w:val="22"/>
        </w:rPr>
        <w:t xml:space="preserve">when they are </w:t>
      </w:r>
      <w:r w:rsidR="00026D33" w:rsidRPr="00304DC8">
        <w:rPr>
          <w:sz w:val="22"/>
          <w:szCs w:val="22"/>
        </w:rPr>
        <w:t>in fact</w:t>
      </w:r>
      <w:r w:rsidR="00530DC2" w:rsidRPr="00304DC8">
        <w:rPr>
          <w:sz w:val="22"/>
          <w:szCs w:val="22"/>
        </w:rPr>
        <w:t xml:space="preserve"> illiquid</w:t>
      </w:r>
      <w:r w:rsidRPr="00304DC8">
        <w:rPr>
          <w:sz w:val="22"/>
          <w:szCs w:val="22"/>
        </w:rPr>
        <w:t xml:space="preserve">. </w:t>
      </w:r>
    </w:p>
    <w:p w:rsidR="002B007D" w:rsidRPr="00304DC8" w:rsidRDefault="002B007D" w:rsidP="00A8728B">
      <w:pPr>
        <w:rPr>
          <w:sz w:val="22"/>
          <w:szCs w:val="22"/>
        </w:rPr>
      </w:pPr>
    </w:p>
    <w:p w:rsidR="0071747A" w:rsidRPr="00304DC8" w:rsidRDefault="00775B9C" w:rsidP="00A8728B">
      <w:pPr>
        <w:rPr>
          <w:b/>
          <w:sz w:val="22"/>
          <w:szCs w:val="22"/>
        </w:rPr>
      </w:pPr>
      <w:r w:rsidRPr="00304DC8">
        <w:rPr>
          <w:b/>
          <w:sz w:val="22"/>
          <w:szCs w:val="22"/>
        </w:rPr>
        <w:t>Question 1</w:t>
      </w:r>
      <w:r w:rsidR="00745F3A" w:rsidRPr="00304DC8">
        <w:rPr>
          <w:b/>
          <w:sz w:val="22"/>
          <w:szCs w:val="22"/>
        </w:rPr>
        <w:t xml:space="preserve"> </w:t>
      </w:r>
      <w:r w:rsidRPr="00304DC8">
        <w:rPr>
          <w:b/>
          <w:sz w:val="22"/>
          <w:szCs w:val="22"/>
        </w:rPr>
        <w:t>(1)</w:t>
      </w:r>
    </w:p>
    <w:p w:rsidR="0071747A" w:rsidRPr="00304DC8" w:rsidRDefault="0071747A" w:rsidP="0071747A">
      <w:pPr>
        <w:rPr>
          <w:sz w:val="22"/>
          <w:szCs w:val="22"/>
          <w:lang w:eastAsia="sv-SE"/>
        </w:rPr>
      </w:pPr>
      <w:r w:rsidRPr="00304DC8">
        <w:rPr>
          <w:sz w:val="22"/>
          <w:szCs w:val="22"/>
        </w:rPr>
        <w:t>The NSA finds the criteria to define the sub-classes acceptable per se. However, there could be reasons not to make a distinction between deliverable forward contracts (DF) and non-deliverable forward contracts (NDF) as the risk characteristic of NDF and DF are almost ident</w:t>
      </w:r>
      <w:r w:rsidRPr="00304DC8">
        <w:rPr>
          <w:sz w:val="22"/>
          <w:szCs w:val="22"/>
        </w:rPr>
        <w:t>i</w:t>
      </w:r>
      <w:r w:rsidRPr="00304DC8">
        <w:rPr>
          <w:sz w:val="22"/>
          <w:szCs w:val="22"/>
        </w:rPr>
        <w:t xml:space="preserve">cal. The NDF market is also much smaller than the DF market. If a distinction is made it should be done on the basis of the FX pair, not the “cash” mark in the TR reporting. Any definition of NDF should also be aligned with the definition in </w:t>
      </w:r>
      <w:r w:rsidR="009F0AFE" w:rsidRPr="00304DC8">
        <w:rPr>
          <w:sz w:val="22"/>
          <w:szCs w:val="22"/>
        </w:rPr>
        <w:t xml:space="preserve">the </w:t>
      </w:r>
      <w:r w:rsidRPr="00304DC8">
        <w:rPr>
          <w:sz w:val="22"/>
          <w:szCs w:val="22"/>
        </w:rPr>
        <w:t>consultation paper regarding the clearing obligation in FX. For other FX-instruments than forwards it is only interesting with a distinction between NDF and DF if capital restrictions apply.</w:t>
      </w:r>
    </w:p>
    <w:p w:rsidR="0071747A" w:rsidRPr="00304DC8" w:rsidRDefault="0071747A" w:rsidP="0071747A">
      <w:pPr>
        <w:rPr>
          <w:sz w:val="22"/>
          <w:szCs w:val="22"/>
        </w:rPr>
      </w:pPr>
    </w:p>
    <w:p w:rsidR="0071747A" w:rsidRPr="00304DC8" w:rsidRDefault="0071747A" w:rsidP="0071747A">
      <w:pPr>
        <w:rPr>
          <w:sz w:val="22"/>
          <w:szCs w:val="22"/>
        </w:rPr>
      </w:pPr>
      <w:r w:rsidRPr="00304DC8">
        <w:rPr>
          <w:sz w:val="22"/>
          <w:szCs w:val="22"/>
        </w:rPr>
        <w:t xml:space="preserve">Moreover, the NSA would like to underline that there is not consistency in the data used by ESMA. This may have the effect of qualifying one part of the contract as liquid and the other part illiquid. (For example, when looking at deliverable forwards in the table on page 64 DKK-EUR_1 month is deemed liquid, however EUR-DKK_1 month is illiquid. This highly indicates that the data is not correct. In our view there is no distinction between a NDF and a DF in for example EUR/DKK.) </w:t>
      </w:r>
    </w:p>
    <w:p w:rsidR="00BB04B2" w:rsidRPr="00304DC8" w:rsidRDefault="00BB04B2" w:rsidP="00A8728B">
      <w:pPr>
        <w:rPr>
          <w:b/>
          <w:sz w:val="22"/>
          <w:szCs w:val="22"/>
        </w:rPr>
      </w:pPr>
    </w:p>
    <w:p w:rsidR="00775B9C" w:rsidRPr="00304DC8" w:rsidRDefault="00775B9C" w:rsidP="00A8728B">
      <w:pPr>
        <w:rPr>
          <w:b/>
          <w:sz w:val="22"/>
          <w:szCs w:val="22"/>
        </w:rPr>
      </w:pPr>
      <w:r w:rsidRPr="00304DC8">
        <w:rPr>
          <w:b/>
          <w:sz w:val="22"/>
          <w:szCs w:val="22"/>
        </w:rPr>
        <w:t>Question 1</w:t>
      </w:r>
      <w:r w:rsidR="00745F3A" w:rsidRPr="00304DC8">
        <w:rPr>
          <w:b/>
          <w:sz w:val="22"/>
          <w:szCs w:val="22"/>
        </w:rPr>
        <w:t xml:space="preserve"> </w:t>
      </w:r>
      <w:r w:rsidRPr="00304DC8">
        <w:rPr>
          <w:b/>
          <w:sz w:val="22"/>
          <w:szCs w:val="22"/>
        </w:rPr>
        <w:t>(2)</w:t>
      </w:r>
    </w:p>
    <w:p w:rsidR="00B43041" w:rsidRPr="00304DC8" w:rsidRDefault="00BB04B2" w:rsidP="00A8728B">
      <w:pPr>
        <w:rPr>
          <w:sz w:val="22"/>
          <w:szCs w:val="22"/>
        </w:rPr>
      </w:pPr>
      <w:r w:rsidRPr="00304DC8">
        <w:rPr>
          <w:sz w:val="22"/>
          <w:szCs w:val="22"/>
        </w:rPr>
        <w:t xml:space="preserve">The </w:t>
      </w:r>
      <w:r w:rsidR="00C0501E" w:rsidRPr="00304DC8">
        <w:rPr>
          <w:sz w:val="22"/>
          <w:szCs w:val="22"/>
        </w:rPr>
        <w:t>NSA considers that the p</w:t>
      </w:r>
      <w:r w:rsidRPr="00304DC8">
        <w:rPr>
          <w:sz w:val="22"/>
          <w:szCs w:val="22"/>
        </w:rPr>
        <w:t xml:space="preserve">arameters </w:t>
      </w:r>
      <w:r w:rsidR="009305AE" w:rsidRPr="00304DC8">
        <w:rPr>
          <w:sz w:val="22"/>
          <w:szCs w:val="22"/>
        </w:rPr>
        <w:t xml:space="preserve">used for </w:t>
      </w:r>
      <w:r w:rsidR="00B43041" w:rsidRPr="00304DC8">
        <w:rPr>
          <w:sz w:val="22"/>
          <w:szCs w:val="22"/>
        </w:rPr>
        <w:t xml:space="preserve">the </w:t>
      </w:r>
      <w:r w:rsidR="00A34EFA" w:rsidRPr="00304DC8">
        <w:rPr>
          <w:sz w:val="22"/>
          <w:szCs w:val="22"/>
        </w:rPr>
        <w:t xml:space="preserve">liquidity classification </w:t>
      </w:r>
      <w:r w:rsidR="00FB12B7" w:rsidRPr="00304DC8">
        <w:rPr>
          <w:sz w:val="22"/>
          <w:szCs w:val="22"/>
        </w:rPr>
        <w:t xml:space="preserve">of classes and sub-classes </w:t>
      </w:r>
      <w:r w:rsidRPr="00304DC8">
        <w:rPr>
          <w:sz w:val="22"/>
          <w:szCs w:val="22"/>
        </w:rPr>
        <w:t xml:space="preserve">are fine per se. </w:t>
      </w:r>
    </w:p>
    <w:p w:rsidR="00B43041" w:rsidRPr="00304DC8" w:rsidRDefault="00B43041" w:rsidP="00A8728B">
      <w:pPr>
        <w:rPr>
          <w:sz w:val="22"/>
          <w:szCs w:val="22"/>
        </w:rPr>
      </w:pPr>
    </w:p>
    <w:p w:rsidR="00B43041" w:rsidRPr="00304DC8" w:rsidRDefault="00B43041" w:rsidP="00B43041">
      <w:pPr>
        <w:rPr>
          <w:sz w:val="22"/>
          <w:szCs w:val="22"/>
        </w:rPr>
      </w:pPr>
      <w:r w:rsidRPr="00304DC8">
        <w:rPr>
          <w:sz w:val="22"/>
          <w:szCs w:val="22"/>
        </w:rPr>
        <w:t xml:space="preserve">However, </w:t>
      </w:r>
      <w:r w:rsidR="009305AE" w:rsidRPr="00304DC8">
        <w:rPr>
          <w:sz w:val="22"/>
          <w:szCs w:val="22"/>
        </w:rPr>
        <w:t xml:space="preserve">the thresholds used for </w:t>
      </w:r>
      <w:r w:rsidRPr="00304DC8">
        <w:rPr>
          <w:sz w:val="22"/>
          <w:szCs w:val="22"/>
        </w:rPr>
        <w:t>the classification of derivative classes as liquid or non-liquid</w:t>
      </w:r>
      <w:r w:rsidR="009305AE" w:rsidRPr="00304DC8">
        <w:rPr>
          <w:sz w:val="22"/>
          <w:szCs w:val="22"/>
        </w:rPr>
        <w:t xml:space="preserve"> are </w:t>
      </w:r>
      <w:r w:rsidR="00530DC2" w:rsidRPr="00304DC8">
        <w:rPr>
          <w:sz w:val="22"/>
          <w:szCs w:val="22"/>
        </w:rPr>
        <w:t>set</w:t>
      </w:r>
      <w:r w:rsidR="00F34DD3" w:rsidRPr="00304DC8">
        <w:rPr>
          <w:sz w:val="22"/>
          <w:szCs w:val="22"/>
        </w:rPr>
        <w:t xml:space="preserve"> </w:t>
      </w:r>
      <w:r w:rsidR="002C3167" w:rsidRPr="00304DC8">
        <w:rPr>
          <w:sz w:val="22"/>
          <w:szCs w:val="22"/>
        </w:rPr>
        <w:t xml:space="preserve">far </w:t>
      </w:r>
      <w:r w:rsidR="009305AE" w:rsidRPr="00304DC8">
        <w:rPr>
          <w:sz w:val="22"/>
          <w:szCs w:val="22"/>
        </w:rPr>
        <w:t xml:space="preserve">too low. The </w:t>
      </w:r>
      <w:r w:rsidRPr="00304DC8">
        <w:rPr>
          <w:sz w:val="22"/>
          <w:szCs w:val="22"/>
        </w:rPr>
        <w:t xml:space="preserve">notional amount per day should be </w:t>
      </w:r>
      <w:r w:rsidR="009305AE" w:rsidRPr="00304DC8">
        <w:rPr>
          <w:sz w:val="22"/>
          <w:szCs w:val="22"/>
        </w:rPr>
        <w:t xml:space="preserve">increased from 500 million EUR </w:t>
      </w:r>
      <w:proofErr w:type="gramStart"/>
      <w:r w:rsidR="009305AE" w:rsidRPr="00304DC8">
        <w:rPr>
          <w:sz w:val="22"/>
          <w:szCs w:val="22"/>
        </w:rPr>
        <w:t xml:space="preserve">to </w:t>
      </w:r>
      <w:r w:rsidR="002C6C32" w:rsidRPr="00304DC8">
        <w:rPr>
          <w:sz w:val="22"/>
          <w:szCs w:val="22"/>
        </w:rPr>
        <w:t xml:space="preserve">5 </w:t>
      </w:r>
      <w:r w:rsidRPr="00304DC8">
        <w:rPr>
          <w:sz w:val="22"/>
          <w:szCs w:val="22"/>
        </w:rPr>
        <w:t>billon EUR.</w:t>
      </w:r>
      <w:proofErr w:type="gramEnd"/>
      <w:r w:rsidRPr="00304DC8">
        <w:rPr>
          <w:sz w:val="22"/>
          <w:szCs w:val="22"/>
        </w:rPr>
        <w:t xml:space="preserve"> </w:t>
      </w:r>
      <w:r w:rsidR="009305AE" w:rsidRPr="00304DC8">
        <w:rPr>
          <w:sz w:val="22"/>
          <w:szCs w:val="22"/>
        </w:rPr>
        <w:t>(</w:t>
      </w:r>
      <w:r w:rsidRPr="00304DC8">
        <w:rPr>
          <w:sz w:val="22"/>
          <w:szCs w:val="22"/>
        </w:rPr>
        <w:t>It is e</w:t>
      </w:r>
      <w:r w:rsidR="009305AE" w:rsidRPr="00304DC8">
        <w:rPr>
          <w:sz w:val="22"/>
          <w:szCs w:val="22"/>
        </w:rPr>
        <w:t>vident when looking at table 1 on page 17</w:t>
      </w:r>
      <w:r w:rsidRPr="00304DC8">
        <w:rPr>
          <w:sz w:val="22"/>
          <w:szCs w:val="22"/>
        </w:rPr>
        <w:t xml:space="preserve"> that the notional amount per day well exceeds the suggested 500 million EUR and therefore risks qualifying some asset classes as liquid</w:t>
      </w:r>
      <w:r w:rsidR="009305AE" w:rsidRPr="00304DC8">
        <w:rPr>
          <w:sz w:val="22"/>
          <w:szCs w:val="22"/>
        </w:rPr>
        <w:t xml:space="preserve"> which are not)</w:t>
      </w:r>
      <w:r w:rsidRPr="00304DC8">
        <w:rPr>
          <w:sz w:val="22"/>
          <w:szCs w:val="22"/>
        </w:rPr>
        <w:t xml:space="preserve">. </w:t>
      </w:r>
      <w:r w:rsidR="009305AE" w:rsidRPr="00304DC8">
        <w:rPr>
          <w:sz w:val="22"/>
          <w:szCs w:val="22"/>
        </w:rPr>
        <w:t>Moreover, a</w:t>
      </w:r>
      <w:r w:rsidRPr="00304DC8">
        <w:rPr>
          <w:sz w:val="22"/>
          <w:szCs w:val="22"/>
        </w:rPr>
        <w:t>s mentioned in the footnotes on page 17</w:t>
      </w:r>
      <w:r w:rsidR="009305AE" w:rsidRPr="00304DC8">
        <w:rPr>
          <w:sz w:val="22"/>
          <w:szCs w:val="22"/>
        </w:rPr>
        <w:t>,</w:t>
      </w:r>
      <w:r w:rsidRPr="00304DC8">
        <w:rPr>
          <w:sz w:val="22"/>
          <w:szCs w:val="22"/>
        </w:rPr>
        <w:t xml:space="preserve"> OTC trades can be carried out at any time and are thereby not restricted to certain trading hours or days. The NSA is </w:t>
      </w:r>
      <w:r w:rsidR="009305AE" w:rsidRPr="00304DC8">
        <w:rPr>
          <w:sz w:val="22"/>
          <w:szCs w:val="22"/>
        </w:rPr>
        <w:t xml:space="preserve">therefore </w:t>
      </w:r>
      <w:r w:rsidRPr="00304DC8">
        <w:rPr>
          <w:sz w:val="22"/>
          <w:szCs w:val="22"/>
        </w:rPr>
        <w:t xml:space="preserve">of the opinion that the number of days traded should be </w:t>
      </w:r>
      <w:r w:rsidR="009305AE" w:rsidRPr="00304DC8">
        <w:rPr>
          <w:sz w:val="22"/>
          <w:szCs w:val="22"/>
        </w:rPr>
        <w:t xml:space="preserve">increased to </w:t>
      </w:r>
      <w:r w:rsidRPr="00304DC8">
        <w:rPr>
          <w:sz w:val="22"/>
          <w:szCs w:val="22"/>
        </w:rPr>
        <w:t xml:space="preserve">90% or higher. </w:t>
      </w:r>
      <w:r w:rsidR="009305AE" w:rsidRPr="00304DC8">
        <w:rPr>
          <w:sz w:val="22"/>
          <w:szCs w:val="22"/>
        </w:rPr>
        <w:t xml:space="preserve">Also the </w:t>
      </w:r>
      <w:r w:rsidRPr="00304DC8">
        <w:rPr>
          <w:sz w:val="22"/>
          <w:szCs w:val="22"/>
        </w:rPr>
        <w:t>average number of trades per day</w:t>
      </w:r>
      <w:r w:rsidR="009305AE" w:rsidRPr="00304DC8">
        <w:rPr>
          <w:sz w:val="22"/>
          <w:szCs w:val="22"/>
        </w:rPr>
        <w:t xml:space="preserve"> should be </w:t>
      </w:r>
      <w:r w:rsidRPr="00304DC8">
        <w:rPr>
          <w:sz w:val="22"/>
          <w:szCs w:val="22"/>
        </w:rPr>
        <w:t xml:space="preserve">higher than 100. </w:t>
      </w:r>
      <w:r w:rsidR="009305AE" w:rsidRPr="00304DC8">
        <w:rPr>
          <w:sz w:val="22"/>
          <w:szCs w:val="22"/>
        </w:rPr>
        <w:t xml:space="preserve">In the opinion of NSA, </w:t>
      </w:r>
      <w:r w:rsidRPr="00304DC8">
        <w:rPr>
          <w:sz w:val="22"/>
          <w:szCs w:val="22"/>
        </w:rPr>
        <w:t>400 trades per day or more</w:t>
      </w:r>
      <w:r w:rsidR="009305AE" w:rsidRPr="00304DC8">
        <w:rPr>
          <w:sz w:val="22"/>
          <w:szCs w:val="22"/>
        </w:rPr>
        <w:t xml:space="preserve"> is more reasonable</w:t>
      </w:r>
      <w:r w:rsidRPr="00304DC8">
        <w:rPr>
          <w:sz w:val="22"/>
          <w:szCs w:val="22"/>
        </w:rPr>
        <w:t xml:space="preserve">. </w:t>
      </w:r>
    </w:p>
    <w:p w:rsidR="00B43041" w:rsidRPr="00304DC8" w:rsidRDefault="00B43041" w:rsidP="00A8728B">
      <w:pPr>
        <w:rPr>
          <w:sz w:val="22"/>
          <w:szCs w:val="22"/>
        </w:rPr>
      </w:pPr>
    </w:p>
    <w:p w:rsidR="00B43041" w:rsidRPr="00304DC8" w:rsidRDefault="009305AE" w:rsidP="00B43041">
      <w:pPr>
        <w:rPr>
          <w:sz w:val="22"/>
          <w:szCs w:val="22"/>
        </w:rPr>
      </w:pPr>
      <w:r w:rsidRPr="00304DC8">
        <w:rPr>
          <w:sz w:val="22"/>
          <w:szCs w:val="22"/>
        </w:rPr>
        <w:t xml:space="preserve">In addition, as regards the liquidity assessment of the sub-classes, it is not acceptable to classify as liquid an instrument that only trades </w:t>
      </w:r>
      <w:r w:rsidR="00B43041" w:rsidRPr="00304DC8">
        <w:rPr>
          <w:sz w:val="22"/>
          <w:szCs w:val="22"/>
        </w:rPr>
        <w:t>once or twice per day</w:t>
      </w:r>
      <w:r w:rsidRPr="00304DC8">
        <w:rPr>
          <w:sz w:val="22"/>
          <w:szCs w:val="22"/>
        </w:rPr>
        <w:t>.</w:t>
      </w:r>
      <w:r w:rsidR="00B43041" w:rsidRPr="00304DC8">
        <w:rPr>
          <w:sz w:val="22"/>
          <w:szCs w:val="22"/>
        </w:rPr>
        <w:t xml:space="preserve"> (</w:t>
      </w:r>
      <w:r w:rsidRPr="00304DC8">
        <w:rPr>
          <w:sz w:val="22"/>
          <w:szCs w:val="22"/>
        </w:rPr>
        <w:t>The p</w:t>
      </w:r>
      <w:r w:rsidR="00B43041" w:rsidRPr="00304DC8">
        <w:rPr>
          <w:sz w:val="22"/>
          <w:szCs w:val="22"/>
        </w:rPr>
        <w:t xml:space="preserve">roposal is once per day for Forwards and Futures and five times per day for Swaps). In our opinion, 10 times per day is </w:t>
      </w:r>
      <w:r w:rsidR="00C0501E" w:rsidRPr="00304DC8">
        <w:rPr>
          <w:sz w:val="22"/>
          <w:szCs w:val="22"/>
        </w:rPr>
        <w:t xml:space="preserve">a </w:t>
      </w:r>
      <w:r w:rsidR="00B43041" w:rsidRPr="00304DC8">
        <w:rPr>
          <w:sz w:val="22"/>
          <w:szCs w:val="22"/>
        </w:rPr>
        <w:t>more reasonable thresh</w:t>
      </w:r>
      <w:r w:rsidRPr="00304DC8">
        <w:rPr>
          <w:sz w:val="22"/>
          <w:szCs w:val="22"/>
        </w:rPr>
        <w:t xml:space="preserve">old in order to capture </w:t>
      </w:r>
      <w:r w:rsidR="00FB12B7" w:rsidRPr="00304DC8">
        <w:rPr>
          <w:sz w:val="22"/>
          <w:szCs w:val="22"/>
        </w:rPr>
        <w:t xml:space="preserve">truly </w:t>
      </w:r>
      <w:r w:rsidR="00B43041" w:rsidRPr="00304DC8">
        <w:rPr>
          <w:sz w:val="22"/>
          <w:szCs w:val="22"/>
        </w:rPr>
        <w:t xml:space="preserve">liquid </w:t>
      </w:r>
      <w:r w:rsidRPr="00304DC8">
        <w:rPr>
          <w:sz w:val="22"/>
          <w:szCs w:val="22"/>
        </w:rPr>
        <w:t>FX-derivatives.</w:t>
      </w:r>
      <w:r w:rsidR="00B43041" w:rsidRPr="00304DC8">
        <w:rPr>
          <w:sz w:val="22"/>
          <w:szCs w:val="22"/>
        </w:rPr>
        <w:t xml:space="preserve"> </w:t>
      </w:r>
    </w:p>
    <w:p w:rsidR="00B43041" w:rsidRPr="00304DC8" w:rsidRDefault="00B43041" w:rsidP="00A8728B">
      <w:pPr>
        <w:rPr>
          <w:sz w:val="22"/>
          <w:szCs w:val="22"/>
        </w:rPr>
      </w:pPr>
    </w:p>
    <w:p w:rsidR="00775B9C" w:rsidRPr="00304DC8" w:rsidRDefault="00775B9C" w:rsidP="00A8728B">
      <w:pPr>
        <w:rPr>
          <w:b/>
          <w:sz w:val="22"/>
          <w:szCs w:val="22"/>
        </w:rPr>
      </w:pPr>
      <w:r w:rsidRPr="00304DC8">
        <w:rPr>
          <w:b/>
          <w:sz w:val="22"/>
          <w:szCs w:val="22"/>
        </w:rPr>
        <w:t>Question 1</w:t>
      </w:r>
      <w:r w:rsidR="00745F3A" w:rsidRPr="00304DC8">
        <w:rPr>
          <w:b/>
          <w:sz w:val="22"/>
          <w:szCs w:val="22"/>
        </w:rPr>
        <w:t xml:space="preserve"> </w:t>
      </w:r>
      <w:r w:rsidRPr="00304DC8">
        <w:rPr>
          <w:b/>
          <w:sz w:val="22"/>
          <w:szCs w:val="22"/>
        </w:rPr>
        <w:t xml:space="preserve">(3) </w:t>
      </w:r>
    </w:p>
    <w:p w:rsidR="009305AE" w:rsidRPr="00304DC8" w:rsidRDefault="009305AE" w:rsidP="009305AE">
      <w:pPr>
        <w:rPr>
          <w:sz w:val="22"/>
          <w:szCs w:val="22"/>
        </w:rPr>
      </w:pPr>
      <w:r w:rsidRPr="00304DC8">
        <w:rPr>
          <w:sz w:val="22"/>
          <w:szCs w:val="22"/>
        </w:rPr>
        <w:t xml:space="preserve">Generally when looking at these subclasses, it is difficult to qualify contracts longer than 6 months </w:t>
      </w:r>
      <w:r w:rsidR="00530DC2" w:rsidRPr="00304DC8">
        <w:rPr>
          <w:sz w:val="22"/>
          <w:szCs w:val="22"/>
        </w:rPr>
        <w:t>as</w:t>
      </w:r>
      <w:r w:rsidRPr="00304DC8">
        <w:rPr>
          <w:sz w:val="22"/>
          <w:szCs w:val="22"/>
        </w:rPr>
        <w:t xml:space="preserve"> liquid. This is partly due to the nature of these subclasses but is also related to the lack of reliable data. Ther</w:t>
      </w:r>
      <w:r w:rsidR="00F231FB" w:rsidRPr="00304DC8">
        <w:rPr>
          <w:sz w:val="22"/>
          <w:szCs w:val="22"/>
        </w:rPr>
        <w:t>efore the NSA is of the opinion</w:t>
      </w:r>
      <w:r w:rsidRPr="00304DC8">
        <w:rPr>
          <w:sz w:val="22"/>
          <w:szCs w:val="22"/>
        </w:rPr>
        <w:t xml:space="preserve"> that contracts longer than 6 months should be considered illiquid. </w:t>
      </w:r>
    </w:p>
    <w:p w:rsidR="009305AE" w:rsidRPr="00304DC8" w:rsidRDefault="009305AE" w:rsidP="00A8728B">
      <w:pPr>
        <w:rPr>
          <w:sz w:val="22"/>
          <w:szCs w:val="22"/>
        </w:rPr>
      </w:pPr>
    </w:p>
    <w:p w:rsidR="00815F62" w:rsidRPr="00304DC8" w:rsidRDefault="0070736F" w:rsidP="00815F62">
      <w:pPr>
        <w:pStyle w:val="Kommentarer"/>
        <w:rPr>
          <w:sz w:val="22"/>
          <w:szCs w:val="22"/>
        </w:rPr>
      </w:pPr>
      <w:r w:rsidRPr="00304DC8">
        <w:rPr>
          <w:sz w:val="22"/>
          <w:szCs w:val="22"/>
        </w:rPr>
        <w:t xml:space="preserve">ESMA should also be aware that all forwards with tenor &gt; 3 months are </w:t>
      </w:r>
      <w:r w:rsidR="002C3167" w:rsidRPr="00304DC8">
        <w:rPr>
          <w:sz w:val="22"/>
          <w:szCs w:val="22"/>
        </w:rPr>
        <w:t xml:space="preserve">very </w:t>
      </w:r>
      <w:r w:rsidRPr="00304DC8">
        <w:rPr>
          <w:sz w:val="22"/>
          <w:szCs w:val="22"/>
        </w:rPr>
        <w:t>illiquid without a market maker market</w:t>
      </w:r>
      <w:r w:rsidR="00815F62" w:rsidRPr="00304DC8">
        <w:rPr>
          <w:sz w:val="22"/>
          <w:szCs w:val="22"/>
        </w:rPr>
        <w:t xml:space="preserve">. The assessment technique for </w:t>
      </w:r>
      <w:r w:rsidR="009F0AFE" w:rsidRPr="00304DC8">
        <w:rPr>
          <w:sz w:val="22"/>
          <w:szCs w:val="22"/>
        </w:rPr>
        <w:t xml:space="preserve">the </w:t>
      </w:r>
      <w:r w:rsidR="00815F62" w:rsidRPr="00304DC8">
        <w:rPr>
          <w:sz w:val="22"/>
          <w:szCs w:val="22"/>
        </w:rPr>
        <w:t>definition of liquid</w:t>
      </w:r>
      <w:r w:rsidR="009F0AFE" w:rsidRPr="00304DC8">
        <w:rPr>
          <w:sz w:val="22"/>
          <w:szCs w:val="22"/>
        </w:rPr>
        <w:t>ity</w:t>
      </w:r>
      <w:r w:rsidR="00815F62" w:rsidRPr="00304DC8">
        <w:rPr>
          <w:sz w:val="22"/>
          <w:szCs w:val="22"/>
        </w:rPr>
        <w:t xml:space="preserve"> is paramount. Forwards with a maturity equal to or shorter than 3 m</w:t>
      </w:r>
      <w:r w:rsidR="00263037" w:rsidRPr="00304DC8">
        <w:rPr>
          <w:sz w:val="22"/>
          <w:szCs w:val="22"/>
        </w:rPr>
        <w:t>on</w:t>
      </w:r>
      <w:r w:rsidR="00815F62" w:rsidRPr="00304DC8">
        <w:rPr>
          <w:sz w:val="22"/>
          <w:szCs w:val="22"/>
        </w:rPr>
        <w:t xml:space="preserve">ths are liquid in larger FX-pairs, while longer tenors’ turnover – that has made the contract liquid – is market maker dependant. Hence the ex-ante assessment is liquid while the ex-post </w:t>
      </w:r>
      <w:r w:rsidR="00263037" w:rsidRPr="00304DC8">
        <w:rPr>
          <w:sz w:val="22"/>
          <w:szCs w:val="22"/>
        </w:rPr>
        <w:t xml:space="preserve">assessment </w:t>
      </w:r>
      <w:r w:rsidR="00815F62" w:rsidRPr="00304DC8">
        <w:rPr>
          <w:sz w:val="22"/>
          <w:szCs w:val="22"/>
        </w:rPr>
        <w:t>is likely to be illiquid.</w:t>
      </w:r>
    </w:p>
    <w:p w:rsidR="00420BF3" w:rsidRPr="00304DC8" w:rsidRDefault="00420BF3" w:rsidP="00A8728B">
      <w:pPr>
        <w:rPr>
          <w:sz w:val="22"/>
          <w:szCs w:val="22"/>
        </w:rPr>
      </w:pPr>
    </w:p>
    <w:p w:rsidR="00A8728B" w:rsidRPr="00487875" w:rsidRDefault="00143F12" w:rsidP="00A8728B">
      <w:pPr>
        <w:rPr>
          <w:sz w:val="22"/>
          <w:szCs w:val="22"/>
        </w:rPr>
      </w:pPr>
      <w:r w:rsidRPr="00304DC8">
        <w:rPr>
          <w:rFonts w:cs="Arial"/>
          <w:sz w:val="22"/>
          <w:szCs w:val="22"/>
        </w:rPr>
        <w:t xml:space="preserve">Moreover, the NSA </w:t>
      </w:r>
      <w:r w:rsidR="00F02A06" w:rsidRPr="00304DC8">
        <w:rPr>
          <w:rFonts w:cs="Arial"/>
          <w:sz w:val="22"/>
          <w:szCs w:val="22"/>
        </w:rPr>
        <w:t xml:space="preserve">proposes </w:t>
      </w:r>
      <w:r w:rsidRPr="00304DC8">
        <w:rPr>
          <w:rFonts w:cs="Arial"/>
          <w:sz w:val="22"/>
          <w:szCs w:val="22"/>
        </w:rPr>
        <w:t>that E</w:t>
      </w:r>
      <w:r w:rsidR="00C725CA" w:rsidRPr="00304DC8">
        <w:rPr>
          <w:rFonts w:cs="Arial"/>
          <w:sz w:val="22"/>
          <w:szCs w:val="22"/>
        </w:rPr>
        <w:t>SMA</w:t>
      </w:r>
      <w:r w:rsidRPr="00304DC8">
        <w:rPr>
          <w:rFonts w:cs="Arial"/>
          <w:sz w:val="22"/>
          <w:szCs w:val="22"/>
        </w:rPr>
        <w:t xml:space="preserve"> reconsider</w:t>
      </w:r>
      <w:r w:rsidR="00F02A06" w:rsidRPr="00304DC8">
        <w:rPr>
          <w:rFonts w:cs="Arial"/>
          <w:sz w:val="22"/>
          <w:szCs w:val="22"/>
        </w:rPr>
        <w:t>s</w:t>
      </w:r>
      <w:r w:rsidRPr="00304DC8">
        <w:rPr>
          <w:rFonts w:cs="Arial"/>
          <w:sz w:val="22"/>
          <w:szCs w:val="22"/>
        </w:rPr>
        <w:t xml:space="preserve"> the </w:t>
      </w:r>
      <w:r w:rsidR="00420BF3" w:rsidRPr="00304DC8">
        <w:rPr>
          <w:rFonts w:cs="Arial"/>
          <w:sz w:val="22"/>
          <w:szCs w:val="22"/>
        </w:rPr>
        <w:t>liquidity assessment</w:t>
      </w:r>
      <w:r w:rsidRPr="00304DC8">
        <w:rPr>
          <w:rFonts w:cs="Arial"/>
          <w:sz w:val="22"/>
          <w:szCs w:val="22"/>
        </w:rPr>
        <w:t xml:space="preserve"> for FX options</w:t>
      </w:r>
      <w:r w:rsidR="00420BF3" w:rsidRPr="00304DC8">
        <w:rPr>
          <w:rFonts w:cs="Arial"/>
          <w:sz w:val="22"/>
          <w:szCs w:val="22"/>
        </w:rPr>
        <w:t>. We would suggest that an FX option would not be considered a liquid product if (one of) the input variables for the option pricing (i.e. FX swap) is itself considered illiquid.</w:t>
      </w:r>
      <w:r w:rsidR="000D4A45" w:rsidRPr="00304DC8">
        <w:rPr>
          <w:rFonts w:cs="Arial"/>
          <w:sz w:val="22"/>
          <w:szCs w:val="22"/>
        </w:rPr>
        <w:t xml:space="preserve"> This “link” is not presently considered in ESMA’s proposal.</w:t>
      </w:r>
    </w:p>
    <w:permEnd w:id="1274353787"/>
    <w:p w:rsidR="00A8728B" w:rsidRDefault="00A8728B" w:rsidP="00A8728B">
      <w:r>
        <w:t>&lt;ESMA_QUESTION_MIFID_ADD_1&gt;</w:t>
      </w:r>
    </w:p>
    <w:p w:rsidR="00A8728B" w:rsidRDefault="00A8728B" w:rsidP="00A8728B">
      <w:pPr>
        <w:pStyle w:val="CPQuestions"/>
        <w:ind w:left="714" w:hanging="357"/>
      </w:pPr>
      <w:r w:rsidRPr="00C24BCA">
        <w:t>Do you agree with ESMA’s proposal for foreign exchange derivatives? Please specify, for each sub-class (non-deliverable forwards</w:t>
      </w:r>
      <w:r>
        <w:t xml:space="preserve"> (NDF), deliverable forwards (DF)</w:t>
      </w:r>
      <w:r w:rsidRPr="000E6B5B">
        <w:t xml:space="preserve">, </w:t>
      </w:r>
      <w:r>
        <w:t>FX options, FX swaps,</w:t>
      </w:r>
      <w:r w:rsidRPr="00A94FC9">
        <w:t xml:space="preserve"> </w:t>
      </w:r>
      <w:r>
        <w:t>spread betting and FX futures)</w:t>
      </w:r>
      <w:r w:rsidRPr="000E6B5B">
        <w:t xml:space="preserve"> if you agree on the fo</w:t>
      </w:r>
      <w:r w:rsidRPr="000E6B5B">
        <w:t>l</w:t>
      </w:r>
      <w:r w:rsidRPr="000E6B5B">
        <w:t>lowing points providing reasons for your answer and, if you disagree providing ESMA with your alternative proposal:</w:t>
      </w:r>
      <w:r w:rsidRPr="00B62727">
        <w:t xml:space="preserve"> </w:t>
      </w:r>
    </w:p>
    <w:p w:rsidR="00A8728B" w:rsidRPr="00B62727" w:rsidRDefault="00A8728B" w:rsidP="00566C6A">
      <w:pPr>
        <w:pStyle w:val="CPQuest2"/>
        <w:numPr>
          <w:ilvl w:val="0"/>
          <w:numId w:val="37"/>
        </w:numPr>
      </w:pPr>
      <w:r w:rsidRPr="00B62727">
        <w:t>deferral period set to 48 hours</w:t>
      </w:r>
    </w:p>
    <w:p w:rsidR="00A8728B" w:rsidRPr="00B62727" w:rsidRDefault="00A8728B" w:rsidP="00566C6A">
      <w:pPr>
        <w:pStyle w:val="CPQuest2"/>
      </w:pPr>
      <w:r w:rsidRPr="00B62727">
        <w:t>size specific to the instrument threshold set as 50% of the large in scale threshold</w:t>
      </w:r>
    </w:p>
    <w:p w:rsidR="00A8728B" w:rsidRPr="00C24BCA" w:rsidRDefault="00A8728B" w:rsidP="00566C6A">
      <w:pPr>
        <w:pStyle w:val="CPQuest2"/>
      </w:pPr>
      <w:r w:rsidRPr="00B62727">
        <w:t xml:space="preserve">volume measure used to set the large in scale and size specific to the instrument threshold as </w:t>
      </w:r>
      <w:r w:rsidRPr="00C24BCA">
        <w:t>specified in Annex II, Table 3 of draft RTS 9</w:t>
      </w:r>
    </w:p>
    <w:p w:rsidR="00A8728B" w:rsidRPr="00B62727" w:rsidRDefault="00A8728B" w:rsidP="00566C6A">
      <w:pPr>
        <w:pStyle w:val="CPQuest2"/>
      </w:pPr>
      <w:r w:rsidRPr="00B62727">
        <w:t xml:space="preserve">pre-trade and post-trade </w:t>
      </w:r>
      <w:r>
        <w:t>thresholds set at the same size</w:t>
      </w:r>
    </w:p>
    <w:p w:rsidR="00A8728B" w:rsidRDefault="00A8728B" w:rsidP="00566C6A">
      <w:pPr>
        <w:pStyle w:val="CPQuest2"/>
      </w:pPr>
      <w:r w:rsidRPr="00B62727">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w:t>
      </w:r>
      <w:r w:rsidRPr="00B62727">
        <w:t>r</w:t>
      </w:r>
      <w:r w:rsidRPr="00B62727">
        <w:t>ence for a system with recalculation (i.e. option 2), provide feedback on the thresholds determined for 2017 and on the methodology to recalculate the thres</w:t>
      </w:r>
      <w:r w:rsidRPr="00B62727">
        <w:t>h</w:t>
      </w:r>
      <w:r w:rsidRPr="00B62727">
        <w:t>olds from 2018 onwards including the level of granularity of the classes on which the recalculations will be performed</w:t>
      </w:r>
    </w:p>
    <w:p w:rsidR="00A8728B" w:rsidRPr="00B62727" w:rsidRDefault="00A8728B" w:rsidP="00566C6A">
      <w:pPr>
        <w:pStyle w:val="CPQuest2"/>
      </w:pPr>
      <w:r>
        <w:rPr>
          <w:u w:val="single"/>
        </w:rPr>
        <w:t>f</w:t>
      </w:r>
      <w:r w:rsidRPr="00A94FC9">
        <w:rPr>
          <w:u w:val="single"/>
        </w:rPr>
        <w:t xml:space="preserve">or non-deliverable forwards (NDF) and spread betting </w:t>
      </w:r>
      <w:r>
        <w:rPr>
          <w:u w:val="single"/>
        </w:rPr>
        <w:t xml:space="preserve">contracts </w:t>
      </w:r>
      <w:r w:rsidRPr="00A94FC9">
        <w:rPr>
          <w:u w:val="single"/>
        </w:rPr>
        <w:t>only:</w:t>
      </w:r>
      <w:r>
        <w:t xml:space="preserve"> </w:t>
      </w:r>
      <w:r w:rsidRPr="00A90E83">
        <w:t>express your preference</w:t>
      </w:r>
      <w:r>
        <w:t xml:space="preserve"> for </w:t>
      </w:r>
      <w:r w:rsidRPr="00A90E83">
        <w:t>either “</w:t>
      </w:r>
      <w:r>
        <w:t>Alternative</w:t>
      </w:r>
      <w:r w:rsidRPr="00A90E83">
        <w:t xml:space="preserve"> </w:t>
      </w:r>
      <w:r>
        <w:t>A</w:t>
      </w:r>
      <w:r w:rsidRPr="00A90E83">
        <w:t>” or “</w:t>
      </w:r>
      <w:r>
        <w:t>Alternative</w:t>
      </w:r>
      <w:r w:rsidRPr="00A90E83">
        <w:t xml:space="preserve"> </w:t>
      </w:r>
      <w:r>
        <w:t>B</w:t>
      </w:r>
      <w:r w:rsidRPr="00A90E83">
        <w:t xml:space="preserve">”. If you disagree with both ESMA’s proposal provides your alternative proposal </w:t>
      </w:r>
      <w:r>
        <w:t>for the LIS threshold floor.</w:t>
      </w:r>
    </w:p>
    <w:p w:rsidR="00A8728B" w:rsidRDefault="00A8728B" w:rsidP="00A8728B">
      <w:r>
        <w:t>&lt;ESMA_QUESTION_MIFID_ADD_2&gt;</w:t>
      </w:r>
    </w:p>
    <w:p w:rsidR="00DE0CD6" w:rsidRPr="00304DC8" w:rsidRDefault="00DE0CD6" w:rsidP="00DE0CD6">
      <w:pPr>
        <w:rPr>
          <w:sz w:val="22"/>
          <w:szCs w:val="22"/>
        </w:rPr>
      </w:pPr>
      <w:permStart w:id="60508007" w:edGrp="everyone"/>
      <w:r w:rsidRPr="00304DC8">
        <w:rPr>
          <w:sz w:val="22"/>
          <w:szCs w:val="22"/>
        </w:rPr>
        <w:t>Please note that unless otherwise stated, NSA’s reply below is valid for all FX- derivatives me</w:t>
      </w:r>
      <w:r w:rsidRPr="00304DC8">
        <w:rPr>
          <w:sz w:val="22"/>
          <w:szCs w:val="22"/>
        </w:rPr>
        <w:t>n</w:t>
      </w:r>
      <w:r w:rsidRPr="00304DC8">
        <w:rPr>
          <w:sz w:val="22"/>
          <w:szCs w:val="22"/>
        </w:rPr>
        <w:t xml:space="preserve">tioned in the question (deliverable forwards, non-deliverable forwards, </w:t>
      </w:r>
      <w:r w:rsidR="00A979AE" w:rsidRPr="00304DC8">
        <w:rPr>
          <w:sz w:val="22"/>
          <w:szCs w:val="22"/>
        </w:rPr>
        <w:t xml:space="preserve">FX </w:t>
      </w:r>
      <w:r w:rsidRPr="00304DC8">
        <w:rPr>
          <w:sz w:val="22"/>
          <w:szCs w:val="22"/>
        </w:rPr>
        <w:t xml:space="preserve">options, </w:t>
      </w:r>
      <w:r w:rsidR="00A979AE" w:rsidRPr="00304DC8">
        <w:rPr>
          <w:sz w:val="22"/>
          <w:szCs w:val="22"/>
        </w:rPr>
        <w:t xml:space="preserve">FX </w:t>
      </w:r>
      <w:r w:rsidRPr="00304DC8">
        <w:rPr>
          <w:sz w:val="22"/>
          <w:szCs w:val="22"/>
        </w:rPr>
        <w:t xml:space="preserve">swaps, spread betting contracts and </w:t>
      </w:r>
      <w:r w:rsidR="00A979AE" w:rsidRPr="00304DC8">
        <w:rPr>
          <w:sz w:val="22"/>
          <w:szCs w:val="22"/>
        </w:rPr>
        <w:t xml:space="preserve">FX </w:t>
      </w:r>
      <w:r w:rsidR="001669ED" w:rsidRPr="00304DC8">
        <w:rPr>
          <w:sz w:val="22"/>
          <w:szCs w:val="22"/>
        </w:rPr>
        <w:t>futures).</w:t>
      </w:r>
      <w:r w:rsidRPr="00304DC8">
        <w:rPr>
          <w:sz w:val="22"/>
          <w:szCs w:val="22"/>
        </w:rPr>
        <w:t xml:space="preserve"> </w:t>
      </w:r>
    </w:p>
    <w:p w:rsidR="00DE0CD6" w:rsidRPr="00304DC8" w:rsidRDefault="00DE0CD6" w:rsidP="00DE0CD6">
      <w:pPr>
        <w:rPr>
          <w:sz w:val="22"/>
          <w:szCs w:val="22"/>
        </w:rPr>
      </w:pPr>
    </w:p>
    <w:p w:rsidR="00A34EFA" w:rsidRPr="00304DC8" w:rsidRDefault="00DE0CD6" w:rsidP="00DE0CD6">
      <w:pPr>
        <w:rPr>
          <w:sz w:val="22"/>
          <w:szCs w:val="22"/>
          <w:u w:val="single"/>
        </w:rPr>
      </w:pPr>
      <w:r w:rsidRPr="00304DC8">
        <w:rPr>
          <w:rFonts w:eastAsia="Calibri"/>
          <w:sz w:val="22"/>
          <w:szCs w:val="22"/>
          <w:u w:val="single"/>
        </w:rPr>
        <w:t>General comments:</w:t>
      </w:r>
      <w:r w:rsidR="00A979AE" w:rsidRPr="00304DC8">
        <w:rPr>
          <w:sz w:val="22"/>
          <w:szCs w:val="22"/>
          <w:u w:val="single"/>
        </w:rPr>
        <w:t xml:space="preserve"> </w:t>
      </w:r>
    </w:p>
    <w:p w:rsidR="00DE0CD6" w:rsidRPr="00304DC8" w:rsidRDefault="00DE0CD6" w:rsidP="00DE0CD6">
      <w:pPr>
        <w:rPr>
          <w:rFonts w:eastAsia="Calibri"/>
          <w:sz w:val="22"/>
          <w:szCs w:val="22"/>
        </w:rPr>
      </w:pPr>
      <w:r w:rsidRPr="00304DC8">
        <w:rPr>
          <w:rFonts w:eastAsia="Calibri"/>
          <w:sz w:val="22"/>
          <w:szCs w:val="22"/>
        </w:rPr>
        <w:t xml:space="preserve">The NSA agrees with ESMA that it is </w:t>
      </w:r>
      <w:r w:rsidRPr="00304DC8">
        <w:rPr>
          <w:rFonts w:eastAsia="Calibri"/>
          <w:sz w:val="22"/>
          <w:szCs w:val="22"/>
          <w:u w:val="single"/>
        </w:rPr>
        <w:t>necessary to have a flexible deferral regime</w:t>
      </w:r>
      <w:r w:rsidRPr="00304DC8">
        <w:rPr>
          <w:rFonts w:eastAsia="Calibri"/>
          <w:sz w:val="22"/>
          <w:szCs w:val="22"/>
        </w:rPr>
        <w:t xml:space="preserve"> as a means of reducing the negative effects that could be </w:t>
      </w:r>
      <w:r w:rsidR="00530DC2" w:rsidRPr="00304DC8">
        <w:rPr>
          <w:rFonts w:eastAsia="Calibri"/>
          <w:sz w:val="22"/>
          <w:szCs w:val="22"/>
        </w:rPr>
        <w:t>the result of an increased post-</w:t>
      </w:r>
      <w:r w:rsidRPr="00304DC8">
        <w:rPr>
          <w:rFonts w:eastAsia="Calibri"/>
          <w:sz w:val="22"/>
          <w:szCs w:val="22"/>
        </w:rPr>
        <w:t>trade transparency for some non-equity markets</w:t>
      </w:r>
      <w:r w:rsidR="00F231FB" w:rsidRPr="00304DC8">
        <w:rPr>
          <w:rFonts w:eastAsia="Calibri"/>
          <w:sz w:val="22"/>
          <w:szCs w:val="22"/>
        </w:rPr>
        <w:t xml:space="preserve">. This is in </w:t>
      </w:r>
      <w:r w:rsidRPr="00304DC8">
        <w:rPr>
          <w:rFonts w:eastAsia="Calibri"/>
          <w:sz w:val="22"/>
          <w:szCs w:val="22"/>
        </w:rPr>
        <w:t xml:space="preserve">particular </w:t>
      </w:r>
      <w:r w:rsidR="00F231FB" w:rsidRPr="00304DC8">
        <w:rPr>
          <w:rFonts w:eastAsia="Calibri"/>
          <w:sz w:val="22"/>
          <w:szCs w:val="22"/>
        </w:rPr>
        <w:t xml:space="preserve">true for </w:t>
      </w:r>
      <w:r w:rsidRPr="00304DC8">
        <w:rPr>
          <w:rFonts w:eastAsia="Calibri"/>
          <w:sz w:val="22"/>
          <w:szCs w:val="22"/>
        </w:rPr>
        <w:t xml:space="preserve">smaller markets which are dependent on market making (such as the Nordics). </w:t>
      </w:r>
    </w:p>
    <w:p w:rsidR="00DE0CD6" w:rsidRPr="00304DC8" w:rsidRDefault="00DE0CD6" w:rsidP="00DE0CD6">
      <w:pPr>
        <w:rPr>
          <w:rFonts w:eastAsia="Calibri"/>
          <w:sz w:val="22"/>
          <w:szCs w:val="22"/>
        </w:rPr>
      </w:pPr>
    </w:p>
    <w:p w:rsidR="00DE0CD6" w:rsidRPr="00304DC8" w:rsidRDefault="00DE0CD6" w:rsidP="00861EC1">
      <w:pPr>
        <w:rPr>
          <w:rFonts w:eastAsia="Calibri"/>
          <w:sz w:val="22"/>
          <w:szCs w:val="22"/>
        </w:rPr>
      </w:pPr>
      <w:r w:rsidRPr="00304DC8">
        <w:rPr>
          <w:rFonts w:eastAsia="Calibri"/>
          <w:sz w:val="22"/>
          <w:szCs w:val="22"/>
        </w:rPr>
        <w:t xml:space="preserve">The NSA </w:t>
      </w:r>
      <w:r w:rsidR="00F231FB" w:rsidRPr="00304DC8">
        <w:rPr>
          <w:rFonts w:eastAsia="Calibri"/>
          <w:sz w:val="22"/>
          <w:szCs w:val="22"/>
        </w:rPr>
        <w:t xml:space="preserve">also </w:t>
      </w:r>
      <w:r w:rsidRPr="00304DC8">
        <w:rPr>
          <w:rFonts w:eastAsia="Calibri"/>
          <w:sz w:val="22"/>
          <w:szCs w:val="22"/>
        </w:rPr>
        <w:t>shares ESMA’s view that it is not pos</w:t>
      </w:r>
      <w:r w:rsidR="009F0AFE" w:rsidRPr="00304DC8">
        <w:rPr>
          <w:rFonts w:eastAsia="Calibri"/>
          <w:sz w:val="22"/>
          <w:szCs w:val="22"/>
        </w:rPr>
        <w:t xml:space="preserve">sible to copy/paste the transparency </w:t>
      </w:r>
      <w:r w:rsidRPr="00304DC8">
        <w:rPr>
          <w:rFonts w:eastAsia="Calibri"/>
          <w:sz w:val="22"/>
          <w:szCs w:val="22"/>
        </w:rPr>
        <w:t>re</w:t>
      </w:r>
      <w:r w:rsidR="009F0AFE" w:rsidRPr="00304DC8">
        <w:rPr>
          <w:rFonts w:eastAsia="Calibri"/>
          <w:sz w:val="22"/>
          <w:szCs w:val="22"/>
        </w:rPr>
        <w:t>gime for e</w:t>
      </w:r>
      <w:r w:rsidRPr="00304DC8">
        <w:rPr>
          <w:rFonts w:eastAsia="Calibri"/>
          <w:sz w:val="22"/>
          <w:szCs w:val="22"/>
        </w:rPr>
        <w:t xml:space="preserve">quities or the US transparency regime considering the major differences between these markets and the </w:t>
      </w:r>
      <w:r w:rsidR="00530DC2" w:rsidRPr="00304DC8">
        <w:rPr>
          <w:rFonts w:eastAsia="Calibri"/>
          <w:sz w:val="22"/>
          <w:szCs w:val="22"/>
        </w:rPr>
        <w:t>EU</w:t>
      </w:r>
      <w:r w:rsidR="00ED6825" w:rsidRPr="00304DC8">
        <w:rPr>
          <w:rFonts w:eastAsia="Calibri"/>
          <w:sz w:val="22"/>
          <w:szCs w:val="22"/>
        </w:rPr>
        <w:t xml:space="preserve"> </w:t>
      </w:r>
      <w:r w:rsidR="009F0AFE" w:rsidRPr="00304DC8">
        <w:rPr>
          <w:rFonts w:eastAsia="Calibri"/>
          <w:sz w:val="22"/>
          <w:szCs w:val="22"/>
        </w:rPr>
        <w:t xml:space="preserve">non-equity </w:t>
      </w:r>
      <w:r w:rsidR="00ED6825" w:rsidRPr="00304DC8">
        <w:rPr>
          <w:rFonts w:eastAsia="Calibri"/>
          <w:sz w:val="22"/>
          <w:szCs w:val="22"/>
        </w:rPr>
        <w:t>markets</w:t>
      </w:r>
      <w:r w:rsidRPr="00304DC8">
        <w:rPr>
          <w:rFonts w:eastAsia="Calibri"/>
          <w:sz w:val="22"/>
          <w:szCs w:val="22"/>
        </w:rPr>
        <w:t xml:space="preserve">. </w:t>
      </w:r>
    </w:p>
    <w:p w:rsidR="00DE0CD6" w:rsidRPr="00304DC8" w:rsidRDefault="00DE0CD6" w:rsidP="00861EC1">
      <w:pPr>
        <w:rPr>
          <w:rFonts w:eastAsia="Calibri"/>
          <w:sz w:val="22"/>
          <w:szCs w:val="22"/>
        </w:rPr>
      </w:pPr>
    </w:p>
    <w:p w:rsidR="00DE0CD6" w:rsidRPr="00304DC8" w:rsidRDefault="00ED6825" w:rsidP="00861EC1">
      <w:pPr>
        <w:rPr>
          <w:sz w:val="22"/>
          <w:szCs w:val="22"/>
        </w:rPr>
      </w:pPr>
      <w:r w:rsidRPr="00304DC8">
        <w:rPr>
          <w:rFonts w:eastAsia="Calibri"/>
          <w:sz w:val="22"/>
          <w:szCs w:val="22"/>
        </w:rPr>
        <w:t>Furthermore, t</w:t>
      </w:r>
      <w:r w:rsidR="00DE0CD6" w:rsidRPr="00304DC8">
        <w:rPr>
          <w:rFonts w:eastAsia="Calibri"/>
          <w:sz w:val="22"/>
          <w:szCs w:val="22"/>
        </w:rPr>
        <w:t xml:space="preserve">he NSA wants to stress that it is crucial that any recalibration of thresholds takes </w:t>
      </w:r>
      <w:r w:rsidR="00DE0CD6" w:rsidRPr="00304DC8">
        <w:rPr>
          <w:rFonts w:eastAsia="Calibri"/>
          <w:sz w:val="22"/>
          <w:szCs w:val="22"/>
          <w:u w:val="single"/>
        </w:rPr>
        <w:t>Ex-Post Effects</w:t>
      </w:r>
      <w:r w:rsidR="00DE0CD6" w:rsidRPr="00304DC8">
        <w:rPr>
          <w:rFonts w:eastAsia="Calibri"/>
          <w:sz w:val="22"/>
          <w:szCs w:val="22"/>
        </w:rPr>
        <w:t xml:space="preserve"> into account, </w:t>
      </w:r>
      <w:r w:rsidR="00DE0CD6" w:rsidRPr="00304DC8">
        <w:rPr>
          <w:sz w:val="22"/>
          <w:szCs w:val="22"/>
        </w:rPr>
        <w:t>i.e. the impact that the introduction of the new EU transparency regime will have on the liquidity of the instruments and in the long run, on the stability of the markets as a whole if companies cannot properly hedge their risks from various sources.  </w:t>
      </w:r>
      <w:r w:rsidR="00FB12B7" w:rsidRPr="00304DC8">
        <w:rPr>
          <w:sz w:val="22"/>
          <w:szCs w:val="22"/>
        </w:rPr>
        <w:t xml:space="preserve">Such Ex-Post Effects need to </w:t>
      </w:r>
      <w:r w:rsidR="00130B1F" w:rsidRPr="00304DC8">
        <w:rPr>
          <w:sz w:val="22"/>
          <w:szCs w:val="22"/>
        </w:rPr>
        <w:t xml:space="preserve">be based on </w:t>
      </w:r>
      <w:r w:rsidR="00FB12B7" w:rsidRPr="00304DC8">
        <w:rPr>
          <w:sz w:val="22"/>
          <w:szCs w:val="22"/>
          <w:u w:val="single"/>
        </w:rPr>
        <w:t>expert judgement</w:t>
      </w:r>
      <w:r w:rsidR="00FB12B7" w:rsidRPr="00304DC8">
        <w:rPr>
          <w:sz w:val="22"/>
          <w:szCs w:val="22"/>
        </w:rPr>
        <w:t>.</w:t>
      </w:r>
    </w:p>
    <w:p w:rsidR="00DE0CD6" w:rsidRPr="00304DC8" w:rsidRDefault="00DE0CD6" w:rsidP="00861EC1">
      <w:pPr>
        <w:rPr>
          <w:sz w:val="22"/>
          <w:szCs w:val="22"/>
        </w:rPr>
      </w:pPr>
    </w:p>
    <w:p w:rsidR="00DE0CD6" w:rsidRPr="00304DC8" w:rsidRDefault="00DE0CD6" w:rsidP="00DE0CD6">
      <w:pPr>
        <w:rPr>
          <w:sz w:val="22"/>
          <w:szCs w:val="22"/>
          <w:u w:val="single"/>
        </w:rPr>
      </w:pPr>
      <w:r w:rsidRPr="00304DC8">
        <w:rPr>
          <w:sz w:val="22"/>
          <w:szCs w:val="22"/>
          <w:u w:val="single"/>
        </w:rPr>
        <w:t>Questions:</w:t>
      </w:r>
    </w:p>
    <w:p w:rsidR="00DE0CD6" w:rsidRPr="00304DC8" w:rsidRDefault="00DE0CD6" w:rsidP="00DE0CD6">
      <w:pPr>
        <w:rPr>
          <w:b/>
          <w:sz w:val="22"/>
          <w:szCs w:val="22"/>
        </w:rPr>
      </w:pPr>
      <w:r w:rsidRPr="00304DC8">
        <w:rPr>
          <w:b/>
          <w:sz w:val="22"/>
          <w:szCs w:val="22"/>
        </w:rPr>
        <w:t xml:space="preserve">Question 2 (1) </w:t>
      </w:r>
    </w:p>
    <w:p w:rsidR="00A34EFA" w:rsidRPr="00304DC8" w:rsidRDefault="00DE0CD6" w:rsidP="00DE0CD6">
      <w:pPr>
        <w:rPr>
          <w:sz w:val="22"/>
          <w:szCs w:val="22"/>
        </w:rPr>
      </w:pPr>
      <w:r w:rsidRPr="00304DC8">
        <w:rPr>
          <w:sz w:val="22"/>
          <w:szCs w:val="22"/>
        </w:rPr>
        <w:t>The</w:t>
      </w:r>
      <w:r w:rsidRPr="00304DC8">
        <w:rPr>
          <w:b/>
          <w:sz w:val="22"/>
          <w:szCs w:val="22"/>
        </w:rPr>
        <w:t xml:space="preserve"> </w:t>
      </w:r>
      <w:r w:rsidRPr="00304DC8">
        <w:rPr>
          <w:sz w:val="22"/>
          <w:szCs w:val="22"/>
        </w:rPr>
        <w:t xml:space="preserve">NSA </w:t>
      </w:r>
      <w:r w:rsidRPr="00304DC8">
        <w:rPr>
          <w:sz w:val="22"/>
          <w:szCs w:val="22"/>
          <w:u w:val="single"/>
        </w:rPr>
        <w:t>supports ESMA’s proposal for 48 hours standard deferral</w:t>
      </w:r>
      <w:r w:rsidR="00A34EFA" w:rsidRPr="00304DC8">
        <w:rPr>
          <w:sz w:val="22"/>
          <w:szCs w:val="22"/>
          <w:u w:val="single"/>
        </w:rPr>
        <w:t xml:space="preserve"> (as well as the suppleme</w:t>
      </w:r>
      <w:r w:rsidR="00A34EFA" w:rsidRPr="00304DC8">
        <w:rPr>
          <w:sz w:val="22"/>
          <w:szCs w:val="22"/>
          <w:u w:val="single"/>
        </w:rPr>
        <w:t>n</w:t>
      </w:r>
      <w:r w:rsidR="00A34EFA" w:rsidRPr="00304DC8">
        <w:rPr>
          <w:sz w:val="22"/>
          <w:szCs w:val="22"/>
          <w:u w:val="single"/>
        </w:rPr>
        <w:t>tary deferral regime with extended deferral time and aggregation)</w:t>
      </w:r>
      <w:r w:rsidR="003D0329" w:rsidRPr="00304DC8">
        <w:rPr>
          <w:sz w:val="22"/>
          <w:szCs w:val="22"/>
        </w:rPr>
        <w:t xml:space="preserve">. </w:t>
      </w:r>
    </w:p>
    <w:p w:rsidR="00A34EFA" w:rsidRPr="00304DC8" w:rsidRDefault="00A34EFA" w:rsidP="00DE0CD6">
      <w:pPr>
        <w:rPr>
          <w:sz w:val="22"/>
          <w:szCs w:val="22"/>
        </w:rPr>
      </w:pPr>
    </w:p>
    <w:p w:rsidR="00DE0CD6" w:rsidRPr="00304DC8" w:rsidRDefault="00DE0CD6" w:rsidP="00DE0CD6">
      <w:pPr>
        <w:rPr>
          <w:sz w:val="22"/>
          <w:szCs w:val="22"/>
        </w:rPr>
      </w:pPr>
      <w:r w:rsidRPr="00304DC8">
        <w:rPr>
          <w:sz w:val="22"/>
          <w:szCs w:val="22"/>
        </w:rPr>
        <w:t xml:space="preserve">However, in our opinion, the standard deferral rule should be </w:t>
      </w:r>
      <w:r w:rsidRPr="00304DC8">
        <w:rPr>
          <w:sz w:val="22"/>
          <w:szCs w:val="22"/>
          <w:u w:val="single"/>
        </w:rPr>
        <w:t>changed into T+2</w:t>
      </w:r>
      <w:r w:rsidRPr="00304DC8">
        <w:rPr>
          <w:sz w:val="22"/>
          <w:szCs w:val="22"/>
        </w:rPr>
        <w:t xml:space="preserve"> rather than 48 hours. This approach (T+2) would be more in line with other rules (i.e. the CSDR settlement rules) and will not cause the same practical problems with weekends etc. </w:t>
      </w:r>
    </w:p>
    <w:p w:rsidR="00DE0CD6" w:rsidRPr="00304DC8" w:rsidRDefault="00DE0CD6" w:rsidP="00DE0CD6">
      <w:pPr>
        <w:rPr>
          <w:b/>
          <w:sz w:val="22"/>
          <w:szCs w:val="22"/>
        </w:rPr>
      </w:pPr>
    </w:p>
    <w:p w:rsidR="00DE0CD6" w:rsidRPr="00304DC8" w:rsidRDefault="00DE0CD6" w:rsidP="00DE0CD6">
      <w:pPr>
        <w:rPr>
          <w:b/>
          <w:sz w:val="22"/>
          <w:szCs w:val="22"/>
        </w:rPr>
      </w:pPr>
      <w:r w:rsidRPr="00304DC8">
        <w:rPr>
          <w:b/>
          <w:sz w:val="22"/>
          <w:szCs w:val="22"/>
        </w:rPr>
        <w:t>Question 2 (2)</w:t>
      </w:r>
    </w:p>
    <w:p w:rsidR="003D0329" w:rsidRPr="00304DC8" w:rsidRDefault="00DE0CD6" w:rsidP="003D0329">
      <w:pPr>
        <w:rPr>
          <w:sz w:val="22"/>
          <w:szCs w:val="22"/>
        </w:rPr>
      </w:pPr>
      <w:r w:rsidRPr="00304DC8">
        <w:rPr>
          <w:sz w:val="22"/>
          <w:szCs w:val="22"/>
        </w:rPr>
        <w:t>No, the NSA does not agree. We are very concerned w</w:t>
      </w:r>
      <w:r w:rsidR="00263037" w:rsidRPr="00304DC8">
        <w:rPr>
          <w:sz w:val="22"/>
          <w:szCs w:val="22"/>
        </w:rPr>
        <w:t>ith the proposed SSTI level (50</w:t>
      </w:r>
      <w:r w:rsidRPr="00304DC8">
        <w:rPr>
          <w:sz w:val="22"/>
          <w:szCs w:val="22"/>
        </w:rPr>
        <w:t xml:space="preserve">% of LIS) </w:t>
      </w:r>
      <w:r w:rsidR="003D0329" w:rsidRPr="00304DC8">
        <w:rPr>
          <w:sz w:val="22"/>
          <w:szCs w:val="22"/>
        </w:rPr>
        <w:t xml:space="preserve">which we consider to be far </w:t>
      </w:r>
      <w:r w:rsidR="005B3FC2" w:rsidRPr="00304DC8">
        <w:rPr>
          <w:sz w:val="22"/>
          <w:szCs w:val="22"/>
        </w:rPr>
        <w:t>too high</w:t>
      </w:r>
      <w:r w:rsidR="003D0329" w:rsidRPr="00304DC8">
        <w:rPr>
          <w:sz w:val="22"/>
          <w:szCs w:val="22"/>
        </w:rPr>
        <w:t xml:space="preserve">. </w:t>
      </w:r>
      <w:r w:rsidR="000F4096" w:rsidRPr="00304DC8">
        <w:rPr>
          <w:sz w:val="22"/>
          <w:szCs w:val="22"/>
        </w:rPr>
        <w:t xml:space="preserve">These </w:t>
      </w:r>
      <w:r w:rsidRPr="00304DC8">
        <w:rPr>
          <w:sz w:val="22"/>
          <w:szCs w:val="22"/>
        </w:rPr>
        <w:t>high SSTI thresholds will have the effect of increa</w:t>
      </w:r>
      <w:r w:rsidRPr="00304DC8">
        <w:rPr>
          <w:sz w:val="22"/>
          <w:szCs w:val="22"/>
        </w:rPr>
        <w:t>s</w:t>
      </w:r>
      <w:r w:rsidRPr="00304DC8">
        <w:rPr>
          <w:sz w:val="22"/>
          <w:szCs w:val="22"/>
        </w:rPr>
        <w:t xml:space="preserve">ing the risks of SIs which will have a negative effect on their ability to provide liquidity to non-equity markets. As a result, the costs for providing liquidity will increase, many </w:t>
      </w:r>
      <w:proofErr w:type="gramStart"/>
      <w:r w:rsidRPr="00304DC8">
        <w:rPr>
          <w:sz w:val="22"/>
          <w:szCs w:val="22"/>
        </w:rPr>
        <w:t>SIs</w:t>
      </w:r>
      <w:proofErr w:type="gramEnd"/>
      <w:r w:rsidRPr="00304DC8">
        <w:rPr>
          <w:sz w:val="22"/>
          <w:szCs w:val="22"/>
        </w:rPr>
        <w:t xml:space="preserve"> will step out </w:t>
      </w:r>
      <w:r w:rsidR="002B198D" w:rsidRPr="00304DC8">
        <w:rPr>
          <w:sz w:val="22"/>
          <w:szCs w:val="22"/>
        </w:rPr>
        <w:t xml:space="preserve">of </w:t>
      </w:r>
      <w:r w:rsidRPr="00304DC8">
        <w:rPr>
          <w:sz w:val="22"/>
          <w:szCs w:val="22"/>
        </w:rPr>
        <w:t xml:space="preserve">the market and competition will be negatively affected. </w:t>
      </w:r>
    </w:p>
    <w:p w:rsidR="003D0329" w:rsidRPr="00304DC8" w:rsidRDefault="003D0329" w:rsidP="00861EC1">
      <w:pPr>
        <w:rPr>
          <w:sz w:val="22"/>
          <w:szCs w:val="22"/>
        </w:rPr>
      </w:pPr>
    </w:p>
    <w:p w:rsidR="003D0329" w:rsidRPr="00304DC8" w:rsidRDefault="003D0329" w:rsidP="00861EC1">
      <w:pPr>
        <w:rPr>
          <w:sz w:val="22"/>
          <w:szCs w:val="22"/>
        </w:rPr>
      </w:pPr>
      <w:r w:rsidRPr="00304DC8">
        <w:rPr>
          <w:sz w:val="22"/>
          <w:szCs w:val="22"/>
        </w:rPr>
        <w:t>The SSTI and LIS are two different thresholds with very di</w:t>
      </w:r>
      <w:r w:rsidR="00363CE2">
        <w:rPr>
          <w:sz w:val="22"/>
          <w:szCs w:val="22"/>
        </w:rPr>
        <w:t>fferent aims. The SSTI</w:t>
      </w:r>
      <w:r w:rsidRPr="00304DC8">
        <w:rPr>
          <w:sz w:val="22"/>
          <w:szCs w:val="22"/>
        </w:rPr>
        <w:t>, accor</w:t>
      </w:r>
      <w:r w:rsidRPr="00304DC8">
        <w:rPr>
          <w:sz w:val="22"/>
          <w:szCs w:val="22"/>
        </w:rPr>
        <w:t>d</w:t>
      </w:r>
      <w:r w:rsidRPr="00304DC8">
        <w:rPr>
          <w:sz w:val="22"/>
          <w:szCs w:val="22"/>
        </w:rPr>
        <w:t>ing to the political agreement on Level I, intends to protect liquidity providers and SIs from “u</w:t>
      </w:r>
      <w:r w:rsidRPr="00304DC8">
        <w:rPr>
          <w:sz w:val="22"/>
          <w:szCs w:val="22"/>
        </w:rPr>
        <w:t>n</w:t>
      </w:r>
      <w:r w:rsidRPr="00304DC8">
        <w:rPr>
          <w:sz w:val="22"/>
          <w:szCs w:val="22"/>
        </w:rPr>
        <w:t>due risk”. In order</w:t>
      </w:r>
      <w:r w:rsidR="00363CE2">
        <w:rPr>
          <w:sz w:val="22"/>
          <w:szCs w:val="22"/>
        </w:rPr>
        <w:t xml:space="preserve"> to achieve this goal, the SSTI thresholds </w:t>
      </w:r>
      <w:r w:rsidRPr="00304DC8">
        <w:rPr>
          <w:sz w:val="22"/>
          <w:szCs w:val="22"/>
        </w:rPr>
        <w:t>should be able to be adjusted for local market needs and not be set as one fixed threshold for the EU as a whole. However, If ESMA persists in ha</w:t>
      </w:r>
      <w:r w:rsidRPr="00304DC8">
        <w:rPr>
          <w:sz w:val="22"/>
          <w:szCs w:val="22"/>
        </w:rPr>
        <w:t>v</w:t>
      </w:r>
      <w:r w:rsidRPr="00304DC8">
        <w:rPr>
          <w:sz w:val="22"/>
          <w:szCs w:val="22"/>
        </w:rPr>
        <w:t xml:space="preserve">ing one SSTI threshold </w:t>
      </w:r>
      <w:r w:rsidR="00F95877">
        <w:rPr>
          <w:sz w:val="22"/>
          <w:szCs w:val="22"/>
        </w:rPr>
        <w:t>f</w:t>
      </w:r>
      <w:r w:rsidRPr="00304DC8">
        <w:rPr>
          <w:sz w:val="22"/>
          <w:szCs w:val="22"/>
        </w:rPr>
        <w:t>or</w:t>
      </w:r>
      <w:r w:rsidR="00B2166A" w:rsidRPr="00304DC8">
        <w:rPr>
          <w:sz w:val="22"/>
          <w:szCs w:val="22"/>
        </w:rPr>
        <w:t xml:space="preserve"> the whole of </w:t>
      </w:r>
      <w:proofErr w:type="gramStart"/>
      <w:r w:rsidR="00B2166A" w:rsidRPr="00304DC8">
        <w:rPr>
          <w:sz w:val="22"/>
          <w:szCs w:val="22"/>
        </w:rPr>
        <w:t>EU,</w:t>
      </w:r>
      <w:proofErr w:type="gramEnd"/>
      <w:r w:rsidR="00B2166A" w:rsidRPr="00304DC8">
        <w:rPr>
          <w:sz w:val="22"/>
          <w:szCs w:val="22"/>
        </w:rPr>
        <w:t xml:space="preserve"> </w:t>
      </w:r>
      <w:r w:rsidRPr="00304DC8">
        <w:rPr>
          <w:sz w:val="22"/>
          <w:szCs w:val="22"/>
        </w:rPr>
        <w:t>it needs to</w:t>
      </w:r>
      <w:r w:rsidR="00263037" w:rsidRPr="00304DC8">
        <w:rPr>
          <w:sz w:val="22"/>
          <w:szCs w:val="22"/>
        </w:rPr>
        <w:t xml:space="preserve"> be significantly lower than 50</w:t>
      </w:r>
      <w:r w:rsidRPr="00304DC8">
        <w:rPr>
          <w:sz w:val="22"/>
          <w:szCs w:val="22"/>
        </w:rPr>
        <w:t xml:space="preserve">% of LIS. </w:t>
      </w:r>
      <w:r w:rsidRPr="00304DC8">
        <w:rPr>
          <w:sz w:val="22"/>
          <w:szCs w:val="22"/>
          <w:u w:val="single"/>
        </w:rPr>
        <w:t xml:space="preserve"> </w:t>
      </w:r>
      <w:proofErr w:type="gramStart"/>
      <w:r w:rsidRPr="00304DC8">
        <w:rPr>
          <w:sz w:val="22"/>
          <w:szCs w:val="22"/>
          <w:u w:val="single"/>
        </w:rPr>
        <w:t>A maximum SSTI threshold that is 5</w:t>
      </w:r>
      <w:r w:rsidR="00B41CC5" w:rsidRPr="00304DC8">
        <w:rPr>
          <w:sz w:val="22"/>
          <w:szCs w:val="22"/>
          <w:u w:val="single"/>
        </w:rPr>
        <w:t>-10</w:t>
      </w:r>
      <w:r w:rsidRPr="00304DC8">
        <w:rPr>
          <w:sz w:val="22"/>
          <w:szCs w:val="22"/>
          <w:u w:val="single"/>
        </w:rPr>
        <w:t>%</w:t>
      </w:r>
      <w:r w:rsidR="004804D1" w:rsidRPr="00304DC8">
        <w:rPr>
          <w:sz w:val="22"/>
          <w:szCs w:val="22"/>
          <w:u w:val="single"/>
        </w:rPr>
        <w:t xml:space="preserve"> o</w:t>
      </w:r>
      <w:r w:rsidRPr="00304DC8">
        <w:rPr>
          <w:sz w:val="22"/>
          <w:szCs w:val="22"/>
          <w:u w:val="single"/>
        </w:rPr>
        <w:t xml:space="preserve">f LIS </w:t>
      </w:r>
      <w:r w:rsidR="00530DC2" w:rsidRPr="00304DC8">
        <w:rPr>
          <w:sz w:val="22"/>
          <w:szCs w:val="22"/>
          <w:u w:val="single"/>
        </w:rPr>
        <w:t xml:space="preserve">or </w:t>
      </w:r>
      <w:r w:rsidRPr="00304DC8">
        <w:rPr>
          <w:sz w:val="22"/>
          <w:szCs w:val="22"/>
          <w:u w:val="single"/>
        </w:rPr>
        <w:t>retail market size more in line with Level I</w:t>
      </w:r>
      <w:r w:rsidRPr="00304DC8">
        <w:rPr>
          <w:sz w:val="22"/>
          <w:szCs w:val="22"/>
        </w:rPr>
        <w:t>.</w:t>
      </w:r>
      <w:proofErr w:type="gramEnd"/>
      <w:r w:rsidRPr="00304DC8">
        <w:rPr>
          <w:sz w:val="22"/>
          <w:szCs w:val="22"/>
        </w:rPr>
        <w:t xml:space="preserve"> </w:t>
      </w:r>
    </w:p>
    <w:p w:rsidR="000F4096" w:rsidRPr="00304DC8" w:rsidRDefault="000F4096" w:rsidP="00861EC1">
      <w:pPr>
        <w:rPr>
          <w:sz w:val="22"/>
          <w:szCs w:val="22"/>
        </w:rPr>
      </w:pPr>
    </w:p>
    <w:p w:rsidR="00DE0CD6" w:rsidRPr="00304DC8" w:rsidRDefault="00DE0CD6" w:rsidP="00DE0CD6">
      <w:pPr>
        <w:rPr>
          <w:b/>
          <w:sz w:val="22"/>
          <w:szCs w:val="22"/>
        </w:rPr>
      </w:pPr>
      <w:r w:rsidRPr="00304DC8">
        <w:rPr>
          <w:b/>
          <w:sz w:val="22"/>
          <w:szCs w:val="22"/>
        </w:rPr>
        <w:t xml:space="preserve">Question 2 (3) </w:t>
      </w:r>
    </w:p>
    <w:p w:rsidR="00DE0CD6" w:rsidRPr="00304DC8" w:rsidRDefault="003D0329" w:rsidP="00DE0CD6">
      <w:pPr>
        <w:rPr>
          <w:sz w:val="22"/>
          <w:szCs w:val="22"/>
        </w:rPr>
      </w:pPr>
      <w:r w:rsidRPr="00304DC8">
        <w:rPr>
          <w:sz w:val="22"/>
          <w:szCs w:val="22"/>
        </w:rPr>
        <w:t>T</w:t>
      </w:r>
      <w:r w:rsidR="00DE0CD6" w:rsidRPr="00304DC8">
        <w:rPr>
          <w:sz w:val="22"/>
          <w:szCs w:val="22"/>
        </w:rPr>
        <w:t xml:space="preserve">he NSA </w:t>
      </w:r>
      <w:r w:rsidRPr="00304DC8">
        <w:rPr>
          <w:sz w:val="22"/>
          <w:szCs w:val="22"/>
        </w:rPr>
        <w:t xml:space="preserve">generally </w:t>
      </w:r>
      <w:r w:rsidR="00DE0CD6" w:rsidRPr="00304DC8">
        <w:rPr>
          <w:sz w:val="22"/>
          <w:szCs w:val="22"/>
        </w:rPr>
        <w:t xml:space="preserve">agrees </w:t>
      </w:r>
      <w:r w:rsidR="00C0501E" w:rsidRPr="00304DC8">
        <w:rPr>
          <w:sz w:val="22"/>
          <w:szCs w:val="22"/>
        </w:rPr>
        <w:t xml:space="preserve">with </w:t>
      </w:r>
      <w:r w:rsidR="00DE0CD6" w:rsidRPr="00304DC8">
        <w:rPr>
          <w:sz w:val="22"/>
          <w:szCs w:val="22"/>
        </w:rPr>
        <w:t xml:space="preserve">the volume measures used to set LIS thresholds as specified in Annex II, Table 3 of draft RTS 9. </w:t>
      </w:r>
      <w:r w:rsidRPr="00304DC8">
        <w:rPr>
          <w:sz w:val="22"/>
          <w:szCs w:val="22"/>
        </w:rPr>
        <w:t>However, we again question the data used</w:t>
      </w:r>
      <w:r w:rsidR="00815F62" w:rsidRPr="00304DC8">
        <w:rPr>
          <w:sz w:val="22"/>
          <w:szCs w:val="22"/>
        </w:rPr>
        <w:t xml:space="preserve"> by ESMA</w:t>
      </w:r>
      <w:r w:rsidRPr="00304DC8">
        <w:rPr>
          <w:sz w:val="22"/>
          <w:szCs w:val="22"/>
        </w:rPr>
        <w:t>. As an example, in table 48</w:t>
      </w:r>
      <w:r w:rsidR="00815F62" w:rsidRPr="00304DC8">
        <w:rPr>
          <w:sz w:val="22"/>
          <w:szCs w:val="22"/>
        </w:rPr>
        <w:t>,</w:t>
      </w:r>
      <w:r w:rsidRPr="00304DC8">
        <w:rPr>
          <w:sz w:val="22"/>
          <w:szCs w:val="22"/>
        </w:rPr>
        <w:t xml:space="preserve"> </w:t>
      </w:r>
      <w:r w:rsidR="00D76980" w:rsidRPr="00304DC8">
        <w:rPr>
          <w:sz w:val="22"/>
          <w:szCs w:val="22"/>
        </w:rPr>
        <w:t xml:space="preserve">for </w:t>
      </w:r>
      <w:r w:rsidRPr="00304DC8">
        <w:rPr>
          <w:sz w:val="22"/>
          <w:szCs w:val="22"/>
        </w:rPr>
        <w:t xml:space="preserve">DKK-USD from 1 day to 4 days </w:t>
      </w:r>
      <w:r w:rsidR="00D76980" w:rsidRPr="00304DC8">
        <w:rPr>
          <w:sz w:val="22"/>
          <w:szCs w:val="22"/>
        </w:rPr>
        <w:t xml:space="preserve">the </w:t>
      </w:r>
      <w:r w:rsidRPr="00304DC8">
        <w:rPr>
          <w:sz w:val="22"/>
          <w:szCs w:val="22"/>
        </w:rPr>
        <w:t>LIS is 100,000</w:t>
      </w:r>
      <w:r w:rsidR="00263037" w:rsidRPr="00304DC8">
        <w:rPr>
          <w:sz w:val="22"/>
          <w:szCs w:val="22"/>
        </w:rPr>
        <w:t xml:space="preserve"> </w:t>
      </w:r>
      <w:r w:rsidR="00815F62" w:rsidRPr="00304DC8">
        <w:rPr>
          <w:sz w:val="22"/>
          <w:szCs w:val="22"/>
        </w:rPr>
        <w:t xml:space="preserve">whereas </w:t>
      </w:r>
      <w:r w:rsidRPr="00304DC8">
        <w:rPr>
          <w:sz w:val="22"/>
          <w:szCs w:val="22"/>
        </w:rPr>
        <w:t xml:space="preserve">the LIS for DKK-USD from 4 days to 7 days is 70,000,000. </w:t>
      </w:r>
      <w:r w:rsidR="00815F62" w:rsidRPr="00304DC8">
        <w:rPr>
          <w:sz w:val="22"/>
          <w:szCs w:val="22"/>
        </w:rPr>
        <w:t xml:space="preserve">Although it is </w:t>
      </w:r>
      <w:r w:rsidR="00F02A06" w:rsidRPr="00304DC8">
        <w:rPr>
          <w:sz w:val="22"/>
          <w:szCs w:val="22"/>
        </w:rPr>
        <w:t xml:space="preserve">correct that the </w:t>
      </w:r>
      <w:r w:rsidR="00BB643F" w:rsidRPr="00304DC8">
        <w:rPr>
          <w:sz w:val="22"/>
          <w:szCs w:val="22"/>
        </w:rPr>
        <w:t>LIS on spot next is lower than</w:t>
      </w:r>
      <w:r w:rsidR="00263037" w:rsidRPr="00304DC8">
        <w:rPr>
          <w:sz w:val="22"/>
          <w:szCs w:val="22"/>
        </w:rPr>
        <w:t xml:space="preserve"> the LI</w:t>
      </w:r>
      <w:r w:rsidR="00BB643F" w:rsidRPr="00304DC8">
        <w:rPr>
          <w:sz w:val="22"/>
          <w:szCs w:val="22"/>
        </w:rPr>
        <w:t>S on spot week</w:t>
      </w:r>
      <w:r w:rsidR="00815F62" w:rsidRPr="00304DC8">
        <w:rPr>
          <w:sz w:val="22"/>
          <w:szCs w:val="22"/>
        </w:rPr>
        <w:t xml:space="preserve">, </w:t>
      </w:r>
      <w:r w:rsidR="00BB643F" w:rsidRPr="00304DC8">
        <w:rPr>
          <w:sz w:val="22"/>
          <w:szCs w:val="22"/>
        </w:rPr>
        <w:t xml:space="preserve">the huge </w:t>
      </w:r>
      <w:r w:rsidR="00815F62" w:rsidRPr="00304DC8">
        <w:rPr>
          <w:sz w:val="22"/>
          <w:szCs w:val="22"/>
        </w:rPr>
        <w:t>difference b</w:t>
      </w:r>
      <w:r w:rsidR="00BB643F" w:rsidRPr="00304DC8">
        <w:rPr>
          <w:sz w:val="22"/>
          <w:szCs w:val="22"/>
        </w:rPr>
        <w:t>etween t</w:t>
      </w:r>
      <w:r w:rsidR="00815F62" w:rsidRPr="00304DC8">
        <w:rPr>
          <w:sz w:val="22"/>
          <w:szCs w:val="22"/>
        </w:rPr>
        <w:t xml:space="preserve">he two </w:t>
      </w:r>
      <w:r w:rsidRPr="00304DC8">
        <w:rPr>
          <w:sz w:val="22"/>
          <w:szCs w:val="22"/>
        </w:rPr>
        <w:t>indicates that the data is incorrect.</w:t>
      </w:r>
    </w:p>
    <w:p w:rsidR="00DE0CD6" w:rsidRPr="00304DC8" w:rsidRDefault="00DE0CD6" w:rsidP="00DE0CD6">
      <w:pPr>
        <w:rPr>
          <w:b/>
          <w:sz w:val="22"/>
          <w:szCs w:val="22"/>
        </w:rPr>
      </w:pPr>
    </w:p>
    <w:p w:rsidR="00DE0CD6" w:rsidRPr="00304DC8" w:rsidRDefault="00DE0CD6" w:rsidP="00DE0CD6">
      <w:pPr>
        <w:rPr>
          <w:b/>
          <w:sz w:val="22"/>
          <w:szCs w:val="22"/>
        </w:rPr>
      </w:pPr>
      <w:r w:rsidRPr="00304DC8">
        <w:rPr>
          <w:b/>
          <w:sz w:val="22"/>
          <w:szCs w:val="22"/>
        </w:rPr>
        <w:t xml:space="preserve">Question 2 (4) </w:t>
      </w:r>
    </w:p>
    <w:p w:rsidR="003D0329" w:rsidRPr="00304DC8" w:rsidRDefault="00DE0CD6" w:rsidP="003D0329">
      <w:pPr>
        <w:rPr>
          <w:sz w:val="22"/>
          <w:szCs w:val="22"/>
        </w:rPr>
      </w:pPr>
      <w:r w:rsidRPr="00304DC8">
        <w:rPr>
          <w:sz w:val="22"/>
          <w:szCs w:val="22"/>
        </w:rPr>
        <w:t xml:space="preserve">Provided that the SSTI thresholds are set in accordance with the political agreement on Level I, i.e. so as to protect liquidity providers/SIs from </w:t>
      </w:r>
      <w:r w:rsidR="00B2166A" w:rsidRPr="00304DC8">
        <w:rPr>
          <w:sz w:val="22"/>
          <w:szCs w:val="22"/>
        </w:rPr>
        <w:t>“</w:t>
      </w:r>
      <w:r w:rsidRPr="00304DC8">
        <w:rPr>
          <w:sz w:val="22"/>
          <w:szCs w:val="22"/>
        </w:rPr>
        <w:t>undue risk</w:t>
      </w:r>
      <w:r w:rsidR="00B2166A" w:rsidRPr="00304DC8">
        <w:rPr>
          <w:sz w:val="22"/>
          <w:szCs w:val="22"/>
        </w:rPr>
        <w:t>”</w:t>
      </w:r>
      <w:r w:rsidRPr="00304DC8">
        <w:rPr>
          <w:sz w:val="22"/>
          <w:szCs w:val="22"/>
        </w:rPr>
        <w:t xml:space="preserve"> and set at retail size, we see no reason for different thresholds for pre- and post-trade transparency. </w:t>
      </w:r>
      <w:r w:rsidR="00530DC2" w:rsidRPr="00304DC8">
        <w:rPr>
          <w:sz w:val="22"/>
          <w:szCs w:val="22"/>
        </w:rPr>
        <w:t>However, t</w:t>
      </w:r>
      <w:r w:rsidR="003D0329" w:rsidRPr="00304DC8">
        <w:rPr>
          <w:sz w:val="22"/>
          <w:szCs w:val="22"/>
        </w:rPr>
        <w:t>aking into a</w:t>
      </w:r>
      <w:r w:rsidR="003D0329" w:rsidRPr="00304DC8">
        <w:rPr>
          <w:sz w:val="22"/>
          <w:szCs w:val="22"/>
        </w:rPr>
        <w:t>c</w:t>
      </w:r>
      <w:r w:rsidR="003D0329" w:rsidRPr="00304DC8">
        <w:rPr>
          <w:sz w:val="22"/>
          <w:szCs w:val="22"/>
        </w:rPr>
        <w:t>count the nature of the risks incurred by a liquidity provider/SI and provided that ESMA’s pr</w:t>
      </w:r>
      <w:r w:rsidR="003D0329" w:rsidRPr="00304DC8">
        <w:rPr>
          <w:sz w:val="22"/>
          <w:szCs w:val="22"/>
        </w:rPr>
        <w:t>o</w:t>
      </w:r>
      <w:r w:rsidR="003D0329" w:rsidRPr="00304DC8">
        <w:rPr>
          <w:sz w:val="22"/>
          <w:szCs w:val="22"/>
        </w:rPr>
        <w:t>posals regarding post trade deferral are not changed, we believe it to be more important to lower the threshold for pre-trade transparency/SI obligations than for post-trade transparency. The pre-trade/SI transparency SSTI threshold should maximum be 5</w:t>
      </w:r>
      <w:r w:rsidR="00B41CC5" w:rsidRPr="00304DC8">
        <w:rPr>
          <w:sz w:val="22"/>
          <w:szCs w:val="22"/>
        </w:rPr>
        <w:t>-10</w:t>
      </w:r>
      <w:r w:rsidR="003D0329" w:rsidRPr="00304DC8">
        <w:rPr>
          <w:sz w:val="22"/>
          <w:szCs w:val="22"/>
        </w:rPr>
        <w:t>% of LIS</w:t>
      </w:r>
      <w:r w:rsidR="00530DC2" w:rsidRPr="00304DC8">
        <w:rPr>
          <w:sz w:val="22"/>
          <w:szCs w:val="22"/>
        </w:rPr>
        <w:t xml:space="preserve"> or</w:t>
      </w:r>
      <w:r w:rsidR="003D0329" w:rsidRPr="00304DC8">
        <w:rPr>
          <w:sz w:val="22"/>
          <w:szCs w:val="22"/>
        </w:rPr>
        <w:t xml:space="preserve"> retail market size. </w:t>
      </w:r>
    </w:p>
    <w:p w:rsidR="00DE0CD6" w:rsidRPr="00304DC8" w:rsidRDefault="00DE0CD6" w:rsidP="00DE0CD6">
      <w:pPr>
        <w:rPr>
          <w:sz w:val="22"/>
          <w:szCs w:val="22"/>
        </w:rPr>
      </w:pPr>
    </w:p>
    <w:p w:rsidR="00DE0CD6" w:rsidRPr="00304DC8" w:rsidRDefault="00DE0CD6" w:rsidP="00DE0CD6">
      <w:pPr>
        <w:rPr>
          <w:b/>
          <w:sz w:val="22"/>
          <w:szCs w:val="22"/>
        </w:rPr>
      </w:pPr>
      <w:r w:rsidRPr="00304DC8">
        <w:rPr>
          <w:b/>
          <w:sz w:val="22"/>
          <w:szCs w:val="22"/>
        </w:rPr>
        <w:t xml:space="preserve">Question 2 (5 a) </w:t>
      </w:r>
    </w:p>
    <w:p w:rsidR="003D0329" w:rsidRPr="00304DC8" w:rsidRDefault="003D0329" w:rsidP="003D0329">
      <w:pPr>
        <w:rPr>
          <w:sz w:val="22"/>
          <w:szCs w:val="22"/>
        </w:rPr>
      </w:pPr>
      <w:r w:rsidRPr="00304DC8">
        <w:rPr>
          <w:sz w:val="22"/>
          <w:szCs w:val="22"/>
        </w:rPr>
        <w:t xml:space="preserve">The NSA </w:t>
      </w:r>
      <w:r w:rsidR="00465875" w:rsidRPr="00304DC8">
        <w:rPr>
          <w:sz w:val="22"/>
          <w:szCs w:val="22"/>
        </w:rPr>
        <w:t xml:space="preserve">agrees with ESMA and </w:t>
      </w:r>
      <w:r w:rsidRPr="00304DC8">
        <w:rPr>
          <w:sz w:val="22"/>
          <w:szCs w:val="22"/>
        </w:rPr>
        <w:t xml:space="preserve">supports a system with recalculation, </w:t>
      </w:r>
      <w:r w:rsidR="002C3167" w:rsidRPr="00304DC8">
        <w:rPr>
          <w:sz w:val="22"/>
          <w:szCs w:val="22"/>
        </w:rPr>
        <w:t xml:space="preserve">i.e. </w:t>
      </w:r>
      <w:r w:rsidRPr="00304DC8">
        <w:rPr>
          <w:sz w:val="22"/>
          <w:szCs w:val="22"/>
          <w:u w:val="single"/>
        </w:rPr>
        <w:t>Option 2</w:t>
      </w:r>
      <w:r w:rsidRPr="00304DC8">
        <w:rPr>
          <w:sz w:val="22"/>
          <w:szCs w:val="22"/>
        </w:rPr>
        <w:t xml:space="preserve">. </w:t>
      </w:r>
    </w:p>
    <w:p w:rsidR="00DE0CD6" w:rsidRPr="00304DC8" w:rsidRDefault="00DE0CD6" w:rsidP="00DE0CD6">
      <w:pPr>
        <w:rPr>
          <w:b/>
          <w:sz w:val="22"/>
          <w:szCs w:val="22"/>
        </w:rPr>
      </w:pPr>
    </w:p>
    <w:p w:rsidR="00DE0CD6" w:rsidRPr="00304DC8" w:rsidRDefault="00DE0CD6" w:rsidP="00DE0CD6">
      <w:pPr>
        <w:rPr>
          <w:b/>
          <w:sz w:val="22"/>
          <w:szCs w:val="22"/>
        </w:rPr>
      </w:pPr>
      <w:r w:rsidRPr="00304DC8">
        <w:rPr>
          <w:b/>
          <w:sz w:val="22"/>
          <w:szCs w:val="22"/>
        </w:rPr>
        <w:t xml:space="preserve">Question 2 (5 b) </w:t>
      </w:r>
    </w:p>
    <w:p w:rsidR="00130B1F" w:rsidRPr="00304DC8" w:rsidRDefault="00DE0CD6" w:rsidP="00861EC1">
      <w:pPr>
        <w:rPr>
          <w:sz w:val="22"/>
          <w:szCs w:val="22"/>
        </w:rPr>
      </w:pPr>
      <w:r w:rsidRPr="00304DC8">
        <w:rPr>
          <w:sz w:val="22"/>
          <w:szCs w:val="22"/>
        </w:rPr>
        <w:t xml:space="preserve">The NSA supports a </w:t>
      </w:r>
      <w:r w:rsidRPr="00304DC8">
        <w:rPr>
          <w:sz w:val="22"/>
          <w:szCs w:val="22"/>
          <w:u w:val="single"/>
        </w:rPr>
        <w:t>recalculation after 6 months</w:t>
      </w:r>
      <w:r w:rsidRPr="00304DC8">
        <w:rPr>
          <w:sz w:val="22"/>
          <w:szCs w:val="22"/>
        </w:rPr>
        <w:t>. The methodology for re-calculating thresholds from 2018 and onwards must be designed to take Ex-Post Effects of the transparency regulation into account, i.e. the effects that the introduction of the new EU transparency regime will have on the liquidity of the instruments.</w:t>
      </w:r>
      <w:r w:rsidR="00130B1F" w:rsidRPr="00304DC8">
        <w:rPr>
          <w:sz w:val="22"/>
          <w:szCs w:val="22"/>
        </w:rPr>
        <w:t xml:space="preserve"> Such Ex-Post Effects need to be based on </w:t>
      </w:r>
      <w:r w:rsidR="00130B1F" w:rsidRPr="00304DC8">
        <w:rPr>
          <w:sz w:val="22"/>
          <w:szCs w:val="22"/>
          <w:u w:val="single"/>
        </w:rPr>
        <w:t>expert judgement</w:t>
      </w:r>
      <w:r w:rsidR="00130B1F" w:rsidRPr="00304DC8">
        <w:rPr>
          <w:sz w:val="22"/>
          <w:szCs w:val="22"/>
        </w:rPr>
        <w:t>.</w:t>
      </w:r>
    </w:p>
    <w:p w:rsidR="00DE0CD6" w:rsidRPr="00304DC8" w:rsidRDefault="00DE0CD6" w:rsidP="00861EC1">
      <w:pPr>
        <w:rPr>
          <w:sz w:val="22"/>
          <w:szCs w:val="22"/>
        </w:rPr>
      </w:pPr>
    </w:p>
    <w:p w:rsidR="00DE0CD6" w:rsidRPr="00304DC8" w:rsidRDefault="00DE0CD6" w:rsidP="00DE0CD6">
      <w:pPr>
        <w:rPr>
          <w:b/>
          <w:sz w:val="22"/>
          <w:szCs w:val="22"/>
        </w:rPr>
      </w:pPr>
      <w:r w:rsidRPr="00304DC8">
        <w:rPr>
          <w:b/>
          <w:sz w:val="22"/>
          <w:szCs w:val="22"/>
        </w:rPr>
        <w:t xml:space="preserve">Question 2 (6) </w:t>
      </w:r>
    </w:p>
    <w:p w:rsidR="003D0329" w:rsidRPr="00487875" w:rsidRDefault="003D0329" w:rsidP="004804D1">
      <w:pPr>
        <w:ind w:left="720" w:hanging="720"/>
        <w:rPr>
          <w:sz w:val="22"/>
          <w:szCs w:val="22"/>
        </w:rPr>
      </w:pPr>
      <w:r w:rsidRPr="00304DC8">
        <w:rPr>
          <w:sz w:val="22"/>
          <w:szCs w:val="22"/>
        </w:rPr>
        <w:t>The NSA would prefer alternative A</w:t>
      </w:r>
      <w:r w:rsidR="003C1CC4" w:rsidRPr="00304DC8">
        <w:rPr>
          <w:sz w:val="22"/>
          <w:szCs w:val="22"/>
        </w:rPr>
        <w:t xml:space="preserve"> because the threshold floor is </w:t>
      </w:r>
      <w:r w:rsidR="004804D1" w:rsidRPr="00304DC8">
        <w:rPr>
          <w:sz w:val="22"/>
          <w:szCs w:val="22"/>
        </w:rPr>
        <w:t>higher than in alternative B.</w:t>
      </w:r>
    </w:p>
    <w:permEnd w:id="60508007"/>
    <w:p w:rsidR="00A8728B" w:rsidRDefault="00A8728B" w:rsidP="00A8728B">
      <w:r>
        <w:t>&lt;ESMA_QUESTION_MIFID_ADD_2&gt;</w:t>
      </w:r>
    </w:p>
    <w:p w:rsidR="00A8728B" w:rsidRPr="00B62727" w:rsidRDefault="00A8728B" w:rsidP="00A8728B">
      <w:pPr>
        <w:pStyle w:val="CPQuestions"/>
        <w:ind w:left="714" w:hanging="357"/>
      </w:pPr>
      <w:r w:rsidRPr="00C24BCA">
        <w:t>Which is your preferred option for the definition of a liquid market of single name CDS? Please provide an answer detailed</w:t>
      </w:r>
      <w:r w:rsidRPr="00B62727">
        <w:t xml:space="preserve"> per underlying </w:t>
      </w:r>
      <w:r>
        <w:t xml:space="preserve">issuer type </w:t>
      </w:r>
      <w:r w:rsidRPr="00B62727">
        <w:t>identified</w:t>
      </w:r>
      <w:r>
        <w:t xml:space="preserve"> (sovereign and corporate)</w:t>
      </w:r>
      <w:r w:rsidRPr="00B62727">
        <w:t xml:space="preserve">, addressing the following points: </w:t>
      </w:r>
    </w:p>
    <w:p w:rsidR="00A8728B" w:rsidRPr="00B62727" w:rsidRDefault="00A8728B" w:rsidP="00566C6A">
      <w:pPr>
        <w:pStyle w:val="CPQuest2"/>
        <w:numPr>
          <w:ilvl w:val="0"/>
          <w:numId w:val="38"/>
        </w:numPr>
      </w:pPr>
      <w:r w:rsidRPr="00B62727">
        <w:t>Would you use different qualitative criteria to define the sub-classes?</w:t>
      </w:r>
    </w:p>
    <w:p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rsidR="00A8728B" w:rsidRPr="00B62727" w:rsidRDefault="00A8728B" w:rsidP="00566C6A">
      <w:pPr>
        <w:pStyle w:val="CPQuest2"/>
      </w:pPr>
      <w:r w:rsidRPr="00B62727">
        <w:t>Would you define classes declared as liquid in ESMA’s proposal as illiquid (or vice versa)? Please provide reasons for your answer.</w:t>
      </w:r>
    </w:p>
    <w:p w:rsidR="00A8728B" w:rsidRDefault="00A8728B" w:rsidP="00A8728B">
      <w:r>
        <w:t>&lt;ESMA_QUESTION_MIFID_ADD_3&gt;</w:t>
      </w:r>
    </w:p>
    <w:p w:rsidR="00DE0CD6" w:rsidRPr="00304DC8" w:rsidRDefault="00DE0CD6" w:rsidP="00DE0CD6">
      <w:pPr>
        <w:rPr>
          <w:sz w:val="22"/>
          <w:szCs w:val="22"/>
        </w:rPr>
      </w:pPr>
      <w:permStart w:id="96893769" w:edGrp="everyone"/>
      <w:r w:rsidRPr="00304DC8">
        <w:rPr>
          <w:sz w:val="22"/>
          <w:szCs w:val="22"/>
          <w:lang w:val="en-US"/>
        </w:rPr>
        <w:t>Please note that unless otherwise stated, NSA’s reply below</w:t>
      </w:r>
      <w:r w:rsidR="00C52339" w:rsidRPr="00304DC8">
        <w:rPr>
          <w:sz w:val="22"/>
          <w:szCs w:val="22"/>
          <w:lang w:val="en-US"/>
        </w:rPr>
        <w:t xml:space="preserve"> is valid for all single same C</w:t>
      </w:r>
      <w:r w:rsidRPr="00304DC8">
        <w:rPr>
          <w:sz w:val="22"/>
          <w:szCs w:val="22"/>
          <w:lang w:val="en-US"/>
        </w:rPr>
        <w:t>D</w:t>
      </w:r>
      <w:r w:rsidR="00C52339" w:rsidRPr="00304DC8">
        <w:rPr>
          <w:sz w:val="22"/>
          <w:szCs w:val="22"/>
          <w:lang w:val="en-US"/>
        </w:rPr>
        <w:t>S</w:t>
      </w:r>
      <w:r w:rsidRPr="00304DC8">
        <w:rPr>
          <w:sz w:val="22"/>
          <w:szCs w:val="22"/>
          <w:lang w:val="en-US"/>
        </w:rPr>
        <w:t xml:space="preserve"> (corporate or sovereign</w:t>
      </w:r>
      <w:r w:rsidR="00A979AE" w:rsidRPr="00304DC8">
        <w:rPr>
          <w:sz w:val="22"/>
          <w:szCs w:val="22"/>
          <w:lang w:val="en-US"/>
        </w:rPr>
        <w:t xml:space="preserve"> issuer</w:t>
      </w:r>
      <w:r w:rsidRPr="00304DC8">
        <w:rPr>
          <w:sz w:val="22"/>
          <w:szCs w:val="22"/>
          <w:lang w:val="en-US"/>
        </w:rPr>
        <w:t>)</w:t>
      </w:r>
      <w:r w:rsidR="001669ED" w:rsidRPr="00304DC8">
        <w:rPr>
          <w:sz w:val="22"/>
          <w:szCs w:val="22"/>
          <w:lang w:val="en-US"/>
        </w:rPr>
        <w:t>.</w:t>
      </w:r>
      <w:r w:rsidRPr="00304DC8">
        <w:rPr>
          <w:sz w:val="22"/>
          <w:szCs w:val="22"/>
        </w:rPr>
        <w:t xml:space="preserve"> </w:t>
      </w:r>
    </w:p>
    <w:p w:rsidR="00DE0CD6" w:rsidRPr="00304DC8" w:rsidRDefault="00DE0CD6" w:rsidP="00DE0CD6">
      <w:pPr>
        <w:rPr>
          <w:sz w:val="22"/>
          <w:szCs w:val="22"/>
        </w:rPr>
      </w:pPr>
    </w:p>
    <w:p w:rsidR="000E61A3" w:rsidRPr="00304DC8" w:rsidRDefault="000E61A3" w:rsidP="00B65922">
      <w:pPr>
        <w:rPr>
          <w:rFonts w:eastAsia="Calibri"/>
          <w:sz w:val="22"/>
          <w:szCs w:val="22"/>
          <w:u w:val="single"/>
        </w:rPr>
      </w:pPr>
      <w:r w:rsidRPr="00304DC8">
        <w:rPr>
          <w:sz w:val="22"/>
          <w:szCs w:val="22"/>
          <w:u w:val="single"/>
        </w:rPr>
        <w:t xml:space="preserve">General comments: </w:t>
      </w:r>
    </w:p>
    <w:p w:rsidR="000E61A3" w:rsidRPr="00304DC8" w:rsidRDefault="000E61A3" w:rsidP="000E61A3">
      <w:pPr>
        <w:rPr>
          <w:sz w:val="22"/>
          <w:szCs w:val="22"/>
        </w:rPr>
      </w:pPr>
      <w:r w:rsidRPr="00304DC8">
        <w:rPr>
          <w:sz w:val="22"/>
          <w:szCs w:val="22"/>
        </w:rPr>
        <w:t>For a large number of classes and sub-classes of derivatives covered by the Addendum Consu</w:t>
      </w:r>
      <w:r w:rsidRPr="00304DC8">
        <w:rPr>
          <w:sz w:val="22"/>
          <w:szCs w:val="22"/>
        </w:rPr>
        <w:t>l</w:t>
      </w:r>
      <w:r w:rsidRPr="00304DC8">
        <w:rPr>
          <w:sz w:val="22"/>
          <w:szCs w:val="22"/>
        </w:rPr>
        <w:t xml:space="preserve">tation Paper, ESMA’s approach implies that instruments with a very low trading activity will be classified as liquid. In the opinion of NSA, this is not acceptable. Our </w:t>
      </w:r>
      <w:r w:rsidRPr="00304DC8">
        <w:rPr>
          <w:rFonts w:cstheme="minorHAnsi"/>
          <w:sz w:val="22"/>
          <w:szCs w:val="22"/>
          <w:lang w:val="en-US"/>
        </w:rPr>
        <w:t xml:space="preserve">main concern is that these (in fact) illiquid products, when classified as having a liquid market, will become subject to more stringent transparency requirements and SI obligations under </w:t>
      </w:r>
      <w:proofErr w:type="spellStart"/>
      <w:r w:rsidRPr="00304DC8">
        <w:rPr>
          <w:rFonts w:cstheme="minorHAnsi"/>
          <w:sz w:val="22"/>
          <w:szCs w:val="22"/>
          <w:lang w:val="en-US"/>
        </w:rPr>
        <w:t>MiFIR</w:t>
      </w:r>
      <w:proofErr w:type="spellEnd"/>
      <w:r w:rsidRPr="00304DC8">
        <w:rPr>
          <w:rFonts w:cstheme="minorHAnsi"/>
          <w:sz w:val="22"/>
          <w:szCs w:val="22"/>
          <w:lang w:val="en-US"/>
        </w:rPr>
        <w:t xml:space="preserve">. </w:t>
      </w:r>
      <w:r w:rsidR="00C0501E" w:rsidRPr="00304DC8">
        <w:rPr>
          <w:rFonts w:cstheme="minorHAnsi"/>
          <w:sz w:val="22"/>
          <w:szCs w:val="22"/>
          <w:lang w:val="en-US"/>
        </w:rPr>
        <w:t>The</w:t>
      </w:r>
      <w:r w:rsidR="00363CE2">
        <w:rPr>
          <w:rFonts w:cstheme="minorHAnsi"/>
          <w:sz w:val="22"/>
          <w:szCs w:val="22"/>
          <w:lang w:val="en-US"/>
        </w:rPr>
        <w:t>se</w:t>
      </w:r>
      <w:r w:rsidR="00C0501E" w:rsidRPr="00304DC8">
        <w:rPr>
          <w:rFonts w:cstheme="minorHAnsi"/>
          <w:sz w:val="22"/>
          <w:szCs w:val="22"/>
          <w:lang w:val="en-US"/>
        </w:rPr>
        <w:t xml:space="preserve"> </w:t>
      </w:r>
      <w:r w:rsidRPr="00304DC8">
        <w:rPr>
          <w:rFonts w:cstheme="minorHAnsi"/>
          <w:sz w:val="22"/>
          <w:szCs w:val="22"/>
          <w:lang w:val="en-US"/>
        </w:rPr>
        <w:t>regulatory requir</w:t>
      </w:r>
      <w:r w:rsidRPr="00304DC8">
        <w:rPr>
          <w:rFonts w:cstheme="minorHAnsi"/>
          <w:sz w:val="22"/>
          <w:szCs w:val="22"/>
          <w:lang w:val="en-US"/>
        </w:rPr>
        <w:t>e</w:t>
      </w:r>
      <w:r w:rsidRPr="00304DC8">
        <w:rPr>
          <w:rFonts w:cstheme="minorHAnsi"/>
          <w:sz w:val="22"/>
          <w:szCs w:val="22"/>
          <w:lang w:val="en-US"/>
        </w:rPr>
        <w:t xml:space="preserve">ments will increase the risks of market makers/SIs which will then become less willing to provide </w:t>
      </w:r>
      <w:r w:rsidR="002C3167" w:rsidRPr="00304DC8">
        <w:rPr>
          <w:rFonts w:cstheme="minorHAnsi"/>
          <w:sz w:val="22"/>
          <w:szCs w:val="22"/>
          <w:lang w:val="en-US"/>
        </w:rPr>
        <w:t>prices</w:t>
      </w:r>
      <w:r w:rsidRPr="00304DC8">
        <w:rPr>
          <w:rFonts w:cstheme="minorHAnsi"/>
          <w:sz w:val="22"/>
          <w:szCs w:val="22"/>
          <w:lang w:val="en-US"/>
        </w:rPr>
        <w:t xml:space="preserve"> to the markets. This will in turn </w:t>
      </w:r>
      <w:r w:rsidRPr="00304DC8">
        <w:rPr>
          <w:sz w:val="22"/>
          <w:szCs w:val="22"/>
        </w:rPr>
        <w:t xml:space="preserve">lead to a decrease in the offering of these already rarely traded contracts and to an increase in </w:t>
      </w:r>
      <w:r w:rsidR="002C3167" w:rsidRPr="00304DC8">
        <w:rPr>
          <w:sz w:val="22"/>
          <w:szCs w:val="22"/>
        </w:rPr>
        <w:t>transaction costs.</w:t>
      </w:r>
      <w:r w:rsidRPr="00304DC8">
        <w:rPr>
          <w:sz w:val="22"/>
          <w:szCs w:val="22"/>
        </w:rPr>
        <w:t xml:space="preserve"> </w:t>
      </w:r>
    </w:p>
    <w:p w:rsidR="000E61A3" w:rsidRPr="00304DC8" w:rsidRDefault="000E61A3" w:rsidP="000E61A3">
      <w:pPr>
        <w:rPr>
          <w:sz w:val="22"/>
          <w:szCs w:val="22"/>
        </w:rPr>
      </w:pPr>
    </w:p>
    <w:p w:rsidR="000E61A3" w:rsidRPr="00304DC8" w:rsidRDefault="000E61A3" w:rsidP="000E61A3">
      <w:pPr>
        <w:rPr>
          <w:sz w:val="22"/>
          <w:szCs w:val="22"/>
        </w:rPr>
      </w:pPr>
      <w:r w:rsidRPr="00304DC8">
        <w:rPr>
          <w:sz w:val="22"/>
          <w:szCs w:val="22"/>
        </w:rPr>
        <w:t xml:space="preserve">It should be noted that derivatives </w:t>
      </w:r>
      <w:r w:rsidRPr="00304DC8">
        <w:rPr>
          <w:sz w:val="22"/>
          <w:szCs w:val="22"/>
          <w:lang w:val="en-US"/>
        </w:rPr>
        <w:t>serve an important role in allowing co</w:t>
      </w:r>
      <w:r w:rsidR="002C3167" w:rsidRPr="00304DC8">
        <w:rPr>
          <w:sz w:val="22"/>
          <w:szCs w:val="22"/>
          <w:lang w:val="en-US"/>
        </w:rPr>
        <w:t>rporates</w:t>
      </w:r>
      <w:r w:rsidRPr="00304DC8">
        <w:rPr>
          <w:sz w:val="22"/>
          <w:szCs w:val="22"/>
          <w:lang w:val="en-US"/>
        </w:rPr>
        <w:t xml:space="preserve"> to manage risks arising from their commercial activities. If a product type is made too expensive for the end user, the end user may </w:t>
      </w:r>
      <w:r w:rsidR="00C0501E" w:rsidRPr="00304DC8">
        <w:rPr>
          <w:sz w:val="22"/>
          <w:szCs w:val="22"/>
          <w:lang w:val="en-US"/>
        </w:rPr>
        <w:t xml:space="preserve">refrain </w:t>
      </w:r>
      <w:r w:rsidRPr="00304DC8">
        <w:rPr>
          <w:sz w:val="22"/>
          <w:szCs w:val="22"/>
          <w:lang w:val="en-US"/>
        </w:rPr>
        <w:t xml:space="preserve">from doing any hedging (at all), or if they cannot find the product that meets their specific needs they may use a less suitable product that leaves certain risks un-hedged (i.e. basis risk), or end users find it takes longer and is more difficult to fulfil their needs (i.e. execution risk). At an overall economic level this would increase systemic vulnerability as hedging levels could generally decrease and risks remain in the real economy. </w:t>
      </w:r>
      <w:r w:rsidRPr="00304DC8">
        <w:rPr>
          <w:sz w:val="22"/>
          <w:szCs w:val="22"/>
        </w:rPr>
        <w:t>In order to avoid these adverse effects on EU-markets, NSA urges ESMA to take a cautious approach and e</w:t>
      </w:r>
      <w:r w:rsidRPr="00304DC8">
        <w:rPr>
          <w:sz w:val="22"/>
          <w:szCs w:val="22"/>
        </w:rPr>
        <w:t>n</w:t>
      </w:r>
      <w:r w:rsidRPr="00304DC8">
        <w:rPr>
          <w:sz w:val="22"/>
          <w:szCs w:val="22"/>
        </w:rPr>
        <w:t>sure that the liquidity criteria used for classifying derivatives as having a liquid market only ca</w:t>
      </w:r>
      <w:r w:rsidRPr="00304DC8">
        <w:rPr>
          <w:sz w:val="22"/>
          <w:szCs w:val="22"/>
        </w:rPr>
        <w:t>p</w:t>
      </w:r>
      <w:r w:rsidRPr="00304DC8">
        <w:rPr>
          <w:sz w:val="22"/>
          <w:szCs w:val="22"/>
        </w:rPr>
        <w:t xml:space="preserve">tures truly liquid instrument. For instance, bespoke OTC derivatives used for hedging purposes should never be considered as having a liquid market. </w:t>
      </w:r>
    </w:p>
    <w:p w:rsidR="000E61A3" w:rsidRPr="00304DC8" w:rsidRDefault="000E61A3" w:rsidP="00B65922">
      <w:pPr>
        <w:rPr>
          <w:sz w:val="22"/>
          <w:szCs w:val="22"/>
        </w:rPr>
      </w:pPr>
    </w:p>
    <w:p w:rsidR="000E61A3" w:rsidRPr="00304DC8" w:rsidRDefault="00ED6825" w:rsidP="00B65922">
      <w:pPr>
        <w:rPr>
          <w:sz w:val="22"/>
          <w:szCs w:val="22"/>
        </w:rPr>
      </w:pPr>
      <w:r w:rsidRPr="00304DC8">
        <w:rPr>
          <w:sz w:val="22"/>
          <w:szCs w:val="22"/>
        </w:rPr>
        <w:t>ESMA’s li</w:t>
      </w:r>
      <w:r w:rsidR="000E61A3" w:rsidRPr="00304DC8">
        <w:rPr>
          <w:sz w:val="22"/>
          <w:szCs w:val="22"/>
        </w:rPr>
        <w:t>quidity analysis of derivatives classes is massive. Hundreds of different sub-</w:t>
      </w:r>
      <w:r w:rsidR="00E34C0B" w:rsidRPr="00304DC8">
        <w:rPr>
          <w:sz w:val="22"/>
          <w:szCs w:val="22"/>
        </w:rPr>
        <w:t>classes have already been analys</w:t>
      </w:r>
      <w:r w:rsidR="000E61A3" w:rsidRPr="00304DC8">
        <w:rPr>
          <w:sz w:val="22"/>
          <w:szCs w:val="22"/>
        </w:rPr>
        <w:t>ed and labe</w:t>
      </w:r>
      <w:r w:rsidR="00E34C0B" w:rsidRPr="00304DC8">
        <w:rPr>
          <w:sz w:val="22"/>
          <w:szCs w:val="22"/>
        </w:rPr>
        <w:t>l</w:t>
      </w:r>
      <w:r w:rsidR="000E61A3" w:rsidRPr="00304DC8">
        <w:rPr>
          <w:sz w:val="22"/>
          <w:szCs w:val="22"/>
        </w:rPr>
        <w:t>led as liquid or illiquid. However, the analysis is based on very generic criteria that fail to take into account many crucial elements of derivatives contracts. At least maturity, amortization and notional amount would have to be considered thoroughly. There are also concerns on the quality of the data. As a result, many sub-classes that are l</w:t>
      </w:r>
      <w:r w:rsidR="000E61A3" w:rsidRPr="00304DC8">
        <w:rPr>
          <w:sz w:val="22"/>
          <w:szCs w:val="22"/>
        </w:rPr>
        <w:t>a</w:t>
      </w:r>
      <w:r w:rsidR="000E61A3" w:rsidRPr="00304DC8">
        <w:rPr>
          <w:sz w:val="22"/>
          <w:szCs w:val="22"/>
        </w:rPr>
        <w:t>bel</w:t>
      </w:r>
      <w:r w:rsidR="00E34C0B" w:rsidRPr="00304DC8">
        <w:rPr>
          <w:sz w:val="22"/>
          <w:szCs w:val="22"/>
        </w:rPr>
        <w:t>l</w:t>
      </w:r>
      <w:r w:rsidR="000E61A3" w:rsidRPr="00304DC8">
        <w:rPr>
          <w:sz w:val="22"/>
          <w:szCs w:val="22"/>
        </w:rPr>
        <w:t>ed liquid are not in practice liquid at all. It should also be noticed that the mapping of such huge amounts of listed contracts into systems will be very time-consuming and hence may lead to increased hedging costs. In many cases it is likely that this will have to be done manually which in turn might increase the probability of mistakes in the mapping process.  </w:t>
      </w:r>
    </w:p>
    <w:p w:rsidR="000E61A3" w:rsidRPr="00304DC8" w:rsidRDefault="000E61A3" w:rsidP="00B65922">
      <w:pPr>
        <w:rPr>
          <w:sz w:val="22"/>
          <w:szCs w:val="22"/>
        </w:rPr>
      </w:pPr>
    </w:p>
    <w:p w:rsidR="009F0AFE" w:rsidRPr="00304DC8" w:rsidRDefault="009F0AFE" w:rsidP="009F0AFE">
      <w:pPr>
        <w:rPr>
          <w:sz w:val="22"/>
          <w:szCs w:val="22"/>
        </w:rPr>
      </w:pPr>
      <w:r w:rsidRPr="00304DC8">
        <w:rPr>
          <w:sz w:val="22"/>
          <w:szCs w:val="22"/>
        </w:rPr>
        <w:t xml:space="preserve">The NSA agrees with ESMA that there are major quality issues related to the data </w:t>
      </w:r>
      <w:r w:rsidR="009A7F66" w:rsidRPr="00304DC8">
        <w:rPr>
          <w:sz w:val="22"/>
          <w:szCs w:val="22"/>
        </w:rPr>
        <w:t>acquired</w:t>
      </w:r>
      <w:r w:rsidR="009A7F66" w:rsidRPr="00304DC8">
        <w:rPr>
          <w:sz w:val="22"/>
          <w:szCs w:val="22"/>
        </w:rPr>
        <w:t xml:space="preserve"> </w:t>
      </w:r>
      <w:r w:rsidRPr="00304DC8">
        <w:rPr>
          <w:sz w:val="22"/>
          <w:szCs w:val="22"/>
        </w:rPr>
        <w:t>from trade repositories</w:t>
      </w:r>
      <w:r w:rsidR="006B301B">
        <w:rPr>
          <w:sz w:val="22"/>
          <w:szCs w:val="22"/>
        </w:rPr>
        <w:t xml:space="preserve"> (TR)</w:t>
      </w:r>
      <w:r w:rsidRPr="00304DC8">
        <w:rPr>
          <w:sz w:val="22"/>
          <w:szCs w:val="22"/>
        </w:rPr>
        <w:t>. Especially the fact that there is incorrect or inconsistent reporting of some of the data fields is very concerning as this data forms the buil</w:t>
      </w:r>
      <w:r w:rsidRPr="00304DC8">
        <w:rPr>
          <w:sz w:val="22"/>
          <w:szCs w:val="22"/>
        </w:rPr>
        <w:t>d</w:t>
      </w:r>
      <w:r w:rsidRPr="00304DC8">
        <w:rPr>
          <w:sz w:val="22"/>
          <w:szCs w:val="22"/>
        </w:rPr>
        <w:t>ing blocks for defining liquidity and calculating LIS and SSTI thresholds. We therefore take the view that the data pr</w:t>
      </w:r>
      <w:r w:rsidRPr="00304DC8">
        <w:rPr>
          <w:sz w:val="22"/>
          <w:szCs w:val="22"/>
        </w:rPr>
        <w:t>e</w:t>
      </w:r>
      <w:r w:rsidRPr="00304DC8">
        <w:rPr>
          <w:sz w:val="22"/>
          <w:szCs w:val="22"/>
        </w:rPr>
        <w:t>sented in the Addendum Consultation Paper is not acceptable as the sole basis for EU regul</w:t>
      </w:r>
      <w:r w:rsidRPr="00304DC8">
        <w:rPr>
          <w:sz w:val="22"/>
          <w:szCs w:val="22"/>
        </w:rPr>
        <w:t>a</w:t>
      </w:r>
      <w:r w:rsidRPr="00304DC8">
        <w:rPr>
          <w:sz w:val="22"/>
          <w:szCs w:val="22"/>
        </w:rPr>
        <w:t xml:space="preserve">tion in this area. The analysis must be and should be supplemented with </w:t>
      </w:r>
      <w:r w:rsidRPr="00304DC8">
        <w:rPr>
          <w:sz w:val="22"/>
          <w:szCs w:val="22"/>
          <w:u w:val="single"/>
        </w:rPr>
        <w:t>views from experts</w:t>
      </w:r>
      <w:r w:rsidRPr="00304DC8">
        <w:rPr>
          <w:sz w:val="22"/>
          <w:szCs w:val="22"/>
        </w:rPr>
        <w:t xml:space="preserve"> that are capable to assess whether the definition of liquidity and the calcul</w:t>
      </w:r>
      <w:r w:rsidRPr="00304DC8">
        <w:rPr>
          <w:sz w:val="22"/>
          <w:szCs w:val="22"/>
        </w:rPr>
        <w:t>a</w:t>
      </w:r>
      <w:r w:rsidRPr="00304DC8">
        <w:rPr>
          <w:sz w:val="22"/>
          <w:szCs w:val="22"/>
        </w:rPr>
        <w:t>tions of LIS and SSTI are correct when looking at the market for the different asset- and su</w:t>
      </w:r>
      <w:r w:rsidRPr="00304DC8">
        <w:rPr>
          <w:sz w:val="22"/>
          <w:szCs w:val="22"/>
        </w:rPr>
        <w:t>b</w:t>
      </w:r>
      <w:r w:rsidRPr="00304DC8">
        <w:rPr>
          <w:sz w:val="22"/>
          <w:szCs w:val="22"/>
        </w:rPr>
        <w:t>classes. Having expert views will improve the overall quality and ensure a more correct definition of liquidity and more acc</w:t>
      </w:r>
      <w:r w:rsidRPr="00304DC8">
        <w:rPr>
          <w:sz w:val="22"/>
          <w:szCs w:val="22"/>
        </w:rPr>
        <w:t>u</w:t>
      </w:r>
      <w:r w:rsidRPr="00304DC8">
        <w:rPr>
          <w:sz w:val="22"/>
          <w:szCs w:val="22"/>
        </w:rPr>
        <w:t>rate determin</w:t>
      </w:r>
      <w:r w:rsidRPr="00304DC8">
        <w:rPr>
          <w:sz w:val="22"/>
          <w:szCs w:val="22"/>
        </w:rPr>
        <w:t>a</w:t>
      </w:r>
      <w:r w:rsidRPr="00304DC8">
        <w:rPr>
          <w:sz w:val="22"/>
          <w:szCs w:val="22"/>
        </w:rPr>
        <w:t xml:space="preserve">tion of LIS and SSTI.  </w:t>
      </w:r>
    </w:p>
    <w:p w:rsidR="000E61A3" w:rsidRPr="00304DC8" w:rsidRDefault="000E61A3" w:rsidP="000E61A3">
      <w:pPr>
        <w:rPr>
          <w:sz w:val="22"/>
          <w:szCs w:val="22"/>
        </w:rPr>
      </w:pPr>
    </w:p>
    <w:p w:rsidR="000E61A3" w:rsidRPr="00304DC8" w:rsidRDefault="000E61A3" w:rsidP="000E61A3">
      <w:pPr>
        <w:rPr>
          <w:sz w:val="22"/>
          <w:szCs w:val="22"/>
        </w:rPr>
      </w:pPr>
      <w:r w:rsidRPr="00304DC8">
        <w:rPr>
          <w:sz w:val="22"/>
          <w:szCs w:val="22"/>
        </w:rPr>
        <w:t xml:space="preserve">The NSA also supports introducing the new transparency rules by a </w:t>
      </w:r>
      <w:r w:rsidRPr="00304DC8">
        <w:rPr>
          <w:sz w:val="22"/>
          <w:szCs w:val="22"/>
          <w:u w:val="single"/>
        </w:rPr>
        <w:t xml:space="preserve">stepwise approach </w:t>
      </w:r>
      <w:r w:rsidRPr="00304DC8">
        <w:rPr>
          <w:sz w:val="22"/>
          <w:szCs w:val="22"/>
        </w:rPr>
        <w:t xml:space="preserve">(rather than a “big bang”), carefully investigating the impact of each step before introducing the next step. In this respect, a stepwise approach would mean that ESMA should </w:t>
      </w:r>
      <w:r w:rsidRPr="00304DC8">
        <w:rPr>
          <w:sz w:val="22"/>
          <w:szCs w:val="22"/>
          <w:u w:val="single"/>
        </w:rPr>
        <w:t>only consider as liquid a few of the most liquid derivative subclasses.</w:t>
      </w:r>
    </w:p>
    <w:p w:rsidR="000E61A3" w:rsidRPr="00304DC8" w:rsidRDefault="000E61A3" w:rsidP="00861EC1">
      <w:pPr>
        <w:rPr>
          <w:sz w:val="22"/>
          <w:szCs w:val="22"/>
        </w:rPr>
      </w:pPr>
    </w:p>
    <w:p w:rsidR="000E61A3" w:rsidRPr="00304DC8" w:rsidRDefault="000E61A3" w:rsidP="00861EC1">
      <w:pPr>
        <w:rPr>
          <w:sz w:val="22"/>
          <w:szCs w:val="22"/>
        </w:rPr>
      </w:pPr>
      <w:r w:rsidRPr="00304DC8">
        <w:rPr>
          <w:sz w:val="22"/>
          <w:szCs w:val="22"/>
        </w:rPr>
        <w:t xml:space="preserve">The NSA generally takes the view that ESMA’s model for assessing liquidity is too static. The proposal by NSA is to </w:t>
      </w:r>
      <w:r w:rsidRPr="00304DC8">
        <w:rPr>
          <w:sz w:val="22"/>
          <w:szCs w:val="22"/>
          <w:u w:val="single"/>
        </w:rPr>
        <w:t>recalibrate within 6 months and thereafter on a yearly basis</w:t>
      </w:r>
      <w:r w:rsidRPr="00304DC8">
        <w:rPr>
          <w:sz w:val="22"/>
          <w:szCs w:val="22"/>
        </w:rPr>
        <w:t>. It is absolut</w:t>
      </w:r>
      <w:r w:rsidRPr="00304DC8">
        <w:rPr>
          <w:sz w:val="22"/>
          <w:szCs w:val="22"/>
        </w:rPr>
        <w:t>e</w:t>
      </w:r>
      <w:r w:rsidRPr="00304DC8">
        <w:rPr>
          <w:sz w:val="22"/>
          <w:szCs w:val="22"/>
        </w:rPr>
        <w:t xml:space="preserve">ly crucial that any recalibration takes </w:t>
      </w:r>
      <w:r w:rsidRPr="00304DC8">
        <w:rPr>
          <w:sz w:val="22"/>
          <w:szCs w:val="22"/>
          <w:u w:val="single"/>
        </w:rPr>
        <w:t>Ex-Post Effects</w:t>
      </w:r>
      <w:r w:rsidRPr="00304DC8">
        <w:rPr>
          <w:sz w:val="22"/>
          <w:szCs w:val="22"/>
        </w:rPr>
        <w:t xml:space="preserve"> into account, i.e. the impact that the intr</w:t>
      </w:r>
      <w:r w:rsidRPr="00304DC8">
        <w:rPr>
          <w:sz w:val="22"/>
          <w:szCs w:val="22"/>
        </w:rPr>
        <w:t>o</w:t>
      </w:r>
      <w:r w:rsidRPr="00304DC8">
        <w:rPr>
          <w:sz w:val="22"/>
          <w:szCs w:val="22"/>
        </w:rPr>
        <w:t xml:space="preserve">duction of the new EU transparency regime will have on the liquidity of the instruments. Such Ex-Post Effects need to be based on </w:t>
      </w:r>
      <w:r w:rsidRPr="00304DC8">
        <w:rPr>
          <w:sz w:val="22"/>
          <w:szCs w:val="22"/>
          <w:u w:val="single"/>
        </w:rPr>
        <w:t>expert judgement</w:t>
      </w:r>
      <w:r w:rsidRPr="00304DC8">
        <w:rPr>
          <w:sz w:val="22"/>
          <w:szCs w:val="22"/>
        </w:rPr>
        <w:t>.</w:t>
      </w:r>
    </w:p>
    <w:p w:rsidR="00775B9C" w:rsidRPr="00304DC8" w:rsidRDefault="00775B9C" w:rsidP="00861EC1">
      <w:pPr>
        <w:rPr>
          <w:sz w:val="22"/>
          <w:szCs w:val="22"/>
        </w:rPr>
      </w:pPr>
    </w:p>
    <w:p w:rsidR="00775B9C" w:rsidRPr="00304DC8" w:rsidRDefault="00775B9C" w:rsidP="00775B9C">
      <w:pPr>
        <w:rPr>
          <w:sz w:val="22"/>
          <w:szCs w:val="22"/>
        </w:rPr>
      </w:pPr>
      <w:r w:rsidRPr="00304DC8">
        <w:rPr>
          <w:sz w:val="22"/>
          <w:szCs w:val="22"/>
          <w:u w:val="single"/>
        </w:rPr>
        <w:t>Questions</w:t>
      </w:r>
      <w:r w:rsidRPr="00304DC8">
        <w:rPr>
          <w:sz w:val="22"/>
          <w:szCs w:val="22"/>
        </w:rPr>
        <w:t xml:space="preserve">: </w:t>
      </w:r>
    </w:p>
    <w:p w:rsidR="00775B9C" w:rsidRPr="00304DC8" w:rsidRDefault="00775B9C" w:rsidP="00775B9C">
      <w:pPr>
        <w:rPr>
          <w:b/>
          <w:sz w:val="22"/>
          <w:szCs w:val="22"/>
        </w:rPr>
      </w:pPr>
      <w:r w:rsidRPr="00304DC8">
        <w:rPr>
          <w:b/>
          <w:sz w:val="22"/>
          <w:szCs w:val="22"/>
        </w:rPr>
        <w:t xml:space="preserve">Question 3 (1) </w:t>
      </w:r>
    </w:p>
    <w:p w:rsidR="00CF5A7B" w:rsidRPr="00304DC8" w:rsidRDefault="008664E5" w:rsidP="00745F3A">
      <w:pPr>
        <w:rPr>
          <w:sz w:val="22"/>
          <w:szCs w:val="22"/>
        </w:rPr>
      </w:pPr>
      <w:r w:rsidRPr="00304DC8">
        <w:rPr>
          <w:sz w:val="22"/>
          <w:szCs w:val="22"/>
        </w:rPr>
        <w:t xml:space="preserve">For single name </w:t>
      </w:r>
      <w:r w:rsidR="00AB4DDE" w:rsidRPr="00304DC8">
        <w:rPr>
          <w:sz w:val="22"/>
          <w:szCs w:val="22"/>
        </w:rPr>
        <w:t>C</w:t>
      </w:r>
      <w:r w:rsidR="00EB6187" w:rsidRPr="00304DC8">
        <w:rPr>
          <w:sz w:val="22"/>
          <w:szCs w:val="22"/>
        </w:rPr>
        <w:t>D</w:t>
      </w:r>
      <w:r w:rsidR="00AB4DDE" w:rsidRPr="00304DC8">
        <w:rPr>
          <w:sz w:val="22"/>
          <w:szCs w:val="22"/>
        </w:rPr>
        <w:t>S</w:t>
      </w:r>
      <w:r w:rsidR="00CF5A7B" w:rsidRPr="00304DC8">
        <w:rPr>
          <w:sz w:val="22"/>
          <w:szCs w:val="22"/>
        </w:rPr>
        <w:t xml:space="preserve">, </w:t>
      </w:r>
      <w:r w:rsidR="00B2166A" w:rsidRPr="00304DC8">
        <w:rPr>
          <w:sz w:val="22"/>
          <w:szCs w:val="22"/>
        </w:rPr>
        <w:t xml:space="preserve">the NSA takes the view that </w:t>
      </w:r>
      <w:r w:rsidR="00465875" w:rsidRPr="00304DC8">
        <w:rPr>
          <w:sz w:val="22"/>
          <w:szCs w:val="22"/>
        </w:rPr>
        <w:t xml:space="preserve">the </w:t>
      </w:r>
      <w:r w:rsidR="00EB6187" w:rsidRPr="00304DC8">
        <w:rPr>
          <w:sz w:val="22"/>
          <w:szCs w:val="22"/>
        </w:rPr>
        <w:t xml:space="preserve">criteria </w:t>
      </w:r>
      <w:r w:rsidR="00465875" w:rsidRPr="00304DC8">
        <w:rPr>
          <w:sz w:val="22"/>
          <w:szCs w:val="22"/>
        </w:rPr>
        <w:t xml:space="preserve">for defining the sub-classes are </w:t>
      </w:r>
      <w:r w:rsidR="00EE45DB" w:rsidRPr="00304DC8">
        <w:rPr>
          <w:sz w:val="22"/>
          <w:szCs w:val="22"/>
        </w:rPr>
        <w:t>acceptable</w:t>
      </w:r>
      <w:r w:rsidR="00BE3519" w:rsidRPr="00304DC8">
        <w:rPr>
          <w:sz w:val="22"/>
          <w:szCs w:val="22"/>
        </w:rPr>
        <w:t xml:space="preserve"> per se</w:t>
      </w:r>
      <w:r w:rsidR="002C378B" w:rsidRPr="00304DC8">
        <w:rPr>
          <w:sz w:val="22"/>
          <w:szCs w:val="22"/>
        </w:rPr>
        <w:t xml:space="preserve">, including </w:t>
      </w:r>
      <w:r w:rsidR="00CF5A7B" w:rsidRPr="00304DC8">
        <w:rPr>
          <w:sz w:val="22"/>
          <w:szCs w:val="22"/>
        </w:rPr>
        <w:t xml:space="preserve">making </w:t>
      </w:r>
      <w:r w:rsidR="00C17DAD" w:rsidRPr="00304DC8">
        <w:rPr>
          <w:sz w:val="22"/>
          <w:szCs w:val="22"/>
        </w:rPr>
        <w:t>a distinction between sovereign and corporate</w:t>
      </w:r>
      <w:r w:rsidR="00530DC2" w:rsidRPr="00304DC8">
        <w:rPr>
          <w:sz w:val="22"/>
          <w:szCs w:val="22"/>
        </w:rPr>
        <w:t xml:space="preserve"> issuer</w:t>
      </w:r>
      <w:r w:rsidR="00C17DAD" w:rsidRPr="00304DC8">
        <w:rPr>
          <w:sz w:val="22"/>
          <w:szCs w:val="22"/>
        </w:rPr>
        <w:t xml:space="preserve">. </w:t>
      </w:r>
      <w:r w:rsidR="00CF5A7B" w:rsidRPr="00304DC8">
        <w:rPr>
          <w:sz w:val="22"/>
          <w:szCs w:val="22"/>
        </w:rPr>
        <w:t>(</w:t>
      </w:r>
      <w:r w:rsidR="00C17DAD" w:rsidRPr="00304DC8">
        <w:rPr>
          <w:sz w:val="22"/>
          <w:szCs w:val="22"/>
        </w:rPr>
        <w:t xml:space="preserve">Note that definition </w:t>
      </w:r>
      <w:r w:rsidR="00F77393" w:rsidRPr="00304DC8">
        <w:rPr>
          <w:sz w:val="22"/>
          <w:szCs w:val="22"/>
        </w:rPr>
        <w:t xml:space="preserve">of “sovereign issuer type” </w:t>
      </w:r>
      <w:r w:rsidR="00C17DAD" w:rsidRPr="00304DC8">
        <w:rPr>
          <w:sz w:val="22"/>
          <w:szCs w:val="22"/>
        </w:rPr>
        <w:t xml:space="preserve">is not the same as </w:t>
      </w:r>
      <w:r w:rsidR="00F77393" w:rsidRPr="00304DC8">
        <w:rPr>
          <w:sz w:val="22"/>
          <w:szCs w:val="22"/>
        </w:rPr>
        <w:t xml:space="preserve">definition of “sovereign issuer” </w:t>
      </w:r>
      <w:r w:rsidR="00C17DAD" w:rsidRPr="00304DC8">
        <w:rPr>
          <w:sz w:val="22"/>
          <w:szCs w:val="22"/>
        </w:rPr>
        <w:t xml:space="preserve">in </w:t>
      </w:r>
      <w:proofErr w:type="spellStart"/>
      <w:r w:rsidR="00C17DAD" w:rsidRPr="00304DC8">
        <w:rPr>
          <w:sz w:val="22"/>
          <w:szCs w:val="22"/>
        </w:rPr>
        <w:t>MiFIR</w:t>
      </w:r>
      <w:proofErr w:type="spellEnd"/>
      <w:r w:rsidR="00C17DAD" w:rsidRPr="00304DC8">
        <w:rPr>
          <w:sz w:val="22"/>
          <w:szCs w:val="22"/>
        </w:rPr>
        <w:t xml:space="preserve"> which may lead to confusion i.e. </w:t>
      </w:r>
      <w:r w:rsidR="00530DC2" w:rsidRPr="00304DC8">
        <w:rPr>
          <w:sz w:val="22"/>
          <w:szCs w:val="22"/>
        </w:rPr>
        <w:t xml:space="preserve">as </w:t>
      </w:r>
      <w:r w:rsidR="00C17DAD" w:rsidRPr="00304DC8">
        <w:rPr>
          <w:sz w:val="22"/>
          <w:szCs w:val="22"/>
        </w:rPr>
        <w:t>this definition includes non-EU issuers.</w:t>
      </w:r>
      <w:r w:rsidR="00CF5A7B" w:rsidRPr="00304DC8">
        <w:rPr>
          <w:sz w:val="22"/>
          <w:szCs w:val="22"/>
        </w:rPr>
        <w:t>)</w:t>
      </w:r>
    </w:p>
    <w:p w:rsidR="00775B9C" w:rsidRPr="00304DC8" w:rsidRDefault="00775B9C" w:rsidP="00745F3A">
      <w:pPr>
        <w:rPr>
          <w:sz w:val="22"/>
          <w:szCs w:val="22"/>
        </w:rPr>
      </w:pPr>
    </w:p>
    <w:p w:rsidR="00775B9C" w:rsidRPr="00304DC8" w:rsidRDefault="00775B9C" w:rsidP="00775B9C">
      <w:pPr>
        <w:rPr>
          <w:b/>
          <w:sz w:val="22"/>
          <w:szCs w:val="22"/>
        </w:rPr>
      </w:pPr>
      <w:r w:rsidRPr="00304DC8">
        <w:rPr>
          <w:b/>
          <w:sz w:val="22"/>
          <w:szCs w:val="22"/>
        </w:rPr>
        <w:t>Question 3 (2)</w:t>
      </w:r>
    </w:p>
    <w:p w:rsidR="004804D1" w:rsidRPr="00304DC8" w:rsidRDefault="00CF5A7B" w:rsidP="00224947">
      <w:pPr>
        <w:rPr>
          <w:sz w:val="22"/>
          <w:szCs w:val="22"/>
        </w:rPr>
      </w:pPr>
      <w:r w:rsidRPr="00304DC8">
        <w:rPr>
          <w:sz w:val="22"/>
          <w:szCs w:val="22"/>
        </w:rPr>
        <w:t>The p</w:t>
      </w:r>
      <w:r w:rsidR="00C17DAD" w:rsidRPr="00304DC8">
        <w:rPr>
          <w:sz w:val="22"/>
          <w:szCs w:val="22"/>
        </w:rPr>
        <w:t>arameters are fine</w:t>
      </w:r>
      <w:r w:rsidR="00530DC2" w:rsidRPr="00304DC8">
        <w:rPr>
          <w:sz w:val="22"/>
          <w:szCs w:val="22"/>
        </w:rPr>
        <w:t xml:space="preserve"> per se</w:t>
      </w:r>
      <w:r w:rsidR="00C17DAD" w:rsidRPr="00304DC8">
        <w:rPr>
          <w:sz w:val="22"/>
          <w:szCs w:val="22"/>
        </w:rPr>
        <w:t xml:space="preserve">. </w:t>
      </w:r>
    </w:p>
    <w:p w:rsidR="004804D1" w:rsidRPr="00304DC8" w:rsidRDefault="004804D1" w:rsidP="00224947">
      <w:pPr>
        <w:rPr>
          <w:sz w:val="22"/>
          <w:szCs w:val="22"/>
        </w:rPr>
      </w:pPr>
    </w:p>
    <w:p w:rsidR="004804D1" w:rsidRPr="00304DC8" w:rsidRDefault="00C17DAD" w:rsidP="00224947">
      <w:pPr>
        <w:rPr>
          <w:sz w:val="22"/>
          <w:szCs w:val="22"/>
        </w:rPr>
      </w:pPr>
      <w:r w:rsidRPr="00304DC8">
        <w:rPr>
          <w:sz w:val="22"/>
          <w:szCs w:val="22"/>
        </w:rPr>
        <w:t>However</w:t>
      </w:r>
      <w:r w:rsidR="00530DC2" w:rsidRPr="00304DC8">
        <w:rPr>
          <w:sz w:val="22"/>
          <w:szCs w:val="22"/>
        </w:rPr>
        <w:t>,</w:t>
      </w:r>
      <w:r w:rsidRPr="00304DC8">
        <w:rPr>
          <w:sz w:val="22"/>
          <w:szCs w:val="22"/>
        </w:rPr>
        <w:t xml:space="preserve"> </w:t>
      </w:r>
      <w:r w:rsidR="004804D1" w:rsidRPr="00304DC8">
        <w:rPr>
          <w:sz w:val="22"/>
          <w:szCs w:val="22"/>
        </w:rPr>
        <w:t>to truly reflect the markets the NSA suggests raising the average notional number from 500 million EUR to 1 billion EUR, to increase the number of days traded from 80% to 90% and to increase the average number of trades per day from 100 to 400</w:t>
      </w:r>
      <w:r w:rsidR="00ED6825" w:rsidRPr="00304DC8">
        <w:rPr>
          <w:sz w:val="22"/>
          <w:szCs w:val="22"/>
        </w:rPr>
        <w:t>.</w:t>
      </w:r>
    </w:p>
    <w:p w:rsidR="004804D1" w:rsidRPr="00304DC8" w:rsidRDefault="004804D1" w:rsidP="00224947">
      <w:pPr>
        <w:rPr>
          <w:sz w:val="22"/>
          <w:szCs w:val="22"/>
        </w:rPr>
      </w:pPr>
    </w:p>
    <w:p w:rsidR="002C378B" w:rsidRPr="00304DC8" w:rsidRDefault="004804D1" w:rsidP="00224947">
      <w:pPr>
        <w:rPr>
          <w:sz w:val="22"/>
          <w:szCs w:val="22"/>
        </w:rPr>
      </w:pPr>
      <w:r w:rsidRPr="00304DC8">
        <w:rPr>
          <w:sz w:val="22"/>
          <w:szCs w:val="22"/>
        </w:rPr>
        <w:t xml:space="preserve">Moreover, </w:t>
      </w:r>
      <w:r w:rsidR="00C17DAD" w:rsidRPr="00304DC8">
        <w:rPr>
          <w:sz w:val="22"/>
          <w:szCs w:val="22"/>
        </w:rPr>
        <w:t>in order to be liquid an instrument must trade more than on</w:t>
      </w:r>
      <w:r w:rsidR="00F77393" w:rsidRPr="00304DC8">
        <w:rPr>
          <w:sz w:val="22"/>
          <w:szCs w:val="22"/>
        </w:rPr>
        <w:t xml:space="preserve">ce or twice </w:t>
      </w:r>
      <w:r w:rsidR="00C17DAD" w:rsidRPr="00304DC8">
        <w:rPr>
          <w:sz w:val="22"/>
          <w:szCs w:val="22"/>
        </w:rPr>
        <w:t>per day</w:t>
      </w:r>
      <w:r w:rsidR="00CF5A7B" w:rsidRPr="00304DC8">
        <w:rPr>
          <w:sz w:val="22"/>
          <w:szCs w:val="22"/>
        </w:rPr>
        <w:t xml:space="preserve"> (</w:t>
      </w:r>
      <w:r w:rsidR="00BE3519" w:rsidRPr="00304DC8">
        <w:rPr>
          <w:sz w:val="22"/>
          <w:szCs w:val="22"/>
        </w:rPr>
        <w:t>Pr</w:t>
      </w:r>
      <w:r w:rsidR="00BE3519" w:rsidRPr="00304DC8">
        <w:rPr>
          <w:sz w:val="22"/>
          <w:szCs w:val="22"/>
        </w:rPr>
        <w:t>o</w:t>
      </w:r>
      <w:r w:rsidR="00BE3519" w:rsidRPr="00304DC8">
        <w:rPr>
          <w:sz w:val="22"/>
          <w:szCs w:val="22"/>
        </w:rPr>
        <w:t xml:space="preserve">posal for </w:t>
      </w:r>
      <w:r w:rsidR="00CF5A7B" w:rsidRPr="00304DC8">
        <w:rPr>
          <w:sz w:val="22"/>
          <w:szCs w:val="22"/>
        </w:rPr>
        <w:t>CDS Single Name</w:t>
      </w:r>
      <w:r w:rsidR="00B2166A" w:rsidRPr="00304DC8">
        <w:rPr>
          <w:sz w:val="22"/>
          <w:szCs w:val="22"/>
        </w:rPr>
        <w:t xml:space="preserve"> is </w:t>
      </w:r>
      <w:proofErr w:type="gramStart"/>
      <w:r w:rsidR="00B2166A" w:rsidRPr="00304DC8">
        <w:rPr>
          <w:sz w:val="22"/>
          <w:szCs w:val="22"/>
        </w:rPr>
        <w:t>two</w:t>
      </w:r>
      <w:r w:rsidR="00925AF3" w:rsidRPr="00304DC8">
        <w:rPr>
          <w:sz w:val="22"/>
          <w:szCs w:val="22"/>
        </w:rPr>
        <w:t xml:space="preserve"> trades/</w:t>
      </w:r>
      <w:r w:rsidR="00BE3519" w:rsidRPr="00304DC8">
        <w:rPr>
          <w:sz w:val="22"/>
          <w:szCs w:val="22"/>
        </w:rPr>
        <w:t>day</w:t>
      </w:r>
      <w:proofErr w:type="gramEnd"/>
      <w:r w:rsidR="00CF5A7B" w:rsidRPr="00304DC8">
        <w:rPr>
          <w:sz w:val="22"/>
          <w:szCs w:val="22"/>
        </w:rPr>
        <w:t>)</w:t>
      </w:r>
      <w:r w:rsidR="00C17DAD" w:rsidRPr="00304DC8">
        <w:rPr>
          <w:sz w:val="22"/>
          <w:szCs w:val="22"/>
        </w:rPr>
        <w:t xml:space="preserve">. </w:t>
      </w:r>
      <w:r w:rsidR="00CF5A7B" w:rsidRPr="00304DC8">
        <w:rPr>
          <w:sz w:val="22"/>
          <w:szCs w:val="22"/>
        </w:rPr>
        <w:t>In our opinion,</w:t>
      </w:r>
      <w:r w:rsidR="008C642C" w:rsidRPr="00304DC8">
        <w:rPr>
          <w:sz w:val="22"/>
          <w:szCs w:val="22"/>
        </w:rPr>
        <w:t xml:space="preserve"> these figures</w:t>
      </w:r>
      <w:r w:rsidR="00842ADE" w:rsidRPr="00304DC8">
        <w:rPr>
          <w:sz w:val="22"/>
          <w:szCs w:val="22"/>
        </w:rPr>
        <w:t xml:space="preserve"> are far too low and need</w:t>
      </w:r>
      <w:r w:rsidR="008C642C" w:rsidRPr="00304DC8">
        <w:rPr>
          <w:sz w:val="22"/>
          <w:szCs w:val="22"/>
        </w:rPr>
        <w:t xml:space="preserve"> to be significantly increased in order to capture truly liquid instruments. </w:t>
      </w:r>
    </w:p>
    <w:p w:rsidR="002C378B" w:rsidRPr="00304DC8" w:rsidRDefault="002C378B" w:rsidP="00224947">
      <w:pPr>
        <w:rPr>
          <w:sz w:val="22"/>
          <w:szCs w:val="22"/>
        </w:rPr>
      </w:pPr>
    </w:p>
    <w:p w:rsidR="00775B9C" w:rsidRPr="00304DC8" w:rsidRDefault="00EB6187" w:rsidP="00224947">
      <w:pPr>
        <w:rPr>
          <w:sz w:val="22"/>
          <w:szCs w:val="22"/>
        </w:rPr>
      </w:pPr>
      <w:r w:rsidRPr="00304DC8">
        <w:rPr>
          <w:sz w:val="22"/>
          <w:szCs w:val="22"/>
        </w:rPr>
        <w:t>Also,</w:t>
      </w:r>
      <w:r w:rsidR="00530DC2" w:rsidRPr="00304DC8">
        <w:rPr>
          <w:sz w:val="22"/>
          <w:szCs w:val="22"/>
        </w:rPr>
        <w:t xml:space="preserve"> as stated in reply to Q </w:t>
      </w:r>
      <w:r w:rsidRPr="00304DC8">
        <w:rPr>
          <w:sz w:val="22"/>
          <w:szCs w:val="22"/>
        </w:rPr>
        <w:t>3</w:t>
      </w:r>
      <w:r w:rsidR="00530DC2" w:rsidRPr="00304DC8">
        <w:rPr>
          <w:sz w:val="22"/>
          <w:szCs w:val="22"/>
        </w:rPr>
        <w:t xml:space="preserve"> (3)</w:t>
      </w:r>
      <w:r w:rsidRPr="00304DC8">
        <w:rPr>
          <w:sz w:val="22"/>
          <w:szCs w:val="22"/>
        </w:rPr>
        <w:t xml:space="preserve"> below, the NSA </w:t>
      </w:r>
      <w:r w:rsidR="00465875" w:rsidRPr="00304DC8">
        <w:rPr>
          <w:sz w:val="22"/>
          <w:szCs w:val="22"/>
        </w:rPr>
        <w:t xml:space="preserve">prefers </w:t>
      </w:r>
      <w:r w:rsidR="008664E5" w:rsidRPr="00304DC8">
        <w:rPr>
          <w:sz w:val="22"/>
          <w:szCs w:val="22"/>
        </w:rPr>
        <w:t xml:space="preserve">Option B, i.e. </w:t>
      </w:r>
      <w:r w:rsidRPr="00304DC8">
        <w:rPr>
          <w:sz w:val="22"/>
          <w:szCs w:val="22"/>
        </w:rPr>
        <w:t>that only those corp</w:t>
      </w:r>
      <w:r w:rsidRPr="00304DC8">
        <w:rPr>
          <w:sz w:val="22"/>
          <w:szCs w:val="22"/>
        </w:rPr>
        <w:t>o</w:t>
      </w:r>
      <w:r w:rsidRPr="00304DC8">
        <w:rPr>
          <w:sz w:val="22"/>
          <w:szCs w:val="22"/>
        </w:rPr>
        <w:t>rates and sovereign entities which are included in a liquid index w</w:t>
      </w:r>
      <w:r w:rsidR="00925AF3" w:rsidRPr="00304DC8">
        <w:rPr>
          <w:sz w:val="22"/>
          <w:szCs w:val="22"/>
        </w:rPr>
        <w:t xml:space="preserve">ill </w:t>
      </w:r>
      <w:r w:rsidRPr="00304DC8">
        <w:rPr>
          <w:sz w:val="22"/>
          <w:szCs w:val="22"/>
        </w:rPr>
        <w:t>be deemed liquid (See page 251 paragraph 26 of the Addendum Consultation Paper)</w:t>
      </w:r>
      <w:r w:rsidR="00940F1A" w:rsidRPr="00304DC8">
        <w:rPr>
          <w:sz w:val="22"/>
          <w:szCs w:val="22"/>
        </w:rPr>
        <w:t>.</w:t>
      </w:r>
    </w:p>
    <w:p w:rsidR="00CF5A7B" w:rsidRPr="00304DC8" w:rsidRDefault="00CF5A7B" w:rsidP="00224947">
      <w:pPr>
        <w:rPr>
          <w:sz w:val="22"/>
          <w:szCs w:val="22"/>
        </w:rPr>
      </w:pPr>
    </w:p>
    <w:p w:rsidR="00775B9C" w:rsidRPr="00304DC8" w:rsidRDefault="00775B9C" w:rsidP="00775B9C">
      <w:pPr>
        <w:rPr>
          <w:b/>
          <w:sz w:val="22"/>
          <w:szCs w:val="22"/>
        </w:rPr>
      </w:pPr>
      <w:r w:rsidRPr="00304DC8">
        <w:rPr>
          <w:b/>
          <w:sz w:val="22"/>
          <w:szCs w:val="22"/>
        </w:rPr>
        <w:t xml:space="preserve">Question 3 (3) </w:t>
      </w:r>
    </w:p>
    <w:p w:rsidR="00ED6825" w:rsidRPr="00304DC8" w:rsidRDefault="00ED6825" w:rsidP="00ED6825">
      <w:pPr>
        <w:rPr>
          <w:sz w:val="22"/>
          <w:szCs w:val="22"/>
        </w:rPr>
      </w:pPr>
      <w:r w:rsidRPr="00304DC8">
        <w:rPr>
          <w:sz w:val="22"/>
          <w:szCs w:val="22"/>
        </w:rPr>
        <w:t>Please no</w:t>
      </w:r>
      <w:r w:rsidR="00351B4C" w:rsidRPr="00304DC8">
        <w:rPr>
          <w:sz w:val="22"/>
          <w:szCs w:val="22"/>
        </w:rPr>
        <w:t>te that the</w:t>
      </w:r>
      <w:r w:rsidRPr="00304DC8">
        <w:rPr>
          <w:sz w:val="22"/>
          <w:szCs w:val="22"/>
        </w:rPr>
        <w:t xml:space="preserve"> </w:t>
      </w:r>
      <w:r w:rsidRPr="00304DC8">
        <w:rPr>
          <w:sz w:val="22"/>
          <w:szCs w:val="22"/>
          <w:u w:val="single"/>
        </w:rPr>
        <w:t>vast</w:t>
      </w:r>
      <w:r w:rsidR="00351B4C" w:rsidRPr="00304DC8">
        <w:rPr>
          <w:sz w:val="22"/>
          <w:szCs w:val="22"/>
        </w:rPr>
        <w:t xml:space="preserve"> majority of </w:t>
      </w:r>
      <w:r w:rsidRPr="00304DC8">
        <w:rPr>
          <w:sz w:val="22"/>
          <w:szCs w:val="22"/>
        </w:rPr>
        <w:t xml:space="preserve">Single Name CSDs are illiquid. </w:t>
      </w:r>
    </w:p>
    <w:p w:rsidR="00ED6825" w:rsidRPr="00304DC8" w:rsidRDefault="00ED6825" w:rsidP="00DE0CD6">
      <w:pPr>
        <w:rPr>
          <w:sz w:val="22"/>
          <w:szCs w:val="22"/>
        </w:rPr>
      </w:pPr>
    </w:p>
    <w:p w:rsidR="00465875" w:rsidRPr="00304DC8" w:rsidRDefault="00ED6825" w:rsidP="00DE0CD6">
      <w:pPr>
        <w:rPr>
          <w:sz w:val="22"/>
          <w:szCs w:val="22"/>
        </w:rPr>
      </w:pPr>
      <w:r w:rsidRPr="00304DC8">
        <w:rPr>
          <w:sz w:val="22"/>
          <w:szCs w:val="22"/>
        </w:rPr>
        <w:t>Moreover, t</w:t>
      </w:r>
      <w:r w:rsidR="00B2166A" w:rsidRPr="00304DC8">
        <w:rPr>
          <w:sz w:val="22"/>
          <w:szCs w:val="22"/>
        </w:rPr>
        <w:t xml:space="preserve">he NSA finds it </w:t>
      </w:r>
      <w:r w:rsidR="002C378B" w:rsidRPr="00304DC8">
        <w:rPr>
          <w:sz w:val="22"/>
          <w:szCs w:val="22"/>
        </w:rPr>
        <w:t xml:space="preserve">inconsistent </w:t>
      </w:r>
      <w:r w:rsidR="00C0501E" w:rsidRPr="00304DC8">
        <w:rPr>
          <w:sz w:val="22"/>
          <w:szCs w:val="22"/>
        </w:rPr>
        <w:t>that</w:t>
      </w:r>
      <w:r w:rsidR="002C378B" w:rsidRPr="00304DC8">
        <w:rPr>
          <w:sz w:val="22"/>
          <w:szCs w:val="22"/>
        </w:rPr>
        <w:t xml:space="preserve"> a bond can be</w:t>
      </w:r>
      <w:r w:rsidR="00EB6187" w:rsidRPr="00304DC8">
        <w:rPr>
          <w:sz w:val="22"/>
          <w:szCs w:val="22"/>
        </w:rPr>
        <w:t xml:space="preserve"> classified as</w:t>
      </w:r>
      <w:r w:rsidR="00AB4DDE" w:rsidRPr="00304DC8">
        <w:rPr>
          <w:sz w:val="22"/>
          <w:szCs w:val="22"/>
        </w:rPr>
        <w:t xml:space="preserve"> illiquid while a derivative (C</w:t>
      </w:r>
      <w:r w:rsidR="00EB6187" w:rsidRPr="00304DC8">
        <w:rPr>
          <w:sz w:val="22"/>
          <w:szCs w:val="22"/>
        </w:rPr>
        <w:t>D</w:t>
      </w:r>
      <w:r w:rsidR="00AB4DDE" w:rsidRPr="00304DC8">
        <w:rPr>
          <w:sz w:val="22"/>
          <w:szCs w:val="22"/>
        </w:rPr>
        <w:t>S</w:t>
      </w:r>
      <w:r w:rsidR="00EB6187" w:rsidRPr="00304DC8">
        <w:rPr>
          <w:sz w:val="22"/>
          <w:szCs w:val="22"/>
        </w:rPr>
        <w:t>) on the same entity (corporate issuer) can be deemed liquid.</w:t>
      </w:r>
      <w:r w:rsidR="008664E5" w:rsidRPr="00304DC8">
        <w:rPr>
          <w:sz w:val="22"/>
          <w:szCs w:val="22"/>
        </w:rPr>
        <w:t xml:space="preserve"> </w:t>
      </w:r>
      <w:r w:rsidR="00AB4DDE" w:rsidRPr="00304DC8">
        <w:rPr>
          <w:sz w:val="22"/>
          <w:szCs w:val="22"/>
        </w:rPr>
        <w:t xml:space="preserve"> </w:t>
      </w:r>
    </w:p>
    <w:p w:rsidR="00130B1F" w:rsidRPr="00304DC8" w:rsidRDefault="00130B1F" w:rsidP="00DE0CD6">
      <w:pPr>
        <w:rPr>
          <w:sz w:val="22"/>
          <w:szCs w:val="22"/>
        </w:rPr>
      </w:pPr>
    </w:p>
    <w:p w:rsidR="00E532A5" w:rsidRPr="00C977A5" w:rsidRDefault="00C64866" w:rsidP="00E532A5">
      <w:pPr>
        <w:rPr>
          <w:sz w:val="22"/>
          <w:szCs w:val="22"/>
        </w:rPr>
      </w:pPr>
      <w:r w:rsidRPr="00304DC8">
        <w:rPr>
          <w:sz w:val="22"/>
          <w:szCs w:val="22"/>
        </w:rPr>
        <w:t>As regards the choice between the options presented by ESMA in the Addendum Consultation Paper (page 251), the NSA cannot support Option A</w:t>
      </w:r>
      <w:r w:rsidR="003B51FF" w:rsidRPr="00304DC8">
        <w:rPr>
          <w:sz w:val="22"/>
          <w:szCs w:val="22"/>
        </w:rPr>
        <w:t>. We find</w:t>
      </w:r>
      <w:r w:rsidRPr="00304DC8">
        <w:rPr>
          <w:sz w:val="22"/>
          <w:szCs w:val="22"/>
        </w:rPr>
        <w:t xml:space="preserve"> Option B most acceptable, i.e. that </w:t>
      </w:r>
      <w:r w:rsidR="00130B1F" w:rsidRPr="00304DC8">
        <w:rPr>
          <w:sz w:val="22"/>
          <w:szCs w:val="22"/>
        </w:rPr>
        <w:t>only those corporates and sovereign entities which are included in a liquid index shall be deemed liqui</w:t>
      </w:r>
      <w:r w:rsidR="003B51FF" w:rsidRPr="00304DC8">
        <w:rPr>
          <w:sz w:val="22"/>
          <w:szCs w:val="22"/>
        </w:rPr>
        <w:t>d</w:t>
      </w:r>
      <w:r w:rsidR="00130B1F" w:rsidRPr="00304DC8">
        <w:rPr>
          <w:sz w:val="22"/>
          <w:szCs w:val="22"/>
        </w:rPr>
        <w:t>.</w:t>
      </w:r>
      <w:r w:rsidR="00E532A5" w:rsidRPr="00304DC8">
        <w:rPr>
          <w:sz w:val="22"/>
          <w:szCs w:val="22"/>
        </w:rPr>
        <w:t xml:space="preserve"> </w:t>
      </w:r>
      <w:r w:rsidR="003B51FF" w:rsidRPr="00304DC8">
        <w:rPr>
          <w:sz w:val="22"/>
          <w:szCs w:val="22"/>
        </w:rPr>
        <w:t>However, please note that o</w:t>
      </w:r>
      <w:r w:rsidR="00E532A5" w:rsidRPr="00304DC8">
        <w:rPr>
          <w:sz w:val="22"/>
          <w:szCs w:val="22"/>
        </w:rPr>
        <w:t>n-the run index are liquid while off the runs are not liquid</w:t>
      </w:r>
      <w:r w:rsidR="00AF385F" w:rsidRPr="00304DC8">
        <w:rPr>
          <w:sz w:val="22"/>
          <w:szCs w:val="22"/>
        </w:rPr>
        <w:t xml:space="preserve"> and that </w:t>
      </w:r>
      <w:r w:rsidR="00F02A06" w:rsidRPr="00304DC8">
        <w:rPr>
          <w:sz w:val="22"/>
          <w:szCs w:val="22"/>
        </w:rPr>
        <w:t>many indices only have liquidity at the 5 y point)</w:t>
      </w:r>
      <w:r w:rsidR="00940F1A" w:rsidRPr="00304DC8">
        <w:rPr>
          <w:sz w:val="22"/>
          <w:szCs w:val="22"/>
        </w:rPr>
        <w:t>.</w:t>
      </w:r>
      <w:r w:rsidR="00E532A5" w:rsidRPr="00C977A5">
        <w:rPr>
          <w:sz w:val="22"/>
          <w:szCs w:val="22"/>
        </w:rPr>
        <w:t xml:space="preserve"> </w:t>
      </w:r>
    </w:p>
    <w:permEnd w:id="96893769"/>
    <w:p w:rsidR="00A8728B" w:rsidRDefault="00A8728B" w:rsidP="00A8728B">
      <w:r>
        <w:t>&lt;ESMA_QUESTION_MIFID_ADD_3&gt;</w:t>
      </w:r>
    </w:p>
    <w:p w:rsidR="00A8728B" w:rsidRPr="00B62727" w:rsidRDefault="00A8728B" w:rsidP="00A8728B">
      <w:pPr>
        <w:pStyle w:val="CPQuestions"/>
        <w:ind w:left="714" w:hanging="357"/>
      </w:pPr>
      <w:r>
        <w:t>For all the other classes (CDS Index, Bespoke basket CDS, CDS index options and Single name CDS options): d</w:t>
      </w:r>
      <w:r w:rsidRPr="00B62727">
        <w:t>o you agree with ESMA’s proposal for the definition of a liquid market? Please provide an answer detailed per contract type</w:t>
      </w:r>
      <w:r>
        <w:t xml:space="preserve"> (CDS and </w:t>
      </w:r>
      <w:r w:rsidRPr="00D10A1C">
        <w:t>CDS options</w:t>
      </w:r>
      <w:r>
        <w:t>)</w:t>
      </w:r>
      <w:r w:rsidRPr="00B62727">
        <w:t xml:space="preserve">, underlying type </w:t>
      </w:r>
      <w:r>
        <w:t xml:space="preserve">(index, single name, bespoke basket) </w:t>
      </w:r>
      <w:r w:rsidRPr="00B62727">
        <w:t>and underl</w:t>
      </w:r>
      <w:r w:rsidRPr="00B62727">
        <w:t>y</w:t>
      </w:r>
      <w:r w:rsidRPr="00B62727">
        <w:t xml:space="preserve">ing identified, addressing the following points: </w:t>
      </w:r>
    </w:p>
    <w:p w:rsidR="00A8728B" w:rsidRPr="00B62727" w:rsidRDefault="00A8728B" w:rsidP="00566C6A">
      <w:pPr>
        <w:pStyle w:val="CPQuest2"/>
        <w:numPr>
          <w:ilvl w:val="0"/>
          <w:numId w:val="39"/>
        </w:numPr>
      </w:pPr>
      <w:r w:rsidRPr="00B62727">
        <w:t>Would you use different qualitative criteria to define the sub-classes?</w:t>
      </w:r>
    </w:p>
    <w:p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rsidR="00A8728B" w:rsidRPr="00B62727" w:rsidRDefault="00A8728B" w:rsidP="00566C6A">
      <w:pPr>
        <w:pStyle w:val="CPQuest2"/>
      </w:pPr>
      <w:r w:rsidRPr="00B62727">
        <w:t>Would you define classes declared as liquid in ESMA’s proposal as illiquid (or vice versa)? Please provide reasons for your answer.</w:t>
      </w:r>
    </w:p>
    <w:p w:rsidR="00A8728B" w:rsidRDefault="00A8728B" w:rsidP="00A8728B">
      <w:r>
        <w:t>&lt;ESMA_QUESTION_MIFID_ADD_4&gt;</w:t>
      </w:r>
    </w:p>
    <w:p w:rsidR="001F6E19" w:rsidRPr="00304DC8" w:rsidRDefault="001F6E19" w:rsidP="00663C72">
      <w:pPr>
        <w:rPr>
          <w:sz w:val="22"/>
          <w:szCs w:val="22"/>
        </w:rPr>
      </w:pPr>
      <w:permStart w:id="652488213" w:edGrp="everyone"/>
      <w:r w:rsidRPr="00304DC8">
        <w:rPr>
          <w:sz w:val="22"/>
          <w:szCs w:val="22"/>
        </w:rPr>
        <w:t>Please note that unless otherwise stated, NSA’s reply below is valid for all</w:t>
      </w:r>
      <w:r w:rsidR="00745C75" w:rsidRPr="00304DC8">
        <w:rPr>
          <w:sz w:val="22"/>
          <w:szCs w:val="22"/>
        </w:rPr>
        <w:t xml:space="preserve"> </w:t>
      </w:r>
      <w:r w:rsidRPr="00304DC8">
        <w:rPr>
          <w:sz w:val="22"/>
          <w:szCs w:val="22"/>
        </w:rPr>
        <w:t>other CDS classes mentioned in the question (</w:t>
      </w:r>
      <w:r w:rsidR="00A979AE" w:rsidRPr="00304DC8">
        <w:rPr>
          <w:sz w:val="22"/>
          <w:szCs w:val="22"/>
        </w:rPr>
        <w:t>CDS index, b</w:t>
      </w:r>
      <w:r w:rsidRPr="00304DC8">
        <w:rPr>
          <w:sz w:val="22"/>
          <w:szCs w:val="22"/>
        </w:rPr>
        <w:t xml:space="preserve">espoke basket CDS, CDS </w:t>
      </w:r>
      <w:r w:rsidR="00A979AE" w:rsidRPr="00304DC8">
        <w:rPr>
          <w:sz w:val="22"/>
          <w:szCs w:val="22"/>
        </w:rPr>
        <w:t>index options and s</w:t>
      </w:r>
      <w:r w:rsidRPr="00304DC8">
        <w:rPr>
          <w:sz w:val="22"/>
          <w:szCs w:val="22"/>
        </w:rPr>
        <w:t>ingle name CDS options</w:t>
      </w:r>
      <w:r w:rsidR="001669ED" w:rsidRPr="00304DC8">
        <w:rPr>
          <w:sz w:val="22"/>
          <w:szCs w:val="22"/>
        </w:rPr>
        <w:t>).</w:t>
      </w:r>
      <w:r w:rsidRPr="00304DC8">
        <w:rPr>
          <w:sz w:val="22"/>
          <w:szCs w:val="22"/>
        </w:rPr>
        <w:t xml:space="preserve"> </w:t>
      </w:r>
    </w:p>
    <w:p w:rsidR="009E517C" w:rsidRPr="00304DC8" w:rsidRDefault="009E517C" w:rsidP="00663C72">
      <w:pPr>
        <w:rPr>
          <w:sz w:val="22"/>
          <w:szCs w:val="22"/>
        </w:rPr>
      </w:pPr>
    </w:p>
    <w:p w:rsidR="000E61A3" w:rsidRPr="00304DC8" w:rsidRDefault="000E61A3" w:rsidP="00663C72">
      <w:pPr>
        <w:rPr>
          <w:rFonts w:eastAsia="Calibri"/>
          <w:sz w:val="22"/>
          <w:szCs w:val="22"/>
        </w:rPr>
      </w:pPr>
      <w:r w:rsidRPr="00304DC8">
        <w:rPr>
          <w:sz w:val="22"/>
          <w:szCs w:val="22"/>
          <w:u w:val="single"/>
        </w:rPr>
        <w:t>General comments</w:t>
      </w:r>
      <w:r w:rsidRPr="00304DC8">
        <w:rPr>
          <w:sz w:val="22"/>
          <w:szCs w:val="22"/>
        </w:rPr>
        <w:t xml:space="preserve">: </w:t>
      </w:r>
    </w:p>
    <w:p w:rsidR="000E61A3" w:rsidRPr="00304DC8" w:rsidRDefault="000E61A3" w:rsidP="000E61A3">
      <w:pPr>
        <w:rPr>
          <w:sz w:val="22"/>
          <w:szCs w:val="22"/>
        </w:rPr>
      </w:pPr>
      <w:r w:rsidRPr="00304DC8">
        <w:rPr>
          <w:sz w:val="22"/>
          <w:szCs w:val="22"/>
        </w:rPr>
        <w:t>For a large number of classes and sub-classes of derivatives covered by the Addendum Consu</w:t>
      </w:r>
      <w:r w:rsidRPr="00304DC8">
        <w:rPr>
          <w:sz w:val="22"/>
          <w:szCs w:val="22"/>
        </w:rPr>
        <w:t>l</w:t>
      </w:r>
      <w:r w:rsidRPr="00304DC8">
        <w:rPr>
          <w:sz w:val="22"/>
          <w:szCs w:val="22"/>
        </w:rPr>
        <w:t xml:space="preserve">tation Paper, ESMA’s approach implies that instruments with a very low trading activity will be classified as liquid. In the opinion of NSA, this is not acceptable. Our </w:t>
      </w:r>
      <w:r w:rsidRPr="00304DC8">
        <w:rPr>
          <w:rFonts w:cstheme="minorHAnsi"/>
          <w:sz w:val="22"/>
          <w:szCs w:val="22"/>
          <w:lang w:val="en-US"/>
        </w:rPr>
        <w:t xml:space="preserve">main concern is that these (in fact) illiquid products, when classified as having a liquid market, will become subject to more stringent transparency requirements and SI obligations under </w:t>
      </w:r>
      <w:proofErr w:type="spellStart"/>
      <w:r w:rsidRPr="00304DC8">
        <w:rPr>
          <w:rFonts w:cstheme="minorHAnsi"/>
          <w:sz w:val="22"/>
          <w:szCs w:val="22"/>
          <w:lang w:val="en-US"/>
        </w:rPr>
        <w:t>MiFIR</w:t>
      </w:r>
      <w:proofErr w:type="spellEnd"/>
      <w:r w:rsidRPr="00304DC8">
        <w:rPr>
          <w:rFonts w:cstheme="minorHAnsi"/>
          <w:sz w:val="22"/>
          <w:szCs w:val="22"/>
          <w:lang w:val="en-US"/>
        </w:rPr>
        <w:t xml:space="preserve">. </w:t>
      </w:r>
      <w:r w:rsidR="00C0501E" w:rsidRPr="00304DC8">
        <w:rPr>
          <w:rFonts w:cstheme="minorHAnsi"/>
          <w:sz w:val="22"/>
          <w:szCs w:val="22"/>
          <w:lang w:val="en-US"/>
        </w:rPr>
        <w:t>The</w:t>
      </w:r>
      <w:r w:rsidR="00304DC8" w:rsidRPr="00304DC8">
        <w:rPr>
          <w:rFonts w:cstheme="minorHAnsi"/>
          <w:sz w:val="22"/>
          <w:szCs w:val="22"/>
          <w:lang w:val="en-US"/>
        </w:rPr>
        <w:t>se</w:t>
      </w:r>
      <w:r w:rsidR="00C0501E" w:rsidRPr="00304DC8">
        <w:rPr>
          <w:rFonts w:cstheme="minorHAnsi"/>
          <w:sz w:val="22"/>
          <w:szCs w:val="22"/>
          <w:lang w:val="en-US"/>
        </w:rPr>
        <w:t xml:space="preserve"> </w:t>
      </w:r>
      <w:r w:rsidRPr="00304DC8">
        <w:rPr>
          <w:rFonts w:cstheme="minorHAnsi"/>
          <w:sz w:val="22"/>
          <w:szCs w:val="22"/>
          <w:lang w:val="en-US"/>
        </w:rPr>
        <w:t>regulatory requir</w:t>
      </w:r>
      <w:r w:rsidRPr="00304DC8">
        <w:rPr>
          <w:rFonts w:cstheme="minorHAnsi"/>
          <w:sz w:val="22"/>
          <w:szCs w:val="22"/>
          <w:lang w:val="en-US"/>
        </w:rPr>
        <w:t>e</w:t>
      </w:r>
      <w:r w:rsidRPr="00304DC8">
        <w:rPr>
          <w:rFonts w:cstheme="minorHAnsi"/>
          <w:sz w:val="22"/>
          <w:szCs w:val="22"/>
          <w:lang w:val="en-US"/>
        </w:rPr>
        <w:t xml:space="preserve">ments will increase the risks of market makers/SIs which will then become less willing to provide </w:t>
      </w:r>
      <w:r w:rsidR="002C3167" w:rsidRPr="00304DC8">
        <w:rPr>
          <w:rFonts w:cstheme="minorHAnsi"/>
          <w:sz w:val="22"/>
          <w:szCs w:val="22"/>
          <w:lang w:val="en-US"/>
        </w:rPr>
        <w:t xml:space="preserve">prices </w:t>
      </w:r>
      <w:r w:rsidRPr="00304DC8">
        <w:rPr>
          <w:rFonts w:cstheme="minorHAnsi"/>
          <w:sz w:val="22"/>
          <w:szCs w:val="22"/>
          <w:lang w:val="en-US"/>
        </w:rPr>
        <w:t xml:space="preserve">to the markets. This will in turn </w:t>
      </w:r>
      <w:r w:rsidRPr="00304DC8">
        <w:rPr>
          <w:sz w:val="22"/>
          <w:szCs w:val="22"/>
        </w:rPr>
        <w:t>lead to a decrease in the offering of these already rarely traded contra</w:t>
      </w:r>
      <w:r w:rsidR="002C3167" w:rsidRPr="00304DC8">
        <w:rPr>
          <w:sz w:val="22"/>
          <w:szCs w:val="22"/>
        </w:rPr>
        <w:t>cts and to an increase in transaction costs</w:t>
      </w:r>
      <w:r w:rsidRPr="00304DC8">
        <w:rPr>
          <w:sz w:val="22"/>
          <w:szCs w:val="22"/>
        </w:rPr>
        <w:t xml:space="preserve">. </w:t>
      </w:r>
    </w:p>
    <w:p w:rsidR="000E61A3" w:rsidRPr="00304DC8" w:rsidRDefault="000E61A3" w:rsidP="000E61A3">
      <w:pPr>
        <w:rPr>
          <w:sz w:val="22"/>
          <w:szCs w:val="22"/>
        </w:rPr>
      </w:pPr>
    </w:p>
    <w:p w:rsidR="000E61A3" w:rsidRPr="00304DC8" w:rsidRDefault="000E61A3" w:rsidP="000E61A3">
      <w:pPr>
        <w:rPr>
          <w:sz w:val="22"/>
          <w:szCs w:val="22"/>
        </w:rPr>
      </w:pPr>
      <w:r w:rsidRPr="00304DC8">
        <w:rPr>
          <w:sz w:val="22"/>
          <w:szCs w:val="22"/>
        </w:rPr>
        <w:t xml:space="preserve">It should be noted that derivatives </w:t>
      </w:r>
      <w:r w:rsidRPr="00304DC8">
        <w:rPr>
          <w:sz w:val="22"/>
          <w:szCs w:val="22"/>
          <w:lang w:val="en-US"/>
        </w:rPr>
        <w:t>serve an important role in allowing c</w:t>
      </w:r>
      <w:r w:rsidR="002C3167" w:rsidRPr="00304DC8">
        <w:rPr>
          <w:sz w:val="22"/>
          <w:szCs w:val="22"/>
          <w:lang w:val="en-US"/>
        </w:rPr>
        <w:t xml:space="preserve">orporates </w:t>
      </w:r>
      <w:r w:rsidRPr="00304DC8">
        <w:rPr>
          <w:sz w:val="22"/>
          <w:szCs w:val="22"/>
          <w:lang w:val="en-US"/>
        </w:rPr>
        <w:t xml:space="preserve">to manage risks arising from their commercial activities. If a product type is made too expensive for the end user, the end user may </w:t>
      </w:r>
      <w:r w:rsidR="00C0501E" w:rsidRPr="00304DC8">
        <w:rPr>
          <w:sz w:val="22"/>
          <w:szCs w:val="22"/>
          <w:lang w:val="en-US"/>
        </w:rPr>
        <w:t xml:space="preserve">refrain </w:t>
      </w:r>
      <w:r w:rsidRPr="00304DC8">
        <w:rPr>
          <w:sz w:val="22"/>
          <w:szCs w:val="22"/>
          <w:lang w:val="en-US"/>
        </w:rPr>
        <w:t xml:space="preserve">from doing any hedging (at all), or if they cannot find the product that meets their specific needs they may use a less suitable product that leaves certain risks un-hedged (i.e. basis risk), or end users find it takes longer and is more difficult to fulfil their needs (i.e. execution risk). At an overall economic level this would increase systemic vulnerability as hedging levels could generally decrease and risks remain in the real economy. </w:t>
      </w:r>
      <w:r w:rsidRPr="00304DC8">
        <w:rPr>
          <w:sz w:val="22"/>
          <w:szCs w:val="22"/>
        </w:rPr>
        <w:t>In order to avoid these adverse effects on EU-markets, NSA urges ESMA to take a cautious approach and e</w:t>
      </w:r>
      <w:r w:rsidRPr="00304DC8">
        <w:rPr>
          <w:sz w:val="22"/>
          <w:szCs w:val="22"/>
        </w:rPr>
        <w:t>n</w:t>
      </w:r>
      <w:r w:rsidRPr="00304DC8">
        <w:rPr>
          <w:sz w:val="22"/>
          <w:szCs w:val="22"/>
        </w:rPr>
        <w:t>sure that the liquidity criteria used for classifying derivatives as having a liquid market only ca</w:t>
      </w:r>
      <w:r w:rsidRPr="00304DC8">
        <w:rPr>
          <w:sz w:val="22"/>
          <w:szCs w:val="22"/>
        </w:rPr>
        <w:t>p</w:t>
      </w:r>
      <w:r w:rsidRPr="00304DC8">
        <w:rPr>
          <w:sz w:val="22"/>
          <w:szCs w:val="22"/>
        </w:rPr>
        <w:t xml:space="preserve">tures truly liquid instrument. For instance, bespoke OTC derivatives used for hedging purposes should never be considered as having a liquid market. </w:t>
      </w:r>
    </w:p>
    <w:p w:rsidR="000E61A3" w:rsidRPr="00304DC8" w:rsidRDefault="000E61A3" w:rsidP="00B65922">
      <w:pPr>
        <w:rPr>
          <w:sz w:val="22"/>
          <w:szCs w:val="22"/>
        </w:rPr>
      </w:pPr>
    </w:p>
    <w:p w:rsidR="000E61A3" w:rsidRPr="00304DC8" w:rsidRDefault="00ED6825" w:rsidP="00B65922">
      <w:pPr>
        <w:rPr>
          <w:sz w:val="22"/>
          <w:szCs w:val="22"/>
        </w:rPr>
      </w:pPr>
      <w:r w:rsidRPr="00304DC8">
        <w:rPr>
          <w:sz w:val="22"/>
          <w:szCs w:val="22"/>
        </w:rPr>
        <w:t>ESMA’s l</w:t>
      </w:r>
      <w:r w:rsidR="000E61A3" w:rsidRPr="00304DC8">
        <w:rPr>
          <w:sz w:val="22"/>
          <w:szCs w:val="22"/>
        </w:rPr>
        <w:t>iquidity analysis of derivatives classes is massive. Hundreds of different sub-</w:t>
      </w:r>
      <w:r w:rsidR="00E34C0B" w:rsidRPr="00304DC8">
        <w:rPr>
          <w:sz w:val="22"/>
          <w:szCs w:val="22"/>
        </w:rPr>
        <w:t>classes have already been analys</w:t>
      </w:r>
      <w:r w:rsidR="000E61A3" w:rsidRPr="00304DC8">
        <w:rPr>
          <w:sz w:val="22"/>
          <w:szCs w:val="22"/>
        </w:rPr>
        <w:t>ed and labe</w:t>
      </w:r>
      <w:r w:rsidR="00E34C0B" w:rsidRPr="00304DC8">
        <w:rPr>
          <w:sz w:val="22"/>
          <w:szCs w:val="22"/>
        </w:rPr>
        <w:t>l</w:t>
      </w:r>
      <w:r w:rsidR="000E61A3" w:rsidRPr="00304DC8">
        <w:rPr>
          <w:sz w:val="22"/>
          <w:szCs w:val="22"/>
        </w:rPr>
        <w:t>led as liquid or illiquid. However, the analysis is based on very generic criteria that fail to take into account many crucial elements of derivatives contracts. At least maturity, amortization and notional amount would have to be considered thoroughly. There are also concerns on the quality of the data. As a result, many sub-classes that are l</w:t>
      </w:r>
      <w:r w:rsidR="000E61A3" w:rsidRPr="00304DC8">
        <w:rPr>
          <w:sz w:val="22"/>
          <w:szCs w:val="22"/>
        </w:rPr>
        <w:t>a</w:t>
      </w:r>
      <w:r w:rsidR="000E61A3" w:rsidRPr="00304DC8">
        <w:rPr>
          <w:sz w:val="22"/>
          <w:szCs w:val="22"/>
        </w:rPr>
        <w:t>bel</w:t>
      </w:r>
      <w:r w:rsidR="00E34C0B" w:rsidRPr="00304DC8">
        <w:rPr>
          <w:sz w:val="22"/>
          <w:szCs w:val="22"/>
        </w:rPr>
        <w:t>l</w:t>
      </w:r>
      <w:r w:rsidR="000E61A3" w:rsidRPr="00304DC8">
        <w:rPr>
          <w:sz w:val="22"/>
          <w:szCs w:val="22"/>
        </w:rPr>
        <w:t>ed liquid are not in practice liquid at all. It should also be noticed that the mapping of such huge amounts of listed contracts into systems will be very time-consuming and hence may lead to increased hedging costs. In many cases it is likely that this will have to be done manually which in turn might increase the probability of mistakes in the mapping process.  </w:t>
      </w:r>
    </w:p>
    <w:p w:rsidR="009F0AFE" w:rsidRPr="00304DC8" w:rsidRDefault="009F0AFE" w:rsidP="00B65922">
      <w:pPr>
        <w:rPr>
          <w:sz w:val="22"/>
          <w:szCs w:val="22"/>
        </w:rPr>
      </w:pPr>
    </w:p>
    <w:p w:rsidR="009F0AFE" w:rsidRPr="00304DC8" w:rsidRDefault="009F0AFE" w:rsidP="009F0AFE">
      <w:pPr>
        <w:rPr>
          <w:sz w:val="22"/>
          <w:szCs w:val="22"/>
        </w:rPr>
      </w:pPr>
      <w:r w:rsidRPr="00304DC8">
        <w:rPr>
          <w:sz w:val="22"/>
          <w:szCs w:val="22"/>
        </w:rPr>
        <w:t>The NSA agrees with ESMA that there are major quality issues related to the data acquired from trade repositories</w:t>
      </w:r>
      <w:r w:rsidR="006B301B">
        <w:rPr>
          <w:sz w:val="22"/>
          <w:szCs w:val="22"/>
        </w:rPr>
        <w:t xml:space="preserve"> (TR)</w:t>
      </w:r>
      <w:r w:rsidRPr="00304DC8">
        <w:rPr>
          <w:sz w:val="22"/>
          <w:szCs w:val="22"/>
        </w:rPr>
        <w:t>. Especially the fact that there is incorrect or inconsistent reporting of some of the data fields is very concerning as this data forms the building blocks for defining liquidity and calculating LIS and SSTI thresholds. We therefore take the view that the data pr</w:t>
      </w:r>
      <w:r w:rsidRPr="00304DC8">
        <w:rPr>
          <w:sz w:val="22"/>
          <w:szCs w:val="22"/>
        </w:rPr>
        <w:t>e</w:t>
      </w:r>
      <w:r w:rsidRPr="00304DC8">
        <w:rPr>
          <w:sz w:val="22"/>
          <w:szCs w:val="22"/>
        </w:rPr>
        <w:t>sented in the Addendum Consultation Paper is not acceptable as the sole basis for EU regul</w:t>
      </w:r>
      <w:r w:rsidRPr="00304DC8">
        <w:rPr>
          <w:sz w:val="22"/>
          <w:szCs w:val="22"/>
        </w:rPr>
        <w:t>a</w:t>
      </w:r>
      <w:r w:rsidRPr="00304DC8">
        <w:rPr>
          <w:sz w:val="22"/>
          <w:szCs w:val="22"/>
        </w:rPr>
        <w:t xml:space="preserve">tion in this area. The analysis must be and should be supplemented with </w:t>
      </w:r>
      <w:r w:rsidRPr="00304DC8">
        <w:rPr>
          <w:sz w:val="22"/>
          <w:szCs w:val="22"/>
          <w:u w:val="single"/>
        </w:rPr>
        <w:t>views from experts</w:t>
      </w:r>
      <w:r w:rsidRPr="00304DC8">
        <w:rPr>
          <w:sz w:val="22"/>
          <w:szCs w:val="22"/>
        </w:rPr>
        <w:t xml:space="preserve"> that are cap</w:t>
      </w:r>
      <w:r w:rsidRPr="00304DC8">
        <w:rPr>
          <w:sz w:val="22"/>
          <w:szCs w:val="22"/>
        </w:rPr>
        <w:t>a</w:t>
      </w:r>
      <w:r w:rsidRPr="00304DC8">
        <w:rPr>
          <w:sz w:val="22"/>
          <w:szCs w:val="22"/>
        </w:rPr>
        <w:t>ble to assess whether the definition of liquidity and the calculations of LIS and SSTI are correct when looking at the market for the different asset- and subclasses. Having expert views will improve the overall quality and ensure a more correct definition of liquidity and more acc</w:t>
      </w:r>
      <w:r w:rsidRPr="00304DC8">
        <w:rPr>
          <w:sz w:val="22"/>
          <w:szCs w:val="22"/>
        </w:rPr>
        <w:t>u</w:t>
      </w:r>
      <w:r w:rsidRPr="00304DC8">
        <w:rPr>
          <w:sz w:val="22"/>
          <w:szCs w:val="22"/>
        </w:rPr>
        <w:t>rate determin</w:t>
      </w:r>
      <w:r w:rsidRPr="00304DC8">
        <w:rPr>
          <w:sz w:val="22"/>
          <w:szCs w:val="22"/>
        </w:rPr>
        <w:t>a</w:t>
      </w:r>
      <w:r w:rsidRPr="00304DC8">
        <w:rPr>
          <w:sz w:val="22"/>
          <w:szCs w:val="22"/>
        </w:rPr>
        <w:t xml:space="preserve">tion of LIS and SSTI.  </w:t>
      </w:r>
    </w:p>
    <w:p w:rsidR="009F0AFE" w:rsidRPr="00304DC8" w:rsidRDefault="009F0AFE" w:rsidP="00B65922">
      <w:pPr>
        <w:rPr>
          <w:sz w:val="22"/>
          <w:szCs w:val="22"/>
        </w:rPr>
      </w:pPr>
    </w:p>
    <w:p w:rsidR="000E61A3" w:rsidRPr="00304DC8" w:rsidRDefault="000E61A3" w:rsidP="000E61A3">
      <w:pPr>
        <w:rPr>
          <w:sz w:val="22"/>
          <w:szCs w:val="22"/>
        </w:rPr>
      </w:pPr>
      <w:r w:rsidRPr="00304DC8">
        <w:rPr>
          <w:sz w:val="22"/>
          <w:szCs w:val="22"/>
        </w:rPr>
        <w:t xml:space="preserve">The NSA also supports introducing the new transparency rules by a </w:t>
      </w:r>
      <w:r w:rsidRPr="00304DC8">
        <w:rPr>
          <w:sz w:val="22"/>
          <w:szCs w:val="22"/>
          <w:u w:val="single"/>
        </w:rPr>
        <w:t xml:space="preserve">stepwise approach </w:t>
      </w:r>
      <w:r w:rsidRPr="00304DC8">
        <w:rPr>
          <w:sz w:val="22"/>
          <w:szCs w:val="22"/>
        </w:rPr>
        <w:t xml:space="preserve">(rather than a “big bang”), carefully investigating the impact of each step before introducing the next step. In this respect, a stepwise approach would mean that ESMA should </w:t>
      </w:r>
      <w:r w:rsidRPr="00304DC8">
        <w:rPr>
          <w:sz w:val="22"/>
          <w:szCs w:val="22"/>
          <w:u w:val="single"/>
        </w:rPr>
        <w:t>only consider as liquid a few of the most liquid derivative subclasses.</w:t>
      </w:r>
    </w:p>
    <w:p w:rsidR="000E61A3" w:rsidRPr="00304DC8" w:rsidRDefault="000E61A3" w:rsidP="00861EC1">
      <w:pPr>
        <w:rPr>
          <w:sz w:val="22"/>
          <w:szCs w:val="22"/>
        </w:rPr>
      </w:pPr>
    </w:p>
    <w:p w:rsidR="000E61A3" w:rsidRPr="00304DC8" w:rsidRDefault="000E61A3" w:rsidP="00861EC1">
      <w:pPr>
        <w:rPr>
          <w:sz w:val="22"/>
          <w:szCs w:val="22"/>
        </w:rPr>
      </w:pPr>
      <w:r w:rsidRPr="00304DC8">
        <w:rPr>
          <w:sz w:val="22"/>
          <w:szCs w:val="22"/>
        </w:rPr>
        <w:t xml:space="preserve">The NSA generally takes the view that ESMA’s model for assessing liquidity is too static. The proposal by NSA is to </w:t>
      </w:r>
      <w:r w:rsidRPr="00304DC8">
        <w:rPr>
          <w:sz w:val="22"/>
          <w:szCs w:val="22"/>
          <w:u w:val="single"/>
        </w:rPr>
        <w:t>recalibrate within 6 months and thereafter on a yearly basis</w:t>
      </w:r>
      <w:r w:rsidRPr="00304DC8">
        <w:rPr>
          <w:sz w:val="22"/>
          <w:szCs w:val="22"/>
        </w:rPr>
        <w:t>. It is absolut</w:t>
      </w:r>
      <w:r w:rsidRPr="00304DC8">
        <w:rPr>
          <w:sz w:val="22"/>
          <w:szCs w:val="22"/>
        </w:rPr>
        <w:t>e</w:t>
      </w:r>
      <w:r w:rsidRPr="00304DC8">
        <w:rPr>
          <w:sz w:val="22"/>
          <w:szCs w:val="22"/>
        </w:rPr>
        <w:t xml:space="preserve">ly crucial that any recalibration takes </w:t>
      </w:r>
      <w:r w:rsidRPr="00304DC8">
        <w:rPr>
          <w:sz w:val="22"/>
          <w:szCs w:val="22"/>
          <w:u w:val="single"/>
        </w:rPr>
        <w:t>Ex-Post Effects</w:t>
      </w:r>
      <w:r w:rsidRPr="00304DC8">
        <w:rPr>
          <w:sz w:val="22"/>
          <w:szCs w:val="22"/>
        </w:rPr>
        <w:t xml:space="preserve"> into account, i.e. the impact that the intr</w:t>
      </w:r>
      <w:r w:rsidRPr="00304DC8">
        <w:rPr>
          <w:sz w:val="22"/>
          <w:szCs w:val="22"/>
        </w:rPr>
        <w:t>o</w:t>
      </w:r>
      <w:r w:rsidRPr="00304DC8">
        <w:rPr>
          <w:sz w:val="22"/>
          <w:szCs w:val="22"/>
        </w:rPr>
        <w:t xml:space="preserve">duction of the new EU transparency regime will have on the liquidity of the instruments. Such Ex-Post Effects need to be based on </w:t>
      </w:r>
      <w:r w:rsidRPr="00304DC8">
        <w:rPr>
          <w:sz w:val="22"/>
          <w:szCs w:val="22"/>
          <w:u w:val="single"/>
        </w:rPr>
        <w:t>expert judgement</w:t>
      </w:r>
      <w:r w:rsidRPr="00304DC8">
        <w:rPr>
          <w:sz w:val="22"/>
          <w:szCs w:val="22"/>
        </w:rPr>
        <w:t>.</w:t>
      </w:r>
    </w:p>
    <w:p w:rsidR="000E61A3" w:rsidRPr="00304DC8" w:rsidRDefault="000E61A3" w:rsidP="00224947">
      <w:pPr>
        <w:rPr>
          <w:sz w:val="22"/>
          <w:szCs w:val="22"/>
        </w:rPr>
      </w:pPr>
    </w:p>
    <w:p w:rsidR="00745C75" w:rsidRPr="00304DC8" w:rsidRDefault="00745C75" w:rsidP="00745C75">
      <w:pPr>
        <w:rPr>
          <w:sz w:val="22"/>
          <w:szCs w:val="22"/>
        </w:rPr>
      </w:pPr>
      <w:r w:rsidRPr="00304DC8">
        <w:rPr>
          <w:sz w:val="22"/>
          <w:szCs w:val="22"/>
          <w:u w:val="single"/>
        </w:rPr>
        <w:t>Questions</w:t>
      </w:r>
      <w:r w:rsidRPr="00304DC8">
        <w:rPr>
          <w:sz w:val="22"/>
          <w:szCs w:val="22"/>
        </w:rPr>
        <w:t xml:space="preserve">: </w:t>
      </w:r>
    </w:p>
    <w:p w:rsidR="00745C75" w:rsidRPr="00304DC8" w:rsidRDefault="00745C75" w:rsidP="00745C75">
      <w:pPr>
        <w:rPr>
          <w:b/>
          <w:sz w:val="22"/>
          <w:szCs w:val="22"/>
        </w:rPr>
      </w:pPr>
      <w:r w:rsidRPr="00304DC8">
        <w:rPr>
          <w:b/>
          <w:sz w:val="22"/>
          <w:szCs w:val="22"/>
        </w:rPr>
        <w:t xml:space="preserve">Question 4 (1) </w:t>
      </w:r>
    </w:p>
    <w:p w:rsidR="00465875" w:rsidRPr="00304DC8" w:rsidRDefault="00465875" w:rsidP="00465875">
      <w:pPr>
        <w:rPr>
          <w:sz w:val="22"/>
          <w:szCs w:val="22"/>
        </w:rPr>
      </w:pPr>
      <w:r w:rsidRPr="00304DC8">
        <w:rPr>
          <w:sz w:val="22"/>
          <w:szCs w:val="22"/>
        </w:rPr>
        <w:t xml:space="preserve">The qualitative criteria “the tenor” for CDS index is not correct. If the tenor is determined correct and the data is applied accordingly this would give a more precise view on which classes are liquid and which are illiquid. </w:t>
      </w:r>
      <w:r w:rsidR="00130B1F" w:rsidRPr="00304DC8">
        <w:rPr>
          <w:sz w:val="22"/>
          <w:szCs w:val="22"/>
        </w:rPr>
        <w:t>The other criteria used to define sub-classes for CDS Index and CDS Index Options</w:t>
      </w:r>
      <w:r w:rsidR="00497A0A" w:rsidRPr="00304DC8">
        <w:rPr>
          <w:sz w:val="22"/>
          <w:szCs w:val="22"/>
        </w:rPr>
        <w:t xml:space="preserve"> can be supported</w:t>
      </w:r>
      <w:r w:rsidR="00130B1F" w:rsidRPr="00304DC8">
        <w:rPr>
          <w:sz w:val="22"/>
          <w:szCs w:val="22"/>
        </w:rPr>
        <w:t xml:space="preserve">. </w:t>
      </w:r>
    </w:p>
    <w:p w:rsidR="00CF5A7B" w:rsidRPr="00304DC8" w:rsidRDefault="00CF5A7B" w:rsidP="00745F3A">
      <w:pPr>
        <w:rPr>
          <w:sz w:val="22"/>
          <w:szCs w:val="22"/>
        </w:rPr>
      </w:pPr>
    </w:p>
    <w:p w:rsidR="00745C75" w:rsidRPr="00304DC8" w:rsidRDefault="00745C75" w:rsidP="00745C75">
      <w:pPr>
        <w:rPr>
          <w:b/>
          <w:sz w:val="22"/>
          <w:szCs w:val="22"/>
        </w:rPr>
      </w:pPr>
      <w:r w:rsidRPr="00304DC8">
        <w:rPr>
          <w:b/>
          <w:sz w:val="22"/>
          <w:szCs w:val="22"/>
        </w:rPr>
        <w:t>Question 4 (2)</w:t>
      </w:r>
    </w:p>
    <w:p w:rsidR="00AD483B" w:rsidRPr="00304DC8" w:rsidRDefault="00AD483B" w:rsidP="00AD483B">
      <w:pPr>
        <w:rPr>
          <w:sz w:val="22"/>
          <w:szCs w:val="22"/>
        </w:rPr>
      </w:pPr>
      <w:r w:rsidRPr="00304DC8">
        <w:rPr>
          <w:sz w:val="22"/>
          <w:szCs w:val="22"/>
        </w:rPr>
        <w:t xml:space="preserve">The parameters are fine per se but the thresholds do not reflect whether instruments are truly liquid, i.e. the threshold are loo low and will imply to many in fact illiquid instruments to be </w:t>
      </w:r>
      <w:r w:rsidR="00737659">
        <w:rPr>
          <w:sz w:val="22"/>
          <w:szCs w:val="22"/>
        </w:rPr>
        <w:t>wron</w:t>
      </w:r>
      <w:r w:rsidR="00737659">
        <w:rPr>
          <w:sz w:val="22"/>
          <w:szCs w:val="22"/>
        </w:rPr>
        <w:t>g</w:t>
      </w:r>
      <w:r w:rsidR="00737659">
        <w:rPr>
          <w:sz w:val="22"/>
          <w:szCs w:val="22"/>
        </w:rPr>
        <w:t xml:space="preserve">ly </w:t>
      </w:r>
      <w:r w:rsidRPr="00304DC8">
        <w:rPr>
          <w:sz w:val="22"/>
          <w:szCs w:val="22"/>
        </w:rPr>
        <w:t xml:space="preserve">considered as liquid instruments. </w:t>
      </w:r>
    </w:p>
    <w:p w:rsidR="00AD483B" w:rsidRPr="00304DC8" w:rsidRDefault="00AD483B" w:rsidP="00AD483B">
      <w:pPr>
        <w:rPr>
          <w:sz w:val="22"/>
          <w:szCs w:val="22"/>
        </w:rPr>
      </w:pPr>
    </w:p>
    <w:p w:rsidR="00AD483B" w:rsidRPr="00304DC8" w:rsidRDefault="00AD483B" w:rsidP="00B65922">
      <w:pPr>
        <w:rPr>
          <w:sz w:val="22"/>
          <w:szCs w:val="22"/>
        </w:rPr>
      </w:pPr>
      <w:r w:rsidRPr="00304DC8">
        <w:rPr>
          <w:sz w:val="22"/>
          <w:szCs w:val="22"/>
        </w:rPr>
        <w:t xml:space="preserve">To truly reflect the markets the NSA suggests raising the average notional number from 500 million </w:t>
      </w:r>
      <w:r w:rsidR="00793A15" w:rsidRPr="00304DC8">
        <w:rPr>
          <w:sz w:val="22"/>
          <w:szCs w:val="22"/>
        </w:rPr>
        <w:t>EUR</w:t>
      </w:r>
      <w:r w:rsidRPr="00304DC8">
        <w:rPr>
          <w:sz w:val="22"/>
          <w:szCs w:val="22"/>
        </w:rPr>
        <w:t xml:space="preserve"> to 1 billion </w:t>
      </w:r>
      <w:r w:rsidR="00793A15" w:rsidRPr="00304DC8">
        <w:rPr>
          <w:sz w:val="22"/>
          <w:szCs w:val="22"/>
        </w:rPr>
        <w:t>EUR</w:t>
      </w:r>
      <w:r w:rsidRPr="00304DC8">
        <w:rPr>
          <w:sz w:val="22"/>
          <w:szCs w:val="22"/>
        </w:rPr>
        <w:t xml:space="preserve">, to increase the number of days traded from 80% to 90% and to increase the average number of trades per day from 100 to 400. </w:t>
      </w:r>
    </w:p>
    <w:p w:rsidR="00AD483B" w:rsidRPr="00304DC8" w:rsidRDefault="00AD483B" w:rsidP="00B65922">
      <w:pPr>
        <w:rPr>
          <w:sz w:val="22"/>
          <w:szCs w:val="22"/>
        </w:rPr>
      </w:pPr>
    </w:p>
    <w:p w:rsidR="00AD483B" w:rsidRPr="00304DC8" w:rsidRDefault="00AD483B" w:rsidP="00B65922">
      <w:pPr>
        <w:rPr>
          <w:sz w:val="22"/>
          <w:szCs w:val="22"/>
        </w:rPr>
      </w:pPr>
      <w:r w:rsidRPr="00304DC8">
        <w:rPr>
          <w:sz w:val="22"/>
          <w:szCs w:val="22"/>
        </w:rPr>
        <w:t>Moreover, as regards the liquidity assessment of the sub-classes, it is not acceptable to classify as liquid an instrument that only trades once or twice per day. (Proposal is once per day for CDS Index and twice per day for CDS Index Options)</w:t>
      </w:r>
      <w:r w:rsidR="002C3167" w:rsidRPr="00304DC8">
        <w:rPr>
          <w:sz w:val="22"/>
          <w:szCs w:val="22"/>
        </w:rPr>
        <w:t>.</w:t>
      </w:r>
      <w:r w:rsidRPr="00304DC8">
        <w:rPr>
          <w:sz w:val="22"/>
          <w:szCs w:val="22"/>
        </w:rPr>
        <w:t xml:space="preserve"> </w:t>
      </w:r>
      <w:r w:rsidR="008C642C" w:rsidRPr="00304DC8">
        <w:rPr>
          <w:sz w:val="22"/>
          <w:szCs w:val="22"/>
        </w:rPr>
        <w:t>In our opinion, these figures</w:t>
      </w:r>
      <w:r w:rsidR="00842ADE" w:rsidRPr="00304DC8">
        <w:rPr>
          <w:sz w:val="22"/>
          <w:szCs w:val="22"/>
        </w:rPr>
        <w:t xml:space="preserve"> are far too low and need</w:t>
      </w:r>
      <w:r w:rsidR="008C642C" w:rsidRPr="00304DC8">
        <w:rPr>
          <w:sz w:val="22"/>
          <w:szCs w:val="22"/>
        </w:rPr>
        <w:t xml:space="preserve"> to be significantly increased in order to capture truly liquid instruments. </w:t>
      </w:r>
    </w:p>
    <w:p w:rsidR="00CF5A7B" w:rsidRPr="00304DC8" w:rsidRDefault="00CF5A7B" w:rsidP="00B65922">
      <w:pPr>
        <w:rPr>
          <w:sz w:val="22"/>
          <w:szCs w:val="22"/>
        </w:rPr>
      </w:pPr>
    </w:p>
    <w:p w:rsidR="00745C75" w:rsidRPr="00304DC8" w:rsidRDefault="00745C75" w:rsidP="00745C75">
      <w:pPr>
        <w:rPr>
          <w:b/>
          <w:sz w:val="22"/>
          <w:szCs w:val="22"/>
        </w:rPr>
      </w:pPr>
      <w:r w:rsidRPr="00304DC8">
        <w:rPr>
          <w:b/>
          <w:sz w:val="22"/>
          <w:szCs w:val="22"/>
        </w:rPr>
        <w:t xml:space="preserve">Question 4 (3) </w:t>
      </w:r>
    </w:p>
    <w:p w:rsidR="003B51FF" w:rsidRPr="00304DC8" w:rsidRDefault="002C378B" w:rsidP="00745F3A">
      <w:pPr>
        <w:rPr>
          <w:sz w:val="22"/>
          <w:szCs w:val="22"/>
        </w:rPr>
      </w:pPr>
      <w:r w:rsidRPr="00304DC8">
        <w:rPr>
          <w:sz w:val="22"/>
          <w:szCs w:val="22"/>
        </w:rPr>
        <w:t xml:space="preserve">For </w:t>
      </w:r>
      <w:r w:rsidR="007E69DA" w:rsidRPr="00304DC8">
        <w:rPr>
          <w:sz w:val="22"/>
          <w:szCs w:val="22"/>
        </w:rPr>
        <w:t xml:space="preserve">CDS </w:t>
      </w:r>
      <w:r w:rsidR="0023657A" w:rsidRPr="00304DC8">
        <w:rPr>
          <w:sz w:val="22"/>
          <w:szCs w:val="22"/>
        </w:rPr>
        <w:t xml:space="preserve">Index </w:t>
      </w:r>
      <w:r w:rsidR="003B51FF" w:rsidRPr="00304DC8">
        <w:rPr>
          <w:sz w:val="22"/>
          <w:szCs w:val="22"/>
        </w:rPr>
        <w:t>Options, a combination of factors must be considered.</w:t>
      </w:r>
    </w:p>
    <w:p w:rsidR="003B51FF" w:rsidRPr="00304DC8" w:rsidRDefault="003B51FF" w:rsidP="003B51FF">
      <w:pPr>
        <w:pStyle w:val="Liststycke"/>
        <w:numPr>
          <w:ilvl w:val="0"/>
          <w:numId w:val="50"/>
        </w:numPr>
        <w:rPr>
          <w:sz w:val="22"/>
          <w:szCs w:val="22"/>
        </w:rPr>
      </w:pPr>
      <w:r w:rsidRPr="00304DC8">
        <w:rPr>
          <w:sz w:val="22"/>
          <w:szCs w:val="22"/>
        </w:rPr>
        <w:t>No liquidity for contracts with outside standard maturity points and (option) maturity &gt; 6 m</w:t>
      </w:r>
      <w:r w:rsidR="001F48CF" w:rsidRPr="00304DC8">
        <w:rPr>
          <w:sz w:val="22"/>
          <w:szCs w:val="22"/>
        </w:rPr>
        <w:t>onths</w:t>
      </w:r>
      <w:r w:rsidRPr="00304DC8">
        <w:rPr>
          <w:sz w:val="22"/>
          <w:szCs w:val="22"/>
        </w:rPr>
        <w:t>.</w:t>
      </w:r>
    </w:p>
    <w:p w:rsidR="003B51FF" w:rsidRPr="00304DC8" w:rsidRDefault="003B51FF" w:rsidP="003B51FF">
      <w:pPr>
        <w:pStyle w:val="Liststycke"/>
        <w:numPr>
          <w:ilvl w:val="0"/>
          <w:numId w:val="50"/>
        </w:numPr>
        <w:rPr>
          <w:sz w:val="22"/>
          <w:szCs w:val="22"/>
        </w:rPr>
      </w:pPr>
      <w:r w:rsidRPr="00304DC8">
        <w:rPr>
          <w:sz w:val="22"/>
          <w:szCs w:val="22"/>
        </w:rPr>
        <w:t xml:space="preserve">No liquidity for contracts other than 5 year on-the-run index as underlying. </w:t>
      </w:r>
    </w:p>
    <w:p w:rsidR="003B51FF" w:rsidRPr="00304DC8" w:rsidRDefault="003B51FF" w:rsidP="003B51FF">
      <w:pPr>
        <w:pStyle w:val="Liststycke"/>
        <w:numPr>
          <w:ilvl w:val="0"/>
          <w:numId w:val="50"/>
        </w:numPr>
        <w:rPr>
          <w:sz w:val="22"/>
          <w:szCs w:val="22"/>
        </w:rPr>
      </w:pPr>
      <w:r w:rsidRPr="00304DC8">
        <w:rPr>
          <w:sz w:val="22"/>
          <w:szCs w:val="22"/>
        </w:rPr>
        <w:t>There is liquidity only at certain strike-points, in a range not far from current spot.</w:t>
      </w:r>
    </w:p>
    <w:p w:rsidR="000D4A45" w:rsidRPr="00304DC8" w:rsidRDefault="000D4A45" w:rsidP="000D4A45">
      <w:pPr>
        <w:pStyle w:val="Liststycke"/>
        <w:rPr>
          <w:sz w:val="22"/>
          <w:szCs w:val="22"/>
        </w:rPr>
      </w:pPr>
    </w:p>
    <w:p w:rsidR="003B51FF" w:rsidRPr="00304DC8" w:rsidRDefault="003B51FF" w:rsidP="00745F3A">
      <w:pPr>
        <w:rPr>
          <w:sz w:val="22"/>
          <w:szCs w:val="22"/>
        </w:rPr>
      </w:pPr>
      <w:r w:rsidRPr="00304DC8">
        <w:rPr>
          <w:sz w:val="22"/>
          <w:szCs w:val="22"/>
        </w:rPr>
        <w:t xml:space="preserve">For CDS </w:t>
      </w:r>
      <w:r w:rsidR="007E69DA" w:rsidRPr="00304DC8">
        <w:rPr>
          <w:sz w:val="22"/>
          <w:szCs w:val="22"/>
        </w:rPr>
        <w:t>Index</w:t>
      </w:r>
      <w:r w:rsidRPr="00304DC8">
        <w:rPr>
          <w:sz w:val="22"/>
          <w:szCs w:val="22"/>
        </w:rPr>
        <w:t>, a combination of factors must be considered</w:t>
      </w:r>
    </w:p>
    <w:p w:rsidR="007E69DA" w:rsidRPr="00304DC8" w:rsidRDefault="003B51FF" w:rsidP="003B51FF">
      <w:pPr>
        <w:pStyle w:val="Liststycke"/>
        <w:numPr>
          <w:ilvl w:val="0"/>
          <w:numId w:val="50"/>
        </w:numPr>
        <w:rPr>
          <w:sz w:val="22"/>
          <w:szCs w:val="22"/>
        </w:rPr>
      </w:pPr>
      <w:r w:rsidRPr="00304DC8">
        <w:rPr>
          <w:sz w:val="22"/>
          <w:szCs w:val="22"/>
        </w:rPr>
        <w:t xml:space="preserve">No liquidity outside standard maturity points </w:t>
      </w:r>
      <w:r w:rsidR="007E69DA" w:rsidRPr="00304DC8">
        <w:rPr>
          <w:sz w:val="22"/>
          <w:szCs w:val="22"/>
        </w:rPr>
        <w:t>3</w:t>
      </w:r>
      <w:r w:rsidR="0023657A" w:rsidRPr="00304DC8">
        <w:rPr>
          <w:sz w:val="22"/>
          <w:szCs w:val="22"/>
        </w:rPr>
        <w:t xml:space="preserve"> y, </w:t>
      </w:r>
      <w:r w:rsidR="007E69DA" w:rsidRPr="00304DC8">
        <w:rPr>
          <w:sz w:val="22"/>
          <w:szCs w:val="22"/>
        </w:rPr>
        <w:t>5</w:t>
      </w:r>
      <w:r w:rsidR="0023657A" w:rsidRPr="00304DC8">
        <w:rPr>
          <w:sz w:val="22"/>
          <w:szCs w:val="22"/>
        </w:rPr>
        <w:t xml:space="preserve"> y, </w:t>
      </w:r>
      <w:r w:rsidRPr="00304DC8">
        <w:rPr>
          <w:sz w:val="22"/>
          <w:szCs w:val="22"/>
        </w:rPr>
        <w:t>7</w:t>
      </w:r>
      <w:r w:rsidR="0023657A" w:rsidRPr="00304DC8">
        <w:rPr>
          <w:sz w:val="22"/>
          <w:szCs w:val="22"/>
        </w:rPr>
        <w:t xml:space="preserve"> y, </w:t>
      </w:r>
      <w:r w:rsidRPr="00304DC8">
        <w:rPr>
          <w:sz w:val="22"/>
          <w:szCs w:val="22"/>
        </w:rPr>
        <w:t>10</w:t>
      </w:r>
      <w:r w:rsidR="0023657A" w:rsidRPr="00304DC8">
        <w:rPr>
          <w:sz w:val="22"/>
          <w:szCs w:val="22"/>
        </w:rPr>
        <w:t xml:space="preserve"> y</w:t>
      </w:r>
      <w:r w:rsidRPr="00304DC8">
        <w:rPr>
          <w:sz w:val="22"/>
          <w:szCs w:val="22"/>
        </w:rPr>
        <w:t xml:space="preserve"> (but </w:t>
      </w:r>
      <w:r w:rsidR="001F48CF" w:rsidRPr="00304DC8">
        <w:rPr>
          <w:sz w:val="22"/>
          <w:szCs w:val="22"/>
        </w:rPr>
        <w:t xml:space="preserve">please note that </w:t>
      </w:r>
      <w:r w:rsidRPr="00304DC8">
        <w:rPr>
          <w:sz w:val="22"/>
          <w:szCs w:val="22"/>
        </w:rPr>
        <w:t>many indices o</w:t>
      </w:r>
      <w:r w:rsidR="001F48CF" w:rsidRPr="00304DC8">
        <w:rPr>
          <w:sz w:val="22"/>
          <w:szCs w:val="22"/>
        </w:rPr>
        <w:t xml:space="preserve">nly have liquidity at the </w:t>
      </w:r>
      <w:r w:rsidR="0023657A" w:rsidRPr="00304DC8">
        <w:rPr>
          <w:sz w:val="22"/>
          <w:szCs w:val="22"/>
        </w:rPr>
        <w:t>5 y</w:t>
      </w:r>
      <w:r w:rsidRPr="00304DC8">
        <w:rPr>
          <w:sz w:val="22"/>
          <w:szCs w:val="22"/>
        </w:rPr>
        <w:t xml:space="preserve"> point)</w:t>
      </w:r>
      <w:r w:rsidR="007E69DA" w:rsidRPr="00304DC8">
        <w:rPr>
          <w:sz w:val="22"/>
          <w:szCs w:val="22"/>
        </w:rPr>
        <w:t xml:space="preserve">. </w:t>
      </w:r>
    </w:p>
    <w:p w:rsidR="001F48CF" w:rsidRPr="00304DC8" w:rsidRDefault="001F48CF" w:rsidP="003B51FF">
      <w:pPr>
        <w:pStyle w:val="Liststycke"/>
        <w:numPr>
          <w:ilvl w:val="0"/>
          <w:numId w:val="50"/>
        </w:numPr>
        <w:rPr>
          <w:sz w:val="22"/>
          <w:szCs w:val="22"/>
        </w:rPr>
      </w:pPr>
      <w:r w:rsidRPr="00304DC8">
        <w:rPr>
          <w:sz w:val="22"/>
          <w:szCs w:val="22"/>
        </w:rPr>
        <w:t xml:space="preserve">No liquidity other than on the run and the previous series. </w:t>
      </w:r>
    </w:p>
    <w:p w:rsidR="002C378B" w:rsidRPr="00304DC8" w:rsidRDefault="002C378B" w:rsidP="00745F3A">
      <w:pPr>
        <w:rPr>
          <w:sz w:val="22"/>
          <w:szCs w:val="22"/>
        </w:rPr>
      </w:pPr>
    </w:p>
    <w:p w:rsidR="001F6E19" w:rsidRPr="00C977A5" w:rsidRDefault="00925AF3" w:rsidP="001F6E19">
      <w:pPr>
        <w:rPr>
          <w:sz w:val="22"/>
          <w:szCs w:val="22"/>
        </w:rPr>
      </w:pPr>
      <w:r w:rsidRPr="00304DC8">
        <w:rPr>
          <w:sz w:val="22"/>
          <w:szCs w:val="22"/>
        </w:rPr>
        <w:t>We support that ESMA qualifies as</w:t>
      </w:r>
      <w:r w:rsidR="007E69DA" w:rsidRPr="00304DC8">
        <w:rPr>
          <w:sz w:val="22"/>
          <w:szCs w:val="22"/>
        </w:rPr>
        <w:t xml:space="preserve"> illiquid per se bespoke basket </w:t>
      </w:r>
      <w:r w:rsidR="00497A0A" w:rsidRPr="00304DC8">
        <w:rPr>
          <w:sz w:val="22"/>
          <w:szCs w:val="22"/>
        </w:rPr>
        <w:t>CDS and single name CDS options</w:t>
      </w:r>
    </w:p>
    <w:permEnd w:id="652488213"/>
    <w:p w:rsidR="00A8728B" w:rsidRDefault="00A8728B" w:rsidP="00A8728B">
      <w:r>
        <w:t>&lt;ESMA_QUESTION_MIFID_ADD_4&gt;</w:t>
      </w:r>
    </w:p>
    <w:p w:rsidR="00A8728B" w:rsidRPr="00C24BCA" w:rsidRDefault="00A8728B" w:rsidP="00A8728B">
      <w:pPr>
        <w:pStyle w:val="CPQuestions"/>
        <w:ind w:left="714" w:hanging="357"/>
      </w:pPr>
      <w:r w:rsidRPr="00C24BCA">
        <w:t>Do you agree with ESMA’s proposal for credit derivatives? Please specify, for each sub-class (single name CDS, CDS index, bespoke basket CDS, single name CDS options, CDS index options) if you agree on the following points providing reasons for your answer and, if you disagree providing ESMA with your alternative pr</w:t>
      </w:r>
      <w:r w:rsidRPr="00C24BCA">
        <w:t>o</w:t>
      </w:r>
      <w:r w:rsidRPr="00C24BCA">
        <w:t xml:space="preserve">posal: </w:t>
      </w:r>
    </w:p>
    <w:p w:rsidR="00A8728B" w:rsidRPr="00C24BCA" w:rsidRDefault="00A8728B" w:rsidP="00566C6A">
      <w:pPr>
        <w:pStyle w:val="CPQuest2"/>
        <w:numPr>
          <w:ilvl w:val="0"/>
          <w:numId w:val="40"/>
        </w:numPr>
      </w:pPr>
      <w:r w:rsidRPr="00C24BCA">
        <w:t xml:space="preserve">deferral period set to 48 hours </w:t>
      </w:r>
    </w:p>
    <w:p w:rsidR="00A8728B" w:rsidRPr="00C24BCA" w:rsidRDefault="00A8728B" w:rsidP="00566C6A">
      <w:pPr>
        <w:pStyle w:val="CPQuest2"/>
      </w:pPr>
      <w:r w:rsidRPr="00C24BCA">
        <w:t xml:space="preserve">size specific to the instrument threshold set as 50% of the large in scale threshold </w:t>
      </w:r>
    </w:p>
    <w:p w:rsidR="00A8728B" w:rsidRPr="00C24BCA" w:rsidRDefault="00A8728B" w:rsidP="00566C6A">
      <w:pPr>
        <w:pStyle w:val="CPQuest2"/>
      </w:pPr>
      <w:r w:rsidRPr="00C24BCA">
        <w:t>volume measure used to set the large in scale and size specific to the instrument threshold as specified in Annex II, Table 3 of draft RTS 9</w:t>
      </w:r>
    </w:p>
    <w:p w:rsidR="00A8728B" w:rsidRPr="00C24BCA" w:rsidRDefault="00A8728B" w:rsidP="00566C6A">
      <w:pPr>
        <w:pStyle w:val="CPQuest2"/>
      </w:pPr>
      <w:r w:rsidRPr="00C24BCA">
        <w:t xml:space="preserve">pre-trade and post-trade thresholds set at the same size </w:t>
      </w:r>
    </w:p>
    <w:p w:rsidR="00A8728B" w:rsidRPr="00B62727" w:rsidRDefault="00A8728B" w:rsidP="00566C6A">
      <w:pPr>
        <w:pStyle w:val="CPQuest2"/>
      </w:pPr>
      <w:r w:rsidRPr="00B62727">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w:t>
      </w:r>
      <w:r w:rsidRPr="00B62727">
        <w:t>r</w:t>
      </w:r>
      <w:r w:rsidRPr="00B62727">
        <w:t>ence for a system with recalculation (i.e. option 2), provide feedback on the thresholds determined for 2017 and on the methodology to recalculate the thres</w:t>
      </w:r>
      <w:r w:rsidRPr="00B62727">
        <w:t>h</w:t>
      </w:r>
      <w:r w:rsidRPr="00B62727">
        <w:t>olds from 2018 onwards including the level of granularity of the classes on which the recalculations will be performed</w:t>
      </w:r>
      <w:r>
        <w:t>.</w:t>
      </w:r>
    </w:p>
    <w:p w:rsidR="00A8728B" w:rsidRDefault="00A8728B" w:rsidP="00A8728B">
      <w:r>
        <w:t>&lt;ESMA_QUESTION_MIFID_ADD_5&gt;</w:t>
      </w:r>
    </w:p>
    <w:p w:rsidR="001F6E19" w:rsidRPr="00304DC8" w:rsidRDefault="001F6E19" w:rsidP="001F6E19">
      <w:pPr>
        <w:rPr>
          <w:sz w:val="22"/>
          <w:szCs w:val="22"/>
        </w:rPr>
      </w:pPr>
      <w:permStart w:id="22622494" w:edGrp="everyone"/>
      <w:r w:rsidRPr="00304DC8">
        <w:rPr>
          <w:sz w:val="22"/>
          <w:szCs w:val="22"/>
          <w:lang w:val="en-US"/>
        </w:rPr>
        <w:t>Please note that unless otherwise stated, NSA’s reply below is valid for all other CDS classes mentioned in the question (</w:t>
      </w:r>
      <w:r w:rsidR="00A979AE" w:rsidRPr="00304DC8">
        <w:rPr>
          <w:sz w:val="22"/>
          <w:szCs w:val="22"/>
          <w:lang w:val="en-US"/>
        </w:rPr>
        <w:t>single name CDS, CDS Index, bespoke basket CDS, CDS index options, s</w:t>
      </w:r>
      <w:r w:rsidRPr="00304DC8">
        <w:rPr>
          <w:sz w:val="22"/>
          <w:szCs w:val="22"/>
          <w:lang w:val="en-US"/>
        </w:rPr>
        <w:t>ingle name CDS options</w:t>
      </w:r>
      <w:r w:rsidR="001669ED" w:rsidRPr="00304DC8">
        <w:rPr>
          <w:sz w:val="22"/>
          <w:szCs w:val="22"/>
        </w:rPr>
        <w:t>).</w:t>
      </w:r>
    </w:p>
    <w:p w:rsidR="00B2166A" w:rsidRPr="00304DC8" w:rsidRDefault="00B2166A" w:rsidP="001F6E19">
      <w:pPr>
        <w:rPr>
          <w:sz w:val="22"/>
          <w:szCs w:val="22"/>
        </w:rPr>
      </w:pPr>
    </w:p>
    <w:p w:rsidR="00351B4C" w:rsidRPr="00304DC8" w:rsidRDefault="00351B4C" w:rsidP="00351B4C">
      <w:pPr>
        <w:rPr>
          <w:sz w:val="22"/>
          <w:szCs w:val="22"/>
          <w:u w:val="single"/>
          <w:lang w:val="en-US"/>
        </w:rPr>
      </w:pPr>
      <w:r w:rsidRPr="00304DC8">
        <w:rPr>
          <w:rFonts w:eastAsia="Calibri"/>
          <w:sz w:val="22"/>
          <w:szCs w:val="22"/>
          <w:u w:val="single"/>
        </w:rPr>
        <w:t>General comments:</w:t>
      </w:r>
      <w:r w:rsidRPr="00304DC8">
        <w:rPr>
          <w:sz w:val="22"/>
          <w:szCs w:val="22"/>
          <w:u w:val="single"/>
          <w:lang w:val="en-US"/>
        </w:rPr>
        <w:t xml:space="preserve"> </w:t>
      </w:r>
    </w:p>
    <w:p w:rsidR="00351B4C" w:rsidRPr="00304DC8" w:rsidRDefault="00351B4C" w:rsidP="00351B4C">
      <w:pPr>
        <w:rPr>
          <w:rFonts w:eastAsia="Calibri"/>
          <w:sz w:val="22"/>
          <w:szCs w:val="22"/>
        </w:rPr>
      </w:pPr>
      <w:r w:rsidRPr="00304DC8">
        <w:rPr>
          <w:rFonts w:eastAsia="Calibri"/>
          <w:sz w:val="22"/>
          <w:szCs w:val="22"/>
        </w:rPr>
        <w:t xml:space="preserve">The NSA agrees with ESMA that it is </w:t>
      </w:r>
      <w:r w:rsidRPr="00304DC8">
        <w:rPr>
          <w:rFonts w:eastAsia="Calibri"/>
          <w:sz w:val="22"/>
          <w:szCs w:val="22"/>
          <w:u w:val="single"/>
        </w:rPr>
        <w:t>necessary to have a flexible deferral regime</w:t>
      </w:r>
      <w:r w:rsidRPr="00304DC8">
        <w:rPr>
          <w:rFonts w:eastAsia="Calibri"/>
          <w:sz w:val="22"/>
          <w:szCs w:val="22"/>
        </w:rPr>
        <w:t xml:space="preserve"> as a means of reducing the negative effects that could be the result of an increased post-trade transparency for some non-equity markets. This is in particular true for smaller markets which are dependent on market making (such as the Nordics). </w:t>
      </w:r>
    </w:p>
    <w:p w:rsidR="00351B4C" w:rsidRPr="00304DC8" w:rsidRDefault="00351B4C" w:rsidP="00351B4C">
      <w:pPr>
        <w:rPr>
          <w:rFonts w:eastAsia="Calibri"/>
          <w:sz w:val="22"/>
          <w:szCs w:val="22"/>
        </w:rPr>
      </w:pPr>
    </w:p>
    <w:p w:rsidR="009F0AFE" w:rsidRPr="00304DC8" w:rsidRDefault="009F0AFE" w:rsidP="009F0AFE">
      <w:pPr>
        <w:rPr>
          <w:rFonts w:eastAsia="Calibri"/>
          <w:sz w:val="22"/>
          <w:szCs w:val="22"/>
        </w:rPr>
      </w:pPr>
      <w:r w:rsidRPr="00304DC8">
        <w:rPr>
          <w:rFonts w:eastAsia="Calibri"/>
          <w:sz w:val="22"/>
          <w:szCs w:val="22"/>
        </w:rPr>
        <w:t xml:space="preserve">The NSA also shares ESMA’s view that it is not possible to copy/paste the transparency regime for equities or the US transparency regime considering the major differences between these markets and the EU non-equity markets. </w:t>
      </w:r>
    </w:p>
    <w:p w:rsidR="00351B4C" w:rsidRPr="00304DC8" w:rsidRDefault="00351B4C" w:rsidP="00861EC1">
      <w:pPr>
        <w:rPr>
          <w:rFonts w:eastAsia="Calibri"/>
          <w:i/>
          <w:sz w:val="22"/>
          <w:szCs w:val="22"/>
        </w:rPr>
      </w:pPr>
    </w:p>
    <w:p w:rsidR="00351B4C" w:rsidRPr="00304DC8" w:rsidRDefault="00351B4C" w:rsidP="00861EC1">
      <w:pPr>
        <w:rPr>
          <w:sz w:val="22"/>
          <w:szCs w:val="22"/>
        </w:rPr>
      </w:pPr>
      <w:r w:rsidRPr="00304DC8">
        <w:rPr>
          <w:rFonts w:eastAsia="Calibri"/>
          <w:sz w:val="22"/>
          <w:szCs w:val="22"/>
        </w:rPr>
        <w:t xml:space="preserve">Furthermore, the NSA wants to stress that it is crucial that any recalibration of thresholds takes </w:t>
      </w:r>
      <w:r w:rsidRPr="00304DC8">
        <w:rPr>
          <w:rFonts w:eastAsia="Calibri"/>
          <w:sz w:val="22"/>
          <w:szCs w:val="22"/>
          <w:u w:val="single"/>
        </w:rPr>
        <w:t>Ex-Post Effects</w:t>
      </w:r>
      <w:r w:rsidRPr="00304DC8">
        <w:rPr>
          <w:rFonts w:eastAsia="Calibri"/>
          <w:sz w:val="22"/>
          <w:szCs w:val="22"/>
        </w:rPr>
        <w:t xml:space="preserve"> into account, </w:t>
      </w:r>
      <w:r w:rsidRPr="00304DC8">
        <w:rPr>
          <w:sz w:val="22"/>
          <w:szCs w:val="22"/>
        </w:rPr>
        <w:t>i.e. the impact that the introduction of the new EU transparency regime will have on the liquidity of the instruments and in the long run, on the stability of the markets as a whole if companies cannot properly hedge their risks from various sources.  Such Ex-Post Effects need to be based on expert judgement.</w:t>
      </w:r>
    </w:p>
    <w:p w:rsidR="000E61A3" w:rsidRPr="00304DC8" w:rsidRDefault="000E61A3" w:rsidP="00861EC1">
      <w:pPr>
        <w:rPr>
          <w:sz w:val="22"/>
          <w:szCs w:val="22"/>
        </w:rPr>
      </w:pPr>
    </w:p>
    <w:p w:rsidR="00745C75" w:rsidRPr="00304DC8" w:rsidRDefault="00745C75" w:rsidP="00745C75">
      <w:pPr>
        <w:rPr>
          <w:sz w:val="22"/>
          <w:szCs w:val="22"/>
        </w:rPr>
      </w:pPr>
      <w:r w:rsidRPr="00304DC8">
        <w:rPr>
          <w:sz w:val="22"/>
          <w:szCs w:val="22"/>
          <w:u w:val="single"/>
        </w:rPr>
        <w:t>Questions</w:t>
      </w:r>
      <w:r w:rsidRPr="00304DC8">
        <w:rPr>
          <w:sz w:val="22"/>
          <w:szCs w:val="22"/>
        </w:rPr>
        <w:t xml:space="preserve">: </w:t>
      </w:r>
    </w:p>
    <w:p w:rsidR="00745C75" w:rsidRPr="00304DC8" w:rsidRDefault="00745C75" w:rsidP="00745C75">
      <w:pPr>
        <w:rPr>
          <w:b/>
          <w:sz w:val="22"/>
          <w:szCs w:val="22"/>
        </w:rPr>
      </w:pPr>
      <w:r w:rsidRPr="00304DC8">
        <w:rPr>
          <w:b/>
          <w:sz w:val="22"/>
          <w:szCs w:val="22"/>
        </w:rPr>
        <w:t xml:space="preserve">Question 5 (1) </w:t>
      </w:r>
    </w:p>
    <w:p w:rsidR="00AD43F9" w:rsidRPr="00304DC8" w:rsidRDefault="00AD43F9" w:rsidP="00AD43F9">
      <w:pPr>
        <w:rPr>
          <w:sz w:val="22"/>
          <w:szCs w:val="22"/>
        </w:rPr>
      </w:pPr>
      <w:r w:rsidRPr="00304DC8">
        <w:rPr>
          <w:sz w:val="22"/>
          <w:szCs w:val="22"/>
        </w:rPr>
        <w:t>The</w:t>
      </w:r>
      <w:r w:rsidRPr="00304DC8">
        <w:rPr>
          <w:b/>
          <w:sz w:val="22"/>
          <w:szCs w:val="22"/>
        </w:rPr>
        <w:t xml:space="preserve"> </w:t>
      </w:r>
      <w:r w:rsidRPr="00304DC8">
        <w:rPr>
          <w:sz w:val="22"/>
          <w:szCs w:val="22"/>
        </w:rPr>
        <w:t xml:space="preserve">NSA </w:t>
      </w:r>
      <w:r w:rsidRPr="00304DC8">
        <w:rPr>
          <w:sz w:val="22"/>
          <w:szCs w:val="22"/>
          <w:u w:val="single"/>
        </w:rPr>
        <w:t>supports ESMA’s proposal for 48 hours standard deferral (as well as the suppleme</w:t>
      </w:r>
      <w:r w:rsidRPr="00304DC8">
        <w:rPr>
          <w:sz w:val="22"/>
          <w:szCs w:val="22"/>
          <w:u w:val="single"/>
        </w:rPr>
        <w:t>n</w:t>
      </w:r>
      <w:r w:rsidRPr="00304DC8">
        <w:rPr>
          <w:sz w:val="22"/>
          <w:szCs w:val="22"/>
          <w:u w:val="single"/>
        </w:rPr>
        <w:t>tary deferral regime with extended deferral time and aggregation)</w:t>
      </w:r>
      <w:r w:rsidRPr="00304DC8">
        <w:rPr>
          <w:sz w:val="22"/>
          <w:szCs w:val="22"/>
        </w:rPr>
        <w:t xml:space="preserve">. </w:t>
      </w:r>
    </w:p>
    <w:p w:rsidR="00AD43F9" w:rsidRPr="00304DC8" w:rsidRDefault="00AD43F9" w:rsidP="00AD43F9">
      <w:pPr>
        <w:rPr>
          <w:sz w:val="22"/>
          <w:szCs w:val="22"/>
        </w:rPr>
      </w:pPr>
    </w:p>
    <w:p w:rsidR="00AD43F9" w:rsidRPr="00304DC8" w:rsidRDefault="00AD43F9" w:rsidP="00AD43F9">
      <w:pPr>
        <w:rPr>
          <w:sz w:val="22"/>
          <w:szCs w:val="22"/>
        </w:rPr>
      </w:pPr>
      <w:r w:rsidRPr="00304DC8">
        <w:rPr>
          <w:sz w:val="22"/>
          <w:szCs w:val="22"/>
        </w:rPr>
        <w:t xml:space="preserve">However, in our opinion, the standard deferral rule should be </w:t>
      </w:r>
      <w:r w:rsidRPr="00304DC8">
        <w:rPr>
          <w:sz w:val="22"/>
          <w:szCs w:val="22"/>
          <w:u w:val="single"/>
        </w:rPr>
        <w:t>changed into T+2</w:t>
      </w:r>
      <w:r w:rsidRPr="00304DC8">
        <w:rPr>
          <w:sz w:val="22"/>
          <w:szCs w:val="22"/>
        </w:rPr>
        <w:t xml:space="preserve"> rather than 48 hours. This approach (T+2) would be more in line with other rules (i.e. the CSDR settlement rules) and will not cause the same practical problems with weekends etc. </w:t>
      </w:r>
    </w:p>
    <w:p w:rsidR="0026400A" w:rsidRPr="00304DC8" w:rsidRDefault="0026400A" w:rsidP="00745F3A">
      <w:pPr>
        <w:rPr>
          <w:sz w:val="22"/>
          <w:szCs w:val="22"/>
        </w:rPr>
      </w:pPr>
    </w:p>
    <w:p w:rsidR="00745C75" w:rsidRPr="00304DC8" w:rsidRDefault="00745C75" w:rsidP="00745C75">
      <w:pPr>
        <w:rPr>
          <w:b/>
          <w:sz w:val="22"/>
          <w:szCs w:val="22"/>
        </w:rPr>
      </w:pPr>
      <w:r w:rsidRPr="00304DC8">
        <w:rPr>
          <w:b/>
          <w:sz w:val="22"/>
          <w:szCs w:val="22"/>
        </w:rPr>
        <w:t>Question 5 (2)</w:t>
      </w:r>
    </w:p>
    <w:p w:rsidR="00AD43F9" w:rsidRPr="00304DC8" w:rsidRDefault="00AD43F9" w:rsidP="00AD43F9">
      <w:pPr>
        <w:rPr>
          <w:sz w:val="22"/>
          <w:szCs w:val="22"/>
        </w:rPr>
      </w:pPr>
      <w:r w:rsidRPr="00304DC8">
        <w:rPr>
          <w:sz w:val="22"/>
          <w:szCs w:val="22"/>
        </w:rPr>
        <w:t xml:space="preserve">No, the NSA does not agree. We note the very strange results from ESMA’s methodology in table 60 on page 346, i.e. that the SSTI thresholds for tenors 5-6 </w:t>
      </w:r>
      <w:proofErr w:type="spellStart"/>
      <w:r w:rsidRPr="00304DC8">
        <w:rPr>
          <w:sz w:val="22"/>
          <w:szCs w:val="22"/>
        </w:rPr>
        <w:t>yrs</w:t>
      </w:r>
      <w:proofErr w:type="spellEnd"/>
      <w:r w:rsidRPr="00304DC8">
        <w:rPr>
          <w:sz w:val="22"/>
          <w:szCs w:val="22"/>
        </w:rPr>
        <w:t xml:space="preserve"> and 9-10 </w:t>
      </w:r>
      <w:proofErr w:type="spellStart"/>
      <w:r w:rsidRPr="00304DC8">
        <w:rPr>
          <w:sz w:val="22"/>
          <w:szCs w:val="22"/>
        </w:rPr>
        <w:t>yrs</w:t>
      </w:r>
      <w:proofErr w:type="spellEnd"/>
      <w:r w:rsidRPr="00304DC8">
        <w:rPr>
          <w:sz w:val="22"/>
          <w:szCs w:val="22"/>
        </w:rPr>
        <w:t xml:space="preserve"> are so much lower than for e.g. tenors 2-3 </w:t>
      </w:r>
      <w:proofErr w:type="spellStart"/>
      <w:r w:rsidRPr="00304DC8">
        <w:rPr>
          <w:sz w:val="22"/>
          <w:szCs w:val="22"/>
        </w:rPr>
        <w:t>yrs</w:t>
      </w:r>
      <w:proofErr w:type="spellEnd"/>
      <w:r w:rsidRPr="00304DC8">
        <w:rPr>
          <w:sz w:val="22"/>
          <w:szCs w:val="22"/>
        </w:rPr>
        <w:t xml:space="preserve">, 3-4 </w:t>
      </w:r>
      <w:proofErr w:type="spellStart"/>
      <w:r w:rsidRPr="00304DC8">
        <w:rPr>
          <w:sz w:val="22"/>
          <w:szCs w:val="22"/>
        </w:rPr>
        <w:t>yrs</w:t>
      </w:r>
      <w:proofErr w:type="spellEnd"/>
      <w:r w:rsidRPr="00304DC8">
        <w:rPr>
          <w:sz w:val="22"/>
          <w:szCs w:val="22"/>
        </w:rPr>
        <w:t xml:space="preserve"> and 4-5 yrs. This does not make sense and is another example of the fact that the quality of the data used by ESMA is not adequate.  </w:t>
      </w:r>
    </w:p>
    <w:p w:rsidR="00AD43F9" w:rsidRPr="00304DC8" w:rsidRDefault="00AD43F9" w:rsidP="00AD43F9">
      <w:pPr>
        <w:rPr>
          <w:sz w:val="22"/>
          <w:szCs w:val="22"/>
        </w:rPr>
      </w:pPr>
    </w:p>
    <w:p w:rsidR="00AD43F9" w:rsidRPr="00304DC8" w:rsidRDefault="00AD43F9" w:rsidP="00AD43F9">
      <w:pPr>
        <w:rPr>
          <w:sz w:val="22"/>
          <w:szCs w:val="22"/>
        </w:rPr>
      </w:pPr>
      <w:r w:rsidRPr="00304DC8">
        <w:rPr>
          <w:sz w:val="22"/>
          <w:szCs w:val="22"/>
        </w:rPr>
        <w:t xml:space="preserve">The NSA is generally very concerned with the proposed SSTI level </w:t>
      </w:r>
      <w:r w:rsidR="00263037" w:rsidRPr="00304DC8">
        <w:rPr>
          <w:sz w:val="22"/>
          <w:szCs w:val="22"/>
        </w:rPr>
        <w:t>(50</w:t>
      </w:r>
      <w:r w:rsidRPr="00304DC8">
        <w:rPr>
          <w:sz w:val="22"/>
          <w:szCs w:val="22"/>
        </w:rPr>
        <w:t>% of LIS) which we co</w:t>
      </w:r>
      <w:r w:rsidRPr="00304DC8">
        <w:rPr>
          <w:sz w:val="22"/>
          <w:szCs w:val="22"/>
        </w:rPr>
        <w:t>n</w:t>
      </w:r>
      <w:r w:rsidRPr="00304DC8">
        <w:rPr>
          <w:sz w:val="22"/>
          <w:szCs w:val="22"/>
        </w:rPr>
        <w:t xml:space="preserve">sider to be far too high. These high SSTI thresholds will have the effect of increasing the risks of SIs which will have a negative effect on their ability to provide liquidity to non-equity markets. As a result, the costs for providing liquidity will increase, many </w:t>
      </w:r>
      <w:proofErr w:type="gramStart"/>
      <w:r w:rsidRPr="00304DC8">
        <w:rPr>
          <w:sz w:val="22"/>
          <w:szCs w:val="22"/>
        </w:rPr>
        <w:t>SIs</w:t>
      </w:r>
      <w:proofErr w:type="gramEnd"/>
      <w:r w:rsidRPr="00304DC8">
        <w:rPr>
          <w:sz w:val="22"/>
          <w:szCs w:val="22"/>
        </w:rPr>
        <w:t xml:space="preserve"> will step out </w:t>
      </w:r>
      <w:r w:rsidR="002B198D" w:rsidRPr="00304DC8">
        <w:rPr>
          <w:sz w:val="22"/>
          <w:szCs w:val="22"/>
        </w:rPr>
        <w:t xml:space="preserve">of </w:t>
      </w:r>
      <w:r w:rsidRPr="00304DC8">
        <w:rPr>
          <w:sz w:val="22"/>
          <w:szCs w:val="22"/>
        </w:rPr>
        <w:t xml:space="preserve">the market and competition will be negatively affected. </w:t>
      </w:r>
    </w:p>
    <w:p w:rsidR="00AD43F9" w:rsidRPr="00304DC8" w:rsidRDefault="00AD43F9" w:rsidP="00861EC1">
      <w:pPr>
        <w:rPr>
          <w:sz w:val="22"/>
          <w:szCs w:val="22"/>
        </w:rPr>
      </w:pPr>
    </w:p>
    <w:p w:rsidR="00AD43F9" w:rsidRPr="00304DC8" w:rsidRDefault="00AD43F9" w:rsidP="00861EC1">
      <w:pPr>
        <w:rPr>
          <w:sz w:val="22"/>
          <w:szCs w:val="22"/>
        </w:rPr>
      </w:pPr>
      <w:r w:rsidRPr="00304DC8">
        <w:rPr>
          <w:sz w:val="22"/>
          <w:szCs w:val="22"/>
        </w:rPr>
        <w:t>The SSTI and LIS are two different thresholds with very different aims. The SSTI, accor</w:t>
      </w:r>
      <w:r w:rsidRPr="00304DC8">
        <w:rPr>
          <w:sz w:val="22"/>
          <w:szCs w:val="22"/>
        </w:rPr>
        <w:t>d</w:t>
      </w:r>
      <w:r w:rsidRPr="00304DC8">
        <w:rPr>
          <w:sz w:val="22"/>
          <w:szCs w:val="22"/>
        </w:rPr>
        <w:t>ing to the political agreement on Level I, intends to protect liquidity providers and SIs from “u</w:t>
      </w:r>
      <w:r w:rsidRPr="00304DC8">
        <w:rPr>
          <w:sz w:val="22"/>
          <w:szCs w:val="22"/>
        </w:rPr>
        <w:t>n</w:t>
      </w:r>
      <w:r w:rsidRPr="00304DC8">
        <w:rPr>
          <w:sz w:val="22"/>
          <w:szCs w:val="22"/>
        </w:rPr>
        <w:t>due risk”. In order to achieve this goal, the SSTI threshold</w:t>
      </w:r>
      <w:r w:rsidR="00363CE2">
        <w:rPr>
          <w:sz w:val="22"/>
          <w:szCs w:val="22"/>
        </w:rPr>
        <w:t>s</w:t>
      </w:r>
      <w:r w:rsidRPr="00304DC8">
        <w:rPr>
          <w:sz w:val="22"/>
          <w:szCs w:val="22"/>
        </w:rPr>
        <w:t xml:space="preserve"> should be able to be adjusted for local market needs and not be set as one fixed threshold for the EU as a whole. However, If ESMA persists in having one SSTI threshold </w:t>
      </w:r>
      <w:r w:rsidR="00F95877">
        <w:rPr>
          <w:sz w:val="22"/>
          <w:szCs w:val="22"/>
        </w:rPr>
        <w:t>f</w:t>
      </w:r>
      <w:r w:rsidRPr="00304DC8">
        <w:rPr>
          <w:sz w:val="22"/>
          <w:szCs w:val="22"/>
        </w:rPr>
        <w:t xml:space="preserve">or the whole of </w:t>
      </w:r>
      <w:proofErr w:type="gramStart"/>
      <w:r w:rsidRPr="00304DC8">
        <w:rPr>
          <w:sz w:val="22"/>
          <w:szCs w:val="22"/>
        </w:rPr>
        <w:t>EU,</w:t>
      </w:r>
      <w:proofErr w:type="gramEnd"/>
      <w:r w:rsidRPr="00304DC8">
        <w:rPr>
          <w:sz w:val="22"/>
          <w:szCs w:val="22"/>
        </w:rPr>
        <w:t xml:space="preserve"> it needs to</w:t>
      </w:r>
      <w:r w:rsidR="00263037" w:rsidRPr="00304DC8">
        <w:rPr>
          <w:sz w:val="22"/>
          <w:szCs w:val="22"/>
        </w:rPr>
        <w:t xml:space="preserve"> be significantly lower than 50</w:t>
      </w:r>
      <w:r w:rsidRPr="00304DC8">
        <w:rPr>
          <w:sz w:val="22"/>
          <w:szCs w:val="22"/>
        </w:rPr>
        <w:t xml:space="preserve">% of LIS.  </w:t>
      </w:r>
      <w:proofErr w:type="gramStart"/>
      <w:r w:rsidRPr="00304DC8">
        <w:rPr>
          <w:sz w:val="22"/>
          <w:szCs w:val="22"/>
          <w:u w:val="single"/>
        </w:rPr>
        <w:t>A m</w:t>
      </w:r>
      <w:r w:rsidR="00263037" w:rsidRPr="00304DC8">
        <w:rPr>
          <w:sz w:val="22"/>
          <w:szCs w:val="22"/>
          <w:u w:val="single"/>
        </w:rPr>
        <w:t>aximum SSTI threshold that is 5</w:t>
      </w:r>
      <w:r w:rsidR="00B41CC5" w:rsidRPr="00304DC8">
        <w:rPr>
          <w:sz w:val="22"/>
          <w:szCs w:val="22"/>
          <w:u w:val="single"/>
        </w:rPr>
        <w:t>-10</w:t>
      </w:r>
      <w:r w:rsidRPr="00304DC8">
        <w:rPr>
          <w:sz w:val="22"/>
          <w:szCs w:val="22"/>
          <w:u w:val="single"/>
        </w:rPr>
        <w:t>% of LIS or retail market size more in line with Level I.</w:t>
      </w:r>
      <w:proofErr w:type="gramEnd"/>
      <w:r w:rsidRPr="00304DC8">
        <w:rPr>
          <w:sz w:val="22"/>
          <w:szCs w:val="22"/>
          <w:u w:val="single"/>
        </w:rPr>
        <w:t xml:space="preserve"> </w:t>
      </w:r>
    </w:p>
    <w:p w:rsidR="00AD43F9" w:rsidRPr="00304DC8" w:rsidRDefault="00AD43F9" w:rsidP="00861EC1">
      <w:pPr>
        <w:rPr>
          <w:sz w:val="22"/>
          <w:szCs w:val="22"/>
        </w:rPr>
      </w:pPr>
    </w:p>
    <w:p w:rsidR="00745C75" w:rsidRPr="00304DC8" w:rsidRDefault="00745C75" w:rsidP="00745C75">
      <w:pPr>
        <w:rPr>
          <w:b/>
          <w:sz w:val="22"/>
          <w:szCs w:val="22"/>
        </w:rPr>
      </w:pPr>
      <w:r w:rsidRPr="00304DC8">
        <w:rPr>
          <w:b/>
          <w:sz w:val="22"/>
          <w:szCs w:val="22"/>
        </w:rPr>
        <w:t xml:space="preserve">Question 5 (3) </w:t>
      </w:r>
    </w:p>
    <w:p w:rsidR="00AD43F9" w:rsidRPr="00304DC8" w:rsidRDefault="00AD43F9" w:rsidP="00224947">
      <w:pPr>
        <w:rPr>
          <w:sz w:val="22"/>
          <w:szCs w:val="22"/>
        </w:rPr>
      </w:pPr>
      <w:r w:rsidRPr="00304DC8">
        <w:rPr>
          <w:sz w:val="22"/>
          <w:szCs w:val="22"/>
        </w:rPr>
        <w:t xml:space="preserve">The NSA generally agrees </w:t>
      </w:r>
      <w:r w:rsidR="002B198D" w:rsidRPr="00304DC8">
        <w:rPr>
          <w:sz w:val="22"/>
          <w:szCs w:val="22"/>
        </w:rPr>
        <w:t>with</w:t>
      </w:r>
      <w:r w:rsidRPr="00304DC8">
        <w:rPr>
          <w:sz w:val="22"/>
          <w:szCs w:val="22"/>
        </w:rPr>
        <w:t xml:space="preserve"> the volume measures used to set LIS thresholds as specified in Annex II, Table 3 of draft RTS 9.</w:t>
      </w:r>
    </w:p>
    <w:p w:rsidR="00AD43F9" w:rsidRPr="00304DC8" w:rsidRDefault="00AD43F9" w:rsidP="00224947">
      <w:pPr>
        <w:rPr>
          <w:b/>
          <w:sz w:val="22"/>
          <w:szCs w:val="22"/>
        </w:rPr>
      </w:pPr>
    </w:p>
    <w:p w:rsidR="00224947" w:rsidRPr="00304DC8" w:rsidRDefault="00224947" w:rsidP="00224947">
      <w:pPr>
        <w:rPr>
          <w:b/>
          <w:sz w:val="22"/>
          <w:szCs w:val="22"/>
        </w:rPr>
      </w:pPr>
      <w:r w:rsidRPr="00304DC8">
        <w:rPr>
          <w:b/>
          <w:sz w:val="22"/>
          <w:szCs w:val="22"/>
        </w:rPr>
        <w:t xml:space="preserve">Question 5 (4) </w:t>
      </w:r>
    </w:p>
    <w:p w:rsidR="00AD43F9" w:rsidRPr="00304DC8" w:rsidRDefault="00AD43F9" w:rsidP="00AD43F9">
      <w:pPr>
        <w:rPr>
          <w:sz w:val="22"/>
          <w:szCs w:val="22"/>
        </w:rPr>
      </w:pPr>
      <w:r w:rsidRPr="00304DC8">
        <w:rPr>
          <w:sz w:val="22"/>
          <w:szCs w:val="22"/>
        </w:rPr>
        <w:t>Provided that the SSTI thresholds are set in accordance with the political agreement on Level I, i.e. so as to protect liquidity providers/SIs from “undue risk” and set at retail size, we see no reason for different thresholds for pre- and post-trade transparency. However, taking into a</w:t>
      </w:r>
      <w:r w:rsidRPr="00304DC8">
        <w:rPr>
          <w:sz w:val="22"/>
          <w:szCs w:val="22"/>
        </w:rPr>
        <w:t>c</w:t>
      </w:r>
      <w:r w:rsidRPr="00304DC8">
        <w:rPr>
          <w:sz w:val="22"/>
          <w:szCs w:val="22"/>
        </w:rPr>
        <w:t>count the nature of the risks incurred by a liquidity provider/SI and provided that ESMA’s pr</w:t>
      </w:r>
      <w:r w:rsidRPr="00304DC8">
        <w:rPr>
          <w:sz w:val="22"/>
          <w:szCs w:val="22"/>
        </w:rPr>
        <w:t>o</w:t>
      </w:r>
      <w:r w:rsidRPr="00304DC8">
        <w:rPr>
          <w:sz w:val="22"/>
          <w:szCs w:val="22"/>
        </w:rPr>
        <w:t>posals regarding post trade deferral are not changed, we believe it to be more important to lower the threshold for pre-trade transparency/SI obligations than for post-trade transparency. The pre-trade/SI transparency SSTI threshold should maximum be</w:t>
      </w:r>
      <w:r w:rsidR="00263037" w:rsidRPr="00304DC8">
        <w:rPr>
          <w:sz w:val="22"/>
          <w:szCs w:val="22"/>
        </w:rPr>
        <w:t xml:space="preserve"> 5</w:t>
      </w:r>
      <w:r w:rsidR="00B41CC5" w:rsidRPr="00304DC8">
        <w:rPr>
          <w:sz w:val="22"/>
          <w:szCs w:val="22"/>
        </w:rPr>
        <w:t>-10</w:t>
      </w:r>
      <w:r w:rsidRPr="00304DC8">
        <w:rPr>
          <w:sz w:val="22"/>
          <w:szCs w:val="22"/>
        </w:rPr>
        <w:t xml:space="preserve">% of LIS or retail market size. </w:t>
      </w:r>
    </w:p>
    <w:p w:rsidR="00AD43F9" w:rsidRPr="00304DC8" w:rsidRDefault="00AD43F9" w:rsidP="00745C75">
      <w:pPr>
        <w:rPr>
          <w:b/>
          <w:sz w:val="22"/>
          <w:szCs w:val="22"/>
        </w:rPr>
      </w:pPr>
    </w:p>
    <w:p w:rsidR="00745C75" w:rsidRPr="00304DC8" w:rsidRDefault="00745C75" w:rsidP="00745C75">
      <w:pPr>
        <w:rPr>
          <w:b/>
          <w:sz w:val="22"/>
          <w:szCs w:val="22"/>
        </w:rPr>
      </w:pPr>
      <w:r w:rsidRPr="00304DC8">
        <w:rPr>
          <w:b/>
          <w:sz w:val="22"/>
          <w:szCs w:val="22"/>
        </w:rPr>
        <w:t>Question 5 (5</w:t>
      </w:r>
      <w:r w:rsidR="007B52C6" w:rsidRPr="00304DC8">
        <w:rPr>
          <w:b/>
          <w:sz w:val="22"/>
          <w:szCs w:val="22"/>
        </w:rPr>
        <w:t xml:space="preserve"> </w:t>
      </w:r>
      <w:r w:rsidRPr="00304DC8">
        <w:rPr>
          <w:b/>
          <w:sz w:val="22"/>
          <w:szCs w:val="22"/>
        </w:rPr>
        <w:t xml:space="preserve">a) </w:t>
      </w:r>
    </w:p>
    <w:p w:rsidR="00AD43F9" w:rsidRPr="00304DC8" w:rsidRDefault="00AD43F9" w:rsidP="00AD43F9">
      <w:pPr>
        <w:rPr>
          <w:sz w:val="22"/>
          <w:szCs w:val="22"/>
        </w:rPr>
      </w:pPr>
      <w:r w:rsidRPr="00304DC8">
        <w:rPr>
          <w:sz w:val="22"/>
          <w:szCs w:val="22"/>
        </w:rPr>
        <w:t xml:space="preserve">The NSA agrees with ESMA and supports a system with recalculation, </w:t>
      </w:r>
      <w:r w:rsidR="002C3167" w:rsidRPr="00304DC8">
        <w:rPr>
          <w:sz w:val="22"/>
          <w:szCs w:val="22"/>
        </w:rPr>
        <w:t xml:space="preserve">i.e. </w:t>
      </w:r>
      <w:r w:rsidRPr="00304DC8">
        <w:rPr>
          <w:sz w:val="22"/>
          <w:szCs w:val="22"/>
          <w:u w:val="single"/>
        </w:rPr>
        <w:t>Option 2</w:t>
      </w:r>
      <w:r w:rsidRPr="00304DC8">
        <w:rPr>
          <w:sz w:val="22"/>
          <w:szCs w:val="22"/>
        </w:rPr>
        <w:t xml:space="preserve">. </w:t>
      </w:r>
    </w:p>
    <w:p w:rsidR="00AD43F9" w:rsidRPr="00304DC8" w:rsidRDefault="00AD43F9" w:rsidP="00745C75">
      <w:pPr>
        <w:rPr>
          <w:b/>
          <w:sz w:val="22"/>
          <w:szCs w:val="22"/>
        </w:rPr>
      </w:pPr>
    </w:p>
    <w:p w:rsidR="00745C75" w:rsidRPr="00304DC8" w:rsidRDefault="00745C75" w:rsidP="00745C75">
      <w:pPr>
        <w:rPr>
          <w:b/>
          <w:sz w:val="22"/>
          <w:szCs w:val="22"/>
        </w:rPr>
      </w:pPr>
      <w:r w:rsidRPr="00304DC8">
        <w:rPr>
          <w:b/>
          <w:sz w:val="22"/>
          <w:szCs w:val="22"/>
        </w:rPr>
        <w:t>Question 5 (</w:t>
      </w:r>
      <w:r w:rsidR="00745F3A" w:rsidRPr="00304DC8">
        <w:rPr>
          <w:b/>
          <w:sz w:val="22"/>
          <w:szCs w:val="22"/>
        </w:rPr>
        <w:t>5</w:t>
      </w:r>
      <w:r w:rsidR="007B52C6" w:rsidRPr="00304DC8">
        <w:rPr>
          <w:b/>
          <w:sz w:val="22"/>
          <w:szCs w:val="22"/>
        </w:rPr>
        <w:t xml:space="preserve"> </w:t>
      </w:r>
      <w:r w:rsidRPr="00304DC8">
        <w:rPr>
          <w:b/>
          <w:sz w:val="22"/>
          <w:szCs w:val="22"/>
        </w:rPr>
        <w:t>b)</w:t>
      </w:r>
    </w:p>
    <w:p w:rsidR="00745C75" w:rsidRPr="00C977A5" w:rsidRDefault="00AD43F9" w:rsidP="00861EC1">
      <w:pPr>
        <w:rPr>
          <w:sz w:val="22"/>
          <w:szCs w:val="22"/>
        </w:rPr>
      </w:pPr>
      <w:r w:rsidRPr="00304DC8">
        <w:rPr>
          <w:sz w:val="22"/>
          <w:szCs w:val="22"/>
        </w:rPr>
        <w:t xml:space="preserve">The NSA supports a recalculation after 6 months. The methodology for re-calculating thresholds from 2018 and onwards must be designed to take </w:t>
      </w:r>
      <w:r w:rsidRPr="00304DC8">
        <w:rPr>
          <w:sz w:val="22"/>
          <w:szCs w:val="22"/>
          <w:u w:val="single"/>
        </w:rPr>
        <w:t>Ex-Post Effects</w:t>
      </w:r>
      <w:r w:rsidRPr="00304DC8">
        <w:rPr>
          <w:sz w:val="22"/>
          <w:szCs w:val="22"/>
        </w:rPr>
        <w:t xml:space="preserve"> of the transparency regulation into account, i.e. the effects that the introduction of the new EU transparency regime will have on the liquidity of the instruments. Such Ex-Post Effects need to be based on expert judgement.</w:t>
      </w:r>
    </w:p>
    <w:permEnd w:id="22622494"/>
    <w:p w:rsidR="00A8728B" w:rsidRDefault="00A8728B" w:rsidP="00A8728B">
      <w:r>
        <w:t>&lt;ESMA_QUESTION_MIFID_ADD_5&gt;</w:t>
      </w:r>
    </w:p>
    <w:p w:rsidR="00A8728B" w:rsidRDefault="00A8728B" w:rsidP="00A8728B">
      <w:pPr>
        <w:pStyle w:val="CPQuestions"/>
        <w:ind w:left="714" w:hanging="357"/>
      </w:pPr>
      <w:r>
        <w:t>D</w:t>
      </w:r>
      <w:r w:rsidRPr="00B62727">
        <w:t xml:space="preserve">o you agree with ESMA’s proposal for the definition of a liquid market? Please provide an answer detailed per </w:t>
      </w:r>
      <w:r>
        <w:t>class of derivatives (freight derivatives, emissions derivatives, weather derivatives and other exotic derivatives) and contract type identified (options, futures, forwards, swaps, others). If you do not agree with E</w:t>
      </w:r>
      <w:r>
        <w:t>S</w:t>
      </w:r>
      <w:r>
        <w:t xml:space="preserve">MA’s proposal for the definition of a liquid market, please specify </w:t>
      </w:r>
      <w:r w:rsidRPr="00B62727">
        <w:t xml:space="preserve">per </w:t>
      </w:r>
      <w:r>
        <w:t>class of d</w:t>
      </w:r>
      <w:r>
        <w:t>e</w:t>
      </w:r>
      <w:r>
        <w:t>rivatives</w:t>
      </w:r>
      <w:r w:rsidRPr="007E46F4">
        <w:t xml:space="preserve"> </w:t>
      </w:r>
      <w:r>
        <w:t>and contract type identified:</w:t>
      </w:r>
    </w:p>
    <w:p w:rsidR="00A8728B" w:rsidRDefault="00A8728B" w:rsidP="00566C6A">
      <w:pPr>
        <w:pStyle w:val="CPQuest2"/>
        <w:numPr>
          <w:ilvl w:val="0"/>
          <w:numId w:val="49"/>
        </w:numPr>
      </w:pPr>
      <w:r>
        <w:t>your alternative proposal;</w:t>
      </w:r>
    </w:p>
    <w:p w:rsidR="00A8728B" w:rsidRDefault="00A8728B" w:rsidP="00566C6A">
      <w:pPr>
        <w:pStyle w:val="CPQuest2"/>
      </w:pPr>
      <w:r>
        <w:t>which qualitative criteria would you use to define the sub-classes;</w:t>
      </w:r>
    </w:p>
    <w:p w:rsidR="00A8728B" w:rsidRDefault="00A8728B" w:rsidP="00566C6A">
      <w:pPr>
        <w:pStyle w:val="CPQuest2"/>
      </w:pPr>
      <w:r>
        <w:t>which parameters and related threshold values would you use in order to define a sub-class as liquid.</w:t>
      </w:r>
      <w:r w:rsidRPr="007E46F4">
        <w:t xml:space="preserve"> </w:t>
      </w:r>
      <w:r>
        <w:t>Please, provide r</w:t>
      </w:r>
      <w:r w:rsidRPr="000E6B5B">
        <w:t>easons for your answer</w:t>
      </w:r>
      <w:r>
        <w:t>.</w:t>
      </w:r>
    </w:p>
    <w:p w:rsidR="00A8728B" w:rsidRDefault="00A8728B" w:rsidP="00A8728B">
      <w:r>
        <w:t>&lt;ESMA_QUESTION_MIFID_ADD_6&gt;</w:t>
      </w:r>
    </w:p>
    <w:p w:rsidR="001C6027" w:rsidRPr="00C977A5" w:rsidRDefault="00AD483B" w:rsidP="001F6E19">
      <w:pPr>
        <w:rPr>
          <w:sz w:val="22"/>
          <w:szCs w:val="22"/>
        </w:rPr>
      </w:pPr>
      <w:permStart w:id="717705785" w:edGrp="everyone"/>
      <w:r w:rsidRPr="00C977A5">
        <w:rPr>
          <w:sz w:val="22"/>
          <w:szCs w:val="22"/>
        </w:rPr>
        <w:t>N</w:t>
      </w:r>
      <w:r w:rsidR="001C6027" w:rsidRPr="00C977A5">
        <w:rPr>
          <w:sz w:val="22"/>
          <w:szCs w:val="22"/>
        </w:rPr>
        <w:t>o comment</w:t>
      </w:r>
      <w:r w:rsidR="00EB338D" w:rsidRPr="00C977A5">
        <w:rPr>
          <w:sz w:val="22"/>
          <w:szCs w:val="22"/>
        </w:rPr>
        <w:t>s.</w:t>
      </w:r>
    </w:p>
    <w:permEnd w:id="717705785"/>
    <w:p w:rsidR="00A8728B" w:rsidRDefault="00A8728B" w:rsidP="00A8728B">
      <w:r>
        <w:t>&lt;ESMA_QUESTION_MIFID_ADD_6&gt;</w:t>
      </w:r>
    </w:p>
    <w:p w:rsidR="00A8728B" w:rsidRPr="00C24BCA" w:rsidRDefault="00A8728B" w:rsidP="00A8728B">
      <w:pPr>
        <w:pStyle w:val="CPQuestions"/>
        <w:ind w:left="714" w:hanging="357"/>
      </w:pPr>
      <w:r w:rsidRPr="00C24BCA">
        <w:t>Which is your preferred option? Please express your preference either for “Alte</w:t>
      </w:r>
      <w:r w:rsidRPr="00C24BCA">
        <w:t>r</w:t>
      </w:r>
      <w:r w:rsidRPr="00C24BCA">
        <w:t>native A” or for “Alternative B”. If you disagree with both ESMA’s proposals pr</w:t>
      </w:r>
      <w:r w:rsidRPr="00C24BCA">
        <w:t>o</w:t>
      </w:r>
      <w:r w:rsidRPr="00C24BCA">
        <w:t>vide your alternative proposal by answering the following question.</w:t>
      </w:r>
    </w:p>
    <w:p w:rsidR="00A8728B" w:rsidRDefault="00A8728B" w:rsidP="00A8728B">
      <w:r>
        <w:t>&lt;ESMA_QUESTION_MIFID_ADD_7&gt;</w:t>
      </w:r>
    </w:p>
    <w:p w:rsidR="00EB338D" w:rsidRPr="00C977A5" w:rsidRDefault="00EB338D" w:rsidP="00EB338D">
      <w:pPr>
        <w:rPr>
          <w:sz w:val="22"/>
          <w:szCs w:val="22"/>
        </w:rPr>
      </w:pPr>
      <w:permStart w:id="792088111" w:edGrp="everyone"/>
      <w:r w:rsidRPr="00C977A5">
        <w:rPr>
          <w:sz w:val="22"/>
          <w:szCs w:val="22"/>
        </w:rPr>
        <w:t>No comments.</w:t>
      </w:r>
    </w:p>
    <w:permEnd w:id="792088111"/>
    <w:p w:rsidR="00A8728B" w:rsidRDefault="00A8728B" w:rsidP="00A8728B">
      <w:r>
        <w:t>&lt;ESMA_QUESTION_MIFID_ADD_7&gt;</w:t>
      </w:r>
    </w:p>
    <w:p w:rsidR="00A8728B" w:rsidRPr="00C24BCA" w:rsidRDefault="00A8728B" w:rsidP="00A8728B">
      <w:pPr>
        <w:pStyle w:val="CPQuestions"/>
        <w:ind w:left="714" w:hanging="357"/>
      </w:pPr>
      <w:r w:rsidRPr="00C24BCA">
        <w:t>Please specify, for each class (defined as follows if you have stated your prefe</w:t>
      </w:r>
      <w:r w:rsidRPr="00C24BCA">
        <w:t>r</w:t>
      </w:r>
      <w:r w:rsidRPr="00C24BCA">
        <w:t>ence for Alternative A: freight derivatives, emissions derivatives, weather deriv</w:t>
      </w:r>
      <w:r w:rsidRPr="00C24BCA">
        <w:t>a</w:t>
      </w:r>
      <w:r w:rsidRPr="00C24BCA">
        <w:t>tives and other exotic derivatives. Defined as combination of underlying type and contract type if you have stated a preference for Alternative B: freight options, freight futures, freight forwards, etc.) if you agree on the following points providing reasons for your answer and, if you disagree, providing ESMA with your altern</w:t>
      </w:r>
      <w:r w:rsidRPr="00C24BCA">
        <w:t>a</w:t>
      </w:r>
      <w:r w:rsidRPr="00C24BCA">
        <w:t xml:space="preserve">tive proposal: </w:t>
      </w:r>
    </w:p>
    <w:p w:rsidR="00A8728B" w:rsidRPr="00C24BCA" w:rsidRDefault="00A8728B" w:rsidP="00566C6A">
      <w:pPr>
        <w:pStyle w:val="CPQuest2"/>
        <w:numPr>
          <w:ilvl w:val="0"/>
          <w:numId w:val="42"/>
        </w:numPr>
      </w:pPr>
      <w:r w:rsidRPr="00C24BCA">
        <w:t xml:space="preserve">deferral period set to 48 hours </w:t>
      </w:r>
    </w:p>
    <w:p w:rsidR="00A8728B" w:rsidRPr="00C24BCA" w:rsidRDefault="00A8728B" w:rsidP="00566C6A">
      <w:pPr>
        <w:pStyle w:val="CPQuest2"/>
      </w:pPr>
      <w:r w:rsidRPr="00C24BCA">
        <w:t xml:space="preserve">size specific to the instrument threshold set as 50% of the large in scale threshold </w:t>
      </w:r>
    </w:p>
    <w:p w:rsidR="00A8728B" w:rsidRPr="00C24BCA" w:rsidRDefault="00A8728B" w:rsidP="00566C6A">
      <w:pPr>
        <w:pStyle w:val="CPQuest2"/>
      </w:pPr>
      <w:r w:rsidRPr="00C24BCA">
        <w:t>volume measure used to set the large in scale and size specific to the instrument threshold as specified in Annex II, Table 3 of draft RTS 9</w:t>
      </w:r>
    </w:p>
    <w:p w:rsidR="00A8728B" w:rsidRPr="00C24BCA" w:rsidRDefault="00A8728B" w:rsidP="00566C6A">
      <w:pPr>
        <w:pStyle w:val="CPQuest2"/>
      </w:pPr>
      <w:r w:rsidRPr="00C24BCA">
        <w:t xml:space="preserve">pre-trade and post-trade thresholds set at the same size </w:t>
      </w:r>
    </w:p>
    <w:p w:rsidR="00A8728B" w:rsidRPr="00C24BCA" w:rsidRDefault="00A8728B" w:rsidP="00566C6A">
      <w:pPr>
        <w:pStyle w:val="CPQuest2"/>
      </w:pPr>
      <w:r w:rsidRPr="00C24BCA">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w:t>
      </w:r>
      <w:r w:rsidRPr="00C24BCA">
        <w:t>r</w:t>
      </w:r>
      <w:r w:rsidRPr="00C24BCA">
        <w:t>ence for a system with recalculation (i.e. option 2), provide feedback on the thresholds determined for 2017 and on the methodology to recalculate the thres</w:t>
      </w:r>
      <w:r w:rsidRPr="00C24BCA">
        <w:t>h</w:t>
      </w:r>
      <w:r w:rsidRPr="00C24BCA">
        <w:t>olds from 2018 onwards including the level of granularity of the classes on which the recalculations will be performed.</w:t>
      </w:r>
    </w:p>
    <w:p w:rsidR="00A8728B" w:rsidRDefault="00A8728B" w:rsidP="00A8728B">
      <w:r>
        <w:t>&lt;ESMA_QUESTION_MIFID_ADD_8&gt;</w:t>
      </w:r>
    </w:p>
    <w:p w:rsidR="00EB338D" w:rsidRPr="00EB338D" w:rsidRDefault="00EB338D" w:rsidP="00EB338D">
      <w:pPr>
        <w:rPr>
          <w:sz w:val="22"/>
          <w:szCs w:val="22"/>
        </w:rPr>
      </w:pPr>
      <w:permStart w:id="1563713731" w:edGrp="everyone"/>
      <w:r w:rsidRPr="00EB338D">
        <w:rPr>
          <w:sz w:val="22"/>
          <w:szCs w:val="22"/>
        </w:rPr>
        <w:t>No comments.</w:t>
      </w:r>
    </w:p>
    <w:permEnd w:id="1563713731"/>
    <w:p w:rsidR="00A8728B" w:rsidRDefault="00A8728B" w:rsidP="00A8728B">
      <w:r>
        <w:t>&lt;ESMA_QUESTION_MIFID_ADD_8&gt;</w:t>
      </w:r>
    </w:p>
    <w:p w:rsidR="00A8728B" w:rsidRDefault="00A8728B" w:rsidP="00A8728B">
      <w:pPr>
        <w:pStyle w:val="CPQuestions"/>
        <w:ind w:left="714" w:hanging="357"/>
      </w:pPr>
      <w:r>
        <w:t xml:space="preserve">Do you agree with the approach taken for </w:t>
      </w:r>
      <w:r w:rsidRPr="002D60BB">
        <w:t>shares</w:t>
      </w:r>
      <w:r>
        <w:t xml:space="preserve"> where any CFD based on a liquid share would be considered as having a liquid market? More specifically, please provide feedback on the following:</w:t>
      </w:r>
    </w:p>
    <w:p w:rsidR="00A8728B" w:rsidRDefault="00A8728B" w:rsidP="00566C6A">
      <w:pPr>
        <w:pStyle w:val="CPQuest2"/>
        <w:numPr>
          <w:ilvl w:val="0"/>
          <w:numId w:val="43"/>
        </w:numPr>
      </w:pPr>
      <w:r>
        <w:t>Would you prefer to follow a similar approach as that proposed in option 2 on l</w:t>
      </w:r>
      <w:r>
        <w:t>i</w:t>
      </w:r>
      <w:r>
        <w:t>quidity for equity derivatives (paragraph 90 page 132 of December CP), i.e. qualify all CFDs on equity as liquid irrespectively of the liquidity of the underlying?</w:t>
      </w:r>
    </w:p>
    <w:p w:rsidR="00A8728B" w:rsidRPr="00C24BCA" w:rsidRDefault="00A8728B" w:rsidP="00566C6A">
      <w:pPr>
        <w:pStyle w:val="CPQuest2"/>
      </w:pPr>
      <w:r>
        <w:t xml:space="preserve">Would you </w:t>
      </w:r>
      <w:r w:rsidRPr="00C24BCA">
        <w:t>have used different criteria to define the classes or sub-classes?</w:t>
      </w:r>
    </w:p>
    <w:p w:rsidR="00A8728B" w:rsidRPr="00C24BCA" w:rsidRDefault="00A8728B" w:rsidP="00566C6A">
      <w:pPr>
        <w:pStyle w:val="CPQuest2"/>
      </w:pPr>
      <w:r w:rsidRPr="00C24BCA">
        <w:t>Would you have used different parameters or the same parameters (i.e. average number of trades per day and average notional amount traded per day) but diffe</w:t>
      </w:r>
      <w:r w:rsidRPr="00C24BCA">
        <w:t>r</w:t>
      </w:r>
      <w:r w:rsidRPr="00C24BCA">
        <w:t>ent thresholds in order to define a sub-class as liquid?</w:t>
      </w:r>
    </w:p>
    <w:p w:rsidR="00A8728B" w:rsidRPr="00C24BCA" w:rsidRDefault="00A8728B" w:rsidP="00566C6A">
      <w:pPr>
        <w:pStyle w:val="CPQuest2"/>
      </w:pPr>
      <w:r w:rsidRPr="00C24BCA">
        <w:t xml:space="preserve">Would you support extending the approach taken for shares to other equity (ETFs, depositary receipts and certificates) and equity-like instruments? </w:t>
      </w:r>
    </w:p>
    <w:p w:rsidR="00A8728B" w:rsidRDefault="00A8728B" w:rsidP="00A8728B">
      <w:r>
        <w:t>&lt;ESMA_QUESTION_MIFID_ADD_9&gt;</w:t>
      </w:r>
    </w:p>
    <w:p w:rsidR="000E61A3" w:rsidRPr="00304DC8" w:rsidRDefault="000E61A3" w:rsidP="00861EC1">
      <w:pPr>
        <w:rPr>
          <w:rFonts w:eastAsia="Calibri"/>
          <w:sz w:val="22"/>
          <w:szCs w:val="22"/>
          <w:u w:val="single"/>
        </w:rPr>
      </w:pPr>
      <w:permStart w:id="1624201757" w:edGrp="everyone"/>
      <w:r w:rsidRPr="00304DC8">
        <w:rPr>
          <w:sz w:val="22"/>
          <w:szCs w:val="22"/>
          <w:u w:val="single"/>
        </w:rPr>
        <w:t xml:space="preserve">General comments: </w:t>
      </w:r>
    </w:p>
    <w:p w:rsidR="000E61A3" w:rsidRPr="00304DC8" w:rsidRDefault="000E61A3" w:rsidP="000E61A3">
      <w:pPr>
        <w:rPr>
          <w:sz w:val="22"/>
          <w:szCs w:val="22"/>
        </w:rPr>
      </w:pPr>
      <w:r w:rsidRPr="00304DC8">
        <w:rPr>
          <w:sz w:val="22"/>
          <w:szCs w:val="22"/>
        </w:rPr>
        <w:t>For a large number of classes and sub-classes of derivatives covered by the Addendum Consu</w:t>
      </w:r>
      <w:r w:rsidRPr="00304DC8">
        <w:rPr>
          <w:sz w:val="22"/>
          <w:szCs w:val="22"/>
        </w:rPr>
        <w:t>l</w:t>
      </w:r>
      <w:r w:rsidRPr="00304DC8">
        <w:rPr>
          <w:sz w:val="22"/>
          <w:szCs w:val="22"/>
        </w:rPr>
        <w:t xml:space="preserve">tation Paper, ESMA’s approach implies that instruments with a very low trading activity will be classified as liquid. In the opinion of NSA, this is not acceptable. Our </w:t>
      </w:r>
      <w:r w:rsidRPr="00304DC8">
        <w:rPr>
          <w:rFonts w:cstheme="minorHAnsi"/>
          <w:sz w:val="22"/>
          <w:szCs w:val="22"/>
        </w:rPr>
        <w:t xml:space="preserve">main concern is that these (in fact) illiquid products, when classified as having a liquid market, will become subject to more stringent transparency requirements and SI obligations under </w:t>
      </w:r>
      <w:proofErr w:type="spellStart"/>
      <w:r w:rsidRPr="00304DC8">
        <w:rPr>
          <w:rFonts w:cstheme="minorHAnsi"/>
          <w:sz w:val="22"/>
          <w:szCs w:val="22"/>
        </w:rPr>
        <w:t>MiFIR</w:t>
      </w:r>
      <w:proofErr w:type="spellEnd"/>
      <w:r w:rsidRPr="00304DC8">
        <w:rPr>
          <w:rFonts w:cstheme="minorHAnsi"/>
          <w:sz w:val="22"/>
          <w:szCs w:val="22"/>
        </w:rPr>
        <w:t xml:space="preserve">. </w:t>
      </w:r>
      <w:r w:rsidR="00C0501E" w:rsidRPr="00304DC8">
        <w:rPr>
          <w:rFonts w:cstheme="minorHAnsi"/>
          <w:sz w:val="22"/>
          <w:szCs w:val="22"/>
        </w:rPr>
        <w:t>The</w:t>
      </w:r>
      <w:r w:rsidR="00363CE2">
        <w:rPr>
          <w:rFonts w:cstheme="minorHAnsi"/>
          <w:sz w:val="22"/>
          <w:szCs w:val="22"/>
        </w:rPr>
        <w:t>se</w:t>
      </w:r>
      <w:r w:rsidR="00C0501E" w:rsidRPr="00304DC8">
        <w:rPr>
          <w:rFonts w:cstheme="minorHAnsi"/>
          <w:sz w:val="22"/>
          <w:szCs w:val="22"/>
        </w:rPr>
        <w:t xml:space="preserve"> </w:t>
      </w:r>
      <w:r w:rsidRPr="00304DC8">
        <w:rPr>
          <w:rFonts w:cstheme="minorHAnsi"/>
          <w:sz w:val="22"/>
          <w:szCs w:val="22"/>
        </w:rPr>
        <w:t>regulatory requir</w:t>
      </w:r>
      <w:r w:rsidRPr="00304DC8">
        <w:rPr>
          <w:rFonts w:cstheme="minorHAnsi"/>
          <w:sz w:val="22"/>
          <w:szCs w:val="22"/>
        </w:rPr>
        <w:t>e</w:t>
      </w:r>
      <w:r w:rsidRPr="00304DC8">
        <w:rPr>
          <w:rFonts w:cstheme="minorHAnsi"/>
          <w:sz w:val="22"/>
          <w:szCs w:val="22"/>
        </w:rPr>
        <w:t xml:space="preserve">ments will increase the risks of market makers/SIs which will then become less willing to provide </w:t>
      </w:r>
      <w:r w:rsidR="002C3167" w:rsidRPr="00304DC8">
        <w:rPr>
          <w:rFonts w:cstheme="minorHAnsi"/>
          <w:sz w:val="22"/>
          <w:szCs w:val="22"/>
        </w:rPr>
        <w:t xml:space="preserve">prices </w:t>
      </w:r>
      <w:r w:rsidRPr="00304DC8">
        <w:rPr>
          <w:rFonts w:cstheme="minorHAnsi"/>
          <w:sz w:val="22"/>
          <w:szCs w:val="22"/>
        </w:rPr>
        <w:t xml:space="preserve">to the markets. This will in turn </w:t>
      </w:r>
      <w:r w:rsidRPr="00304DC8">
        <w:rPr>
          <w:sz w:val="22"/>
          <w:szCs w:val="22"/>
        </w:rPr>
        <w:t xml:space="preserve">lead to a decrease in the offering of these already rarely traded contracts and to an increase in </w:t>
      </w:r>
      <w:r w:rsidR="002C3167" w:rsidRPr="00304DC8">
        <w:rPr>
          <w:sz w:val="22"/>
          <w:szCs w:val="22"/>
        </w:rPr>
        <w:t>transaction costs</w:t>
      </w:r>
      <w:r w:rsidRPr="00304DC8">
        <w:rPr>
          <w:sz w:val="22"/>
          <w:szCs w:val="22"/>
        </w:rPr>
        <w:t xml:space="preserve">. </w:t>
      </w:r>
    </w:p>
    <w:p w:rsidR="000E61A3" w:rsidRPr="00304DC8" w:rsidRDefault="000E61A3" w:rsidP="000E61A3">
      <w:pPr>
        <w:rPr>
          <w:sz w:val="22"/>
          <w:szCs w:val="22"/>
        </w:rPr>
      </w:pPr>
    </w:p>
    <w:p w:rsidR="000E61A3" w:rsidRPr="00304DC8" w:rsidRDefault="000E61A3" w:rsidP="000E61A3">
      <w:pPr>
        <w:rPr>
          <w:sz w:val="22"/>
          <w:szCs w:val="22"/>
        </w:rPr>
      </w:pPr>
      <w:r w:rsidRPr="00304DC8">
        <w:rPr>
          <w:sz w:val="22"/>
          <w:szCs w:val="22"/>
        </w:rPr>
        <w:t>It should be noted that derivatives serve an important role in allowing co</w:t>
      </w:r>
      <w:r w:rsidR="002C3167" w:rsidRPr="00304DC8">
        <w:rPr>
          <w:sz w:val="22"/>
          <w:szCs w:val="22"/>
        </w:rPr>
        <w:t xml:space="preserve">rporates </w:t>
      </w:r>
      <w:r w:rsidRPr="00304DC8">
        <w:rPr>
          <w:sz w:val="22"/>
          <w:szCs w:val="22"/>
        </w:rPr>
        <w:t xml:space="preserve">to manage risks arising from their commercial activities. If a product type is made too expensive for the end user, the end user may </w:t>
      </w:r>
      <w:r w:rsidR="00C0501E" w:rsidRPr="00304DC8">
        <w:rPr>
          <w:sz w:val="22"/>
          <w:szCs w:val="22"/>
        </w:rPr>
        <w:t xml:space="preserve">refrain </w:t>
      </w:r>
      <w:r w:rsidRPr="00304DC8">
        <w:rPr>
          <w:sz w:val="22"/>
          <w:szCs w:val="22"/>
        </w:rPr>
        <w:t>from doing any hedging (at all), or if they cannot find the product that meets their specific needs they may use a less suitable product that leaves certain risks un-hedged (i.e. basis risk), or end users find it takes longer and is more difficult to fulfil their needs (i.e. execution risk). At an overall economic level this would increase systemic vulnerability as hedging levels could generally decrease and risks remain in the real economy. In order to avoid these adverse effects on EU-markets, NSA urges ESMA to take a cautious approach and e</w:t>
      </w:r>
      <w:r w:rsidRPr="00304DC8">
        <w:rPr>
          <w:sz w:val="22"/>
          <w:szCs w:val="22"/>
        </w:rPr>
        <w:t>n</w:t>
      </w:r>
      <w:r w:rsidRPr="00304DC8">
        <w:rPr>
          <w:sz w:val="22"/>
          <w:szCs w:val="22"/>
        </w:rPr>
        <w:t>sure that the liquidity criteria used for classifying derivatives as having a liquid market only ca</w:t>
      </w:r>
      <w:r w:rsidRPr="00304DC8">
        <w:rPr>
          <w:sz w:val="22"/>
          <w:szCs w:val="22"/>
        </w:rPr>
        <w:t>p</w:t>
      </w:r>
      <w:r w:rsidRPr="00304DC8">
        <w:rPr>
          <w:sz w:val="22"/>
          <w:szCs w:val="22"/>
        </w:rPr>
        <w:t xml:space="preserve">tures truly liquid instrument. For instance, bespoke OTC derivatives used for hedging purposes should never be considered as having a liquid market. </w:t>
      </w:r>
    </w:p>
    <w:p w:rsidR="000E61A3" w:rsidRPr="00304DC8" w:rsidRDefault="000E61A3" w:rsidP="000E61A3">
      <w:pPr>
        <w:rPr>
          <w:sz w:val="22"/>
          <w:szCs w:val="22"/>
        </w:rPr>
      </w:pPr>
    </w:p>
    <w:p w:rsidR="000E61A3" w:rsidRPr="00304DC8" w:rsidRDefault="00AF385F" w:rsidP="00861EC1">
      <w:pPr>
        <w:rPr>
          <w:sz w:val="22"/>
          <w:szCs w:val="22"/>
        </w:rPr>
      </w:pPr>
      <w:r w:rsidRPr="00304DC8">
        <w:rPr>
          <w:sz w:val="22"/>
          <w:szCs w:val="22"/>
        </w:rPr>
        <w:t>ESMA’s l</w:t>
      </w:r>
      <w:r w:rsidR="000E61A3" w:rsidRPr="00304DC8">
        <w:rPr>
          <w:sz w:val="22"/>
          <w:szCs w:val="22"/>
        </w:rPr>
        <w:t>iquidity analysis of derivatives classes is massive. Hundreds of different sub-</w:t>
      </w:r>
      <w:r w:rsidR="00E34C0B" w:rsidRPr="00304DC8">
        <w:rPr>
          <w:sz w:val="22"/>
          <w:szCs w:val="22"/>
        </w:rPr>
        <w:t>classes have already been analys</w:t>
      </w:r>
      <w:r w:rsidR="000E61A3" w:rsidRPr="00304DC8">
        <w:rPr>
          <w:sz w:val="22"/>
          <w:szCs w:val="22"/>
        </w:rPr>
        <w:t>ed and label</w:t>
      </w:r>
      <w:r w:rsidR="00E34C0B" w:rsidRPr="00304DC8">
        <w:rPr>
          <w:sz w:val="22"/>
          <w:szCs w:val="22"/>
        </w:rPr>
        <w:t>l</w:t>
      </w:r>
      <w:r w:rsidR="000E61A3" w:rsidRPr="00304DC8">
        <w:rPr>
          <w:sz w:val="22"/>
          <w:szCs w:val="22"/>
        </w:rPr>
        <w:t>ed as liquid or illiquid. However, the analysis is based on very generic criteria that fail to take into account many crucial elements of derivatives contracts. At least maturity, amortization and notional amount would have to be considered thoroughly. There are also concerns on the quality of the data. As a result, many sub-classes that are l</w:t>
      </w:r>
      <w:r w:rsidR="000E61A3" w:rsidRPr="00304DC8">
        <w:rPr>
          <w:sz w:val="22"/>
          <w:szCs w:val="22"/>
        </w:rPr>
        <w:t>a</w:t>
      </w:r>
      <w:r w:rsidR="000E61A3" w:rsidRPr="00304DC8">
        <w:rPr>
          <w:sz w:val="22"/>
          <w:szCs w:val="22"/>
        </w:rPr>
        <w:t>bel</w:t>
      </w:r>
      <w:r w:rsidR="00E34C0B" w:rsidRPr="00304DC8">
        <w:rPr>
          <w:sz w:val="22"/>
          <w:szCs w:val="22"/>
        </w:rPr>
        <w:t>l</w:t>
      </w:r>
      <w:r w:rsidR="000E61A3" w:rsidRPr="00304DC8">
        <w:rPr>
          <w:sz w:val="22"/>
          <w:szCs w:val="22"/>
        </w:rPr>
        <w:t>ed liquid are not in practice liquid at all. It should also be noticed that the mapping of such huge amounts of listed contracts into systems will be very time-consuming and hence may lead to increased hedging costs. In many cases it is likely that this will have to be done manually which in turn might increase the probability of mistakes in the mapping process.  </w:t>
      </w:r>
    </w:p>
    <w:p w:rsidR="000E61A3" w:rsidRPr="00304DC8" w:rsidRDefault="000E61A3" w:rsidP="00861EC1">
      <w:pPr>
        <w:rPr>
          <w:sz w:val="22"/>
          <w:szCs w:val="22"/>
        </w:rPr>
      </w:pPr>
    </w:p>
    <w:p w:rsidR="009F0AFE" w:rsidRPr="00304DC8" w:rsidRDefault="009A7F66" w:rsidP="009F0AFE">
      <w:pPr>
        <w:rPr>
          <w:sz w:val="22"/>
          <w:szCs w:val="22"/>
        </w:rPr>
      </w:pPr>
      <w:r w:rsidRPr="00304DC8">
        <w:rPr>
          <w:sz w:val="22"/>
          <w:szCs w:val="22"/>
        </w:rPr>
        <w:t>The NSA agrees with ESMA that there are major quality issues related to the data acquired from trade repositories</w:t>
      </w:r>
      <w:r w:rsidR="006B301B">
        <w:rPr>
          <w:sz w:val="22"/>
          <w:szCs w:val="22"/>
        </w:rPr>
        <w:t xml:space="preserve"> (TR)</w:t>
      </w:r>
      <w:r w:rsidRPr="00304DC8">
        <w:rPr>
          <w:sz w:val="22"/>
          <w:szCs w:val="22"/>
        </w:rPr>
        <w:t xml:space="preserve">. </w:t>
      </w:r>
      <w:r w:rsidR="009F0AFE" w:rsidRPr="00304DC8">
        <w:rPr>
          <w:sz w:val="22"/>
          <w:szCs w:val="22"/>
        </w:rPr>
        <w:t>Especially the fact that there is incorrect or inconsistent reporting of some of the data fields is very concerning as this data forms the buil</w:t>
      </w:r>
      <w:r w:rsidR="009F0AFE" w:rsidRPr="00304DC8">
        <w:rPr>
          <w:sz w:val="22"/>
          <w:szCs w:val="22"/>
        </w:rPr>
        <w:t>d</w:t>
      </w:r>
      <w:r w:rsidR="009F0AFE" w:rsidRPr="00304DC8">
        <w:rPr>
          <w:sz w:val="22"/>
          <w:szCs w:val="22"/>
        </w:rPr>
        <w:t>ing blocks for defining liquidity and calculating LIS and SSTI thresholds. We therefore take the view that the data pr</w:t>
      </w:r>
      <w:r w:rsidR="009F0AFE" w:rsidRPr="00304DC8">
        <w:rPr>
          <w:sz w:val="22"/>
          <w:szCs w:val="22"/>
        </w:rPr>
        <w:t>e</w:t>
      </w:r>
      <w:r w:rsidR="009F0AFE" w:rsidRPr="00304DC8">
        <w:rPr>
          <w:sz w:val="22"/>
          <w:szCs w:val="22"/>
        </w:rPr>
        <w:t>sented in the Addendum Consultation Paper is not acceptable as the sole basis for EU regul</w:t>
      </w:r>
      <w:r w:rsidR="009F0AFE" w:rsidRPr="00304DC8">
        <w:rPr>
          <w:sz w:val="22"/>
          <w:szCs w:val="22"/>
        </w:rPr>
        <w:t>a</w:t>
      </w:r>
      <w:r w:rsidR="009F0AFE" w:rsidRPr="00304DC8">
        <w:rPr>
          <w:sz w:val="22"/>
          <w:szCs w:val="22"/>
        </w:rPr>
        <w:t xml:space="preserve">tion in this area. The analysis must be and should be supplemented with </w:t>
      </w:r>
      <w:r w:rsidR="009F0AFE" w:rsidRPr="00304DC8">
        <w:rPr>
          <w:sz w:val="22"/>
          <w:szCs w:val="22"/>
          <w:u w:val="single"/>
        </w:rPr>
        <w:t>views from experts</w:t>
      </w:r>
      <w:r w:rsidR="009F0AFE" w:rsidRPr="00304DC8">
        <w:rPr>
          <w:sz w:val="22"/>
          <w:szCs w:val="22"/>
        </w:rPr>
        <w:t xml:space="preserve"> that are capable to assess whether the definition of liquidity and the calcul</w:t>
      </w:r>
      <w:r w:rsidR="009F0AFE" w:rsidRPr="00304DC8">
        <w:rPr>
          <w:sz w:val="22"/>
          <w:szCs w:val="22"/>
        </w:rPr>
        <w:t>a</w:t>
      </w:r>
      <w:r w:rsidR="009F0AFE" w:rsidRPr="00304DC8">
        <w:rPr>
          <w:sz w:val="22"/>
          <w:szCs w:val="22"/>
        </w:rPr>
        <w:t>tions of LIS and SSTI are correct when looking at the market for the different asset- and su</w:t>
      </w:r>
      <w:r w:rsidR="009F0AFE" w:rsidRPr="00304DC8">
        <w:rPr>
          <w:sz w:val="22"/>
          <w:szCs w:val="22"/>
        </w:rPr>
        <w:t>b</w:t>
      </w:r>
      <w:r w:rsidR="009F0AFE" w:rsidRPr="00304DC8">
        <w:rPr>
          <w:sz w:val="22"/>
          <w:szCs w:val="22"/>
        </w:rPr>
        <w:t>classes. Having expert views will improve the overall quality and ensure a more correct definition of liquidity and more acc</w:t>
      </w:r>
      <w:r w:rsidR="009F0AFE" w:rsidRPr="00304DC8">
        <w:rPr>
          <w:sz w:val="22"/>
          <w:szCs w:val="22"/>
        </w:rPr>
        <w:t>u</w:t>
      </w:r>
      <w:r w:rsidR="009F0AFE" w:rsidRPr="00304DC8">
        <w:rPr>
          <w:sz w:val="22"/>
          <w:szCs w:val="22"/>
        </w:rPr>
        <w:t>rate determin</w:t>
      </w:r>
      <w:r w:rsidR="009F0AFE" w:rsidRPr="00304DC8">
        <w:rPr>
          <w:sz w:val="22"/>
          <w:szCs w:val="22"/>
        </w:rPr>
        <w:t>a</w:t>
      </w:r>
      <w:r w:rsidR="009F0AFE" w:rsidRPr="00304DC8">
        <w:rPr>
          <w:sz w:val="22"/>
          <w:szCs w:val="22"/>
        </w:rPr>
        <w:t xml:space="preserve">tion of LIS and SSTI.  </w:t>
      </w:r>
    </w:p>
    <w:p w:rsidR="000E61A3" w:rsidRPr="00304DC8" w:rsidRDefault="000E61A3" w:rsidP="000E61A3">
      <w:pPr>
        <w:rPr>
          <w:sz w:val="22"/>
          <w:szCs w:val="22"/>
        </w:rPr>
      </w:pPr>
    </w:p>
    <w:p w:rsidR="000E61A3" w:rsidRPr="00304DC8" w:rsidRDefault="000E61A3" w:rsidP="000E61A3">
      <w:pPr>
        <w:rPr>
          <w:sz w:val="22"/>
          <w:szCs w:val="22"/>
        </w:rPr>
      </w:pPr>
      <w:r w:rsidRPr="00304DC8">
        <w:rPr>
          <w:sz w:val="22"/>
          <w:szCs w:val="22"/>
        </w:rPr>
        <w:t xml:space="preserve">The NSA also supports introducing the new transparency rules by a </w:t>
      </w:r>
      <w:r w:rsidRPr="00304DC8">
        <w:rPr>
          <w:sz w:val="22"/>
          <w:szCs w:val="22"/>
          <w:u w:val="single"/>
        </w:rPr>
        <w:t xml:space="preserve">stepwise approach </w:t>
      </w:r>
      <w:r w:rsidRPr="00304DC8">
        <w:rPr>
          <w:sz w:val="22"/>
          <w:szCs w:val="22"/>
        </w:rPr>
        <w:t xml:space="preserve">(rather than a “big bang”), carefully investigating the impact of each step before introducing the next step. In this respect, a stepwise approach would mean that ESMA should </w:t>
      </w:r>
      <w:r w:rsidRPr="00304DC8">
        <w:rPr>
          <w:sz w:val="22"/>
          <w:szCs w:val="22"/>
          <w:u w:val="single"/>
        </w:rPr>
        <w:t>only consider as liquid a few of the most liquid derivative subclasses.</w:t>
      </w:r>
    </w:p>
    <w:p w:rsidR="000E61A3" w:rsidRPr="00304DC8" w:rsidRDefault="000E61A3" w:rsidP="00861EC1">
      <w:pPr>
        <w:rPr>
          <w:sz w:val="22"/>
          <w:szCs w:val="22"/>
        </w:rPr>
      </w:pPr>
    </w:p>
    <w:p w:rsidR="000E61A3" w:rsidRPr="00304DC8" w:rsidRDefault="000E61A3" w:rsidP="00861EC1">
      <w:pPr>
        <w:rPr>
          <w:sz w:val="22"/>
          <w:szCs w:val="22"/>
        </w:rPr>
      </w:pPr>
      <w:r w:rsidRPr="00304DC8">
        <w:rPr>
          <w:sz w:val="22"/>
          <w:szCs w:val="22"/>
        </w:rPr>
        <w:t xml:space="preserve">The NSA generally takes the view that ESMA’s model for assessing liquidity is too static. The proposal by NSA is to </w:t>
      </w:r>
      <w:r w:rsidRPr="00304DC8">
        <w:rPr>
          <w:sz w:val="22"/>
          <w:szCs w:val="22"/>
          <w:u w:val="single"/>
        </w:rPr>
        <w:t>recalibrate within 6 months and thereafter on a yearly basis</w:t>
      </w:r>
      <w:r w:rsidRPr="00304DC8">
        <w:rPr>
          <w:sz w:val="22"/>
          <w:szCs w:val="22"/>
        </w:rPr>
        <w:t>. It is absolut</w:t>
      </w:r>
      <w:r w:rsidRPr="00304DC8">
        <w:rPr>
          <w:sz w:val="22"/>
          <w:szCs w:val="22"/>
        </w:rPr>
        <w:t>e</w:t>
      </w:r>
      <w:r w:rsidRPr="00304DC8">
        <w:rPr>
          <w:sz w:val="22"/>
          <w:szCs w:val="22"/>
        </w:rPr>
        <w:t xml:space="preserve">ly crucial that any recalibration takes </w:t>
      </w:r>
      <w:r w:rsidRPr="00304DC8">
        <w:rPr>
          <w:sz w:val="22"/>
          <w:szCs w:val="22"/>
          <w:u w:val="single"/>
        </w:rPr>
        <w:t>Ex-Post Effects</w:t>
      </w:r>
      <w:r w:rsidRPr="00304DC8">
        <w:rPr>
          <w:sz w:val="22"/>
          <w:szCs w:val="22"/>
        </w:rPr>
        <w:t xml:space="preserve"> into account, i.e. i.e. the impact that the introduction of the new EU transparency regime will have on the liquidity of the instruments. Such Ex-Post Effects need to be based on </w:t>
      </w:r>
      <w:r w:rsidRPr="00304DC8">
        <w:rPr>
          <w:sz w:val="22"/>
          <w:szCs w:val="22"/>
          <w:u w:val="single"/>
        </w:rPr>
        <w:t>expert judgement</w:t>
      </w:r>
      <w:r w:rsidRPr="00304DC8">
        <w:rPr>
          <w:sz w:val="22"/>
          <w:szCs w:val="22"/>
        </w:rPr>
        <w:t>.</w:t>
      </w:r>
    </w:p>
    <w:p w:rsidR="000E61A3" w:rsidRPr="00304DC8" w:rsidRDefault="000E61A3" w:rsidP="00A8728B">
      <w:pPr>
        <w:rPr>
          <w:sz w:val="22"/>
          <w:szCs w:val="22"/>
        </w:rPr>
      </w:pPr>
    </w:p>
    <w:p w:rsidR="001F6E19" w:rsidRPr="00304DC8" w:rsidRDefault="001F6E19" w:rsidP="00A8728B">
      <w:pPr>
        <w:rPr>
          <w:sz w:val="22"/>
          <w:szCs w:val="22"/>
          <w:u w:val="single"/>
        </w:rPr>
      </w:pPr>
      <w:r w:rsidRPr="00304DC8">
        <w:rPr>
          <w:sz w:val="22"/>
          <w:szCs w:val="22"/>
          <w:u w:val="single"/>
        </w:rPr>
        <w:t>Questions:</w:t>
      </w:r>
    </w:p>
    <w:p w:rsidR="00745C75" w:rsidRPr="00304DC8" w:rsidRDefault="00745C75" w:rsidP="00745C75">
      <w:pPr>
        <w:rPr>
          <w:b/>
          <w:sz w:val="22"/>
          <w:szCs w:val="22"/>
        </w:rPr>
      </w:pPr>
      <w:r w:rsidRPr="00304DC8">
        <w:rPr>
          <w:b/>
          <w:sz w:val="22"/>
          <w:szCs w:val="22"/>
        </w:rPr>
        <w:t xml:space="preserve">Question 9 (1) </w:t>
      </w:r>
    </w:p>
    <w:p w:rsidR="002C378B" w:rsidRPr="00304DC8" w:rsidRDefault="00A93E76" w:rsidP="00745C75">
      <w:pPr>
        <w:rPr>
          <w:sz w:val="22"/>
          <w:szCs w:val="22"/>
        </w:rPr>
      </w:pPr>
      <w:r w:rsidRPr="00304DC8">
        <w:rPr>
          <w:sz w:val="22"/>
          <w:szCs w:val="22"/>
        </w:rPr>
        <w:t>The NSA a</w:t>
      </w:r>
      <w:r w:rsidR="001C6027" w:rsidRPr="00304DC8">
        <w:rPr>
          <w:sz w:val="22"/>
          <w:szCs w:val="22"/>
        </w:rPr>
        <w:t>gree</w:t>
      </w:r>
      <w:r w:rsidRPr="00304DC8">
        <w:rPr>
          <w:sz w:val="22"/>
          <w:szCs w:val="22"/>
        </w:rPr>
        <w:t>s</w:t>
      </w:r>
      <w:r w:rsidR="001C6027" w:rsidRPr="00304DC8">
        <w:rPr>
          <w:sz w:val="22"/>
          <w:szCs w:val="22"/>
        </w:rPr>
        <w:t xml:space="preserve"> to the a</w:t>
      </w:r>
      <w:r w:rsidR="00F77393" w:rsidRPr="00304DC8">
        <w:rPr>
          <w:sz w:val="22"/>
          <w:szCs w:val="22"/>
        </w:rPr>
        <w:t xml:space="preserve">pproach </w:t>
      </w:r>
      <w:r w:rsidR="002B219D" w:rsidRPr="00304DC8">
        <w:rPr>
          <w:sz w:val="22"/>
          <w:szCs w:val="22"/>
        </w:rPr>
        <w:t xml:space="preserve">that </w:t>
      </w:r>
      <w:r w:rsidR="00F77393" w:rsidRPr="00304DC8">
        <w:rPr>
          <w:sz w:val="22"/>
          <w:szCs w:val="22"/>
        </w:rPr>
        <w:t xml:space="preserve">CFDs based on </w:t>
      </w:r>
      <w:r w:rsidR="001C6027" w:rsidRPr="00304DC8">
        <w:rPr>
          <w:sz w:val="22"/>
          <w:szCs w:val="22"/>
        </w:rPr>
        <w:t>liquid share</w:t>
      </w:r>
      <w:r w:rsidR="00F07D95" w:rsidRPr="00304DC8">
        <w:rPr>
          <w:sz w:val="22"/>
          <w:szCs w:val="22"/>
        </w:rPr>
        <w:t xml:space="preserve">s according to MiFID </w:t>
      </w:r>
      <w:r w:rsidR="002B219D" w:rsidRPr="00304DC8">
        <w:rPr>
          <w:sz w:val="22"/>
          <w:szCs w:val="22"/>
        </w:rPr>
        <w:t xml:space="preserve">should be </w:t>
      </w:r>
      <w:r w:rsidR="001C6027" w:rsidRPr="00304DC8">
        <w:rPr>
          <w:sz w:val="22"/>
          <w:szCs w:val="22"/>
        </w:rPr>
        <w:t>considered as having a</w:t>
      </w:r>
      <w:r w:rsidR="002B219D" w:rsidRPr="00304DC8">
        <w:rPr>
          <w:sz w:val="22"/>
          <w:szCs w:val="22"/>
        </w:rPr>
        <w:t xml:space="preserve"> liquid market but only </w:t>
      </w:r>
      <w:r w:rsidR="002B219D" w:rsidRPr="00304DC8">
        <w:rPr>
          <w:sz w:val="22"/>
          <w:szCs w:val="22"/>
          <w:u w:val="single"/>
        </w:rPr>
        <w:t>provided that</w:t>
      </w:r>
      <w:r w:rsidR="002B219D" w:rsidRPr="00304DC8">
        <w:rPr>
          <w:sz w:val="22"/>
          <w:szCs w:val="22"/>
        </w:rPr>
        <w:t xml:space="preserve"> such </w:t>
      </w:r>
      <w:r w:rsidR="001C6027" w:rsidRPr="00304DC8">
        <w:rPr>
          <w:sz w:val="22"/>
          <w:szCs w:val="22"/>
        </w:rPr>
        <w:t>shares are truly liquid and not “false positives”.</w:t>
      </w:r>
      <w:r w:rsidR="000D4A45" w:rsidRPr="00304DC8">
        <w:rPr>
          <w:sz w:val="22"/>
          <w:szCs w:val="22"/>
        </w:rPr>
        <w:t xml:space="preserve"> </w:t>
      </w:r>
    </w:p>
    <w:p w:rsidR="002C378B" w:rsidRPr="00304DC8" w:rsidRDefault="002C378B" w:rsidP="00745C75">
      <w:pPr>
        <w:rPr>
          <w:sz w:val="22"/>
          <w:szCs w:val="22"/>
        </w:rPr>
      </w:pPr>
    </w:p>
    <w:p w:rsidR="000D4A45" w:rsidRPr="00304DC8" w:rsidRDefault="002B007D" w:rsidP="00745C75">
      <w:pPr>
        <w:rPr>
          <w:sz w:val="22"/>
          <w:szCs w:val="22"/>
        </w:rPr>
      </w:pPr>
      <w:r w:rsidRPr="00304DC8">
        <w:rPr>
          <w:sz w:val="22"/>
          <w:szCs w:val="22"/>
        </w:rPr>
        <w:t>We d</w:t>
      </w:r>
      <w:r w:rsidR="002C378B" w:rsidRPr="00304DC8">
        <w:rPr>
          <w:sz w:val="22"/>
          <w:szCs w:val="22"/>
        </w:rPr>
        <w:t xml:space="preserve">o </w:t>
      </w:r>
      <w:r w:rsidR="002C378B" w:rsidRPr="00304DC8">
        <w:rPr>
          <w:sz w:val="22"/>
          <w:szCs w:val="22"/>
          <w:u w:val="single"/>
        </w:rPr>
        <w:t>not</w:t>
      </w:r>
      <w:r w:rsidR="002C378B" w:rsidRPr="00304DC8">
        <w:rPr>
          <w:sz w:val="22"/>
          <w:szCs w:val="22"/>
        </w:rPr>
        <w:t xml:space="preserve"> </w:t>
      </w:r>
      <w:r w:rsidR="004F53F0" w:rsidRPr="00304DC8">
        <w:rPr>
          <w:sz w:val="22"/>
          <w:szCs w:val="22"/>
        </w:rPr>
        <w:t xml:space="preserve">support </w:t>
      </w:r>
      <w:r w:rsidR="002C378B" w:rsidRPr="00304DC8">
        <w:rPr>
          <w:sz w:val="22"/>
          <w:szCs w:val="22"/>
        </w:rPr>
        <w:t>an approach where all CFD on equity is declared liquid irrespectively of the liquidity of the underlying.</w:t>
      </w:r>
    </w:p>
    <w:p w:rsidR="000D4A45" w:rsidRPr="00304DC8" w:rsidRDefault="000D4A45" w:rsidP="00745C75">
      <w:pPr>
        <w:rPr>
          <w:sz w:val="22"/>
          <w:szCs w:val="22"/>
        </w:rPr>
      </w:pPr>
    </w:p>
    <w:p w:rsidR="00745C75" w:rsidRPr="00304DC8" w:rsidRDefault="00745C75" w:rsidP="00745C75">
      <w:pPr>
        <w:rPr>
          <w:b/>
          <w:sz w:val="22"/>
          <w:szCs w:val="22"/>
        </w:rPr>
      </w:pPr>
      <w:r w:rsidRPr="00304DC8">
        <w:rPr>
          <w:b/>
          <w:sz w:val="22"/>
          <w:szCs w:val="22"/>
        </w:rPr>
        <w:t>Question 9 (2)</w:t>
      </w:r>
    </w:p>
    <w:p w:rsidR="00AB4DDE" w:rsidRPr="00304DC8" w:rsidRDefault="00AB4DDE" w:rsidP="00AB4DDE">
      <w:pPr>
        <w:rPr>
          <w:sz w:val="22"/>
          <w:szCs w:val="22"/>
        </w:rPr>
      </w:pPr>
      <w:r w:rsidRPr="00304DC8">
        <w:rPr>
          <w:sz w:val="22"/>
          <w:szCs w:val="22"/>
        </w:rPr>
        <w:t xml:space="preserve">No. </w:t>
      </w:r>
    </w:p>
    <w:p w:rsidR="00F77393" w:rsidRPr="00304DC8" w:rsidRDefault="00F77393" w:rsidP="00224947">
      <w:pPr>
        <w:rPr>
          <w:sz w:val="22"/>
          <w:szCs w:val="22"/>
        </w:rPr>
      </w:pPr>
    </w:p>
    <w:p w:rsidR="00745C75" w:rsidRPr="00304DC8" w:rsidRDefault="00745C75" w:rsidP="00745C75">
      <w:pPr>
        <w:rPr>
          <w:b/>
          <w:sz w:val="22"/>
          <w:szCs w:val="22"/>
        </w:rPr>
      </w:pPr>
      <w:r w:rsidRPr="00304DC8">
        <w:rPr>
          <w:b/>
          <w:sz w:val="22"/>
          <w:szCs w:val="22"/>
        </w:rPr>
        <w:t xml:space="preserve">Question 9 (3) </w:t>
      </w:r>
    </w:p>
    <w:p w:rsidR="00AB4DDE" w:rsidRPr="00304DC8" w:rsidRDefault="00A93E76" w:rsidP="00AB4DDE">
      <w:pPr>
        <w:rPr>
          <w:sz w:val="22"/>
          <w:szCs w:val="22"/>
        </w:rPr>
      </w:pPr>
      <w:r w:rsidRPr="00304DC8">
        <w:rPr>
          <w:sz w:val="22"/>
          <w:szCs w:val="22"/>
        </w:rPr>
        <w:t>T</w:t>
      </w:r>
      <w:r w:rsidR="004F53F0" w:rsidRPr="00304DC8">
        <w:rPr>
          <w:sz w:val="22"/>
          <w:szCs w:val="22"/>
        </w:rPr>
        <w:t xml:space="preserve">he parameters are </w:t>
      </w:r>
      <w:r w:rsidR="00793A15" w:rsidRPr="00304DC8">
        <w:rPr>
          <w:sz w:val="22"/>
          <w:szCs w:val="22"/>
        </w:rPr>
        <w:t xml:space="preserve">acceptable </w:t>
      </w:r>
      <w:r w:rsidR="002B007D" w:rsidRPr="00304DC8">
        <w:rPr>
          <w:sz w:val="22"/>
          <w:szCs w:val="22"/>
        </w:rPr>
        <w:t>per se</w:t>
      </w:r>
      <w:r w:rsidR="00793A15" w:rsidRPr="00304DC8">
        <w:rPr>
          <w:sz w:val="22"/>
          <w:szCs w:val="22"/>
        </w:rPr>
        <w:t xml:space="preserve"> and a t</w:t>
      </w:r>
      <w:r w:rsidR="002B219D" w:rsidRPr="00304DC8">
        <w:rPr>
          <w:sz w:val="22"/>
          <w:szCs w:val="22"/>
        </w:rPr>
        <w:t>hreshold</w:t>
      </w:r>
      <w:r w:rsidR="00616072" w:rsidRPr="00304DC8">
        <w:rPr>
          <w:sz w:val="22"/>
          <w:szCs w:val="22"/>
        </w:rPr>
        <w:t xml:space="preserve"> 10 trades/day </w:t>
      </w:r>
      <w:r w:rsidRPr="00304DC8">
        <w:rPr>
          <w:sz w:val="22"/>
          <w:szCs w:val="22"/>
        </w:rPr>
        <w:t xml:space="preserve">is </w:t>
      </w:r>
      <w:r w:rsidR="00616072" w:rsidRPr="00304DC8">
        <w:rPr>
          <w:sz w:val="22"/>
          <w:szCs w:val="22"/>
        </w:rPr>
        <w:t>reasonable. However, as mentioned above, we support</w:t>
      </w:r>
      <w:r w:rsidR="002B219D" w:rsidRPr="00304DC8">
        <w:rPr>
          <w:sz w:val="22"/>
          <w:szCs w:val="22"/>
        </w:rPr>
        <w:t xml:space="preserve"> a liquidity assessment which </w:t>
      </w:r>
      <w:r w:rsidR="00616072" w:rsidRPr="00304DC8">
        <w:rPr>
          <w:sz w:val="22"/>
          <w:szCs w:val="22"/>
        </w:rPr>
        <w:t>look</w:t>
      </w:r>
      <w:r w:rsidR="002B219D" w:rsidRPr="00304DC8">
        <w:rPr>
          <w:sz w:val="22"/>
          <w:szCs w:val="22"/>
        </w:rPr>
        <w:t xml:space="preserve">s </w:t>
      </w:r>
      <w:r w:rsidR="00616072" w:rsidRPr="00304DC8">
        <w:rPr>
          <w:sz w:val="22"/>
          <w:szCs w:val="22"/>
        </w:rPr>
        <w:t xml:space="preserve">at liquidity of underlying share. </w:t>
      </w:r>
    </w:p>
    <w:p w:rsidR="00745C75" w:rsidRPr="00304DC8" w:rsidRDefault="00745C75" w:rsidP="00224947">
      <w:pPr>
        <w:rPr>
          <w:sz w:val="22"/>
          <w:szCs w:val="22"/>
        </w:rPr>
      </w:pPr>
    </w:p>
    <w:p w:rsidR="00745C75" w:rsidRPr="00304DC8" w:rsidRDefault="00745C75" w:rsidP="00745C75">
      <w:pPr>
        <w:rPr>
          <w:b/>
          <w:sz w:val="22"/>
          <w:szCs w:val="22"/>
        </w:rPr>
      </w:pPr>
      <w:r w:rsidRPr="00304DC8">
        <w:rPr>
          <w:b/>
          <w:sz w:val="22"/>
          <w:szCs w:val="22"/>
        </w:rPr>
        <w:t xml:space="preserve">Question 9 (4) </w:t>
      </w:r>
    </w:p>
    <w:p w:rsidR="00616072" w:rsidRPr="00304DC8" w:rsidRDefault="005A7500" w:rsidP="00A8728B">
      <w:pPr>
        <w:rPr>
          <w:sz w:val="22"/>
          <w:szCs w:val="22"/>
        </w:rPr>
      </w:pPr>
      <w:r w:rsidRPr="00304DC8">
        <w:rPr>
          <w:sz w:val="22"/>
          <w:szCs w:val="22"/>
        </w:rPr>
        <w:t xml:space="preserve">No, we </w:t>
      </w:r>
      <w:r w:rsidR="004F53F0" w:rsidRPr="00304DC8">
        <w:rPr>
          <w:sz w:val="22"/>
          <w:szCs w:val="22"/>
        </w:rPr>
        <w:t xml:space="preserve">do not </w:t>
      </w:r>
      <w:r w:rsidR="00CF5A7B" w:rsidRPr="00304DC8">
        <w:rPr>
          <w:sz w:val="22"/>
          <w:szCs w:val="22"/>
        </w:rPr>
        <w:t>agree to use</w:t>
      </w:r>
      <w:r w:rsidR="004F53F0" w:rsidRPr="00304DC8">
        <w:rPr>
          <w:sz w:val="22"/>
          <w:szCs w:val="22"/>
        </w:rPr>
        <w:t xml:space="preserve"> the same </w:t>
      </w:r>
      <w:r w:rsidR="00CF5A7B" w:rsidRPr="00304DC8">
        <w:rPr>
          <w:sz w:val="22"/>
          <w:szCs w:val="22"/>
        </w:rPr>
        <w:t xml:space="preserve">approach </w:t>
      </w:r>
      <w:r w:rsidR="004F53F0" w:rsidRPr="00304DC8">
        <w:rPr>
          <w:sz w:val="22"/>
          <w:szCs w:val="22"/>
        </w:rPr>
        <w:t xml:space="preserve">for ETFs and other equity-like instruments if there is no </w:t>
      </w:r>
      <w:r w:rsidR="00A93E76" w:rsidRPr="00304DC8">
        <w:rPr>
          <w:sz w:val="22"/>
          <w:szCs w:val="22"/>
        </w:rPr>
        <w:t xml:space="preserve">adequate and reliable </w:t>
      </w:r>
      <w:r w:rsidR="004F53F0" w:rsidRPr="00304DC8">
        <w:rPr>
          <w:sz w:val="22"/>
          <w:szCs w:val="22"/>
        </w:rPr>
        <w:t>data for E</w:t>
      </w:r>
      <w:r w:rsidR="002B007D" w:rsidRPr="00304DC8">
        <w:rPr>
          <w:sz w:val="22"/>
          <w:szCs w:val="22"/>
        </w:rPr>
        <w:t xml:space="preserve">SMA </w:t>
      </w:r>
      <w:r w:rsidR="004F53F0" w:rsidRPr="00304DC8">
        <w:rPr>
          <w:sz w:val="22"/>
          <w:szCs w:val="22"/>
        </w:rPr>
        <w:t xml:space="preserve">to base its analysis on. </w:t>
      </w:r>
      <w:r w:rsidR="00A93E76" w:rsidRPr="00304DC8">
        <w:rPr>
          <w:sz w:val="22"/>
          <w:szCs w:val="22"/>
        </w:rPr>
        <w:t>In this connection, a step-by-step app</w:t>
      </w:r>
      <w:r w:rsidR="00616072" w:rsidRPr="00304DC8">
        <w:rPr>
          <w:sz w:val="22"/>
          <w:szCs w:val="22"/>
        </w:rPr>
        <w:t>ro</w:t>
      </w:r>
      <w:r w:rsidR="00A93E76" w:rsidRPr="00304DC8">
        <w:rPr>
          <w:sz w:val="22"/>
          <w:szCs w:val="22"/>
        </w:rPr>
        <w:t>a</w:t>
      </w:r>
      <w:r w:rsidR="00616072" w:rsidRPr="00304DC8">
        <w:rPr>
          <w:sz w:val="22"/>
          <w:szCs w:val="22"/>
        </w:rPr>
        <w:t xml:space="preserve">ch is preferred, i.e. that ESMA starts with CFD on shares. </w:t>
      </w:r>
    </w:p>
    <w:p w:rsidR="00616072" w:rsidRPr="00304DC8" w:rsidRDefault="00616072" w:rsidP="00A8728B">
      <w:pPr>
        <w:rPr>
          <w:sz w:val="22"/>
          <w:szCs w:val="22"/>
        </w:rPr>
      </w:pPr>
    </w:p>
    <w:p w:rsidR="00A8728B" w:rsidRPr="00487875" w:rsidRDefault="004F53F0" w:rsidP="00A8728B">
      <w:pPr>
        <w:rPr>
          <w:sz w:val="22"/>
          <w:szCs w:val="22"/>
        </w:rPr>
      </w:pPr>
      <w:r w:rsidRPr="00304DC8">
        <w:rPr>
          <w:sz w:val="22"/>
          <w:szCs w:val="22"/>
        </w:rPr>
        <w:t xml:space="preserve">If ESMA nevertheless decides to go ahead with such approach it is important that only truly liquid underlying instruments </w:t>
      </w:r>
      <w:r w:rsidR="00616072" w:rsidRPr="00304DC8">
        <w:rPr>
          <w:sz w:val="22"/>
          <w:szCs w:val="22"/>
        </w:rPr>
        <w:t>(ETF</w:t>
      </w:r>
      <w:proofErr w:type="gramStart"/>
      <w:r w:rsidR="00616072" w:rsidRPr="00304DC8">
        <w:rPr>
          <w:sz w:val="22"/>
          <w:szCs w:val="22"/>
        </w:rPr>
        <w:t>:s</w:t>
      </w:r>
      <w:proofErr w:type="gramEnd"/>
      <w:r w:rsidR="00616072" w:rsidRPr="00304DC8">
        <w:rPr>
          <w:sz w:val="22"/>
          <w:szCs w:val="22"/>
        </w:rPr>
        <w:t xml:space="preserve"> and other equity-like instruments) </w:t>
      </w:r>
      <w:r w:rsidRPr="00304DC8">
        <w:rPr>
          <w:sz w:val="22"/>
          <w:szCs w:val="22"/>
        </w:rPr>
        <w:t>are considered as liquid.</w:t>
      </w:r>
    </w:p>
    <w:permEnd w:id="1624201757"/>
    <w:p w:rsidR="00A8728B" w:rsidRDefault="00A8728B" w:rsidP="00A8728B">
      <w:r>
        <w:t>&lt;ESMA_QUESTION_MIFID_ADD_9&gt;</w:t>
      </w:r>
    </w:p>
    <w:p w:rsidR="00A8728B" w:rsidRDefault="00A8728B" w:rsidP="00A8728B">
      <w:pPr>
        <w:pStyle w:val="CPQuestions"/>
        <w:ind w:left="714" w:hanging="357"/>
      </w:pPr>
      <w:r w:rsidRPr="00C24BCA">
        <w:t>Do you agree with ESMA’s proposal for the definition of a liquid market for CFDs on currencies? Please provide a feedback on</w:t>
      </w:r>
      <w:r>
        <w:t xml:space="preserve"> the following in your answer:</w:t>
      </w:r>
    </w:p>
    <w:p w:rsidR="00A8728B" w:rsidRPr="00B62727" w:rsidRDefault="00A8728B" w:rsidP="00566C6A">
      <w:pPr>
        <w:pStyle w:val="CPQuest2"/>
        <w:numPr>
          <w:ilvl w:val="0"/>
          <w:numId w:val="44"/>
        </w:numPr>
      </w:pPr>
      <w:r w:rsidRPr="00B62727">
        <w:t>Would you use different qualitative criteria to define the sub-classes?</w:t>
      </w:r>
    </w:p>
    <w:p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rsidR="00A8728B" w:rsidRPr="00B62727" w:rsidRDefault="00A8728B" w:rsidP="00566C6A">
      <w:pPr>
        <w:pStyle w:val="CPQuest2"/>
      </w:pPr>
      <w:r w:rsidRPr="00B62727">
        <w:t xml:space="preserve">Would you define </w:t>
      </w:r>
      <w:r>
        <w:t>sub-</w:t>
      </w:r>
      <w:r w:rsidRPr="00B62727">
        <w:t>classes declared as liquid in ESMA’s proposal as illiquid (or vice versa)? Please provide reasons for your answer.</w:t>
      </w:r>
    </w:p>
    <w:p w:rsidR="00A8728B" w:rsidRDefault="00A8728B" w:rsidP="00A8728B">
      <w:r>
        <w:t>&lt;ESMA_QUESTION_MIFID_ADD_10&gt;</w:t>
      </w:r>
    </w:p>
    <w:p w:rsidR="000E61A3" w:rsidRPr="00304DC8" w:rsidRDefault="000E61A3" w:rsidP="00EA64E3">
      <w:pPr>
        <w:rPr>
          <w:rFonts w:eastAsia="Calibri"/>
          <w:sz w:val="22"/>
          <w:szCs w:val="22"/>
          <w:u w:val="single"/>
        </w:rPr>
      </w:pPr>
      <w:permStart w:id="312877501" w:edGrp="everyone"/>
      <w:r w:rsidRPr="00304DC8">
        <w:rPr>
          <w:sz w:val="22"/>
          <w:szCs w:val="22"/>
          <w:u w:val="single"/>
        </w:rPr>
        <w:t xml:space="preserve">General comments: </w:t>
      </w:r>
    </w:p>
    <w:p w:rsidR="000E61A3" w:rsidRPr="00304DC8" w:rsidRDefault="002C6C32" w:rsidP="000E61A3">
      <w:pPr>
        <w:rPr>
          <w:sz w:val="22"/>
          <w:szCs w:val="22"/>
        </w:rPr>
      </w:pPr>
      <w:r w:rsidRPr="00304DC8">
        <w:rPr>
          <w:sz w:val="22"/>
          <w:szCs w:val="22"/>
        </w:rPr>
        <w:t>F</w:t>
      </w:r>
      <w:r w:rsidR="000E61A3" w:rsidRPr="00304DC8">
        <w:rPr>
          <w:sz w:val="22"/>
          <w:szCs w:val="22"/>
        </w:rPr>
        <w:t>or a large number of classes and sub-classes of derivatives covered by the Addendum Consu</w:t>
      </w:r>
      <w:r w:rsidR="000E61A3" w:rsidRPr="00304DC8">
        <w:rPr>
          <w:sz w:val="22"/>
          <w:szCs w:val="22"/>
        </w:rPr>
        <w:t>l</w:t>
      </w:r>
      <w:r w:rsidR="000E61A3" w:rsidRPr="00304DC8">
        <w:rPr>
          <w:sz w:val="22"/>
          <w:szCs w:val="22"/>
        </w:rPr>
        <w:t xml:space="preserve">tation Paper, ESMA’s approach implies that instruments with a very low trading activity will be classified as liquid. In the opinion of NSA, this is not acceptable. Our </w:t>
      </w:r>
      <w:r w:rsidR="000E61A3" w:rsidRPr="00304DC8">
        <w:rPr>
          <w:rFonts w:cstheme="minorHAnsi"/>
          <w:sz w:val="22"/>
          <w:szCs w:val="22"/>
        </w:rPr>
        <w:t xml:space="preserve">main concern is that these (in fact) illiquid products, when classified as having a liquid market, will become subject to more stringent transparency requirements and SI obligations under </w:t>
      </w:r>
      <w:proofErr w:type="spellStart"/>
      <w:r w:rsidR="000E61A3" w:rsidRPr="00304DC8">
        <w:rPr>
          <w:rFonts w:cstheme="minorHAnsi"/>
          <w:sz w:val="22"/>
          <w:szCs w:val="22"/>
        </w:rPr>
        <w:t>MiFIR</w:t>
      </w:r>
      <w:proofErr w:type="spellEnd"/>
      <w:r w:rsidR="000E61A3" w:rsidRPr="00304DC8">
        <w:rPr>
          <w:rFonts w:cstheme="minorHAnsi"/>
          <w:sz w:val="22"/>
          <w:szCs w:val="22"/>
        </w:rPr>
        <w:t xml:space="preserve">. </w:t>
      </w:r>
      <w:r w:rsidR="00C0501E" w:rsidRPr="00304DC8">
        <w:rPr>
          <w:rFonts w:cstheme="minorHAnsi"/>
          <w:sz w:val="22"/>
          <w:szCs w:val="22"/>
        </w:rPr>
        <w:t>The</w:t>
      </w:r>
      <w:r w:rsidR="00363CE2">
        <w:rPr>
          <w:rFonts w:cstheme="minorHAnsi"/>
          <w:sz w:val="22"/>
          <w:szCs w:val="22"/>
        </w:rPr>
        <w:t>se</w:t>
      </w:r>
      <w:r w:rsidR="00C0501E" w:rsidRPr="00304DC8">
        <w:rPr>
          <w:rFonts w:cstheme="minorHAnsi"/>
          <w:sz w:val="22"/>
          <w:szCs w:val="22"/>
        </w:rPr>
        <w:t xml:space="preserve"> </w:t>
      </w:r>
      <w:r w:rsidR="000E61A3" w:rsidRPr="00304DC8">
        <w:rPr>
          <w:rFonts w:cstheme="minorHAnsi"/>
          <w:sz w:val="22"/>
          <w:szCs w:val="22"/>
        </w:rPr>
        <w:t>regulatory requir</w:t>
      </w:r>
      <w:r w:rsidR="000E61A3" w:rsidRPr="00304DC8">
        <w:rPr>
          <w:rFonts w:cstheme="minorHAnsi"/>
          <w:sz w:val="22"/>
          <w:szCs w:val="22"/>
        </w:rPr>
        <w:t>e</w:t>
      </w:r>
      <w:r w:rsidR="000E61A3" w:rsidRPr="00304DC8">
        <w:rPr>
          <w:rFonts w:cstheme="minorHAnsi"/>
          <w:sz w:val="22"/>
          <w:szCs w:val="22"/>
        </w:rPr>
        <w:t xml:space="preserve">ments will increase the risks of market makers/SIs which will then become less willing to provide </w:t>
      </w:r>
      <w:r w:rsidR="008C642C" w:rsidRPr="00304DC8">
        <w:rPr>
          <w:rFonts w:cstheme="minorHAnsi"/>
          <w:sz w:val="22"/>
          <w:szCs w:val="22"/>
        </w:rPr>
        <w:t>prices</w:t>
      </w:r>
      <w:r w:rsidR="000E61A3" w:rsidRPr="00304DC8">
        <w:rPr>
          <w:rFonts w:cstheme="minorHAnsi"/>
          <w:sz w:val="22"/>
          <w:szCs w:val="22"/>
        </w:rPr>
        <w:t xml:space="preserve"> to the markets. This will in turn </w:t>
      </w:r>
      <w:r w:rsidR="000E61A3" w:rsidRPr="00304DC8">
        <w:rPr>
          <w:sz w:val="22"/>
          <w:szCs w:val="22"/>
        </w:rPr>
        <w:t xml:space="preserve">lead to a decrease in the offering of these already rarely traded contracts and to an increase in </w:t>
      </w:r>
      <w:r w:rsidR="008C642C" w:rsidRPr="00304DC8">
        <w:rPr>
          <w:sz w:val="22"/>
          <w:szCs w:val="22"/>
        </w:rPr>
        <w:t xml:space="preserve">transaction costs. </w:t>
      </w:r>
      <w:r w:rsidR="000E61A3" w:rsidRPr="00304DC8">
        <w:rPr>
          <w:sz w:val="22"/>
          <w:szCs w:val="22"/>
        </w:rPr>
        <w:t xml:space="preserve"> </w:t>
      </w:r>
    </w:p>
    <w:p w:rsidR="000E61A3" w:rsidRPr="00304DC8" w:rsidRDefault="000E61A3" w:rsidP="000E61A3">
      <w:pPr>
        <w:rPr>
          <w:sz w:val="22"/>
          <w:szCs w:val="22"/>
        </w:rPr>
      </w:pPr>
    </w:p>
    <w:p w:rsidR="000E61A3" w:rsidRPr="00304DC8" w:rsidRDefault="000E61A3" w:rsidP="000E61A3">
      <w:pPr>
        <w:rPr>
          <w:sz w:val="22"/>
          <w:szCs w:val="22"/>
        </w:rPr>
      </w:pPr>
      <w:r w:rsidRPr="00304DC8">
        <w:rPr>
          <w:sz w:val="22"/>
          <w:szCs w:val="22"/>
        </w:rPr>
        <w:t xml:space="preserve">It should be noted that derivatives serve an important role in allowing </w:t>
      </w:r>
      <w:r w:rsidR="008C642C" w:rsidRPr="00304DC8">
        <w:rPr>
          <w:sz w:val="22"/>
          <w:szCs w:val="22"/>
        </w:rPr>
        <w:t xml:space="preserve">corporates </w:t>
      </w:r>
      <w:r w:rsidRPr="00304DC8">
        <w:rPr>
          <w:sz w:val="22"/>
          <w:szCs w:val="22"/>
        </w:rPr>
        <w:t xml:space="preserve">to manage risks arising from their commercial activities. If a product type is made too expensive for the end user, the end user may </w:t>
      </w:r>
      <w:r w:rsidR="00C0501E" w:rsidRPr="00304DC8">
        <w:rPr>
          <w:sz w:val="22"/>
          <w:szCs w:val="22"/>
        </w:rPr>
        <w:t xml:space="preserve">refrain </w:t>
      </w:r>
      <w:r w:rsidRPr="00304DC8">
        <w:rPr>
          <w:sz w:val="22"/>
          <w:szCs w:val="22"/>
        </w:rPr>
        <w:t>from doing any hedging (at all), or if they cannot find the product that meets their specific needs they may use a less suitable product that leaves certain risks un-hedged (i.e. basis risk), or end users find it takes longer and is more difficult to fulfil their needs (i.e. execution risk). At an overall economic level this would increase systemic vulnerability as hedging levels could generally decrease and risks remain in the real economy. In order to avoid these adverse effects on EU-markets, NSA urges ESMA to take a cautious approach and e</w:t>
      </w:r>
      <w:r w:rsidRPr="00304DC8">
        <w:rPr>
          <w:sz w:val="22"/>
          <w:szCs w:val="22"/>
        </w:rPr>
        <w:t>n</w:t>
      </w:r>
      <w:r w:rsidRPr="00304DC8">
        <w:rPr>
          <w:sz w:val="22"/>
          <w:szCs w:val="22"/>
        </w:rPr>
        <w:t>sure that the liquidity criteria used for classifying derivatives as having a liquid market only ca</w:t>
      </w:r>
      <w:r w:rsidRPr="00304DC8">
        <w:rPr>
          <w:sz w:val="22"/>
          <w:szCs w:val="22"/>
        </w:rPr>
        <w:t>p</w:t>
      </w:r>
      <w:r w:rsidRPr="00304DC8">
        <w:rPr>
          <w:sz w:val="22"/>
          <w:szCs w:val="22"/>
        </w:rPr>
        <w:t xml:space="preserve">tures truly liquid instrument. For instance, bespoke OTC derivatives used for hedging purposes should never be considered as having a liquid market. </w:t>
      </w:r>
    </w:p>
    <w:p w:rsidR="000E61A3" w:rsidRPr="00304DC8" w:rsidRDefault="000E61A3" w:rsidP="00EA64E3">
      <w:pPr>
        <w:rPr>
          <w:sz w:val="22"/>
          <w:szCs w:val="22"/>
        </w:rPr>
      </w:pPr>
    </w:p>
    <w:p w:rsidR="000E61A3" w:rsidRPr="00304DC8" w:rsidRDefault="00AF385F" w:rsidP="00EA64E3">
      <w:pPr>
        <w:rPr>
          <w:sz w:val="22"/>
          <w:szCs w:val="22"/>
        </w:rPr>
      </w:pPr>
      <w:r w:rsidRPr="00304DC8">
        <w:rPr>
          <w:sz w:val="22"/>
          <w:szCs w:val="22"/>
        </w:rPr>
        <w:t>ESMA’s l</w:t>
      </w:r>
      <w:r w:rsidR="000E61A3" w:rsidRPr="00304DC8">
        <w:rPr>
          <w:sz w:val="22"/>
          <w:szCs w:val="22"/>
        </w:rPr>
        <w:t xml:space="preserve">iquidity analysis of derivatives classes is massive. Hundreds of different sub-classes have already been </w:t>
      </w:r>
      <w:r w:rsidR="00487875" w:rsidRPr="00304DC8">
        <w:rPr>
          <w:sz w:val="22"/>
          <w:szCs w:val="22"/>
        </w:rPr>
        <w:t>analysed</w:t>
      </w:r>
      <w:r w:rsidR="000E61A3" w:rsidRPr="00304DC8">
        <w:rPr>
          <w:sz w:val="22"/>
          <w:szCs w:val="22"/>
        </w:rPr>
        <w:t xml:space="preserve"> and </w:t>
      </w:r>
      <w:r w:rsidR="00487875" w:rsidRPr="00304DC8">
        <w:rPr>
          <w:sz w:val="22"/>
          <w:szCs w:val="22"/>
        </w:rPr>
        <w:t>labelled</w:t>
      </w:r>
      <w:r w:rsidR="000E61A3" w:rsidRPr="00304DC8">
        <w:rPr>
          <w:sz w:val="22"/>
          <w:szCs w:val="22"/>
        </w:rPr>
        <w:t xml:space="preserve"> as liquid or illiquid. However, the analysis is based on very generic criteria that fail to take into account many crucial elements of derivatives contracts. At least maturity, amortization and notional amount would have to be considered thoroughly. There are also concerns on the quality of the data. As a result, many sub-classes that are </w:t>
      </w:r>
      <w:r w:rsidR="00842ADE" w:rsidRPr="00304DC8">
        <w:rPr>
          <w:sz w:val="22"/>
          <w:szCs w:val="22"/>
        </w:rPr>
        <w:t>l</w:t>
      </w:r>
      <w:r w:rsidR="00842ADE" w:rsidRPr="00304DC8">
        <w:rPr>
          <w:sz w:val="22"/>
          <w:szCs w:val="22"/>
        </w:rPr>
        <w:t>a</w:t>
      </w:r>
      <w:r w:rsidR="00842ADE" w:rsidRPr="00304DC8">
        <w:rPr>
          <w:sz w:val="22"/>
          <w:szCs w:val="22"/>
        </w:rPr>
        <w:t>belled</w:t>
      </w:r>
      <w:r w:rsidR="000E61A3" w:rsidRPr="00304DC8">
        <w:rPr>
          <w:sz w:val="22"/>
          <w:szCs w:val="22"/>
        </w:rPr>
        <w:t xml:space="preserve"> liquid are not in practice liquid at all. It should also be noticed that the mapping of such huge amounts of listed contracts into systems will be very time-consuming and hence may lead to increased hedging costs. In many cases it is likely that this will have to be done manually which in turn might increase the probability of mistakes in the mapping process.  </w:t>
      </w:r>
    </w:p>
    <w:p w:rsidR="000E61A3" w:rsidRPr="00304DC8" w:rsidRDefault="000E61A3" w:rsidP="00EA64E3">
      <w:pPr>
        <w:rPr>
          <w:sz w:val="22"/>
          <w:szCs w:val="22"/>
        </w:rPr>
      </w:pPr>
    </w:p>
    <w:p w:rsidR="009F0AFE" w:rsidRPr="00304DC8" w:rsidRDefault="009A7F66" w:rsidP="009F0AFE">
      <w:pPr>
        <w:rPr>
          <w:sz w:val="22"/>
          <w:szCs w:val="22"/>
        </w:rPr>
      </w:pPr>
      <w:r w:rsidRPr="00304DC8">
        <w:rPr>
          <w:sz w:val="22"/>
          <w:szCs w:val="22"/>
        </w:rPr>
        <w:t>The NSA agrees with ESMA that there are major quality issues related to the data acquired from trade repositories</w:t>
      </w:r>
      <w:r w:rsidR="006B301B">
        <w:rPr>
          <w:sz w:val="22"/>
          <w:szCs w:val="22"/>
        </w:rPr>
        <w:t xml:space="preserve"> (TR)</w:t>
      </w:r>
      <w:r w:rsidRPr="00304DC8">
        <w:rPr>
          <w:sz w:val="22"/>
          <w:szCs w:val="22"/>
        </w:rPr>
        <w:t xml:space="preserve">. </w:t>
      </w:r>
      <w:r w:rsidR="009F0AFE" w:rsidRPr="00304DC8">
        <w:rPr>
          <w:sz w:val="22"/>
          <w:szCs w:val="22"/>
        </w:rPr>
        <w:t>Especially the fact that there is incorrect or inconsistent reporting of some of the data fields is very concerning as this data forms the buil</w:t>
      </w:r>
      <w:r w:rsidR="009F0AFE" w:rsidRPr="00304DC8">
        <w:rPr>
          <w:sz w:val="22"/>
          <w:szCs w:val="22"/>
        </w:rPr>
        <w:t>d</w:t>
      </w:r>
      <w:r w:rsidR="009F0AFE" w:rsidRPr="00304DC8">
        <w:rPr>
          <w:sz w:val="22"/>
          <w:szCs w:val="22"/>
        </w:rPr>
        <w:t>ing blocks for defining liquidity and calculating LIS and SSTI thresholds. We therefore take the view that the data pr</w:t>
      </w:r>
      <w:r w:rsidR="009F0AFE" w:rsidRPr="00304DC8">
        <w:rPr>
          <w:sz w:val="22"/>
          <w:szCs w:val="22"/>
        </w:rPr>
        <w:t>e</w:t>
      </w:r>
      <w:r w:rsidR="009F0AFE" w:rsidRPr="00304DC8">
        <w:rPr>
          <w:sz w:val="22"/>
          <w:szCs w:val="22"/>
        </w:rPr>
        <w:t>sented in the Addendum Consultation Paper is not acceptable as the sole basis for EU regul</w:t>
      </w:r>
      <w:r w:rsidR="009F0AFE" w:rsidRPr="00304DC8">
        <w:rPr>
          <w:sz w:val="22"/>
          <w:szCs w:val="22"/>
        </w:rPr>
        <w:t>a</w:t>
      </w:r>
      <w:r w:rsidR="009F0AFE" w:rsidRPr="00304DC8">
        <w:rPr>
          <w:sz w:val="22"/>
          <w:szCs w:val="22"/>
        </w:rPr>
        <w:t xml:space="preserve">tion in this area. The analysis must be and should be supplemented with </w:t>
      </w:r>
      <w:r w:rsidR="009F0AFE" w:rsidRPr="00304DC8">
        <w:rPr>
          <w:sz w:val="22"/>
          <w:szCs w:val="22"/>
          <w:u w:val="single"/>
        </w:rPr>
        <w:t>views from experts</w:t>
      </w:r>
      <w:r w:rsidR="009F0AFE" w:rsidRPr="00304DC8">
        <w:rPr>
          <w:sz w:val="22"/>
          <w:szCs w:val="22"/>
        </w:rPr>
        <w:t xml:space="preserve"> that are capable to assess whether the definition of liquidity and the calcul</w:t>
      </w:r>
      <w:r w:rsidR="009F0AFE" w:rsidRPr="00304DC8">
        <w:rPr>
          <w:sz w:val="22"/>
          <w:szCs w:val="22"/>
        </w:rPr>
        <w:t>a</w:t>
      </w:r>
      <w:r w:rsidR="009F0AFE" w:rsidRPr="00304DC8">
        <w:rPr>
          <w:sz w:val="22"/>
          <w:szCs w:val="22"/>
        </w:rPr>
        <w:t>tions of LIS and SSTI are correct when looking at the market for the different asset- and su</w:t>
      </w:r>
      <w:r w:rsidR="009F0AFE" w:rsidRPr="00304DC8">
        <w:rPr>
          <w:sz w:val="22"/>
          <w:szCs w:val="22"/>
        </w:rPr>
        <w:t>b</w:t>
      </w:r>
      <w:r w:rsidR="009F0AFE" w:rsidRPr="00304DC8">
        <w:rPr>
          <w:sz w:val="22"/>
          <w:szCs w:val="22"/>
        </w:rPr>
        <w:t>classes. Having expert views will improve the overall quality and ensure a more correct definition of liquidity and more acc</w:t>
      </w:r>
      <w:r w:rsidR="009F0AFE" w:rsidRPr="00304DC8">
        <w:rPr>
          <w:sz w:val="22"/>
          <w:szCs w:val="22"/>
        </w:rPr>
        <w:t>u</w:t>
      </w:r>
      <w:r w:rsidR="009F0AFE" w:rsidRPr="00304DC8">
        <w:rPr>
          <w:sz w:val="22"/>
          <w:szCs w:val="22"/>
        </w:rPr>
        <w:t>rate determin</w:t>
      </w:r>
      <w:r w:rsidR="009F0AFE" w:rsidRPr="00304DC8">
        <w:rPr>
          <w:sz w:val="22"/>
          <w:szCs w:val="22"/>
        </w:rPr>
        <w:t>a</w:t>
      </w:r>
      <w:r w:rsidR="009F0AFE" w:rsidRPr="00304DC8">
        <w:rPr>
          <w:sz w:val="22"/>
          <w:szCs w:val="22"/>
        </w:rPr>
        <w:t xml:space="preserve">tion of LIS and SSTI.  </w:t>
      </w:r>
    </w:p>
    <w:p w:rsidR="000E61A3" w:rsidRPr="00304DC8" w:rsidRDefault="000E61A3" w:rsidP="000E61A3">
      <w:pPr>
        <w:rPr>
          <w:sz w:val="22"/>
          <w:szCs w:val="22"/>
        </w:rPr>
      </w:pPr>
    </w:p>
    <w:p w:rsidR="000E61A3" w:rsidRPr="00304DC8" w:rsidRDefault="000E61A3" w:rsidP="000E61A3">
      <w:pPr>
        <w:rPr>
          <w:sz w:val="22"/>
          <w:szCs w:val="22"/>
        </w:rPr>
      </w:pPr>
      <w:r w:rsidRPr="00304DC8">
        <w:rPr>
          <w:sz w:val="22"/>
          <w:szCs w:val="22"/>
        </w:rPr>
        <w:t xml:space="preserve">The NSA also supports introducing the new transparency rules by a </w:t>
      </w:r>
      <w:r w:rsidRPr="00304DC8">
        <w:rPr>
          <w:sz w:val="22"/>
          <w:szCs w:val="22"/>
          <w:u w:val="single"/>
        </w:rPr>
        <w:t xml:space="preserve">stepwise approach </w:t>
      </w:r>
      <w:r w:rsidRPr="00304DC8">
        <w:rPr>
          <w:sz w:val="22"/>
          <w:szCs w:val="22"/>
        </w:rPr>
        <w:t xml:space="preserve">(rather than a “big bang”), carefully investigating the impact of each step before introducing the next step. In this respect, a stepwise approach would mean that ESMA should </w:t>
      </w:r>
      <w:r w:rsidRPr="00304DC8">
        <w:rPr>
          <w:sz w:val="22"/>
          <w:szCs w:val="22"/>
          <w:u w:val="single"/>
        </w:rPr>
        <w:t>only consider as liquid a few of the most liquid derivative subclasses.</w:t>
      </w:r>
    </w:p>
    <w:p w:rsidR="000E61A3" w:rsidRPr="00304DC8" w:rsidRDefault="000E61A3" w:rsidP="00EA64E3">
      <w:pPr>
        <w:rPr>
          <w:sz w:val="22"/>
          <w:szCs w:val="22"/>
        </w:rPr>
      </w:pPr>
    </w:p>
    <w:p w:rsidR="000E61A3" w:rsidRPr="00304DC8" w:rsidRDefault="000E61A3" w:rsidP="00EA64E3">
      <w:pPr>
        <w:rPr>
          <w:sz w:val="22"/>
          <w:szCs w:val="22"/>
        </w:rPr>
      </w:pPr>
      <w:r w:rsidRPr="00304DC8">
        <w:rPr>
          <w:sz w:val="22"/>
          <w:szCs w:val="22"/>
        </w:rPr>
        <w:t xml:space="preserve">The NSA generally takes the view that ESMA’s model for assessing liquidity is too static. The proposal by NSA is to </w:t>
      </w:r>
      <w:r w:rsidRPr="00304DC8">
        <w:rPr>
          <w:sz w:val="22"/>
          <w:szCs w:val="22"/>
          <w:u w:val="single"/>
        </w:rPr>
        <w:t>recalibrate within 6 months and thereafter on a yearly basis</w:t>
      </w:r>
      <w:r w:rsidRPr="00304DC8">
        <w:rPr>
          <w:sz w:val="22"/>
          <w:szCs w:val="22"/>
        </w:rPr>
        <w:t>. It is absolut</w:t>
      </w:r>
      <w:r w:rsidRPr="00304DC8">
        <w:rPr>
          <w:sz w:val="22"/>
          <w:szCs w:val="22"/>
        </w:rPr>
        <w:t>e</w:t>
      </w:r>
      <w:r w:rsidRPr="00304DC8">
        <w:rPr>
          <w:sz w:val="22"/>
          <w:szCs w:val="22"/>
        </w:rPr>
        <w:t xml:space="preserve">ly crucial that any recalibration takes </w:t>
      </w:r>
      <w:r w:rsidRPr="00304DC8">
        <w:rPr>
          <w:sz w:val="22"/>
          <w:szCs w:val="22"/>
          <w:u w:val="single"/>
        </w:rPr>
        <w:t>Ex-Post Effects</w:t>
      </w:r>
      <w:r w:rsidRPr="00304DC8">
        <w:rPr>
          <w:sz w:val="22"/>
          <w:szCs w:val="22"/>
        </w:rPr>
        <w:t xml:space="preserve"> into account, i.e. i.e. the impact that the introduction of the new EU transparency regime will have on the liquidity of the instruments. Such Ex-Post Effects need to be based on </w:t>
      </w:r>
      <w:r w:rsidRPr="00304DC8">
        <w:rPr>
          <w:sz w:val="22"/>
          <w:szCs w:val="22"/>
          <w:u w:val="single"/>
        </w:rPr>
        <w:t>expert judgement</w:t>
      </w:r>
      <w:r w:rsidRPr="00304DC8">
        <w:rPr>
          <w:sz w:val="22"/>
          <w:szCs w:val="22"/>
        </w:rPr>
        <w:t>.</w:t>
      </w:r>
    </w:p>
    <w:p w:rsidR="000E61A3" w:rsidRPr="00304DC8" w:rsidRDefault="000E61A3" w:rsidP="00EA64E3">
      <w:pPr>
        <w:rPr>
          <w:sz w:val="22"/>
          <w:szCs w:val="22"/>
        </w:rPr>
      </w:pPr>
    </w:p>
    <w:p w:rsidR="00745C75" w:rsidRPr="00304DC8" w:rsidRDefault="00745C75" w:rsidP="00745C75">
      <w:pPr>
        <w:rPr>
          <w:sz w:val="22"/>
          <w:szCs w:val="22"/>
          <w:u w:val="single"/>
        </w:rPr>
      </w:pPr>
      <w:r w:rsidRPr="00304DC8">
        <w:rPr>
          <w:sz w:val="22"/>
          <w:szCs w:val="22"/>
          <w:u w:val="single"/>
        </w:rPr>
        <w:t>Questions:</w:t>
      </w:r>
    </w:p>
    <w:p w:rsidR="00745C75" w:rsidRPr="00304DC8" w:rsidRDefault="00745C75" w:rsidP="00745C75">
      <w:pPr>
        <w:rPr>
          <w:b/>
          <w:sz w:val="22"/>
          <w:szCs w:val="22"/>
        </w:rPr>
      </w:pPr>
      <w:r w:rsidRPr="00304DC8">
        <w:rPr>
          <w:b/>
          <w:sz w:val="22"/>
          <w:szCs w:val="22"/>
        </w:rPr>
        <w:t xml:space="preserve">Question 10 (1) </w:t>
      </w:r>
    </w:p>
    <w:p w:rsidR="00745C75" w:rsidRPr="00304DC8" w:rsidRDefault="00A93E76" w:rsidP="00224947">
      <w:pPr>
        <w:rPr>
          <w:sz w:val="22"/>
          <w:szCs w:val="22"/>
        </w:rPr>
      </w:pPr>
      <w:r w:rsidRPr="00304DC8">
        <w:rPr>
          <w:sz w:val="22"/>
          <w:szCs w:val="22"/>
        </w:rPr>
        <w:t xml:space="preserve">The NSA agrees to the </w:t>
      </w:r>
      <w:r w:rsidR="004F53F0" w:rsidRPr="00304DC8">
        <w:rPr>
          <w:sz w:val="22"/>
          <w:szCs w:val="22"/>
        </w:rPr>
        <w:t>c</w:t>
      </w:r>
      <w:r w:rsidR="00AB4DDE" w:rsidRPr="00304DC8">
        <w:rPr>
          <w:sz w:val="22"/>
          <w:szCs w:val="22"/>
        </w:rPr>
        <w:t>ri</w:t>
      </w:r>
      <w:r w:rsidRPr="00304DC8">
        <w:rPr>
          <w:sz w:val="22"/>
          <w:szCs w:val="22"/>
        </w:rPr>
        <w:t>teria for defining sub-classes</w:t>
      </w:r>
      <w:r w:rsidR="00793A15" w:rsidRPr="00304DC8">
        <w:rPr>
          <w:sz w:val="22"/>
          <w:szCs w:val="22"/>
        </w:rPr>
        <w:t>.</w:t>
      </w:r>
      <w:r w:rsidR="002B219D" w:rsidRPr="00304DC8">
        <w:rPr>
          <w:sz w:val="22"/>
          <w:szCs w:val="22"/>
        </w:rPr>
        <w:t xml:space="preserve"> </w:t>
      </w:r>
    </w:p>
    <w:p w:rsidR="002661B5" w:rsidRPr="00304DC8" w:rsidRDefault="002661B5" w:rsidP="00745C75">
      <w:pPr>
        <w:rPr>
          <w:b/>
          <w:sz w:val="22"/>
          <w:szCs w:val="22"/>
        </w:rPr>
      </w:pPr>
    </w:p>
    <w:p w:rsidR="00745C75" w:rsidRPr="00304DC8" w:rsidRDefault="00745C75" w:rsidP="00745C75">
      <w:pPr>
        <w:rPr>
          <w:b/>
          <w:sz w:val="22"/>
          <w:szCs w:val="22"/>
        </w:rPr>
      </w:pPr>
      <w:r w:rsidRPr="00304DC8">
        <w:rPr>
          <w:b/>
          <w:sz w:val="22"/>
          <w:szCs w:val="22"/>
        </w:rPr>
        <w:t>Question 10 (2)</w:t>
      </w:r>
    </w:p>
    <w:p w:rsidR="002661B5" w:rsidRPr="00304DC8" w:rsidRDefault="00AB4DDE" w:rsidP="00224947">
      <w:pPr>
        <w:rPr>
          <w:sz w:val="22"/>
          <w:szCs w:val="22"/>
        </w:rPr>
      </w:pPr>
      <w:r w:rsidRPr="00304DC8">
        <w:rPr>
          <w:sz w:val="22"/>
          <w:szCs w:val="22"/>
        </w:rPr>
        <w:t>As regards CFD on currency</w:t>
      </w:r>
      <w:r w:rsidR="00A93E76" w:rsidRPr="00304DC8">
        <w:rPr>
          <w:sz w:val="22"/>
          <w:szCs w:val="22"/>
        </w:rPr>
        <w:t xml:space="preserve">, the NSA notes that </w:t>
      </w:r>
      <w:r w:rsidRPr="00304DC8">
        <w:rPr>
          <w:sz w:val="22"/>
          <w:szCs w:val="22"/>
        </w:rPr>
        <w:t xml:space="preserve">average number of trade in paragraph 18 </w:t>
      </w:r>
      <w:r w:rsidR="00FA1A40" w:rsidRPr="00304DC8">
        <w:rPr>
          <w:sz w:val="22"/>
          <w:szCs w:val="22"/>
        </w:rPr>
        <w:t xml:space="preserve">ii </w:t>
      </w:r>
      <w:r w:rsidR="00616072" w:rsidRPr="00304DC8">
        <w:rPr>
          <w:sz w:val="22"/>
          <w:szCs w:val="22"/>
        </w:rPr>
        <w:t xml:space="preserve">on page 304 </w:t>
      </w:r>
      <w:r w:rsidRPr="00304DC8">
        <w:rPr>
          <w:sz w:val="22"/>
          <w:szCs w:val="22"/>
        </w:rPr>
        <w:t xml:space="preserve">is </w:t>
      </w:r>
      <w:r w:rsidR="00616072" w:rsidRPr="00304DC8">
        <w:rPr>
          <w:sz w:val="22"/>
          <w:szCs w:val="22"/>
        </w:rPr>
        <w:t>“</w:t>
      </w:r>
      <w:r w:rsidRPr="00304DC8">
        <w:rPr>
          <w:sz w:val="22"/>
          <w:szCs w:val="22"/>
        </w:rPr>
        <w:t>50</w:t>
      </w:r>
      <w:r w:rsidR="00616072" w:rsidRPr="00304DC8">
        <w:rPr>
          <w:sz w:val="22"/>
          <w:szCs w:val="22"/>
        </w:rPr>
        <w:t>”</w:t>
      </w:r>
      <w:r w:rsidRPr="00304DC8">
        <w:rPr>
          <w:sz w:val="22"/>
          <w:szCs w:val="22"/>
        </w:rPr>
        <w:t xml:space="preserve"> but </w:t>
      </w:r>
      <w:r w:rsidR="002B007D" w:rsidRPr="00304DC8">
        <w:rPr>
          <w:sz w:val="22"/>
          <w:szCs w:val="22"/>
        </w:rPr>
        <w:t xml:space="preserve">the </w:t>
      </w:r>
      <w:r w:rsidRPr="00304DC8">
        <w:rPr>
          <w:sz w:val="22"/>
          <w:szCs w:val="22"/>
        </w:rPr>
        <w:t xml:space="preserve">average number of trades is </w:t>
      </w:r>
      <w:r w:rsidR="00616072" w:rsidRPr="00304DC8">
        <w:rPr>
          <w:sz w:val="22"/>
          <w:szCs w:val="22"/>
        </w:rPr>
        <w:t>“</w:t>
      </w:r>
      <w:r w:rsidRPr="00304DC8">
        <w:rPr>
          <w:sz w:val="22"/>
          <w:szCs w:val="22"/>
        </w:rPr>
        <w:t>500</w:t>
      </w:r>
      <w:r w:rsidR="00616072" w:rsidRPr="00304DC8">
        <w:rPr>
          <w:sz w:val="22"/>
          <w:szCs w:val="22"/>
        </w:rPr>
        <w:t>”</w:t>
      </w:r>
      <w:r w:rsidRPr="00304DC8">
        <w:rPr>
          <w:sz w:val="22"/>
          <w:szCs w:val="22"/>
        </w:rPr>
        <w:t xml:space="preserve"> in table</w:t>
      </w:r>
      <w:r w:rsidR="00FA1A40" w:rsidRPr="00304DC8">
        <w:rPr>
          <w:sz w:val="22"/>
          <w:szCs w:val="22"/>
        </w:rPr>
        <w:t>s</w:t>
      </w:r>
      <w:r w:rsidRPr="00304DC8">
        <w:rPr>
          <w:sz w:val="22"/>
          <w:szCs w:val="22"/>
        </w:rPr>
        <w:t xml:space="preserve"> on page</w:t>
      </w:r>
      <w:r w:rsidR="00FA1A40" w:rsidRPr="00304DC8">
        <w:rPr>
          <w:sz w:val="22"/>
          <w:szCs w:val="22"/>
        </w:rPr>
        <w:t>s</w:t>
      </w:r>
      <w:r w:rsidRPr="00304DC8">
        <w:rPr>
          <w:sz w:val="22"/>
          <w:szCs w:val="22"/>
        </w:rPr>
        <w:t xml:space="preserve"> 305</w:t>
      </w:r>
      <w:r w:rsidR="00FA1A40" w:rsidRPr="00304DC8">
        <w:rPr>
          <w:sz w:val="22"/>
          <w:szCs w:val="22"/>
        </w:rPr>
        <w:t>-307</w:t>
      </w:r>
      <w:r w:rsidR="002B007D" w:rsidRPr="00304DC8">
        <w:rPr>
          <w:sz w:val="22"/>
          <w:szCs w:val="22"/>
        </w:rPr>
        <w:t xml:space="preserve"> of the Addendum Consultation Paper</w:t>
      </w:r>
      <w:r w:rsidRPr="00304DC8">
        <w:rPr>
          <w:sz w:val="22"/>
          <w:szCs w:val="22"/>
        </w:rPr>
        <w:t xml:space="preserve">. This makes the proposal </w:t>
      </w:r>
      <w:r w:rsidR="00FA1A40" w:rsidRPr="00304DC8">
        <w:rPr>
          <w:sz w:val="22"/>
          <w:szCs w:val="22"/>
        </w:rPr>
        <w:t>very difficult to analyse</w:t>
      </w:r>
      <w:r w:rsidRPr="00304DC8">
        <w:rPr>
          <w:sz w:val="22"/>
          <w:szCs w:val="22"/>
        </w:rPr>
        <w:t xml:space="preserve">. </w:t>
      </w:r>
    </w:p>
    <w:p w:rsidR="00616072" w:rsidRPr="00304DC8" w:rsidRDefault="00616072" w:rsidP="00224947">
      <w:pPr>
        <w:rPr>
          <w:b/>
          <w:sz w:val="22"/>
          <w:szCs w:val="22"/>
        </w:rPr>
      </w:pPr>
    </w:p>
    <w:p w:rsidR="00745C75" w:rsidRPr="00304DC8" w:rsidRDefault="00745C75" w:rsidP="00745C75">
      <w:pPr>
        <w:rPr>
          <w:b/>
          <w:sz w:val="22"/>
          <w:szCs w:val="22"/>
        </w:rPr>
      </w:pPr>
      <w:r w:rsidRPr="00304DC8">
        <w:rPr>
          <w:b/>
          <w:sz w:val="22"/>
          <w:szCs w:val="22"/>
        </w:rPr>
        <w:t xml:space="preserve">Question 10 (3) </w:t>
      </w:r>
    </w:p>
    <w:p w:rsidR="00775B9C" w:rsidRPr="00487875" w:rsidRDefault="00EB338D" w:rsidP="00775B9C">
      <w:pPr>
        <w:rPr>
          <w:sz w:val="22"/>
          <w:szCs w:val="22"/>
        </w:rPr>
      </w:pPr>
      <w:r w:rsidRPr="00304DC8">
        <w:rPr>
          <w:sz w:val="22"/>
          <w:szCs w:val="22"/>
        </w:rPr>
        <w:t>No comments</w:t>
      </w:r>
      <w:r w:rsidR="004F53F0" w:rsidRPr="00304DC8">
        <w:rPr>
          <w:sz w:val="22"/>
          <w:szCs w:val="22"/>
        </w:rPr>
        <w:t>.</w:t>
      </w:r>
    </w:p>
    <w:permEnd w:id="312877501"/>
    <w:p w:rsidR="00A8728B" w:rsidRDefault="00A8728B" w:rsidP="00A8728B">
      <w:r>
        <w:t>&lt;ESMA_QUESTION_MIFID_ADD_10&gt;</w:t>
      </w:r>
    </w:p>
    <w:p w:rsidR="00A8728B" w:rsidRDefault="00A8728B" w:rsidP="00A8728B">
      <w:pPr>
        <w:pStyle w:val="CPQuestions"/>
        <w:ind w:left="714" w:hanging="357"/>
      </w:pPr>
      <w:r>
        <w:t>Do you agree that CFDs on instruments other than equities and currencies are i</w:t>
      </w:r>
      <w:r>
        <w:t>l</w:t>
      </w:r>
      <w:r>
        <w:t>liquid?</w:t>
      </w:r>
      <w:r w:rsidRPr="002D60BB">
        <w:t xml:space="preserve"> </w:t>
      </w:r>
      <w:r>
        <w:t>If you do not agree with ESMA’s proposal for the definition of a liquid ma</w:t>
      </w:r>
      <w:r>
        <w:t>r</w:t>
      </w:r>
      <w:r>
        <w:t>ket for those classes, please provide your alternative proposal specifying the fo</w:t>
      </w:r>
      <w:r>
        <w:t>l</w:t>
      </w:r>
      <w:r>
        <w:t>lowing:</w:t>
      </w:r>
    </w:p>
    <w:p w:rsidR="00A8728B" w:rsidRDefault="00A8728B" w:rsidP="00566C6A">
      <w:pPr>
        <w:pStyle w:val="CPQuest2"/>
        <w:numPr>
          <w:ilvl w:val="0"/>
          <w:numId w:val="45"/>
        </w:numPr>
      </w:pPr>
      <w:r>
        <w:t xml:space="preserve">How would you define the sub-classes, i.e. which </w:t>
      </w:r>
      <w:r w:rsidRPr="00B62727">
        <w:t xml:space="preserve">qualitative criteria </w:t>
      </w:r>
      <w:r>
        <w:t>would you use?</w:t>
      </w:r>
    </w:p>
    <w:p w:rsidR="00A8728B" w:rsidRDefault="00A8728B" w:rsidP="00566C6A">
      <w:pPr>
        <w:pStyle w:val="CPQuest2"/>
      </w:pPr>
      <w:r>
        <w:t xml:space="preserve">Which </w:t>
      </w:r>
      <w:r w:rsidRPr="00B62727">
        <w:t xml:space="preserve">parameters </w:t>
      </w:r>
      <w:r>
        <w:t xml:space="preserve">and related thresholds would you use to classify a </w:t>
      </w:r>
      <w:r w:rsidRPr="00B62727">
        <w:t>sub-class as liquid?</w:t>
      </w:r>
    </w:p>
    <w:p w:rsidR="00A8728B" w:rsidRDefault="00A8728B" w:rsidP="00566C6A">
      <w:pPr>
        <w:pStyle w:val="CPQuest2"/>
      </w:pPr>
      <w:r>
        <w:t>Which sub-classes would you define as liquid?</w:t>
      </w:r>
    </w:p>
    <w:p w:rsidR="00A8728B" w:rsidRDefault="00A8728B" w:rsidP="00A8728B">
      <w:r>
        <w:t>&lt;ESMA_QUESTION_MIFID_ADD_11&gt;</w:t>
      </w:r>
    </w:p>
    <w:p w:rsidR="0010459B" w:rsidRPr="002C3167" w:rsidRDefault="00815F62" w:rsidP="00775B9C">
      <w:pPr>
        <w:rPr>
          <w:sz w:val="22"/>
          <w:szCs w:val="22"/>
        </w:rPr>
      </w:pPr>
      <w:permStart w:id="1076629069" w:edGrp="everyone"/>
      <w:r w:rsidRPr="002C3167">
        <w:rPr>
          <w:sz w:val="22"/>
          <w:szCs w:val="22"/>
        </w:rPr>
        <w:t xml:space="preserve">No comments. </w:t>
      </w:r>
    </w:p>
    <w:p w:rsidR="00A8728B" w:rsidRDefault="00EB338D" w:rsidP="00A8728B">
      <w:proofErr w:type="gramStart"/>
      <w:r>
        <w:rPr>
          <w:color w:val="FF0000"/>
          <w:sz w:val="22"/>
          <w:szCs w:val="22"/>
        </w:rPr>
        <w:t>.</w:t>
      </w:r>
      <w:permEnd w:id="1076629069"/>
      <w:r w:rsidR="00A8728B">
        <w:t>&lt;</w:t>
      </w:r>
      <w:proofErr w:type="gramEnd"/>
      <w:r w:rsidR="00A8728B">
        <w:t>ESMA_QUESTION_MIFID_ADD_11&gt;</w:t>
      </w:r>
    </w:p>
    <w:p w:rsidR="00A8728B" w:rsidRPr="00C24BCA" w:rsidRDefault="00A8728B" w:rsidP="00A8728B">
      <w:pPr>
        <w:pStyle w:val="CPQuestions"/>
        <w:ind w:left="714" w:hanging="357"/>
      </w:pPr>
      <w:r w:rsidRPr="00C24BCA">
        <w:t xml:space="preserve">Do you agree with ESMA’s proposal for CFDs? Please specify, for each sub-class (CFDs on equity, CFDs on currency, CFDs on commodity, CFDs on bonds, CFDs on futures </w:t>
      </w:r>
      <w:r w:rsidR="00992D4E" w:rsidRPr="00C24BCA">
        <w:t xml:space="preserve">on equity </w:t>
      </w:r>
      <w:r w:rsidRPr="00C24BCA">
        <w:t xml:space="preserve">and CFDs on options on equity, others) if you agree on the following points providing reasons for your answer and, if you disagree providing ESMA with an alternative proposal regarding: </w:t>
      </w:r>
    </w:p>
    <w:p w:rsidR="00A8728B" w:rsidRPr="00C24BCA" w:rsidRDefault="00A8728B" w:rsidP="00566C6A">
      <w:pPr>
        <w:pStyle w:val="CPQuest2"/>
        <w:numPr>
          <w:ilvl w:val="0"/>
          <w:numId w:val="46"/>
        </w:numPr>
      </w:pPr>
      <w:r w:rsidRPr="00C24BCA">
        <w:t>deferral period set to 48 hours</w:t>
      </w:r>
    </w:p>
    <w:p w:rsidR="00A8728B" w:rsidRPr="00C24BCA" w:rsidRDefault="00A8728B" w:rsidP="00566C6A">
      <w:pPr>
        <w:pStyle w:val="CPQuest2"/>
      </w:pPr>
      <w:r w:rsidRPr="00C24BCA">
        <w:t>size specific to the instrument threshold set as 50% of the large in scale threshold</w:t>
      </w:r>
    </w:p>
    <w:p w:rsidR="00A8728B" w:rsidRPr="00C24BCA" w:rsidRDefault="00A8728B" w:rsidP="00566C6A">
      <w:pPr>
        <w:pStyle w:val="CPQuest2"/>
      </w:pPr>
      <w:r w:rsidRPr="00C24BCA">
        <w:t>volume measure used to set the large in scale and size specific to the instrument threshold as specified in Annex II, Table 3 of draft RTS 9</w:t>
      </w:r>
    </w:p>
    <w:p w:rsidR="00A8728B" w:rsidRPr="00C24BCA" w:rsidRDefault="00A8728B" w:rsidP="00566C6A">
      <w:pPr>
        <w:pStyle w:val="CPQuest2"/>
      </w:pPr>
      <w:r w:rsidRPr="00C24BCA">
        <w:t>pre-trade and post-trade thresholds set at the same size</w:t>
      </w:r>
    </w:p>
    <w:p w:rsidR="00A8728B" w:rsidRDefault="00A8728B" w:rsidP="00566C6A">
      <w:pPr>
        <w:pStyle w:val="CPQuest2"/>
      </w:pPr>
      <w:r w:rsidRPr="00B62727">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w:t>
      </w:r>
      <w:r w:rsidRPr="00B62727">
        <w:t>r</w:t>
      </w:r>
      <w:r w:rsidRPr="00B62727">
        <w:t>ence for a system with recalculation (i.e. option 2), provide feedback on the thresholds determined for 2017 and on the methodology to recalculate the thres</w:t>
      </w:r>
      <w:r w:rsidRPr="00B62727">
        <w:t>h</w:t>
      </w:r>
      <w:r w:rsidRPr="00B62727">
        <w:t>olds from 2018 onwards including the level of granularity of the classes on which the recalculations will be performed</w:t>
      </w:r>
      <w:r>
        <w:t>.</w:t>
      </w:r>
    </w:p>
    <w:p w:rsidR="00A8728B" w:rsidRDefault="00A8728B" w:rsidP="00A8728B">
      <w:r>
        <w:t>&lt;ESMA_QUESTION_MIFID_ADD_12&gt;</w:t>
      </w:r>
    </w:p>
    <w:p w:rsidR="00775B9C" w:rsidRPr="00487875" w:rsidRDefault="00775B9C" w:rsidP="00775B9C">
      <w:pPr>
        <w:rPr>
          <w:sz w:val="22"/>
          <w:szCs w:val="22"/>
        </w:rPr>
      </w:pPr>
      <w:permStart w:id="1515985026" w:edGrp="everyone"/>
      <w:r w:rsidRPr="00487875">
        <w:rPr>
          <w:sz w:val="22"/>
          <w:szCs w:val="22"/>
        </w:rPr>
        <w:t>Please note that unless otherwise stated, NSA’s reply below is valid for all CFD classes me</w:t>
      </w:r>
      <w:r w:rsidRPr="00487875">
        <w:rPr>
          <w:sz w:val="22"/>
          <w:szCs w:val="22"/>
        </w:rPr>
        <w:t>n</w:t>
      </w:r>
      <w:r w:rsidRPr="00487875">
        <w:rPr>
          <w:sz w:val="22"/>
          <w:szCs w:val="22"/>
        </w:rPr>
        <w:t>tioned in the question (CFDs on equity, CFDs on currency, CFDs on commodity, CFDs on bonds, CFDs on futures on equity and CFDs</w:t>
      </w:r>
      <w:r w:rsidR="001669ED" w:rsidRPr="00487875">
        <w:rPr>
          <w:sz w:val="22"/>
          <w:szCs w:val="22"/>
        </w:rPr>
        <w:t xml:space="preserve"> on options on equity, others).</w:t>
      </w:r>
    </w:p>
    <w:p w:rsidR="004F53F0" w:rsidRPr="00487875" w:rsidRDefault="004F53F0" w:rsidP="00775B9C">
      <w:pPr>
        <w:rPr>
          <w:sz w:val="22"/>
          <w:szCs w:val="22"/>
        </w:rPr>
      </w:pPr>
    </w:p>
    <w:p w:rsidR="0027777D" w:rsidRPr="00487875" w:rsidRDefault="0027777D" w:rsidP="0027777D">
      <w:pPr>
        <w:rPr>
          <w:sz w:val="22"/>
          <w:szCs w:val="22"/>
          <w:u w:val="single"/>
        </w:rPr>
      </w:pPr>
      <w:r w:rsidRPr="00487875">
        <w:rPr>
          <w:rFonts w:eastAsia="Calibri"/>
          <w:sz w:val="22"/>
          <w:szCs w:val="22"/>
          <w:u w:val="single"/>
        </w:rPr>
        <w:t>General comments:</w:t>
      </w:r>
      <w:r w:rsidRPr="00487875">
        <w:rPr>
          <w:sz w:val="22"/>
          <w:szCs w:val="22"/>
          <w:u w:val="single"/>
        </w:rPr>
        <w:t xml:space="preserve"> </w:t>
      </w:r>
    </w:p>
    <w:p w:rsidR="0027777D" w:rsidRPr="00487875" w:rsidRDefault="0027777D" w:rsidP="0027777D">
      <w:pPr>
        <w:rPr>
          <w:rFonts w:eastAsia="Calibri"/>
          <w:sz w:val="22"/>
          <w:szCs w:val="22"/>
        </w:rPr>
      </w:pPr>
      <w:r w:rsidRPr="00487875">
        <w:rPr>
          <w:rFonts w:eastAsia="Calibri"/>
          <w:sz w:val="22"/>
          <w:szCs w:val="22"/>
        </w:rPr>
        <w:t xml:space="preserve">The NSA agrees with ESMA that it is </w:t>
      </w:r>
      <w:r w:rsidRPr="00487875">
        <w:rPr>
          <w:rFonts w:eastAsia="Calibri"/>
          <w:sz w:val="22"/>
          <w:szCs w:val="22"/>
          <w:u w:val="single"/>
        </w:rPr>
        <w:t>necessary to have a flexible deferral regime</w:t>
      </w:r>
      <w:r w:rsidRPr="00487875">
        <w:rPr>
          <w:rFonts w:eastAsia="Calibri"/>
          <w:sz w:val="22"/>
          <w:szCs w:val="22"/>
        </w:rPr>
        <w:t xml:space="preserve"> as a means of reducing the negative effects that could be the result of an increased post-trade transparency for some non-equity markets. This is in particular true for smaller markets which are dependent on market making (such as the Nordics). </w:t>
      </w:r>
    </w:p>
    <w:p w:rsidR="009F0AFE" w:rsidRDefault="009F0AFE" w:rsidP="009F0AFE">
      <w:pPr>
        <w:rPr>
          <w:rFonts w:eastAsia="Calibri"/>
          <w:sz w:val="22"/>
          <w:szCs w:val="22"/>
        </w:rPr>
      </w:pPr>
    </w:p>
    <w:p w:rsidR="009F0AFE" w:rsidRPr="00487875" w:rsidRDefault="009F0AFE" w:rsidP="009F0AFE">
      <w:pPr>
        <w:rPr>
          <w:rFonts w:eastAsia="Calibri"/>
          <w:sz w:val="22"/>
          <w:szCs w:val="22"/>
        </w:rPr>
      </w:pPr>
      <w:r w:rsidRPr="00487875">
        <w:rPr>
          <w:rFonts w:eastAsia="Calibri"/>
          <w:sz w:val="22"/>
          <w:szCs w:val="22"/>
        </w:rPr>
        <w:t>The NSA also shares ESMA’s view that it is not pos</w:t>
      </w:r>
      <w:r>
        <w:rPr>
          <w:rFonts w:eastAsia="Calibri"/>
          <w:sz w:val="22"/>
          <w:szCs w:val="22"/>
        </w:rPr>
        <w:t xml:space="preserve">sible to copy/paste the transparency </w:t>
      </w:r>
      <w:r w:rsidRPr="00487875">
        <w:rPr>
          <w:rFonts w:eastAsia="Calibri"/>
          <w:sz w:val="22"/>
          <w:szCs w:val="22"/>
        </w:rPr>
        <w:t>re</w:t>
      </w:r>
      <w:r>
        <w:rPr>
          <w:rFonts w:eastAsia="Calibri"/>
          <w:sz w:val="22"/>
          <w:szCs w:val="22"/>
        </w:rPr>
        <w:t>gime for e</w:t>
      </w:r>
      <w:r w:rsidRPr="00487875">
        <w:rPr>
          <w:rFonts w:eastAsia="Calibri"/>
          <w:sz w:val="22"/>
          <w:szCs w:val="22"/>
        </w:rPr>
        <w:t xml:space="preserve">quities or the US transparency regime considering the major differences between these markets and the EU </w:t>
      </w:r>
      <w:r>
        <w:rPr>
          <w:rFonts w:eastAsia="Calibri"/>
          <w:sz w:val="22"/>
          <w:szCs w:val="22"/>
        </w:rPr>
        <w:t xml:space="preserve">non-equity </w:t>
      </w:r>
      <w:r w:rsidRPr="00487875">
        <w:rPr>
          <w:rFonts w:eastAsia="Calibri"/>
          <w:sz w:val="22"/>
          <w:szCs w:val="22"/>
        </w:rPr>
        <w:t xml:space="preserve">markets. </w:t>
      </w:r>
    </w:p>
    <w:p w:rsidR="0027777D" w:rsidRPr="00487875" w:rsidRDefault="0027777D" w:rsidP="00EA64E3">
      <w:pPr>
        <w:rPr>
          <w:rFonts w:eastAsia="Calibri"/>
          <w:sz w:val="22"/>
          <w:szCs w:val="22"/>
        </w:rPr>
      </w:pPr>
    </w:p>
    <w:p w:rsidR="0027777D" w:rsidRPr="00487875" w:rsidRDefault="0027777D" w:rsidP="00EA64E3">
      <w:pPr>
        <w:rPr>
          <w:sz w:val="22"/>
          <w:szCs w:val="22"/>
        </w:rPr>
      </w:pPr>
      <w:r w:rsidRPr="00487875">
        <w:rPr>
          <w:rFonts w:eastAsia="Calibri"/>
          <w:sz w:val="22"/>
          <w:szCs w:val="22"/>
        </w:rPr>
        <w:t xml:space="preserve">Furthermore, the NSA wants to stress that it is crucial that any recalibration of thresholds takes </w:t>
      </w:r>
      <w:r w:rsidRPr="00487875">
        <w:rPr>
          <w:rFonts w:eastAsia="Calibri"/>
          <w:sz w:val="22"/>
          <w:szCs w:val="22"/>
          <w:u w:val="single"/>
        </w:rPr>
        <w:t>Ex-Post Effects</w:t>
      </w:r>
      <w:r w:rsidRPr="00487875">
        <w:rPr>
          <w:rFonts w:eastAsia="Calibri"/>
          <w:sz w:val="22"/>
          <w:szCs w:val="22"/>
        </w:rPr>
        <w:t xml:space="preserve"> into account, </w:t>
      </w:r>
      <w:r w:rsidRPr="00487875">
        <w:rPr>
          <w:sz w:val="22"/>
          <w:szCs w:val="22"/>
        </w:rPr>
        <w:t xml:space="preserve">i.e. the impact that the introduction of the new EU transparency regime will have on the liquidity of the instruments and in the long run, on the stability of the markets as a whole if companies cannot properly hedge their risks from various sources.  Such Ex-Post Effects need to be based on </w:t>
      </w:r>
      <w:r w:rsidRPr="00487875">
        <w:rPr>
          <w:sz w:val="22"/>
          <w:szCs w:val="22"/>
          <w:u w:val="single"/>
        </w:rPr>
        <w:t>expert judgement</w:t>
      </w:r>
      <w:r w:rsidRPr="00487875">
        <w:rPr>
          <w:sz w:val="22"/>
          <w:szCs w:val="22"/>
        </w:rPr>
        <w:t>.</w:t>
      </w:r>
    </w:p>
    <w:p w:rsidR="0027777D" w:rsidRPr="00487875" w:rsidRDefault="0027777D" w:rsidP="00775B9C">
      <w:pPr>
        <w:rPr>
          <w:sz w:val="22"/>
          <w:szCs w:val="22"/>
        </w:rPr>
      </w:pPr>
    </w:p>
    <w:p w:rsidR="00224947" w:rsidRPr="00487875" w:rsidRDefault="00224947" w:rsidP="00224947">
      <w:pPr>
        <w:rPr>
          <w:sz w:val="22"/>
          <w:szCs w:val="22"/>
        </w:rPr>
      </w:pPr>
      <w:r w:rsidRPr="00487875">
        <w:rPr>
          <w:sz w:val="22"/>
          <w:szCs w:val="22"/>
          <w:u w:val="single"/>
        </w:rPr>
        <w:t>Questions</w:t>
      </w:r>
      <w:r w:rsidRPr="00487875">
        <w:rPr>
          <w:sz w:val="22"/>
          <w:szCs w:val="22"/>
        </w:rPr>
        <w:t xml:space="preserve">: </w:t>
      </w:r>
    </w:p>
    <w:p w:rsidR="00224947" w:rsidRPr="00487875" w:rsidRDefault="00224947" w:rsidP="00224947">
      <w:pPr>
        <w:rPr>
          <w:b/>
          <w:sz w:val="22"/>
          <w:szCs w:val="22"/>
        </w:rPr>
      </w:pPr>
      <w:r w:rsidRPr="00487875">
        <w:rPr>
          <w:b/>
          <w:sz w:val="22"/>
          <w:szCs w:val="22"/>
        </w:rPr>
        <w:t xml:space="preserve">Question 12 (1) </w:t>
      </w:r>
    </w:p>
    <w:p w:rsidR="00AD43F9" w:rsidRPr="00487875" w:rsidRDefault="00AD43F9" w:rsidP="00AD43F9">
      <w:pPr>
        <w:rPr>
          <w:sz w:val="22"/>
          <w:szCs w:val="22"/>
        </w:rPr>
      </w:pPr>
      <w:r w:rsidRPr="00487875">
        <w:rPr>
          <w:sz w:val="22"/>
          <w:szCs w:val="22"/>
        </w:rPr>
        <w:t>The</w:t>
      </w:r>
      <w:r w:rsidRPr="00487875">
        <w:rPr>
          <w:b/>
          <w:sz w:val="22"/>
          <w:szCs w:val="22"/>
        </w:rPr>
        <w:t xml:space="preserve"> </w:t>
      </w:r>
      <w:r w:rsidRPr="00487875">
        <w:rPr>
          <w:sz w:val="22"/>
          <w:szCs w:val="22"/>
        </w:rPr>
        <w:t xml:space="preserve">NSA </w:t>
      </w:r>
      <w:r w:rsidRPr="00487875">
        <w:rPr>
          <w:sz w:val="22"/>
          <w:szCs w:val="22"/>
          <w:u w:val="single"/>
        </w:rPr>
        <w:t>supports ESMA’s proposal for 48 hours standard deferral (as well as the suppleme</w:t>
      </w:r>
      <w:r w:rsidRPr="00487875">
        <w:rPr>
          <w:sz w:val="22"/>
          <w:szCs w:val="22"/>
          <w:u w:val="single"/>
        </w:rPr>
        <w:t>n</w:t>
      </w:r>
      <w:r w:rsidRPr="00487875">
        <w:rPr>
          <w:sz w:val="22"/>
          <w:szCs w:val="22"/>
          <w:u w:val="single"/>
        </w:rPr>
        <w:t>tary deferral regime with extended deferral time and aggregation)</w:t>
      </w:r>
      <w:r w:rsidRPr="00487875">
        <w:rPr>
          <w:sz w:val="22"/>
          <w:szCs w:val="22"/>
        </w:rPr>
        <w:t xml:space="preserve">. </w:t>
      </w:r>
    </w:p>
    <w:p w:rsidR="00AD43F9" w:rsidRPr="00487875" w:rsidRDefault="00AD43F9" w:rsidP="00AD43F9">
      <w:pPr>
        <w:rPr>
          <w:sz w:val="22"/>
          <w:szCs w:val="22"/>
        </w:rPr>
      </w:pPr>
    </w:p>
    <w:p w:rsidR="00AD43F9" w:rsidRPr="00487875" w:rsidRDefault="00AD43F9" w:rsidP="00AD43F9">
      <w:pPr>
        <w:rPr>
          <w:sz w:val="22"/>
          <w:szCs w:val="22"/>
        </w:rPr>
      </w:pPr>
      <w:r w:rsidRPr="00487875">
        <w:rPr>
          <w:sz w:val="22"/>
          <w:szCs w:val="22"/>
        </w:rPr>
        <w:t xml:space="preserve">However, in our opinion, the standard deferral rule should be </w:t>
      </w:r>
      <w:r w:rsidRPr="00487875">
        <w:rPr>
          <w:sz w:val="22"/>
          <w:szCs w:val="22"/>
          <w:u w:val="single"/>
        </w:rPr>
        <w:t>changed into T+2</w:t>
      </w:r>
      <w:r w:rsidRPr="00487875">
        <w:rPr>
          <w:sz w:val="22"/>
          <w:szCs w:val="22"/>
        </w:rPr>
        <w:t xml:space="preserve"> rather than 48 hours. This approach (T+2) would be more in line with other rules (i.e. the CSDR settlement rules) and will not cause the same practical problems with weekends etc. </w:t>
      </w:r>
    </w:p>
    <w:p w:rsidR="00AD43F9" w:rsidRPr="00487875" w:rsidRDefault="00AD43F9" w:rsidP="00224947">
      <w:pPr>
        <w:rPr>
          <w:b/>
          <w:sz w:val="22"/>
          <w:szCs w:val="22"/>
        </w:rPr>
      </w:pPr>
    </w:p>
    <w:p w:rsidR="00224947" w:rsidRPr="00487875" w:rsidRDefault="00224947" w:rsidP="00224947">
      <w:pPr>
        <w:rPr>
          <w:b/>
          <w:sz w:val="22"/>
          <w:szCs w:val="22"/>
        </w:rPr>
      </w:pPr>
      <w:r w:rsidRPr="00487875">
        <w:rPr>
          <w:b/>
          <w:sz w:val="22"/>
          <w:szCs w:val="22"/>
        </w:rPr>
        <w:t>Question 12 (2)</w:t>
      </w:r>
    </w:p>
    <w:p w:rsidR="0010459B" w:rsidRPr="00487875" w:rsidRDefault="0010459B" w:rsidP="0010459B">
      <w:pPr>
        <w:rPr>
          <w:sz w:val="22"/>
          <w:szCs w:val="22"/>
        </w:rPr>
      </w:pPr>
      <w:r w:rsidRPr="00487875">
        <w:rPr>
          <w:sz w:val="22"/>
          <w:szCs w:val="22"/>
        </w:rPr>
        <w:t xml:space="preserve">No, the NSA does not agree. We note that according to table 71 on page 352, the LIS and SSTI thresholds for CFD on futures on an equity are much too high (500,000/250,000 EUR) compared to other </w:t>
      </w:r>
      <w:proofErr w:type="spellStart"/>
      <w:r w:rsidRPr="00487875">
        <w:rPr>
          <w:sz w:val="22"/>
          <w:szCs w:val="22"/>
        </w:rPr>
        <w:t>underlyings</w:t>
      </w:r>
      <w:proofErr w:type="spellEnd"/>
      <w:r w:rsidRPr="00487875">
        <w:rPr>
          <w:sz w:val="22"/>
          <w:szCs w:val="22"/>
        </w:rPr>
        <w:t xml:space="preserve"> (100,000/50,000). These differences do not make sense and will lead to strange results. In the opinion of the NSA this is another example of the fact that the quality of the data used by ESMA is not adequate.  </w:t>
      </w:r>
    </w:p>
    <w:p w:rsidR="0010459B" w:rsidRPr="00487875" w:rsidRDefault="0010459B" w:rsidP="00EA64E3">
      <w:pPr>
        <w:rPr>
          <w:sz w:val="22"/>
          <w:szCs w:val="22"/>
        </w:rPr>
      </w:pPr>
    </w:p>
    <w:p w:rsidR="0010459B" w:rsidRPr="00487875" w:rsidRDefault="0010459B" w:rsidP="00EA64E3">
      <w:pPr>
        <w:rPr>
          <w:sz w:val="22"/>
          <w:szCs w:val="22"/>
        </w:rPr>
      </w:pPr>
      <w:r w:rsidRPr="00487875">
        <w:rPr>
          <w:sz w:val="22"/>
          <w:szCs w:val="22"/>
        </w:rPr>
        <w:t>The NSA is generally very concerned w</w:t>
      </w:r>
      <w:r w:rsidR="00263037" w:rsidRPr="00487875">
        <w:rPr>
          <w:sz w:val="22"/>
          <w:szCs w:val="22"/>
        </w:rPr>
        <w:t>ith the proposed SSTI level (50</w:t>
      </w:r>
      <w:r w:rsidRPr="00487875">
        <w:rPr>
          <w:sz w:val="22"/>
          <w:szCs w:val="22"/>
        </w:rPr>
        <w:t>% of LIS) which we co</w:t>
      </w:r>
      <w:r w:rsidRPr="00487875">
        <w:rPr>
          <w:sz w:val="22"/>
          <w:szCs w:val="22"/>
        </w:rPr>
        <w:t>n</w:t>
      </w:r>
      <w:r w:rsidRPr="00487875">
        <w:rPr>
          <w:sz w:val="22"/>
          <w:szCs w:val="22"/>
        </w:rPr>
        <w:t>sider to be far too high. These high SSTI thresholds will have the effect of increasing the risks of SIs which will have a negative effect on their ability to provide liqui</w:t>
      </w:r>
      <w:r w:rsidR="002B198D" w:rsidRPr="00487875">
        <w:rPr>
          <w:sz w:val="22"/>
          <w:szCs w:val="22"/>
        </w:rPr>
        <w:t>dity to non-equity markets</w:t>
      </w:r>
      <w:r w:rsidRPr="00487875">
        <w:rPr>
          <w:sz w:val="22"/>
          <w:szCs w:val="22"/>
        </w:rPr>
        <w:t xml:space="preserve">. As a result, the costs for providing liquidity will increase, many </w:t>
      </w:r>
      <w:proofErr w:type="gramStart"/>
      <w:r w:rsidRPr="00487875">
        <w:rPr>
          <w:sz w:val="22"/>
          <w:szCs w:val="22"/>
        </w:rPr>
        <w:t>SIs</w:t>
      </w:r>
      <w:proofErr w:type="gramEnd"/>
      <w:r w:rsidRPr="00487875">
        <w:rPr>
          <w:sz w:val="22"/>
          <w:szCs w:val="22"/>
        </w:rPr>
        <w:t xml:space="preserve"> will step out </w:t>
      </w:r>
      <w:r w:rsidR="002B198D" w:rsidRPr="00487875">
        <w:rPr>
          <w:sz w:val="22"/>
          <w:szCs w:val="22"/>
        </w:rPr>
        <w:t xml:space="preserve">of </w:t>
      </w:r>
      <w:r w:rsidRPr="00487875">
        <w:rPr>
          <w:sz w:val="22"/>
          <w:szCs w:val="22"/>
        </w:rPr>
        <w:t xml:space="preserve">the market and competition will be negatively affected. </w:t>
      </w:r>
    </w:p>
    <w:p w:rsidR="0010459B" w:rsidRPr="00487875" w:rsidRDefault="0010459B" w:rsidP="00EA64E3">
      <w:pPr>
        <w:rPr>
          <w:sz w:val="22"/>
          <w:szCs w:val="22"/>
        </w:rPr>
      </w:pPr>
    </w:p>
    <w:p w:rsidR="0010459B" w:rsidRPr="00487875" w:rsidRDefault="0010459B" w:rsidP="00EA64E3">
      <w:pPr>
        <w:rPr>
          <w:sz w:val="22"/>
          <w:szCs w:val="22"/>
        </w:rPr>
      </w:pPr>
      <w:r w:rsidRPr="00487875">
        <w:rPr>
          <w:sz w:val="22"/>
          <w:szCs w:val="22"/>
        </w:rPr>
        <w:t>The SSTI and LIS are two different thresholds with very di</w:t>
      </w:r>
      <w:r w:rsidR="00363CE2">
        <w:rPr>
          <w:sz w:val="22"/>
          <w:szCs w:val="22"/>
        </w:rPr>
        <w:t>fferent aims. The SSTI</w:t>
      </w:r>
      <w:r w:rsidRPr="00487875">
        <w:rPr>
          <w:sz w:val="22"/>
          <w:szCs w:val="22"/>
        </w:rPr>
        <w:t>, accor</w:t>
      </w:r>
      <w:r w:rsidRPr="00487875">
        <w:rPr>
          <w:sz w:val="22"/>
          <w:szCs w:val="22"/>
        </w:rPr>
        <w:t>d</w:t>
      </w:r>
      <w:r w:rsidRPr="00487875">
        <w:rPr>
          <w:sz w:val="22"/>
          <w:szCs w:val="22"/>
        </w:rPr>
        <w:t>ing to the political agreement on Level I, intends to protect liquidity providers and SIs from “u</w:t>
      </w:r>
      <w:r w:rsidRPr="00487875">
        <w:rPr>
          <w:sz w:val="22"/>
          <w:szCs w:val="22"/>
        </w:rPr>
        <w:t>n</w:t>
      </w:r>
      <w:r w:rsidRPr="00487875">
        <w:rPr>
          <w:sz w:val="22"/>
          <w:szCs w:val="22"/>
        </w:rPr>
        <w:t>due risk”. In order to achieve this goal, the SSTI threshold</w:t>
      </w:r>
      <w:r w:rsidR="00363CE2">
        <w:rPr>
          <w:sz w:val="22"/>
          <w:szCs w:val="22"/>
        </w:rPr>
        <w:t>s</w:t>
      </w:r>
      <w:r w:rsidRPr="00487875">
        <w:rPr>
          <w:sz w:val="22"/>
          <w:szCs w:val="22"/>
        </w:rPr>
        <w:t xml:space="preserve"> should be able to be adjusted for local market needs and not be set as one fixed threshold for the EU as a whole. However, If ESMA persists in having one SSTI threshold </w:t>
      </w:r>
      <w:r w:rsidR="00F95877">
        <w:rPr>
          <w:sz w:val="22"/>
          <w:szCs w:val="22"/>
        </w:rPr>
        <w:t>f</w:t>
      </w:r>
      <w:r w:rsidRPr="00487875">
        <w:rPr>
          <w:sz w:val="22"/>
          <w:szCs w:val="22"/>
        </w:rPr>
        <w:t xml:space="preserve">or the whole of </w:t>
      </w:r>
      <w:proofErr w:type="gramStart"/>
      <w:r w:rsidRPr="00487875">
        <w:rPr>
          <w:sz w:val="22"/>
          <w:szCs w:val="22"/>
        </w:rPr>
        <w:t>EU,</w:t>
      </w:r>
      <w:proofErr w:type="gramEnd"/>
      <w:r w:rsidRPr="00487875">
        <w:rPr>
          <w:sz w:val="22"/>
          <w:szCs w:val="22"/>
        </w:rPr>
        <w:t xml:space="preserve"> it needs to</w:t>
      </w:r>
      <w:r w:rsidR="00263037" w:rsidRPr="00487875">
        <w:rPr>
          <w:sz w:val="22"/>
          <w:szCs w:val="22"/>
        </w:rPr>
        <w:t xml:space="preserve"> be significantly lower than 50</w:t>
      </w:r>
      <w:r w:rsidRPr="00487875">
        <w:rPr>
          <w:sz w:val="22"/>
          <w:szCs w:val="22"/>
        </w:rPr>
        <w:t xml:space="preserve">% of LIS.  </w:t>
      </w:r>
      <w:proofErr w:type="gramStart"/>
      <w:r w:rsidRPr="00487875">
        <w:rPr>
          <w:sz w:val="22"/>
          <w:szCs w:val="22"/>
          <w:u w:val="single"/>
        </w:rPr>
        <w:t>A m</w:t>
      </w:r>
      <w:r w:rsidR="00263037" w:rsidRPr="00487875">
        <w:rPr>
          <w:sz w:val="22"/>
          <w:szCs w:val="22"/>
          <w:u w:val="single"/>
        </w:rPr>
        <w:t>aximum SSTI threshold that is 5</w:t>
      </w:r>
      <w:r w:rsidR="00B41CC5" w:rsidRPr="00487875">
        <w:rPr>
          <w:sz w:val="22"/>
          <w:szCs w:val="22"/>
          <w:u w:val="single"/>
        </w:rPr>
        <w:t>-10</w:t>
      </w:r>
      <w:r w:rsidRPr="00487875">
        <w:rPr>
          <w:sz w:val="22"/>
          <w:szCs w:val="22"/>
          <w:u w:val="single"/>
        </w:rPr>
        <w:t>% of LIS or retail market size more in line with Level I.</w:t>
      </w:r>
      <w:proofErr w:type="gramEnd"/>
      <w:r w:rsidRPr="00487875">
        <w:rPr>
          <w:sz w:val="22"/>
          <w:szCs w:val="22"/>
          <w:u w:val="single"/>
        </w:rPr>
        <w:t xml:space="preserve"> </w:t>
      </w:r>
    </w:p>
    <w:p w:rsidR="0010459B" w:rsidRPr="00487875" w:rsidRDefault="0010459B" w:rsidP="00EA64E3">
      <w:pPr>
        <w:rPr>
          <w:sz w:val="22"/>
          <w:szCs w:val="22"/>
        </w:rPr>
      </w:pPr>
    </w:p>
    <w:p w:rsidR="00224947" w:rsidRPr="00487875" w:rsidRDefault="00224947" w:rsidP="00224947">
      <w:pPr>
        <w:rPr>
          <w:b/>
          <w:sz w:val="22"/>
          <w:szCs w:val="22"/>
        </w:rPr>
      </w:pPr>
      <w:r w:rsidRPr="00487875">
        <w:rPr>
          <w:b/>
          <w:sz w:val="22"/>
          <w:szCs w:val="22"/>
        </w:rPr>
        <w:t xml:space="preserve">Question 12 (3) </w:t>
      </w:r>
    </w:p>
    <w:p w:rsidR="0010459B" w:rsidRPr="00487875" w:rsidRDefault="002B198D" w:rsidP="0010459B">
      <w:pPr>
        <w:rPr>
          <w:sz w:val="22"/>
          <w:szCs w:val="22"/>
        </w:rPr>
      </w:pPr>
      <w:r w:rsidRPr="00487875">
        <w:rPr>
          <w:sz w:val="22"/>
          <w:szCs w:val="22"/>
        </w:rPr>
        <w:t>The NSA generally agrees with</w:t>
      </w:r>
      <w:r w:rsidR="0010459B" w:rsidRPr="00487875">
        <w:rPr>
          <w:sz w:val="22"/>
          <w:szCs w:val="22"/>
        </w:rPr>
        <w:t xml:space="preserve"> the volume measures used to set LIS thresholds as specified in Annex II, Table 3 of draft RTS 9.</w:t>
      </w:r>
    </w:p>
    <w:p w:rsidR="00D74310" w:rsidRPr="00487875" w:rsidRDefault="00D74310" w:rsidP="00224947">
      <w:pPr>
        <w:rPr>
          <w:sz w:val="22"/>
          <w:szCs w:val="22"/>
        </w:rPr>
      </w:pPr>
    </w:p>
    <w:p w:rsidR="00F43F5F" w:rsidRPr="00487875" w:rsidRDefault="00F43F5F" w:rsidP="00F43F5F">
      <w:pPr>
        <w:rPr>
          <w:b/>
          <w:sz w:val="22"/>
          <w:szCs w:val="22"/>
        </w:rPr>
      </w:pPr>
      <w:r w:rsidRPr="00487875">
        <w:rPr>
          <w:b/>
          <w:sz w:val="22"/>
          <w:szCs w:val="22"/>
        </w:rPr>
        <w:t xml:space="preserve">Question 12 (4) </w:t>
      </w:r>
    </w:p>
    <w:p w:rsidR="0010459B" w:rsidRPr="00487875" w:rsidRDefault="0010459B" w:rsidP="0010459B">
      <w:pPr>
        <w:rPr>
          <w:sz w:val="22"/>
          <w:szCs w:val="22"/>
        </w:rPr>
      </w:pPr>
      <w:r w:rsidRPr="00487875">
        <w:rPr>
          <w:sz w:val="22"/>
          <w:szCs w:val="22"/>
        </w:rPr>
        <w:t>Provided that the SSTI thresholds are set in accordance with the political agreement on Level I, i.e. so as to protect liquidity providers/SIs from “undue risk” and set at retail size, we see no reason for different thresholds for pre- and post-trade transparency. However, taking into a</w:t>
      </w:r>
      <w:r w:rsidRPr="00487875">
        <w:rPr>
          <w:sz w:val="22"/>
          <w:szCs w:val="22"/>
        </w:rPr>
        <w:t>c</w:t>
      </w:r>
      <w:r w:rsidRPr="00487875">
        <w:rPr>
          <w:sz w:val="22"/>
          <w:szCs w:val="22"/>
        </w:rPr>
        <w:t>count the nature of the risks incurred by a liquidity provider/SI and provided that ESMA’s pr</w:t>
      </w:r>
      <w:r w:rsidRPr="00487875">
        <w:rPr>
          <w:sz w:val="22"/>
          <w:szCs w:val="22"/>
        </w:rPr>
        <w:t>o</w:t>
      </w:r>
      <w:r w:rsidRPr="00487875">
        <w:rPr>
          <w:sz w:val="22"/>
          <w:szCs w:val="22"/>
        </w:rPr>
        <w:t>posals regarding post trade deferral are not changed, we believe it to be more important to lower the threshold for pre-trade transparency/SI obligations than for post-trade transparency. The pre-trade/SI transparency SST</w:t>
      </w:r>
      <w:r w:rsidR="00263037" w:rsidRPr="00487875">
        <w:rPr>
          <w:sz w:val="22"/>
          <w:szCs w:val="22"/>
        </w:rPr>
        <w:t>I threshold should maximum be 5</w:t>
      </w:r>
      <w:r w:rsidR="00B41CC5" w:rsidRPr="00487875">
        <w:rPr>
          <w:sz w:val="22"/>
          <w:szCs w:val="22"/>
        </w:rPr>
        <w:t>-10</w:t>
      </w:r>
      <w:r w:rsidRPr="00487875">
        <w:rPr>
          <w:sz w:val="22"/>
          <w:szCs w:val="22"/>
        </w:rPr>
        <w:t xml:space="preserve">% of LIS or retail market size. </w:t>
      </w:r>
    </w:p>
    <w:p w:rsidR="00F43F5F" w:rsidRPr="00487875" w:rsidRDefault="00F43F5F" w:rsidP="00F43F5F">
      <w:pPr>
        <w:rPr>
          <w:sz w:val="22"/>
          <w:szCs w:val="22"/>
        </w:rPr>
      </w:pPr>
    </w:p>
    <w:p w:rsidR="00224947" w:rsidRPr="00487875" w:rsidRDefault="00224947" w:rsidP="00224947">
      <w:pPr>
        <w:rPr>
          <w:b/>
          <w:sz w:val="22"/>
          <w:szCs w:val="22"/>
        </w:rPr>
      </w:pPr>
      <w:r w:rsidRPr="00487875">
        <w:rPr>
          <w:b/>
          <w:sz w:val="22"/>
          <w:szCs w:val="22"/>
        </w:rPr>
        <w:t>Question 12 (5</w:t>
      </w:r>
      <w:r w:rsidR="007B52C6" w:rsidRPr="00487875">
        <w:rPr>
          <w:b/>
          <w:sz w:val="22"/>
          <w:szCs w:val="22"/>
        </w:rPr>
        <w:t xml:space="preserve"> </w:t>
      </w:r>
      <w:r w:rsidRPr="00487875">
        <w:rPr>
          <w:b/>
          <w:sz w:val="22"/>
          <w:szCs w:val="22"/>
        </w:rPr>
        <w:t xml:space="preserve">a) </w:t>
      </w:r>
    </w:p>
    <w:p w:rsidR="0010459B" w:rsidRPr="00487875" w:rsidRDefault="0010459B" w:rsidP="0010459B">
      <w:pPr>
        <w:rPr>
          <w:sz w:val="22"/>
          <w:szCs w:val="22"/>
        </w:rPr>
      </w:pPr>
      <w:r w:rsidRPr="00487875">
        <w:rPr>
          <w:sz w:val="22"/>
          <w:szCs w:val="22"/>
        </w:rPr>
        <w:t xml:space="preserve">The NSA agrees with ESMA and supports a system with recalculation, </w:t>
      </w:r>
      <w:r w:rsidR="002C3167" w:rsidRPr="00487875">
        <w:rPr>
          <w:sz w:val="22"/>
          <w:szCs w:val="22"/>
        </w:rPr>
        <w:t xml:space="preserve">i.e. </w:t>
      </w:r>
      <w:r w:rsidRPr="00487875">
        <w:rPr>
          <w:sz w:val="22"/>
          <w:szCs w:val="22"/>
          <w:u w:val="single"/>
        </w:rPr>
        <w:t>Option 2</w:t>
      </w:r>
      <w:r w:rsidRPr="00487875">
        <w:rPr>
          <w:sz w:val="22"/>
          <w:szCs w:val="22"/>
        </w:rPr>
        <w:t xml:space="preserve">. </w:t>
      </w:r>
    </w:p>
    <w:p w:rsidR="0010459B" w:rsidRPr="00487875" w:rsidRDefault="0010459B" w:rsidP="00224947">
      <w:pPr>
        <w:rPr>
          <w:b/>
          <w:sz w:val="22"/>
          <w:szCs w:val="22"/>
        </w:rPr>
      </w:pPr>
    </w:p>
    <w:p w:rsidR="00224947" w:rsidRPr="00487875" w:rsidRDefault="00224947" w:rsidP="00224947">
      <w:pPr>
        <w:rPr>
          <w:b/>
          <w:sz w:val="22"/>
          <w:szCs w:val="22"/>
        </w:rPr>
      </w:pPr>
      <w:r w:rsidRPr="00487875">
        <w:rPr>
          <w:b/>
          <w:sz w:val="22"/>
          <w:szCs w:val="22"/>
        </w:rPr>
        <w:t>Question 12 (5</w:t>
      </w:r>
      <w:r w:rsidR="007B52C6" w:rsidRPr="00487875">
        <w:rPr>
          <w:b/>
          <w:sz w:val="22"/>
          <w:szCs w:val="22"/>
        </w:rPr>
        <w:t xml:space="preserve"> </w:t>
      </w:r>
      <w:r w:rsidRPr="00487875">
        <w:rPr>
          <w:b/>
          <w:sz w:val="22"/>
          <w:szCs w:val="22"/>
        </w:rPr>
        <w:t>b)</w:t>
      </w:r>
    </w:p>
    <w:p w:rsidR="00AD43F9" w:rsidRPr="00487875" w:rsidRDefault="00AD43F9" w:rsidP="00EA64E3">
      <w:pPr>
        <w:rPr>
          <w:sz w:val="22"/>
          <w:szCs w:val="22"/>
        </w:rPr>
      </w:pPr>
      <w:r w:rsidRPr="00487875">
        <w:rPr>
          <w:sz w:val="22"/>
          <w:szCs w:val="22"/>
        </w:rPr>
        <w:t xml:space="preserve">The NSA supports a </w:t>
      </w:r>
      <w:r w:rsidRPr="00487875">
        <w:rPr>
          <w:sz w:val="22"/>
          <w:szCs w:val="22"/>
          <w:u w:val="single"/>
        </w:rPr>
        <w:t>recalculation after 6 months</w:t>
      </w:r>
      <w:r w:rsidRPr="00487875">
        <w:rPr>
          <w:sz w:val="22"/>
          <w:szCs w:val="22"/>
        </w:rPr>
        <w:t xml:space="preserve">. The methodology for re-calculating thresholds from 2018 and onwards must be designed to take </w:t>
      </w:r>
      <w:r w:rsidRPr="00487875">
        <w:rPr>
          <w:sz w:val="22"/>
          <w:szCs w:val="22"/>
          <w:u w:val="single"/>
        </w:rPr>
        <w:t>Ex-Post Effects</w:t>
      </w:r>
      <w:r w:rsidRPr="00487875">
        <w:rPr>
          <w:sz w:val="22"/>
          <w:szCs w:val="22"/>
        </w:rPr>
        <w:t xml:space="preserve"> of the transparency regulation into account, i.e. the effects that the introduction of the new EU transparency regime will have on the liquidity of the instruments. Such Ex-Post Effects need to be based on </w:t>
      </w:r>
      <w:r w:rsidRPr="00487875">
        <w:rPr>
          <w:sz w:val="22"/>
          <w:szCs w:val="22"/>
          <w:u w:val="single"/>
        </w:rPr>
        <w:t>expert judgement</w:t>
      </w:r>
      <w:r w:rsidRPr="00487875">
        <w:rPr>
          <w:sz w:val="22"/>
          <w:szCs w:val="22"/>
        </w:rPr>
        <w:t>.</w:t>
      </w:r>
    </w:p>
    <w:permEnd w:id="1515985026"/>
    <w:p w:rsidR="00A8728B" w:rsidRDefault="00A8728B" w:rsidP="00A8728B">
      <w:r>
        <w:t>&lt;ESMA_QUESTION_MIFID_ADD_12&gt;</w:t>
      </w:r>
    </w:p>
    <w:p w:rsidR="00A8728B" w:rsidRDefault="00A8728B" w:rsidP="00A8728B"/>
    <w:p w:rsidR="00F32462" w:rsidRDefault="00F32462">
      <w:pPr>
        <w:rPr>
          <w:rFonts w:cs="Arial"/>
          <w:b/>
          <w:sz w:val="22"/>
          <w:szCs w:val="22"/>
          <w:lang w:eastAsia="en-US"/>
        </w:rPr>
      </w:pPr>
      <w:bookmarkStart w:id="3" w:name="_GoBack"/>
      <w:bookmarkEnd w:id="3"/>
    </w:p>
    <w:sectPr w:rsidR="00F32462"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BB8AB4" w15:done="0"/>
  <w15:commentEx w15:paraId="08C19C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CE2" w:rsidRDefault="00363CE2">
      <w:r>
        <w:separator/>
      </w:r>
    </w:p>
    <w:p w:rsidR="00363CE2" w:rsidRDefault="00363CE2"/>
  </w:endnote>
  <w:endnote w:type="continuationSeparator" w:id="0">
    <w:p w:rsidR="00363CE2" w:rsidRDefault="00363CE2">
      <w:r>
        <w:continuationSeparator/>
      </w:r>
    </w:p>
    <w:p w:rsidR="00363CE2" w:rsidRDefault="00363CE2"/>
  </w:endnote>
  <w:endnote w:type="continuationNotice" w:id="1">
    <w:p w:rsidR="00363CE2" w:rsidRDefault="00363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altName w:val="Times New Roman"/>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63CE2" w:rsidRPr="00616B9B" w:rsidTr="00315E96">
      <w:trPr>
        <w:trHeight w:val="284"/>
      </w:trPr>
      <w:tc>
        <w:tcPr>
          <w:tcW w:w="8460" w:type="dxa"/>
        </w:tcPr>
        <w:p w:rsidR="00363CE2" w:rsidRPr="00315E96" w:rsidRDefault="00363CE2" w:rsidP="00315E96">
          <w:pPr>
            <w:pStyle w:val="00Footer"/>
            <w:rPr>
              <w:lang w:val="fr-FR"/>
            </w:rPr>
          </w:pPr>
        </w:p>
      </w:tc>
      <w:tc>
        <w:tcPr>
          <w:tcW w:w="952" w:type="dxa"/>
        </w:tcPr>
        <w:p w:rsidR="00363CE2" w:rsidRPr="00616B9B" w:rsidRDefault="00363CE2"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37659">
            <w:rPr>
              <w:rFonts w:cs="Arial"/>
              <w:noProof/>
              <w:sz w:val="22"/>
              <w:szCs w:val="22"/>
            </w:rPr>
            <w:t>23</w:t>
          </w:r>
          <w:r w:rsidRPr="00616B9B">
            <w:rPr>
              <w:rFonts w:cs="Arial"/>
              <w:noProof/>
              <w:sz w:val="22"/>
              <w:szCs w:val="22"/>
            </w:rPr>
            <w:fldChar w:fldCharType="end"/>
          </w:r>
        </w:p>
      </w:tc>
    </w:tr>
  </w:tbl>
  <w:p w:rsidR="00363CE2" w:rsidRDefault="00363CE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CE2" w:rsidRDefault="00363CE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CE2" w:rsidRDefault="00363CE2">
      <w:r>
        <w:separator/>
      </w:r>
    </w:p>
    <w:p w:rsidR="00363CE2" w:rsidRDefault="00363CE2"/>
  </w:footnote>
  <w:footnote w:type="continuationSeparator" w:id="0">
    <w:p w:rsidR="00363CE2" w:rsidRDefault="00363CE2">
      <w:r>
        <w:continuationSeparator/>
      </w:r>
    </w:p>
    <w:p w:rsidR="00363CE2" w:rsidRDefault="00363CE2"/>
  </w:footnote>
  <w:footnote w:type="continuationNotice" w:id="1">
    <w:p w:rsidR="00363CE2" w:rsidRDefault="00363CE2"/>
  </w:footnote>
  <w:footnote w:id="2">
    <w:p w:rsidR="00363CE2" w:rsidRPr="00AA7A30" w:rsidRDefault="00363CE2" w:rsidP="00D34282">
      <w:pPr>
        <w:pStyle w:val="Fotnotstext"/>
        <w:rPr>
          <w:rFonts w:cs="Arial"/>
        </w:rPr>
      </w:pPr>
      <w:r w:rsidRPr="00AA7A30">
        <w:rPr>
          <w:rStyle w:val="Fotnotsreferens"/>
          <w:rFonts w:cs="Arial"/>
        </w:rPr>
        <w:footnoteRef/>
      </w:r>
      <w:r w:rsidRPr="00AA7A30">
        <w:rPr>
          <w:rFonts w:cs="Arial"/>
        </w:rPr>
        <w:t xml:space="preserve"> The field will used for consistency checks. If its value is different from the value indicated during submission on the website form, the latest one will be taken into account.</w:t>
      </w:r>
    </w:p>
  </w:footnote>
  <w:footnote w:id="3">
    <w:p w:rsidR="00363CE2" w:rsidRPr="00E330A9" w:rsidRDefault="00363CE2" w:rsidP="00E330A9">
      <w:pPr>
        <w:autoSpaceDE w:val="0"/>
        <w:autoSpaceDN w:val="0"/>
        <w:adjustRightInd w:val="0"/>
      </w:pPr>
      <w:r w:rsidRPr="007C73F0">
        <w:rPr>
          <w:rStyle w:val="Fotnotsreferens"/>
          <w:rFonts w:ascii="Verdana" w:hAnsi="Verdana"/>
          <w:sz w:val="16"/>
          <w:szCs w:val="16"/>
        </w:rPr>
        <w:footnoteRef/>
      </w:r>
      <w:r w:rsidRPr="007C73F0">
        <w:rPr>
          <w:rFonts w:ascii="Verdana" w:hAnsi="Verdana"/>
          <w:sz w:val="16"/>
          <w:szCs w:val="16"/>
        </w:rPr>
        <w:t xml:space="preserve"> </w:t>
      </w:r>
      <w:r w:rsidRPr="007C73F0">
        <w:rPr>
          <w:rFonts w:cs="Arial"/>
          <w:sz w:val="16"/>
          <w:szCs w:val="16"/>
          <w:lang w:eastAsia="en-GB"/>
        </w:rPr>
        <w:t>The Nordic Securities Association (“NSA”) represents the common interests of member firms in the Nordic securities dealers associations. Members of the NSA are the Danish Securities Dealers Association, the Finnish Federation of Financial Services, the Norwegian Securities Dealers Association and the Swedish Securities Dealers Association.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CE2" w:rsidRDefault="00363CE2">
    <w:pPr>
      <w:pStyle w:val="Sidhuvud"/>
    </w:pPr>
    <w:r>
      <w:rPr>
        <w:noProof/>
        <w:lang w:eastAsia="en-GB"/>
      </w:rPr>
      <w:drawing>
        <wp:anchor distT="0" distB="0" distL="114300" distR="114300" simplePos="0" relativeHeight="251658240" behindDoc="0" locked="0" layoutInCell="1" allowOverlap="1" wp14:anchorId="3B206C83" wp14:editId="65EFA18C">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5156E66" wp14:editId="1239002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CE2" w:rsidRDefault="00363CE2" w:rsidP="00013CCE">
    <w:pPr>
      <w:pStyle w:val="Sidhuvud"/>
      <w:jc w:val="right"/>
    </w:pPr>
    <w:r>
      <w:rPr>
        <w:noProof/>
        <w:lang w:eastAsia="en-GB"/>
      </w:rPr>
      <w:drawing>
        <wp:anchor distT="0" distB="0" distL="114300" distR="114300" simplePos="0" relativeHeight="251657216" behindDoc="0" locked="0" layoutInCell="1" allowOverlap="1" wp14:anchorId="2FC8458B" wp14:editId="3120A9C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D1D3D29" wp14:editId="75C024E2">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CE2" w:rsidRDefault="00363CE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63CE2" w:rsidRPr="002F4496" w:rsidTr="000C06C9">
      <w:trPr>
        <w:trHeight w:val="284"/>
      </w:trPr>
      <w:tc>
        <w:tcPr>
          <w:tcW w:w="8460" w:type="dxa"/>
        </w:tcPr>
        <w:p w:rsidR="00363CE2" w:rsidRPr="000C3B6D" w:rsidRDefault="00363CE2" w:rsidP="000C06C9">
          <w:pPr>
            <w:pStyle w:val="00Footer"/>
            <w:rPr>
              <w:lang w:val="fr-FR"/>
            </w:rPr>
          </w:pPr>
        </w:p>
      </w:tc>
      <w:tc>
        <w:tcPr>
          <w:tcW w:w="952" w:type="dxa"/>
        </w:tcPr>
        <w:p w:rsidR="00363CE2" w:rsidRPr="00146B34" w:rsidRDefault="00363CE2" w:rsidP="000C06C9">
          <w:pPr>
            <w:pStyle w:val="00aPagenumber"/>
            <w:rPr>
              <w:lang w:val="fr-FR"/>
            </w:rPr>
          </w:pPr>
        </w:p>
      </w:tc>
    </w:tr>
  </w:tbl>
  <w:p w:rsidR="00363CE2" w:rsidRPr="00DB46C3" w:rsidRDefault="00363CE2">
    <w:pPr>
      <w:rPr>
        <w:lang w:val="fr-FR"/>
      </w:rPr>
    </w:pPr>
  </w:p>
  <w:p w:rsidR="00363CE2" w:rsidRPr="002F4496" w:rsidRDefault="00363CE2">
    <w:pPr>
      <w:pStyle w:val="Sidhuvud"/>
      <w:rPr>
        <w:lang w:val="fr-FR"/>
      </w:rPr>
    </w:pPr>
  </w:p>
  <w:p w:rsidR="00363CE2" w:rsidRPr="002F4496" w:rsidRDefault="00363CE2" w:rsidP="000C06C9">
    <w:pPr>
      <w:pStyle w:val="Sidhuvud"/>
      <w:tabs>
        <w:tab w:val="clear" w:pos="4536"/>
        <w:tab w:val="clear" w:pos="9072"/>
        <w:tab w:val="left" w:pos="8227"/>
      </w:tabs>
      <w:rPr>
        <w:lang w:val="fr-FR"/>
      </w:rPr>
    </w:pPr>
  </w:p>
  <w:p w:rsidR="00363CE2" w:rsidRPr="002F4496" w:rsidRDefault="00363CE2" w:rsidP="000C06C9">
    <w:pPr>
      <w:pStyle w:val="Sidhuvud"/>
      <w:tabs>
        <w:tab w:val="clear" w:pos="4536"/>
        <w:tab w:val="clear" w:pos="9072"/>
        <w:tab w:val="left" w:pos="8227"/>
      </w:tabs>
      <w:rPr>
        <w:lang w:val="fr-FR"/>
      </w:rPr>
    </w:pPr>
  </w:p>
  <w:p w:rsidR="00363CE2" w:rsidRPr="002F4496" w:rsidRDefault="00363CE2">
    <w:pPr>
      <w:pStyle w:val="Sidhuvud"/>
      <w:rPr>
        <w:lang w:val="fr-FR"/>
      </w:rPr>
    </w:pPr>
  </w:p>
  <w:p w:rsidR="00363CE2" w:rsidRPr="002F4496" w:rsidRDefault="00363CE2">
    <w:pPr>
      <w:pStyle w:val="Sidhuvud"/>
      <w:rPr>
        <w:lang w:val="fr-FR"/>
      </w:rPr>
    </w:pPr>
  </w:p>
  <w:p w:rsidR="00363CE2" w:rsidRPr="002F4496" w:rsidRDefault="00363CE2">
    <w:pPr>
      <w:pStyle w:val="Sidhuvud"/>
      <w:rPr>
        <w:lang w:val="fr-FR"/>
      </w:rPr>
    </w:pPr>
  </w:p>
  <w:p w:rsidR="00363CE2" w:rsidRPr="002F4496" w:rsidRDefault="00363CE2">
    <w:pPr>
      <w:pStyle w:val="Sidhuvud"/>
      <w:rPr>
        <w:lang w:val="fr-FR"/>
      </w:rPr>
    </w:pPr>
  </w:p>
  <w:p w:rsidR="00363CE2" w:rsidRPr="002F4496" w:rsidRDefault="00363CE2">
    <w:pPr>
      <w:pStyle w:val="Sidhuvud"/>
      <w:rPr>
        <w:highlight w:val="yellow"/>
        <w:lang w:val="fr-FR"/>
      </w:rPr>
    </w:pPr>
  </w:p>
  <w:p w:rsidR="00363CE2" w:rsidRDefault="00363CE2">
    <w:pPr>
      <w:pStyle w:val="Sidhuvud"/>
    </w:pPr>
    <w:r>
      <w:rPr>
        <w:noProof/>
        <w:lang w:eastAsia="en-GB"/>
      </w:rPr>
      <mc:AlternateContent>
        <mc:Choice Requires="wps">
          <w:drawing>
            <wp:anchor distT="0" distB="0" distL="114299" distR="114299" simplePos="0" relativeHeight="251660288" behindDoc="0" locked="0" layoutInCell="1" allowOverlap="1" wp14:anchorId="6753EDE2" wp14:editId="19D9D3A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5498FA91" wp14:editId="0BD16B2A">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Punktlist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F65F7E"/>
    <w:multiLevelType w:val="hybridMultilevel"/>
    <w:tmpl w:val="822E9D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rd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B80942"/>
    <w:multiLevelType w:val="hybridMultilevel"/>
    <w:tmpl w:val="E0664E26"/>
    <w:lvl w:ilvl="0" w:tplc="CAC218E8">
      <w:start w:val="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Punktlist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Punktlist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Rubri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Rubri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Numreradlista"/>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6"/>
  </w:num>
  <w:num w:numId="22">
    <w:abstractNumId w:val="25"/>
  </w:num>
  <w:num w:numId="23">
    <w:abstractNumId w:val="10"/>
  </w:num>
  <w:num w:numId="24">
    <w:abstractNumId w:val="30"/>
  </w:num>
  <w:num w:numId="25">
    <w:abstractNumId w:val="29"/>
  </w:num>
  <w:num w:numId="26">
    <w:abstractNumId w:val="20"/>
  </w:num>
  <w:num w:numId="27">
    <w:abstractNumId w:val="33"/>
  </w:num>
  <w:num w:numId="28">
    <w:abstractNumId w:val="38"/>
  </w:num>
  <w:num w:numId="29">
    <w:abstractNumId w:val="8"/>
  </w:num>
  <w:num w:numId="30">
    <w:abstractNumId w:val="4"/>
  </w:num>
  <w:num w:numId="31">
    <w:abstractNumId w:val="22"/>
  </w:num>
  <w:num w:numId="32">
    <w:abstractNumId w:val="2"/>
  </w:num>
  <w:num w:numId="33">
    <w:abstractNumId w:val="7"/>
  </w:num>
  <w:num w:numId="34">
    <w:abstractNumId w:val="21"/>
  </w:num>
  <w:num w:numId="35">
    <w:abstractNumId w:val="35"/>
  </w:num>
  <w:num w:numId="36">
    <w:abstractNumId w:val="35"/>
    <w:lvlOverride w:ilvl="0">
      <w:startOverride w:val="1"/>
    </w:lvlOverride>
  </w:num>
  <w:num w:numId="37">
    <w:abstractNumId w:val="35"/>
    <w:lvlOverride w:ilvl="0">
      <w:startOverride w:val="1"/>
    </w:lvlOverride>
  </w:num>
  <w:num w:numId="38">
    <w:abstractNumId w:val="35"/>
    <w:lvlOverride w:ilvl="0">
      <w:startOverride w:val="1"/>
    </w:lvlOverride>
  </w:num>
  <w:num w:numId="39">
    <w:abstractNumId w:val="35"/>
    <w:lvlOverride w:ilvl="0">
      <w:startOverride w:val="1"/>
    </w:lvlOverride>
  </w:num>
  <w:num w:numId="40">
    <w:abstractNumId w:val="35"/>
    <w:lvlOverride w:ilvl="0">
      <w:startOverride w:val="1"/>
    </w:lvlOverride>
  </w:num>
  <w:num w:numId="41">
    <w:abstractNumId w:val="35"/>
  </w:num>
  <w:num w:numId="42">
    <w:abstractNumId w:val="35"/>
    <w:lvlOverride w:ilvl="0">
      <w:startOverride w:val="1"/>
    </w:lvlOverride>
  </w:num>
  <w:num w:numId="43">
    <w:abstractNumId w:val="35"/>
    <w:lvlOverride w:ilvl="0">
      <w:startOverride w:val="1"/>
    </w:lvlOverride>
  </w:num>
  <w:num w:numId="44">
    <w:abstractNumId w:val="35"/>
    <w:lvlOverride w:ilvl="0">
      <w:startOverride w:val="1"/>
    </w:lvlOverride>
  </w:num>
  <w:num w:numId="45">
    <w:abstractNumId w:val="35"/>
    <w:lvlOverride w:ilvl="0">
      <w:startOverride w:val="1"/>
    </w:lvlOverride>
  </w:num>
  <w:num w:numId="46">
    <w:abstractNumId w:val="35"/>
    <w:lvlOverride w:ilvl="0">
      <w:startOverride w:val="1"/>
    </w:lvlOverride>
  </w:num>
  <w:num w:numId="47">
    <w:abstractNumId w:val="34"/>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num>
  <w:num w:numId="50">
    <w:abstractNumId w:val="12"/>
  </w:num>
  <w:num w:numId="51">
    <w:abstractNumId w:val="3"/>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 Mitelman">
    <w15:presenceInfo w15:providerId="AD" w15:userId="S-1-5-21-1142754424-1419408360-312552118-2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NxXaH8KyD8QgqtQ9Kldtrt3DnIk=" w:salt="3xub1WRPctATi7RQzt2SsA=="/>
  <w:defaultTabStop w:val="709"/>
  <w:autoHyphenation/>
  <w:hyphenationZone w:val="567"/>
  <w:characterSpacingControl w:val="doNotCompress"/>
  <w:hdrShapeDefaults>
    <o:shapedefaults v:ext="edit" spidmax="2048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0E"/>
    <w:rsid w:val="00025E71"/>
    <w:rsid w:val="00026269"/>
    <w:rsid w:val="00026D33"/>
    <w:rsid w:val="00027154"/>
    <w:rsid w:val="00027ECF"/>
    <w:rsid w:val="000303BE"/>
    <w:rsid w:val="000344D6"/>
    <w:rsid w:val="00034960"/>
    <w:rsid w:val="00036FAE"/>
    <w:rsid w:val="00040BBD"/>
    <w:rsid w:val="00041858"/>
    <w:rsid w:val="0004389E"/>
    <w:rsid w:val="000463A6"/>
    <w:rsid w:val="00046CC9"/>
    <w:rsid w:val="00046E91"/>
    <w:rsid w:val="000502FE"/>
    <w:rsid w:val="0005126D"/>
    <w:rsid w:val="00051992"/>
    <w:rsid w:val="00051E9A"/>
    <w:rsid w:val="000521A7"/>
    <w:rsid w:val="00052F47"/>
    <w:rsid w:val="00053673"/>
    <w:rsid w:val="0005399B"/>
    <w:rsid w:val="00054DE6"/>
    <w:rsid w:val="000569D7"/>
    <w:rsid w:val="000576D7"/>
    <w:rsid w:val="00060F72"/>
    <w:rsid w:val="00062592"/>
    <w:rsid w:val="000629DB"/>
    <w:rsid w:val="000636A1"/>
    <w:rsid w:val="000649D9"/>
    <w:rsid w:val="000652BE"/>
    <w:rsid w:val="00066479"/>
    <w:rsid w:val="0006723C"/>
    <w:rsid w:val="00067AC5"/>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EE4"/>
    <w:rsid w:val="000C1FBC"/>
    <w:rsid w:val="000C2B6A"/>
    <w:rsid w:val="000C2F88"/>
    <w:rsid w:val="000C55C8"/>
    <w:rsid w:val="000C57C4"/>
    <w:rsid w:val="000C5FD3"/>
    <w:rsid w:val="000C701D"/>
    <w:rsid w:val="000C7C4A"/>
    <w:rsid w:val="000D17AA"/>
    <w:rsid w:val="000D2D0B"/>
    <w:rsid w:val="000D4660"/>
    <w:rsid w:val="000D4A45"/>
    <w:rsid w:val="000D705D"/>
    <w:rsid w:val="000D7EB9"/>
    <w:rsid w:val="000E0223"/>
    <w:rsid w:val="000E0BDB"/>
    <w:rsid w:val="000E0CF3"/>
    <w:rsid w:val="000E18A8"/>
    <w:rsid w:val="000E1AEC"/>
    <w:rsid w:val="000E3937"/>
    <w:rsid w:val="000E3B98"/>
    <w:rsid w:val="000E4926"/>
    <w:rsid w:val="000E5F7F"/>
    <w:rsid w:val="000E61A3"/>
    <w:rsid w:val="000E7086"/>
    <w:rsid w:val="000E7C65"/>
    <w:rsid w:val="000F04D2"/>
    <w:rsid w:val="000F4096"/>
    <w:rsid w:val="000F55B7"/>
    <w:rsid w:val="000F604F"/>
    <w:rsid w:val="000F7399"/>
    <w:rsid w:val="001027F1"/>
    <w:rsid w:val="001032F6"/>
    <w:rsid w:val="0010459B"/>
    <w:rsid w:val="00104F2E"/>
    <w:rsid w:val="001072DD"/>
    <w:rsid w:val="0010763C"/>
    <w:rsid w:val="00110D7A"/>
    <w:rsid w:val="00111464"/>
    <w:rsid w:val="0011167D"/>
    <w:rsid w:val="00112892"/>
    <w:rsid w:val="00112E48"/>
    <w:rsid w:val="001130EA"/>
    <w:rsid w:val="00114259"/>
    <w:rsid w:val="00115F5A"/>
    <w:rsid w:val="001168B2"/>
    <w:rsid w:val="00117C20"/>
    <w:rsid w:val="00120F0E"/>
    <w:rsid w:val="00121BED"/>
    <w:rsid w:val="00123D39"/>
    <w:rsid w:val="001244CD"/>
    <w:rsid w:val="0012566F"/>
    <w:rsid w:val="001262B1"/>
    <w:rsid w:val="00130B1F"/>
    <w:rsid w:val="00130F41"/>
    <w:rsid w:val="00130FAF"/>
    <w:rsid w:val="00134665"/>
    <w:rsid w:val="00135F2B"/>
    <w:rsid w:val="001372DD"/>
    <w:rsid w:val="001405BA"/>
    <w:rsid w:val="00141497"/>
    <w:rsid w:val="0014253A"/>
    <w:rsid w:val="001425C8"/>
    <w:rsid w:val="001431AE"/>
    <w:rsid w:val="00143B87"/>
    <w:rsid w:val="00143F12"/>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3CBC"/>
    <w:rsid w:val="00164664"/>
    <w:rsid w:val="00164F15"/>
    <w:rsid w:val="001651A4"/>
    <w:rsid w:val="0016552B"/>
    <w:rsid w:val="001669ED"/>
    <w:rsid w:val="00166B04"/>
    <w:rsid w:val="001670A6"/>
    <w:rsid w:val="001701FA"/>
    <w:rsid w:val="00171183"/>
    <w:rsid w:val="001725A5"/>
    <w:rsid w:val="00172681"/>
    <w:rsid w:val="0017396D"/>
    <w:rsid w:val="00173AC7"/>
    <w:rsid w:val="001745D7"/>
    <w:rsid w:val="00175754"/>
    <w:rsid w:val="00176982"/>
    <w:rsid w:val="0017701C"/>
    <w:rsid w:val="00181264"/>
    <w:rsid w:val="00181BD1"/>
    <w:rsid w:val="0018204A"/>
    <w:rsid w:val="00182F7C"/>
    <w:rsid w:val="001843B5"/>
    <w:rsid w:val="001851AE"/>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027"/>
    <w:rsid w:val="001C6195"/>
    <w:rsid w:val="001D000A"/>
    <w:rsid w:val="001D0883"/>
    <w:rsid w:val="001D2205"/>
    <w:rsid w:val="001D22CD"/>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48CF"/>
    <w:rsid w:val="001F579D"/>
    <w:rsid w:val="001F65EF"/>
    <w:rsid w:val="001F697B"/>
    <w:rsid w:val="001F6E19"/>
    <w:rsid w:val="002005A6"/>
    <w:rsid w:val="00204CBC"/>
    <w:rsid w:val="002051F1"/>
    <w:rsid w:val="002067BA"/>
    <w:rsid w:val="002075B3"/>
    <w:rsid w:val="002104DD"/>
    <w:rsid w:val="0021058D"/>
    <w:rsid w:val="00211E2F"/>
    <w:rsid w:val="00211E9E"/>
    <w:rsid w:val="00214FB4"/>
    <w:rsid w:val="00215940"/>
    <w:rsid w:val="00217C23"/>
    <w:rsid w:val="00220561"/>
    <w:rsid w:val="00220CE4"/>
    <w:rsid w:val="002216D4"/>
    <w:rsid w:val="00222D9B"/>
    <w:rsid w:val="00223788"/>
    <w:rsid w:val="00223D11"/>
    <w:rsid w:val="002242D3"/>
    <w:rsid w:val="00224947"/>
    <w:rsid w:val="00226423"/>
    <w:rsid w:val="002301E6"/>
    <w:rsid w:val="00232F90"/>
    <w:rsid w:val="00233B08"/>
    <w:rsid w:val="00233C3B"/>
    <w:rsid w:val="0023499C"/>
    <w:rsid w:val="00235CE3"/>
    <w:rsid w:val="0023636A"/>
    <w:rsid w:val="0023657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037"/>
    <w:rsid w:val="0026400A"/>
    <w:rsid w:val="00264077"/>
    <w:rsid w:val="002661B5"/>
    <w:rsid w:val="00266B9A"/>
    <w:rsid w:val="00270846"/>
    <w:rsid w:val="00270E54"/>
    <w:rsid w:val="0027283A"/>
    <w:rsid w:val="00273681"/>
    <w:rsid w:val="002754B5"/>
    <w:rsid w:val="002764C5"/>
    <w:rsid w:val="00276F7F"/>
    <w:rsid w:val="002772AE"/>
    <w:rsid w:val="0027777D"/>
    <w:rsid w:val="0028019D"/>
    <w:rsid w:val="00280613"/>
    <w:rsid w:val="002826D2"/>
    <w:rsid w:val="0028274D"/>
    <w:rsid w:val="00282B96"/>
    <w:rsid w:val="00282F1B"/>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A68C6"/>
    <w:rsid w:val="002B007D"/>
    <w:rsid w:val="002B198D"/>
    <w:rsid w:val="002B1FEF"/>
    <w:rsid w:val="002B219D"/>
    <w:rsid w:val="002B2DF8"/>
    <w:rsid w:val="002B354F"/>
    <w:rsid w:val="002B3614"/>
    <w:rsid w:val="002B45D1"/>
    <w:rsid w:val="002B4ED8"/>
    <w:rsid w:val="002B4FAA"/>
    <w:rsid w:val="002B52C2"/>
    <w:rsid w:val="002B7656"/>
    <w:rsid w:val="002C1492"/>
    <w:rsid w:val="002C1E8B"/>
    <w:rsid w:val="002C2EFE"/>
    <w:rsid w:val="002C3167"/>
    <w:rsid w:val="002C378B"/>
    <w:rsid w:val="002C53AA"/>
    <w:rsid w:val="002C5B2D"/>
    <w:rsid w:val="002C65F3"/>
    <w:rsid w:val="002C6AF9"/>
    <w:rsid w:val="002C6C32"/>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4DC8"/>
    <w:rsid w:val="003066C8"/>
    <w:rsid w:val="0030739D"/>
    <w:rsid w:val="00307AFB"/>
    <w:rsid w:val="00311184"/>
    <w:rsid w:val="00311B1F"/>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1B4C"/>
    <w:rsid w:val="003522B2"/>
    <w:rsid w:val="0035455E"/>
    <w:rsid w:val="00354A6F"/>
    <w:rsid w:val="00354B48"/>
    <w:rsid w:val="00355789"/>
    <w:rsid w:val="003609B6"/>
    <w:rsid w:val="00361119"/>
    <w:rsid w:val="00363CE2"/>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4A5B"/>
    <w:rsid w:val="00395E7B"/>
    <w:rsid w:val="00395F4C"/>
    <w:rsid w:val="003A157D"/>
    <w:rsid w:val="003A5DAC"/>
    <w:rsid w:val="003A6591"/>
    <w:rsid w:val="003A6E9A"/>
    <w:rsid w:val="003B08C8"/>
    <w:rsid w:val="003B2567"/>
    <w:rsid w:val="003B381A"/>
    <w:rsid w:val="003B4976"/>
    <w:rsid w:val="003B4B3F"/>
    <w:rsid w:val="003B51FF"/>
    <w:rsid w:val="003B6258"/>
    <w:rsid w:val="003B7A99"/>
    <w:rsid w:val="003C0343"/>
    <w:rsid w:val="003C1C32"/>
    <w:rsid w:val="003C1CC4"/>
    <w:rsid w:val="003C40DA"/>
    <w:rsid w:val="003C42BA"/>
    <w:rsid w:val="003C462F"/>
    <w:rsid w:val="003C4A02"/>
    <w:rsid w:val="003C4F05"/>
    <w:rsid w:val="003C6191"/>
    <w:rsid w:val="003C6E49"/>
    <w:rsid w:val="003D0329"/>
    <w:rsid w:val="003D0CBF"/>
    <w:rsid w:val="003D0DD6"/>
    <w:rsid w:val="003D4B73"/>
    <w:rsid w:val="003D503B"/>
    <w:rsid w:val="003D605E"/>
    <w:rsid w:val="003D61D1"/>
    <w:rsid w:val="003D6780"/>
    <w:rsid w:val="003D6FCB"/>
    <w:rsid w:val="003E0F84"/>
    <w:rsid w:val="003E1D1A"/>
    <w:rsid w:val="003E1FF3"/>
    <w:rsid w:val="003E3ACA"/>
    <w:rsid w:val="003E50EA"/>
    <w:rsid w:val="003E68C7"/>
    <w:rsid w:val="003E6AB5"/>
    <w:rsid w:val="003E77E7"/>
    <w:rsid w:val="003E79B0"/>
    <w:rsid w:val="003F0403"/>
    <w:rsid w:val="003F1094"/>
    <w:rsid w:val="003F1B6F"/>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0BF3"/>
    <w:rsid w:val="004226EC"/>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3976"/>
    <w:rsid w:val="0043453F"/>
    <w:rsid w:val="00434A74"/>
    <w:rsid w:val="00437929"/>
    <w:rsid w:val="00437A4A"/>
    <w:rsid w:val="00440541"/>
    <w:rsid w:val="0044162D"/>
    <w:rsid w:val="0044277A"/>
    <w:rsid w:val="004456DC"/>
    <w:rsid w:val="00447FBE"/>
    <w:rsid w:val="00450315"/>
    <w:rsid w:val="0045035E"/>
    <w:rsid w:val="0045175A"/>
    <w:rsid w:val="00451ED9"/>
    <w:rsid w:val="00452180"/>
    <w:rsid w:val="0045231F"/>
    <w:rsid w:val="00453072"/>
    <w:rsid w:val="004539F8"/>
    <w:rsid w:val="00453F26"/>
    <w:rsid w:val="0045503F"/>
    <w:rsid w:val="00455273"/>
    <w:rsid w:val="00460905"/>
    <w:rsid w:val="00461E35"/>
    <w:rsid w:val="004621DB"/>
    <w:rsid w:val="004634A7"/>
    <w:rsid w:val="00463787"/>
    <w:rsid w:val="00465875"/>
    <w:rsid w:val="00466926"/>
    <w:rsid w:val="00466FDA"/>
    <w:rsid w:val="004671D0"/>
    <w:rsid w:val="004674D1"/>
    <w:rsid w:val="00470773"/>
    <w:rsid w:val="00471FF9"/>
    <w:rsid w:val="00473E74"/>
    <w:rsid w:val="00473FEF"/>
    <w:rsid w:val="00475B8E"/>
    <w:rsid w:val="004804D1"/>
    <w:rsid w:val="0048104E"/>
    <w:rsid w:val="004814BB"/>
    <w:rsid w:val="004815DA"/>
    <w:rsid w:val="00482458"/>
    <w:rsid w:val="004837ED"/>
    <w:rsid w:val="00483942"/>
    <w:rsid w:val="004843CE"/>
    <w:rsid w:val="00485142"/>
    <w:rsid w:val="004852A7"/>
    <w:rsid w:val="00486C17"/>
    <w:rsid w:val="00486DE2"/>
    <w:rsid w:val="00487117"/>
    <w:rsid w:val="00487875"/>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A0A"/>
    <w:rsid w:val="00497B44"/>
    <w:rsid w:val="004A00E5"/>
    <w:rsid w:val="004A01A7"/>
    <w:rsid w:val="004A0D09"/>
    <w:rsid w:val="004A116E"/>
    <w:rsid w:val="004A357F"/>
    <w:rsid w:val="004A3DAD"/>
    <w:rsid w:val="004A6DF3"/>
    <w:rsid w:val="004B0335"/>
    <w:rsid w:val="004B0F1C"/>
    <w:rsid w:val="004B1E61"/>
    <w:rsid w:val="004B21AB"/>
    <w:rsid w:val="004B59E0"/>
    <w:rsid w:val="004B667B"/>
    <w:rsid w:val="004B71C7"/>
    <w:rsid w:val="004C03AA"/>
    <w:rsid w:val="004C0B9A"/>
    <w:rsid w:val="004C14E7"/>
    <w:rsid w:val="004C1D89"/>
    <w:rsid w:val="004C2A94"/>
    <w:rsid w:val="004C2EC3"/>
    <w:rsid w:val="004C3DAB"/>
    <w:rsid w:val="004C5766"/>
    <w:rsid w:val="004C5F54"/>
    <w:rsid w:val="004C6E76"/>
    <w:rsid w:val="004C7028"/>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6B38"/>
    <w:rsid w:val="004D7910"/>
    <w:rsid w:val="004D7DEA"/>
    <w:rsid w:val="004E0A28"/>
    <w:rsid w:val="004E1A0F"/>
    <w:rsid w:val="004E2E89"/>
    <w:rsid w:val="004E33C2"/>
    <w:rsid w:val="004E3B9A"/>
    <w:rsid w:val="004E49B0"/>
    <w:rsid w:val="004E62DE"/>
    <w:rsid w:val="004E6B05"/>
    <w:rsid w:val="004E76A1"/>
    <w:rsid w:val="004F05DE"/>
    <w:rsid w:val="004F53F0"/>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0DC2"/>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500"/>
    <w:rsid w:val="005A767D"/>
    <w:rsid w:val="005B00F1"/>
    <w:rsid w:val="005B0CE7"/>
    <w:rsid w:val="005B10E2"/>
    <w:rsid w:val="005B1803"/>
    <w:rsid w:val="005B3CAC"/>
    <w:rsid w:val="005B3FC2"/>
    <w:rsid w:val="005B4079"/>
    <w:rsid w:val="005B428E"/>
    <w:rsid w:val="005B5B3C"/>
    <w:rsid w:val="005B64CB"/>
    <w:rsid w:val="005B65C0"/>
    <w:rsid w:val="005B6AAA"/>
    <w:rsid w:val="005B7554"/>
    <w:rsid w:val="005B7C78"/>
    <w:rsid w:val="005C0FB2"/>
    <w:rsid w:val="005C1169"/>
    <w:rsid w:val="005C16E2"/>
    <w:rsid w:val="005C1CCB"/>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072"/>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0D20"/>
    <w:rsid w:val="0066189C"/>
    <w:rsid w:val="006630CF"/>
    <w:rsid w:val="00663C72"/>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01B"/>
    <w:rsid w:val="006B34DF"/>
    <w:rsid w:val="006B3984"/>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74D"/>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736F"/>
    <w:rsid w:val="00710519"/>
    <w:rsid w:val="00710F6E"/>
    <w:rsid w:val="00711663"/>
    <w:rsid w:val="007116B4"/>
    <w:rsid w:val="00712580"/>
    <w:rsid w:val="007133E4"/>
    <w:rsid w:val="00713788"/>
    <w:rsid w:val="00713940"/>
    <w:rsid w:val="007151A2"/>
    <w:rsid w:val="00716774"/>
    <w:rsid w:val="0071747A"/>
    <w:rsid w:val="007209DD"/>
    <w:rsid w:val="00722E49"/>
    <w:rsid w:val="00723A08"/>
    <w:rsid w:val="00723B5C"/>
    <w:rsid w:val="00724391"/>
    <w:rsid w:val="0072454A"/>
    <w:rsid w:val="00724C18"/>
    <w:rsid w:val="00726630"/>
    <w:rsid w:val="00727F73"/>
    <w:rsid w:val="00730705"/>
    <w:rsid w:val="00730944"/>
    <w:rsid w:val="0073248E"/>
    <w:rsid w:val="00733EE9"/>
    <w:rsid w:val="00735648"/>
    <w:rsid w:val="00735B8E"/>
    <w:rsid w:val="0073673C"/>
    <w:rsid w:val="00736935"/>
    <w:rsid w:val="00737659"/>
    <w:rsid w:val="00743DE7"/>
    <w:rsid w:val="0074509E"/>
    <w:rsid w:val="00745B9F"/>
    <w:rsid w:val="00745C75"/>
    <w:rsid w:val="00745F3A"/>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2B4F"/>
    <w:rsid w:val="00773B94"/>
    <w:rsid w:val="00773C65"/>
    <w:rsid w:val="00775937"/>
    <w:rsid w:val="00775B9C"/>
    <w:rsid w:val="00777046"/>
    <w:rsid w:val="007770DA"/>
    <w:rsid w:val="0078027A"/>
    <w:rsid w:val="007805B9"/>
    <w:rsid w:val="00780C3A"/>
    <w:rsid w:val="007834A1"/>
    <w:rsid w:val="00787C99"/>
    <w:rsid w:val="00791CFD"/>
    <w:rsid w:val="00791EB4"/>
    <w:rsid w:val="007928F1"/>
    <w:rsid w:val="0079357D"/>
    <w:rsid w:val="007937CC"/>
    <w:rsid w:val="00793A15"/>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6"/>
    <w:rsid w:val="007B43E8"/>
    <w:rsid w:val="007B4740"/>
    <w:rsid w:val="007B502C"/>
    <w:rsid w:val="007B52C6"/>
    <w:rsid w:val="007B5F3B"/>
    <w:rsid w:val="007C02B0"/>
    <w:rsid w:val="007C063E"/>
    <w:rsid w:val="007C1901"/>
    <w:rsid w:val="007C49C0"/>
    <w:rsid w:val="007C55C1"/>
    <w:rsid w:val="007C5738"/>
    <w:rsid w:val="007C5772"/>
    <w:rsid w:val="007C5AC3"/>
    <w:rsid w:val="007C7233"/>
    <w:rsid w:val="007C73F0"/>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E69DA"/>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3605"/>
    <w:rsid w:val="00815F62"/>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38D"/>
    <w:rsid w:val="0083497C"/>
    <w:rsid w:val="008352A6"/>
    <w:rsid w:val="00835B5B"/>
    <w:rsid w:val="008367AE"/>
    <w:rsid w:val="00836E50"/>
    <w:rsid w:val="00840477"/>
    <w:rsid w:val="0084121D"/>
    <w:rsid w:val="008419C1"/>
    <w:rsid w:val="00842ADE"/>
    <w:rsid w:val="00844515"/>
    <w:rsid w:val="0084465A"/>
    <w:rsid w:val="00844DFF"/>
    <w:rsid w:val="00845D87"/>
    <w:rsid w:val="00846C3A"/>
    <w:rsid w:val="008477BF"/>
    <w:rsid w:val="008503DA"/>
    <w:rsid w:val="008508DB"/>
    <w:rsid w:val="00850B68"/>
    <w:rsid w:val="00850E82"/>
    <w:rsid w:val="0085122D"/>
    <w:rsid w:val="008519E8"/>
    <w:rsid w:val="008525FF"/>
    <w:rsid w:val="00852C03"/>
    <w:rsid w:val="0085590C"/>
    <w:rsid w:val="008575EB"/>
    <w:rsid w:val="00861EC1"/>
    <w:rsid w:val="00862DDD"/>
    <w:rsid w:val="0086326D"/>
    <w:rsid w:val="00863CC1"/>
    <w:rsid w:val="008647AF"/>
    <w:rsid w:val="00865B01"/>
    <w:rsid w:val="008664E5"/>
    <w:rsid w:val="00866D7A"/>
    <w:rsid w:val="00866EE3"/>
    <w:rsid w:val="00871F04"/>
    <w:rsid w:val="008746C1"/>
    <w:rsid w:val="008772F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252"/>
    <w:rsid w:val="008A630D"/>
    <w:rsid w:val="008A6A12"/>
    <w:rsid w:val="008B0DC6"/>
    <w:rsid w:val="008B2B9E"/>
    <w:rsid w:val="008B31F5"/>
    <w:rsid w:val="008B4C79"/>
    <w:rsid w:val="008B5D2D"/>
    <w:rsid w:val="008B6361"/>
    <w:rsid w:val="008C0320"/>
    <w:rsid w:val="008C2A81"/>
    <w:rsid w:val="008C3863"/>
    <w:rsid w:val="008C4BDC"/>
    <w:rsid w:val="008C50FF"/>
    <w:rsid w:val="008C5435"/>
    <w:rsid w:val="008C642C"/>
    <w:rsid w:val="008C6BD1"/>
    <w:rsid w:val="008C7125"/>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5AF3"/>
    <w:rsid w:val="0092751A"/>
    <w:rsid w:val="009305AE"/>
    <w:rsid w:val="009305C4"/>
    <w:rsid w:val="00931FAF"/>
    <w:rsid w:val="009360F6"/>
    <w:rsid w:val="009371DC"/>
    <w:rsid w:val="0093759D"/>
    <w:rsid w:val="00937A39"/>
    <w:rsid w:val="00940239"/>
    <w:rsid w:val="00940F1A"/>
    <w:rsid w:val="00942BD6"/>
    <w:rsid w:val="00942DED"/>
    <w:rsid w:val="00944404"/>
    <w:rsid w:val="009452D7"/>
    <w:rsid w:val="00945FD1"/>
    <w:rsid w:val="00946CCC"/>
    <w:rsid w:val="009503E5"/>
    <w:rsid w:val="00950F71"/>
    <w:rsid w:val="009527E9"/>
    <w:rsid w:val="00952D0A"/>
    <w:rsid w:val="00952F2C"/>
    <w:rsid w:val="009532E3"/>
    <w:rsid w:val="00953615"/>
    <w:rsid w:val="00954BAF"/>
    <w:rsid w:val="00955F48"/>
    <w:rsid w:val="009560B3"/>
    <w:rsid w:val="0095745E"/>
    <w:rsid w:val="00957CE0"/>
    <w:rsid w:val="0096002E"/>
    <w:rsid w:val="0096039E"/>
    <w:rsid w:val="00962CEF"/>
    <w:rsid w:val="009631C9"/>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30"/>
    <w:rsid w:val="00981BD9"/>
    <w:rsid w:val="0098225F"/>
    <w:rsid w:val="00983A3C"/>
    <w:rsid w:val="00983EFA"/>
    <w:rsid w:val="0098483E"/>
    <w:rsid w:val="00984C15"/>
    <w:rsid w:val="00987766"/>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A7F66"/>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517C"/>
    <w:rsid w:val="009E6B77"/>
    <w:rsid w:val="009E7724"/>
    <w:rsid w:val="009E7D1F"/>
    <w:rsid w:val="009F0AFE"/>
    <w:rsid w:val="009F1D82"/>
    <w:rsid w:val="009F37AA"/>
    <w:rsid w:val="009F544C"/>
    <w:rsid w:val="009F5731"/>
    <w:rsid w:val="009F6321"/>
    <w:rsid w:val="009F6378"/>
    <w:rsid w:val="009F7669"/>
    <w:rsid w:val="009F7695"/>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4EFA"/>
    <w:rsid w:val="00A35728"/>
    <w:rsid w:val="00A36EE3"/>
    <w:rsid w:val="00A37435"/>
    <w:rsid w:val="00A4173D"/>
    <w:rsid w:val="00A41A95"/>
    <w:rsid w:val="00A4248B"/>
    <w:rsid w:val="00A425FF"/>
    <w:rsid w:val="00A4376E"/>
    <w:rsid w:val="00A43A48"/>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1DB2"/>
    <w:rsid w:val="00A92E4A"/>
    <w:rsid w:val="00A93E76"/>
    <w:rsid w:val="00A958CA"/>
    <w:rsid w:val="00A966B6"/>
    <w:rsid w:val="00A96B46"/>
    <w:rsid w:val="00A979AE"/>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4DDE"/>
    <w:rsid w:val="00AB5216"/>
    <w:rsid w:val="00AB6B5E"/>
    <w:rsid w:val="00AC047F"/>
    <w:rsid w:val="00AC3934"/>
    <w:rsid w:val="00AC50C8"/>
    <w:rsid w:val="00AC5581"/>
    <w:rsid w:val="00AC56AD"/>
    <w:rsid w:val="00AC61BE"/>
    <w:rsid w:val="00AD0CB4"/>
    <w:rsid w:val="00AD1FF2"/>
    <w:rsid w:val="00AD2A21"/>
    <w:rsid w:val="00AD3B43"/>
    <w:rsid w:val="00AD43F9"/>
    <w:rsid w:val="00AD483B"/>
    <w:rsid w:val="00AD4FF2"/>
    <w:rsid w:val="00AD506C"/>
    <w:rsid w:val="00AD6BE5"/>
    <w:rsid w:val="00AD783E"/>
    <w:rsid w:val="00AE1393"/>
    <w:rsid w:val="00AE3BC6"/>
    <w:rsid w:val="00AE4D4F"/>
    <w:rsid w:val="00AE627C"/>
    <w:rsid w:val="00AE62B0"/>
    <w:rsid w:val="00AE68A2"/>
    <w:rsid w:val="00AF0029"/>
    <w:rsid w:val="00AF0354"/>
    <w:rsid w:val="00AF1236"/>
    <w:rsid w:val="00AF385F"/>
    <w:rsid w:val="00AF3C29"/>
    <w:rsid w:val="00AF4401"/>
    <w:rsid w:val="00AF4463"/>
    <w:rsid w:val="00AF53CB"/>
    <w:rsid w:val="00AF65C5"/>
    <w:rsid w:val="00B000F6"/>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66A"/>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1CC5"/>
    <w:rsid w:val="00B420CB"/>
    <w:rsid w:val="00B43041"/>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6EB7"/>
    <w:rsid w:val="00B57107"/>
    <w:rsid w:val="00B60D27"/>
    <w:rsid w:val="00B619E4"/>
    <w:rsid w:val="00B61D0B"/>
    <w:rsid w:val="00B6439A"/>
    <w:rsid w:val="00B6443B"/>
    <w:rsid w:val="00B6517B"/>
    <w:rsid w:val="00B65922"/>
    <w:rsid w:val="00B65E71"/>
    <w:rsid w:val="00B66C26"/>
    <w:rsid w:val="00B71FB3"/>
    <w:rsid w:val="00B73492"/>
    <w:rsid w:val="00B7512A"/>
    <w:rsid w:val="00B76548"/>
    <w:rsid w:val="00B76BED"/>
    <w:rsid w:val="00B77972"/>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4B2"/>
    <w:rsid w:val="00BB09FB"/>
    <w:rsid w:val="00BB1B85"/>
    <w:rsid w:val="00BB238D"/>
    <w:rsid w:val="00BB3335"/>
    <w:rsid w:val="00BB37CC"/>
    <w:rsid w:val="00BB48C4"/>
    <w:rsid w:val="00BB643F"/>
    <w:rsid w:val="00BB6907"/>
    <w:rsid w:val="00BB7A20"/>
    <w:rsid w:val="00BC15B1"/>
    <w:rsid w:val="00BC3C06"/>
    <w:rsid w:val="00BC4E8B"/>
    <w:rsid w:val="00BC5622"/>
    <w:rsid w:val="00BC6060"/>
    <w:rsid w:val="00BC7897"/>
    <w:rsid w:val="00BD0F35"/>
    <w:rsid w:val="00BD2320"/>
    <w:rsid w:val="00BD45A4"/>
    <w:rsid w:val="00BD4A5F"/>
    <w:rsid w:val="00BD59AA"/>
    <w:rsid w:val="00BD65E6"/>
    <w:rsid w:val="00BD6AF7"/>
    <w:rsid w:val="00BE19EF"/>
    <w:rsid w:val="00BE3519"/>
    <w:rsid w:val="00BE425B"/>
    <w:rsid w:val="00BE4595"/>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5F3"/>
    <w:rsid w:val="00C006B4"/>
    <w:rsid w:val="00C00938"/>
    <w:rsid w:val="00C00E2A"/>
    <w:rsid w:val="00C025B9"/>
    <w:rsid w:val="00C044B4"/>
    <w:rsid w:val="00C0501E"/>
    <w:rsid w:val="00C05105"/>
    <w:rsid w:val="00C05A5D"/>
    <w:rsid w:val="00C0654A"/>
    <w:rsid w:val="00C06DE3"/>
    <w:rsid w:val="00C06F97"/>
    <w:rsid w:val="00C10BE6"/>
    <w:rsid w:val="00C11296"/>
    <w:rsid w:val="00C11905"/>
    <w:rsid w:val="00C1234A"/>
    <w:rsid w:val="00C123AA"/>
    <w:rsid w:val="00C12661"/>
    <w:rsid w:val="00C126E3"/>
    <w:rsid w:val="00C1330F"/>
    <w:rsid w:val="00C13ED7"/>
    <w:rsid w:val="00C14615"/>
    <w:rsid w:val="00C14F48"/>
    <w:rsid w:val="00C15296"/>
    <w:rsid w:val="00C17750"/>
    <w:rsid w:val="00C17DAD"/>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03A"/>
    <w:rsid w:val="00C413FC"/>
    <w:rsid w:val="00C43D33"/>
    <w:rsid w:val="00C44407"/>
    <w:rsid w:val="00C456E8"/>
    <w:rsid w:val="00C46630"/>
    <w:rsid w:val="00C47A2F"/>
    <w:rsid w:val="00C50D18"/>
    <w:rsid w:val="00C51179"/>
    <w:rsid w:val="00C52339"/>
    <w:rsid w:val="00C5282C"/>
    <w:rsid w:val="00C52FBE"/>
    <w:rsid w:val="00C5355E"/>
    <w:rsid w:val="00C535E2"/>
    <w:rsid w:val="00C53FC1"/>
    <w:rsid w:val="00C56438"/>
    <w:rsid w:val="00C570B3"/>
    <w:rsid w:val="00C6009F"/>
    <w:rsid w:val="00C60417"/>
    <w:rsid w:val="00C6046F"/>
    <w:rsid w:val="00C638C2"/>
    <w:rsid w:val="00C64866"/>
    <w:rsid w:val="00C651D4"/>
    <w:rsid w:val="00C6669E"/>
    <w:rsid w:val="00C672B0"/>
    <w:rsid w:val="00C725CA"/>
    <w:rsid w:val="00C729C7"/>
    <w:rsid w:val="00C777AD"/>
    <w:rsid w:val="00C80C53"/>
    <w:rsid w:val="00C81195"/>
    <w:rsid w:val="00C85387"/>
    <w:rsid w:val="00C85E52"/>
    <w:rsid w:val="00C86471"/>
    <w:rsid w:val="00C8677B"/>
    <w:rsid w:val="00C86F96"/>
    <w:rsid w:val="00C909C6"/>
    <w:rsid w:val="00C923B7"/>
    <w:rsid w:val="00C94D4C"/>
    <w:rsid w:val="00C977A5"/>
    <w:rsid w:val="00CA012C"/>
    <w:rsid w:val="00CA0AA6"/>
    <w:rsid w:val="00CA2874"/>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A7B"/>
    <w:rsid w:val="00CF5B2A"/>
    <w:rsid w:val="00CF5F57"/>
    <w:rsid w:val="00CF64A7"/>
    <w:rsid w:val="00CF6730"/>
    <w:rsid w:val="00CF70E5"/>
    <w:rsid w:val="00CF7CEC"/>
    <w:rsid w:val="00CF7EFA"/>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0E0A"/>
    <w:rsid w:val="00D511C6"/>
    <w:rsid w:val="00D5121D"/>
    <w:rsid w:val="00D516AC"/>
    <w:rsid w:val="00D521BB"/>
    <w:rsid w:val="00D52875"/>
    <w:rsid w:val="00D54050"/>
    <w:rsid w:val="00D55C89"/>
    <w:rsid w:val="00D56AC0"/>
    <w:rsid w:val="00D6081B"/>
    <w:rsid w:val="00D6240A"/>
    <w:rsid w:val="00D63093"/>
    <w:rsid w:val="00D63599"/>
    <w:rsid w:val="00D63EBD"/>
    <w:rsid w:val="00D67101"/>
    <w:rsid w:val="00D71B45"/>
    <w:rsid w:val="00D71F8A"/>
    <w:rsid w:val="00D74310"/>
    <w:rsid w:val="00D75603"/>
    <w:rsid w:val="00D75FEE"/>
    <w:rsid w:val="00D76933"/>
    <w:rsid w:val="00D76980"/>
    <w:rsid w:val="00D76D88"/>
    <w:rsid w:val="00D77CC9"/>
    <w:rsid w:val="00D83D4B"/>
    <w:rsid w:val="00D860B9"/>
    <w:rsid w:val="00D871C6"/>
    <w:rsid w:val="00D90717"/>
    <w:rsid w:val="00D91010"/>
    <w:rsid w:val="00DA0FA7"/>
    <w:rsid w:val="00DA12B0"/>
    <w:rsid w:val="00DA2BA0"/>
    <w:rsid w:val="00DA39AD"/>
    <w:rsid w:val="00DA5B13"/>
    <w:rsid w:val="00DA6917"/>
    <w:rsid w:val="00DA6926"/>
    <w:rsid w:val="00DA7345"/>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0CD6"/>
    <w:rsid w:val="00DE64A6"/>
    <w:rsid w:val="00DE66EB"/>
    <w:rsid w:val="00DE7035"/>
    <w:rsid w:val="00DF12E3"/>
    <w:rsid w:val="00DF3F1D"/>
    <w:rsid w:val="00DF595C"/>
    <w:rsid w:val="00DF5F18"/>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30A9"/>
    <w:rsid w:val="00E34C0B"/>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2A5"/>
    <w:rsid w:val="00E53C15"/>
    <w:rsid w:val="00E54EE6"/>
    <w:rsid w:val="00E56715"/>
    <w:rsid w:val="00E56C2C"/>
    <w:rsid w:val="00E57F8E"/>
    <w:rsid w:val="00E611C8"/>
    <w:rsid w:val="00E6344A"/>
    <w:rsid w:val="00E64E69"/>
    <w:rsid w:val="00E64FB7"/>
    <w:rsid w:val="00E6678C"/>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64E3"/>
    <w:rsid w:val="00EA7186"/>
    <w:rsid w:val="00EB018B"/>
    <w:rsid w:val="00EB1003"/>
    <w:rsid w:val="00EB167E"/>
    <w:rsid w:val="00EB24ED"/>
    <w:rsid w:val="00EB2A00"/>
    <w:rsid w:val="00EB309B"/>
    <w:rsid w:val="00EB338D"/>
    <w:rsid w:val="00EB3AA2"/>
    <w:rsid w:val="00EB4763"/>
    <w:rsid w:val="00EB6187"/>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825"/>
    <w:rsid w:val="00ED6BA4"/>
    <w:rsid w:val="00ED7DA7"/>
    <w:rsid w:val="00EE0598"/>
    <w:rsid w:val="00EE311C"/>
    <w:rsid w:val="00EE45DB"/>
    <w:rsid w:val="00EE56FF"/>
    <w:rsid w:val="00EE5886"/>
    <w:rsid w:val="00EE5FBF"/>
    <w:rsid w:val="00EE6472"/>
    <w:rsid w:val="00EE66A7"/>
    <w:rsid w:val="00EE76F2"/>
    <w:rsid w:val="00EF0769"/>
    <w:rsid w:val="00EF0D7C"/>
    <w:rsid w:val="00EF40E2"/>
    <w:rsid w:val="00EF61C1"/>
    <w:rsid w:val="00EF6E68"/>
    <w:rsid w:val="00EF76DB"/>
    <w:rsid w:val="00F005FD"/>
    <w:rsid w:val="00F02A06"/>
    <w:rsid w:val="00F02C04"/>
    <w:rsid w:val="00F03AF1"/>
    <w:rsid w:val="00F04BCD"/>
    <w:rsid w:val="00F05A8C"/>
    <w:rsid w:val="00F06211"/>
    <w:rsid w:val="00F07D95"/>
    <w:rsid w:val="00F10A54"/>
    <w:rsid w:val="00F10C23"/>
    <w:rsid w:val="00F123D0"/>
    <w:rsid w:val="00F13200"/>
    <w:rsid w:val="00F13411"/>
    <w:rsid w:val="00F143BA"/>
    <w:rsid w:val="00F14D98"/>
    <w:rsid w:val="00F174AD"/>
    <w:rsid w:val="00F2081B"/>
    <w:rsid w:val="00F20A43"/>
    <w:rsid w:val="00F20C51"/>
    <w:rsid w:val="00F21049"/>
    <w:rsid w:val="00F218AE"/>
    <w:rsid w:val="00F22232"/>
    <w:rsid w:val="00F2228E"/>
    <w:rsid w:val="00F228F2"/>
    <w:rsid w:val="00F22D3C"/>
    <w:rsid w:val="00F231FB"/>
    <w:rsid w:val="00F23D66"/>
    <w:rsid w:val="00F24E6F"/>
    <w:rsid w:val="00F26069"/>
    <w:rsid w:val="00F26B7E"/>
    <w:rsid w:val="00F27D7D"/>
    <w:rsid w:val="00F3002B"/>
    <w:rsid w:val="00F30BC9"/>
    <w:rsid w:val="00F32462"/>
    <w:rsid w:val="00F32FF7"/>
    <w:rsid w:val="00F33EDE"/>
    <w:rsid w:val="00F34DD3"/>
    <w:rsid w:val="00F3568B"/>
    <w:rsid w:val="00F377CD"/>
    <w:rsid w:val="00F40C3B"/>
    <w:rsid w:val="00F40CE0"/>
    <w:rsid w:val="00F42DBC"/>
    <w:rsid w:val="00F4308D"/>
    <w:rsid w:val="00F43F5F"/>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393"/>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877"/>
    <w:rsid w:val="00F95F15"/>
    <w:rsid w:val="00F975CA"/>
    <w:rsid w:val="00FA0B60"/>
    <w:rsid w:val="00FA1A40"/>
    <w:rsid w:val="00FA2528"/>
    <w:rsid w:val="00FA4429"/>
    <w:rsid w:val="00FA5535"/>
    <w:rsid w:val="00FA5E36"/>
    <w:rsid w:val="00FA7206"/>
    <w:rsid w:val="00FA7EFB"/>
    <w:rsid w:val="00FB0816"/>
    <w:rsid w:val="00FB08C2"/>
    <w:rsid w:val="00FB12B7"/>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Rubrik1">
    <w:name w:val="heading 1"/>
    <w:basedOn w:val="Normal"/>
    <w:next w:val="Normal"/>
    <w:link w:val="Rubrik1Char"/>
    <w:qFormat/>
    <w:rsid w:val="009E7724"/>
    <w:pPr>
      <w:keepNext/>
      <w:numPr>
        <w:numId w:val="5"/>
      </w:numPr>
      <w:spacing w:before="240" w:after="60"/>
      <w:outlineLvl w:val="0"/>
    </w:pPr>
    <w:rPr>
      <w:rFonts w:cs="Arial"/>
      <w:b/>
      <w:bCs/>
      <w:kern w:val="32"/>
      <w:sz w:val="24"/>
      <w:szCs w:val="32"/>
    </w:rPr>
  </w:style>
  <w:style w:type="paragraph" w:styleId="Rubrik2">
    <w:name w:val="heading 2"/>
    <w:basedOn w:val="Normal"/>
    <w:next w:val="Normal"/>
    <w:link w:val="Rubrik2Char"/>
    <w:qFormat/>
    <w:rsid w:val="00886A60"/>
    <w:pPr>
      <w:keepNext/>
      <w:keepLines/>
      <w:spacing w:before="200" w:after="120"/>
      <w:outlineLvl w:val="1"/>
    </w:pPr>
    <w:rPr>
      <w:b/>
      <w:bCs/>
      <w:szCs w:val="26"/>
    </w:rPr>
  </w:style>
  <w:style w:type="paragraph" w:styleId="Rubrik3">
    <w:name w:val="heading 3"/>
    <w:basedOn w:val="Normal"/>
    <w:next w:val="Normal"/>
    <w:link w:val="Rubrik3Char"/>
    <w:qFormat/>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qFormat/>
    <w:rsid w:val="00E9344E"/>
    <w:pPr>
      <w:keepNext/>
      <w:keepLines/>
      <w:numPr>
        <w:numId w:val="13"/>
      </w:numPr>
      <w:spacing w:before="200"/>
      <w:jc w:val="both"/>
      <w:outlineLvl w:val="4"/>
    </w:pPr>
    <w:rPr>
      <w:b/>
    </w:rPr>
  </w:style>
  <w:style w:type="paragraph" w:styleId="Rubrik6">
    <w:name w:val="heading 6"/>
    <w:basedOn w:val="Normal"/>
    <w:next w:val="Normal"/>
    <w:link w:val="Rubrik6Char"/>
    <w:qFormat/>
    <w:rsid w:val="003609B6"/>
    <w:pPr>
      <w:numPr>
        <w:ilvl w:val="5"/>
        <w:numId w:val="4"/>
      </w:numPr>
      <w:spacing w:before="240" w:after="60"/>
      <w:outlineLvl w:val="5"/>
    </w:pPr>
    <w:rPr>
      <w:rFonts w:ascii="Times New Roman" w:hAnsi="Times New Roman"/>
      <w:b/>
      <w:bCs/>
      <w:szCs w:val="22"/>
    </w:rPr>
  </w:style>
  <w:style w:type="paragraph" w:styleId="Rubrik7">
    <w:name w:val="heading 7"/>
    <w:basedOn w:val="Normal"/>
    <w:next w:val="Normal"/>
    <w:link w:val="Rubrik7Char"/>
    <w:unhideWhenUsed/>
    <w:qFormat/>
    <w:rsid w:val="002D6E1A"/>
    <w:pPr>
      <w:spacing w:before="240" w:after="60"/>
      <w:ind w:left="1296" w:hanging="1296"/>
      <w:outlineLvl w:val="6"/>
    </w:pPr>
    <w:rPr>
      <w:rFonts w:ascii="Times New Roman" w:hAnsi="Times New Roman"/>
    </w:rPr>
  </w:style>
  <w:style w:type="paragraph" w:styleId="Rubrik8">
    <w:name w:val="heading 8"/>
    <w:basedOn w:val="Normal"/>
    <w:next w:val="Normal"/>
    <w:link w:val="Rubrik8Char"/>
    <w:qFormat/>
    <w:rsid w:val="003609B6"/>
    <w:pPr>
      <w:numPr>
        <w:ilvl w:val="7"/>
        <w:numId w:val="4"/>
      </w:numPr>
      <w:spacing w:before="240" w:after="60"/>
      <w:outlineLvl w:val="7"/>
    </w:pPr>
    <w:rPr>
      <w:rFonts w:ascii="Times New Roman" w:hAnsi="Times New Roman"/>
      <w:i/>
      <w:iCs/>
    </w:rPr>
  </w:style>
  <w:style w:type="paragraph" w:styleId="Rubrik9">
    <w:name w:val="heading 9"/>
    <w:basedOn w:val="Normal"/>
    <w:next w:val="Normal"/>
    <w:link w:val="Rubrik9Char"/>
    <w:qFormat/>
    <w:rsid w:val="00A06867"/>
    <w:pPr>
      <w:tabs>
        <w:tab w:val="num" w:pos="1584"/>
      </w:tabs>
      <w:spacing w:before="240" w:after="60"/>
      <w:ind w:left="1584" w:hanging="1584"/>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B64CB"/>
    <w:pPr>
      <w:tabs>
        <w:tab w:val="center" w:pos="4536"/>
        <w:tab w:val="right" w:pos="9072"/>
      </w:tabs>
    </w:pPr>
  </w:style>
  <w:style w:type="paragraph" w:styleId="Sidfot">
    <w:name w:val="footer"/>
    <w:basedOn w:val="Normal"/>
    <w:link w:val="SidfotChar"/>
    <w:rsid w:val="005B64CB"/>
    <w:pPr>
      <w:tabs>
        <w:tab w:val="center" w:pos="4536"/>
        <w:tab w:val="right" w:pos="9072"/>
      </w:tabs>
    </w:pPr>
  </w:style>
  <w:style w:type="table" w:styleId="Tabellrutnt">
    <w:name w:val="Table Grid"/>
    <w:basedOn w:val="Normaltabel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dnummer">
    <w:name w:val="page number"/>
    <w:basedOn w:val="Standardstycketeckensnit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tnotstextChar"/>
    <w:qFormat/>
    <w:rsid w:val="001725A5"/>
    <w:pPr>
      <w:spacing w:line="200" w:lineRule="exact"/>
    </w:pPr>
    <w:rPr>
      <w:sz w:val="16"/>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Innehll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sreferens">
    <w:name w:val="annotation reference"/>
    <w:rsid w:val="004B1E61"/>
    <w:rPr>
      <w:sz w:val="16"/>
      <w:szCs w:val="16"/>
    </w:rPr>
  </w:style>
  <w:style w:type="paragraph" w:styleId="Kommentarer">
    <w:name w:val="annotation text"/>
    <w:basedOn w:val="Normal"/>
    <w:link w:val="KommentarerChar"/>
    <w:rsid w:val="004B1E61"/>
    <w:rPr>
      <w:szCs w:val="20"/>
    </w:rPr>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rsid w:val="004B1E61"/>
    <w:rPr>
      <w:b/>
      <w:bCs/>
    </w:rPr>
  </w:style>
  <w:style w:type="character" w:customStyle="1" w:styleId="KommentarsmneChar">
    <w:name w:val="Kommentarsämne Char"/>
    <w:link w:val="Kommentarsmne"/>
    <w:rsid w:val="004B1E61"/>
    <w:rPr>
      <w:rFonts w:ascii="Georgia" w:hAnsi="Georgia"/>
      <w:b/>
      <w:bCs/>
      <w:lang w:eastAsia="de-DE"/>
    </w:rPr>
  </w:style>
  <w:style w:type="paragraph" w:styleId="Ballongtext">
    <w:name w:val="Balloon Text"/>
    <w:basedOn w:val="Normal"/>
    <w:link w:val="BallongtextChar"/>
    <w:rsid w:val="004B1E61"/>
    <w:rPr>
      <w:rFonts w:ascii="Tahoma" w:hAnsi="Tahoma" w:cs="Tahoma"/>
      <w:sz w:val="16"/>
      <w:szCs w:val="16"/>
    </w:rPr>
  </w:style>
  <w:style w:type="character" w:customStyle="1" w:styleId="BallongtextChar">
    <w:name w:val="Ballongtext Char"/>
    <w:link w:val="Ballongtext"/>
    <w:rsid w:val="004B1E61"/>
    <w:rPr>
      <w:rFonts w:ascii="Tahoma" w:hAnsi="Tahoma" w:cs="Tahoma"/>
      <w:sz w:val="16"/>
      <w:szCs w:val="16"/>
      <w:lang w:eastAsia="de-DE"/>
    </w:rPr>
  </w:style>
  <w:style w:type="paragraph" w:styleId="Liststycke">
    <w:name w:val="List Paragraph"/>
    <w:aliases w:val="Paragraphe EI,Paragraphe de liste1,EC"/>
    <w:basedOn w:val="Normal"/>
    <w:link w:val="ListstyckeChar"/>
    <w:uiPriority w:val="34"/>
    <w:qFormat/>
    <w:rsid w:val="002A0C82"/>
    <w:pPr>
      <w:ind w:left="720"/>
      <w:contextualSpacing/>
    </w:pPr>
  </w:style>
  <w:style w:type="paragraph" w:styleId="Innehllsfrteckningsrubrik">
    <w:name w:val="TOC Heading"/>
    <w:basedOn w:val="Rubrik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
    <w:link w:val="Fotnots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link w:val="Rubrik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Betoning">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Innehll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Innehll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Innehll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Innehll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Innehll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Innehll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krivning">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versikt">
    <w:name w:val="Document Map"/>
    <w:basedOn w:val="Normal"/>
    <w:link w:val="DokumentversiktChar"/>
    <w:rsid w:val="00AA016B"/>
    <w:rPr>
      <w:rFonts w:ascii="Tahoma" w:hAnsi="Tahoma" w:cs="Tahoma"/>
      <w:sz w:val="16"/>
      <w:szCs w:val="16"/>
    </w:rPr>
  </w:style>
  <w:style w:type="character" w:customStyle="1" w:styleId="DokumentversiktChar">
    <w:name w:val="Dokumentöversikt Char"/>
    <w:link w:val="Dokumentversikt"/>
    <w:rsid w:val="00AA016B"/>
    <w:rPr>
      <w:rFonts w:ascii="Tahoma" w:hAnsi="Tahoma" w:cs="Tahoma"/>
      <w:sz w:val="16"/>
      <w:szCs w:val="16"/>
      <w:lang w:eastAsia="de-DE"/>
    </w:rPr>
  </w:style>
  <w:style w:type="paragraph" w:styleId="Oformateradtext">
    <w:name w:val="Plain Text"/>
    <w:basedOn w:val="Normal"/>
    <w:link w:val="OformateradtextChar"/>
    <w:unhideWhenUsed/>
    <w:rsid w:val="00AA016B"/>
    <w:rPr>
      <w:rFonts w:ascii="Consolas" w:hAnsi="Consolas"/>
      <w:sz w:val="21"/>
      <w:szCs w:val="21"/>
      <w:lang w:val="de-DE"/>
    </w:rPr>
  </w:style>
  <w:style w:type="character" w:customStyle="1" w:styleId="OformateradtextChar">
    <w:name w:val="Oformaterad text Char"/>
    <w:link w:val="Oformateradtext"/>
    <w:rsid w:val="00AA016B"/>
    <w:rPr>
      <w:rFonts w:ascii="Consolas" w:hAnsi="Consolas"/>
      <w:sz w:val="21"/>
      <w:szCs w:val="21"/>
      <w:lang w:val="de-DE" w:eastAsia="de-DE"/>
    </w:rPr>
  </w:style>
  <w:style w:type="paragraph" w:styleId="Brdtext">
    <w:name w:val="Body Text"/>
    <w:basedOn w:val="Normal"/>
    <w:link w:val="BrdtextChar"/>
    <w:unhideWhenUsed/>
    <w:rsid w:val="00AA016B"/>
    <w:pPr>
      <w:numPr>
        <w:numId w:val="8"/>
      </w:numPr>
      <w:spacing w:after="240"/>
      <w:jc w:val="both"/>
    </w:pPr>
    <w:rPr>
      <w:rFonts w:ascii="Times New Roman" w:hAnsi="Times New Roman"/>
      <w:sz w:val="24"/>
      <w:szCs w:val="20"/>
      <w:lang w:eastAsia="en-GB"/>
    </w:rPr>
  </w:style>
  <w:style w:type="character" w:customStyle="1" w:styleId="BrdtextChar">
    <w:name w:val="Brödtext Char"/>
    <w:link w:val="Brd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ark">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Rubrik2Char">
    <w:name w:val="Rubrik 2 Char"/>
    <w:link w:val="Rubrik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Rubrik9Char">
    <w:name w:val="Rubrik 9 Char"/>
    <w:link w:val="Rubri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Rubrik7Char">
    <w:name w:val="Rubrik 7 Char"/>
    <w:link w:val="Rubrik7"/>
    <w:rsid w:val="002D6E1A"/>
    <w:rPr>
      <w:sz w:val="22"/>
      <w:szCs w:val="24"/>
      <w:lang w:eastAsia="de-DE"/>
    </w:rPr>
  </w:style>
  <w:style w:type="character" w:customStyle="1" w:styleId="Rubrik6Char">
    <w:name w:val="Rubrik 6 Char"/>
    <w:link w:val="Rubrik6"/>
    <w:rsid w:val="002D6E1A"/>
    <w:rPr>
      <w:b/>
      <w:bCs/>
      <w:szCs w:val="22"/>
      <w:lang w:eastAsia="de-DE"/>
    </w:rPr>
  </w:style>
  <w:style w:type="character" w:customStyle="1" w:styleId="Rubrik8Char">
    <w:name w:val="Rubrik 8 Char"/>
    <w:link w:val="Rubrik8"/>
    <w:rsid w:val="002D6E1A"/>
    <w:rPr>
      <w:i/>
      <w:iCs/>
      <w:szCs w:val="24"/>
      <w:lang w:eastAsia="de-DE"/>
    </w:rPr>
  </w:style>
  <w:style w:type="numbering" w:customStyle="1" w:styleId="NoList1">
    <w:name w:val="No List1"/>
    <w:next w:val="Ingenlista"/>
    <w:uiPriority w:val="99"/>
    <w:semiHidden/>
    <w:unhideWhenUsed/>
    <w:rsid w:val="002D6E1A"/>
  </w:style>
  <w:style w:type="character" w:styleId="AnvndHyperlnk">
    <w:name w:val="FollowedHyperlink"/>
    <w:unhideWhenUsed/>
    <w:rsid w:val="002D6E1A"/>
    <w:rPr>
      <w:color w:val="800080"/>
      <w:u w:val="single"/>
    </w:rPr>
  </w:style>
  <w:style w:type="character" w:customStyle="1" w:styleId="SidhuvudChar">
    <w:name w:val="Sidhuvud Char"/>
    <w:link w:val="Sidhuvud"/>
    <w:rsid w:val="002D6E1A"/>
    <w:rPr>
      <w:rFonts w:ascii="Georgia" w:hAnsi="Georgia"/>
      <w:sz w:val="22"/>
      <w:szCs w:val="24"/>
      <w:lang w:eastAsia="de-DE"/>
    </w:rPr>
  </w:style>
  <w:style w:type="character" w:customStyle="1" w:styleId="SidfotChar">
    <w:name w:val="Sidfot Char"/>
    <w:link w:val="Sidfot"/>
    <w:rsid w:val="002D6E1A"/>
    <w:rPr>
      <w:rFonts w:ascii="Georgia" w:hAnsi="Georgia"/>
      <w:sz w:val="22"/>
      <w:szCs w:val="24"/>
      <w:lang w:eastAsia="de-DE"/>
    </w:rPr>
  </w:style>
  <w:style w:type="paragraph" w:styleId="Slutkommentar">
    <w:name w:val="endnote text"/>
    <w:basedOn w:val="Normal"/>
    <w:link w:val="SlutkommentarChar"/>
    <w:unhideWhenUsed/>
    <w:rsid w:val="002D6E1A"/>
    <w:rPr>
      <w:szCs w:val="20"/>
    </w:rPr>
  </w:style>
  <w:style w:type="character" w:customStyle="1" w:styleId="SlutkommentarChar">
    <w:name w:val="Slutkommentar Char"/>
    <w:link w:val="Slutkommentar"/>
    <w:rsid w:val="002D6E1A"/>
    <w:rPr>
      <w:rFonts w:ascii="Georgia" w:hAnsi="Georgia"/>
      <w:lang w:eastAsia="de-DE"/>
    </w:rPr>
  </w:style>
  <w:style w:type="paragraph" w:styleId="Numreradlista">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styckeChar">
    <w:name w:val="Liststycke Char"/>
    <w:aliases w:val="Paragraphe EI Char,Paragraphe de liste1 Char,EC Char"/>
    <w:link w:val="Liststyck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Slutkommentarsreferens">
    <w:name w:val="endnote reference"/>
    <w:unhideWhenUsed/>
    <w:rsid w:val="002D6E1A"/>
    <w:rPr>
      <w:vertAlign w:val="superscript"/>
    </w:rPr>
  </w:style>
  <w:style w:type="character" w:styleId="Platshlla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tabel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Rubrik5Char">
    <w:name w:val="Rubrik 5 Char"/>
    <w:aliases w:val="Questions Char7"/>
    <w:link w:val="Rubrik5"/>
    <w:rsid w:val="00E9344E"/>
    <w:rPr>
      <w:rFonts w:ascii="Georgia" w:hAnsi="Georgia"/>
      <w:b/>
      <w:szCs w:val="24"/>
      <w:lang w:eastAsia="de-DE"/>
    </w:rPr>
  </w:style>
  <w:style w:type="character" w:customStyle="1" w:styleId="Rubrik3Char">
    <w:name w:val="Rubrik 3 Char"/>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Rubri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Rubrik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Rubri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Numreradlista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Numreradlista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Numreradlista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ktlista">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ktlista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ktlista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ktlista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Figurfrteckning">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Rubrik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Rubrik">
    <w:name w:val="Title"/>
    <w:basedOn w:val="Normal"/>
    <w:next w:val="Normal"/>
    <w:link w:val="Rubrik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RubrikChar">
    <w:name w:val="Rubrik Char"/>
    <w:link w:val="Rubrik"/>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rdstycketeckensnit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Starkbetoning">
    <w:name w:val="Intense Emphasis"/>
    <w:basedOn w:val="Standardstycketeckensnitt"/>
    <w:uiPriority w:val="21"/>
    <w:qFormat/>
    <w:rsid w:val="00D34282"/>
    <w:rPr>
      <w:b/>
      <w:bCs/>
      <w:i/>
      <w:iCs/>
    </w:rPr>
  </w:style>
  <w:style w:type="character" w:customStyle="1" w:styleId="CPTitle1Char">
    <w:name w:val="CP_Title1 Char"/>
    <w:basedOn w:val="Standardstycketeckensnitt"/>
    <w:link w:val="CPTitle1"/>
    <w:locked/>
    <w:rsid w:val="00D34282"/>
    <w:rPr>
      <w:rFonts w:asciiTheme="majorHAnsi" w:eastAsiaTheme="majorEastAsia" w:hAnsiTheme="majorHAnsi" w:cstheme="majorHAnsi"/>
      <w:b/>
      <w:sz w:val="32"/>
      <w:szCs w:val="32"/>
    </w:rPr>
  </w:style>
  <w:style w:type="paragraph" w:customStyle="1" w:styleId="CPTitle1">
    <w:name w:val="CP_Title1"/>
    <w:basedOn w:val="Rubrik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Rubrik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Rubrik1">
    <w:name w:val="heading 1"/>
    <w:basedOn w:val="Normal"/>
    <w:next w:val="Normal"/>
    <w:link w:val="Rubrik1Char"/>
    <w:qFormat/>
    <w:rsid w:val="009E7724"/>
    <w:pPr>
      <w:keepNext/>
      <w:numPr>
        <w:numId w:val="5"/>
      </w:numPr>
      <w:spacing w:before="240" w:after="60"/>
      <w:outlineLvl w:val="0"/>
    </w:pPr>
    <w:rPr>
      <w:rFonts w:cs="Arial"/>
      <w:b/>
      <w:bCs/>
      <w:kern w:val="32"/>
      <w:sz w:val="24"/>
      <w:szCs w:val="32"/>
    </w:rPr>
  </w:style>
  <w:style w:type="paragraph" w:styleId="Rubrik2">
    <w:name w:val="heading 2"/>
    <w:basedOn w:val="Normal"/>
    <w:next w:val="Normal"/>
    <w:link w:val="Rubrik2Char"/>
    <w:qFormat/>
    <w:rsid w:val="00886A60"/>
    <w:pPr>
      <w:keepNext/>
      <w:keepLines/>
      <w:spacing w:before="200" w:after="120"/>
      <w:outlineLvl w:val="1"/>
    </w:pPr>
    <w:rPr>
      <w:b/>
      <w:bCs/>
      <w:szCs w:val="26"/>
    </w:rPr>
  </w:style>
  <w:style w:type="paragraph" w:styleId="Rubrik3">
    <w:name w:val="heading 3"/>
    <w:basedOn w:val="Normal"/>
    <w:next w:val="Normal"/>
    <w:link w:val="Rubrik3Char"/>
    <w:qFormat/>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qFormat/>
    <w:rsid w:val="00E9344E"/>
    <w:pPr>
      <w:keepNext/>
      <w:keepLines/>
      <w:numPr>
        <w:numId w:val="13"/>
      </w:numPr>
      <w:spacing w:before="200"/>
      <w:jc w:val="both"/>
      <w:outlineLvl w:val="4"/>
    </w:pPr>
    <w:rPr>
      <w:b/>
    </w:rPr>
  </w:style>
  <w:style w:type="paragraph" w:styleId="Rubrik6">
    <w:name w:val="heading 6"/>
    <w:basedOn w:val="Normal"/>
    <w:next w:val="Normal"/>
    <w:link w:val="Rubrik6Char"/>
    <w:qFormat/>
    <w:rsid w:val="003609B6"/>
    <w:pPr>
      <w:numPr>
        <w:ilvl w:val="5"/>
        <w:numId w:val="4"/>
      </w:numPr>
      <w:spacing w:before="240" w:after="60"/>
      <w:outlineLvl w:val="5"/>
    </w:pPr>
    <w:rPr>
      <w:rFonts w:ascii="Times New Roman" w:hAnsi="Times New Roman"/>
      <w:b/>
      <w:bCs/>
      <w:szCs w:val="22"/>
    </w:rPr>
  </w:style>
  <w:style w:type="paragraph" w:styleId="Rubrik7">
    <w:name w:val="heading 7"/>
    <w:basedOn w:val="Normal"/>
    <w:next w:val="Normal"/>
    <w:link w:val="Rubrik7Char"/>
    <w:unhideWhenUsed/>
    <w:qFormat/>
    <w:rsid w:val="002D6E1A"/>
    <w:pPr>
      <w:spacing w:before="240" w:after="60"/>
      <w:ind w:left="1296" w:hanging="1296"/>
      <w:outlineLvl w:val="6"/>
    </w:pPr>
    <w:rPr>
      <w:rFonts w:ascii="Times New Roman" w:hAnsi="Times New Roman"/>
    </w:rPr>
  </w:style>
  <w:style w:type="paragraph" w:styleId="Rubrik8">
    <w:name w:val="heading 8"/>
    <w:basedOn w:val="Normal"/>
    <w:next w:val="Normal"/>
    <w:link w:val="Rubrik8Char"/>
    <w:qFormat/>
    <w:rsid w:val="003609B6"/>
    <w:pPr>
      <w:numPr>
        <w:ilvl w:val="7"/>
        <w:numId w:val="4"/>
      </w:numPr>
      <w:spacing w:before="240" w:after="60"/>
      <w:outlineLvl w:val="7"/>
    </w:pPr>
    <w:rPr>
      <w:rFonts w:ascii="Times New Roman" w:hAnsi="Times New Roman"/>
      <w:i/>
      <w:iCs/>
    </w:rPr>
  </w:style>
  <w:style w:type="paragraph" w:styleId="Rubrik9">
    <w:name w:val="heading 9"/>
    <w:basedOn w:val="Normal"/>
    <w:next w:val="Normal"/>
    <w:link w:val="Rubrik9Char"/>
    <w:qFormat/>
    <w:rsid w:val="00A06867"/>
    <w:pPr>
      <w:tabs>
        <w:tab w:val="num" w:pos="1584"/>
      </w:tabs>
      <w:spacing w:before="240" w:after="60"/>
      <w:ind w:left="1584" w:hanging="1584"/>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B64CB"/>
    <w:pPr>
      <w:tabs>
        <w:tab w:val="center" w:pos="4536"/>
        <w:tab w:val="right" w:pos="9072"/>
      </w:tabs>
    </w:pPr>
  </w:style>
  <w:style w:type="paragraph" w:styleId="Sidfot">
    <w:name w:val="footer"/>
    <w:basedOn w:val="Normal"/>
    <w:link w:val="SidfotChar"/>
    <w:rsid w:val="005B64CB"/>
    <w:pPr>
      <w:tabs>
        <w:tab w:val="center" w:pos="4536"/>
        <w:tab w:val="right" w:pos="9072"/>
      </w:tabs>
    </w:pPr>
  </w:style>
  <w:style w:type="table" w:styleId="Tabellrutnt">
    <w:name w:val="Table Grid"/>
    <w:basedOn w:val="Normaltabel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dnummer">
    <w:name w:val="page number"/>
    <w:basedOn w:val="Standardstycketeckensnit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tnotstextChar"/>
    <w:qFormat/>
    <w:rsid w:val="001725A5"/>
    <w:pPr>
      <w:spacing w:line="200" w:lineRule="exact"/>
    </w:pPr>
    <w:rPr>
      <w:sz w:val="16"/>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Innehll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sreferens">
    <w:name w:val="annotation reference"/>
    <w:rsid w:val="004B1E61"/>
    <w:rPr>
      <w:sz w:val="16"/>
      <w:szCs w:val="16"/>
    </w:rPr>
  </w:style>
  <w:style w:type="paragraph" w:styleId="Kommentarer">
    <w:name w:val="annotation text"/>
    <w:basedOn w:val="Normal"/>
    <w:link w:val="KommentarerChar"/>
    <w:rsid w:val="004B1E61"/>
    <w:rPr>
      <w:szCs w:val="20"/>
    </w:rPr>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rsid w:val="004B1E61"/>
    <w:rPr>
      <w:b/>
      <w:bCs/>
    </w:rPr>
  </w:style>
  <w:style w:type="character" w:customStyle="1" w:styleId="KommentarsmneChar">
    <w:name w:val="Kommentarsämne Char"/>
    <w:link w:val="Kommentarsmne"/>
    <w:rsid w:val="004B1E61"/>
    <w:rPr>
      <w:rFonts w:ascii="Georgia" w:hAnsi="Georgia"/>
      <w:b/>
      <w:bCs/>
      <w:lang w:eastAsia="de-DE"/>
    </w:rPr>
  </w:style>
  <w:style w:type="paragraph" w:styleId="Ballongtext">
    <w:name w:val="Balloon Text"/>
    <w:basedOn w:val="Normal"/>
    <w:link w:val="BallongtextChar"/>
    <w:rsid w:val="004B1E61"/>
    <w:rPr>
      <w:rFonts w:ascii="Tahoma" w:hAnsi="Tahoma" w:cs="Tahoma"/>
      <w:sz w:val="16"/>
      <w:szCs w:val="16"/>
    </w:rPr>
  </w:style>
  <w:style w:type="character" w:customStyle="1" w:styleId="BallongtextChar">
    <w:name w:val="Ballongtext Char"/>
    <w:link w:val="Ballongtext"/>
    <w:rsid w:val="004B1E61"/>
    <w:rPr>
      <w:rFonts w:ascii="Tahoma" w:hAnsi="Tahoma" w:cs="Tahoma"/>
      <w:sz w:val="16"/>
      <w:szCs w:val="16"/>
      <w:lang w:eastAsia="de-DE"/>
    </w:rPr>
  </w:style>
  <w:style w:type="paragraph" w:styleId="Liststycke">
    <w:name w:val="List Paragraph"/>
    <w:aliases w:val="Paragraphe EI,Paragraphe de liste1,EC"/>
    <w:basedOn w:val="Normal"/>
    <w:link w:val="ListstyckeChar"/>
    <w:uiPriority w:val="34"/>
    <w:qFormat/>
    <w:rsid w:val="002A0C82"/>
    <w:pPr>
      <w:ind w:left="720"/>
      <w:contextualSpacing/>
    </w:pPr>
  </w:style>
  <w:style w:type="paragraph" w:styleId="Innehllsfrteckningsrubrik">
    <w:name w:val="TOC Heading"/>
    <w:basedOn w:val="Rubrik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
    <w:link w:val="Fotnots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link w:val="Rubrik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Betoning">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Innehll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Innehll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Innehll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Innehll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Innehll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Innehll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krivning">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versikt">
    <w:name w:val="Document Map"/>
    <w:basedOn w:val="Normal"/>
    <w:link w:val="DokumentversiktChar"/>
    <w:rsid w:val="00AA016B"/>
    <w:rPr>
      <w:rFonts w:ascii="Tahoma" w:hAnsi="Tahoma" w:cs="Tahoma"/>
      <w:sz w:val="16"/>
      <w:szCs w:val="16"/>
    </w:rPr>
  </w:style>
  <w:style w:type="character" w:customStyle="1" w:styleId="DokumentversiktChar">
    <w:name w:val="Dokumentöversikt Char"/>
    <w:link w:val="Dokumentversikt"/>
    <w:rsid w:val="00AA016B"/>
    <w:rPr>
      <w:rFonts w:ascii="Tahoma" w:hAnsi="Tahoma" w:cs="Tahoma"/>
      <w:sz w:val="16"/>
      <w:szCs w:val="16"/>
      <w:lang w:eastAsia="de-DE"/>
    </w:rPr>
  </w:style>
  <w:style w:type="paragraph" w:styleId="Oformateradtext">
    <w:name w:val="Plain Text"/>
    <w:basedOn w:val="Normal"/>
    <w:link w:val="OformateradtextChar"/>
    <w:unhideWhenUsed/>
    <w:rsid w:val="00AA016B"/>
    <w:rPr>
      <w:rFonts w:ascii="Consolas" w:hAnsi="Consolas"/>
      <w:sz w:val="21"/>
      <w:szCs w:val="21"/>
      <w:lang w:val="de-DE"/>
    </w:rPr>
  </w:style>
  <w:style w:type="character" w:customStyle="1" w:styleId="OformateradtextChar">
    <w:name w:val="Oformaterad text Char"/>
    <w:link w:val="Oformateradtext"/>
    <w:rsid w:val="00AA016B"/>
    <w:rPr>
      <w:rFonts w:ascii="Consolas" w:hAnsi="Consolas"/>
      <w:sz w:val="21"/>
      <w:szCs w:val="21"/>
      <w:lang w:val="de-DE" w:eastAsia="de-DE"/>
    </w:rPr>
  </w:style>
  <w:style w:type="paragraph" w:styleId="Brdtext">
    <w:name w:val="Body Text"/>
    <w:basedOn w:val="Normal"/>
    <w:link w:val="BrdtextChar"/>
    <w:unhideWhenUsed/>
    <w:rsid w:val="00AA016B"/>
    <w:pPr>
      <w:numPr>
        <w:numId w:val="8"/>
      </w:numPr>
      <w:spacing w:after="240"/>
      <w:jc w:val="both"/>
    </w:pPr>
    <w:rPr>
      <w:rFonts w:ascii="Times New Roman" w:hAnsi="Times New Roman"/>
      <w:sz w:val="24"/>
      <w:szCs w:val="20"/>
      <w:lang w:eastAsia="en-GB"/>
    </w:rPr>
  </w:style>
  <w:style w:type="character" w:customStyle="1" w:styleId="BrdtextChar">
    <w:name w:val="Brödtext Char"/>
    <w:link w:val="Brd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ark">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Rubrik2Char">
    <w:name w:val="Rubrik 2 Char"/>
    <w:link w:val="Rubrik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Rubrik9Char">
    <w:name w:val="Rubrik 9 Char"/>
    <w:link w:val="Rubri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Rubrik7Char">
    <w:name w:val="Rubrik 7 Char"/>
    <w:link w:val="Rubrik7"/>
    <w:rsid w:val="002D6E1A"/>
    <w:rPr>
      <w:sz w:val="22"/>
      <w:szCs w:val="24"/>
      <w:lang w:eastAsia="de-DE"/>
    </w:rPr>
  </w:style>
  <w:style w:type="character" w:customStyle="1" w:styleId="Rubrik6Char">
    <w:name w:val="Rubrik 6 Char"/>
    <w:link w:val="Rubrik6"/>
    <w:rsid w:val="002D6E1A"/>
    <w:rPr>
      <w:b/>
      <w:bCs/>
      <w:szCs w:val="22"/>
      <w:lang w:eastAsia="de-DE"/>
    </w:rPr>
  </w:style>
  <w:style w:type="character" w:customStyle="1" w:styleId="Rubrik8Char">
    <w:name w:val="Rubrik 8 Char"/>
    <w:link w:val="Rubrik8"/>
    <w:rsid w:val="002D6E1A"/>
    <w:rPr>
      <w:i/>
      <w:iCs/>
      <w:szCs w:val="24"/>
      <w:lang w:eastAsia="de-DE"/>
    </w:rPr>
  </w:style>
  <w:style w:type="numbering" w:customStyle="1" w:styleId="NoList1">
    <w:name w:val="No List1"/>
    <w:next w:val="Ingenlista"/>
    <w:uiPriority w:val="99"/>
    <w:semiHidden/>
    <w:unhideWhenUsed/>
    <w:rsid w:val="002D6E1A"/>
  </w:style>
  <w:style w:type="character" w:styleId="AnvndHyperlnk">
    <w:name w:val="FollowedHyperlink"/>
    <w:unhideWhenUsed/>
    <w:rsid w:val="002D6E1A"/>
    <w:rPr>
      <w:color w:val="800080"/>
      <w:u w:val="single"/>
    </w:rPr>
  </w:style>
  <w:style w:type="character" w:customStyle="1" w:styleId="SidhuvudChar">
    <w:name w:val="Sidhuvud Char"/>
    <w:link w:val="Sidhuvud"/>
    <w:rsid w:val="002D6E1A"/>
    <w:rPr>
      <w:rFonts w:ascii="Georgia" w:hAnsi="Georgia"/>
      <w:sz w:val="22"/>
      <w:szCs w:val="24"/>
      <w:lang w:eastAsia="de-DE"/>
    </w:rPr>
  </w:style>
  <w:style w:type="character" w:customStyle="1" w:styleId="SidfotChar">
    <w:name w:val="Sidfot Char"/>
    <w:link w:val="Sidfot"/>
    <w:rsid w:val="002D6E1A"/>
    <w:rPr>
      <w:rFonts w:ascii="Georgia" w:hAnsi="Georgia"/>
      <w:sz w:val="22"/>
      <w:szCs w:val="24"/>
      <w:lang w:eastAsia="de-DE"/>
    </w:rPr>
  </w:style>
  <w:style w:type="paragraph" w:styleId="Slutkommentar">
    <w:name w:val="endnote text"/>
    <w:basedOn w:val="Normal"/>
    <w:link w:val="SlutkommentarChar"/>
    <w:unhideWhenUsed/>
    <w:rsid w:val="002D6E1A"/>
    <w:rPr>
      <w:szCs w:val="20"/>
    </w:rPr>
  </w:style>
  <w:style w:type="character" w:customStyle="1" w:styleId="SlutkommentarChar">
    <w:name w:val="Slutkommentar Char"/>
    <w:link w:val="Slutkommentar"/>
    <w:rsid w:val="002D6E1A"/>
    <w:rPr>
      <w:rFonts w:ascii="Georgia" w:hAnsi="Georgia"/>
      <w:lang w:eastAsia="de-DE"/>
    </w:rPr>
  </w:style>
  <w:style w:type="paragraph" w:styleId="Numreradlista">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styckeChar">
    <w:name w:val="Liststycke Char"/>
    <w:aliases w:val="Paragraphe EI Char,Paragraphe de liste1 Char,EC Char"/>
    <w:link w:val="Liststyck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Slutkommentarsreferens">
    <w:name w:val="endnote reference"/>
    <w:unhideWhenUsed/>
    <w:rsid w:val="002D6E1A"/>
    <w:rPr>
      <w:vertAlign w:val="superscript"/>
    </w:rPr>
  </w:style>
  <w:style w:type="character" w:styleId="Platshlla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tabel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Rubrik5Char">
    <w:name w:val="Rubrik 5 Char"/>
    <w:aliases w:val="Questions Char7"/>
    <w:link w:val="Rubrik5"/>
    <w:rsid w:val="00E9344E"/>
    <w:rPr>
      <w:rFonts w:ascii="Georgia" w:hAnsi="Georgia"/>
      <w:b/>
      <w:szCs w:val="24"/>
      <w:lang w:eastAsia="de-DE"/>
    </w:rPr>
  </w:style>
  <w:style w:type="character" w:customStyle="1" w:styleId="Rubrik3Char">
    <w:name w:val="Rubrik 3 Char"/>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Rubri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Rubrik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Rubri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Numreradlista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Numreradlista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Numreradlista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ktlista">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ktlista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ktlista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ktlista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Figurfrteckning">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Rubrik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Rubrik">
    <w:name w:val="Title"/>
    <w:basedOn w:val="Normal"/>
    <w:next w:val="Normal"/>
    <w:link w:val="Rubrik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RubrikChar">
    <w:name w:val="Rubrik Char"/>
    <w:link w:val="Rubrik"/>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rdstycketeckensnit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Starkbetoning">
    <w:name w:val="Intense Emphasis"/>
    <w:basedOn w:val="Standardstycketeckensnitt"/>
    <w:uiPriority w:val="21"/>
    <w:qFormat/>
    <w:rsid w:val="00D34282"/>
    <w:rPr>
      <w:b/>
      <w:bCs/>
      <w:i/>
      <w:iCs/>
    </w:rPr>
  </w:style>
  <w:style w:type="character" w:customStyle="1" w:styleId="CPTitle1Char">
    <w:name w:val="CP_Title1 Char"/>
    <w:basedOn w:val="Standardstycketeckensnitt"/>
    <w:link w:val="CPTitle1"/>
    <w:locked/>
    <w:rsid w:val="00D34282"/>
    <w:rPr>
      <w:rFonts w:asciiTheme="majorHAnsi" w:eastAsiaTheme="majorEastAsia" w:hAnsiTheme="majorHAnsi" w:cstheme="majorHAnsi"/>
      <w:b/>
      <w:sz w:val="32"/>
      <w:szCs w:val="32"/>
    </w:rPr>
  </w:style>
  <w:style w:type="paragraph" w:customStyle="1" w:styleId="CPTitle1">
    <w:name w:val="CP_Title1"/>
    <w:basedOn w:val="Rubrik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Rubrik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36009230">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 w:id="213293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6209A-F9E7-4026-BA7D-9171CAC00514}">
  <ds:schemaRefs>
    <ds:schemaRef ds:uri="http://schemas.openxmlformats.org/officeDocument/2006/bibliography"/>
  </ds:schemaRefs>
</ds:datastoreItem>
</file>

<file path=customXml/itemProps2.xml><?xml version="1.0" encoding="utf-8"?>
<ds:datastoreItem xmlns:ds="http://schemas.openxmlformats.org/officeDocument/2006/customXml" ds:itemID="{3CFDDFA5-A57A-49C0-9775-3EE715C4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23</Pages>
  <Words>10492</Words>
  <Characters>54043</Characters>
  <Application>Microsoft Office Word</Application>
  <DocSecurity>8</DocSecurity>
  <Lines>450</Lines>
  <Paragraphs>128</Paragraphs>
  <ScaleCrop>false</ScaleCrop>
  <HeadingPairs>
    <vt:vector size="12" baseType="variant">
      <vt:variant>
        <vt:lpstr>Rubrik</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64407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Sara Mitelman</cp:lastModifiedBy>
  <cp:revision>8</cp:revision>
  <cp:lastPrinted>2015-03-19T16:01:00Z</cp:lastPrinted>
  <dcterms:created xsi:type="dcterms:W3CDTF">2015-03-19T15:41:00Z</dcterms:created>
  <dcterms:modified xsi:type="dcterms:W3CDTF">2015-03-19T16:28:00Z</dcterms:modified>
</cp:coreProperties>
</file>