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1080" w:rsidRPr="001B460C" w:rsidRDefault="00AA2CFB" w:rsidP="00A505D7">
      <w:pPr>
        <w:jc w:val="both"/>
        <w:rPr>
          <w:rFonts w:ascii="Palatino Linotype" w:hAnsi="Palatino Linotype"/>
          <w:b/>
          <w:u w:val="single"/>
          <w:lang w:val="en-GB"/>
        </w:rPr>
      </w:pPr>
      <w:proofErr w:type="spellStart"/>
      <w:r>
        <w:rPr>
          <w:rFonts w:ascii="Palatino Linotype" w:hAnsi="Palatino Linotype"/>
          <w:b/>
          <w:u w:val="single"/>
          <w:lang w:val="en-GB"/>
        </w:rPr>
        <w:t>Narodowy</w:t>
      </w:r>
      <w:proofErr w:type="spellEnd"/>
      <w:r>
        <w:rPr>
          <w:rFonts w:ascii="Palatino Linotype" w:hAnsi="Palatino Linotype"/>
          <w:b/>
          <w:u w:val="single"/>
          <w:lang w:val="en-GB"/>
        </w:rPr>
        <w:t xml:space="preserve"> Bank </w:t>
      </w:r>
      <w:proofErr w:type="spellStart"/>
      <w:r>
        <w:rPr>
          <w:rFonts w:ascii="Palatino Linotype" w:hAnsi="Palatino Linotype"/>
          <w:b/>
          <w:u w:val="single"/>
          <w:lang w:val="en-GB"/>
        </w:rPr>
        <w:t>Polski</w:t>
      </w:r>
      <w:proofErr w:type="spellEnd"/>
      <w:r>
        <w:rPr>
          <w:rFonts w:ascii="Palatino Linotype" w:hAnsi="Palatino Linotype"/>
          <w:b/>
          <w:u w:val="single"/>
          <w:lang w:val="en-GB"/>
        </w:rPr>
        <w:t xml:space="preserve">, Domestic Operations Department - </w:t>
      </w:r>
      <w:r w:rsidR="00C21675" w:rsidRPr="001B460C">
        <w:rPr>
          <w:rFonts w:ascii="Palatino Linotype" w:hAnsi="Palatino Linotype"/>
          <w:b/>
          <w:u w:val="single"/>
          <w:lang w:val="en-GB"/>
        </w:rPr>
        <w:t xml:space="preserve">Comments </w:t>
      </w:r>
      <w:r w:rsidR="00EF42AD" w:rsidRPr="001B460C">
        <w:rPr>
          <w:rFonts w:ascii="Palatino Linotype" w:hAnsi="Palatino Linotype"/>
          <w:b/>
          <w:u w:val="single"/>
          <w:lang w:val="en-GB"/>
        </w:rPr>
        <w:t>on</w:t>
      </w:r>
      <w:r w:rsidR="004D1080" w:rsidRPr="001B460C">
        <w:rPr>
          <w:rFonts w:ascii="Palatino Linotype" w:hAnsi="Palatino Linotype"/>
          <w:b/>
          <w:u w:val="single"/>
          <w:lang w:val="en-GB"/>
        </w:rPr>
        <w:t xml:space="preserve"> </w:t>
      </w:r>
      <w:r w:rsidR="004D1080" w:rsidRPr="001B460C">
        <w:rPr>
          <w:rFonts w:ascii="Palatino Linotype" w:hAnsi="Palatino Linotype"/>
          <w:b/>
          <w:i/>
          <w:u w:val="single"/>
          <w:lang w:val="en-GB"/>
        </w:rPr>
        <w:t xml:space="preserve">Draft Technical Standards for </w:t>
      </w:r>
      <w:r w:rsidR="00C664E9" w:rsidRPr="001B460C">
        <w:rPr>
          <w:rFonts w:ascii="Palatino Linotype" w:hAnsi="Palatino Linotype"/>
          <w:b/>
          <w:i/>
          <w:u w:val="single"/>
          <w:lang w:val="en-GB"/>
        </w:rPr>
        <w:t xml:space="preserve">the </w:t>
      </w:r>
      <w:r w:rsidR="004D1080" w:rsidRPr="001B460C">
        <w:rPr>
          <w:rFonts w:ascii="Palatino Linotype" w:hAnsi="Palatino Linotype"/>
          <w:b/>
          <w:i/>
          <w:u w:val="single"/>
          <w:lang w:val="en-GB"/>
        </w:rPr>
        <w:t>Regulation on imp</w:t>
      </w:r>
      <w:r w:rsidR="00EF42AD" w:rsidRPr="001B460C">
        <w:rPr>
          <w:rFonts w:ascii="Palatino Linotype" w:hAnsi="Palatino Linotype"/>
          <w:b/>
          <w:i/>
          <w:u w:val="single"/>
          <w:lang w:val="en-GB"/>
        </w:rPr>
        <w:t>r</w:t>
      </w:r>
      <w:r w:rsidR="004D1080" w:rsidRPr="001B460C">
        <w:rPr>
          <w:rFonts w:ascii="Palatino Linotype" w:hAnsi="Palatino Linotype"/>
          <w:b/>
          <w:i/>
          <w:u w:val="single"/>
          <w:lang w:val="en-GB"/>
        </w:rPr>
        <w:t xml:space="preserve">oving securities settlement in the European Union </w:t>
      </w:r>
      <w:r w:rsidR="00EF42AD" w:rsidRPr="001B460C">
        <w:rPr>
          <w:rFonts w:ascii="Palatino Linotype" w:hAnsi="Palatino Linotype"/>
          <w:b/>
          <w:i/>
          <w:u w:val="single"/>
          <w:lang w:val="en-GB"/>
        </w:rPr>
        <w:t xml:space="preserve">and </w:t>
      </w:r>
      <w:r w:rsidR="004D1080" w:rsidRPr="001B460C">
        <w:rPr>
          <w:rFonts w:ascii="Palatino Linotype" w:hAnsi="Palatino Linotype"/>
          <w:b/>
          <w:i/>
          <w:u w:val="single"/>
          <w:lang w:val="en-GB"/>
        </w:rPr>
        <w:t>on central securities depositories – Discussion Paper</w:t>
      </w:r>
      <w:r w:rsidR="00C21675" w:rsidRPr="001B460C">
        <w:rPr>
          <w:rFonts w:ascii="Palatino Linotype" w:hAnsi="Palatino Linotype"/>
          <w:b/>
          <w:u w:val="single"/>
          <w:lang w:val="en-GB"/>
        </w:rPr>
        <w:t>, prepared by ESMA.</w:t>
      </w:r>
    </w:p>
    <w:p w:rsidR="007B00DA" w:rsidRPr="00CA32E6" w:rsidRDefault="00EF42AD" w:rsidP="00213C38">
      <w:pPr>
        <w:jc w:val="both"/>
        <w:rPr>
          <w:rFonts w:ascii="Palatino Linotype" w:hAnsi="Palatino Linotype"/>
          <w:lang w:val="en-GB"/>
        </w:rPr>
      </w:pPr>
      <w:r w:rsidRPr="00CA32E6">
        <w:rPr>
          <w:rFonts w:ascii="Palatino Linotype" w:hAnsi="Palatino Linotype"/>
          <w:lang w:val="en-GB"/>
        </w:rPr>
        <w:t>In connection with article 6 and 7 of the proposal for a r</w:t>
      </w:r>
      <w:r w:rsidR="00E06A85" w:rsidRPr="00CA32E6">
        <w:rPr>
          <w:rFonts w:ascii="Palatino Linotype" w:hAnsi="Palatino Linotype"/>
          <w:lang w:val="en-GB"/>
        </w:rPr>
        <w:t xml:space="preserve">egulation of the European Parliament and the Council on improving securities settlement in the European Union and on central securities depositories (CSDs) (Regulation) </w:t>
      </w:r>
      <w:r w:rsidRPr="00CA32E6">
        <w:rPr>
          <w:rFonts w:ascii="Palatino Linotype" w:hAnsi="Palatino Linotype"/>
          <w:lang w:val="en-GB"/>
        </w:rPr>
        <w:t xml:space="preserve">in its </w:t>
      </w:r>
      <w:r w:rsidR="00C90D78" w:rsidRPr="00CA32E6">
        <w:rPr>
          <w:rFonts w:ascii="Palatino Linotype" w:hAnsi="Palatino Linotype"/>
          <w:i/>
          <w:lang w:val="en-GB"/>
        </w:rPr>
        <w:t>Draft Technical Standards for Regulation on imp</w:t>
      </w:r>
      <w:r w:rsidRPr="00CA32E6">
        <w:rPr>
          <w:rFonts w:ascii="Palatino Linotype" w:hAnsi="Palatino Linotype"/>
          <w:i/>
          <w:lang w:val="en-GB"/>
        </w:rPr>
        <w:t>ro</w:t>
      </w:r>
      <w:r w:rsidR="00C90D78" w:rsidRPr="00CA32E6">
        <w:rPr>
          <w:rFonts w:ascii="Palatino Linotype" w:hAnsi="Palatino Linotype"/>
          <w:i/>
          <w:lang w:val="en-GB"/>
        </w:rPr>
        <w:t xml:space="preserve">ving securities settlement in the European Union </w:t>
      </w:r>
      <w:r w:rsidRPr="00CA32E6">
        <w:rPr>
          <w:rFonts w:ascii="Palatino Linotype" w:hAnsi="Palatino Linotype"/>
          <w:i/>
          <w:lang w:val="en-GB"/>
        </w:rPr>
        <w:t xml:space="preserve">and </w:t>
      </w:r>
      <w:r w:rsidR="00C90D78" w:rsidRPr="00CA32E6">
        <w:rPr>
          <w:rFonts w:ascii="Palatino Linotype" w:hAnsi="Palatino Linotype"/>
          <w:i/>
          <w:lang w:val="en-GB"/>
        </w:rPr>
        <w:t>on central securities depositories – Discussion Pape</w:t>
      </w:r>
      <w:r w:rsidR="00E06A85" w:rsidRPr="00CA32E6">
        <w:rPr>
          <w:rFonts w:ascii="Palatino Linotype" w:hAnsi="Palatino Linotype"/>
          <w:i/>
          <w:lang w:val="en-GB"/>
        </w:rPr>
        <w:t>r</w:t>
      </w:r>
      <w:r w:rsidR="00C90D78" w:rsidRPr="00CA32E6">
        <w:rPr>
          <w:rFonts w:ascii="Palatino Linotype" w:hAnsi="Palatino Linotype"/>
          <w:i/>
          <w:lang w:val="en-GB"/>
        </w:rPr>
        <w:t>,</w:t>
      </w:r>
      <w:r w:rsidR="00A505D7" w:rsidRPr="00CA32E6">
        <w:rPr>
          <w:rFonts w:ascii="Palatino Linotype" w:hAnsi="Palatino Linotype"/>
          <w:lang w:val="en-GB"/>
        </w:rPr>
        <w:t xml:space="preserve"> ESMA </w:t>
      </w:r>
      <w:r w:rsidRPr="00CA32E6">
        <w:rPr>
          <w:rFonts w:ascii="Palatino Linotype" w:hAnsi="Palatino Linotype"/>
          <w:lang w:val="en-GB"/>
        </w:rPr>
        <w:t xml:space="preserve">proposes that all CSDs in Europe should use procedures facilitating settlement of transactions in financial instruments </w:t>
      </w:r>
      <w:r w:rsidR="0058562E" w:rsidRPr="00CA32E6">
        <w:rPr>
          <w:rFonts w:ascii="Palatino Linotype" w:hAnsi="Palatino Linotype"/>
          <w:lang w:val="en-GB"/>
        </w:rPr>
        <w:t>to improve securities settlement and prevent settlement fails</w:t>
      </w:r>
      <w:r w:rsidR="000D058F" w:rsidRPr="00CA32E6">
        <w:rPr>
          <w:rFonts w:ascii="Palatino Linotype" w:hAnsi="Palatino Linotype"/>
          <w:lang w:val="en-GB"/>
        </w:rPr>
        <w:t xml:space="preserve">. In principle, the concept is </w:t>
      </w:r>
      <w:r w:rsidR="0060719C" w:rsidRPr="00CA32E6">
        <w:rPr>
          <w:rFonts w:ascii="Palatino Linotype" w:hAnsi="Palatino Linotype"/>
          <w:lang w:val="en-GB"/>
        </w:rPr>
        <w:t>valid,</w:t>
      </w:r>
      <w:r w:rsidR="0058562E" w:rsidRPr="00CA32E6">
        <w:rPr>
          <w:rFonts w:ascii="Palatino Linotype" w:hAnsi="Palatino Linotype"/>
          <w:lang w:val="en-GB"/>
        </w:rPr>
        <w:t xml:space="preserve"> </w:t>
      </w:r>
      <w:r w:rsidR="0060719C" w:rsidRPr="00CA32E6">
        <w:rPr>
          <w:rFonts w:ascii="Palatino Linotype" w:hAnsi="Palatino Linotype"/>
          <w:lang w:val="en-GB"/>
        </w:rPr>
        <w:t>as it</w:t>
      </w:r>
      <w:r w:rsidR="000D058F" w:rsidRPr="00CA32E6">
        <w:rPr>
          <w:rFonts w:ascii="Palatino Linotype" w:hAnsi="Palatino Linotype"/>
          <w:lang w:val="en-GB"/>
        </w:rPr>
        <w:t xml:space="preserve"> prevent</w:t>
      </w:r>
      <w:r w:rsidR="0060719C" w:rsidRPr="00CA32E6">
        <w:rPr>
          <w:rFonts w:ascii="Palatino Linotype" w:hAnsi="Palatino Linotype"/>
          <w:lang w:val="en-GB"/>
        </w:rPr>
        <w:t xml:space="preserve">s </w:t>
      </w:r>
      <w:r w:rsidR="000D058F" w:rsidRPr="00CA32E6">
        <w:rPr>
          <w:rFonts w:ascii="Palatino Linotype" w:hAnsi="Palatino Linotype"/>
          <w:lang w:val="en-GB"/>
        </w:rPr>
        <w:t>a</w:t>
      </w:r>
      <w:r w:rsidR="0060719C" w:rsidRPr="00CA32E6">
        <w:rPr>
          <w:rFonts w:ascii="Palatino Linotype" w:hAnsi="Palatino Linotype"/>
          <w:lang w:val="en-GB"/>
        </w:rPr>
        <w:t>n adverse</w:t>
      </w:r>
      <w:r w:rsidR="000D058F" w:rsidRPr="00CA32E6">
        <w:rPr>
          <w:rFonts w:ascii="Palatino Linotype" w:hAnsi="Palatino Linotype"/>
          <w:lang w:val="en-GB"/>
        </w:rPr>
        <w:t xml:space="preserve"> phenomenon of settlement fails</w:t>
      </w:r>
      <w:r w:rsidR="0060719C" w:rsidRPr="00CA32E6">
        <w:rPr>
          <w:rFonts w:ascii="Palatino Linotype" w:hAnsi="Palatino Linotype"/>
          <w:lang w:val="en-GB"/>
        </w:rPr>
        <w:t xml:space="preserve"> i</w:t>
      </w:r>
      <w:r w:rsidR="000D058F" w:rsidRPr="00CA32E6">
        <w:rPr>
          <w:rFonts w:ascii="Palatino Linotype" w:hAnsi="Palatino Linotype"/>
          <w:lang w:val="en-GB"/>
        </w:rPr>
        <w:t xml:space="preserve">n the securities market.  It is worth noting, however, that in the securities settlement </w:t>
      </w:r>
      <w:r w:rsidR="007B00DA" w:rsidRPr="00CA32E6">
        <w:rPr>
          <w:rFonts w:ascii="Palatino Linotype" w:hAnsi="Palatino Linotype"/>
          <w:lang w:val="en-GB"/>
        </w:rPr>
        <w:t xml:space="preserve">system operated by central banks using such procedures is unjustified and problematic due to </w:t>
      </w:r>
      <w:r w:rsidR="00A561D0">
        <w:rPr>
          <w:rFonts w:ascii="Palatino Linotype" w:hAnsi="Palatino Linotype"/>
          <w:lang w:val="en-GB"/>
        </w:rPr>
        <w:t xml:space="preserve">the specific nature of </w:t>
      </w:r>
      <w:r w:rsidR="007B00DA" w:rsidRPr="00CA32E6">
        <w:rPr>
          <w:rFonts w:ascii="Palatino Linotype" w:hAnsi="Palatino Linotype"/>
          <w:lang w:val="en-GB"/>
        </w:rPr>
        <w:t xml:space="preserve">central banks and </w:t>
      </w:r>
      <w:r w:rsidR="00A561D0">
        <w:rPr>
          <w:rFonts w:ascii="Palatino Linotype" w:hAnsi="Palatino Linotype"/>
          <w:lang w:val="en-GB"/>
        </w:rPr>
        <w:t xml:space="preserve">their </w:t>
      </w:r>
      <w:r w:rsidR="007B00DA" w:rsidRPr="00CA32E6">
        <w:rPr>
          <w:rFonts w:ascii="Palatino Linotype" w:hAnsi="Palatino Linotype"/>
          <w:lang w:val="en-GB"/>
        </w:rPr>
        <w:t xml:space="preserve">special status among institutions engaged in clearing and settling transactions in securities. Taking the example of the Securities Register (SR) operated by </w:t>
      </w:r>
      <w:proofErr w:type="spellStart"/>
      <w:r w:rsidR="007B00DA" w:rsidRPr="00CA32E6">
        <w:rPr>
          <w:rFonts w:ascii="Palatino Linotype" w:hAnsi="Palatino Linotype"/>
          <w:lang w:val="en-GB"/>
        </w:rPr>
        <w:t>Narodowy</w:t>
      </w:r>
      <w:proofErr w:type="spellEnd"/>
      <w:r w:rsidR="007B00DA" w:rsidRPr="00CA32E6">
        <w:rPr>
          <w:rFonts w:ascii="Palatino Linotype" w:hAnsi="Palatino Linotype"/>
          <w:lang w:val="en-GB"/>
        </w:rPr>
        <w:t xml:space="preserve"> Bank </w:t>
      </w:r>
      <w:proofErr w:type="spellStart"/>
      <w:r w:rsidR="007B00DA" w:rsidRPr="00CA32E6">
        <w:rPr>
          <w:rFonts w:ascii="Palatino Linotype" w:hAnsi="Palatino Linotype"/>
          <w:lang w:val="en-GB"/>
        </w:rPr>
        <w:t>Polski</w:t>
      </w:r>
      <w:proofErr w:type="spellEnd"/>
      <w:r w:rsidR="007B00DA" w:rsidRPr="00CA32E6">
        <w:rPr>
          <w:rFonts w:ascii="Palatino Linotype" w:hAnsi="Palatino Linotype"/>
          <w:lang w:val="en-GB"/>
        </w:rPr>
        <w:t xml:space="preserve"> (NBP)</w:t>
      </w:r>
      <w:r w:rsidR="00D35DF8" w:rsidRPr="00CA32E6">
        <w:rPr>
          <w:rFonts w:ascii="Palatino Linotype" w:hAnsi="Palatino Linotype"/>
          <w:lang w:val="en-GB"/>
        </w:rPr>
        <w:t xml:space="preserve"> we will present issues connected with the SR functioning and arguments for a possible exclusion from use of </w:t>
      </w:r>
      <w:r w:rsidR="00163170" w:rsidRPr="00CA32E6">
        <w:rPr>
          <w:rFonts w:ascii="Palatino Linotype" w:hAnsi="Palatino Linotype"/>
          <w:lang w:val="en-GB"/>
        </w:rPr>
        <w:t xml:space="preserve">the above mentioned procedures, or their appropriate adjustment, as the present proposals are, in many cases, inadequate or impossible to be implemented by such systems. </w:t>
      </w:r>
    </w:p>
    <w:p w:rsidR="00A4598B" w:rsidRPr="00CA32E6" w:rsidRDefault="00163170" w:rsidP="00213C38">
      <w:pPr>
        <w:autoSpaceDE w:val="0"/>
        <w:autoSpaceDN w:val="0"/>
        <w:adjustRightInd w:val="0"/>
        <w:jc w:val="both"/>
        <w:rPr>
          <w:rFonts w:ascii="Palatino Linotype" w:hAnsi="Palatino Linotype"/>
          <w:lang w:val="en-GB"/>
        </w:rPr>
      </w:pPr>
      <w:r w:rsidRPr="00CA32E6">
        <w:rPr>
          <w:rFonts w:ascii="Palatino Linotype" w:hAnsi="Palatino Linotype"/>
          <w:lang w:val="en-GB"/>
        </w:rPr>
        <w:t xml:space="preserve">In the Polish legislation the possibility of </w:t>
      </w:r>
      <w:r w:rsidR="0060719C" w:rsidRPr="00CA32E6">
        <w:rPr>
          <w:rFonts w:ascii="Palatino Linotype" w:hAnsi="Palatino Linotype"/>
          <w:lang w:val="en-GB"/>
        </w:rPr>
        <w:t>operating</w:t>
      </w:r>
      <w:r w:rsidRPr="00CA32E6">
        <w:rPr>
          <w:rFonts w:ascii="Palatino Linotype" w:hAnsi="Palatino Linotype"/>
          <w:lang w:val="en-GB"/>
        </w:rPr>
        <w:t xml:space="preserve"> a depository is clearly defined. Pursuant to article 3 item 21 of the Act on trading in financial instruments</w:t>
      </w:r>
      <w:r w:rsidR="00213C38" w:rsidRPr="00CA32E6">
        <w:rPr>
          <w:rFonts w:ascii="Palatino Linotype" w:hAnsi="Palatino Linotype"/>
          <w:lang w:val="en-GB"/>
        </w:rPr>
        <w:t xml:space="preserve">, </w:t>
      </w:r>
      <w:r w:rsidRPr="00CA32E6">
        <w:rPr>
          <w:rFonts w:ascii="Palatino Linotype" w:hAnsi="Palatino Linotype"/>
          <w:lang w:val="en-GB"/>
        </w:rPr>
        <w:t xml:space="preserve"> “depository for securities” shall mean a system </w:t>
      </w:r>
      <w:r w:rsidRPr="00CA32E6">
        <w:rPr>
          <w:rFonts w:ascii="Palatino Linotype" w:hAnsi="Palatino Linotype" w:cs="Times New Roman"/>
          <w:lang w:val="en-GB"/>
        </w:rPr>
        <w:t xml:space="preserve">for the registration of </w:t>
      </w:r>
      <w:r w:rsidR="00213C38" w:rsidRPr="00CA32E6">
        <w:rPr>
          <w:rFonts w:ascii="Palatino Linotype" w:hAnsi="Palatino Linotype" w:cs="Times New Roman"/>
          <w:lang w:val="en-GB"/>
        </w:rPr>
        <w:t xml:space="preserve">dematerialized </w:t>
      </w:r>
      <w:r w:rsidRPr="00CA32E6">
        <w:rPr>
          <w:rFonts w:ascii="Palatino Linotype" w:hAnsi="Palatino Linotype" w:cs="Times New Roman"/>
          <w:lang w:val="en-GB"/>
        </w:rPr>
        <w:t>securities, comprising securities accounts</w:t>
      </w:r>
      <w:r w:rsidR="00A561D0">
        <w:rPr>
          <w:rFonts w:ascii="Palatino Linotype" w:hAnsi="Palatino Linotype" w:cs="Times New Roman"/>
          <w:lang w:val="en-GB"/>
        </w:rPr>
        <w:t>, omnibus accounts</w:t>
      </w:r>
      <w:r w:rsidRPr="00CA32E6">
        <w:rPr>
          <w:rFonts w:ascii="Palatino Linotype" w:hAnsi="Palatino Linotype" w:cs="Times New Roman"/>
          <w:lang w:val="en-GB"/>
        </w:rPr>
        <w:t xml:space="preserve"> and deposit accounts kept by entities</w:t>
      </w:r>
      <w:r w:rsidR="00213C38" w:rsidRPr="00CA32E6">
        <w:rPr>
          <w:rFonts w:ascii="Palatino Linotype" w:hAnsi="Palatino Linotype" w:cs="Times New Roman"/>
          <w:lang w:val="en-GB"/>
        </w:rPr>
        <w:t xml:space="preserve"> </w:t>
      </w:r>
      <w:r w:rsidRPr="00CA32E6">
        <w:rPr>
          <w:rFonts w:ascii="Palatino Linotype" w:hAnsi="Palatino Linotype" w:cs="Times New Roman"/>
          <w:lang w:val="en-GB"/>
        </w:rPr>
        <w:t>authorised to do so under the provisions of the Act, maintained by the National</w:t>
      </w:r>
      <w:r w:rsidR="00213C38" w:rsidRPr="00CA32E6">
        <w:rPr>
          <w:rFonts w:ascii="Palatino Linotype" w:hAnsi="Palatino Linotype" w:cs="Times New Roman"/>
          <w:lang w:val="en-GB"/>
        </w:rPr>
        <w:t xml:space="preserve"> </w:t>
      </w:r>
      <w:r w:rsidRPr="00CA32E6">
        <w:rPr>
          <w:rFonts w:ascii="Palatino Linotype" w:hAnsi="Palatino Linotype" w:cs="Times New Roman"/>
          <w:lang w:val="en-GB"/>
        </w:rPr>
        <w:t>Depository for Securities</w:t>
      </w:r>
      <w:r w:rsidR="00D97405" w:rsidRPr="00CA32E6">
        <w:rPr>
          <w:rFonts w:ascii="Palatino Linotype" w:hAnsi="Palatino Linotype" w:cs="Times New Roman"/>
          <w:lang w:val="en-GB"/>
        </w:rPr>
        <w:t>. At the same time, t</w:t>
      </w:r>
      <w:r w:rsidR="00213C38" w:rsidRPr="00CA32E6">
        <w:rPr>
          <w:rFonts w:ascii="Palatino Linotype" w:hAnsi="Palatino Linotype" w:cs="Times New Roman"/>
          <w:lang w:val="en-GB"/>
        </w:rPr>
        <w:t xml:space="preserve">he Act </w:t>
      </w:r>
      <w:r w:rsidR="00D97405" w:rsidRPr="00CA32E6">
        <w:rPr>
          <w:rFonts w:ascii="Palatino Linotype" w:hAnsi="Palatino Linotype" w:cs="Times New Roman"/>
          <w:lang w:val="en-GB"/>
        </w:rPr>
        <w:t xml:space="preserve">allows </w:t>
      </w:r>
      <w:r w:rsidR="00D97405" w:rsidRPr="008761A9">
        <w:rPr>
          <w:rFonts w:ascii="Palatino Linotype" w:hAnsi="Palatino Linotype" w:cs="Times New Roman"/>
          <w:lang w:val="en-GB"/>
        </w:rPr>
        <w:t xml:space="preserve">clearing and settlement of transactions and the registration of securities issued by the State Treasury or NBP in a separate system </w:t>
      </w:r>
      <w:r w:rsidR="0060719C" w:rsidRPr="008761A9">
        <w:rPr>
          <w:rFonts w:ascii="Palatino Linotype" w:hAnsi="Palatino Linotype" w:cs="Times New Roman"/>
          <w:lang w:val="en-GB"/>
        </w:rPr>
        <w:t>operated</w:t>
      </w:r>
      <w:r w:rsidR="00D97405" w:rsidRPr="008761A9">
        <w:rPr>
          <w:rFonts w:ascii="Palatino Linotype" w:hAnsi="Palatino Linotype" w:cs="Times New Roman"/>
          <w:lang w:val="en-GB"/>
        </w:rPr>
        <w:t xml:space="preserve"> by NBP. </w:t>
      </w:r>
      <w:r w:rsidR="00E5108F" w:rsidRPr="008761A9">
        <w:rPr>
          <w:rFonts w:ascii="Palatino Linotype" w:hAnsi="Palatino Linotype" w:cs="Times New Roman"/>
          <w:lang w:val="en-GB"/>
        </w:rPr>
        <w:t xml:space="preserve">Therefore, despite the fact that the activities of the SR </w:t>
      </w:r>
      <w:r w:rsidR="0060719C" w:rsidRPr="008761A9">
        <w:rPr>
          <w:rFonts w:ascii="Palatino Linotype" w:hAnsi="Palatino Linotype" w:cs="Times New Roman"/>
          <w:lang w:val="en-GB"/>
        </w:rPr>
        <w:t>are</w:t>
      </w:r>
      <w:r w:rsidR="00E5108F" w:rsidRPr="008761A9">
        <w:rPr>
          <w:rFonts w:ascii="Palatino Linotype" w:hAnsi="Palatino Linotype" w:cs="Times New Roman"/>
          <w:lang w:val="en-GB"/>
        </w:rPr>
        <w:t>, in principle</w:t>
      </w:r>
      <w:r w:rsidR="00C03783" w:rsidRPr="008761A9">
        <w:rPr>
          <w:rFonts w:ascii="Palatino Linotype" w:hAnsi="Palatino Linotype" w:cs="Times New Roman"/>
          <w:lang w:val="en-GB"/>
        </w:rPr>
        <w:t>,</w:t>
      </w:r>
      <w:r w:rsidR="00E5108F" w:rsidRPr="008761A9">
        <w:rPr>
          <w:rFonts w:ascii="Palatino Linotype" w:hAnsi="Palatino Linotype" w:cs="Times New Roman"/>
          <w:lang w:val="en-GB"/>
        </w:rPr>
        <w:t xml:space="preserve"> covered by the definition of CSD </w:t>
      </w:r>
      <w:r w:rsidR="0060719C" w:rsidRPr="008761A9">
        <w:rPr>
          <w:rFonts w:ascii="Palatino Linotype" w:hAnsi="Palatino Linotype" w:cs="Times New Roman"/>
          <w:lang w:val="en-GB"/>
        </w:rPr>
        <w:t>set forth</w:t>
      </w:r>
      <w:r w:rsidR="00E5108F" w:rsidRPr="008761A9">
        <w:rPr>
          <w:rFonts w:ascii="Palatino Linotype" w:hAnsi="Palatino Linotype" w:cs="Times New Roman"/>
          <w:lang w:val="en-GB"/>
        </w:rPr>
        <w:t xml:space="preserve"> in article 2 item</w:t>
      </w:r>
      <w:r w:rsidR="00B50C50" w:rsidRPr="008761A9">
        <w:rPr>
          <w:rFonts w:ascii="Palatino Linotype" w:hAnsi="Palatino Linotype" w:cs="Times New Roman"/>
          <w:lang w:val="en-GB"/>
        </w:rPr>
        <w:t xml:space="preserve"> </w:t>
      </w:r>
      <w:r w:rsidR="008761A9" w:rsidRPr="008761A9">
        <w:rPr>
          <w:rFonts w:ascii="Palatino Linotype" w:hAnsi="Palatino Linotype" w:cs="Times New Roman"/>
          <w:lang w:val="en-GB"/>
        </w:rPr>
        <w:t>1</w:t>
      </w:r>
      <w:r w:rsidR="00B50C50" w:rsidRPr="008761A9">
        <w:rPr>
          <w:rFonts w:ascii="Palatino Linotype" w:hAnsi="Palatino Linotype" w:cs="Times New Roman"/>
          <w:lang w:val="en-GB"/>
        </w:rPr>
        <w:t xml:space="preserve"> of the</w:t>
      </w:r>
      <w:r w:rsidR="00E5108F" w:rsidRPr="008761A9">
        <w:rPr>
          <w:rFonts w:ascii="Palatino Linotype" w:hAnsi="Palatino Linotype" w:cs="Times New Roman"/>
          <w:lang w:val="en-GB"/>
        </w:rPr>
        <w:t xml:space="preserve"> Regulation, i.e</w:t>
      </w:r>
      <w:r w:rsidR="00153DA1" w:rsidRPr="008761A9">
        <w:rPr>
          <w:rFonts w:ascii="Palatino Linotype" w:hAnsi="Palatino Linotype" w:cs="Times New Roman"/>
          <w:lang w:val="en-GB"/>
        </w:rPr>
        <w:t>. the SR</w:t>
      </w:r>
      <w:r w:rsidR="00E5108F" w:rsidRPr="008761A9">
        <w:rPr>
          <w:rFonts w:ascii="Palatino Linotype" w:hAnsi="Palatino Linotype" w:cs="Times New Roman"/>
          <w:lang w:val="en-GB"/>
        </w:rPr>
        <w:t xml:space="preserve"> constitutes </w:t>
      </w:r>
      <w:r w:rsidR="00153DA1" w:rsidRPr="008761A9">
        <w:rPr>
          <w:rFonts w:ascii="Palatino Linotype" w:hAnsi="Palatino Linotype" w:cs="Times New Roman"/>
          <w:lang w:val="en-GB"/>
        </w:rPr>
        <w:t xml:space="preserve">a </w:t>
      </w:r>
      <w:r w:rsidR="00E5108F" w:rsidRPr="008761A9">
        <w:rPr>
          <w:rFonts w:ascii="Palatino Linotype" w:hAnsi="Palatino Linotype" w:cs="Times New Roman"/>
          <w:lang w:val="en-GB"/>
        </w:rPr>
        <w:t>clearing system for T-bills and NBP money bills</w:t>
      </w:r>
      <w:r w:rsidR="00E5108F" w:rsidRPr="00CA32E6">
        <w:rPr>
          <w:rFonts w:ascii="Palatino Linotype" w:hAnsi="Palatino Linotype" w:cs="Times New Roman"/>
          <w:lang w:val="en-GB"/>
        </w:rPr>
        <w:t xml:space="preserve"> </w:t>
      </w:r>
      <w:r w:rsidR="0060719C" w:rsidRPr="00CA32E6">
        <w:rPr>
          <w:rFonts w:ascii="Palatino Linotype" w:hAnsi="Palatino Linotype" w:cs="Times New Roman"/>
          <w:lang w:val="en-GB"/>
        </w:rPr>
        <w:t>and accounts and deposit accounts for securities are maintained in it, NBP is of the opinion that there exist fundamental reasons for excluding such a system from the obligation to meet some of the rules. The reasons are, among others:</w:t>
      </w:r>
    </w:p>
    <w:p w:rsidR="001B14B8" w:rsidRPr="00CA32E6" w:rsidRDefault="001B14B8" w:rsidP="002F2CC9">
      <w:pPr>
        <w:pStyle w:val="Akapitzlist"/>
        <w:numPr>
          <w:ilvl w:val="0"/>
          <w:numId w:val="3"/>
        </w:numPr>
        <w:jc w:val="both"/>
        <w:rPr>
          <w:rFonts w:ascii="Palatino Linotype" w:hAnsi="Palatino Linotype"/>
          <w:lang w:val="en-GB"/>
        </w:rPr>
      </w:pPr>
      <w:r w:rsidRPr="00CA32E6">
        <w:rPr>
          <w:rFonts w:ascii="Palatino Linotype" w:hAnsi="Palatino Linotype"/>
          <w:lang w:val="en-GB"/>
        </w:rPr>
        <w:t xml:space="preserve">The above mentioned </w:t>
      </w:r>
      <w:r w:rsidR="00E06A85" w:rsidRPr="00CA32E6">
        <w:rPr>
          <w:rFonts w:ascii="Palatino Linotype" w:hAnsi="Palatino Linotype"/>
          <w:lang w:val="en-GB"/>
        </w:rPr>
        <w:t>Regulation</w:t>
      </w:r>
      <w:r w:rsidR="00A16AC2" w:rsidRPr="00CA32E6">
        <w:rPr>
          <w:rFonts w:ascii="Palatino Linotype" w:hAnsi="Palatino Linotype"/>
          <w:lang w:val="en-GB"/>
        </w:rPr>
        <w:t xml:space="preserve"> </w:t>
      </w:r>
      <w:r w:rsidRPr="00CA32E6">
        <w:rPr>
          <w:rFonts w:ascii="Palatino Linotype" w:hAnsi="Palatino Linotype"/>
          <w:lang w:val="en-GB"/>
        </w:rPr>
        <w:t xml:space="preserve">defines </w:t>
      </w:r>
      <w:r w:rsidR="00FC46B5" w:rsidRPr="00CA32E6">
        <w:rPr>
          <w:rFonts w:ascii="Palatino Linotype" w:hAnsi="Palatino Linotype"/>
          <w:lang w:val="en-GB"/>
        </w:rPr>
        <w:t>CSD</w:t>
      </w:r>
      <w:r w:rsidR="002F2CC9" w:rsidRPr="00CA32E6">
        <w:rPr>
          <w:rFonts w:ascii="Palatino Linotype" w:hAnsi="Palatino Linotype"/>
          <w:lang w:val="en-GB"/>
        </w:rPr>
        <w:t xml:space="preserve"> </w:t>
      </w:r>
      <w:r w:rsidRPr="00CA32E6">
        <w:rPr>
          <w:rFonts w:ascii="Palatino Linotype" w:hAnsi="Palatino Linotype"/>
          <w:lang w:val="en-GB"/>
        </w:rPr>
        <w:t>as “</w:t>
      </w:r>
      <w:r w:rsidRPr="00CA32E6">
        <w:rPr>
          <w:rFonts w:ascii="Palatino Linotype" w:hAnsi="Palatino Linotype" w:cs="Arial"/>
          <w:lang w:val="en-GB"/>
        </w:rPr>
        <w:t xml:space="preserve">a legal person that operates a securities settlement system” while </w:t>
      </w:r>
      <w:r w:rsidR="00FC46B5" w:rsidRPr="00CA32E6">
        <w:rPr>
          <w:rFonts w:ascii="Palatino Linotype" w:hAnsi="Palatino Linotype"/>
          <w:lang w:val="en-GB"/>
        </w:rPr>
        <w:t xml:space="preserve">SR </w:t>
      </w:r>
      <w:r w:rsidRPr="00CA32E6">
        <w:rPr>
          <w:rFonts w:ascii="Palatino Linotype" w:hAnsi="Palatino Linotype"/>
          <w:lang w:val="en-GB"/>
        </w:rPr>
        <w:t xml:space="preserve">is not a legal person, it is not a separate organisational unit, it is a system that operates within the structure of  NBP in one of the departments. It is NBP – </w:t>
      </w:r>
      <w:r w:rsidR="00C03783">
        <w:rPr>
          <w:rFonts w:ascii="Palatino Linotype" w:hAnsi="Palatino Linotype"/>
          <w:lang w:val="en-GB"/>
        </w:rPr>
        <w:t>which</w:t>
      </w:r>
      <w:r w:rsidR="00C03783" w:rsidRPr="00CA32E6">
        <w:rPr>
          <w:rFonts w:ascii="Palatino Linotype" w:hAnsi="Palatino Linotype"/>
          <w:lang w:val="en-GB"/>
        </w:rPr>
        <w:t xml:space="preserve"> </w:t>
      </w:r>
      <w:r w:rsidRPr="00CA32E6">
        <w:rPr>
          <w:rFonts w:ascii="Palatino Linotype" w:hAnsi="Palatino Linotype"/>
          <w:lang w:val="en-GB"/>
        </w:rPr>
        <w:t xml:space="preserve">operates SR – that has a legal personality. Hence, it should be said that in accordance with the definition NBP is a central depository, which is hardly acceptable. The activities of NBP and the internal </w:t>
      </w:r>
      <w:r w:rsidR="00C87C79" w:rsidRPr="00CA32E6">
        <w:rPr>
          <w:rFonts w:ascii="Palatino Linotype" w:hAnsi="Palatino Linotype"/>
          <w:lang w:val="en-GB"/>
        </w:rPr>
        <w:t xml:space="preserve">organisation are managed by the Management Board of NBP, headed by the NBP President as the Management Board Chairman. The key purpose of NBP activities and its tasks are set forth in the Act on </w:t>
      </w:r>
      <w:proofErr w:type="spellStart"/>
      <w:r w:rsidR="00C87C79" w:rsidRPr="00CA32E6">
        <w:rPr>
          <w:rFonts w:ascii="Palatino Linotype" w:hAnsi="Palatino Linotype"/>
          <w:lang w:val="en-GB"/>
        </w:rPr>
        <w:t>Narodowy</w:t>
      </w:r>
      <w:proofErr w:type="spellEnd"/>
      <w:r w:rsidR="00C87C79" w:rsidRPr="00CA32E6">
        <w:rPr>
          <w:rFonts w:ascii="Palatino Linotype" w:hAnsi="Palatino Linotype"/>
          <w:lang w:val="en-GB"/>
        </w:rPr>
        <w:t xml:space="preserve"> Bank </w:t>
      </w:r>
      <w:proofErr w:type="spellStart"/>
      <w:r w:rsidR="00C87C79" w:rsidRPr="00CA32E6">
        <w:rPr>
          <w:rFonts w:ascii="Palatino Linotype" w:hAnsi="Palatino Linotype"/>
          <w:lang w:val="en-GB"/>
        </w:rPr>
        <w:t>Polski</w:t>
      </w:r>
      <w:proofErr w:type="spellEnd"/>
      <w:r w:rsidR="00C87C79" w:rsidRPr="00CA32E6">
        <w:rPr>
          <w:rFonts w:ascii="Palatino Linotype" w:hAnsi="Palatino Linotype"/>
          <w:lang w:val="en-GB"/>
        </w:rPr>
        <w:t xml:space="preserve">. To sum up, SR is not a legal person and does not have the capacity to independently enact law on its activities (all legal acts that regulate the functioning of SR are resolved by the Management Board of NBP). </w:t>
      </w:r>
    </w:p>
    <w:p w:rsidR="001B14B8" w:rsidRPr="00CA32E6" w:rsidRDefault="001B14B8" w:rsidP="001B14B8">
      <w:pPr>
        <w:pStyle w:val="Akapitzlist"/>
        <w:ind w:left="644"/>
        <w:jc w:val="both"/>
        <w:rPr>
          <w:rFonts w:ascii="Palatino Linotype" w:hAnsi="Palatino Linotype"/>
          <w:lang w:val="en-GB"/>
        </w:rPr>
      </w:pPr>
    </w:p>
    <w:p w:rsidR="00447E18" w:rsidRPr="00CA32E6" w:rsidRDefault="00FD6366" w:rsidP="00C1061C">
      <w:pPr>
        <w:pStyle w:val="Akapitzlist"/>
        <w:numPr>
          <w:ilvl w:val="0"/>
          <w:numId w:val="3"/>
        </w:numPr>
        <w:spacing w:after="0"/>
        <w:jc w:val="both"/>
        <w:rPr>
          <w:rFonts w:ascii="Palatino Linotype" w:hAnsi="Palatino Linotype"/>
          <w:lang w:val="en-GB"/>
        </w:rPr>
      </w:pPr>
      <w:r w:rsidRPr="00CA32E6">
        <w:rPr>
          <w:rFonts w:ascii="Palatino Linotype" w:hAnsi="Palatino Linotype"/>
          <w:lang w:val="en-GB"/>
        </w:rPr>
        <w:t xml:space="preserve">Pursuant to Polish legal provisions in force </w:t>
      </w:r>
      <w:r w:rsidR="002B17C9" w:rsidRPr="00CA32E6">
        <w:rPr>
          <w:rFonts w:ascii="Palatino Linotype" w:hAnsi="Palatino Linotype"/>
          <w:lang w:val="en-GB"/>
        </w:rPr>
        <w:t>(</w:t>
      </w:r>
      <w:r w:rsidRPr="00CA32E6">
        <w:rPr>
          <w:rFonts w:ascii="Palatino Linotype" w:hAnsi="Palatino Linotype"/>
          <w:lang w:val="en-GB"/>
        </w:rPr>
        <w:t>the above mentioned Act on trading in financial instruments enumerates the securities that may be registered in the system)</w:t>
      </w:r>
      <w:r w:rsidR="00447E18" w:rsidRPr="00CA32E6">
        <w:rPr>
          <w:rFonts w:ascii="Palatino Linotype" w:hAnsi="Palatino Linotype"/>
          <w:lang w:val="en-GB"/>
        </w:rPr>
        <w:t xml:space="preserve"> SR is a registration and settlement system used only in relation to:</w:t>
      </w:r>
    </w:p>
    <w:p w:rsidR="0075524C" w:rsidRPr="00CA32E6" w:rsidRDefault="00447E18" w:rsidP="002B17C9">
      <w:pPr>
        <w:pStyle w:val="Akapitzlist"/>
        <w:numPr>
          <w:ilvl w:val="0"/>
          <w:numId w:val="1"/>
        </w:numPr>
        <w:spacing w:after="0"/>
        <w:jc w:val="both"/>
        <w:rPr>
          <w:rFonts w:ascii="Palatino Linotype" w:hAnsi="Palatino Linotype"/>
          <w:lang w:val="en-GB"/>
        </w:rPr>
      </w:pPr>
      <w:r w:rsidRPr="00CA32E6">
        <w:rPr>
          <w:rFonts w:ascii="Palatino Linotype" w:hAnsi="Palatino Linotype"/>
          <w:lang w:val="en-GB"/>
        </w:rPr>
        <w:t>Treasury bills</w:t>
      </w:r>
      <w:r w:rsidR="0075524C" w:rsidRPr="00CA32E6">
        <w:rPr>
          <w:rFonts w:ascii="Palatino Linotype" w:hAnsi="Palatino Linotype"/>
          <w:lang w:val="en-GB"/>
        </w:rPr>
        <w:t>,</w:t>
      </w:r>
      <w:r w:rsidR="00FA31BE" w:rsidRPr="00CA32E6">
        <w:rPr>
          <w:rFonts w:ascii="Palatino Linotype" w:hAnsi="Palatino Linotype"/>
          <w:lang w:val="en-GB"/>
        </w:rPr>
        <w:t xml:space="preserve"> </w:t>
      </w:r>
    </w:p>
    <w:p w:rsidR="00FA31BE" w:rsidRPr="00CA32E6" w:rsidRDefault="00FA31BE" w:rsidP="002B17C9">
      <w:pPr>
        <w:pStyle w:val="Akapitzlist"/>
        <w:numPr>
          <w:ilvl w:val="0"/>
          <w:numId w:val="1"/>
        </w:numPr>
        <w:spacing w:after="0"/>
        <w:jc w:val="both"/>
        <w:rPr>
          <w:rFonts w:ascii="Palatino Linotype" w:hAnsi="Palatino Linotype"/>
          <w:lang w:val="en-GB"/>
        </w:rPr>
      </w:pPr>
      <w:r w:rsidRPr="00CA32E6">
        <w:rPr>
          <w:rFonts w:ascii="Palatino Linotype" w:hAnsi="Palatino Linotype"/>
          <w:lang w:val="en-GB"/>
        </w:rPr>
        <w:t>NBP</w:t>
      </w:r>
      <w:r w:rsidR="00447E18" w:rsidRPr="00CA32E6">
        <w:rPr>
          <w:rFonts w:ascii="Palatino Linotype" w:hAnsi="Palatino Linotype"/>
          <w:lang w:val="en-GB"/>
        </w:rPr>
        <w:t xml:space="preserve"> bills</w:t>
      </w:r>
      <w:r w:rsidR="0075524C" w:rsidRPr="00CA32E6">
        <w:rPr>
          <w:rFonts w:ascii="Palatino Linotype" w:hAnsi="Palatino Linotype"/>
          <w:lang w:val="en-GB"/>
        </w:rPr>
        <w:t>.</w:t>
      </w:r>
    </w:p>
    <w:p w:rsidR="00837A4C" w:rsidRPr="00CA32E6" w:rsidRDefault="00447E18" w:rsidP="00837A4C">
      <w:pPr>
        <w:spacing w:after="0"/>
        <w:jc w:val="both"/>
        <w:rPr>
          <w:rFonts w:ascii="Palatino Linotype" w:hAnsi="Palatino Linotype"/>
          <w:lang w:val="en-GB"/>
        </w:rPr>
      </w:pPr>
      <w:r w:rsidRPr="00CA32E6">
        <w:rPr>
          <w:rFonts w:ascii="Palatino Linotype" w:hAnsi="Palatino Linotype"/>
          <w:lang w:val="en-GB"/>
        </w:rPr>
        <w:t xml:space="preserve">Referring to point 2) 1 above, SR plays a double role for Treasury bills: </w:t>
      </w:r>
    </w:p>
    <w:p w:rsidR="0075524C" w:rsidRPr="00CA32E6" w:rsidRDefault="005649AB" w:rsidP="00837A4C">
      <w:pPr>
        <w:spacing w:after="0"/>
        <w:jc w:val="both"/>
        <w:rPr>
          <w:rFonts w:ascii="Palatino Linotype" w:hAnsi="Palatino Linotype"/>
          <w:lang w:val="en-GB"/>
        </w:rPr>
      </w:pPr>
      <w:r w:rsidRPr="00CA32E6">
        <w:rPr>
          <w:rFonts w:ascii="Palatino Linotype" w:hAnsi="Palatino Linotype"/>
          <w:lang w:val="en-GB"/>
        </w:rPr>
        <w:t xml:space="preserve">- </w:t>
      </w:r>
      <w:r w:rsidR="00142749" w:rsidRPr="00CA32E6">
        <w:rPr>
          <w:rFonts w:ascii="Palatino Linotype" w:hAnsi="Palatino Linotype"/>
          <w:lang w:val="en-GB"/>
        </w:rPr>
        <w:t>issuing agent for Treasury bills –</w:t>
      </w:r>
      <w:r w:rsidRPr="00CA32E6">
        <w:rPr>
          <w:rFonts w:ascii="Palatino Linotype" w:hAnsi="Palatino Linotype"/>
          <w:lang w:val="en-GB"/>
        </w:rPr>
        <w:t xml:space="preserve"> NB</w:t>
      </w:r>
      <w:r w:rsidR="00142749" w:rsidRPr="00CA32E6">
        <w:rPr>
          <w:rFonts w:ascii="Palatino Linotype" w:hAnsi="Palatino Linotype"/>
          <w:lang w:val="en-GB"/>
        </w:rPr>
        <w:t>P, acting on behalf of the Minister of Finance</w:t>
      </w:r>
      <w:r w:rsidR="00C03783">
        <w:rPr>
          <w:rFonts w:ascii="Palatino Linotype" w:hAnsi="Palatino Linotype"/>
          <w:lang w:val="en-GB"/>
        </w:rPr>
        <w:t>,</w:t>
      </w:r>
      <w:r w:rsidR="00142749" w:rsidRPr="00CA32E6">
        <w:rPr>
          <w:rFonts w:ascii="Palatino Linotype" w:hAnsi="Palatino Linotype"/>
          <w:lang w:val="en-GB"/>
        </w:rPr>
        <w:t xml:space="preserve"> is the entity responsible for servicing the issue of Treasury bills, </w:t>
      </w:r>
    </w:p>
    <w:p w:rsidR="005649AB" w:rsidRPr="00CA32E6" w:rsidRDefault="00962201" w:rsidP="00837A4C">
      <w:pPr>
        <w:spacing w:after="0"/>
        <w:jc w:val="both"/>
        <w:rPr>
          <w:rFonts w:ascii="Palatino Linotype" w:hAnsi="Palatino Linotype"/>
          <w:lang w:val="en-GB"/>
        </w:rPr>
      </w:pPr>
      <w:r w:rsidRPr="00CA32E6">
        <w:rPr>
          <w:rFonts w:ascii="Palatino Linotype" w:hAnsi="Palatino Linotype"/>
          <w:lang w:val="en-GB"/>
        </w:rPr>
        <w:t>- system</w:t>
      </w:r>
      <w:r w:rsidR="005649AB" w:rsidRPr="00CA32E6">
        <w:rPr>
          <w:rFonts w:ascii="Palatino Linotype" w:hAnsi="Palatino Linotype"/>
          <w:lang w:val="en-GB"/>
        </w:rPr>
        <w:t xml:space="preserve">, </w:t>
      </w:r>
      <w:r w:rsidRPr="00CA32E6">
        <w:rPr>
          <w:rFonts w:ascii="Palatino Linotype" w:hAnsi="Palatino Linotype"/>
          <w:lang w:val="en-GB"/>
        </w:rPr>
        <w:t>in which Treasury bills are registered on accounts and deposit accounts</w:t>
      </w:r>
      <w:r w:rsidR="005649AB" w:rsidRPr="00CA32E6">
        <w:rPr>
          <w:rFonts w:ascii="Palatino Linotype" w:hAnsi="Palatino Linotype"/>
          <w:lang w:val="en-GB"/>
        </w:rPr>
        <w:t>.</w:t>
      </w:r>
    </w:p>
    <w:p w:rsidR="005649AB" w:rsidRPr="00CA32E6" w:rsidRDefault="00962201" w:rsidP="00837A4C">
      <w:pPr>
        <w:spacing w:after="0"/>
        <w:jc w:val="both"/>
        <w:rPr>
          <w:rFonts w:ascii="Palatino Linotype" w:hAnsi="Palatino Linotype"/>
          <w:lang w:val="en-GB"/>
        </w:rPr>
      </w:pPr>
      <w:r w:rsidRPr="00CA32E6">
        <w:rPr>
          <w:rFonts w:ascii="Palatino Linotype" w:hAnsi="Palatino Linotype"/>
          <w:lang w:val="en-GB"/>
        </w:rPr>
        <w:t>The number and value of Treasury bills in circulation is determined by the Minister of Finance who finances the State budget deficit with the issue of bills</w:t>
      </w:r>
      <w:r w:rsidR="005649AB" w:rsidRPr="00CA32E6">
        <w:rPr>
          <w:rFonts w:ascii="Palatino Linotype" w:hAnsi="Palatino Linotype"/>
          <w:lang w:val="en-GB"/>
        </w:rPr>
        <w:t>.</w:t>
      </w:r>
    </w:p>
    <w:p w:rsidR="00A021A0" w:rsidRPr="00CA32E6" w:rsidRDefault="00A021A0" w:rsidP="00837A4C">
      <w:pPr>
        <w:spacing w:after="0"/>
        <w:jc w:val="both"/>
        <w:rPr>
          <w:rFonts w:ascii="Palatino Linotype" w:hAnsi="Palatino Linotype"/>
          <w:lang w:val="en-GB"/>
        </w:rPr>
      </w:pPr>
    </w:p>
    <w:p w:rsidR="006908E8" w:rsidRPr="00CA32E6" w:rsidRDefault="006908E8" w:rsidP="00FC46B5">
      <w:pPr>
        <w:spacing w:after="0"/>
        <w:jc w:val="both"/>
        <w:rPr>
          <w:rFonts w:ascii="Palatino Linotype" w:hAnsi="Palatino Linotype"/>
          <w:lang w:val="en-GB"/>
        </w:rPr>
      </w:pPr>
      <w:r w:rsidRPr="00CA32E6">
        <w:rPr>
          <w:rFonts w:ascii="Palatino Linotype" w:hAnsi="Palatino Linotype"/>
          <w:lang w:val="en-GB"/>
        </w:rPr>
        <w:t xml:space="preserve">Referring to point 2) 2 above </w:t>
      </w:r>
      <w:r w:rsidR="0075524C" w:rsidRPr="00CA32E6">
        <w:rPr>
          <w:rFonts w:ascii="Palatino Linotype" w:hAnsi="Palatino Linotype"/>
          <w:lang w:val="en-GB"/>
        </w:rPr>
        <w:t xml:space="preserve">– SR </w:t>
      </w:r>
      <w:r w:rsidRPr="00CA32E6">
        <w:rPr>
          <w:rFonts w:ascii="Palatino Linotype" w:hAnsi="Palatino Linotype"/>
          <w:lang w:val="en-GB"/>
        </w:rPr>
        <w:t xml:space="preserve">for NBP </w:t>
      </w:r>
      <w:r w:rsidR="00B0262C">
        <w:rPr>
          <w:rFonts w:ascii="Palatino Linotype" w:hAnsi="Palatino Linotype"/>
          <w:lang w:val="en-GB"/>
        </w:rPr>
        <w:t>b</w:t>
      </w:r>
      <w:r w:rsidRPr="00CA32E6">
        <w:rPr>
          <w:rFonts w:ascii="Palatino Linotype" w:hAnsi="Palatino Linotype"/>
          <w:lang w:val="en-GB"/>
        </w:rPr>
        <w:t>ills is, first of all, a tool used to implement monetary policy</w:t>
      </w:r>
      <w:bookmarkStart w:id="0" w:name="_GoBack"/>
      <w:bookmarkEnd w:id="0"/>
      <w:r w:rsidRPr="00CA32E6">
        <w:rPr>
          <w:rFonts w:ascii="Palatino Linotype" w:hAnsi="Palatino Linotype"/>
          <w:lang w:val="en-GB"/>
        </w:rPr>
        <w:t xml:space="preserve">. </w:t>
      </w:r>
      <w:r w:rsidR="00C553F6" w:rsidRPr="00CA32E6">
        <w:rPr>
          <w:rFonts w:ascii="Palatino Linotype" w:hAnsi="Palatino Linotype"/>
          <w:lang w:val="en-GB"/>
        </w:rPr>
        <w:t xml:space="preserve">The issuer of </w:t>
      </w:r>
      <w:r w:rsidR="00B0262C">
        <w:rPr>
          <w:rFonts w:ascii="Palatino Linotype" w:hAnsi="Palatino Linotype"/>
          <w:lang w:val="en-GB"/>
        </w:rPr>
        <w:t>NBP</w:t>
      </w:r>
      <w:r w:rsidR="00C553F6" w:rsidRPr="00CA32E6">
        <w:rPr>
          <w:rFonts w:ascii="Palatino Linotype" w:hAnsi="Palatino Linotype"/>
          <w:lang w:val="en-GB"/>
        </w:rPr>
        <w:t xml:space="preserve"> bills is NBP. By issuing </w:t>
      </w:r>
      <w:r w:rsidR="00B0262C">
        <w:rPr>
          <w:rFonts w:ascii="Palatino Linotype" w:hAnsi="Palatino Linotype"/>
          <w:lang w:val="en-GB"/>
        </w:rPr>
        <w:t>NBP</w:t>
      </w:r>
      <w:r w:rsidR="00C553F6" w:rsidRPr="00CA32E6">
        <w:rPr>
          <w:rFonts w:ascii="Palatino Linotype" w:hAnsi="Palatino Linotype"/>
          <w:lang w:val="en-GB"/>
        </w:rPr>
        <w:t xml:space="preserve"> bills the Bank </w:t>
      </w:r>
      <w:r w:rsidR="005E7ECF" w:rsidRPr="00CA32E6">
        <w:rPr>
          <w:rFonts w:ascii="Palatino Linotype" w:hAnsi="Palatino Linotype"/>
          <w:lang w:val="en-GB"/>
        </w:rPr>
        <w:t>regulates</w:t>
      </w:r>
      <w:r w:rsidR="00C553F6" w:rsidRPr="00CA32E6">
        <w:rPr>
          <w:rFonts w:ascii="Palatino Linotype" w:hAnsi="Palatino Linotype"/>
          <w:lang w:val="en-GB"/>
        </w:rPr>
        <w:t xml:space="preserve"> liquidity of the banking sector and  </w:t>
      </w:r>
      <w:r w:rsidR="005E7ECF" w:rsidRPr="00CA32E6">
        <w:rPr>
          <w:rFonts w:ascii="Palatino Linotype" w:hAnsi="Palatino Linotype"/>
          <w:lang w:val="en-GB"/>
        </w:rPr>
        <w:t xml:space="preserve">influences </w:t>
      </w:r>
      <w:r w:rsidR="00C553F6" w:rsidRPr="00CA32E6">
        <w:rPr>
          <w:rFonts w:ascii="Palatino Linotype" w:hAnsi="Palatino Linotype"/>
          <w:lang w:val="en-GB"/>
        </w:rPr>
        <w:t>money market</w:t>
      </w:r>
      <w:r w:rsidR="005E7ECF" w:rsidRPr="00CA32E6">
        <w:rPr>
          <w:rFonts w:ascii="Palatino Linotype" w:hAnsi="Palatino Linotype"/>
          <w:lang w:val="en-GB"/>
        </w:rPr>
        <w:t xml:space="preserve"> interest rates</w:t>
      </w:r>
      <w:r w:rsidR="00C553F6" w:rsidRPr="00CA32E6">
        <w:rPr>
          <w:rFonts w:ascii="Palatino Linotype" w:hAnsi="Palatino Linotype"/>
          <w:lang w:val="en-GB"/>
        </w:rPr>
        <w:t xml:space="preserve">. </w:t>
      </w:r>
      <w:r w:rsidR="005E7ECF" w:rsidRPr="00CA32E6">
        <w:rPr>
          <w:rFonts w:ascii="Palatino Linotype" w:hAnsi="Palatino Linotype"/>
          <w:lang w:val="en-GB"/>
        </w:rPr>
        <w:t xml:space="preserve"> </w:t>
      </w:r>
      <w:r w:rsidR="00C553F6" w:rsidRPr="00CA32E6">
        <w:rPr>
          <w:rFonts w:ascii="Palatino Linotype" w:hAnsi="Palatino Linotype"/>
          <w:lang w:val="en-GB"/>
        </w:rPr>
        <w:t xml:space="preserve">NBP  bills may be purchased by banks and only banks can trade in these instruments – this is a financial instrument designated only for the banking sector. In addition, </w:t>
      </w:r>
      <w:r w:rsidR="005E7ECF" w:rsidRPr="00CA32E6">
        <w:rPr>
          <w:rFonts w:ascii="Palatino Linotype" w:hAnsi="Palatino Linotype"/>
          <w:lang w:val="en-GB"/>
        </w:rPr>
        <w:t xml:space="preserve">NBP bills are commonly recognised as securities but do not have the characteristics of securities, as they do not have the ISIN code and are not homogeneous, which means that its distinguishing feature is its type (e.g. a </w:t>
      </w:r>
      <w:r w:rsidR="0073225F" w:rsidRPr="00CA32E6">
        <w:rPr>
          <w:rFonts w:ascii="Palatino Linotype" w:hAnsi="Palatino Linotype"/>
          <w:lang w:val="en-GB"/>
        </w:rPr>
        <w:t xml:space="preserve">2-day bill, a </w:t>
      </w:r>
      <w:r w:rsidR="005E7ECF" w:rsidRPr="00CA32E6">
        <w:rPr>
          <w:rFonts w:ascii="Palatino Linotype" w:hAnsi="Palatino Linotype"/>
          <w:lang w:val="en-GB"/>
        </w:rPr>
        <w:t>7-day bill) and not the date of maturity</w:t>
      </w:r>
      <w:r w:rsidR="0073225F" w:rsidRPr="00CA32E6">
        <w:rPr>
          <w:rFonts w:ascii="Palatino Linotype" w:hAnsi="Palatino Linotype"/>
          <w:lang w:val="en-GB"/>
        </w:rPr>
        <w:t>, as various bills may mature on the same date.</w:t>
      </w:r>
      <w:r w:rsidR="00F65BE2" w:rsidRPr="00CA32E6">
        <w:rPr>
          <w:rFonts w:ascii="Palatino Linotype" w:hAnsi="Palatino Linotype"/>
          <w:lang w:val="en-GB"/>
        </w:rPr>
        <w:t xml:space="preserve"> Pursuant to the above mentioned Act on trading in financial instruments (article 2, para 1, point 2), being a money market instrument it is a financial instrument other than </w:t>
      </w:r>
      <w:r w:rsidR="00C03783">
        <w:rPr>
          <w:rFonts w:ascii="Palatino Linotype" w:hAnsi="Palatino Linotype"/>
          <w:lang w:val="en-GB"/>
        </w:rPr>
        <w:t xml:space="preserve">a </w:t>
      </w:r>
      <w:r w:rsidR="00F65BE2" w:rsidRPr="00CA32E6">
        <w:rPr>
          <w:rFonts w:ascii="Palatino Linotype" w:hAnsi="Palatino Linotype"/>
          <w:lang w:val="en-GB"/>
        </w:rPr>
        <w:t xml:space="preserve">security. </w:t>
      </w:r>
    </w:p>
    <w:p w:rsidR="005E7ECF" w:rsidRPr="00CA32E6" w:rsidRDefault="005E7ECF" w:rsidP="00FC46B5">
      <w:pPr>
        <w:spacing w:after="0"/>
        <w:jc w:val="both"/>
        <w:rPr>
          <w:rFonts w:ascii="Palatino Linotype" w:hAnsi="Palatino Linotype"/>
          <w:lang w:val="en-GB"/>
        </w:rPr>
      </w:pPr>
    </w:p>
    <w:p w:rsidR="002B17C9" w:rsidRPr="00CA32E6" w:rsidRDefault="00F65BE2" w:rsidP="002B17C9">
      <w:pPr>
        <w:pStyle w:val="Akapitzlist"/>
        <w:numPr>
          <w:ilvl w:val="0"/>
          <w:numId w:val="3"/>
        </w:numPr>
        <w:jc w:val="both"/>
        <w:rPr>
          <w:rFonts w:ascii="Palatino Linotype" w:hAnsi="Palatino Linotype"/>
          <w:lang w:val="en-GB"/>
        </w:rPr>
      </w:pPr>
      <w:r w:rsidRPr="00CA32E6">
        <w:rPr>
          <w:rFonts w:ascii="Palatino Linotype" w:hAnsi="Palatino Linotype"/>
          <w:lang w:val="en-GB"/>
        </w:rPr>
        <w:t>Very limited scale of SR activities</w:t>
      </w:r>
      <w:r w:rsidR="00A505D7" w:rsidRPr="00CA32E6">
        <w:rPr>
          <w:rFonts w:ascii="Palatino Linotype" w:hAnsi="Palatino Linotype"/>
          <w:lang w:val="en-GB"/>
        </w:rPr>
        <w:t>:</w:t>
      </w:r>
    </w:p>
    <w:p w:rsidR="00A505D7" w:rsidRPr="00CA32E6" w:rsidRDefault="00F65BE2" w:rsidP="001862B2">
      <w:pPr>
        <w:pStyle w:val="Akapitzlist"/>
        <w:numPr>
          <w:ilvl w:val="0"/>
          <w:numId w:val="9"/>
        </w:numPr>
        <w:jc w:val="both"/>
        <w:rPr>
          <w:rFonts w:ascii="Palatino Linotype" w:hAnsi="Palatino Linotype"/>
          <w:lang w:val="en-GB"/>
        </w:rPr>
      </w:pPr>
      <w:r w:rsidRPr="00CA32E6">
        <w:rPr>
          <w:rFonts w:ascii="Palatino Linotype" w:hAnsi="Palatino Linotype"/>
          <w:lang w:val="en-GB"/>
        </w:rPr>
        <w:t xml:space="preserve">accounts and deposit accounts are operated by SR only for two </w:t>
      </w:r>
      <w:r w:rsidR="00DF56A2" w:rsidRPr="00CA32E6">
        <w:rPr>
          <w:rFonts w:ascii="Palatino Linotype" w:hAnsi="Palatino Linotype"/>
          <w:lang w:val="en-GB"/>
        </w:rPr>
        <w:t>securities – treasury bills and NBP bills</w:t>
      </w:r>
      <w:r w:rsidR="0043476B" w:rsidRPr="00CA32E6">
        <w:rPr>
          <w:rFonts w:ascii="Palatino Linotype" w:hAnsi="Palatino Linotype"/>
          <w:lang w:val="en-GB"/>
        </w:rPr>
        <w:t>;</w:t>
      </w:r>
    </w:p>
    <w:p w:rsidR="00A505D7" w:rsidRPr="00CA32E6" w:rsidRDefault="00DF56A2" w:rsidP="001862B2">
      <w:pPr>
        <w:pStyle w:val="Akapitzlist"/>
        <w:numPr>
          <w:ilvl w:val="0"/>
          <w:numId w:val="9"/>
        </w:numPr>
        <w:jc w:val="both"/>
        <w:rPr>
          <w:rFonts w:ascii="Palatino Linotype" w:hAnsi="Palatino Linotype"/>
          <w:color w:val="FF0000"/>
          <w:lang w:val="en-GB"/>
        </w:rPr>
      </w:pPr>
      <w:r w:rsidRPr="00CA32E6">
        <w:rPr>
          <w:rFonts w:ascii="Palatino Linotype" w:hAnsi="Palatino Linotype"/>
          <w:lang w:val="en-GB"/>
        </w:rPr>
        <w:t>at present, 45 entities are participants of SR</w:t>
      </w:r>
      <w:r w:rsidR="00F322EC" w:rsidRPr="00CA32E6">
        <w:rPr>
          <w:rFonts w:ascii="Palatino Linotype" w:hAnsi="Palatino Linotype"/>
          <w:lang w:val="en-GB"/>
        </w:rPr>
        <w:t>. Pursuant to the By-laws (implemented in accordance with a resolution of the Management Board of NBP)</w:t>
      </w:r>
      <w:r w:rsidR="00C03783">
        <w:rPr>
          <w:rFonts w:ascii="Palatino Linotype" w:hAnsi="Palatino Linotype"/>
          <w:lang w:val="en-GB"/>
        </w:rPr>
        <w:t>,</w:t>
      </w:r>
      <w:r w:rsidR="00F322EC" w:rsidRPr="00CA32E6">
        <w:rPr>
          <w:rFonts w:ascii="Palatino Linotype" w:hAnsi="Palatino Linotype"/>
          <w:lang w:val="en-GB"/>
        </w:rPr>
        <w:t xml:space="preserve"> </w:t>
      </w:r>
      <w:r w:rsidR="00C03783">
        <w:rPr>
          <w:rFonts w:ascii="Palatino Linotype" w:hAnsi="Palatino Linotype"/>
          <w:lang w:val="en-GB"/>
        </w:rPr>
        <w:t>t</w:t>
      </w:r>
      <w:r w:rsidR="00C03783" w:rsidRPr="00CA32E6">
        <w:rPr>
          <w:rFonts w:ascii="Palatino Linotype" w:hAnsi="Palatino Linotype"/>
          <w:lang w:val="en-GB"/>
        </w:rPr>
        <w:t xml:space="preserve">he </w:t>
      </w:r>
      <w:r w:rsidR="00F322EC" w:rsidRPr="00CA32E6">
        <w:rPr>
          <w:rFonts w:ascii="Palatino Linotype" w:hAnsi="Palatino Linotype"/>
          <w:lang w:val="en-GB"/>
        </w:rPr>
        <w:t xml:space="preserve">participants are banks holding a current account with NBP and two entities other than banks </w:t>
      </w:r>
      <w:r w:rsidR="00C03783">
        <w:rPr>
          <w:rFonts w:ascii="Palatino Linotype" w:hAnsi="Palatino Linotype"/>
          <w:lang w:val="en-GB"/>
        </w:rPr>
        <w:t>–</w:t>
      </w:r>
      <w:r w:rsidR="00F322EC" w:rsidRPr="00CA32E6">
        <w:rPr>
          <w:rFonts w:ascii="Palatino Linotype" w:hAnsi="Palatino Linotype"/>
          <w:lang w:val="en-GB"/>
        </w:rPr>
        <w:t xml:space="preserve"> KDPW (</w:t>
      </w:r>
      <w:r w:rsidR="00F322EC" w:rsidRPr="00CA32E6">
        <w:rPr>
          <w:rFonts w:ascii="Palatino Linotype" w:hAnsi="Palatino Linotype" w:cs="Times"/>
          <w:color w:val="000000"/>
          <w:lang w:val="en-GB"/>
        </w:rPr>
        <w:t xml:space="preserve">the National Depository for Securities) </w:t>
      </w:r>
      <w:r w:rsidR="00B0262C">
        <w:rPr>
          <w:rFonts w:ascii="Palatino Linotype" w:hAnsi="Palatino Linotype" w:cs="Times"/>
          <w:color w:val="000000"/>
          <w:lang w:val="en-GB"/>
        </w:rPr>
        <w:t xml:space="preserve">- </w:t>
      </w:r>
      <w:r w:rsidR="00F322EC" w:rsidRPr="00CA32E6">
        <w:rPr>
          <w:rFonts w:ascii="Palatino Linotype" w:hAnsi="Palatino Linotype" w:cs="Times"/>
          <w:color w:val="000000"/>
          <w:lang w:val="en-GB"/>
        </w:rPr>
        <w:t xml:space="preserve">in this case it acts only as purchaser of Treasury bills on its own account and the Bank Guarantee Fund (BFG) </w:t>
      </w:r>
      <w:r w:rsidR="00B0262C">
        <w:rPr>
          <w:rFonts w:ascii="Palatino Linotype" w:hAnsi="Palatino Linotype" w:cs="Times"/>
          <w:color w:val="000000"/>
          <w:lang w:val="en-GB"/>
        </w:rPr>
        <w:t xml:space="preserve">- </w:t>
      </w:r>
      <w:r w:rsidR="00F322EC" w:rsidRPr="00CA32E6">
        <w:rPr>
          <w:rFonts w:ascii="Palatino Linotype" w:hAnsi="Palatino Linotype" w:cs="Times"/>
          <w:color w:val="000000"/>
          <w:lang w:val="en-GB"/>
        </w:rPr>
        <w:t xml:space="preserve">an entity that </w:t>
      </w:r>
      <w:r w:rsidR="001862B2" w:rsidRPr="00CA32E6">
        <w:rPr>
          <w:rFonts w:ascii="Palatino Linotype" w:hAnsi="Palatino Linotype" w:cs="Times"/>
          <w:color w:val="000000"/>
          <w:lang w:val="en-GB"/>
        </w:rPr>
        <w:t>contributes to the safety and stability of banks. It also operates the deposit guarantee scheme in Poland</w:t>
      </w:r>
      <w:r w:rsidR="0043476B" w:rsidRPr="00CA32E6">
        <w:rPr>
          <w:rFonts w:ascii="Palatino Linotype" w:hAnsi="Palatino Linotype" w:cs="Times"/>
          <w:color w:val="000000"/>
          <w:lang w:val="en-GB"/>
        </w:rPr>
        <w:t>;</w:t>
      </w:r>
      <w:r w:rsidR="001862B2" w:rsidRPr="00CA32E6">
        <w:rPr>
          <w:rFonts w:ascii="Palatino Linotype" w:hAnsi="Palatino Linotype" w:cs="Times"/>
          <w:color w:val="000000"/>
          <w:lang w:val="en-GB"/>
        </w:rPr>
        <w:t xml:space="preserve"> </w:t>
      </w:r>
    </w:p>
    <w:p w:rsidR="006D12ED" w:rsidRPr="00CA32E6" w:rsidRDefault="005A49F9" w:rsidP="001862B2">
      <w:pPr>
        <w:pStyle w:val="Akapitzlist"/>
        <w:numPr>
          <w:ilvl w:val="0"/>
          <w:numId w:val="9"/>
        </w:numPr>
        <w:jc w:val="both"/>
        <w:rPr>
          <w:rFonts w:ascii="Palatino Linotype" w:hAnsi="Palatino Linotype"/>
          <w:lang w:val="en-GB"/>
        </w:rPr>
      </w:pPr>
      <w:r w:rsidRPr="00CA32E6">
        <w:rPr>
          <w:rFonts w:ascii="Palatino Linotype" w:hAnsi="Palatino Linotype"/>
          <w:lang w:val="en-GB"/>
        </w:rPr>
        <w:t xml:space="preserve">turnover </w:t>
      </w:r>
      <w:r w:rsidR="00327B44" w:rsidRPr="00CA32E6">
        <w:rPr>
          <w:rFonts w:ascii="Palatino Linotype" w:hAnsi="Palatino Linotype"/>
          <w:lang w:val="en-GB"/>
        </w:rPr>
        <w:t xml:space="preserve">on the secondary market in 2013 (combined trading in Treasury bills and </w:t>
      </w:r>
      <w:r w:rsidR="00B0262C">
        <w:rPr>
          <w:rFonts w:ascii="Palatino Linotype" w:hAnsi="Palatino Linotype"/>
          <w:lang w:val="en-GB"/>
        </w:rPr>
        <w:t>NBP</w:t>
      </w:r>
      <w:r w:rsidR="00327B44" w:rsidRPr="00CA32E6">
        <w:rPr>
          <w:rFonts w:ascii="Palatino Linotype" w:hAnsi="Palatino Linotype"/>
          <w:lang w:val="en-GB"/>
        </w:rPr>
        <w:t xml:space="preserve"> bills) – the value </w:t>
      </w:r>
      <w:r w:rsidR="00C03783">
        <w:rPr>
          <w:rFonts w:ascii="Palatino Linotype" w:hAnsi="Palatino Linotype"/>
          <w:lang w:val="en-GB"/>
        </w:rPr>
        <w:t>o</w:t>
      </w:r>
      <w:r w:rsidR="00327B44" w:rsidRPr="00CA32E6">
        <w:rPr>
          <w:rFonts w:ascii="Palatino Linotype" w:hAnsi="Palatino Linotype"/>
          <w:lang w:val="en-GB"/>
        </w:rPr>
        <w:t>f transactions settled in SR amounted to PLN 288 billion (approximately EUR 70 billion) with the number of transactions standing at 2,582</w:t>
      </w:r>
      <w:r w:rsidR="0043476B" w:rsidRPr="00CA32E6">
        <w:rPr>
          <w:rFonts w:ascii="Palatino Linotype" w:hAnsi="Palatino Linotype"/>
          <w:lang w:val="en-GB"/>
        </w:rPr>
        <w:t>;</w:t>
      </w:r>
      <w:r w:rsidR="00327B44" w:rsidRPr="00CA32E6">
        <w:rPr>
          <w:rFonts w:ascii="Palatino Linotype" w:hAnsi="Palatino Linotype"/>
          <w:lang w:val="en-GB"/>
        </w:rPr>
        <w:t xml:space="preserve"> </w:t>
      </w:r>
    </w:p>
    <w:p w:rsidR="00A505D7" w:rsidRPr="00CA32E6" w:rsidRDefault="005A49F9" w:rsidP="001862B2">
      <w:pPr>
        <w:pStyle w:val="Akapitzlist"/>
        <w:numPr>
          <w:ilvl w:val="0"/>
          <w:numId w:val="8"/>
        </w:numPr>
        <w:jc w:val="both"/>
        <w:rPr>
          <w:rFonts w:ascii="Palatino Linotype" w:hAnsi="Palatino Linotype"/>
          <w:lang w:val="en-GB"/>
        </w:rPr>
      </w:pPr>
      <w:r w:rsidRPr="00CA32E6">
        <w:rPr>
          <w:rFonts w:ascii="Palatino Linotype" w:hAnsi="Palatino Linotype"/>
          <w:lang w:val="en-GB"/>
        </w:rPr>
        <w:t>transactions are settled only in PLN;</w:t>
      </w:r>
    </w:p>
    <w:p w:rsidR="00A505D7" w:rsidRPr="00CA32E6" w:rsidRDefault="005A49F9" w:rsidP="001862B2">
      <w:pPr>
        <w:pStyle w:val="Akapitzlist"/>
        <w:numPr>
          <w:ilvl w:val="0"/>
          <w:numId w:val="8"/>
        </w:numPr>
        <w:jc w:val="both"/>
        <w:rPr>
          <w:rFonts w:ascii="Palatino Linotype" w:hAnsi="Palatino Linotype"/>
          <w:lang w:val="en-GB"/>
        </w:rPr>
      </w:pPr>
      <w:r w:rsidRPr="00CA32E6">
        <w:rPr>
          <w:rFonts w:ascii="Palatino Linotype" w:hAnsi="Palatino Linotype"/>
          <w:lang w:val="en-GB"/>
        </w:rPr>
        <w:t>SR does not conduct cross-border settlements</w:t>
      </w:r>
      <w:r w:rsidR="00306EDE" w:rsidRPr="00CA32E6">
        <w:rPr>
          <w:rFonts w:ascii="Palatino Linotype" w:hAnsi="Palatino Linotype"/>
          <w:lang w:val="en-GB"/>
        </w:rPr>
        <w:t>.</w:t>
      </w:r>
    </w:p>
    <w:p w:rsidR="005A49F9" w:rsidRPr="00CA32E6" w:rsidRDefault="005A49F9" w:rsidP="001862B2">
      <w:pPr>
        <w:pStyle w:val="Akapitzlist"/>
        <w:numPr>
          <w:ilvl w:val="0"/>
          <w:numId w:val="8"/>
        </w:numPr>
        <w:jc w:val="both"/>
        <w:rPr>
          <w:rFonts w:ascii="Palatino Linotype" w:hAnsi="Palatino Linotype"/>
          <w:lang w:val="en-GB"/>
        </w:rPr>
      </w:pPr>
      <w:r w:rsidRPr="00CA32E6">
        <w:rPr>
          <w:rFonts w:ascii="Palatino Linotype" w:hAnsi="Palatino Linotype"/>
          <w:lang w:val="en-GB"/>
        </w:rPr>
        <w:t>SR is not operationally connected to other depositories – it does not hold accounts for other depositories and does not have accounts in other depositories.</w:t>
      </w:r>
    </w:p>
    <w:p w:rsidR="00A505D7" w:rsidRPr="00CA32E6" w:rsidRDefault="00D13C26" w:rsidP="00D13C26">
      <w:pPr>
        <w:ind w:left="360"/>
        <w:jc w:val="both"/>
        <w:rPr>
          <w:rFonts w:ascii="Palatino Linotype" w:hAnsi="Palatino Linotype"/>
          <w:lang w:val="en-GB"/>
        </w:rPr>
      </w:pPr>
      <w:r w:rsidRPr="00CA32E6">
        <w:rPr>
          <w:rFonts w:ascii="Palatino Linotype" w:hAnsi="Palatino Linotype"/>
          <w:lang w:val="en-GB"/>
        </w:rPr>
        <w:lastRenderedPageBreak/>
        <w:t>Taking into account the purpose SR serves (primarily NBP monetary policy), changes in this respect are not justified.</w:t>
      </w:r>
    </w:p>
    <w:p w:rsidR="00402E15" w:rsidRDefault="00D13C26" w:rsidP="00837A4C">
      <w:pPr>
        <w:jc w:val="both"/>
        <w:rPr>
          <w:rFonts w:ascii="Palatino Linotype" w:hAnsi="Palatino Linotype"/>
          <w:lang w:val="en-GB"/>
        </w:rPr>
      </w:pPr>
      <w:r w:rsidRPr="00CA32E6">
        <w:rPr>
          <w:rFonts w:ascii="Palatino Linotype" w:hAnsi="Palatino Linotype"/>
          <w:lang w:val="en-GB"/>
        </w:rPr>
        <w:t xml:space="preserve">In line with the above information, the activity of SR is very specific and limited in terms of its scope – the number of participants is small and well defined, there are only two types of securities for which accounts and deposit accounts are held, and transactions in the secondary market are limited in terms of both value and number. </w:t>
      </w:r>
      <w:r w:rsidR="00E1681E" w:rsidRPr="0071134D">
        <w:rPr>
          <w:rFonts w:ascii="Palatino Linotype" w:hAnsi="Palatino Linotype"/>
          <w:b/>
          <w:lang w:val="en-GB"/>
        </w:rPr>
        <w:t xml:space="preserve">It should also be noted that there are a number of factors </w:t>
      </w:r>
      <w:r w:rsidR="00E05A5E" w:rsidRPr="0071134D">
        <w:rPr>
          <w:rFonts w:ascii="Palatino Linotype" w:hAnsi="Palatino Linotype"/>
          <w:b/>
          <w:lang w:val="en-GB"/>
        </w:rPr>
        <w:t xml:space="preserve">of </w:t>
      </w:r>
      <w:r w:rsidR="00C03783" w:rsidRPr="0071134D">
        <w:rPr>
          <w:rFonts w:ascii="Palatino Linotype" w:hAnsi="Palatino Linotype"/>
          <w:b/>
          <w:lang w:val="en-GB"/>
        </w:rPr>
        <w:t xml:space="preserve">an </w:t>
      </w:r>
      <w:r w:rsidR="00E05A5E" w:rsidRPr="0071134D">
        <w:rPr>
          <w:rFonts w:ascii="Palatino Linotype" w:hAnsi="Palatino Linotype"/>
          <w:b/>
          <w:lang w:val="en-GB"/>
        </w:rPr>
        <w:t>economic and technical nature that make it necessary to exclude some systems from the obligation to meet all the principles set forth in the Regulation. Since 2011, not a single SR transaction has been reported as unsettled; in previous years, the number of unsettled transactions was negligible (for example, in 2010 only three such transaction</w:t>
      </w:r>
      <w:r w:rsidR="00C03783" w:rsidRPr="0071134D">
        <w:rPr>
          <w:rFonts w:ascii="Palatino Linotype" w:hAnsi="Palatino Linotype"/>
          <w:b/>
          <w:lang w:val="en-GB"/>
        </w:rPr>
        <w:t>s</w:t>
      </w:r>
      <w:r w:rsidR="00E05A5E" w:rsidRPr="0071134D">
        <w:rPr>
          <w:rFonts w:ascii="Palatino Linotype" w:hAnsi="Palatino Linotype"/>
          <w:b/>
          <w:lang w:val="en-GB"/>
        </w:rPr>
        <w:t xml:space="preserve"> were recorded)</w:t>
      </w:r>
      <w:r w:rsidR="00B3626B" w:rsidRPr="0071134D">
        <w:rPr>
          <w:rFonts w:ascii="Palatino Linotype" w:hAnsi="Palatino Linotype"/>
          <w:b/>
          <w:lang w:val="en-GB"/>
        </w:rPr>
        <w:t>.</w:t>
      </w:r>
      <w:r w:rsidR="00B20A4B" w:rsidRPr="0071134D">
        <w:rPr>
          <w:rFonts w:ascii="Palatino Linotype" w:hAnsi="Palatino Linotype"/>
          <w:b/>
          <w:lang w:val="en-GB"/>
        </w:rPr>
        <w:t xml:space="preserve"> </w:t>
      </w:r>
      <w:r w:rsidR="00B20A4B" w:rsidRPr="00CA32E6">
        <w:rPr>
          <w:rFonts w:ascii="Palatino Linotype" w:hAnsi="Palatino Linotype"/>
          <w:lang w:val="en-GB"/>
        </w:rPr>
        <w:t xml:space="preserve">This result is due to, on the one hand, </w:t>
      </w:r>
      <w:r w:rsidR="00C03783">
        <w:rPr>
          <w:rFonts w:ascii="Palatino Linotype" w:hAnsi="Palatino Linotype"/>
          <w:lang w:val="en-GB"/>
        </w:rPr>
        <w:t>the</w:t>
      </w:r>
      <w:r w:rsidR="00C03783" w:rsidRPr="00CA32E6">
        <w:rPr>
          <w:rFonts w:ascii="Palatino Linotype" w:hAnsi="Palatino Linotype"/>
          <w:lang w:val="en-GB"/>
        </w:rPr>
        <w:t xml:space="preserve"> </w:t>
      </w:r>
      <w:r w:rsidR="00B20A4B" w:rsidRPr="00CA32E6">
        <w:rPr>
          <w:rFonts w:ascii="Palatino Linotype" w:hAnsi="Palatino Linotype"/>
          <w:lang w:val="en-GB"/>
        </w:rPr>
        <w:t xml:space="preserve">small total number of transactions settled in SR, and, on the other hand, the set of tools applied in the system to counteract potential settlement fails, which includes: the use of STP, compulsory matching of settlement instructions, continuous settlement (RTGS), real-time query tools which give </w:t>
      </w:r>
      <w:r w:rsidR="00C03783">
        <w:rPr>
          <w:rFonts w:ascii="Palatino Linotype" w:hAnsi="Palatino Linotype"/>
          <w:lang w:val="en-GB"/>
        </w:rPr>
        <w:t xml:space="preserve">the </w:t>
      </w:r>
      <w:r w:rsidR="00B20A4B" w:rsidRPr="00CA32E6">
        <w:rPr>
          <w:rFonts w:ascii="Palatino Linotype" w:hAnsi="Palatino Linotype"/>
          <w:lang w:val="en-GB"/>
        </w:rPr>
        <w:t xml:space="preserve">participant information on the status of the transaction (status of instruction execution) and </w:t>
      </w:r>
      <w:r w:rsidR="00C03783">
        <w:rPr>
          <w:rFonts w:ascii="Palatino Linotype" w:hAnsi="Palatino Linotype"/>
          <w:lang w:val="en-GB"/>
        </w:rPr>
        <w:t xml:space="preserve">the </w:t>
      </w:r>
      <w:r w:rsidR="00B20A4B" w:rsidRPr="00CA32E6">
        <w:rPr>
          <w:rFonts w:ascii="Palatino Linotype" w:hAnsi="Palatino Linotype"/>
          <w:lang w:val="en-GB"/>
        </w:rPr>
        <w:t xml:space="preserve">account and deposit account balance, </w:t>
      </w:r>
      <w:r w:rsidR="00C03783">
        <w:rPr>
          <w:rFonts w:ascii="Palatino Linotype" w:hAnsi="Palatino Linotype"/>
          <w:lang w:val="en-GB"/>
        </w:rPr>
        <w:t xml:space="preserve">and </w:t>
      </w:r>
      <w:r w:rsidR="00B20A4B" w:rsidRPr="00CA32E6">
        <w:rPr>
          <w:rFonts w:ascii="Palatino Linotype" w:hAnsi="Palatino Linotype"/>
          <w:lang w:val="en-GB"/>
        </w:rPr>
        <w:t xml:space="preserve">securities lending (at the request of the participant). </w:t>
      </w:r>
      <w:r w:rsidR="00E1681E" w:rsidRPr="00CA32E6">
        <w:rPr>
          <w:rFonts w:ascii="Palatino Linotype" w:hAnsi="Palatino Linotype"/>
          <w:lang w:val="en-GB"/>
        </w:rPr>
        <w:t xml:space="preserve"> </w:t>
      </w:r>
      <w:r w:rsidR="00B20A4B" w:rsidRPr="00CA32E6">
        <w:rPr>
          <w:rFonts w:ascii="Palatino Linotype" w:hAnsi="Palatino Linotype"/>
          <w:lang w:val="en-GB"/>
        </w:rPr>
        <w:t xml:space="preserve">It can therefore be assumed that the procedures and tools used in SR to counteract settlement fails are correct and sufficient. </w:t>
      </w:r>
      <w:r w:rsidR="00B20A4B" w:rsidRPr="00367FB0">
        <w:rPr>
          <w:rFonts w:ascii="Palatino Linotype" w:hAnsi="Palatino Linotype"/>
          <w:lang w:val="en-GB"/>
        </w:rPr>
        <w:t>The introduction of additional mandatory requirements, which constitute more sophisticated methods of avoiding settlement fails, such as: the use of optimisation algorithms, inter alia applying technical netting, partial settlement of a transaction, recycling of settlement instructions by the CSD in order to settle any failed settlement instructions in a later settlement procedure, substituting a failed settlement instruction with a number of smaller instructions, mandatory use of communication standards (e.g. ISO 20022 message format),</w:t>
      </w:r>
      <w:r w:rsidR="00B20A4B" w:rsidRPr="00CA32E6">
        <w:rPr>
          <w:rFonts w:ascii="Palatino Linotype" w:hAnsi="Palatino Linotype"/>
          <w:lang w:val="en-GB"/>
        </w:rPr>
        <w:t xml:space="preserve"> seem</w:t>
      </w:r>
      <w:r w:rsidR="003E3E31" w:rsidRPr="00CA32E6">
        <w:rPr>
          <w:rFonts w:ascii="Palatino Linotype" w:hAnsi="Palatino Linotype"/>
          <w:lang w:val="en-GB"/>
        </w:rPr>
        <w:t xml:space="preserve"> </w:t>
      </w:r>
      <w:r w:rsidR="00B20A4B" w:rsidRPr="00CA32E6">
        <w:rPr>
          <w:rFonts w:ascii="Palatino Linotype" w:hAnsi="Palatino Linotype"/>
          <w:lang w:val="en-GB"/>
        </w:rPr>
        <w:t xml:space="preserve">unjustified </w:t>
      </w:r>
      <w:r w:rsidR="00CC64A5" w:rsidRPr="00CA32E6">
        <w:rPr>
          <w:rFonts w:ascii="Palatino Linotype" w:hAnsi="Palatino Linotype"/>
          <w:lang w:val="en-GB"/>
        </w:rPr>
        <w:t>(the cost of implementing new solutions is inadequate to the potential benefits)</w:t>
      </w:r>
      <w:r w:rsidR="00B20A4B" w:rsidRPr="00CA32E6">
        <w:rPr>
          <w:rFonts w:ascii="Palatino Linotype" w:hAnsi="Palatino Linotype"/>
          <w:lang w:val="en-GB"/>
        </w:rPr>
        <w:t>.</w:t>
      </w:r>
      <w:r w:rsidR="00CC64A5" w:rsidRPr="00CA32E6">
        <w:rPr>
          <w:rFonts w:ascii="Palatino Linotype" w:hAnsi="Palatino Linotype"/>
          <w:lang w:val="en-GB"/>
        </w:rPr>
        <w:t xml:space="preserve"> </w:t>
      </w:r>
    </w:p>
    <w:p w:rsidR="00402E15" w:rsidRDefault="00402E15" w:rsidP="00837A4C">
      <w:pPr>
        <w:jc w:val="both"/>
        <w:rPr>
          <w:rFonts w:ascii="Palatino Linotype" w:hAnsi="Palatino Linotype"/>
          <w:lang w:val="en-GB"/>
        </w:rPr>
      </w:pPr>
      <w:r>
        <w:rPr>
          <w:rFonts w:ascii="Palatino Linotype" w:hAnsi="Palatino Linotype"/>
          <w:lang w:val="en-GB"/>
        </w:rPr>
        <w:t>T</w:t>
      </w:r>
      <w:r w:rsidRPr="00CA32E6">
        <w:rPr>
          <w:rFonts w:ascii="Palatino Linotype" w:hAnsi="Palatino Linotype"/>
          <w:lang w:val="en-GB"/>
        </w:rPr>
        <w:t xml:space="preserve">he </w:t>
      </w:r>
      <w:r w:rsidR="00CC64A5" w:rsidRPr="00CA32E6">
        <w:rPr>
          <w:rFonts w:ascii="Palatino Linotype" w:hAnsi="Palatino Linotype"/>
          <w:lang w:val="en-GB"/>
        </w:rPr>
        <w:t xml:space="preserve">above changes would require significant modifications of information systems that support SR, and therefore </w:t>
      </w:r>
      <w:r>
        <w:rPr>
          <w:rFonts w:ascii="Palatino Linotype" w:hAnsi="Palatino Linotype"/>
          <w:lang w:val="en-GB"/>
        </w:rPr>
        <w:t>adaptation</w:t>
      </w:r>
      <w:r w:rsidRPr="00CA32E6">
        <w:rPr>
          <w:rFonts w:ascii="Palatino Linotype" w:hAnsi="Palatino Linotype"/>
          <w:lang w:val="en-GB"/>
        </w:rPr>
        <w:t xml:space="preserve"> </w:t>
      </w:r>
      <w:r w:rsidR="00CC64A5" w:rsidRPr="00CA32E6">
        <w:rPr>
          <w:rFonts w:ascii="Palatino Linotype" w:hAnsi="Palatino Linotype"/>
          <w:lang w:val="en-GB"/>
        </w:rPr>
        <w:t>to all</w:t>
      </w:r>
      <w:r>
        <w:rPr>
          <w:rFonts w:ascii="Palatino Linotype" w:hAnsi="Palatino Linotype"/>
          <w:lang w:val="en-GB"/>
        </w:rPr>
        <w:t xml:space="preserve"> the</w:t>
      </w:r>
      <w:r w:rsidR="00CC64A5" w:rsidRPr="00CA32E6">
        <w:rPr>
          <w:rFonts w:ascii="Palatino Linotype" w:hAnsi="Palatino Linotype"/>
          <w:lang w:val="en-GB"/>
        </w:rPr>
        <w:t xml:space="preserve"> technical requirements imposed by ESMA would be expensive and not beneficial in any way. If no settlement failures are recorded, increased spending on tools reducing the risk of their occurrence is not justified</w:t>
      </w:r>
      <w:r w:rsidR="00CC64A5" w:rsidRPr="00381535">
        <w:rPr>
          <w:rFonts w:ascii="Palatino Linotype" w:hAnsi="Palatino Linotype"/>
          <w:lang w:val="en-GB"/>
        </w:rPr>
        <w:t>.</w:t>
      </w:r>
      <w:r w:rsidR="00381535" w:rsidRPr="00381535">
        <w:rPr>
          <w:rFonts w:ascii="Palatino Linotype" w:hAnsi="Palatino Linotype"/>
          <w:lang w:val="en-GB"/>
        </w:rPr>
        <w:t xml:space="preserve"> </w:t>
      </w:r>
    </w:p>
    <w:p w:rsidR="00D13C26" w:rsidRPr="00381535" w:rsidRDefault="00381535" w:rsidP="00837A4C">
      <w:pPr>
        <w:jc w:val="both"/>
        <w:rPr>
          <w:rFonts w:ascii="Palatino Linotype" w:hAnsi="Palatino Linotype"/>
          <w:lang w:val="en-GB"/>
        </w:rPr>
      </w:pPr>
      <w:r>
        <w:rPr>
          <w:rFonts w:ascii="Palatino Linotype" w:hAnsi="Palatino Linotype"/>
          <w:lang w:val="en-GB"/>
        </w:rPr>
        <w:t xml:space="preserve">The implementation of </w:t>
      </w:r>
      <w:r w:rsidRPr="00381535">
        <w:rPr>
          <w:rFonts w:ascii="Palatino Linotype" w:hAnsi="Palatino Linotype"/>
          <w:lang w:val="en-GB"/>
        </w:rPr>
        <w:t xml:space="preserve">the above changes would require significant modifications of </w:t>
      </w:r>
      <w:r>
        <w:rPr>
          <w:rFonts w:ascii="Palatino Linotype" w:hAnsi="Palatino Linotype"/>
          <w:lang w:val="en-GB"/>
        </w:rPr>
        <w:t>IT</w:t>
      </w:r>
      <w:r w:rsidRPr="00381535">
        <w:rPr>
          <w:rFonts w:ascii="Palatino Linotype" w:hAnsi="Palatino Linotype"/>
          <w:lang w:val="en-GB"/>
        </w:rPr>
        <w:t xml:space="preserve"> systems that support SR, and therefore adapting to all technical requirements imposed by ESMA would be expensive and </w:t>
      </w:r>
      <w:r>
        <w:rPr>
          <w:rFonts w:ascii="Palatino Linotype" w:hAnsi="Palatino Linotype"/>
          <w:lang w:val="en-GB"/>
        </w:rPr>
        <w:t xml:space="preserve">would not lead to the effects justifying the cost </w:t>
      </w:r>
      <w:r w:rsidRPr="00381535">
        <w:rPr>
          <w:rFonts w:ascii="Palatino Linotype" w:hAnsi="Palatino Linotype"/>
          <w:lang w:val="en-GB"/>
        </w:rPr>
        <w:t>incurred</w:t>
      </w:r>
      <w:r>
        <w:rPr>
          <w:rFonts w:ascii="Palatino Linotype" w:hAnsi="Palatino Linotype"/>
          <w:lang w:val="en-GB"/>
        </w:rPr>
        <w:t xml:space="preserve">. Since there are practically no </w:t>
      </w:r>
      <w:r w:rsidRPr="00381535">
        <w:rPr>
          <w:rFonts w:ascii="Palatino Linotype" w:hAnsi="Palatino Linotype"/>
          <w:lang w:val="en-GB"/>
        </w:rPr>
        <w:t>settlement failures, increased spending on tools reducing the risk of their occurrence is not justified.</w:t>
      </w:r>
      <w:r>
        <w:rPr>
          <w:rFonts w:ascii="Palatino Linotype" w:hAnsi="Palatino Linotype"/>
          <w:lang w:val="en-GB"/>
        </w:rPr>
        <w:t xml:space="preserve"> </w:t>
      </w:r>
    </w:p>
    <w:p w:rsidR="00381535" w:rsidRPr="00381535" w:rsidRDefault="00381535" w:rsidP="00381535">
      <w:pPr>
        <w:jc w:val="both"/>
        <w:rPr>
          <w:rFonts w:ascii="Palatino Linotype" w:hAnsi="Palatino Linotype"/>
          <w:lang w:val="en-GB"/>
        </w:rPr>
      </w:pPr>
      <w:r>
        <w:rPr>
          <w:rFonts w:ascii="Palatino Linotype" w:hAnsi="Palatino Linotype"/>
          <w:lang w:val="en-GB"/>
        </w:rPr>
        <w:t>S</w:t>
      </w:r>
      <w:r w:rsidRPr="00381535">
        <w:rPr>
          <w:rFonts w:ascii="Palatino Linotype" w:hAnsi="Palatino Linotype"/>
          <w:lang w:val="en-GB"/>
        </w:rPr>
        <w:t xml:space="preserve">ome of the </w:t>
      </w:r>
      <w:r>
        <w:rPr>
          <w:rFonts w:ascii="Palatino Linotype" w:hAnsi="Palatino Linotype"/>
          <w:lang w:val="en-GB"/>
        </w:rPr>
        <w:t>principles</w:t>
      </w:r>
      <w:r w:rsidRPr="00381535">
        <w:rPr>
          <w:rFonts w:ascii="Palatino Linotype" w:hAnsi="Palatino Linotype"/>
          <w:lang w:val="en-GB"/>
        </w:rPr>
        <w:t xml:space="preserve"> </w:t>
      </w:r>
      <w:r>
        <w:rPr>
          <w:rFonts w:ascii="Palatino Linotype" w:hAnsi="Palatino Linotype"/>
          <w:lang w:val="en-GB"/>
        </w:rPr>
        <w:t>proposed</w:t>
      </w:r>
      <w:r w:rsidRPr="00381535">
        <w:rPr>
          <w:rFonts w:ascii="Palatino Linotype" w:hAnsi="Palatino Linotype"/>
          <w:lang w:val="en-GB"/>
        </w:rPr>
        <w:t xml:space="preserve"> by ESMA would prove </w:t>
      </w:r>
      <w:r w:rsidR="00BF2EC5">
        <w:rPr>
          <w:rFonts w:ascii="Palatino Linotype" w:hAnsi="Palatino Linotype"/>
          <w:lang w:val="en-GB"/>
        </w:rPr>
        <w:t>impossible</w:t>
      </w:r>
      <w:r w:rsidRPr="00381535">
        <w:rPr>
          <w:rFonts w:ascii="Palatino Linotype" w:hAnsi="Palatino Linotype"/>
          <w:lang w:val="en-GB"/>
        </w:rPr>
        <w:t xml:space="preserve"> to implement. For example, the immediate matching of settlement instructions (T-2</w:t>
      </w:r>
      <w:r w:rsidR="00BF2EC5">
        <w:rPr>
          <w:rFonts w:ascii="Palatino Linotype" w:hAnsi="Palatino Linotype"/>
          <w:lang w:val="en-GB"/>
        </w:rPr>
        <w:t xml:space="preserve"> -</w:t>
      </w:r>
      <w:r w:rsidRPr="00381535">
        <w:rPr>
          <w:rFonts w:ascii="Palatino Linotype" w:hAnsi="Palatino Linotype"/>
          <w:lang w:val="en-GB"/>
        </w:rPr>
        <w:t xml:space="preserve"> two days before the settlement) would prove most problematic, as the settlement of the sale of</w:t>
      </w:r>
      <w:r>
        <w:rPr>
          <w:rFonts w:ascii="Palatino Linotype" w:hAnsi="Palatino Linotype"/>
          <w:lang w:val="en-GB"/>
        </w:rPr>
        <w:t xml:space="preserve"> </w:t>
      </w:r>
      <w:r w:rsidR="00BF2EC5">
        <w:rPr>
          <w:rFonts w:ascii="Palatino Linotype" w:hAnsi="Palatino Linotype"/>
          <w:lang w:val="en-GB"/>
        </w:rPr>
        <w:t xml:space="preserve"> NBP </w:t>
      </w:r>
      <w:r w:rsidRPr="00381535">
        <w:rPr>
          <w:rFonts w:ascii="Palatino Linotype" w:hAnsi="Palatino Linotype"/>
          <w:lang w:val="en-GB"/>
        </w:rPr>
        <w:t xml:space="preserve">bills by NBP to banks </w:t>
      </w:r>
      <w:r>
        <w:rPr>
          <w:rFonts w:ascii="Palatino Linotype" w:hAnsi="Palatino Linotype"/>
          <w:lang w:val="en-GB"/>
        </w:rPr>
        <w:t>under</w:t>
      </w:r>
      <w:r w:rsidRPr="00381535">
        <w:rPr>
          <w:rFonts w:ascii="Palatino Linotype" w:hAnsi="Palatino Linotype"/>
          <w:lang w:val="en-GB"/>
        </w:rPr>
        <w:t xml:space="preserve"> open market operations is conducted on </w:t>
      </w:r>
      <w:r w:rsidR="00C81022">
        <w:rPr>
          <w:rFonts w:ascii="Palatino Linotype" w:hAnsi="Palatino Linotype"/>
          <w:lang w:val="en-GB"/>
        </w:rPr>
        <w:t>a</w:t>
      </w:r>
      <w:r w:rsidR="00C81022" w:rsidRPr="00381535">
        <w:rPr>
          <w:rFonts w:ascii="Palatino Linotype" w:hAnsi="Palatino Linotype"/>
          <w:lang w:val="en-GB"/>
        </w:rPr>
        <w:t xml:space="preserve"> </w:t>
      </w:r>
      <w:r w:rsidRPr="00381535">
        <w:rPr>
          <w:rFonts w:ascii="Palatino Linotype" w:hAnsi="Palatino Linotype"/>
          <w:lang w:val="en-GB"/>
        </w:rPr>
        <w:t xml:space="preserve">T+0 basis (operation carried out on a given day is settled on the same day); transactions carried out ​​in the secondary market </w:t>
      </w:r>
      <w:r w:rsidRPr="00381535">
        <w:rPr>
          <w:rFonts w:ascii="Palatino Linotype" w:hAnsi="Palatino Linotype"/>
          <w:lang w:val="en-GB"/>
        </w:rPr>
        <w:lastRenderedPageBreak/>
        <w:t>between banks are also concluded and settled on the same day. The principle of matching settlement instructions in the T-</w:t>
      </w:r>
      <w:r w:rsidR="00402E15">
        <w:rPr>
          <w:rFonts w:ascii="Palatino Linotype" w:hAnsi="Palatino Linotype"/>
          <w:lang w:val="en-GB"/>
        </w:rPr>
        <w:t>2</w:t>
      </w:r>
      <w:r w:rsidRPr="00381535">
        <w:rPr>
          <w:rFonts w:ascii="Palatino Linotype" w:hAnsi="Palatino Linotype"/>
          <w:lang w:val="en-GB"/>
        </w:rPr>
        <w:t xml:space="preserve"> mode cannot be applied in this case.</w:t>
      </w:r>
    </w:p>
    <w:p w:rsidR="00932D87" w:rsidRPr="00CA32E6" w:rsidRDefault="0064350B" w:rsidP="00422E56">
      <w:pPr>
        <w:jc w:val="both"/>
        <w:rPr>
          <w:rFonts w:ascii="Palatino Linotype" w:hAnsi="Palatino Linotype"/>
          <w:lang w:val="en-GB"/>
        </w:rPr>
      </w:pPr>
      <w:r w:rsidRPr="0064350B">
        <w:rPr>
          <w:rFonts w:ascii="Palatino Linotype" w:hAnsi="Palatino Linotype"/>
          <w:lang w:val="en-GB"/>
        </w:rPr>
        <w:t xml:space="preserve">It would be equally impossible </w:t>
      </w:r>
      <w:r>
        <w:rPr>
          <w:rFonts w:ascii="Palatino Linotype" w:hAnsi="Palatino Linotype"/>
          <w:lang w:val="en-GB"/>
        </w:rPr>
        <w:t>for SR to operate the buy-in mechanism. The central bank is not legally authorised to carry out activities necessary to apply such a procedure. It should also be noted that the majority of transactions (around 95%) in  Treasury bills and 100% of transactions in money bills are concluded on the OTC interbank market and the buy-in process may not, therefore, be carried out by CCP or trading venue</w:t>
      </w:r>
      <w:r w:rsidR="0098001C" w:rsidRPr="00CA32E6">
        <w:rPr>
          <w:rFonts w:ascii="Palatino Linotype" w:hAnsi="Palatino Linotype"/>
          <w:lang w:val="en-GB"/>
        </w:rPr>
        <w:t xml:space="preserve">. </w:t>
      </w:r>
    </w:p>
    <w:p w:rsidR="00DD4E75" w:rsidRPr="006A3B51" w:rsidRDefault="00DD4E75" w:rsidP="00DD4E75">
      <w:pPr>
        <w:jc w:val="both"/>
        <w:rPr>
          <w:rFonts w:ascii="Palatino Linotype" w:hAnsi="Palatino Linotype"/>
          <w:lang w:val="en-GB"/>
        </w:rPr>
      </w:pPr>
      <w:r w:rsidRPr="00DD4E75">
        <w:rPr>
          <w:rFonts w:ascii="Palatino Linotype" w:hAnsi="Palatino Linotype"/>
          <w:lang w:val="en-GB"/>
        </w:rPr>
        <w:t>Given that SR does not conduct commercial activities and is not a "for-profit" organi</w:t>
      </w:r>
      <w:r w:rsidR="000713A8">
        <w:rPr>
          <w:rFonts w:ascii="Palatino Linotype" w:hAnsi="Palatino Linotype"/>
          <w:lang w:val="en-GB"/>
        </w:rPr>
        <w:t>s</w:t>
      </w:r>
      <w:r w:rsidRPr="00DD4E75">
        <w:rPr>
          <w:rFonts w:ascii="Palatino Linotype" w:hAnsi="Palatino Linotype"/>
          <w:lang w:val="en-GB"/>
        </w:rPr>
        <w:t xml:space="preserve">ation (as it is a part of NBP), fees for managing accounts and deposit accounts in SR are no higher than the costs incurred (the cost of maintaining IT systems supporting tasks that NBP performs in this regard – on-going maintenance, changes and modifications </w:t>
      </w:r>
      <w:r w:rsidR="00C81022">
        <w:rPr>
          <w:rFonts w:ascii="Palatino Linotype" w:hAnsi="Palatino Linotype"/>
          <w:lang w:val="en-GB"/>
        </w:rPr>
        <w:t>–</w:t>
      </w:r>
      <w:r w:rsidRPr="00DD4E75">
        <w:rPr>
          <w:rFonts w:ascii="Palatino Linotype" w:hAnsi="Palatino Linotype"/>
          <w:lang w:val="en-GB"/>
        </w:rPr>
        <w:t xml:space="preserve"> constitute a large share of total expenses). </w:t>
      </w:r>
      <w:r w:rsidR="00F3649C">
        <w:rPr>
          <w:rFonts w:ascii="Palatino Linotype" w:hAnsi="Palatino Linotype"/>
          <w:lang w:val="en-GB"/>
        </w:rPr>
        <w:t xml:space="preserve">In a situation where </w:t>
      </w:r>
      <w:r w:rsidRPr="00DD4E75">
        <w:rPr>
          <w:rFonts w:ascii="Palatino Linotype" w:hAnsi="Palatino Linotype"/>
          <w:lang w:val="en-GB"/>
        </w:rPr>
        <w:t xml:space="preserve">NBP </w:t>
      </w:r>
      <w:r w:rsidR="00F3649C">
        <w:rPr>
          <w:rFonts w:ascii="Palatino Linotype" w:hAnsi="Palatino Linotype"/>
          <w:lang w:val="en-GB"/>
        </w:rPr>
        <w:t>would have</w:t>
      </w:r>
      <w:r w:rsidRPr="00DD4E75">
        <w:rPr>
          <w:rFonts w:ascii="Palatino Linotype" w:hAnsi="Palatino Linotype"/>
          <w:lang w:val="en-GB"/>
        </w:rPr>
        <w:t xml:space="preserve"> to </w:t>
      </w:r>
      <w:r w:rsidR="00C81022">
        <w:rPr>
          <w:rFonts w:ascii="Palatino Linotype" w:hAnsi="Palatino Linotype"/>
          <w:lang w:val="en-GB"/>
        </w:rPr>
        <w:t>incur</w:t>
      </w:r>
      <w:r w:rsidR="00C81022" w:rsidRPr="00DD4E75">
        <w:rPr>
          <w:rFonts w:ascii="Palatino Linotype" w:hAnsi="Palatino Linotype"/>
          <w:lang w:val="en-GB"/>
        </w:rPr>
        <w:t xml:space="preserve"> </w:t>
      </w:r>
      <w:r w:rsidRPr="00DD4E75">
        <w:rPr>
          <w:rFonts w:ascii="Palatino Linotype" w:hAnsi="Palatino Linotype"/>
          <w:lang w:val="en-GB"/>
        </w:rPr>
        <w:t xml:space="preserve">significant expenses due to the adjustment of IT systems to the requirements imposed by ESMA, the governing bodies of NBP </w:t>
      </w:r>
      <w:r w:rsidR="00C81022">
        <w:rPr>
          <w:rFonts w:ascii="Palatino Linotype" w:hAnsi="Palatino Linotype"/>
          <w:lang w:val="en-GB"/>
        </w:rPr>
        <w:t>would</w:t>
      </w:r>
      <w:r w:rsidR="00C81022" w:rsidRPr="00DD4E75">
        <w:rPr>
          <w:rFonts w:ascii="Palatino Linotype" w:hAnsi="Palatino Linotype"/>
          <w:lang w:val="en-GB"/>
        </w:rPr>
        <w:t xml:space="preserve"> </w:t>
      </w:r>
      <w:r w:rsidRPr="00DD4E75">
        <w:rPr>
          <w:rFonts w:ascii="Palatino Linotype" w:hAnsi="Palatino Linotype"/>
          <w:lang w:val="en-GB"/>
        </w:rPr>
        <w:t>be forced to raise the fees for maintaining accounts and deposit accounts in SR, which would be disadvantageous for its participants.</w:t>
      </w:r>
      <w:r w:rsidR="006A3B51">
        <w:rPr>
          <w:rFonts w:ascii="Palatino Linotype" w:hAnsi="Palatino Linotype"/>
          <w:lang w:val="en-GB"/>
        </w:rPr>
        <w:t xml:space="preserve"> This would be inconsistent with ESMA’s declaration set forth in Chapter III.I, </w:t>
      </w:r>
      <w:r w:rsidR="006A3B51" w:rsidRPr="006A3B51">
        <w:rPr>
          <w:rFonts w:ascii="Palatino Linotype" w:hAnsi="Palatino Linotype"/>
          <w:lang w:val="en-GB"/>
        </w:rPr>
        <w:t xml:space="preserve">point 10 of the </w:t>
      </w:r>
      <w:r w:rsidR="006A3B51" w:rsidRPr="006A3B51">
        <w:rPr>
          <w:rFonts w:ascii="Palatino Linotype" w:hAnsi="Palatino Linotype"/>
          <w:i/>
          <w:lang w:val="en-GB"/>
        </w:rPr>
        <w:t xml:space="preserve">Discussion Paper </w:t>
      </w:r>
      <w:r w:rsidR="006A3B51" w:rsidRPr="006A3B51">
        <w:rPr>
          <w:rFonts w:ascii="Palatino Linotype" w:hAnsi="Palatino Linotype"/>
          <w:lang w:val="en-GB"/>
        </w:rPr>
        <w:t xml:space="preserve">which </w:t>
      </w:r>
      <w:r w:rsidR="006A3B51">
        <w:rPr>
          <w:rFonts w:ascii="Palatino Linotype" w:hAnsi="Palatino Linotype"/>
          <w:lang w:val="en-GB"/>
        </w:rPr>
        <w:t>says</w:t>
      </w:r>
      <w:r w:rsidR="006A3B51" w:rsidRPr="006A3B51">
        <w:rPr>
          <w:rFonts w:ascii="Palatino Linotype" w:hAnsi="Palatino Linotype"/>
          <w:lang w:val="en-GB"/>
        </w:rPr>
        <w:t xml:space="preserve"> that implementing the standard reducing </w:t>
      </w:r>
      <w:r w:rsidR="006A3B51" w:rsidRPr="006A3B51">
        <w:rPr>
          <w:rFonts w:ascii="Palatino Linotype" w:hAnsi="Palatino Linotype"/>
        </w:rPr>
        <w:t xml:space="preserve">the number </w:t>
      </w:r>
      <w:r w:rsidR="00C81022">
        <w:rPr>
          <w:rFonts w:ascii="Palatino Linotype" w:hAnsi="Palatino Linotype"/>
        </w:rPr>
        <w:t xml:space="preserve">of </w:t>
      </w:r>
      <w:r w:rsidR="006A3B51" w:rsidRPr="006A3B51">
        <w:rPr>
          <w:rFonts w:ascii="Palatino Linotype" w:hAnsi="Palatino Linotype"/>
        </w:rPr>
        <w:t>instructions that fail to settle should be achieved</w:t>
      </w:r>
      <w:r w:rsidR="006D5275">
        <w:rPr>
          <w:rFonts w:ascii="Palatino Linotype" w:hAnsi="Palatino Linotype"/>
        </w:rPr>
        <w:t xml:space="preserve"> </w:t>
      </w:r>
      <w:r w:rsidR="006A3B51" w:rsidRPr="006A3B51">
        <w:rPr>
          <w:rFonts w:ascii="Palatino Linotype" w:hAnsi="Palatino Linotype"/>
        </w:rPr>
        <w:t>without inflicting unnecessary costs on the CSDs and their participants</w:t>
      </w:r>
      <w:r w:rsidR="006A3B51">
        <w:rPr>
          <w:rFonts w:ascii="Palatino Linotype" w:hAnsi="Palatino Linotype"/>
        </w:rPr>
        <w:t>.</w:t>
      </w:r>
    </w:p>
    <w:p w:rsidR="006A3B51" w:rsidRDefault="006A3B51" w:rsidP="008B6A04">
      <w:pPr>
        <w:jc w:val="both"/>
        <w:rPr>
          <w:rFonts w:ascii="Palatino Linotype" w:hAnsi="Palatino Linotype"/>
          <w:lang w:val="en-GB"/>
        </w:rPr>
      </w:pPr>
      <w:r>
        <w:rPr>
          <w:rFonts w:ascii="Palatino Linotype" w:hAnsi="Palatino Linotype"/>
          <w:lang w:val="en-GB"/>
        </w:rPr>
        <w:t>It should be mentioned that the small number of transactions settled</w:t>
      </w:r>
      <w:r w:rsidR="002B3340">
        <w:rPr>
          <w:rFonts w:ascii="Palatino Linotype" w:hAnsi="Palatino Linotype"/>
          <w:lang w:val="en-GB"/>
        </w:rPr>
        <w:t xml:space="preserve"> referred to above, results partly from the decreasing issues of </w:t>
      </w:r>
      <w:r w:rsidR="006D5275">
        <w:rPr>
          <w:rFonts w:ascii="Palatino Linotype" w:hAnsi="Palatino Linotype"/>
          <w:lang w:val="en-GB"/>
        </w:rPr>
        <w:t>Treasury</w:t>
      </w:r>
      <w:r w:rsidR="002B3340">
        <w:rPr>
          <w:rFonts w:ascii="Palatino Linotype" w:hAnsi="Palatino Linotype"/>
          <w:lang w:val="en-GB"/>
        </w:rPr>
        <w:t xml:space="preserve"> bills. This is the consequence of the strategy of public debt management adopted by the Minister of Finance. The implementation of the goal of the strategy, i.e. minimising the cost of debt servicing, required the introduction of changes in its structure.</w:t>
      </w:r>
      <w:r w:rsidR="00721BD8">
        <w:rPr>
          <w:rFonts w:ascii="Palatino Linotype" w:hAnsi="Palatino Linotype"/>
          <w:lang w:val="en-GB"/>
        </w:rPr>
        <w:t xml:space="preserve"> The risk of refinancing </w:t>
      </w:r>
      <w:r w:rsidR="00C81022">
        <w:rPr>
          <w:rFonts w:ascii="Palatino Linotype" w:hAnsi="Palatino Linotype"/>
          <w:lang w:val="en-GB"/>
        </w:rPr>
        <w:t xml:space="preserve">the </w:t>
      </w:r>
      <w:r w:rsidR="00721BD8">
        <w:rPr>
          <w:rFonts w:ascii="Palatino Linotype" w:hAnsi="Palatino Linotype"/>
          <w:lang w:val="en-GB"/>
        </w:rPr>
        <w:t>public debt was reduced considerably, inter alia by the increasing role of medium- and long-term bonds in funding lending needs, and a parallel decrease in the role played by Treasury b</w:t>
      </w:r>
      <w:r w:rsidR="006D5275">
        <w:rPr>
          <w:rFonts w:ascii="Palatino Linotype" w:hAnsi="Palatino Linotype"/>
          <w:lang w:val="en-GB"/>
        </w:rPr>
        <w:t>ill</w:t>
      </w:r>
      <w:r w:rsidR="00721BD8">
        <w:rPr>
          <w:rFonts w:ascii="Palatino Linotype" w:hAnsi="Palatino Linotype"/>
          <w:lang w:val="en-GB"/>
        </w:rPr>
        <w:t xml:space="preserve">s. At present, the Minister of Finance has suspended the issue of bills, which, however, does not translate into a total resignation from using this instrument.  </w:t>
      </w:r>
      <w:r w:rsidR="007B0007">
        <w:rPr>
          <w:rFonts w:ascii="Palatino Linotype" w:hAnsi="Palatino Linotype"/>
          <w:lang w:val="en-GB"/>
        </w:rPr>
        <w:t>A flexible approach to influencing the structure of funding in terms of instruments used is one of the factors influencing the correct strategy implementation. The significant role of NBP in the cooperation with the Minister of Finance should be emphasised.</w:t>
      </w:r>
      <w:r w:rsidR="00EB574D">
        <w:rPr>
          <w:rFonts w:ascii="Palatino Linotype" w:hAnsi="Palatino Linotype"/>
          <w:lang w:val="en-GB"/>
        </w:rPr>
        <w:t xml:space="preserve"> </w:t>
      </w:r>
      <w:r w:rsidR="007B0007">
        <w:rPr>
          <w:rFonts w:ascii="Palatino Linotype" w:hAnsi="Palatino Linotype"/>
          <w:lang w:val="en-GB"/>
        </w:rPr>
        <w:t>NBP has been the issuing agent of Treasury bills</w:t>
      </w:r>
      <w:r w:rsidR="00EB574D">
        <w:rPr>
          <w:rFonts w:ascii="Palatino Linotype" w:hAnsi="Palatino Linotype"/>
          <w:lang w:val="en-GB"/>
        </w:rPr>
        <w:t xml:space="preserve"> since 1995</w:t>
      </w:r>
      <w:r w:rsidR="009C69CC">
        <w:rPr>
          <w:rFonts w:ascii="Palatino Linotype" w:hAnsi="Palatino Linotype"/>
          <w:lang w:val="en-GB"/>
        </w:rPr>
        <w:t xml:space="preserve"> and has been carrying out </w:t>
      </w:r>
      <w:r w:rsidR="008B6A04">
        <w:rPr>
          <w:rFonts w:ascii="Palatino Linotype" w:hAnsi="Palatino Linotype"/>
          <w:lang w:val="en-GB"/>
        </w:rPr>
        <w:t>tenders for bills and keeping their register in accordance with an agreement with the Minister of Finance. This activity of NBP is positively viewed both by financial market participants and the Minister of Finance. Should the cost of these operations increase significantly</w:t>
      </w:r>
      <w:r w:rsidR="00C81022">
        <w:rPr>
          <w:rFonts w:ascii="Palatino Linotype" w:hAnsi="Palatino Linotype"/>
          <w:lang w:val="en-GB"/>
        </w:rPr>
        <w:t>,</w:t>
      </w:r>
      <w:r w:rsidR="008B6A04">
        <w:rPr>
          <w:rFonts w:ascii="Palatino Linotype" w:hAnsi="Palatino Linotype"/>
          <w:lang w:val="en-GB"/>
        </w:rPr>
        <w:t xml:space="preserve"> NBP will be forced to transfer a part of the expenses onto the Ministry of Finance or even </w:t>
      </w:r>
      <w:r w:rsidR="009A30DF">
        <w:rPr>
          <w:rFonts w:ascii="Palatino Linotype" w:hAnsi="Palatino Linotype"/>
          <w:lang w:val="en-GB"/>
        </w:rPr>
        <w:t xml:space="preserve">resign from performing this function altogether. Both solutions are not beneficial from the Ministry of Finance point of view. </w:t>
      </w:r>
    </w:p>
    <w:p w:rsidR="00CC5C1B" w:rsidRPr="007E117A" w:rsidRDefault="00CC5C1B" w:rsidP="00CC5C1B">
      <w:pPr>
        <w:jc w:val="both"/>
        <w:rPr>
          <w:rFonts w:ascii="Palatino Linotype" w:hAnsi="Palatino Linotype"/>
          <w:lang w:val="en-GB"/>
        </w:rPr>
      </w:pPr>
      <w:r w:rsidRPr="007E117A">
        <w:rPr>
          <w:rFonts w:ascii="Palatino Linotype" w:hAnsi="Palatino Linotype"/>
          <w:lang w:val="en-GB"/>
        </w:rPr>
        <w:t xml:space="preserve">Given that all procedures and tools preventing settlement fails are assumed to be designated for institutions carrying out only deposit operations aimed at optimizing the process of securities settlement, bearing relevant expenses with a simultaneous maximization of profits </w:t>
      </w:r>
      <w:r w:rsidRPr="007E117A">
        <w:rPr>
          <w:rFonts w:ascii="Palatino Linotype" w:hAnsi="Palatino Linotype"/>
          <w:lang w:val="en-GB"/>
        </w:rPr>
        <w:lastRenderedPageBreak/>
        <w:t xml:space="preserve">generated from their operations, please consider introducing relevant provisions in the standards that would enable a system like SR – having </w:t>
      </w:r>
      <w:r>
        <w:rPr>
          <w:rFonts w:ascii="Palatino Linotype" w:hAnsi="Palatino Linotype"/>
          <w:lang w:val="en-GB"/>
        </w:rPr>
        <w:t xml:space="preserve">a </w:t>
      </w:r>
      <w:r w:rsidRPr="007E117A">
        <w:rPr>
          <w:rFonts w:ascii="Palatino Linotype" w:hAnsi="Palatino Linotype"/>
          <w:lang w:val="en-GB"/>
        </w:rPr>
        <w:t xml:space="preserve">small turnover and insignificant number of unsettled transactions (sometimes none) – to use the existing procedures and tools that effectively prevent settlement fails, or, alternatively, in accordance with the principle of proportionality, </w:t>
      </w:r>
      <w:r w:rsidRPr="00367FB0">
        <w:rPr>
          <w:rFonts w:ascii="Palatino Linotype" w:hAnsi="Palatino Linotype"/>
          <w:lang w:val="en-GB"/>
        </w:rPr>
        <w:t>secure a situation where</w:t>
      </w:r>
      <w:r w:rsidRPr="007E117A">
        <w:rPr>
          <w:rFonts w:ascii="Palatino Linotype" w:hAnsi="Palatino Linotype"/>
          <w:lang w:val="en-GB"/>
        </w:rPr>
        <w:t xml:space="preserve"> the obligations imposed by ESMA would not lead to the need to incur additional costs. </w:t>
      </w:r>
    </w:p>
    <w:p w:rsidR="00CC5C1B" w:rsidRPr="007E117A" w:rsidRDefault="00CC5C1B" w:rsidP="00CC5C1B">
      <w:pPr>
        <w:jc w:val="both"/>
        <w:rPr>
          <w:rFonts w:ascii="Palatino Linotype" w:hAnsi="Palatino Linotype"/>
          <w:lang w:val="en-GB"/>
        </w:rPr>
      </w:pPr>
      <w:r w:rsidRPr="007E117A">
        <w:rPr>
          <w:rFonts w:ascii="Palatino Linotype" w:hAnsi="Palatino Linotype"/>
          <w:lang w:val="en-GB"/>
        </w:rPr>
        <w:t xml:space="preserve">To emphasise the differences resulting from the </w:t>
      </w:r>
      <w:r>
        <w:rPr>
          <w:rFonts w:ascii="Palatino Linotype" w:hAnsi="Palatino Linotype"/>
          <w:lang w:val="en-GB"/>
        </w:rPr>
        <w:t>specific nature</w:t>
      </w:r>
      <w:r w:rsidRPr="007E117A">
        <w:rPr>
          <w:rFonts w:ascii="Palatino Linotype" w:hAnsi="Palatino Linotype"/>
          <w:lang w:val="en-GB"/>
        </w:rPr>
        <w:t xml:space="preserve"> of securities registering systems on accounts and deposit accounts, we would like to present a comparison of certain aspects of SR and CSD (KPWD) operations:  </w:t>
      </w:r>
    </w:p>
    <w:p w:rsidR="00CC5C1B" w:rsidRPr="007E117A" w:rsidRDefault="00CC5C1B" w:rsidP="00CC5C1B">
      <w:pPr>
        <w:jc w:val="both"/>
        <w:rPr>
          <w:rFonts w:ascii="Palatino Linotype" w:hAnsi="Palatino Linotype"/>
          <w:lang w:val="en-GB"/>
        </w:rPr>
      </w:pPr>
    </w:p>
    <w:tbl>
      <w:tblPr>
        <w:tblStyle w:val="Tabela-Siatka"/>
        <w:tblW w:w="0" w:type="auto"/>
        <w:tblLook w:val="04A0" w:firstRow="1" w:lastRow="0" w:firstColumn="1" w:lastColumn="0" w:noHBand="0" w:noVBand="1"/>
      </w:tblPr>
      <w:tblGrid>
        <w:gridCol w:w="4606"/>
        <w:gridCol w:w="4606"/>
      </w:tblGrid>
      <w:tr w:rsidR="00CC5C1B" w:rsidRPr="007E117A" w:rsidTr="002606E0">
        <w:tc>
          <w:tcPr>
            <w:tcW w:w="4606" w:type="dxa"/>
          </w:tcPr>
          <w:p w:rsidR="00CC5C1B" w:rsidRPr="007E117A" w:rsidRDefault="00CC5C1B" w:rsidP="002606E0">
            <w:pPr>
              <w:jc w:val="center"/>
              <w:rPr>
                <w:rFonts w:ascii="Palatino Linotype" w:hAnsi="Palatino Linotype"/>
                <w:b/>
                <w:lang w:val="en-GB"/>
              </w:rPr>
            </w:pPr>
            <w:r w:rsidRPr="007E117A">
              <w:rPr>
                <w:rFonts w:ascii="Palatino Linotype" w:hAnsi="Palatino Linotype"/>
                <w:b/>
                <w:lang w:val="en-GB"/>
              </w:rPr>
              <w:t>SR</w:t>
            </w:r>
          </w:p>
        </w:tc>
        <w:tc>
          <w:tcPr>
            <w:tcW w:w="4606" w:type="dxa"/>
          </w:tcPr>
          <w:p w:rsidR="00CC5C1B" w:rsidRPr="007E117A" w:rsidRDefault="00CC5C1B" w:rsidP="002606E0">
            <w:pPr>
              <w:jc w:val="center"/>
              <w:rPr>
                <w:rFonts w:ascii="Palatino Linotype" w:hAnsi="Palatino Linotype"/>
                <w:b/>
                <w:lang w:val="en-GB"/>
              </w:rPr>
            </w:pPr>
            <w:r w:rsidRPr="007E117A">
              <w:rPr>
                <w:rFonts w:ascii="Palatino Linotype" w:hAnsi="Palatino Linotype"/>
                <w:b/>
                <w:lang w:val="en-GB"/>
              </w:rPr>
              <w:t>CSD (KDPW)</w:t>
            </w:r>
          </w:p>
        </w:tc>
      </w:tr>
      <w:tr w:rsidR="00CC5C1B" w:rsidRPr="007E117A" w:rsidTr="002606E0">
        <w:tc>
          <w:tcPr>
            <w:tcW w:w="4606" w:type="dxa"/>
          </w:tcPr>
          <w:p w:rsidR="00CC5C1B" w:rsidRPr="007E117A" w:rsidRDefault="00CC5C1B" w:rsidP="002606E0">
            <w:pPr>
              <w:pStyle w:val="Akapitzlist"/>
              <w:numPr>
                <w:ilvl w:val="0"/>
                <w:numId w:val="2"/>
              </w:numPr>
              <w:ind w:left="426" w:hanging="284"/>
              <w:jc w:val="both"/>
              <w:rPr>
                <w:rFonts w:ascii="Palatino Linotype" w:hAnsi="Palatino Linotype"/>
                <w:lang w:val="en-GB"/>
              </w:rPr>
            </w:pPr>
            <w:r w:rsidRPr="007E117A">
              <w:rPr>
                <w:rFonts w:ascii="Palatino Linotype" w:hAnsi="Palatino Linotype"/>
                <w:lang w:val="en-GB"/>
              </w:rPr>
              <w:t>no legal personality,</w:t>
            </w:r>
          </w:p>
          <w:p w:rsidR="00CC5C1B" w:rsidRPr="007E117A" w:rsidRDefault="00CC5C1B" w:rsidP="002606E0">
            <w:pPr>
              <w:pStyle w:val="Akapitzlist"/>
              <w:numPr>
                <w:ilvl w:val="0"/>
                <w:numId w:val="2"/>
              </w:numPr>
              <w:ind w:left="426" w:hanging="284"/>
              <w:jc w:val="both"/>
              <w:rPr>
                <w:rFonts w:ascii="Palatino Linotype" w:hAnsi="Palatino Linotype"/>
                <w:lang w:val="en-GB"/>
              </w:rPr>
            </w:pPr>
            <w:r w:rsidRPr="007E117A">
              <w:rPr>
                <w:rFonts w:ascii="Palatino Linotype" w:hAnsi="Palatino Linotype"/>
                <w:lang w:val="en-GB"/>
              </w:rPr>
              <w:t>type of securities registered in SR</w:t>
            </w:r>
            <w:r w:rsidR="00A561D0">
              <w:rPr>
                <w:rFonts w:ascii="Palatino Linotype" w:hAnsi="Palatino Linotype"/>
                <w:lang w:val="en-GB"/>
              </w:rPr>
              <w:t xml:space="preserve"> are </w:t>
            </w:r>
            <w:r w:rsidR="00A561D0" w:rsidRPr="007E117A">
              <w:rPr>
                <w:rFonts w:ascii="Palatino Linotype" w:hAnsi="Palatino Linotype"/>
                <w:lang w:val="en-GB"/>
              </w:rPr>
              <w:t>limited by law</w:t>
            </w:r>
            <w:r w:rsidRPr="007E117A">
              <w:rPr>
                <w:rFonts w:ascii="Palatino Linotype" w:hAnsi="Palatino Linotype"/>
                <w:lang w:val="en-GB"/>
              </w:rPr>
              <w:t>,</w:t>
            </w:r>
          </w:p>
          <w:p w:rsidR="00CC5C1B" w:rsidRPr="007E117A" w:rsidRDefault="00CC5C1B" w:rsidP="002606E0">
            <w:pPr>
              <w:pStyle w:val="Akapitzlist"/>
              <w:numPr>
                <w:ilvl w:val="0"/>
                <w:numId w:val="2"/>
              </w:numPr>
              <w:ind w:left="426" w:hanging="284"/>
              <w:jc w:val="both"/>
              <w:rPr>
                <w:rFonts w:ascii="Palatino Linotype" w:hAnsi="Palatino Linotype"/>
                <w:lang w:val="en-GB"/>
              </w:rPr>
            </w:pPr>
            <w:r w:rsidRPr="007E117A">
              <w:rPr>
                <w:rFonts w:ascii="Palatino Linotype" w:hAnsi="Palatino Linotype"/>
                <w:lang w:val="en-GB"/>
              </w:rPr>
              <w:t>no independent governing bodies,</w:t>
            </w:r>
          </w:p>
          <w:p w:rsidR="00CC5C1B" w:rsidRPr="007E117A" w:rsidRDefault="00CC5C1B" w:rsidP="002606E0">
            <w:pPr>
              <w:pStyle w:val="Akapitzlist"/>
              <w:numPr>
                <w:ilvl w:val="0"/>
                <w:numId w:val="2"/>
              </w:numPr>
              <w:ind w:left="426" w:hanging="284"/>
              <w:jc w:val="both"/>
              <w:rPr>
                <w:rFonts w:ascii="Palatino Linotype" w:hAnsi="Palatino Linotype"/>
                <w:lang w:val="en-GB"/>
              </w:rPr>
            </w:pPr>
            <w:r w:rsidRPr="007E117A">
              <w:rPr>
                <w:rFonts w:ascii="Palatino Linotype" w:hAnsi="Palatino Linotype"/>
                <w:lang w:val="en-GB"/>
              </w:rPr>
              <w:t>“</w:t>
            </w:r>
            <w:proofErr w:type="spellStart"/>
            <w:r w:rsidRPr="007E117A">
              <w:rPr>
                <w:rFonts w:ascii="Palatino Linotype" w:hAnsi="Palatino Linotype"/>
                <w:lang w:val="en-GB"/>
              </w:rPr>
              <w:t>non profit</w:t>
            </w:r>
            <w:proofErr w:type="spellEnd"/>
            <w:r w:rsidRPr="007E117A">
              <w:rPr>
                <w:rFonts w:ascii="Palatino Linotype" w:hAnsi="Palatino Linotype"/>
                <w:lang w:val="en-GB"/>
              </w:rPr>
              <w:t>” operations,</w:t>
            </w:r>
          </w:p>
          <w:p w:rsidR="00CC5C1B" w:rsidRPr="007E117A" w:rsidRDefault="00CC5C1B" w:rsidP="002606E0">
            <w:pPr>
              <w:pStyle w:val="Akapitzlist"/>
              <w:numPr>
                <w:ilvl w:val="0"/>
                <w:numId w:val="2"/>
              </w:numPr>
              <w:ind w:left="426" w:hanging="284"/>
              <w:jc w:val="both"/>
              <w:rPr>
                <w:rFonts w:ascii="Palatino Linotype" w:hAnsi="Palatino Linotype"/>
                <w:lang w:val="en-GB"/>
              </w:rPr>
            </w:pPr>
            <w:r w:rsidRPr="007E117A">
              <w:rPr>
                <w:rFonts w:ascii="Palatino Linotype" w:hAnsi="Palatino Linotype"/>
                <w:lang w:val="en-GB"/>
              </w:rPr>
              <w:t>no capacity to enact law, resolutions adopted by the Management Board of NBP,</w:t>
            </w:r>
          </w:p>
          <w:p w:rsidR="00CC5C1B" w:rsidRPr="007E117A" w:rsidRDefault="00CC5C1B" w:rsidP="002606E0">
            <w:pPr>
              <w:pStyle w:val="Akapitzlist"/>
              <w:numPr>
                <w:ilvl w:val="0"/>
                <w:numId w:val="2"/>
              </w:numPr>
              <w:ind w:left="426" w:hanging="284"/>
              <w:jc w:val="both"/>
              <w:rPr>
                <w:rFonts w:ascii="Palatino Linotype" w:hAnsi="Palatino Linotype"/>
                <w:lang w:val="en-GB"/>
              </w:rPr>
            </w:pPr>
            <w:r w:rsidRPr="007E117A">
              <w:rPr>
                <w:rFonts w:ascii="Palatino Linotype" w:hAnsi="Palatino Linotype"/>
                <w:lang w:val="en-GB"/>
              </w:rPr>
              <w:t>operates in the structure of the central bank,</w:t>
            </w:r>
          </w:p>
          <w:p w:rsidR="00CC5C1B" w:rsidRPr="007E117A" w:rsidRDefault="00CC5C1B" w:rsidP="002606E0">
            <w:pPr>
              <w:pStyle w:val="Akapitzlist"/>
              <w:numPr>
                <w:ilvl w:val="0"/>
                <w:numId w:val="2"/>
              </w:numPr>
              <w:ind w:left="426" w:hanging="284"/>
              <w:jc w:val="both"/>
              <w:rPr>
                <w:rFonts w:ascii="Palatino Linotype" w:hAnsi="Palatino Linotype"/>
                <w:lang w:val="en-GB"/>
              </w:rPr>
            </w:pPr>
            <w:r w:rsidRPr="007E117A">
              <w:rPr>
                <w:rFonts w:ascii="Palatino Linotype" w:hAnsi="Palatino Linotype"/>
                <w:lang w:val="en-GB"/>
              </w:rPr>
              <w:t>the commonly binding legal provisions do not provide for the central bank to impose pecuniary penalties on SR participants who do not settle their transaction under SR,</w:t>
            </w:r>
          </w:p>
          <w:p w:rsidR="00CC5C1B" w:rsidRPr="007E117A" w:rsidRDefault="00CC5C1B" w:rsidP="002606E0">
            <w:pPr>
              <w:pStyle w:val="Akapitzlist"/>
              <w:numPr>
                <w:ilvl w:val="0"/>
                <w:numId w:val="2"/>
              </w:numPr>
              <w:ind w:left="426" w:hanging="284"/>
              <w:jc w:val="both"/>
              <w:rPr>
                <w:rFonts w:ascii="Palatino Linotype" w:hAnsi="Palatino Linotype"/>
                <w:lang w:val="en-GB"/>
              </w:rPr>
            </w:pPr>
            <w:r w:rsidRPr="007E117A">
              <w:rPr>
                <w:rFonts w:ascii="Palatino Linotype" w:hAnsi="Palatino Linotype"/>
                <w:lang w:val="en-GB"/>
              </w:rPr>
              <w:t>in SR there is only one type of participation,</w:t>
            </w:r>
          </w:p>
          <w:p w:rsidR="00CC5C1B" w:rsidRPr="007E117A" w:rsidRDefault="00CC5C1B" w:rsidP="002606E0">
            <w:pPr>
              <w:pStyle w:val="Akapitzlist"/>
              <w:numPr>
                <w:ilvl w:val="0"/>
                <w:numId w:val="2"/>
              </w:numPr>
              <w:ind w:left="426" w:hanging="284"/>
              <w:jc w:val="both"/>
              <w:rPr>
                <w:rFonts w:ascii="Palatino Linotype" w:hAnsi="Palatino Linotype"/>
                <w:lang w:val="en-GB"/>
              </w:rPr>
            </w:pPr>
            <w:r w:rsidRPr="007E117A">
              <w:rPr>
                <w:rFonts w:ascii="Palatino Linotype" w:hAnsi="Palatino Linotype"/>
                <w:lang w:val="en-GB"/>
              </w:rPr>
              <w:t>no cross-border connections with other securities registering entities,</w:t>
            </w:r>
          </w:p>
          <w:p w:rsidR="00CC5C1B" w:rsidRPr="007E117A" w:rsidRDefault="00CC5C1B" w:rsidP="002606E0">
            <w:pPr>
              <w:pStyle w:val="Akapitzlist"/>
              <w:numPr>
                <w:ilvl w:val="0"/>
                <w:numId w:val="2"/>
              </w:numPr>
              <w:ind w:left="426" w:hanging="284"/>
              <w:jc w:val="both"/>
              <w:rPr>
                <w:rFonts w:ascii="Palatino Linotype" w:hAnsi="Palatino Linotype"/>
                <w:lang w:val="en-GB"/>
              </w:rPr>
            </w:pPr>
            <w:r w:rsidRPr="007E117A">
              <w:rPr>
                <w:rFonts w:ascii="Palatino Linotype" w:hAnsi="Palatino Linotype"/>
                <w:lang w:val="en-GB"/>
              </w:rPr>
              <w:t>around 2,600 transactions settled per annum.</w:t>
            </w:r>
          </w:p>
          <w:p w:rsidR="00CC5C1B" w:rsidRPr="007E117A" w:rsidRDefault="00CC5C1B" w:rsidP="002606E0">
            <w:pPr>
              <w:jc w:val="both"/>
              <w:rPr>
                <w:rFonts w:ascii="Palatino Linotype" w:hAnsi="Palatino Linotype"/>
                <w:lang w:val="en-GB"/>
              </w:rPr>
            </w:pPr>
          </w:p>
        </w:tc>
        <w:tc>
          <w:tcPr>
            <w:tcW w:w="4606" w:type="dxa"/>
          </w:tcPr>
          <w:p w:rsidR="00CC5C1B" w:rsidRPr="007E117A" w:rsidRDefault="00CC5C1B" w:rsidP="002606E0">
            <w:pPr>
              <w:pStyle w:val="Akapitzlist"/>
              <w:numPr>
                <w:ilvl w:val="0"/>
                <w:numId w:val="2"/>
              </w:numPr>
              <w:ind w:left="426" w:hanging="284"/>
              <w:jc w:val="both"/>
              <w:rPr>
                <w:rFonts w:ascii="Palatino Linotype" w:hAnsi="Palatino Linotype"/>
                <w:lang w:val="en-GB"/>
              </w:rPr>
            </w:pPr>
            <w:r w:rsidRPr="007E117A">
              <w:rPr>
                <w:rFonts w:ascii="Palatino Linotype" w:hAnsi="Palatino Linotype"/>
                <w:lang w:val="en-GB"/>
              </w:rPr>
              <w:t>has legal personality,</w:t>
            </w:r>
          </w:p>
          <w:p w:rsidR="00CC5C1B" w:rsidRPr="007E117A" w:rsidRDefault="00CC5C1B" w:rsidP="002606E0">
            <w:pPr>
              <w:pStyle w:val="Akapitzlist"/>
              <w:numPr>
                <w:ilvl w:val="0"/>
                <w:numId w:val="2"/>
              </w:numPr>
              <w:spacing w:after="200" w:line="276" w:lineRule="auto"/>
              <w:ind w:left="426" w:hanging="284"/>
              <w:jc w:val="both"/>
              <w:rPr>
                <w:rFonts w:ascii="Palatino Linotype" w:hAnsi="Palatino Linotype"/>
                <w:lang w:val="en-GB"/>
              </w:rPr>
            </w:pPr>
            <w:r w:rsidRPr="007E117A">
              <w:rPr>
                <w:rFonts w:ascii="Palatino Linotype" w:hAnsi="Palatino Linotype"/>
                <w:lang w:val="en-GB"/>
              </w:rPr>
              <w:t>depository for all</w:t>
            </w:r>
            <w:r w:rsidRPr="007E117A">
              <w:rPr>
                <w:rFonts w:ascii="Palatino Linotype" w:hAnsi="Palatino Linotype" w:cs="Times New Roman"/>
                <w:lang w:val="en-GB"/>
              </w:rPr>
              <w:t xml:space="preserve"> dematerialized securities available on the market,</w:t>
            </w:r>
          </w:p>
          <w:p w:rsidR="00CC5C1B" w:rsidRPr="007E117A" w:rsidRDefault="00CC5C1B" w:rsidP="002606E0">
            <w:pPr>
              <w:pStyle w:val="Akapitzlist"/>
              <w:numPr>
                <w:ilvl w:val="0"/>
                <w:numId w:val="2"/>
              </w:numPr>
              <w:spacing w:after="200" w:line="276" w:lineRule="auto"/>
              <w:ind w:left="426" w:hanging="284"/>
              <w:jc w:val="both"/>
              <w:rPr>
                <w:rFonts w:ascii="Palatino Linotype" w:hAnsi="Palatino Linotype"/>
                <w:lang w:val="en-GB"/>
              </w:rPr>
            </w:pPr>
            <w:r w:rsidRPr="007E117A">
              <w:rPr>
                <w:rFonts w:ascii="Palatino Linotype" w:hAnsi="Palatino Linotype"/>
                <w:lang w:val="en-GB"/>
              </w:rPr>
              <w:t>has governing bodies in place,</w:t>
            </w:r>
          </w:p>
          <w:p w:rsidR="00CC5C1B" w:rsidRPr="007E117A" w:rsidRDefault="00CC5C1B" w:rsidP="002606E0">
            <w:pPr>
              <w:pStyle w:val="Akapitzlist"/>
              <w:numPr>
                <w:ilvl w:val="0"/>
                <w:numId w:val="2"/>
              </w:numPr>
              <w:spacing w:after="200" w:line="276" w:lineRule="auto"/>
              <w:ind w:left="426" w:hanging="284"/>
              <w:jc w:val="both"/>
              <w:rPr>
                <w:rFonts w:ascii="Palatino Linotype" w:hAnsi="Palatino Linotype"/>
                <w:lang w:val="en-GB"/>
              </w:rPr>
            </w:pPr>
            <w:r w:rsidRPr="007E117A">
              <w:rPr>
                <w:rFonts w:ascii="Palatino Linotype" w:hAnsi="Palatino Linotype"/>
                <w:lang w:val="en-GB"/>
              </w:rPr>
              <w:t>“for profit” operations,</w:t>
            </w:r>
          </w:p>
          <w:p w:rsidR="00CC5C1B" w:rsidRPr="007E117A" w:rsidRDefault="00CC5C1B" w:rsidP="002606E0">
            <w:pPr>
              <w:pStyle w:val="Akapitzlist"/>
              <w:numPr>
                <w:ilvl w:val="0"/>
                <w:numId w:val="2"/>
              </w:numPr>
              <w:spacing w:after="200" w:line="276" w:lineRule="auto"/>
              <w:ind w:left="426" w:hanging="284"/>
              <w:jc w:val="both"/>
              <w:rPr>
                <w:rFonts w:ascii="Palatino Linotype" w:hAnsi="Palatino Linotype"/>
                <w:lang w:val="en-GB"/>
              </w:rPr>
            </w:pPr>
            <w:r w:rsidRPr="007E117A">
              <w:rPr>
                <w:rFonts w:ascii="Palatino Linotype" w:hAnsi="Palatino Linotype"/>
                <w:lang w:val="en-GB"/>
              </w:rPr>
              <w:t>Independently adopts resolutions and other regulations related to the participation in CSD,</w:t>
            </w:r>
          </w:p>
          <w:p w:rsidR="00CC5C1B" w:rsidRPr="007E117A" w:rsidRDefault="00CC5C1B" w:rsidP="002606E0">
            <w:pPr>
              <w:pStyle w:val="Akapitzlist"/>
              <w:numPr>
                <w:ilvl w:val="0"/>
                <w:numId w:val="2"/>
              </w:numPr>
              <w:spacing w:after="200" w:line="276" w:lineRule="auto"/>
              <w:ind w:left="426" w:hanging="284"/>
              <w:jc w:val="both"/>
              <w:rPr>
                <w:rFonts w:ascii="Palatino Linotype" w:hAnsi="Palatino Linotype"/>
                <w:lang w:val="en-GB"/>
              </w:rPr>
            </w:pPr>
            <w:r w:rsidRPr="007E117A">
              <w:rPr>
                <w:rFonts w:ascii="Palatino Linotype" w:hAnsi="Palatino Linotype"/>
                <w:lang w:val="en-GB"/>
              </w:rPr>
              <w:t>is an independent organisational unit subordinated only to the ownership supervision and the Polish Financial Supervision Authority,</w:t>
            </w:r>
          </w:p>
          <w:p w:rsidR="00CC5C1B" w:rsidRPr="007E117A" w:rsidRDefault="00CC5C1B" w:rsidP="002606E0">
            <w:pPr>
              <w:pStyle w:val="Akapitzlist"/>
              <w:numPr>
                <w:ilvl w:val="0"/>
                <w:numId w:val="2"/>
              </w:numPr>
              <w:spacing w:after="200" w:line="276" w:lineRule="auto"/>
              <w:ind w:left="426" w:hanging="284"/>
              <w:jc w:val="both"/>
              <w:rPr>
                <w:rFonts w:ascii="Palatino Linotype" w:hAnsi="Palatino Linotype"/>
                <w:lang w:val="en-GB"/>
              </w:rPr>
            </w:pPr>
            <w:r w:rsidRPr="007E117A">
              <w:rPr>
                <w:rFonts w:ascii="Palatino Linotype" w:hAnsi="Palatino Linotype"/>
                <w:lang w:val="en-GB"/>
              </w:rPr>
              <w:t>has the capacity to impose sanctions and pecuniary penalties,</w:t>
            </w:r>
          </w:p>
          <w:p w:rsidR="00CC5C1B" w:rsidRPr="007E117A" w:rsidRDefault="00CC5C1B" w:rsidP="002606E0">
            <w:pPr>
              <w:pStyle w:val="Akapitzlist"/>
              <w:numPr>
                <w:ilvl w:val="0"/>
                <w:numId w:val="2"/>
              </w:numPr>
              <w:spacing w:after="200" w:line="276" w:lineRule="auto"/>
              <w:ind w:left="426" w:hanging="284"/>
              <w:jc w:val="both"/>
              <w:rPr>
                <w:rFonts w:ascii="Palatino Linotype" w:hAnsi="Palatino Linotype"/>
                <w:lang w:val="en-GB"/>
              </w:rPr>
            </w:pPr>
            <w:r w:rsidRPr="007E117A">
              <w:rPr>
                <w:rFonts w:ascii="Palatino Linotype" w:hAnsi="Palatino Linotype"/>
                <w:lang w:val="en-GB"/>
              </w:rPr>
              <w:t>many types of participation in CSD,</w:t>
            </w:r>
          </w:p>
          <w:p w:rsidR="00CC5C1B" w:rsidRPr="007E117A" w:rsidRDefault="00CC5C1B" w:rsidP="002606E0">
            <w:pPr>
              <w:pStyle w:val="Akapitzlist"/>
              <w:numPr>
                <w:ilvl w:val="0"/>
                <w:numId w:val="2"/>
              </w:numPr>
              <w:ind w:left="426" w:hanging="284"/>
              <w:jc w:val="both"/>
              <w:rPr>
                <w:rFonts w:ascii="Palatino Linotype" w:hAnsi="Palatino Linotype"/>
                <w:lang w:val="en-GB"/>
              </w:rPr>
            </w:pPr>
            <w:r w:rsidRPr="007E117A">
              <w:rPr>
                <w:rFonts w:ascii="Palatino Linotype" w:hAnsi="Palatino Linotype"/>
                <w:lang w:val="en-GB"/>
              </w:rPr>
              <w:t>has cross-border connections with foreign deposit and settlement institutions,</w:t>
            </w:r>
          </w:p>
          <w:p w:rsidR="00CC5C1B" w:rsidRPr="007E117A" w:rsidRDefault="00CC5C1B" w:rsidP="002606E0">
            <w:pPr>
              <w:pStyle w:val="Akapitzlist"/>
              <w:numPr>
                <w:ilvl w:val="0"/>
                <w:numId w:val="2"/>
              </w:numPr>
              <w:ind w:left="426" w:hanging="284"/>
              <w:jc w:val="both"/>
              <w:rPr>
                <w:rFonts w:ascii="Palatino Linotype" w:hAnsi="Palatino Linotype"/>
                <w:lang w:val="en-GB"/>
              </w:rPr>
            </w:pPr>
            <w:r w:rsidRPr="007E117A">
              <w:rPr>
                <w:rFonts w:ascii="Palatino Linotype" w:hAnsi="Palatino Linotype"/>
                <w:lang w:val="en-GB"/>
              </w:rPr>
              <w:t xml:space="preserve">around 18 million transactions are settled per annum. </w:t>
            </w:r>
          </w:p>
          <w:p w:rsidR="00CC5C1B" w:rsidRPr="007E117A" w:rsidRDefault="00CC5C1B" w:rsidP="002606E0">
            <w:pPr>
              <w:jc w:val="both"/>
              <w:rPr>
                <w:rFonts w:ascii="Palatino Linotype" w:hAnsi="Palatino Linotype"/>
                <w:lang w:val="en-GB"/>
              </w:rPr>
            </w:pPr>
          </w:p>
        </w:tc>
      </w:tr>
    </w:tbl>
    <w:p w:rsidR="00CC5C1B" w:rsidRPr="007E117A" w:rsidRDefault="00CC5C1B" w:rsidP="00CC5C1B">
      <w:pPr>
        <w:jc w:val="both"/>
        <w:rPr>
          <w:rFonts w:ascii="Palatino Linotype" w:hAnsi="Palatino Linotype"/>
          <w:lang w:val="en-GB"/>
        </w:rPr>
      </w:pPr>
    </w:p>
    <w:p w:rsidR="00CC5C1B" w:rsidRPr="007E117A" w:rsidRDefault="00CC5C1B" w:rsidP="00CC5C1B">
      <w:pPr>
        <w:rPr>
          <w:rFonts w:ascii="Palatino Linotype" w:hAnsi="Palatino Linotype"/>
          <w:lang w:val="en-GB"/>
        </w:rPr>
      </w:pPr>
    </w:p>
    <w:p w:rsidR="00CC5C1B" w:rsidRPr="007E117A" w:rsidRDefault="00CC5C1B" w:rsidP="00CC5C1B">
      <w:pPr>
        <w:rPr>
          <w:rFonts w:ascii="Palatino Linotype" w:hAnsi="Palatino Linotype"/>
          <w:lang w:val="en-GB"/>
        </w:rPr>
      </w:pPr>
    </w:p>
    <w:p w:rsidR="00D14EB5" w:rsidRPr="00CA32E6" w:rsidRDefault="00D14EB5" w:rsidP="00CC5C1B">
      <w:pPr>
        <w:jc w:val="both"/>
        <w:rPr>
          <w:rFonts w:ascii="Palatino Linotype" w:hAnsi="Palatino Linotype"/>
          <w:lang w:val="en-GB"/>
        </w:rPr>
      </w:pPr>
    </w:p>
    <w:sectPr w:rsidR="00D14EB5" w:rsidRPr="00CA32E6" w:rsidSect="0043476B">
      <w:pgSz w:w="11906" w:h="16838"/>
      <w:pgMar w:top="1191" w:right="1418" w:bottom="107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altName w:val="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Times">
    <w:panose1 w:val="02020603050405020304"/>
    <w:charset w:val="00"/>
    <w:family w:val="auto"/>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00EE3"/>
    <w:multiLevelType w:val="hybridMultilevel"/>
    <w:tmpl w:val="B02888E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EAE4303"/>
    <w:multiLevelType w:val="hybridMultilevel"/>
    <w:tmpl w:val="1284A6CE"/>
    <w:lvl w:ilvl="0" w:tplc="19FEAEC8">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3DFF3386"/>
    <w:multiLevelType w:val="hybridMultilevel"/>
    <w:tmpl w:val="D8B8A7FA"/>
    <w:lvl w:ilvl="0" w:tplc="19FEAEC8">
      <w:start w:val="1"/>
      <w:numFmt w:val="bullet"/>
      <w:lvlText w:val="-"/>
      <w:lvlJc w:val="left"/>
      <w:pPr>
        <w:ind w:left="720" w:hanging="360"/>
      </w:pPr>
      <w:rPr>
        <w:rFonts w:ascii="Courier New" w:hAnsi="Courier New"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46666AB7"/>
    <w:multiLevelType w:val="hybridMultilevel"/>
    <w:tmpl w:val="96E8EB8E"/>
    <w:lvl w:ilvl="0" w:tplc="19FEAEC8">
      <w:start w:val="1"/>
      <w:numFmt w:val="bullet"/>
      <w:lvlText w:val="-"/>
      <w:lvlJc w:val="left"/>
      <w:pPr>
        <w:ind w:left="720" w:hanging="360"/>
      </w:pPr>
      <w:rPr>
        <w:rFonts w:ascii="Courier New" w:hAnsi="Courier New"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55A90F56"/>
    <w:multiLevelType w:val="hybridMultilevel"/>
    <w:tmpl w:val="08E205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5B690BC8"/>
    <w:multiLevelType w:val="hybridMultilevel"/>
    <w:tmpl w:val="3896612A"/>
    <w:lvl w:ilvl="0" w:tplc="19FEAEC8">
      <w:start w:val="1"/>
      <w:numFmt w:val="bullet"/>
      <w:lvlText w:val="-"/>
      <w:lvlJc w:val="left"/>
      <w:pPr>
        <w:ind w:left="720" w:hanging="360"/>
      </w:pPr>
      <w:rPr>
        <w:rFonts w:ascii="Courier New" w:hAnsi="Courier New"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5E2C1337"/>
    <w:multiLevelType w:val="hybridMultilevel"/>
    <w:tmpl w:val="01149D7A"/>
    <w:lvl w:ilvl="0" w:tplc="04090011">
      <w:start w:val="1"/>
      <w:numFmt w:val="decimal"/>
      <w:lvlText w:val="%1)"/>
      <w:lvlJc w:val="left"/>
      <w:pPr>
        <w:ind w:left="644" w:hanging="360"/>
      </w:pPr>
      <w:rPr>
        <w:rFonts w:hint="default"/>
      </w:rPr>
    </w:lvl>
    <w:lvl w:ilvl="1" w:tplc="FDAA2F6A">
      <w:numFmt w:val="bullet"/>
      <w:lvlText w:val="-"/>
      <w:lvlJc w:val="left"/>
      <w:pPr>
        <w:ind w:left="1364" w:hanging="360"/>
      </w:pPr>
      <w:rPr>
        <w:rFonts w:ascii="Palatino Linotype" w:eastAsiaTheme="minorHAnsi" w:hAnsi="Palatino Linotype" w:cstheme="minorBidi" w:hint="default"/>
      </w:r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nsid w:val="643B7F18"/>
    <w:multiLevelType w:val="hybridMultilevel"/>
    <w:tmpl w:val="2ADA69D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65B923CB"/>
    <w:multiLevelType w:val="hybridMultilevel"/>
    <w:tmpl w:val="B97C5C24"/>
    <w:lvl w:ilvl="0" w:tplc="4E32474A">
      <w:start w:val="1"/>
      <w:numFmt w:val="decimal"/>
      <w:lvlText w:val="%1."/>
      <w:lvlJc w:val="left"/>
      <w:pPr>
        <w:ind w:left="1068" w:hanging="360"/>
      </w:pPr>
      <w:rPr>
        <w:rFonts w:asciiTheme="minorHAnsi" w:eastAsiaTheme="minorHAnsi" w:hAnsiTheme="minorHAnsi" w:cstheme="minorBidi"/>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num w:numId="1">
    <w:abstractNumId w:val="8"/>
  </w:num>
  <w:num w:numId="2">
    <w:abstractNumId w:val="4"/>
  </w:num>
  <w:num w:numId="3">
    <w:abstractNumId w:val="6"/>
  </w:num>
  <w:num w:numId="4">
    <w:abstractNumId w:val="7"/>
  </w:num>
  <w:num w:numId="5">
    <w:abstractNumId w:val="5"/>
  </w:num>
  <w:num w:numId="6">
    <w:abstractNumId w:val="3"/>
  </w:num>
  <w:num w:numId="7">
    <w:abstractNumId w:val="0"/>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164"/>
    <w:rsid w:val="00055B22"/>
    <w:rsid w:val="00062D74"/>
    <w:rsid w:val="000713A8"/>
    <w:rsid w:val="00073ECC"/>
    <w:rsid w:val="000A0512"/>
    <w:rsid w:val="000D058F"/>
    <w:rsid w:val="000D32C1"/>
    <w:rsid w:val="000F364C"/>
    <w:rsid w:val="000F6001"/>
    <w:rsid w:val="00121675"/>
    <w:rsid w:val="00142749"/>
    <w:rsid w:val="00153DA1"/>
    <w:rsid w:val="00163170"/>
    <w:rsid w:val="00166C58"/>
    <w:rsid w:val="001862B2"/>
    <w:rsid w:val="001909D5"/>
    <w:rsid w:val="00193911"/>
    <w:rsid w:val="001B14B8"/>
    <w:rsid w:val="001B460C"/>
    <w:rsid w:val="00213C38"/>
    <w:rsid w:val="00234732"/>
    <w:rsid w:val="00253855"/>
    <w:rsid w:val="00274930"/>
    <w:rsid w:val="002B17C9"/>
    <w:rsid w:val="002B3340"/>
    <w:rsid w:val="002C2442"/>
    <w:rsid w:val="002F2CC9"/>
    <w:rsid w:val="00306EDE"/>
    <w:rsid w:val="00317A86"/>
    <w:rsid w:val="00327B44"/>
    <w:rsid w:val="00336F32"/>
    <w:rsid w:val="003375A9"/>
    <w:rsid w:val="00367FB0"/>
    <w:rsid w:val="00376928"/>
    <w:rsid w:val="00381535"/>
    <w:rsid w:val="003A5864"/>
    <w:rsid w:val="003D6991"/>
    <w:rsid w:val="003E3E31"/>
    <w:rsid w:val="00402E15"/>
    <w:rsid w:val="00422E56"/>
    <w:rsid w:val="00433627"/>
    <w:rsid w:val="0043476B"/>
    <w:rsid w:val="00447E18"/>
    <w:rsid w:val="0045015B"/>
    <w:rsid w:val="004514A8"/>
    <w:rsid w:val="004660DD"/>
    <w:rsid w:val="00491C44"/>
    <w:rsid w:val="004D1080"/>
    <w:rsid w:val="005210B8"/>
    <w:rsid w:val="005649AB"/>
    <w:rsid w:val="0058562E"/>
    <w:rsid w:val="00585C4C"/>
    <w:rsid w:val="005A49F9"/>
    <w:rsid w:val="005B621F"/>
    <w:rsid w:val="005E4E06"/>
    <w:rsid w:val="005E7ECF"/>
    <w:rsid w:val="0060719C"/>
    <w:rsid w:val="00625D85"/>
    <w:rsid w:val="0064350B"/>
    <w:rsid w:val="006601D2"/>
    <w:rsid w:val="006669BD"/>
    <w:rsid w:val="00676D4E"/>
    <w:rsid w:val="006908E8"/>
    <w:rsid w:val="006A3B51"/>
    <w:rsid w:val="006A4826"/>
    <w:rsid w:val="006D12ED"/>
    <w:rsid w:val="006D5275"/>
    <w:rsid w:val="0070345C"/>
    <w:rsid w:val="0071134D"/>
    <w:rsid w:val="00721BD8"/>
    <w:rsid w:val="0073225F"/>
    <w:rsid w:val="00733E51"/>
    <w:rsid w:val="0075524C"/>
    <w:rsid w:val="0078357A"/>
    <w:rsid w:val="007A1FFC"/>
    <w:rsid w:val="007A3439"/>
    <w:rsid w:val="007B0007"/>
    <w:rsid w:val="007B00DA"/>
    <w:rsid w:val="007B7D45"/>
    <w:rsid w:val="007F3700"/>
    <w:rsid w:val="00817CF0"/>
    <w:rsid w:val="00837A4C"/>
    <w:rsid w:val="0087305B"/>
    <w:rsid w:val="008761A9"/>
    <w:rsid w:val="00882440"/>
    <w:rsid w:val="008B6A04"/>
    <w:rsid w:val="008C67FF"/>
    <w:rsid w:val="00932D87"/>
    <w:rsid w:val="00956379"/>
    <w:rsid w:val="00962201"/>
    <w:rsid w:val="0098001C"/>
    <w:rsid w:val="00993961"/>
    <w:rsid w:val="009A30DF"/>
    <w:rsid w:val="009C69CC"/>
    <w:rsid w:val="009D6671"/>
    <w:rsid w:val="00A021A0"/>
    <w:rsid w:val="00A16AC2"/>
    <w:rsid w:val="00A22542"/>
    <w:rsid w:val="00A22B6F"/>
    <w:rsid w:val="00A253D5"/>
    <w:rsid w:val="00A30B9E"/>
    <w:rsid w:val="00A4598B"/>
    <w:rsid w:val="00A505D7"/>
    <w:rsid w:val="00A548CA"/>
    <w:rsid w:val="00A561D0"/>
    <w:rsid w:val="00A73E7B"/>
    <w:rsid w:val="00A8230D"/>
    <w:rsid w:val="00AA2CFB"/>
    <w:rsid w:val="00AB5AC9"/>
    <w:rsid w:val="00AF62C4"/>
    <w:rsid w:val="00B0262C"/>
    <w:rsid w:val="00B147C6"/>
    <w:rsid w:val="00B20A4B"/>
    <w:rsid w:val="00B3399C"/>
    <w:rsid w:val="00B3626B"/>
    <w:rsid w:val="00B50C50"/>
    <w:rsid w:val="00B53DD6"/>
    <w:rsid w:val="00B5734F"/>
    <w:rsid w:val="00BC76E3"/>
    <w:rsid w:val="00BD70E1"/>
    <w:rsid w:val="00BE2D1A"/>
    <w:rsid w:val="00BF2EC5"/>
    <w:rsid w:val="00C03783"/>
    <w:rsid w:val="00C05481"/>
    <w:rsid w:val="00C1061C"/>
    <w:rsid w:val="00C21675"/>
    <w:rsid w:val="00C35C24"/>
    <w:rsid w:val="00C42F2B"/>
    <w:rsid w:val="00C553F6"/>
    <w:rsid w:val="00C664E9"/>
    <w:rsid w:val="00C80F4A"/>
    <w:rsid w:val="00C81022"/>
    <w:rsid w:val="00C8536B"/>
    <w:rsid w:val="00C87C79"/>
    <w:rsid w:val="00C90D78"/>
    <w:rsid w:val="00CA32E6"/>
    <w:rsid w:val="00CC5C1B"/>
    <w:rsid w:val="00CC64A5"/>
    <w:rsid w:val="00D13C26"/>
    <w:rsid w:val="00D14EB5"/>
    <w:rsid w:val="00D30F33"/>
    <w:rsid w:val="00D35DF8"/>
    <w:rsid w:val="00D400FB"/>
    <w:rsid w:val="00D41712"/>
    <w:rsid w:val="00D522D7"/>
    <w:rsid w:val="00D63164"/>
    <w:rsid w:val="00D91AD7"/>
    <w:rsid w:val="00D97405"/>
    <w:rsid w:val="00DD4E75"/>
    <w:rsid w:val="00DF1D5A"/>
    <w:rsid w:val="00DF56A2"/>
    <w:rsid w:val="00E05A5E"/>
    <w:rsid w:val="00E06A85"/>
    <w:rsid w:val="00E1681E"/>
    <w:rsid w:val="00E236C3"/>
    <w:rsid w:val="00E27D7D"/>
    <w:rsid w:val="00E5108F"/>
    <w:rsid w:val="00EB574D"/>
    <w:rsid w:val="00EE7AD9"/>
    <w:rsid w:val="00EF3FE1"/>
    <w:rsid w:val="00EF42AD"/>
    <w:rsid w:val="00F0253A"/>
    <w:rsid w:val="00F10A61"/>
    <w:rsid w:val="00F20F9F"/>
    <w:rsid w:val="00F322EC"/>
    <w:rsid w:val="00F3649C"/>
    <w:rsid w:val="00F55489"/>
    <w:rsid w:val="00F65BE2"/>
    <w:rsid w:val="00F74F44"/>
    <w:rsid w:val="00FA31BE"/>
    <w:rsid w:val="00FC0F9C"/>
    <w:rsid w:val="00FC46B5"/>
    <w:rsid w:val="00FD6366"/>
    <w:rsid w:val="00FE123A"/>
    <w:rsid w:val="00FF19F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505D7"/>
    <w:rPr>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A31BE"/>
    <w:pPr>
      <w:ind w:left="720"/>
      <w:contextualSpacing/>
    </w:pPr>
  </w:style>
  <w:style w:type="table" w:styleId="Tabela-Siatka">
    <w:name w:val="Table Grid"/>
    <w:basedOn w:val="Standardowy"/>
    <w:uiPriority w:val="59"/>
    <w:rsid w:val="00D522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dymka">
    <w:name w:val="Balloon Text"/>
    <w:basedOn w:val="Normalny"/>
    <w:link w:val="TekstdymkaZnak"/>
    <w:uiPriority w:val="99"/>
    <w:semiHidden/>
    <w:unhideWhenUsed/>
    <w:rsid w:val="008C67F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C67FF"/>
    <w:rPr>
      <w:rFonts w:ascii="Tahoma" w:hAnsi="Tahoma" w:cs="Tahoma"/>
      <w:sz w:val="16"/>
      <w:szCs w:val="16"/>
      <w:lang w:val="en-US"/>
    </w:rPr>
  </w:style>
  <w:style w:type="character" w:styleId="Odwoaniedokomentarza">
    <w:name w:val="annotation reference"/>
    <w:basedOn w:val="Domylnaczcionkaakapitu"/>
    <w:uiPriority w:val="99"/>
    <w:semiHidden/>
    <w:unhideWhenUsed/>
    <w:rsid w:val="00E5108F"/>
    <w:rPr>
      <w:sz w:val="16"/>
      <w:szCs w:val="16"/>
    </w:rPr>
  </w:style>
  <w:style w:type="paragraph" w:styleId="Tekstkomentarza">
    <w:name w:val="annotation text"/>
    <w:basedOn w:val="Normalny"/>
    <w:link w:val="TekstkomentarzaZnak"/>
    <w:uiPriority w:val="99"/>
    <w:semiHidden/>
    <w:unhideWhenUsed/>
    <w:rsid w:val="00E5108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5108F"/>
    <w:rPr>
      <w:sz w:val="20"/>
      <w:szCs w:val="20"/>
      <w:lang w:val="en-US"/>
    </w:rPr>
  </w:style>
  <w:style w:type="paragraph" w:styleId="Tematkomentarza">
    <w:name w:val="annotation subject"/>
    <w:basedOn w:val="Tekstkomentarza"/>
    <w:next w:val="Tekstkomentarza"/>
    <w:link w:val="TematkomentarzaZnak"/>
    <w:uiPriority w:val="99"/>
    <w:semiHidden/>
    <w:unhideWhenUsed/>
    <w:rsid w:val="00E5108F"/>
    <w:rPr>
      <w:b/>
      <w:bCs/>
    </w:rPr>
  </w:style>
  <w:style w:type="character" w:customStyle="1" w:styleId="TematkomentarzaZnak">
    <w:name w:val="Temat komentarza Znak"/>
    <w:basedOn w:val="TekstkomentarzaZnak"/>
    <w:link w:val="Tematkomentarza"/>
    <w:uiPriority w:val="99"/>
    <w:semiHidden/>
    <w:rsid w:val="00E5108F"/>
    <w:rPr>
      <w:b/>
      <w:bCs/>
      <w:sz w:val="20"/>
      <w:szCs w:val="20"/>
      <w:lang w:val="en-US"/>
    </w:rPr>
  </w:style>
  <w:style w:type="character" w:styleId="Hipercze">
    <w:name w:val="Hyperlink"/>
    <w:basedOn w:val="Domylnaczcionkaakapitu"/>
    <w:uiPriority w:val="99"/>
    <w:unhideWhenUsed/>
    <w:rsid w:val="00A021A0"/>
    <w:rPr>
      <w:color w:val="0000FF" w:themeColor="hyperlink"/>
      <w:u w:val="single"/>
    </w:rPr>
  </w:style>
  <w:style w:type="character" w:styleId="UyteHipercze">
    <w:name w:val="FollowedHyperlink"/>
    <w:basedOn w:val="Domylnaczcionkaakapitu"/>
    <w:uiPriority w:val="99"/>
    <w:semiHidden/>
    <w:unhideWhenUsed/>
    <w:rsid w:val="00C664E9"/>
    <w:rPr>
      <w:color w:val="800080" w:themeColor="followedHyperlink"/>
      <w:u w:val="single"/>
    </w:rPr>
  </w:style>
  <w:style w:type="paragraph" w:customStyle="1" w:styleId="Default">
    <w:name w:val="Default"/>
    <w:rsid w:val="003E3E31"/>
    <w:pPr>
      <w:autoSpaceDE w:val="0"/>
      <w:autoSpaceDN w:val="0"/>
      <w:adjustRightInd w:val="0"/>
      <w:spacing w:after="0" w:line="240" w:lineRule="auto"/>
    </w:pPr>
    <w:rPr>
      <w:rFonts w:ascii="Georgia" w:hAnsi="Georgia" w:cs="Georgia"/>
      <w:color w:val="000000"/>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505D7"/>
    <w:rPr>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A31BE"/>
    <w:pPr>
      <w:ind w:left="720"/>
      <w:contextualSpacing/>
    </w:pPr>
  </w:style>
  <w:style w:type="table" w:styleId="Tabela-Siatka">
    <w:name w:val="Table Grid"/>
    <w:basedOn w:val="Standardowy"/>
    <w:uiPriority w:val="59"/>
    <w:rsid w:val="00D522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dymka">
    <w:name w:val="Balloon Text"/>
    <w:basedOn w:val="Normalny"/>
    <w:link w:val="TekstdymkaZnak"/>
    <w:uiPriority w:val="99"/>
    <w:semiHidden/>
    <w:unhideWhenUsed/>
    <w:rsid w:val="008C67F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C67FF"/>
    <w:rPr>
      <w:rFonts w:ascii="Tahoma" w:hAnsi="Tahoma" w:cs="Tahoma"/>
      <w:sz w:val="16"/>
      <w:szCs w:val="16"/>
      <w:lang w:val="en-US"/>
    </w:rPr>
  </w:style>
  <w:style w:type="character" w:styleId="Odwoaniedokomentarza">
    <w:name w:val="annotation reference"/>
    <w:basedOn w:val="Domylnaczcionkaakapitu"/>
    <w:uiPriority w:val="99"/>
    <w:semiHidden/>
    <w:unhideWhenUsed/>
    <w:rsid w:val="00E5108F"/>
    <w:rPr>
      <w:sz w:val="16"/>
      <w:szCs w:val="16"/>
    </w:rPr>
  </w:style>
  <w:style w:type="paragraph" w:styleId="Tekstkomentarza">
    <w:name w:val="annotation text"/>
    <w:basedOn w:val="Normalny"/>
    <w:link w:val="TekstkomentarzaZnak"/>
    <w:uiPriority w:val="99"/>
    <w:semiHidden/>
    <w:unhideWhenUsed/>
    <w:rsid w:val="00E5108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5108F"/>
    <w:rPr>
      <w:sz w:val="20"/>
      <w:szCs w:val="20"/>
      <w:lang w:val="en-US"/>
    </w:rPr>
  </w:style>
  <w:style w:type="paragraph" w:styleId="Tematkomentarza">
    <w:name w:val="annotation subject"/>
    <w:basedOn w:val="Tekstkomentarza"/>
    <w:next w:val="Tekstkomentarza"/>
    <w:link w:val="TematkomentarzaZnak"/>
    <w:uiPriority w:val="99"/>
    <w:semiHidden/>
    <w:unhideWhenUsed/>
    <w:rsid w:val="00E5108F"/>
    <w:rPr>
      <w:b/>
      <w:bCs/>
    </w:rPr>
  </w:style>
  <w:style w:type="character" w:customStyle="1" w:styleId="TematkomentarzaZnak">
    <w:name w:val="Temat komentarza Znak"/>
    <w:basedOn w:val="TekstkomentarzaZnak"/>
    <w:link w:val="Tematkomentarza"/>
    <w:uiPriority w:val="99"/>
    <w:semiHidden/>
    <w:rsid w:val="00E5108F"/>
    <w:rPr>
      <w:b/>
      <w:bCs/>
      <w:sz w:val="20"/>
      <w:szCs w:val="20"/>
      <w:lang w:val="en-US"/>
    </w:rPr>
  </w:style>
  <w:style w:type="character" w:styleId="Hipercze">
    <w:name w:val="Hyperlink"/>
    <w:basedOn w:val="Domylnaczcionkaakapitu"/>
    <w:uiPriority w:val="99"/>
    <w:unhideWhenUsed/>
    <w:rsid w:val="00A021A0"/>
    <w:rPr>
      <w:color w:val="0000FF" w:themeColor="hyperlink"/>
      <w:u w:val="single"/>
    </w:rPr>
  </w:style>
  <w:style w:type="character" w:styleId="UyteHipercze">
    <w:name w:val="FollowedHyperlink"/>
    <w:basedOn w:val="Domylnaczcionkaakapitu"/>
    <w:uiPriority w:val="99"/>
    <w:semiHidden/>
    <w:unhideWhenUsed/>
    <w:rsid w:val="00C664E9"/>
    <w:rPr>
      <w:color w:val="800080" w:themeColor="followedHyperlink"/>
      <w:u w:val="single"/>
    </w:rPr>
  </w:style>
  <w:style w:type="paragraph" w:customStyle="1" w:styleId="Default">
    <w:name w:val="Default"/>
    <w:rsid w:val="003E3E31"/>
    <w:pPr>
      <w:autoSpaceDE w:val="0"/>
      <w:autoSpaceDN w:val="0"/>
      <w:adjustRightInd w:val="0"/>
      <w:spacing w:after="0" w:line="240" w:lineRule="auto"/>
    </w:pPr>
    <w:rPr>
      <w:rFonts w:ascii="Georgia" w:hAnsi="Georgia" w:cs="Georgia"/>
      <w:color w:val="000000"/>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8895636">
      <w:bodyDiv w:val="1"/>
      <w:marLeft w:val="0"/>
      <w:marRight w:val="0"/>
      <w:marTop w:val="0"/>
      <w:marBottom w:val="0"/>
      <w:divBdr>
        <w:top w:val="none" w:sz="0" w:space="0" w:color="auto"/>
        <w:left w:val="none" w:sz="0" w:space="0" w:color="auto"/>
        <w:bottom w:val="none" w:sz="0" w:space="0" w:color="auto"/>
        <w:right w:val="none" w:sz="0" w:space="0" w:color="auto"/>
      </w:divBdr>
      <w:divsChild>
        <w:div w:id="1292829594">
          <w:marLeft w:val="0"/>
          <w:marRight w:val="0"/>
          <w:marTop w:val="0"/>
          <w:marBottom w:val="0"/>
          <w:divBdr>
            <w:top w:val="none" w:sz="0" w:space="0" w:color="auto"/>
            <w:left w:val="none" w:sz="0" w:space="0" w:color="auto"/>
            <w:bottom w:val="none" w:sz="0" w:space="0" w:color="auto"/>
            <w:right w:val="none" w:sz="0" w:space="0" w:color="auto"/>
          </w:divBdr>
          <w:divsChild>
            <w:div w:id="984432478">
              <w:marLeft w:val="0"/>
              <w:marRight w:val="0"/>
              <w:marTop w:val="0"/>
              <w:marBottom w:val="0"/>
              <w:divBdr>
                <w:top w:val="none" w:sz="0" w:space="0" w:color="auto"/>
                <w:left w:val="none" w:sz="0" w:space="0" w:color="auto"/>
                <w:bottom w:val="none" w:sz="0" w:space="0" w:color="auto"/>
                <w:right w:val="none" w:sz="0" w:space="0" w:color="auto"/>
              </w:divBdr>
            </w:div>
            <w:div w:id="17510495">
              <w:marLeft w:val="0"/>
              <w:marRight w:val="0"/>
              <w:marTop w:val="0"/>
              <w:marBottom w:val="0"/>
              <w:divBdr>
                <w:top w:val="none" w:sz="0" w:space="0" w:color="auto"/>
                <w:left w:val="none" w:sz="0" w:space="0" w:color="auto"/>
                <w:bottom w:val="none" w:sz="0" w:space="0" w:color="auto"/>
                <w:right w:val="none" w:sz="0" w:space="0" w:color="auto"/>
              </w:divBdr>
            </w:div>
            <w:div w:id="843125521">
              <w:marLeft w:val="0"/>
              <w:marRight w:val="0"/>
              <w:marTop w:val="0"/>
              <w:marBottom w:val="0"/>
              <w:divBdr>
                <w:top w:val="none" w:sz="0" w:space="0" w:color="auto"/>
                <w:left w:val="none" w:sz="0" w:space="0" w:color="auto"/>
                <w:bottom w:val="none" w:sz="0" w:space="0" w:color="auto"/>
                <w:right w:val="none" w:sz="0" w:space="0" w:color="auto"/>
              </w:divBdr>
            </w:div>
            <w:div w:id="1967353121">
              <w:marLeft w:val="0"/>
              <w:marRight w:val="0"/>
              <w:marTop w:val="0"/>
              <w:marBottom w:val="0"/>
              <w:divBdr>
                <w:top w:val="none" w:sz="0" w:space="0" w:color="auto"/>
                <w:left w:val="none" w:sz="0" w:space="0" w:color="auto"/>
                <w:bottom w:val="none" w:sz="0" w:space="0" w:color="auto"/>
                <w:right w:val="none" w:sz="0" w:space="0" w:color="auto"/>
              </w:divBdr>
            </w:div>
            <w:div w:id="769354988">
              <w:marLeft w:val="0"/>
              <w:marRight w:val="0"/>
              <w:marTop w:val="0"/>
              <w:marBottom w:val="0"/>
              <w:divBdr>
                <w:top w:val="none" w:sz="0" w:space="0" w:color="auto"/>
                <w:left w:val="none" w:sz="0" w:space="0" w:color="auto"/>
                <w:bottom w:val="none" w:sz="0" w:space="0" w:color="auto"/>
                <w:right w:val="none" w:sz="0" w:space="0" w:color="auto"/>
              </w:divBdr>
            </w:div>
            <w:div w:id="1289551877">
              <w:marLeft w:val="0"/>
              <w:marRight w:val="0"/>
              <w:marTop w:val="0"/>
              <w:marBottom w:val="0"/>
              <w:divBdr>
                <w:top w:val="none" w:sz="0" w:space="0" w:color="auto"/>
                <w:left w:val="none" w:sz="0" w:space="0" w:color="auto"/>
                <w:bottom w:val="none" w:sz="0" w:space="0" w:color="auto"/>
                <w:right w:val="none" w:sz="0" w:space="0" w:color="auto"/>
              </w:divBdr>
            </w:div>
            <w:div w:id="1063025960">
              <w:marLeft w:val="0"/>
              <w:marRight w:val="0"/>
              <w:marTop w:val="0"/>
              <w:marBottom w:val="0"/>
              <w:divBdr>
                <w:top w:val="none" w:sz="0" w:space="0" w:color="auto"/>
                <w:left w:val="none" w:sz="0" w:space="0" w:color="auto"/>
                <w:bottom w:val="none" w:sz="0" w:space="0" w:color="auto"/>
                <w:right w:val="none" w:sz="0" w:space="0" w:color="auto"/>
              </w:divBdr>
            </w:div>
            <w:div w:id="546264984">
              <w:marLeft w:val="0"/>
              <w:marRight w:val="0"/>
              <w:marTop w:val="0"/>
              <w:marBottom w:val="0"/>
              <w:divBdr>
                <w:top w:val="none" w:sz="0" w:space="0" w:color="auto"/>
                <w:left w:val="none" w:sz="0" w:space="0" w:color="auto"/>
                <w:bottom w:val="none" w:sz="0" w:space="0" w:color="auto"/>
                <w:right w:val="none" w:sz="0" w:space="0" w:color="auto"/>
              </w:divBdr>
            </w:div>
            <w:div w:id="2087991366">
              <w:marLeft w:val="0"/>
              <w:marRight w:val="0"/>
              <w:marTop w:val="0"/>
              <w:marBottom w:val="0"/>
              <w:divBdr>
                <w:top w:val="none" w:sz="0" w:space="0" w:color="auto"/>
                <w:left w:val="none" w:sz="0" w:space="0" w:color="auto"/>
                <w:bottom w:val="none" w:sz="0" w:space="0" w:color="auto"/>
                <w:right w:val="none" w:sz="0" w:space="0" w:color="auto"/>
              </w:divBdr>
            </w:div>
            <w:div w:id="1953122426">
              <w:marLeft w:val="0"/>
              <w:marRight w:val="0"/>
              <w:marTop w:val="0"/>
              <w:marBottom w:val="0"/>
              <w:divBdr>
                <w:top w:val="none" w:sz="0" w:space="0" w:color="auto"/>
                <w:left w:val="none" w:sz="0" w:space="0" w:color="auto"/>
                <w:bottom w:val="none" w:sz="0" w:space="0" w:color="auto"/>
                <w:right w:val="none" w:sz="0" w:space="0" w:color="auto"/>
              </w:divBdr>
            </w:div>
            <w:div w:id="373896682">
              <w:marLeft w:val="0"/>
              <w:marRight w:val="0"/>
              <w:marTop w:val="0"/>
              <w:marBottom w:val="0"/>
              <w:divBdr>
                <w:top w:val="none" w:sz="0" w:space="0" w:color="auto"/>
                <w:left w:val="none" w:sz="0" w:space="0" w:color="auto"/>
                <w:bottom w:val="none" w:sz="0" w:space="0" w:color="auto"/>
                <w:right w:val="none" w:sz="0" w:space="0" w:color="auto"/>
              </w:divBdr>
            </w:div>
            <w:div w:id="1949892634">
              <w:marLeft w:val="0"/>
              <w:marRight w:val="0"/>
              <w:marTop w:val="0"/>
              <w:marBottom w:val="0"/>
              <w:divBdr>
                <w:top w:val="none" w:sz="0" w:space="0" w:color="auto"/>
                <w:left w:val="none" w:sz="0" w:space="0" w:color="auto"/>
                <w:bottom w:val="none" w:sz="0" w:space="0" w:color="auto"/>
                <w:right w:val="none" w:sz="0" w:space="0" w:color="auto"/>
              </w:divBdr>
            </w:div>
            <w:div w:id="1797017310">
              <w:marLeft w:val="0"/>
              <w:marRight w:val="0"/>
              <w:marTop w:val="0"/>
              <w:marBottom w:val="0"/>
              <w:divBdr>
                <w:top w:val="none" w:sz="0" w:space="0" w:color="auto"/>
                <w:left w:val="none" w:sz="0" w:space="0" w:color="auto"/>
                <w:bottom w:val="none" w:sz="0" w:space="0" w:color="auto"/>
                <w:right w:val="none" w:sz="0" w:space="0" w:color="auto"/>
              </w:divBdr>
            </w:div>
            <w:div w:id="1144471134">
              <w:marLeft w:val="0"/>
              <w:marRight w:val="0"/>
              <w:marTop w:val="0"/>
              <w:marBottom w:val="0"/>
              <w:divBdr>
                <w:top w:val="none" w:sz="0" w:space="0" w:color="auto"/>
                <w:left w:val="none" w:sz="0" w:space="0" w:color="auto"/>
                <w:bottom w:val="none" w:sz="0" w:space="0" w:color="auto"/>
                <w:right w:val="none" w:sz="0" w:space="0" w:color="auto"/>
              </w:divBdr>
            </w:div>
            <w:div w:id="826088680">
              <w:marLeft w:val="0"/>
              <w:marRight w:val="0"/>
              <w:marTop w:val="0"/>
              <w:marBottom w:val="0"/>
              <w:divBdr>
                <w:top w:val="none" w:sz="0" w:space="0" w:color="auto"/>
                <w:left w:val="none" w:sz="0" w:space="0" w:color="auto"/>
                <w:bottom w:val="none" w:sz="0" w:space="0" w:color="auto"/>
                <w:right w:val="none" w:sz="0" w:space="0" w:color="auto"/>
              </w:divBdr>
            </w:div>
            <w:div w:id="16740437">
              <w:marLeft w:val="0"/>
              <w:marRight w:val="0"/>
              <w:marTop w:val="0"/>
              <w:marBottom w:val="0"/>
              <w:divBdr>
                <w:top w:val="none" w:sz="0" w:space="0" w:color="auto"/>
                <w:left w:val="none" w:sz="0" w:space="0" w:color="auto"/>
                <w:bottom w:val="none" w:sz="0" w:space="0" w:color="auto"/>
                <w:right w:val="none" w:sz="0" w:space="0" w:color="auto"/>
              </w:divBdr>
            </w:div>
            <w:div w:id="112289475">
              <w:marLeft w:val="0"/>
              <w:marRight w:val="0"/>
              <w:marTop w:val="0"/>
              <w:marBottom w:val="0"/>
              <w:divBdr>
                <w:top w:val="none" w:sz="0" w:space="0" w:color="auto"/>
                <w:left w:val="none" w:sz="0" w:space="0" w:color="auto"/>
                <w:bottom w:val="none" w:sz="0" w:space="0" w:color="auto"/>
                <w:right w:val="none" w:sz="0" w:space="0" w:color="auto"/>
              </w:divBdr>
            </w:div>
            <w:div w:id="1800295075">
              <w:marLeft w:val="0"/>
              <w:marRight w:val="0"/>
              <w:marTop w:val="0"/>
              <w:marBottom w:val="0"/>
              <w:divBdr>
                <w:top w:val="none" w:sz="0" w:space="0" w:color="auto"/>
                <w:left w:val="none" w:sz="0" w:space="0" w:color="auto"/>
                <w:bottom w:val="none" w:sz="0" w:space="0" w:color="auto"/>
                <w:right w:val="none" w:sz="0" w:space="0" w:color="auto"/>
              </w:divBdr>
            </w:div>
            <w:div w:id="1720088839">
              <w:marLeft w:val="0"/>
              <w:marRight w:val="0"/>
              <w:marTop w:val="0"/>
              <w:marBottom w:val="0"/>
              <w:divBdr>
                <w:top w:val="none" w:sz="0" w:space="0" w:color="auto"/>
                <w:left w:val="none" w:sz="0" w:space="0" w:color="auto"/>
                <w:bottom w:val="none" w:sz="0" w:space="0" w:color="auto"/>
                <w:right w:val="none" w:sz="0" w:space="0" w:color="auto"/>
              </w:divBdr>
            </w:div>
            <w:div w:id="1080327793">
              <w:marLeft w:val="0"/>
              <w:marRight w:val="0"/>
              <w:marTop w:val="0"/>
              <w:marBottom w:val="0"/>
              <w:divBdr>
                <w:top w:val="none" w:sz="0" w:space="0" w:color="auto"/>
                <w:left w:val="none" w:sz="0" w:space="0" w:color="auto"/>
                <w:bottom w:val="none" w:sz="0" w:space="0" w:color="auto"/>
                <w:right w:val="none" w:sz="0" w:space="0" w:color="auto"/>
              </w:divBdr>
            </w:div>
            <w:div w:id="1720082505">
              <w:marLeft w:val="0"/>
              <w:marRight w:val="0"/>
              <w:marTop w:val="0"/>
              <w:marBottom w:val="0"/>
              <w:divBdr>
                <w:top w:val="none" w:sz="0" w:space="0" w:color="auto"/>
                <w:left w:val="none" w:sz="0" w:space="0" w:color="auto"/>
                <w:bottom w:val="none" w:sz="0" w:space="0" w:color="auto"/>
                <w:right w:val="none" w:sz="0" w:space="0" w:color="auto"/>
              </w:divBdr>
            </w:div>
            <w:div w:id="120653344">
              <w:marLeft w:val="0"/>
              <w:marRight w:val="0"/>
              <w:marTop w:val="0"/>
              <w:marBottom w:val="0"/>
              <w:divBdr>
                <w:top w:val="none" w:sz="0" w:space="0" w:color="auto"/>
                <w:left w:val="none" w:sz="0" w:space="0" w:color="auto"/>
                <w:bottom w:val="none" w:sz="0" w:space="0" w:color="auto"/>
                <w:right w:val="none" w:sz="0" w:space="0" w:color="auto"/>
              </w:divBdr>
            </w:div>
            <w:div w:id="2077781608">
              <w:marLeft w:val="0"/>
              <w:marRight w:val="0"/>
              <w:marTop w:val="0"/>
              <w:marBottom w:val="0"/>
              <w:divBdr>
                <w:top w:val="none" w:sz="0" w:space="0" w:color="auto"/>
                <w:left w:val="none" w:sz="0" w:space="0" w:color="auto"/>
                <w:bottom w:val="none" w:sz="0" w:space="0" w:color="auto"/>
                <w:right w:val="none" w:sz="0" w:space="0" w:color="auto"/>
              </w:divBdr>
            </w:div>
            <w:div w:id="648821890">
              <w:marLeft w:val="0"/>
              <w:marRight w:val="0"/>
              <w:marTop w:val="0"/>
              <w:marBottom w:val="0"/>
              <w:divBdr>
                <w:top w:val="none" w:sz="0" w:space="0" w:color="auto"/>
                <w:left w:val="none" w:sz="0" w:space="0" w:color="auto"/>
                <w:bottom w:val="none" w:sz="0" w:space="0" w:color="auto"/>
                <w:right w:val="none" w:sz="0" w:space="0" w:color="auto"/>
              </w:divBdr>
            </w:div>
            <w:div w:id="1517040476">
              <w:marLeft w:val="0"/>
              <w:marRight w:val="0"/>
              <w:marTop w:val="0"/>
              <w:marBottom w:val="0"/>
              <w:divBdr>
                <w:top w:val="none" w:sz="0" w:space="0" w:color="auto"/>
                <w:left w:val="none" w:sz="0" w:space="0" w:color="auto"/>
                <w:bottom w:val="none" w:sz="0" w:space="0" w:color="auto"/>
                <w:right w:val="none" w:sz="0" w:space="0" w:color="auto"/>
              </w:divBdr>
            </w:div>
            <w:div w:id="1955287735">
              <w:marLeft w:val="0"/>
              <w:marRight w:val="0"/>
              <w:marTop w:val="0"/>
              <w:marBottom w:val="0"/>
              <w:divBdr>
                <w:top w:val="none" w:sz="0" w:space="0" w:color="auto"/>
                <w:left w:val="none" w:sz="0" w:space="0" w:color="auto"/>
                <w:bottom w:val="none" w:sz="0" w:space="0" w:color="auto"/>
                <w:right w:val="none" w:sz="0" w:space="0" w:color="auto"/>
              </w:divBdr>
            </w:div>
            <w:div w:id="1293705901">
              <w:marLeft w:val="0"/>
              <w:marRight w:val="0"/>
              <w:marTop w:val="0"/>
              <w:marBottom w:val="0"/>
              <w:divBdr>
                <w:top w:val="none" w:sz="0" w:space="0" w:color="auto"/>
                <w:left w:val="none" w:sz="0" w:space="0" w:color="auto"/>
                <w:bottom w:val="none" w:sz="0" w:space="0" w:color="auto"/>
                <w:right w:val="none" w:sz="0" w:space="0" w:color="auto"/>
              </w:divBdr>
            </w:div>
            <w:div w:id="993030941">
              <w:marLeft w:val="0"/>
              <w:marRight w:val="0"/>
              <w:marTop w:val="0"/>
              <w:marBottom w:val="0"/>
              <w:divBdr>
                <w:top w:val="none" w:sz="0" w:space="0" w:color="auto"/>
                <w:left w:val="none" w:sz="0" w:space="0" w:color="auto"/>
                <w:bottom w:val="none" w:sz="0" w:space="0" w:color="auto"/>
                <w:right w:val="none" w:sz="0" w:space="0" w:color="auto"/>
              </w:divBdr>
            </w:div>
            <w:div w:id="1154446600">
              <w:marLeft w:val="0"/>
              <w:marRight w:val="0"/>
              <w:marTop w:val="0"/>
              <w:marBottom w:val="0"/>
              <w:divBdr>
                <w:top w:val="none" w:sz="0" w:space="0" w:color="auto"/>
                <w:left w:val="none" w:sz="0" w:space="0" w:color="auto"/>
                <w:bottom w:val="none" w:sz="0" w:space="0" w:color="auto"/>
                <w:right w:val="none" w:sz="0" w:space="0" w:color="auto"/>
              </w:divBdr>
            </w:div>
            <w:div w:id="1458837437">
              <w:marLeft w:val="0"/>
              <w:marRight w:val="0"/>
              <w:marTop w:val="0"/>
              <w:marBottom w:val="0"/>
              <w:divBdr>
                <w:top w:val="none" w:sz="0" w:space="0" w:color="auto"/>
                <w:left w:val="none" w:sz="0" w:space="0" w:color="auto"/>
                <w:bottom w:val="none" w:sz="0" w:space="0" w:color="auto"/>
                <w:right w:val="none" w:sz="0" w:space="0" w:color="auto"/>
              </w:divBdr>
            </w:div>
            <w:div w:id="933056727">
              <w:marLeft w:val="0"/>
              <w:marRight w:val="0"/>
              <w:marTop w:val="0"/>
              <w:marBottom w:val="0"/>
              <w:divBdr>
                <w:top w:val="none" w:sz="0" w:space="0" w:color="auto"/>
                <w:left w:val="none" w:sz="0" w:space="0" w:color="auto"/>
                <w:bottom w:val="none" w:sz="0" w:space="0" w:color="auto"/>
                <w:right w:val="none" w:sz="0" w:space="0" w:color="auto"/>
              </w:divBdr>
            </w:div>
            <w:div w:id="2043748494">
              <w:marLeft w:val="0"/>
              <w:marRight w:val="0"/>
              <w:marTop w:val="0"/>
              <w:marBottom w:val="0"/>
              <w:divBdr>
                <w:top w:val="none" w:sz="0" w:space="0" w:color="auto"/>
                <w:left w:val="none" w:sz="0" w:space="0" w:color="auto"/>
                <w:bottom w:val="none" w:sz="0" w:space="0" w:color="auto"/>
                <w:right w:val="none" w:sz="0" w:space="0" w:color="auto"/>
              </w:divBdr>
            </w:div>
            <w:div w:id="1981612245">
              <w:marLeft w:val="0"/>
              <w:marRight w:val="0"/>
              <w:marTop w:val="0"/>
              <w:marBottom w:val="0"/>
              <w:divBdr>
                <w:top w:val="none" w:sz="0" w:space="0" w:color="auto"/>
                <w:left w:val="none" w:sz="0" w:space="0" w:color="auto"/>
                <w:bottom w:val="none" w:sz="0" w:space="0" w:color="auto"/>
                <w:right w:val="none" w:sz="0" w:space="0" w:color="auto"/>
              </w:divBdr>
            </w:div>
            <w:div w:id="1629968041">
              <w:marLeft w:val="0"/>
              <w:marRight w:val="0"/>
              <w:marTop w:val="0"/>
              <w:marBottom w:val="0"/>
              <w:divBdr>
                <w:top w:val="none" w:sz="0" w:space="0" w:color="auto"/>
                <w:left w:val="none" w:sz="0" w:space="0" w:color="auto"/>
                <w:bottom w:val="none" w:sz="0" w:space="0" w:color="auto"/>
                <w:right w:val="none" w:sz="0" w:space="0" w:color="auto"/>
              </w:divBdr>
            </w:div>
            <w:div w:id="1103844800">
              <w:marLeft w:val="0"/>
              <w:marRight w:val="0"/>
              <w:marTop w:val="0"/>
              <w:marBottom w:val="0"/>
              <w:divBdr>
                <w:top w:val="none" w:sz="0" w:space="0" w:color="auto"/>
                <w:left w:val="none" w:sz="0" w:space="0" w:color="auto"/>
                <w:bottom w:val="none" w:sz="0" w:space="0" w:color="auto"/>
                <w:right w:val="none" w:sz="0" w:space="0" w:color="auto"/>
              </w:divBdr>
            </w:div>
            <w:div w:id="1056318295">
              <w:marLeft w:val="0"/>
              <w:marRight w:val="0"/>
              <w:marTop w:val="0"/>
              <w:marBottom w:val="0"/>
              <w:divBdr>
                <w:top w:val="none" w:sz="0" w:space="0" w:color="auto"/>
                <w:left w:val="none" w:sz="0" w:space="0" w:color="auto"/>
                <w:bottom w:val="none" w:sz="0" w:space="0" w:color="auto"/>
                <w:right w:val="none" w:sz="0" w:space="0" w:color="auto"/>
              </w:divBdr>
            </w:div>
            <w:div w:id="1296566884">
              <w:marLeft w:val="0"/>
              <w:marRight w:val="0"/>
              <w:marTop w:val="0"/>
              <w:marBottom w:val="0"/>
              <w:divBdr>
                <w:top w:val="none" w:sz="0" w:space="0" w:color="auto"/>
                <w:left w:val="none" w:sz="0" w:space="0" w:color="auto"/>
                <w:bottom w:val="none" w:sz="0" w:space="0" w:color="auto"/>
                <w:right w:val="none" w:sz="0" w:space="0" w:color="auto"/>
              </w:divBdr>
            </w:div>
            <w:div w:id="906496485">
              <w:marLeft w:val="0"/>
              <w:marRight w:val="0"/>
              <w:marTop w:val="0"/>
              <w:marBottom w:val="0"/>
              <w:divBdr>
                <w:top w:val="none" w:sz="0" w:space="0" w:color="auto"/>
                <w:left w:val="none" w:sz="0" w:space="0" w:color="auto"/>
                <w:bottom w:val="none" w:sz="0" w:space="0" w:color="auto"/>
                <w:right w:val="none" w:sz="0" w:space="0" w:color="auto"/>
              </w:divBdr>
            </w:div>
            <w:div w:id="709644262">
              <w:marLeft w:val="0"/>
              <w:marRight w:val="0"/>
              <w:marTop w:val="0"/>
              <w:marBottom w:val="0"/>
              <w:divBdr>
                <w:top w:val="none" w:sz="0" w:space="0" w:color="auto"/>
                <w:left w:val="none" w:sz="0" w:space="0" w:color="auto"/>
                <w:bottom w:val="none" w:sz="0" w:space="0" w:color="auto"/>
                <w:right w:val="none" w:sz="0" w:space="0" w:color="auto"/>
              </w:divBdr>
            </w:div>
            <w:div w:id="1085343437">
              <w:marLeft w:val="0"/>
              <w:marRight w:val="0"/>
              <w:marTop w:val="0"/>
              <w:marBottom w:val="0"/>
              <w:divBdr>
                <w:top w:val="none" w:sz="0" w:space="0" w:color="auto"/>
                <w:left w:val="none" w:sz="0" w:space="0" w:color="auto"/>
                <w:bottom w:val="none" w:sz="0" w:space="0" w:color="auto"/>
                <w:right w:val="none" w:sz="0" w:space="0" w:color="auto"/>
              </w:divBdr>
            </w:div>
            <w:div w:id="1597129757">
              <w:marLeft w:val="0"/>
              <w:marRight w:val="0"/>
              <w:marTop w:val="0"/>
              <w:marBottom w:val="0"/>
              <w:divBdr>
                <w:top w:val="none" w:sz="0" w:space="0" w:color="auto"/>
                <w:left w:val="none" w:sz="0" w:space="0" w:color="auto"/>
                <w:bottom w:val="none" w:sz="0" w:space="0" w:color="auto"/>
                <w:right w:val="none" w:sz="0" w:space="0" w:color="auto"/>
              </w:divBdr>
            </w:div>
            <w:div w:id="979192560">
              <w:marLeft w:val="0"/>
              <w:marRight w:val="0"/>
              <w:marTop w:val="0"/>
              <w:marBottom w:val="0"/>
              <w:divBdr>
                <w:top w:val="none" w:sz="0" w:space="0" w:color="auto"/>
                <w:left w:val="none" w:sz="0" w:space="0" w:color="auto"/>
                <w:bottom w:val="none" w:sz="0" w:space="0" w:color="auto"/>
                <w:right w:val="none" w:sz="0" w:space="0" w:color="auto"/>
              </w:divBdr>
            </w:div>
            <w:div w:id="1984969736">
              <w:marLeft w:val="0"/>
              <w:marRight w:val="0"/>
              <w:marTop w:val="0"/>
              <w:marBottom w:val="0"/>
              <w:divBdr>
                <w:top w:val="none" w:sz="0" w:space="0" w:color="auto"/>
                <w:left w:val="none" w:sz="0" w:space="0" w:color="auto"/>
                <w:bottom w:val="none" w:sz="0" w:space="0" w:color="auto"/>
                <w:right w:val="none" w:sz="0" w:space="0" w:color="auto"/>
              </w:divBdr>
            </w:div>
            <w:div w:id="492532242">
              <w:marLeft w:val="0"/>
              <w:marRight w:val="0"/>
              <w:marTop w:val="0"/>
              <w:marBottom w:val="0"/>
              <w:divBdr>
                <w:top w:val="none" w:sz="0" w:space="0" w:color="auto"/>
                <w:left w:val="none" w:sz="0" w:space="0" w:color="auto"/>
                <w:bottom w:val="none" w:sz="0" w:space="0" w:color="auto"/>
                <w:right w:val="none" w:sz="0" w:space="0" w:color="auto"/>
              </w:divBdr>
            </w:div>
            <w:div w:id="1456483915">
              <w:marLeft w:val="0"/>
              <w:marRight w:val="0"/>
              <w:marTop w:val="0"/>
              <w:marBottom w:val="0"/>
              <w:divBdr>
                <w:top w:val="none" w:sz="0" w:space="0" w:color="auto"/>
                <w:left w:val="none" w:sz="0" w:space="0" w:color="auto"/>
                <w:bottom w:val="none" w:sz="0" w:space="0" w:color="auto"/>
                <w:right w:val="none" w:sz="0" w:space="0" w:color="auto"/>
              </w:divBdr>
            </w:div>
            <w:div w:id="469828975">
              <w:marLeft w:val="0"/>
              <w:marRight w:val="0"/>
              <w:marTop w:val="0"/>
              <w:marBottom w:val="0"/>
              <w:divBdr>
                <w:top w:val="none" w:sz="0" w:space="0" w:color="auto"/>
                <w:left w:val="none" w:sz="0" w:space="0" w:color="auto"/>
                <w:bottom w:val="none" w:sz="0" w:space="0" w:color="auto"/>
                <w:right w:val="none" w:sz="0" w:space="0" w:color="auto"/>
              </w:divBdr>
            </w:div>
            <w:div w:id="9264251">
              <w:marLeft w:val="0"/>
              <w:marRight w:val="0"/>
              <w:marTop w:val="0"/>
              <w:marBottom w:val="0"/>
              <w:divBdr>
                <w:top w:val="none" w:sz="0" w:space="0" w:color="auto"/>
                <w:left w:val="none" w:sz="0" w:space="0" w:color="auto"/>
                <w:bottom w:val="none" w:sz="0" w:space="0" w:color="auto"/>
                <w:right w:val="none" w:sz="0" w:space="0" w:color="auto"/>
              </w:divBdr>
            </w:div>
            <w:div w:id="1869833684">
              <w:marLeft w:val="0"/>
              <w:marRight w:val="0"/>
              <w:marTop w:val="0"/>
              <w:marBottom w:val="0"/>
              <w:divBdr>
                <w:top w:val="none" w:sz="0" w:space="0" w:color="auto"/>
                <w:left w:val="none" w:sz="0" w:space="0" w:color="auto"/>
                <w:bottom w:val="none" w:sz="0" w:space="0" w:color="auto"/>
                <w:right w:val="none" w:sz="0" w:space="0" w:color="auto"/>
              </w:divBdr>
            </w:div>
            <w:div w:id="421225886">
              <w:marLeft w:val="0"/>
              <w:marRight w:val="0"/>
              <w:marTop w:val="0"/>
              <w:marBottom w:val="0"/>
              <w:divBdr>
                <w:top w:val="none" w:sz="0" w:space="0" w:color="auto"/>
                <w:left w:val="none" w:sz="0" w:space="0" w:color="auto"/>
                <w:bottom w:val="none" w:sz="0" w:space="0" w:color="auto"/>
                <w:right w:val="none" w:sz="0" w:space="0" w:color="auto"/>
              </w:divBdr>
            </w:div>
            <w:div w:id="299262825">
              <w:marLeft w:val="0"/>
              <w:marRight w:val="0"/>
              <w:marTop w:val="0"/>
              <w:marBottom w:val="0"/>
              <w:divBdr>
                <w:top w:val="none" w:sz="0" w:space="0" w:color="auto"/>
                <w:left w:val="none" w:sz="0" w:space="0" w:color="auto"/>
                <w:bottom w:val="none" w:sz="0" w:space="0" w:color="auto"/>
                <w:right w:val="none" w:sz="0" w:space="0" w:color="auto"/>
              </w:divBdr>
            </w:div>
            <w:div w:id="1660234617">
              <w:marLeft w:val="0"/>
              <w:marRight w:val="0"/>
              <w:marTop w:val="0"/>
              <w:marBottom w:val="0"/>
              <w:divBdr>
                <w:top w:val="none" w:sz="0" w:space="0" w:color="auto"/>
                <w:left w:val="none" w:sz="0" w:space="0" w:color="auto"/>
                <w:bottom w:val="none" w:sz="0" w:space="0" w:color="auto"/>
                <w:right w:val="none" w:sz="0" w:space="0" w:color="auto"/>
              </w:divBdr>
            </w:div>
            <w:div w:id="1282685915">
              <w:marLeft w:val="0"/>
              <w:marRight w:val="0"/>
              <w:marTop w:val="0"/>
              <w:marBottom w:val="0"/>
              <w:divBdr>
                <w:top w:val="none" w:sz="0" w:space="0" w:color="auto"/>
                <w:left w:val="none" w:sz="0" w:space="0" w:color="auto"/>
                <w:bottom w:val="none" w:sz="0" w:space="0" w:color="auto"/>
                <w:right w:val="none" w:sz="0" w:space="0" w:color="auto"/>
              </w:divBdr>
            </w:div>
            <w:div w:id="1676304806">
              <w:marLeft w:val="0"/>
              <w:marRight w:val="0"/>
              <w:marTop w:val="0"/>
              <w:marBottom w:val="0"/>
              <w:divBdr>
                <w:top w:val="none" w:sz="0" w:space="0" w:color="auto"/>
                <w:left w:val="none" w:sz="0" w:space="0" w:color="auto"/>
                <w:bottom w:val="none" w:sz="0" w:space="0" w:color="auto"/>
                <w:right w:val="none" w:sz="0" w:space="0" w:color="auto"/>
              </w:divBdr>
            </w:div>
            <w:div w:id="1158380056">
              <w:marLeft w:val="0"/>
              <w:marRight w:val="0"/>
              <w:marTop w:val="0"/>
              <w:marBottom w:val="0"/>
              <w:divBdr>
                <w:top w:val="none" w:sz="0" w:space="0" w:color="auto"/>
                <w:left w:val="none" w:sz="0" w:space="0" w:color="auto"/>
                <w:bottom w:val="none" w:sz="0" w:space="0" w:color="auto"/>
                <w:right w:val="none" w:sz="0" w:space="0" w:color="auto"/>
              </w:divBdr>
            </w:div>
            <w:div w:id="436759788">
              <w:marLeft w:val="0"/>
              <w:marRight w:val="0"/>
              <w:marTop w:val="0"/>
              <w:marBottom w:val="0"/>
              <w:divBdr>
                <w:top w:val="none" w:sz="0" w:space="0" w:color="auto"/>
                <w:left w:val="none" w:sz="0" w:space="0" w:color="auto"/>
                <w:bottom w:val="none" w:sz="0" w:space="0" w:color="auto"/>
                <w:right w:val="none" w:sz="0" w:space="0" w:color="auto"/>
              </w:divBdr>
            </w:div>
            <w:div w:id="1112361003">
              <w:marLeft w:val="0"/>
              <w:marRight w:val="0"/>
              <w:marTop w:val="0"/>
              <w:marBottom w:val="0"/>
              <w:divBdr>
                <w:top w:val="none" w:sz="0" w:space="0" w:color="auto"/>
                <w:left w:val="none" w:sz="0" w:space="0" w:color="auto"/>
                <w:bottom w:val="none" w:sz="0" w:space="0" w:color="auto"/>
                <w:right w:val="none" w:sz="0" w:space="0" w:color="auto"/>
              </w:divBdr>
            </w:div>
            <w:div w:id="1169061493">
              <w:marLeft w:val="0"/>
              <w:marRight w:val="0"/>
              <w:marTop w:val="0"/>
              <w:marBottom w:val="0"/>
              <w:divBdr>
                <w:top w:val="none" w:sz="0" w:space="0" w:color="auto"/>
                <w:left w:val="none" w:sz="0" w:space="0" w:color="auto"/>
                <w:bottom w:val="none" w:sz="0" w:space="0" w:color="auto"/>
                <w:right w:val="none" w:sz="0" w:space="0" w:color="auto"/>
              </w:divBdr>
            </w:div>
            <w:div w:id="200410996">
              <w:marLeft w:val="0"/>
              <w:marRight w:val="0"/>
              <w:marTop w:val="0"/>
              <w:marBottom w:val="0"/>
              <w:divBdr>
                <w:top w:val="none" w:sz="0" w:space="0" w:color="auto"/>
                <w:left w:val="none" w:sz="0" w:space="0" w:color="auto"/>
                <w:bottom w:val="none" w:sz="0" w:space="0" w:color="auto"/>
                <w:right w:val="none" w:sz="0" w:space="0" w:color="auto"/>
              </w:divBdr>
            </w:div>
            <w:div w:id="1946157368">
              <w:marLeft w:val="0"/>
              <w:marRight w:val="0"/>
              <w:marTop w:val="0"/>
              <w:marBottom w:val="0"/>
              <w:divBdr>
                <w:top w:val="none" w:sz="0" w:space="0" w:color="auto"/>
                <w:left w:val="none" w:sz="0" w:space="0" w:color="auto"/>
                <w:bottom w:val="none" w:sz="0" w:space="0" w:color="auto"/>
                <w:right w:val="none" w:sz="0" w:space="0" w:color="auto"/>
              </w:divBdr>
            </w:div>
            <w:div w:id="1505508578">
              <w:marLeft w:val="0"/>
              <w:marRight w:val="0"/>
              <w:marTop w:val="0"/>
              <w:marBottom w:val="0"/>
              <w:divBdr>
                <w:top w:val="none" w:sz="0" w:space="0" w:color="auto"/>
                <w:left w:val="none" w:sz="0" w:space="0" w:color="auto"/>
                <w:bottom w:val="none" w:sz="0" w:space="0" w:color="auto"/>
                <w:right w:val="none" w:sz="0" w:space="0" w:color="auto"/>
              </w:divBdr>
            </w:div>
            <w:div w:id="1032654316">
              <w:marLeft w:val="0"/>
              <w:marRight w:val="0"/>
              <w:marTop w:val="0"/>
              <w:marBottom w:val="0"/>
              <w:divBdr>
                <w:top w:val="none" w:sz="0" w:space="0" w:color="auto"/>
                <w:left w:val="none" w:sz="0" w:space="0" w:color="auto"/>
                <w:bottom w:val="none" w:sz="0" w:space="0" w:color="auto"/>
                <w:right w:val="none" w:sz="0" w:space="0" w:color="auto"/>
              </w:divBdr>
            </w:div>
            <w:div w:id="478693764">
              <w:marLeft w:val="0"/>
              <w:marRight w:val="0"/>
              <w:marTop w:val="0"/>
              <w:marBottom w:val="0"/>
              <w:divBdr>
                <w:top w:val="none" w:sz="0" w:space="0" w:color="auto"/>
                <w:left w:val="none" w:sz="0" w:space="0" w:color="auto"/>
                <w:bottom w:val="none" w:sz="0" w:space="0" w:color="auto"/>
                <w:right w:val="none" w:sz="0" w:space="0" w:color="auto"/>
              </w:divBdr>
            </w:div>
            <w:div w:id="1674723856">
              <w:marLeft w:val="0"/>
              <w:marRight w:val="0"/>
              <w:marTop w:val="0"/>
              <w:marBottom w:val="0"/>
              <w:divBdr>
                <w:top w:val="none" w:sz="0" w:space="0" w:color="auto"/>
                <w:left w:val="none" w:sz="0" w:space="0" w:color="auto"/>
                <w:bottom w:val="none" w:sz="0" w:space="0" w:color="auto"/>
                <w:right w:val="none" w:sz="0" w:space="0" w:color="auto"/>
              </w:divBdr>
            </w:div>
            <w:div w:id="2075277805">
              <w:marLeft w:val="0"/>
              <w:marRight w:val="0"/>
              <w:marTop w:val="0"/>
              <w:marBottom w:val="0"/>
              <w:divBdr>
                <w:top w:val="none" w:sz="0" w:space="0" w:color="auto"/>
                <w:left w:val="none" w:sz="0" w:space="0" w:color="auto"/>
                <w:bottom w:val="none" w:sz="0" w:space="0" w:color="auto"/>
                <w:right w:val="none" w:sz="0" w:space="0" w:color="auto"/>
              </w:divBdr>
            </w:div>
            <w:div w:id="1461265734">
              <w:marLeft w:val="0"/>
              <w:marRight w:val="0"/>
              <w:marTop w:val="0"/>
              <w:marBottom w:val="0"/>
              <w:divBdr>
                <w:top w:val="none" w:sz="0" w:space="0" w:color="auto"/>
                <w:left w:val="none" w:sz="0" w:space="0" w:color="auto"/>
                <w:bottom w:val="none" w:sz="0" w:space="0" w:color="auto"/>
                <w:right w:val="none" w:sz="0" w:space="0" w:color="auto"/>
              </w:divBdr>
            </w:div>
            <w:div w:id="204414202">
              <w:marLeft w:val="0"/>
              <w:marRight w:val="0"/>
              <w:marTop w:val="0"/>
              <w:marBottom w:val="0"/>
              <w:divBdr>
                <w:top w:val="none" w:sz="0" w:space="0" w:color="auto"/>
                <w:left w:val="none" w:sz="0" w:space="0" w:color="auto"/>
                <w:bottom w:val="none" w:sz="0" w:space="0" w:color="auto"/>
                <w:right w:val="none" w:sz="0" w:space="0" w:color="auto"/>
              </w:divBdr>
            </w:div>
            <w:div w:id="726537182">
              <w:marLeft w:val="0"/>
              <w:marRight w:val="0"/>
              <w:marTop w:val="0"/>
              <w:marBottom w:val="0"/>
              <w:divBdr>
                <w:top w:val="none" w:sz="0" w:space="0" w:color="auto"/>
                <w:left w:val="none" w:sz="0" w:space="0" w:color="auto"/>
                <w:bottom w:val="none" w:sz="0" w:space="0" w:color="auto"/>
                <w:right w:val="none" w:sz="0" w:space="0" w:color="auto"/>
              </w:divBdr>
            </w:div>
            <w:div w:id="962419804">
              <w:marLeft w:val="0"/>
              <w:marRight w:val="0"/>
              <w:marTop w:val="0"/>
              <w:marBottom w:val="0"/>
              <w:divBdr>
                <w:top w:val="none" w:sz="0" w:space="0" w:color="auto"/>
                <w:left w:val="none" w:sz="0" w:space="0" w:color="auto"/>
                <w:bottom w:val="none" w:sz="0" w:space="0" w:color="auto"/>
                <w:right w:val="none" w:sz="0" w:space="0" w:color="auto"/>
              </w:divBdr>
            </w:div>
            <w:div w:id="1271280952">
              <w:marLeft w:val="0"/>
              <w:marRight w:val="0"/>
              <w:marTop w:val="0"/>
              <w:marBottom w:val="0"/>
              <w:divBdr>
                <w:top w:val="none" w:sz="0" w:space="0" w:color="auto"/>
                <w:left w:val="none" w:sz="0" w:space="0" w:color="auto"/>
                <w:bottom w:val="none" w:sz="0" w:space="0" w:color="auto"/>
                <w:right w:val="none" w:sz="0" w:space="0" w:color="auto"/>
              </w:divBdr>
            </w:div>
            <w:div w:id="829297161">
              <w:marLeft w:val="0"/>
              <w:marRight w:val="0"/>
              <w:marTop w:val="0"/>
              <w:marBottom w:val="0"/>
              <w:divBdr>
                <w:top w:val="none" w:sz="0" w:space="0" w:color="auto"/>
                <w:left w:val="none" w:sz="0" w:space="0" w:color="auto"/>
                <w:bottom w:val="none" w:sz="0" w:space="0" w:color="auto"/>
                <w:right w:val="none" w:sz="0" w:space="0" w:color="auto"/>
              </w:divBdr>
            </w:div>
            <w:div w:id="1688288824">
              <w:marLeft w:val="0"/>
              <w:marRight w:val="0"/>
              <w:marTop w:val="0"/>
              <w:marBottom w:val="0"/>
              <w:divBdr>
                <w:top w:val="none" w:sz="0" w:space="0" w:color="auto"/>
                <w:left w:val="none" w:sz="0" w:space="0" w:color="auto"/>
                <w:bottom w:val="none" w:sz="0" w:space="0" w:color="auto"/>
                <w:right w:val="none" w:sz="0" w:space="0" w:color="auto"/>
              </w:divBdr>
            </w:div>
            <w:div w:id="2002347261">
              <w:marLeft w:val="0"/>
              <w:marRight w:val="0"/>
              <w:marTop w:val="0"/>
              <w:marBottom w:val="0"/>
              <w:divBdr>
                <w:top w:val="none" w:sz="0" w:space="0" w:color="auto"/>
                <w:left w:val="none" w:sz="0" w:space="0" w:color="auto"/>
                <w:bottom w:val="none" w:sz="0" w:space="0" w:color="auto"/>
                <w:right w:val="none" w:sz="0" w:space="0" w:color="auto"/>
              </w:divBdr>
            </w:div>
            <w:div w:id="1972055083">
              <w:marLeft w:val="0"/>
              <w:marRight w:val="0"/>
              <w:marTop w:val="0"/>
              <w:marBottom w:val="0"/>
              <w:divBdr>
                <w:top w:val="none" w:sz="0" w:space="0" w:color="auto"/>
                <w:left w:val="none" w:sz="0" w:space="0" w:color="auto"/>
                <w:bottom w:val="none" w:sz="0" w:space="0" w:color="auto"/>
                <w:right w:val="none" w:sz="0" w:space="0" w:color="auto"/>
              </w:divBdr>
            </w:div>
            <w:div w:id="353188571">
              <w:marLeft w:val="0"/>
              <w:marRight w:val="0"/>
              <w:marTop w:val="0"/>
              <w:marBottom w:val="0"/>
              <w:divBdr>
                <w:top w:val="none" w:sz="0" w:space="0" w:color="auto"/>
                <w:left w:val="none" w:sz="0" w:space="0" w:color="auto"/>
                <w:bottom w:val="none" w:sz="0" w:space="0" w:color="auto"/>
                <w:right w:val="none" w:sz="0" w:space="0" w:color="auto"/>
              </w:divBdr>
            </w:div>
            <w:div w:id="227696076">
              <w:marLeft w:val="0"/>
              <w:marRight w:val="0"/>
              <w:marTop w:val="0"/>
              <w:marBottom w:val="0"/>
              <w:divBdr>
                <w:top w:val="none" w:sz="0" w:space="0" w:color="auto"/>
                <w:left w:val="none" w:sz="0" w:space="0" w:color="auto"/>
                <w:bottom w:val="none" w:sz="0" w:space="0" w:color="auto"/>
                <w:right w:val="none" w:sz="0" w:space="0" w:color="auto"/>
              </w:divBdr>
            </w:div>
            <w:div w:id="1962611613">
              <w:marLeft w:val="0"/>
              <w:marRight w:val="0"/>
              <w:marTop w:val="0"/>
              <w:marBottom w:val="0"/>
              <w:divBdr>
                <w:top w:val="none" w:sz="0" w:space="0" w:color="auto"/>
                <w:left w:val="none" w:sz="0" w:space="0" w:color="auto"/>
                <w:bottom w:val="none" w:sz="0" w:space="0" w:color="auto"/>
                <w:right w:val="none" w:sz="0" w:space="0" w:color="auto"/>
              </w:divBdr>
            </w:div>
            <w:div w:id="70007586">
              <w:marLeft w:val="0"/>
              <w:marRight w:val="0"/>
              <w:marTop w:val="0"/>
              <w:marBottom w:val="0"/>
              <w:divBdr>
                <w:top w:val="none" w:sz="0" w:space="0" w:color="auto"/>
                <w:left w:val="none" w:sz="0" w:space="0" w:color="auto"/>
                <w:bottom w:val="none" w:sz="0" w:space="0" w:color="auto"/>
                <w:right w:val="none" w:sz="0" w:space="0" w:color="auto"/>
              </w:divBdr>
            </w:div>
            <w:div w:id="584074740">
              <w:marLeft w:val="0"/>
              <w:marRight w:val="0"/>
              <w:marTop w:val="0"/>
              <w:marBottom w:val="0"/>
              <w:divBdr>
                <w:top w:val="none" w:sz="0" w:space="0" w:color="auto"/>
                <w:left w:val="none" w:sz="0" w:space="0" w:color="auto"/>
                <w:bottom w:val="none" w:sz="0" w:space="0" w:color="auto"/>
                <w:right w:val="none" w:sz="0" w:space="0" w:color="auto"/>
              </w:divBdr>
            </w:div>
            <w:div w:id="1309943461">
              <w:marLeft w:val="0"/>
              <w:marRight w:val="0"/>
              <w:marTop w:val="0"/>
              <w:marBottom w:val="0"/>
              <w:divBdr>
                <w:top w:val="none" w:sz="0" w:space="0" w:color="auto"/>
                <w:left w:val="none" w:sz="0" w:space="0" w:color="auto"/>
                <w:bottom w:val="none" w:sz="0" w:space="0" w:color="auto"/>
                <w:right w:val="none" w:sz="0" w:space="0" w:color="auto"/>
              </w:divBdr>
            </w:div>
            <w:div w:id="75656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5</Pages>
  <Words>2185</Words>
  <Characters>13114</Characters>
  <Application>Microsoft Office Word</Application>
  <DocSecurity>0</DocSecurity>
  <Lines>109</Lines>
  <Paragraphs>30</Paragraphs>
  <ScaleCrop>false</ScaleCrop>
  <HeadingPairs>
    <vt:vector size="2" baseType="variant">
      <vt:variant>
        <vt:lpstr>Tytuł</vt:lpstr>
      </vt:variant>
      <vt:variant>
        <vt:i4>1</vt:i4>
      </vt:variant>
    </vt:vector>
  </HeadingPairs>
  <TitlesOfParts>
    <vt:vector size="1" baseType="lpstr">
      <vt:lpstr/>
    </vt:vector>
  </TitlesOfParts>
  <Company>Narodowy Bank Polski</Company>
  <LinksUpToDate>false</LinksUpToDate>
  <CharactersWithSpaces>15269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dc:creator>
  <cp:lastModifiedBy>Senderowicz, Krzysztof</cp:lastModifiedBy>
  <cp:revision>12</cp:revision>
  <cp:lastPrinted>2014-05-21T14:39:00Z</cp:lastPrinted>
  <dcterms:created xsi:type="dcterms:W3CDTF">2014-05-21T13:31:00Z</dcterms:created>
  <dcterms:modified xsi:type="dcterms:W3CDTF">2014-05-21T14:48:00Z</dcterms:modified>
</cp:coreProperties>
</file>