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DBA" w:rsidRDefault="00CF4064" w:rsidP="004D343D">
      <w:pPr>
        <w:pStyle w:val="Annex"/>
      </w:pPr>
      <w:bookmarkStart w:id="0" w:name="_Ref357607936"/>
      <w:bookmarkStart w:id="1" w:name="_Toc357780184"/>
      <w:bookmarkStart w:id="2" w:name="_Toc359318913"/>
      <w:bookmarkStart w:id="3" w:name="_Toc359335087"/>
      <w:bookmarkStart w:id="4" w:name="_Toc359338704"/>
      <w:r>
        <w:tab/>
      </w:r>
      <w:r>
        <w:tab/>
      </w:r>
      <w:r>
        <w:tab/>
      </w:r>
      <w:r>
        <w:tab/>
      </w:r>
      <w:r>
        <w:tab/>
      </w:r>
      <w:r>
        <w:tab/>
      </w:r>
      <w:r>
        <w:tab/>
      </w:r>
      <w:r>
        <w:tab/>
      </w:r>
      <w:r>
        <w:tab/>
      </w:r>
      <w:r>
        <w:tab/>
        <w:t>ESMA/2013/926</w:t>
      </w:r>
    </w:p>
    <w:p w:rsidR="003D1DBA" w:rsidRDefault="003D1DBA" w:rsidP="004D343D">
      <w:pPr>
        <w:pStyle w:val="Annex"/>
      </w:pPr>
    </w:p>
    <w:p w:rsidR="003D1DBA" w:rsidRDefault="003D1DBA" w:rsidP="004D343D">
      <w:pPr>
        <w:pStyle w:val="Annex"/>
      </w:pPr>
    </w:p>
    <w:p w:rsidR="003D1DBA" w:rsidRDefault="003D1DBA" w:rsidP="004D343D">
      <w:pPr>
        <w:pStyle w:val="Annex"/>
      </w:pPr>
    </w:p>
    <w:p w:rsidR="004D343D" w:rsidRDefault="000D2A3B" w:rsidP="004D343D">
      <w:pPr>
        <w:pStyle w:val="Annex"/>
      </w:pPr>
      <w:r>
        <w:t xml:space="preserve">Template for the </w:t>
      </w:r>
      <w:r w:rsidR="004D343D">
        <w:t>Response</w:t>
      </w:r>
      <w:r>
        <w:t>s</w:t>
      </w:r>
      <w:r w:rsidR="004D343D">
        <w:t xml:space="preserve"> to the Discussion Paper on the Clearing Obligation</w:t>
      </w:r>
      <w:r w:rsidR="00730532">
        <w:t xml:space="preserve"> under EMIR</w:t>
      </w:r>
    </w:p>
    <w:p w:rsidR="00602D18" w:rsidRDefault="00602D18" w:rsidP="004D343D">
      <w:pPr>
        <w:pStyle w:val="Annex"/>
      </w:pPr>
    </w:p>
    <w:p w:rsidR="00556B75" w:rsidRDefault="00556B75" w:rsidP="00602D18">
      <w:pPr>
        <w:pStyle w:val="Annex"/>
        <w:spacing w:after="240" w:line="276" w:lineRule="auto"/>
        <w:jc w:val="both"/>
        <w:rPr>
          <w:b w:val="0"/>
        </w:rPr>
      </w:pPr>
    </w:p>
    <w:p w:rsidR="00556B75" w:rsidRPr="00556B75" w:rsidRDefault="00556B75" w:rsidP="00602D18">
      <w:pPr>
        <w:pStyle w:val="Annex"/>
        <w:spacing w:after="240" w:line="276" w:lineRule="auto"/>
        <w:jc w:val="both"/>
        <w:rPr>
          <w:color w:val="2D4190"/>
        </w:rPr>
      </w:pPr>
      <w:r w:rsidRPr="00556B75">
        <w:rPr>
          <w:color w:val="2D4190"/>
        </w:rPr>
        <w:t>How to use this template</w:t>
      </w:r>
    </w:p>
    <w:p w:rsidR="004A110C" w:rsidRPr="00556B75" w:rsidRDefault="00602D18" w:rsidP="00602D18">
      <w:pPr>
        <w:pStyle w:val="Annex"/>
        <w:spacing w:after="240" w:line="276" w:lineRule="auto"/>
        <w:jc w:val="both"/>
        <w:rPr>
          <w:b w:val="0"/>
          <w:color w:val="2D4190"/>
        </w:rPr>
      </w:pPr>
      <w:r w:rsidRPr="00556B75">
        <w:rPr>
          <w:b w:val="0"/>
          <w:color w:val="2D4190"/>
        </w:rPr>
        <w:t xml:space="preserve">This template is made available to stakeholders who wish to answer to ESMA’s Discussion Paper on the Clearing Obligation under EMIR, reference </w:t>
      </w:r>
      <w:r w:rsidR="0025726B">
        <w:rPr>
          <w:b w:val="0"/>
          <w:color w:val="2D4190"/>
        </w:rPr>
        <w:t>ESMA/2013/925.</w:t>
      </w:r>
      <w:r w:rsidR="004A110C" w:rsidRPr="00556B75">
        <w:rPr>
          <w:b w:val="0"/>
          <w:color w:val="2D4190"/>
        </w:rPr>
        <w:t xml:space="preserve"> </w:t>
      </w:r>
    </w:p>
    <w:p w:rsidR="00602D18" w:rsidRPr="00556B75" w:rsidRDefault="004A110C" w:rsidP="00602D18">
      <w:pPr>
        <w:pStyle w:val="Annex"/>
        <w:spacing w:after="240" w:line="276" w:lineRule="auto"/>
        <w:jc w:val="both"/>
        <w:rPr>
          <w:b w:val="0"/>
          <w:color w:val="2D4190"/>
        </w:rPr>
      </w:pPr>
      <w:r w:rsidRPr="00556B75">
        <w:rPr>
          <w:b w:val="0"/>
          <w:color w:val="2D4190"/>
        </w:rPr>
        <w:t xml:space="preserve">ESMA </w:t>
      </w:r>
      <w:r w:rsidR="006A3868" w:rsidRPr="00556B75">
        <w:rPr>
          <w:b w:val="0"/>
          <w:color w:val="2D4190"/>
        </w:rPr>
        <w:t>wishes to encourage</w:t>
      </w:r>
      <w:r w:rsidRPr="00556B75">
        <w:rPr>
          <w:b w:val="0"/>
          <w:color w:val="2D4190"/>
        </w:rPr>
        <w:t xml:space="preserve"> stakeholders to use the template in order to facilitate the analysis of the responses to this consultation.</w:t>
      </w:r>
      <w:r w:rsidR="00962CA6" w:rsidRPr="00962CA6">
        <w:rPr>
          <w:b w:val="0"/>
          <w:color w:val="2D4190"/>
        </w:rPr>
        <w:t xml:space="preserve"> </w:t>
      </w:r>
      <w:r w:rsidR="00962CA6">
        <w:rPr>
          <w:b w:val="0"/>
          <w:color w:val="2D4190"/>
        </w:rPr>
        <w:t>However, ESMA will duly consider a</w:t>
      </w:r>
      <w:r w:rsidR="00962CA6" w:rsidRPr="00556B75">
        <w:rPr>
          <w:b w:val="0"/>
          <w:color w:val="2D4190"/>
        </w:rPr>
        <w:t>ll answers</w:t>
      </w:r>
      <w:r w:rsidR="00962CA6">
        <w:rPr>
          <w:b w:val="0"/>
          <w:color w:val="2D4190"/>
        </w:rPr>
        <w:t xml:space="preserve"> irrespective of the format under which they are submitted</w:t>
      </w:r>
      <w:r w:rsidR="00962CA6" w:rsidRPr="00556B75">
        <w:rPr>
          <w:b w:val="0"/>
          <w:color w:val="2D4190"/>
        </w:rPr>
        <w:t xml:space="preserve">. </w:t>
      </w:r>
    </w:p>
    <w:p w:rsidR="004A110C" w:rsidRPr="00556B75" w:rsidRDefault="00602D18" w:rsidP="00C30D29">
      <w:pPr>
        <w:pStyle w:val="Annex"/>
        <w:spacing w:after="240" w:line="276" w:lineRule="auto"/>
        <w:jc w:val="both"/>
        <w:rPr>
          <w:b w:val="0"/>
          <w:color w:val="2D4190"/>
        </w:rPr>
      </w:pPr>
      <w:r w:rsidRPr="00556B75">
        <w:rPr>
          <w:b w:val="0"/>
          <w:color w:val="2D4190"/>
        </w:rPr>
        <w:t>When not commenting on a specific question</w:t>
      </w:r>
      <w:r w:rsidR="00374AD6" w:rsidRPr="00556B75">
        <w:rPr>
          <w:b w:val="0"/>
          <w:color w:val="2D4190"/>
        </w:rPr>
        <w:t xml:space="preserve"> or </w:t>
      </w:r>
      <w:r w:rsidR="00C30D29">
        <w:rPr>
          <w:b w:val="0"/>
          <w:color w:val="2D4190"/>
        </w:rPr>
        <w:t>section, please kindly delete the corresponding references (i.e. “Question x”, “Answer y”, “Comments on paragraph</w:t>
      </w:r>
      <w:r w:rsidR="00C06F83">
        <w:rPr>
          <w:b w:val="0"/>
          <w:color w:val="2D4190"/>
        </w:rPr>
        <w:t>s</w:t>
      </w:r>
      <w:r w:rsidR="00C30D29">
        <w:rPr>
          <w:b w:val="0"/>
          <w:color w:val="2D4190"/>
        </w:rPr>
        <w:t xml:space="preserve"> x to y”).</w:t>
      </w:r>
    </w:p>
    <w:p w:rsidR="00602D18" w:rsidRPr="00556B75" w:rsidRDefault="0090640F" w:rsidP="00C30D29">
      <w:pPr>
        <w:pStyle w:val="Annex"/>
        <w:spacing w:after="240" w:line="276" w:lineRule="auto"/>
        <w:jc w:val="both"/>
        <w:rPr>
          <w:b w:val="0"/>
          <w:color w:val="2D4190"/>
        </w:rPr>
      </w:pPr>
      <w:r w:rsidRPr="00556B75">
        <w:rPr>
          <w:b w:val="0"/>
          <w:color w:val="2D4190"/>
        </w:rPr>
        <w:t>The final submission of your answer in word format is preferred.</w:t>
      </w:r>
    </w:p>
    <w:p w:rsidR="004D343D" w:rsidRPr="00996F2C" w:rsidRDefault="004D343D" w:rsidP="004D343D">
      <w:pPr>
        <w:pStyle w:val="Annex"/>
        <w:rPr>
          <w:lang w:eastAsia="en-GB"/>
        </w:rPr>
      </w:pPr>
    </w:p>
    <w:p w:rsidR="004D343D" w:rsidRDefault="004D343D" w:rsidP="004D343D">
      <w:pPr>
        <w:pStyle w:val="Annex"/>
        <w:rPr>
          <w:lang w:eastAsia="en-GB"/>
        </w:rPr>
      </w:pPr>
    </w:p>
    <w:p w:rsidR="004D343D" w:rsidRPr="00E879CD" w:rsidRDefault="004D343D" w:rsidP="004D343D">
      <w:pPr>
        <w:pStyle w:val="MyStyle"/>
        <w:numPr>
          <w:ilvl w:val="0"/>
          <w:numId w:val="9"/>
        </w:numPr>
      </w:pPr>
      <w:r w:rsidRPr="00E879CD">
        <w:t xml:space="preserve">Respondent </w:t>
      </w:r>
    </w:p>
    <w:p w:rsidR="004D343D" w:rsidRPr="00E879CD" w:rsidRDefault="004D343D" w:rsidP="004D343D"/>
    <w:p w:rsidR="004D343D" w:rsidRPr="004D343D" w:rsidRDefault="004D343D" w:rsidP="004D343D">
      <w:pPr>
        <w:rPr>
          <w:sz w:val="20"/>
          <w:u w:val="single"/>
        </w:rPr>
      </w:pPr>
      <w:r w:rsidRPr="004D343D">
        <w:rPr>
          <w:sz w:val="20"/>
          <w:u w:val="single"/>
        </w:rPr>
        <w:t>Name:</w:t>
      </w:r>
      <w:r w:rsidR="00C03B58" w:rsidRPr="00C03B58">
        <w:rPr>
          <w:sz w:val="20"/>
        </w:rPr>
        <w:t xml:space="preserve"> National Association of Pension Funds (NAPF)</w:t>
      </w:r>
    </w:p>
    <w:p w:rsidR="004D343D" w:rsidRPr="004D343D" w:rsidRDefault="004D343D" w:rsidP="004D343D">
      <w:pPr>
        <w:rPr>
          <w:sz w:val="20"/>
          <w:u w:val="single"/>
        </w:rPr>
      </w:pPr>
      <w:r w:rsidRPr="004D343D">
        <w:rPr>
          <w:sz w:val="20"/>
          <w:u w:val="single"/>
        </w:rPr>
        <w:t>Country:</w:t>
      </w:r>
      <w:r w:rsidR="00C03B58" w:rsidRPr="00C03B58">
        <w:rPr>
          <w:sz w:val="20"/>
        </w:rPr>
        <w:t xml:space="preserve"> United Kingdom</w:t>
      </w:r>
    </w:p>
    <w:p w:rsidR="004D343D" w:rsidRPr="004D343D" w:rsidRDefault="004D343D" w:rsidP="004D343D">
      <w:pPr>
        <w:rPr>
          <w:sz w:val="20"/>
          <w:u w:val="single"/>
        </w:rPr>
      </w:pPr>
      <w:r w:rsidRPr="004D343D">
        <w:rPr>
          <w:sz w:val="20"/>
          <w:u w:val="single"/>
        </w:rPr>
        <w:t>Category:</w:t>
      </w:r>
      <w:r w:rsidR="00D258EA" w:rsidRPr="00D258EA">
        <w:rPr>
          <w:sz w:val="20"/>
        </w:rPr>
        <w:t xml:space="preserve"> please use the table below</w:t>
      </w:r>
    </w:p>
    <w:tbl>
      <w:tblPr>
        <w:tblW w:w="5954" w:type="dxa"/>
        <w:tblInd w:w="108" w:type="dxa"/>
        <w:tblLook w:val="04A0" w:firstRow="1" w:lastRow="0" w:firstColumn="1" w:lastColumn="0" w:noHBand="0" w:noVBand="1"/>
      </w:tblPr>
      <w:tblGrid>
        <w:gridCol w:w="4796"/>
        <w:gridCol w:w="1158"/>
      </w:tblGrid>
      <w:tr w:rsidR="004D343D" w:rsidRPr="00E879CD" w:rsidTr="004D343D">
        <w:trPr>
          <w:trHeight w:val="606"/>
        </w:trPr>
        <w:tc>
          <w:tcPr>
            <w:tcW w:w="47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D343D" w:rsidRPr="004D343D" w:rsidRDefault="004D343D" w:rsidP="004D343D">
            <w:pPr>
              <w:spacing w:after="0"/>
              <w:jc w:val="center"/>
              <w:rPr>
                <w:b/>
                <w:sz w:val="20"/>
              </w:rPr>
            </w:pPr>
            <w:r w:rsidRPr="004D343D">
              <w:rPr>
                <w:b/>
                <w:sz w:val="20"/>
              </w:rPr>
              <w:t>Category</w:t>
            </w:r>
          </w:p>
        </w:tc>
        <w:tc>
          <w:tcPr>
            <w:tcW w:w="11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D343D" w:rsidRPr="004D343D" w:rsidRDefault="004D343D" w:rsidP="004D343D">
            <w:pPr>
              <w:spacing w:after="0"/>
              <w:jc w:val="center"/>
              <w:rPr>
                <w:b/>
                <w:sz w:val="20"/>
              </w:rPr>
            </w:pPr>
            <w:r w:rsidRPr="004D343D">
              <w:rPr>
                <w:b/>
                <w:sz w:val="20"/>
              </w:rPr>
              <w:t>Please select</w:t>
            </w:r>
          </w:p>
        </w:tc>
      </w:tr>
      <w:tr w:rsidR="004D343D" w:rsidRPr="00E879CD" w:rsidTr="004D343D">
        <w:trPr>
          <w:trHeight w:val="300"/>
        </w:trPr>
        <w:tc>
          <w:tcPr>
            <w:tcW w:w="4796" w:type="dxa"/>
            <w:tcBorders>
              <w:top w:val="nil"/>
              <w:left w:val="single" w:sz="4" w:space="0" w:color="000000"/>
              <w:bottom w:val="nil"/>
              <w:right w:val="single" w:sz="4" w:space="0" w:color="000000"/>
            </w:tcBorders>
            <w:shd w:val="clear" w:color="D9D9D9" w:fill="D9D9D9"/>
            <w:noWrap/>
            <w:vAlign w:val="bottom"/>
            <w:hideMark/>
          </w:tcPr>
          <w:p w:rsidR="004D343D" w:rsidRPr="00E879CD" w:rsidRDefault="004D343D" w:rsidP="004D343D">
            <w:pPr>
              <w:spacing w:after="0"/>
              <w:rPr>
                <w:sz w:val="20"/>
              </w:rPr>
            </w:pPr>
            <w:r w:rsidRPr="00E879CD">
              <w:rPr>
                <w:sz w:val="20"/>
              </w:rPr>
              <w:t>Audit/Legal/Individual</w:t>
            </w:r>
          </w:p>
        </w:tc>
        <w:tc>
          <w:tcPr>
            <w:tcW w:w="1158" w:type="dxa"/>
            <w:tcBorders>
              <w:top w:val="nil"/>
              <w:left w:val="single" w:sz="4" w:space="0" w:color="000000"/>
              <w:bottom w:val="nil"/>
              <w:right w:val="single" w:sz="4" w:space="0" w:color="000000"/>
            </w:tcBorders>
            <w:shd w:val="clear" w:color="D9D9D9" w:fill="D9D9D9"/>
            <w:noWrap/>
            <w:vAlign w:val="bottom"/>
            <w:hideMark/>
          </w:tcPr>
          <w:p w:rsidR="004D343D" w:rsidRPr="00E879CD" w:rsidRDefault="004D343D" w:rsidP="004D343D">
            <w:pPr>
              <w:spacing w:after="0"/>
              <w:rPr>
                <w:sz w:val="20"/>
              </w:rPr>
            </w:pPr>
          </w:p>
        </w:tc>
      </w:tr>
      <w:tr w:rsidR="004D343D" w:rsidRPr="00E879CD" w:rsidTr="004D343D">
        <w:trPr>
          <w:trHeight w:val="300"/>
        </w:trPr>
        <w:tc>
          <w:tcPr>
            <w:tcW w:w="4796" w:type="dxa"/>
            <w:tcBorders>
              <w:top w:val="nil"/>
              <w:left w:val="single" w:sz="4" w:space="0" w:color="000000"/>
              <w:bottom w:val="nil"/>
              <w:right w:val="single" w:sz="4" w:space="0" w:color="000000"/>
            </w:tcBorders>
            <w:shd w:val="clear" w:color="auto" w:fill="auto"/>
            <w:noWrap/>
            <w:vAlign w:val="bottom"/>
            <w:hideMark/>
          </w:tcPr>
          <w:p w:rsidR="004D343D" w:rsidRPr="00E879CD" w:rsidRDefault="004D343D" w:rsidP="004D343D">
            <w:pPr>
              <w:spacing w:after="0"/>
              <w:rPr>
                <w:sz w:val="20"/>
              </w:rPr>
            </w:pPr>
            <w:r w:rsidRPr="00E879CD">
              <w:rPr>
                <w:sz w:val="20"/>
              </w:rPr>
              <w:t>Banking</w:t>
            </w:r>
            <w:r w:rsidR="00A66DC0">
              <w:rPr>
                <w:sz w:val="20"/>
              </w:rPr>
              <w:t xml:space="preserve"> sector</w:t>
            </w:r>
          </w:p>
        </w:tc>
        <w:tc>
          <w:tcPr>
            <w:tcW w:w="1158" w:type="dxa"/>
            <w:tcBorders>
              <w:top w:val="nil"/>
              <w:left w:val="single" w:sz="4" w:space="0" w:color="000000"/>
              <w:bottom w:val="nil"/>
              <w:right w:val="single" w:sz="4" w:space="0" w:color="000000"/>
            </w:tcBorders>
            <w:shd w:val="clear" w:color="auto" w:fill="auto"/>
            <w:noWrap/>
            <w:vAlign w:val="bottom"/>
            <w:hideMark/>
          </w:tcPr>
          <w:p w:rsidR="004D343D" w:rsidRPr="00E879CD" w:rsidRDefault="004D343D" w:rsidP="004D343D">
            <w:pPr>
              <w:spacing w:after="0"/>
              <w:rPr>
                <w:sz w:val="20"/>
              </w:rPr>
            </w:pPr>
          </w:p>
        </w:tc>
      </w:tr>
      <w:tr w:rsidR="004D343D" w:rsidRPr="00E879CD" w:rsidTr="004D343D">
        <w:trPr>
          <w:trHeight w:val="300"/>
        </w:trPr>
        <w:tc>
          <w:tcPr>
            <w:tcW w:w="4796" w:type="dxa"/>
            <w:tcBorders>
              <w:top w:val="nil"/>
              <w:left w:val="single" w:sz="4" w:space="0" w:color="000000"/>
              <w:bottom w:val="nil"/>
              <w:right w:val="single" w:sz="4" w:space="0" w:color="000000"/>
            </w:tcBorders>
            <w:shd w:val="clear" w:color="D9D9D9" w:fill="D9D9D9"/>
            <w:noWrap/>
            <w:vAlign w:val="bottom"/>
            <w:hideMark/>
          </w:tcPr>
          <w:p w:rsidR="004D343D" w:rsidRPr="00E879CD" w:rsidRDefault="00A66DC0" w:rsidP="004D343D">
            <w:pPr>
              <w:spacing w:after="0"/>
              <w:rPr>
                <w:sz w:val="20"/>
              </w:rPr>
            </w:pPr>
            <w:r>
              <w:rPr>
                <w:sz w:val="20"/>
              </w:rPr>
              <w:t>Central Counterparty</w:t>
            </w:r>
          </w:p>
        </w:tc>
        <w:tc>
          <w:tcPr>
            <w:tcW w:w="1158" w:type="dxa"/>
            <w:tcBorders>
              <w:top w:val="nil"/>
              <w:left w:val="single" w:sz="4" w:space="0" w:color="000000"/>
              <w:bottom w:val="nil"/>
              <w:right w:val="single" w:sz="4" w:space="0" w:color="000000"/>
            </w:tcBorders>
            <w:shd w:val="clear" w:color="D9D9D9" w:fill="D9D9D9"/>
            <w:noWrap/>
            <w:vAlign w:val="bottom"/>
            <w:hideMark/>
          </w:tcPr>
          <w:p w:rsidR="004D343D" w:rsidRPr="00E879CD" w:rsidRDefault="004D343D" w:rsidP="004D343D">
            <w:pPr>
              <w:spacing w:after="0"/>
              <w:rPr>
                <w:sz w:val="20"/>
              </w:rPr>
            </w:pPr>
          </w:p>
        </w:tc>
      </w:tr>
      <w:tr w:rsidR="004D343D" w:rsidRPr="00E879CD" w:rsidTr="004D343D">
        <w:trPr>
          <w:trHeight w:val="300"/>
        </w:trPr>
        <w:tc>
          <w:tcPr>
            <w:tcW w:w="4796" w:type="dxa"/>
            <w:tcBorders>
              <w:top w:val="nil"/>
              <w:left w:val="single" w:sz="4" w:space="0" w:color="000000"/>
              <w:bottom w:val="nil"/>
              <w:right w:val="single" w:sz="4" w:space="0" w:color="000000"/>
            </w:tcBorders>
            <w:shd w:val="clear" w:color="auto" w:fill="auto"/>
            <w:noWrap/>
            <w:vAlign w:val="bottom"/>
            <w:hideMark/>
          </w:tcPr>
          <w:p w:rsidR="004D343D" w:rsidRPr="00E879CD" w:rsidRDefault="004B7C63" w:rsidP="004D343D">
            <w:pPr>
              <w:spacing w:after="0"/>
              <w:rPr>
                <w:sz w:val="20"/>
              </w:rPr>
            </w:pPr>
            <w:r>
              <w:rPr>
                <w:sz w:val="20"/>
              </w:rPr>
              <w:t>Commodity trading</w:t>
            </w:r>
          </w:p>
        </w:tc>
        <w:tc>
          <w:tcPr>
            <w:tcW w:w="1158" w:type="dxa"/>
            <w:tcBorders>
              <w:top w:val="nil"/>
              <w:left w:val="single" w:sz="4" w:space="0" w:color="000000"/>
              <w:bottom w:val="nil"/>
              <w:right w:val="single" w:sz="4" w:space="0" w:color="000000"/>
            </w:tcBorders>
            <w:shd w:val="clear" w:color="auto" w:fill="auto"/>
            <w:noWrap/>
            <w:vAlign w:val="bottom"/>
            <w:hideMark/>
          </w:tcPr>
          <w:p w:rsidR="004D343D" w:rsidRPr="00E879CD" w:rsidRDefault="004D343D" w:rsidP="004D343D">
            <w:pPr>
              <w:spacing w:after="0"/>
              <w:rPr>
                <w:sz w:val="20"/>
              </w:rPr>
            </w:pPr>
          </w:p>
        </w:tc>
      </w:tr>
      <w:tr w:rsidR="004D343D" w:rsidRPr="00E879CD" w:rsidTr="004D343D">
        <w:trPr>
          <w:trHeight w:val="300"/>
        </w:trPr>
        <w:tc>
          <w:tcPr>
            <w:tcW w:w="4796" w:type="dxa"/>
            <w:tcBorders>
              <w:top w:val="nil"/>
              <w:left w:val="single" w:sz="4" w:space="0" w:color="000000"/>
              <w:bottom w:val="nil"/>
              <w:right w:val="single" w:sz="4" w:space="0" w:color="000000"/>
            </w:tcBorders>
            <w:shd w:val="clear" w:color="D9D9D9" w:fill="D9D9D9"/>
            <w:noWrap/>
            <w:vAlign w:val="bottom"/>
            <w:hideMark/>
          </w:tcPr>
          <w:p w:rsidR="004D343D" w:rsidRPr="00E879CD" w:rsidRDefault="004D343D" w:rsidP="004D343D">
            <w:pPr>
              <w:spacing w:after="0"/>
              <w:rPr>
                <w:sz w:val="20"/>
              </w:rPr>
            </w:pPr>
            <w:r w:rsidRPr="00E879CD">
              <w:rPr>
                <w:sz w:val="20"/>
              </w:rPr>
              <w:t>Government, Regulatory and Enforcement</w:t>
            </w:r>
          </w:p>
        </w:tc>
        <w:tc>
          <w:tcPr>
            <w:tcW w:w="1158" w:type="dxa"/>
            <w:tcBorders>
              <w:top w:val="nil"/>
              <w:left w:val="single" w:sz="4" w:space="0" w:color="000000"/>
              <w:bottom w:val="nil"/>
              <w:right w:val="single" w:sz="4" w:space="0" w:color="000000"/>
            </w:tcBorders>
            <w:shd w:val="clear" w:color="D9D9D9" w:fill="D9D9D9"/>
            <w:noWrap/>
            <w:vAlign w:val="bottom"/>
            <w:hideMark/>
          </w:tcPr>
          <w:p w:rsidR="004D343D" w:rsidRPr="00E879CD" w:rsidRDefault="004D343D" w:rsidP="004D343D">
            <w:pPr>
              <w:spacing w:after="0"/>
              <w:rPr>
                <w:sz w:val="20"/>
              </w:rPr>
            </w:pPr>
          </w:p>
        </w:tc>
      </w:tr>
      <w:tr w:rsidR="004D343D" w:rsidRPr="00E879CD" w:rsidTr="004D343D">
        <w:trPr>
          <w:trHeight w:val="300"/>
        </w:trPr>
        <w:tc>
          <w:tcPr>
            <w:tcW w:w="4796" w:type="dxa"/>
            <w:tcBorders>
              <w:top w:val="nil"/>
              <w:left w:val="single" w:sz="4" w:space="0" w:color="000000"/>
              <w:bottom w:val="nil"/>
              <w:right w:val="single" w:sz="4" w:space="0" w:color="000000"/>
            </w:tcBorders>
            <w:shd w:val="clear" w:color="auto" w:fill="auto"/>
            <w:noWrap/>
            <w:vAlign w:val="bottom"/>
            <w:hideMark/>
          </w:tcPr>
          <w:p w:rsidR="004D343D" w:rsidRPr="00E879CD" w:rsidRDefault="004D343D" w:rsidP="004D343D">
            <w:pPr>
              <w:spacing w:after="0"/>
              <w:rPr>
                <w:sz w:val="20"/>
              </w:rPr>
            </w:pPr>
            <w:r w:rsidRPr="00E879CD">
              <w:rPr>
                <w:sz w:val="20"/>
              </w:rPr>
              <w:t>Insurance and Pension</w:t>
            </w:r>
          </w:p>
        </w:tc>
        <w:tc>
          <w:tcPr>
            <w:tcW w:w="1158" w:type="dxa"/>
            <w:tcBorders>
              <w:top w:val="nil"/>
              <w:left w:val="single" w:sz="4" w:space="0" w:color="000000"/>
              <w:bottom w:val="nil"/>
              <w:right w:val="single" w:sz="4" w:space="0" w:color="000000"/>
            </w:tcBorders>
            <w:shd w:val="clear" w:color="auto" w:fill="auto"/>
            <w:noWrap/>
            <w:vAlign w:val="bottom"/>
            <w:hideMark/>
          </w:tcPr>
          <w:p w:rsidR="004D343D" w:rsidRPr="00E879CD" w:rsidRDefault="00C03B58" w:rsidP="004D343D">
            <w:pPr>
              <w:spacing w:after="0"/>
              <w:rPr>
                <w:sz w:val="20"/>
              </w:rPr>
            </w:pPr>
            <w:r>
              <w:rPr>
                <w:sz w:val="20"/>
              </w:rPr>
              <w:t>X</w:t>
            </w:r>
          </w:p>
        </w:tc>
      </w:tr>
      <w:tr w:rsidR="004D343D" w:rsidRPr="00E879CD" w:rsidTr="004D343D">
        <w:trPr>
          <w:trHeight w:val="300"/>
        </w:trPr>
        <w:tc>
          <w:tcPr>
            <w:tcW w:w="4796" w:type="dxa"/>
            <w:tcBorders>
              <w:top w:val="nil"/>
              <w:left w:val="single" w:sz="4" w:space="0" w:color="000000"/>
              <w:bottom w:val="nil"/>
              <w:right w:val="single" w:sz="4" w:space="0" w:color="000000"/>
            </w:tcBorders>
            <w:shd w:val="clear" w:color="D9D9D9" w:fill="D9D9D9"/>
            <w:noWrap/>
            <w:vAlign w:val="bottom"/>
            <w:hideMark/>
          </w:tcPr>
          <w:p w:rsidR="004D343D" w:rsidRPr="00E879CD" w:rsidRDefault="004D343D" w:rsidP="004D343D">
            <w:pPr>
              <w:spacing w:after="0"/>
              <w:rPr>
                <w:sz w:val="20"/>
              </w:rPr>
            </w:pPr>
            <w:r w:rsidRPr="00E879CD">
              <w:rPr>
                <w:sz w:val="20"/>
              </w:rPr>
              <w:t>Investment Services</w:t>
            </w:r>
          </w:p>
        </w:tc>
        <w:tc>
          <w:tcPr>
            <w:tcW w:w="1158" w:type="dxa"/>
            <w:tcBorders>
              <w:top w:val="nil"/>
              <w:left w:val="single" w:sz="4" w:space="0" w:color="000000"/>
              <w:bottom w:val="nil"/>
              <w:right w:val="single" w:sz="4" w:space="0" w:color="000000"/>
            </w:tcBorders>
            <w:shd w:val="clear" w:color="D9D9D9" w:fill="D9D9D9"/>
            <w:noWrap/>
            <w:vAlign w:val="bottom"/>
            <w:hideMark/>
          </w:tcPr>
          <w:p w:rsidR="004D343D" w:rsidRPr="00E879CD" w:rsidRDefault="004D343D" w:rsidP="004D343D">
            <w:pPr>
              <w:spacing w:after="0"/>
              <w:rPr>
                <w:sz w:val="20"/>
              </w:rPr>
            </w:pPr>
          </w:p>
        </w:tc>
      </w:tr>
      <w:tr w:rsidR="004D343D" w:rsidRPr="00E879CD" w:rsidTr="004D343D">
        <w:trPr>
          <w:trHeight w:val="300"/>
        </w:trPr>
        <w:tc>
          <w:tcPr>
            <w:tcW w:w="4796" w:type="dxa"/>
            <w:tcBorders>
              <w:top w:val="nil"/>
              <w:left w:val="single" w:sz="4" w:space="0" w:color="000000"/>
              <w:bottom w:val="nil"/>
              <w:right w:val="single" w:sz="4" w:space="0" w:color="000000"/>
            </w:tcBorders>
            <w:shd w:val="clear" w:color="auto" w:fill="auto"/>
            <w:noWrap/>
            <w:vAlign w:val="bottom"/>
            <w:hideMark/>
          </w:tcPr>
          <w:p w:rsidR="004D343D" w:rsidRPr="00E879CD" w:rsidRDefault="004D343D" w:rsidP="004D343D">
            <w:pPr>
              <w:spacing w:after="0"/>
              <w:rPr>
                <w:sz w:val="20"/>
              </w:rPr>
            </w:pPr>
            <w:r>
              <w:rPr>
                <w:sz w:val="20"/>
              </w:rPr>
              <w:t>Non-financial counterparty subject to EMIR</w:t>
            </w:r>
          </w:p>
        </w:tc>
        <w:tc>
          <w:tcPr>
            <w:tcW w:w="1158" w:type="dxa"/>
            <w:tcBorders>
              <w:top w:val="nil"/>
              <w:left w:val="single" w:sz="4" w:space="0" w:color="000000"/>
              <w:bottom w:val="nil"/>
              <w:right w:val="single" w:sz="4" w:space="0" w:color="000000"/>
            </w:tcBorders>
            <w:shd w:val="clear" w:color="auto" w:fill="auto"/>
            <w:noWrap/>
            <w:vAlign w:val="bottom"/>
            <w:hideMark/>
          </w:tcPr>
          <w:p w:rsidR="004D343D" w:rsidRPr="00E879CD" w:rsidRDefault="004D343D" w:rsidP="004D343D">
            <w:pPr>
              <w:spacing w:after="0"/>
              <w:rPr>
                <w:sz w:val="20"/>
              </w:rPr>
            </w:pPr>
          </w:p>
        </w:tc>
      </w:tr>
      <w:tr w:rsidR="004D343D" w:rsidRPr="00E879CD" w:rsidTr="004D343D">
        <w:trPr>
          <w:trHeight w:val="300"/>
        </w:trPr>
        <w:tc>
          <w:tcPr>
            <w:tcW w:w="4796" w:type="dxa"/>
            <w:tcBorders>
              <w:top w:val="nil"/>
              <w:left w:val="single" w:sz="4" w:space="0" w:color="000000"/>
              <w:bottom w:val="nil"/>
              <w:right w:val="single" w:sz="4" w:space="0" w:color="000000"/>
            </w:tcBorders>
            <w:shd w:val="clear" w:color="D9D9D9" w:fill="D9D9D9"/>
            <w:noWrap/>
            <w:vAlign w:val="bottom"/>
            <w:hideMark/>
          </w:tcPr>
          <w:p w:rsidR="004D343D" w:rsidRPr="00E879CD" w:rsidRDefault="004D343D" w:rsidP="004D343D">
            <w:pPr>
              <w:spacing w:after="0"/>
              <w:rPr>
                <w:sz w:val="20"/>
              </w:rPr>
            </w:pPr>
            <w:r w:rsidRPr="00E879CD">
              <w:rPr>
                <w:sz w:val="20"/>
              </w:rPr>
              <w:t>Regulated markets/Exchanges/Trading Systems</w:t>
            </w:r>
          </w:p>
        </w:tc>
        <w:tc>
          <w:tcPr>
            <w:tcW w:w="1158" w:type="dxa"/>
            <w:tcBorders>
              <w:top w:val="nil"/>
              <w:left w:val="single" w:sz="4" w:space="0" w:color="000000"/>
              <w:bottom w:val="nil"/>
              <w:right w:val="single" w:sz="4" w:space="0" w:color="000000"/>
            </w:tcBorders>
            <w:shd w:val="clear" w:color="D9D9D9" w:fill="D9D9D9"/>
            <w:noWrap/>
            <w:vAlign w:val="bottom"/>
            <w:hideMark/>
          </w:tcPr>
          <w:p w:rsidR="004D343D" w:rsidRPr="00E879CD" w:rsidRDefault="004D343D" w:rsidP="004D343D">
            <w:pPr>
              <w:spacing w:after="0"/>
              <w:rPr>
                <w:sz w:val="20"/>
              </w:rPr>
            </w:pPr>
          </w:p>
        </w:tc>
      </w:tr>
      <w:tr w:rsidR="004D343D" w:rsidRPr="00E879CD" w:rsidTr="004D343D">
        <w:trPr>
          <w:trHeight w:val="300"/>
        </w:trPr>
        <w:tc>
          <w:tcPr>
            <w:tcW w:w="4796" w:type="dxa"/>
            <w:tcBorders>
              <w:top w:val="nil"/>
              <w:left w:val="single" w:sz="4" w:space="0" w:color="000000"/>
              <w:bottom w:val="single" w:sz="4" w:space="0" w:color="000000"/>
              <w:right w:val="single" w:sz="4" w:space="0" w:color="000000"/>
            </w:tcBorders>
            <w:shd w:val="clear" w:color="auto" w:fill="auto"/>
            <w:noWrap/>
            <w:vAlign w:val="bottom"/>
            <w:hideMark/>
          </w:tcPr>
          <w:p w:rsidR="004D343D" w:rsidRPr="00E879CD" w:rsidRDefault="004D343D" w:rsidP="004D343D">
            <w:pPr>
              <w:spacing w:after="0"/>
              <w:rPr>
                <w:sz w:val="20"/>
              </w:rPr>
            </w:pPr>
            <w:r w:rsidRPr="00E879CD">
              <w:rPr>
                <w:sz w:val="20"/>
              </w:rPr>
              <w:t>Other Financial service providers</w:t>
            </w:r>
          </w:p>
        </w:tc>
        <w:tc>
          <w:tcPr>
            <w:tcW w:w="1158" w:type="dxa"/>
            <w:tcBorders>
              <w:top w:val="nil"/>
              <w:left w:val="single" w:sz="4" w:space="0" w:color="000000"/>
              <w:bottom w:val="single" w:sz="4" w:space="0" w:color="000000"/>
              <w:right w:val="single" w:sz="4" w:space="0" w:color="000000"/>
            </w:tcBorders>
            <w:shd w:val="clear" w:color="auto" w:fill="auto"/>
            <w:noWrap/>
            <w:vAlign w:val="bottom"/>
            <w:hideMark/>
          </w:tcPr>
          <w:p w:rsidR="004D343D" w:rsidRPr="00E879CD" w:rsidRDefault="004D343D" w:rsidP="00C03B58">
            <w:pPr>
              <w:rPr>
                <w:sz w:val="20"/>
              </w:rPr>
            </w:pPr>
          </w:p>
        </w:tc>
      </w:tr>
    </w:tbl>
    <w:p w:rsidR="00641E3A" w:rsidRDefault="00641E3A" w:rsidP="00641E3A">
      <w:bookmarkStart w:id="5" w:name="_GoBack"/>
      <w:bookmarkEnd w:id="5"/>
    </w:p>
    <w:p w:rsidR="00641E3A" w:rsidRDefault="00641E3A">
      <w:pPr>
        <w:jc w:val="left"/>
      </w:pPr>
      <w:r>
        <w:br w:type="page"/>
      </w:r>
    </w:p>
    <w:p w:rsidR="004D343D" w:rsidRDefault="004D343D" w:rsidP="004D343D">
      <w:pPr>
        <w:pStyle w:val="MyStyle"/>
        <w:numPr>
          <w:ilvl w:val="0"/>
          <w:numId w:val="9"/>
        </w:numPr>
      </w:pPr>
      <w:r>
        <w:t>Introduction – General comments</w:t>
      </w:r>
    </w:p>
    <w:p w:rsidR="004D343D" w:rsidRDefault="004D343D" w:rsidP="004D343D"/>
    <w:p w:rsidR="00360689" w:rsidRPr="00360689" w:rsidRDefault="00360689" w:rsidP="004D343D">
      <w:pPr>
        <w:rPr>
          <w:sz w:val="20"/>
        </w:rPr>
      </w:pPr>
      <w:r>
        <w:rPr>
          <w:b/>
          <w:sz w:val="20"/>
        </w:rPr>
        <w:t>Key points</w:t>
      </w:r>
    </w:p>
    <w:p w:rsidR="00360689" w:rsidRPr="00360689" w:rsidRDefault="00360689" w:rsidP="00360689">
      <w:pPr>
        <w:pStyle w:val="ListParagraph"/>
        <w:numPr>
          <w:ilvl w:val="0"/>
          <w:numId w:val="10"/>
        </w:numPr>
        <w:rPr>
          <w:rFonts w:cs="Arial"/>
          <w:sz w:val="20"/>
        </w:rPr>
      </w:pPr>
      <w:r w:rsidRPr="00360689">
        <w:rPr>
          <w:rFonts w:cs="Arial"/>
          <w:sz w:val="20"/>
        </w:rPr>
        <w:t>NAPF members require safe, liquid and effective derivative markets in order to help them manage their risks and achieve their ultimate goal, which is to pay retirement benefits to pensioners.</w:t>
      </w:r>
    </w:p>
    <w:p w:rsidR="00360689" w:rsidRDefault="00360689" w:rsidP="00360689">
      <w:pPr>
        <w:pStyle w:val="ListParagraph"/>
        <w:ind w:left="360"/>
        <w:rPr>
          <w:sz w:val="20"/>
        </w:rPr>
      </w:pPr>
    </w:p>
    <w:p w:rsidR="00360689" w:rsidRDefault="00360689" w:rsidP="00360689">
      <w:pPr>
        <w:pStyle w:val="ListParagraph"/>
        <w:numPr>
          <w:ilvl w:val="0"/>
          <w:numId w:val="10"/>
        </w:numPr>
        <w:rPr>
          <w:sz w:val="20"/>
        </w:rPr>
      </w:pPr>
      <w:r>
        <w:rPr>
          <w:sz w:val="20"/>
        </w:rPr>
        <w:t>Mandatory clearing should not be introduced for either inflation or interest rate swaps until live clearing offers are in place for both.</w:t>
      </w:r>
    </w:p>
    <w:p w:rsidR="00360689" w:rsidRDefault="00360689" w:rsidP="00360689">
      <w:pPr>
        <w:pStyle w:val="ListParagraph"/>
        <w:ind w:left="360"/>
        <w:rPr>
          <w:sz w:val="20"/>
        </w:rPr>
      </w:pPr>
    </w:p>
    <w:p w:rsidR="00360689" w:rsidRDefault="00360689" w:rsidP="00360689">
      <w:pPr>
        <w:pStyle w:val="ListParagraph"/>
        <w:numPr>
          <w:ilvl w:val="0"/>
          <w:numId w:val="10"/>
        </w:numPr>
        <w:rPr>
          <w:sz w:val="20"/>
        </w:rPr>
      </w:pPr>
      <w:r>
        <w:rPr>
          <w:sz w:val="20"/>
        </w:rPr>
        <w:t>The clearing obligation for foreign exchange derivatives should only be introduced once a UK or other European CCP has entered the market for clearing services. The same applies to commodity derivatives.</w:t>
      </w:r>
    </w:p>
    <w:p w:rsidR="00360689" w:rsidRPr="00360689" w:rsidRDefault="00360689" w:rsidP="00360689">
      <w:pPr>
        <w:pStyle w:val="ListParagraph"/>
        <w:rPr>
          <w:sz w:val="20"/>
        </w:rPr>
      </w:pPr>
    </w:p>
    <w:p w:rsidR="00360689" w:rsidRPr="00360689" w:rsidRDefault="00360689" w:rsidP="00360689">
      <w:pPr>
        <w:pStyle w:val="ListParagraph"/>
        <w:numPr>
          <w:ilvl w:val="0"/>
          <w:numId w:val="10"/>
        </w:numPr>
        <w:rPr>
          <w:sz w:val="20"/>
        </w:rPr>
      </w:pPr>
      <w:r>
        <w:rPr>
          <w:sz w:val="20"/>
        </w:rPr>
        <w:t>Ideally, at least two CCPs should be available before central clearing is introduced for any specific asset class. This would help to ensure value for money through competition and would also reassure investors that they could switch to a different provider if necessary.</w:t>
      </w:r>
    </w:p>
    <w:p w:rsidR="00360689" w:rsidRDefault="00360689" w:rsidP="004D343D">
      <w:pPr>
        <w:rPr>
          <w:b/>
          <w:sz w:val="20"/>
        </w:rPr>
      </w:pPr>
    </w:p>
    <w:p w:rsidR="00EE0788" w:rsidRPr="002C3C4E" w:rsidRDefault="00EE0788" w:rsidP="004D343D">
      <w:pPr>
        <w:rPr>
          <w:b/>
          <w:sz w:val="20"/>
        </w:rPr>
      </w:pPr>
      <w:r w:rsidRPr="002C3C4E">
        <w:rPr>
          <w:b/>
          <w:sz w:val="20"/>
        </w:rPr>
        <w:t>About the NAPF</w:t>
      </w:r>
    </w:p>
    <w:p w:rsidR="00EE0788" w:rsidRPr="002C3C4E" w:rsidRDefault="00EE0788" w:rsidP="00EE0788">
      <w:pPr>
        <w:spacing w:before="60" w:after="0" w:line="240" w:lineRule="auto"/>
        <w:rPr>
          <w:rFonts w:eastAsia="Times New Roman" w:cs="Calibri"/>
          <w:sz w:val="20"/>
          <w:lang w:val="en" w:eastAsia="en-GB"/>
        </w:rPr>
      </w:pPr>
      <w:r w:rsidRPr="002C3C4E">
        <w:rPr>
          <w:rFonts w:eastAsia="Times New Roman" w:cs="Calibri"/>
          <w:sz w:val="20"/>
          <w:lang w:val="en" w:eastAsia="en-GB"/>
        </w:rPr>
        <w:t>The National Association of Pension Funds is the leading UK voice for workplace pensions. The NAPF’s members operate almost 1,300 pension schemes, providing pensions for nearly 16 million people and managing over €1 trillion of assets.</w:t>
      </w:r>
    </w:p>
    <w:p w:rsidR="00EE0788" w:rsidRPr="002C3C4E" w:rsidRDefault="00EE0788" w:rsidP="00EE0788">
      <w:pPr>
        <w:spacing w:before="60" w:after="0" w:line="240" w:lineRule="auto"/>
        <w:rPr>
          <w:rFonts w:eastAsia="Times New Roman" w:cs="Calibri"/>
          <w:sz w:val="20"/>
          <w:lang w:val="en" w:eastAsia="en-GB"/>
        </w:rPr>
      </w:pPr>
    </w:p>
    <w:p w:rsidR="00EE0788" w:rsidRDefault="00EE0788" w:rsidP="00EE0788">
      <w:pPr>
        <w:spacing w:before="60" w:after="0" w:line="240" w:lineRule="auto"/>
        <w:rPr>
          <w:rFonts w:eastAsia="Times New Roman" w:cs="Arial"/>
          <w:sz w:val="20"/>
          <w:lang w:val="en" w:eastAsia="de-DE"/>
        </w:rPr>
      </w:pPr>
      <w:r w:rsidRPr="002C3C4E">
        <w:rPr>
          <w:rFonts w:eastAsia="Times New Roman" w:cs="Arial"/>
          <w:sz w:val="20"/>
          <w:lang w:val="en" w:eastAsia="de-DE"/>
        </w:rPr>
        <w:t>Our membership also includes a wide range of over 400 providers of essential advice and services to the pensions sector. This includes accounting firms, solicitors, fund managers, consultants and actuaries.</w:t>
      </w:r>
    </w:p>
    <w:p w:rsidR="0038340D" w:rsidRDefault="0038340D" w:rsidP="00EE0788">
      <w:pPr>
        <w:spacing w:before="60" w:after="0" w:line="240" w:lineRule="auto"/>
        <w:rPr>
          <w:rFonts w:eastAsia="Times New Roman" w:cs="Arial"/>
          <w:sz w:val="20"/>
          <w:lang w:val="en" w:eastAsia="de-DE"/>
        </w:rPr>
      </w:pPr>
    </w:p>
    <w:p w:rsidR="0038340D" w:rsidRPr="002C3C4E" w:rsidRDefault="0038340D" w:rsidP="00EE0788">
      <w:pPr>
        <w:spacing w:before="60" w:after="0" w:line="240" w:lineRule="auto"/>
        <w:rPr>
          <w:rFonts w:eastAsia="Times New Roman" w:cs="Arial"/>
          <w:sz w:val="20"/>
          <w:lang w:val="en" w:eastAsia="de-DE"/>
        </w:rPr>
      </w:pPr>
      <w:r>
        <w:rPr>
          <w:rFonts w:eastAsia="Times New Roman" w:cs="Arial"/>
          <w:sz w:val="20"/>
          <w:lang w:val="en" w:eastAsia="de-DE"/>
        </w:rPr>
        <w:t>The NAPF is a member of PensionsEurope.</w:t>
      </w:r>
    </w:p>
    <w:p w:rsidR="00EE0788" w:rsidRDefault="00EE0788" w:rsidP="00EE0788">
      <w:pPr>
        <w:spacing w:before="60" w:after="0" w:line="240" w:lineRule="auto"/>
        <w:rPr>
          <w:rFonts w:eastAsia="Times New Roman" w:cs="Arial"/>
          <w:sz w:val="20"/>
          <w:lang w:val="en" w:eastAsia="de-DE"/>
        </w:rPr>
      </w:pPr>
    </w:p>
    <w:p w:rsidR="008B14D0" w:rsidRPr="008B14D0" w:rsidRDefault="008B14D0" w:rsidP="00EE0788">
      <w:pPr>
        <w:spacing w:before="60" w:after="0" w:line="240" w:lineRule="auto"/>
        <w:rPr>
          <w:rFonts w:eastAsia="Times New Roman" w:cs="Arial"/>
          <w:b/>
          <w:sz w:val="20"/>
          <w:lang w:val="en" w:eastAsia="de-DE"/>
        </w:rPr>
      </w:pPr>
      <w:r w:rsidRPr="008B14D0">
        <w:rPr>
          <w:rFonts w:eastAsia="Times New Roman" w:cs="Arial"/>
          <w:b/>
          <w:sz w:val="20"/>
          <w:lang w:val="en" w:eastAsia="de-DE"/>
        </w:rPr>
        <w:t>The NAPF’s approach to EMIR</w:t>
      </w:r>
    </w:p>
    <w:p w:rsidR="008B14D0" w:rsidRDefault="008B14D0" w:rsidP="00EE0788">
      <w:pPr>
        <w:spacing w:before="60" w:after="0" w:line="240" w:lineRule="auto"/>
        <w:rPr>
          <w:rFonts w:eastAsia="Times New Roman" w:cs="Arial"/>
          <w:sz w:val="20"/>
          <w:lang w:val="en" w:eastAsia="de-DE"/>
        </w:rPr>
      </w:pPr>
    </w:p>
    <w:p w:rsidR="00EE0788" w:rsidRPr="002C3C4E" w:rsidRDefault="00EE0788" w:rsidP="00EE0788">
      <w:pPr>
        <w:spacing w:before="60" w:after="0" w:line="240" w:lineRule="auto"/>
        <w:rPr>
          <w:rFonts w:cs="Arial"/>
          <w:sz w:val="20"/>
        </w:rPr>
      </w:pPr>
      <w:r w:rsidRPr="002C3C4E">
        <w:rPr>
          <w:rFonts w:eastAsia="Times New Roman" w:cs="Arial"/>
          <w:sz w:val="20"/>
          <w:lang w:val="en" w:eastAsia="de-DE"/>
        </w:rPr>
        <w:t xml:space="preserve">The NAPF </w:t>
      </w:r>
      <w:r w:rsidR="00412A9D">
        <w:rPr>
          <w:rFonts w:cs="Arial"/>
          <w:sz w:val="20"/>
        </w:rPr>
        <w:t>welcomes the opportunity</w:t>
      </w:r>
      <w:r w:rsidRPr="002C3C4E">
        <w:rPr>
          <w:rFonts w:cs="Arial"/>
          <w:sz w:val="20"/>
        </w:rPr>
        <w:t xml:space="preserve"> to respond to this consultation. EMIR takes important steps towards a more transparent derivatives market, where risks are better managed, but it is important to ensure that the new regime is implemented proportionately and in a way that does not generate adverse consequences for pension schemes and their members.</w:t>
      </w:r>
    </w:p>
    <w:p w:rsidR="00EE0788" w:rsidRPr="002C3C4E" w:rsidRDefault="00EE0788" w:rsidP="00EE0788">
      <w:pPr>
        <w:spacing w:before="60" w:after="0" w:line="240" w:lineRule="auto"/>
        <w:rPr>
          <w:rFonts w:cs="Arial"/>
          <w:sz w:val="20"/>
        </w:rPr>
      </w:pPr>
    </w:p>
    <w:p w:rsidR="002C3C4E" w:rsidRPr="002C3C4E" w:rsidRDefault="002C3C4E" w:rsidP="00EE0788">
      <w:pPr>
        <w:rPr>
          <w:rFonts w:cs="Arial"/>
          <w:sz w:val="20"/>
        </w:rPr>
      </w:pPr>
      <w:r w:rsidRPr="002C3C4E">
        <w:rPr>
          <w:rFonts w:cs="Arial"/>
          <w:sz w:val="20"/>
        </w:rPr>
        <w:t>Pension schemes use</w:t>
      </w:r>
      <w:r w:rsidR="00EE0788" w:rsidRPr="002C3C4E">
        <w:rPr>
          <w:rFonts w:cs="Arial"/>
          <w:sz w:val="20"/>
        </w:rPr>
        <w:t xml:space="preserve"> derivative</w:t>
      </w:r>
      <w:r w:rsidRPr="002C3C4E">
        <w:rPr>
          <w:rFonts w:cs="Arial"/>
          <w:sz w:val="20"/>
        </w:rPr>
        <w:t>s (both OTC and exchange-traded</w:t>
      </w:r>
      <w:r w:rsidR="008B14D0">
        <w:rPr>
          <w:rFonts w:cs="Arial"/>
          <w:sz w:val="20"/>
        </w:rPr>
        <w:t>)</w:t>
      </w:r>
      <w:r w:rsidRPr="002C3C4E">
        <w:rPr>
          <w:rFonts w:cs="Arial"/>
          <w:sz w:val="20"/>
        </w:rPr>
        <w:t xml:space="preserve"> to hedge their risks and</w:t>
      </w:r>
      <w:r w:rsidR="00EE0788" w:rsidRPr="002C3C4E">
        <w:rPr>
          <w:rFonts w:cs="Arial"/>
          <w:sz w:val="20"/>
        </w:rPr>
        <w:t xml:space="preserve"> to temporarily rebalance the </w:t>
      </w:r>
      <w:r w:rsidRPr="002C3C4E">
        <w:rPr>
          <w:rFonts w:cs="Arial"/>
          <w:sz w:val="20"/>
        </w:rPr>
        <w:t xml:space="preserve">investment mix so that it aligns with the asset allocation strategy agreed with the trustees. </w:t>
      </w:r>
    </w:p>
    <w:p w:rsidR="002C3C4E" w:rsidRPr="008B14D0" w:rsidRDefault="002C3C4E" w:rsidP="00EE0788">
      <w:pPr>
        <w:rPr>
          <w:rFonts w:cs="Arial"/>
          <w:sz w:val="20"/>
        </w:rPr>
      </w:pPr>
      <w:r w:rsidRPr="008B14D0">
        <w:rPr>
          <w:rFonts w:cs="Arial"/>
          <w:sz w:val="20"/>
        </w:rPr>
        <w:t xml:space="preserve">Many defined benefit pension schemes have liabilities that vary according to shifts in </w:t>
      </w:r>
      <w:r w:rsidR="00EE0788" w:rsidRPr="008B14D0">
        <w:rPr>
          <w:rFonts w:cs="Arial"/>
          <w:sz w:val="20"/>
        </w:rPr>
        <w:t>inflation and interest rate</w:t>
      </w:r>
      <w:r w:rsidRPr="008B14D0">
        <w:rPr>
          <w:rFonts w:cs="Arial"/>
          <w:sz w:val="20"/>
        </w:rPr>
        <w:t xml:space="preserve">s; these </w:t>
      </w:r>
      <w:r w:rsidR="00EE0788" w:rsidRPr="008B14D0">
        <w:rPr>
          <w:rFonts w:cs="Arial"/>
          <w:sz w:val="20"/>
        </w:rPr>
        <w:t xml:space="preserve">movements </w:t>
      </w:r>
      <w:r w:rsidRPr="008B14D0">
        <w:rPr>
          <w:rFonts w:cs="Arial"/>
          <w:sz w:val="20"/>
        </w:rPr>
        <w:t xml:space="preserve">can be </w:t>
      </w:r>
      <w:r w:rsidR="00EE0788" w:rsidRPr="008B14D0">
        <w:rPr>
          <w:rFonts w:cs="Arial"/>
          <w:sz w:val="20"/>
        </w:rPr>
        <w:t>actively managed through a combin</w:t>
      </w:r>
      <w:r w:rsidR="0038340D">
        <w:rPr>
          <w:rFonts w:cs="Arial"/>
          <w:sz w:val="20"/>
        </w:rPr>
        <w:t>ation of index-linked and fixed-</w:t>
      </w:r>
      <w:r w:rsidR="00EE0788" w:rsidRPr="008B14D0">
        <w:rPr>
          <w:rFonts w:cs="Arial"/>
          <w:sz w:val="20"/>
        </w:rPr>
        <w:t>income assets and inflation, int</w:t>
      </w:r>
      <w:r w:rsidR="0038340D">
        <w:rPr>
          <w:rFonts w:cs="Arial"/>
          <w:sz w:val="20"/>
        </w:rPr>
        <w:t xml:space="preserve">erest rate and foreign exchange-based </w:t>
      </w:r>
      <w:r w:rsidR="00EE0788" w:rsidRPr="008B14D0">
        <w:rPr>
          <w:rFonts w:cs="Arial"/>
          <w:sz w:val="20"/>
        </w:rPr>
        <w:t>derivatives.</w:t>
      </w:r>
    </w:p>
    <w:p w:rsidR="00EE0788" w:rsidRPr="008B14D0" w:rsidRDefault="00A467CE" w:rsidP="00A467CE">
      <w:pPr>
        <w:rPr>
          <w:rFonts w:cs="Arial"/>
          <w:sz w:val="20"/>
        </w:rPr>
      </w:pPr>
      <w:r w:rsidRPr="008B14D0">
        <w:rPr>
          <w:rFonts w:cs="Arial"/>
          <w:sz w:val="20"/>
        </w:rPr>
        <w:t xml:space="preserve">NAPF members require </w:t>
      </w:r>
      <w:r w:rsidR="00EE0788" w:rsidRPr="008B14D0">
        <w:rPr>
          <w:rFonts w:cs="Arial"/>
          <w:sz w:val="20"/>
        </w:rPr>
        <w:t xml:space="preserve">safe, liquid and </w:t>
      </w:r>
      <w:r w:rsidRPr="008B14D0">
        <w:rPr>
          <w:rFonts w:cs="Arial"/>
          <w:sz w:val="20"/>
        </w:rPr>
        <w:t>e</w:t>
      </w:r>
      <w:r w:rsidR="00EE0788" w:rsidRPr="008B14D0">
        <w:rPr>
          <w:rFonts w:cs="Arial"/>
          <w:sz w:val="20"/>
        </w:rPr>
        <w:t>ffective</w:t>
      </w:r>
      <w:r w:rsidR="00AB7307" w:rsidRPr="008B14D0">
        <w:rPr>
          <w:rFonts w:cs="Arial"/>
          <w:sz w:val="20"/>
        </w:rPr>
        <w:t xml:space="preserve"> derivat</w:t>
      </w:r>
      <w:r w:rsidRPr="008B14D0">
        <w:rPr>
          <w:rFonts w:cs="Arial"/>
          <w:sz w:val="20"/>
        </w:rPr>
        <w:t>ive markets in order to help them manage their risks and achieve their ultimate goal, which is to pay retirement benefits to</w:t>
      </w:r>
      <w:r w:rsidR="00EE0788" w:rsidRPr="008B14D0">
        <w:rPr>
          <w:rFonts w:cs="Arial"/>
          <w:sz w:val="20"/>
        </w:rPr>
        <w:t xml:space="preserve"> pensioners.</w:t>
      </w:r>
    </w:p>
    <w:p w:rsidR="00EE0788" w:rsidRPr="008B14D0" w:rsidRDefault="008B14D0" w:rsidP="004D343D">
      <w:pPr>
        <w:rPr>
          <w:sz w:val="20"/>
        </w:rPr>
      </w:pPr>
      <w:r w:rsidRPr="008B14D0">
        <w:rPr>
          <w:sz w:val="20"/>
        </w:rPr>
        <w:t>The NAPF’s concern throughout the development of the EMIR regime has been to ensure the new system provides effective regulation without imposing unwarranted extra costs on pension schemes</w:t>
      </w:r>
      <w:r w:rsidR="005B6F53">
        <w:rPr>
          <w:sz w:val="20"/>
        </w:rPr>
        <w:t>.</w:t>
      </w:r>
      <w:r w:rsidRPr="008B14D0">
        <w:rPr>
          <w:sz w:val="20"/>
        </w:rPr>
        <w:t xml:space="preserve"> Our members are particularly aware that extra costs incurred by their fund managers are likely to be passed back to end-users such as pension funds, and we are anxious to keep these to a minimum.</w:t>
      </w:r>
    </w:p>
    <w:p w:rsidR="00360689" w:rsidRDefault="00360689">
      <w:pPr>
        <w:jc w:val="left"/>
        <w:rPr>
          <w:sz w:val="20"/>
        </w:rPr>
      </w:pPr>
      <w:r>
        <w:rPr>
          <w:sz w:val="20"/>
        </w:rPr>
        <w:br w:type="page"/>
      </w:r>
    </w:p>
    <w:p w:rsidR="004D343D" w:rsidRDefault="004D343D" w:rsidP="004D343D">
      <w:pPr>
        <w:pStyle w:val="MyStyle"/>
        <w:numPr>
          <w:ilvl w:val="0"/>
          <w:numId w:val="9"/>
        </w:numPr>
      </w:pPr>
      <w:r>
        <w:t>Comments on the discussion paper and answer</w:t>
      </w:r>
      <w:r w:rsidR="00B929D6">
        <w:t>s</w:t>
      </w:r>
      <w:r>
        <w:t xml:space="preserve"> to questions</w:t>
      </w:r>
    </w:p>
    <w:p w:rsidR="00E266C7" w:rsidRDefault="00E266C7" w:rsidP="00D4079C">
      <w:pPr>
        <w:pStyle w:val="Heading1"/>
        <w:numPr>
          <w:ilvl w:val="0"/>
          <w:numId w:val="0"/>
        </w:numPr>
        <w:ind w:left="360" w:hanging="360"/>
      </w:pPr>
    </w:p>
    <w:p w:rsidR="000A0AD9" w:rsidRDefault="008E441A" w:rsidP="00D4079C">
      <w:pPr>
        <w:pStyle w:val="Heading1"/>
        <w:numPr>
          <w:ilvl w:val="0"/>
          <w:numId w:val="0"/>
        </w:numPr>
        <w:ind w:left="360" w:hanging="360"/>
      </w:pPr>
      <w:r>
        <w:t xml:space="preserve">2. </w:t>
      </w:r>
      <w:r w:rsidR="000A0AD9" w:rsidRPr="000A0AD9">
        <w:t>CCP-cleared classes of OTC derivative</w:t>
      </w:r>
      <w:bookmarkEnd w:id="0"/>
      <w:bookmarkEnd w:id="1"/>
      <w:bookmarkEnd w:id="2"/>
      <w:r w:rsidR="000A0AD9" w:rsidRPr="000A0AD9">
        <w:t>s</w:t>
      </w:r>
      <w:bookmarkEnd w:id="3"/>
      <w:bookmarkEnd w:id="4"/>
    </w:p>
    <w:p w:rsidR="00B929D6" w:rsidRDefault="00B929D6" w:rsidP="00B929D6">
      <w:pPr>
        <w:pStyle w:val="Caption"/>
      </w:pPr>
      <w:r>
        <w:t>Comments on paragraphs 18 to 30:</w:t>
      </w:r>
    </w:p>
    <w:p w:rsidR="00D4079C" w:rsidRPr="00D4079C" w:rsidRDefault="00D4079C" w:rsidP="00D4079C">
      <w:pPr>
        <w:rPr>
          <w:rFonts w:cs="Arial"/>
          <w:szCs w:val="18"/>
          <w:lang w:eastAsia="de-DE"/>
        </w:rPr>
      </w:pPr>
      <w:r w:rsidRPr="00D4079C">
        <w:rPr>
          <w:rFonts w:cs="Arial"/>
          <w:szCs w:val="18"/>
          <w:lang w:eastAsia="de-DE"/>
        </w:rPr>
        <w:t xml:space="preserve">The NAPF’s preference is for the Clearing Obligation to include FX derivatives </w:t>
      </w:r>
      <w:r w:rsidRPr="00D4079C">
        <w:rPr>
          <w:rFonts w:cs="Arial"/>
          <w:i/>
          <w:szCs w:val="18"/>
          <w:lang w:eastAsia="de-DE"/>
        </w:rPr>
        <w:t>only</w:t>
      </w:r>
      <w:r w:rsidRPr="00D4079C">
        <w:rPr>
          <w:rFonts w:cs="Arial"/>
          <w:szCs w:val="18"/>
          <w:lang w:eastAsia="de-DE"/>
        </w:rPr>
        <w:t xml:space="preserve"> when a UK or </w:t>
      </w:r>
      <w:r w:rsidR="00360689">
        <w:rPr>
          <w:rFonts w:cs="Arial"/>
          <w:szCs w:val="18"/>
          <w:lang w:eastAsia="de-DE"/>
        </w:rPr>
        <w:t xml:space="preserve">other </w:t>
      </w:r>
      <w:r w:rsidRPr="00D4079C">
        <w:rPr>
          <w:rFonts w:cs="Arial"/>
          <w:szCs w:val="18"/>
          <w:lang w:eastAsia="de-DE"/>
        </w:rPr>
        <w:t>European CCP has entered the market for clearing services.</w:t>
      </w:r>
    </w:p>
    <w:p w:rsidR="000A0AD9" w:rsidRDefault="008E441A" w:rsidP="007B282F">
      <w:pPr>
        <w:pStyle w:val="Heading2"/>
        <w:numPr>
          <w:ilvl w:val="0"/>
          <w:numId w:val="0"/>
        </w:numPr>
      </w:pPr>
      <w:bookmarkStart w:id="6" w:name="_Toc357780188"/>
      <w:bookmarkStart w:id="7" w:name="_Toc359335089"/>
      <w:r>
        <w:t xml:space="preserve">2.2 </w:t>
      </w:r>
      <w:r w:rsidR="000A0AD9">
        <w:t>Interest rate</w:t>
      </w:r>
      <w:r w:rsidR="000A0AD9" w:rsidRPr="003216C8">
        <w:t xml:space="preserve"> derivatives</w:t>
      </w:r>
      <w:bookmarkEnd w:id="6"/>
      <w:bookmarkEnd w:id="7"/>
    </w:p>
    <w:p w:rsidR="00590BC4" w:rsidRDefault="00590BC4" w:rsidP="00590BC4">
      <w:pPr>
        <w:pStyle w:val="Caption"/>
      </w:pPr>
      <w:r>
        <w:t>Comments on paragraphs 52 to 58:</w:t>
      </w:r>
    </w:p>
    <w:p w:rsidR="00FA7E54" w:rsidRPr="004A0898" w:rsidRDefault="00FA7E54" w:rsidP="00FA7E54">
      <w:pPr>
        <w:rPr>
          <w:rFonts w:cs="Arial"/>
          <w:szCs w:val="18"/>
          <w:lang w:eastAsia="de-DE"/>
        </w:rPr>
      </w:pPr>
      <w:r w:rsidRPr="004A0898">
        <w:rPr>
          <w:rFonts w:cs="Arial"/>
          <w:szCs w:val="18"/>
          <w:lang w:eastAsia="de-DE"/>
        </w:rPr>
        <w:t>The current list of instruments</w:t>
      </w:r>
      <w:r w:rsidR="00AD2792">
        <w:rPr>
          <w:rFonts w:cs="Arial"/>
          <w:szCs w:val="18"/>
          <w:lang w:eastAsia="de-DE"/>
        </w:rPr>
        <w:t xml:space="preserve"> does not include interest rate swaptions or inflation s</w:t>
      </w:r>
      <w:r w:rsidRPr="004A0898">
        <w:rPr>
          <w:rFonts w:cs="Arial"/>
          <w:szCs w:val="18"/>
          <w:lang w:eastAsia="de-DE"/>
        </w:rPr>
        <w:t>waps (based on the exchange of fixed rates for floating based on the UK Retail Price Index). It is important that, once CCPs are able to clear these products, they should be represented in the same as</w:t>
      </w:r>
      <w:r w:rsidR="0038340D">
        <w:rPr>
          <w:rFonts w:cs="Arial"/>
          <w:szCs w:val="18"/>
          <w:lang w:eastAsia="de-DE"/>
        </w:rPr>
        <w:t>set class as interest r</w:t>
      </w:r>
      <w:r w:rsidRPr="004A0898">
        <w:rPr>
          <w:rFonts w:cs="Arial"/>
          <w:szCs w:val="18"/>
          <w:lang w:eastAsia="de-DE"/>
        </w:rPr>
        <w:t xml:space="preserve">ate derivatives, given that their characteristics are similar to those of other fixed-to-float products. </w:t>
      </w:r>
    </w:p>
    <w:p w:rsidR="0038340D" w:rsidRDefault="00FA7E54" w:rsidP="00FA7E54">
      <w:pPr>
        <w:rPr>
          <w:rFonts w:cs="Arial"/>
          <w:szCs w:val="18"/>
          <w:lang w:eastAsia="de-DE"/>
        </w:rPr>
      </w:pPr>
      <w:r w:rsidRPr="004A0898">
        <w:rPr>
          <w:rFonts w:cs="Arial"/>
          <w:szCs w:val="18"/>
          <w:lang w:eastAsia="de-DE"/>
        </w:rPr>
        <w:t>We would also note that pension schemes’ derivatives a</w:t>
      </w:r>
      <w:r w:rsidR="0038340D">
        <w:rPr>
          <w:rFonts w:cs="Arial"/>
          <w:szCs w:val="18"/>
          <w:lang w:eastAsia="de-DE"/>
        </w:rPr>
        <w:t>ctivities usually involve both inflation and interest rate</w:t>
      </w:r>
      <w:r w:rsidRPr="004A0898">
        <w:rPr>
          <w:rFonts w:cs="Arial"/>
          <w:szCs w:val="18"/>
          <w:lang w:eastAsia="de-DE"/>
        </w:rPr>
        <w:t xml:space="preserve"> products, meaning a scenario where one class qualifies for mandatory clearing and another does not could result in margin requirements significantly higher than the appropriate amount</w:t>
      </w:r>
      <w:r w:rsidR="0038340D">
        <w:rPr>
          <w:rFonts w:cs="Arial"/>
          <w:szCs w:val="18"/>
          <w:lang w:eastAsia="de-DE"/>
        </w:rPr>
        <w:t>,</w:t>
      </w:r>
      <w:r w:rsidRPr="004A0898">
        <w:rPr>
          <w:rFonts w:cs="Arial"/>
          <w:szCs w:val="18"/>
          <w:lang w:eastAsia="de-DE"/>
        </w:rPr>
        <w:t xml:space="preserve"> given the risks in such portfolios. </w:t>
      </w:r>
    </w:p>
    <w:p w:rsidR="00FA7E54" w:rsidRPr="004A0898" w:rsidRDefault="00FA7E54" w:rsidP="00FA7E54">
      <w:pPr>
        <w:rPr>
          <w:rFonts w:cs="Arial"/>
          <w:szCs w:val="18"/>
          <w:lang w:eastAsia="de-DE"/>
        </w:rPr>
      </w:pPr>
      <w:r w:rsidRPr="004A0898">
        <w:rPr>
          <w:rFonts w:cs="Arial"/>
          <w:szCs w:val="18"/>
          <w:lang w:eastAsia="de-DE"/>
        </w:rPr>
        <w:t>We underst</w:t>
      </w:r>
      <w:r w:rsidR="0038340D">
        <w:rPr>
          <w:rFonts w:cs="Arial"/>
          <w:szCs w:val="18"/>
          <w:lang w:eastAsia="de-DE"/>
        </w:rPr>
        <w:t>and the case for including interest rate s</w:t>
      </w:r>
      <w:r w:rsidRPr="004A0898">
        <w:rPr>
          <w:rFonts w:cs="Arial"/>
          <w:szCs w:val="18"/>
          <w:lang w:eastAsia="de-DE"/>
        </w:rPr>
        <w:t xml:space="preserve">waps in the mandatory list as soon as possible, but we </w:t>
      </w:r>
      <w:r w:rsidR="0038340D">
        <w:rPr>
          <w:rFonts w:cs="Arial"/>
          <w:szCs w:val="18"/>
          <w:lang w:eastAsia="de-DE"/>
        </w:rPr>
        <w:t>propose that mandatory clearing should not apply to either inflation or interest rate products until live clearing offers are in place for both.</w:t>
      </w:r>
    </w:p>
    <w:p w:rsidR="00723FB6" w:rsidRPr="000A0AD9" w:rsidRDefault="008E441A" w:rsidP="00651580">
      <w:pPr>
        <w:pStyle w:val="Heading2"/>
        <w:numPr>
          <w:ilvl w:val="0"/>
          <w:numId w:val="0"/>
        </w:numPr>
      </w:pPr>
      <w:r>
        <w:t xml:space="preserve">2.4. </w:t>
      </w:r>
      <w:r w:rsidR="00723FB6" w:rsidRPr="000A0AD9">
        <w:t>Foreign Exchange derivatives</w:t>
      </w:r>
    </w:p>
    <w:p w:rsidR="004740A5" w:rsidRPr="004740A5" w:rsidRDefault="004740A5" w:rsidP="004740A5">
      <w:pPr>
        <w:pStyle w:val="Caption"/>
      </w:pPr>
      <w:r>
        <w:t>Comments on paragraph</w:t>
      </w:r>
      <w:r w:rsidR="004C273E">
        <w:t>s</w:t>
      </w:r>
      <w:r>
        <w:t xml:space="preserve"> 75 to 78:</w:t>
      </w:r>
    </w:p>
    <w:p w:rsidR="00651580" w:rsidRPr="00651580" w:rsidRDefault="00651580" w:rsidP="00651580">
      <w:pPr>
        <w:rPr>
          <w:szCs w:val="18"/>
        </w:rPr>
      </w:pPr>
      <w:r w:rsidRPr="00651580">
        <w:rPr>
          <w:rFonts w:cs="Arial"/>
          <w:szCs w:val="18"/>
        </w:rPr>
        <w:t xml:space="preserve">The NAPF’s members would prefer to clear eligible FX derivatives through a UK or European CCP. Given that this is not yet possible, we would suggest delaying </w:t>
      </w:r>
      <w:r w:rsidR="0038340D">
        <w:rPr>
          <w:rFonts w:cs="Arial"/>
          <w:szCs w:val="18"/>
        </w:rPr>
        <w:t>implementation of the clearing o</w:t>
      </w:r>
      <w:r w:rsidRPr="00651580">
        <w:rPr>
          <w:rFonts w:cs="Arial"/>
          <w:szCs w:val="18"/>
        </w:rPr>
        <w:t>bligation for FX derivatives until such time as a European CCP is able to offer clearing services.</w:t>
      </w:r>
    </w:p>
    <w:p w:rsidR="00561C14" w:rsidRPr="00200B6B" w:rsidRDefault="00741028" w:rsidP="0068374A">
      <w:pPr>
        <w:pStyle w:val="Bold"/>
        <w:ind w:left="0"/>
      </w:pPr>
      <w:r w:rsidRPr="00200B6B">
        <w:t xml:space="preserve">Question 15 (FX derivatives): </w:t>
      </w:r>
      <w:r w:rsidR="00561C14" w:rsidRPr="00200B6B">
        <w:rPr>
          <w:bCs w:val="0"/>
          <w:szCs w:val="20"/>
        </w:rPr>
        <w:t>Do you have preliminary views on the specific items of the presented class which would be the best candidates for the clearing obligation, in view of the criteria to be assessed by ESMA, taking into consideration the overarching aim of reducing systemic risk and the criteria defined in Article 5(4) of EMIR?</w:t>
      </w:r>
    </w:p>
    <w:p w:rsidR="00BE1539" w:rsidRDefault="00BE1539" w:rsidP="000B7E3A">
      <w:pPr>
        <w:pStyle w:val="Caption"/>
      </w:pPr>
      <w:r>
        <w:t>Answer</w:t>
      </w:r>
      <w:r w:rsidR="00E80FEF">
        <w:t xml:space="preserve"> 15</w:t>
      </w:r>
      <w:r w:rsidR="000B7E3A">
        <w:t>:</w:t>
      </w:r>
    </w:p>
    <w:p w:rsidR="004C5421" w:rsidRPr="004C5421" w:rsidRDefault="004C5421" w:rsidP="004C5421">
      <w:pPr>
        <w:rPr>
          <w:rFonts w:cs="Arial"/>
          <w:szCs w:val="18"/>
        </w:rPr>
      </w:pPr>
      <w:r w:rsidRPr="004C5421">
        <w:rPr>
          <w:rFonts w:cs="Arial"/>
          <w:szCs w:val="18"/>
        </w:rPr>
        <w:t>There is a case</w:t>
      </w:r>
      <w:r w:rsidR="0038340D">
        <w:rPr>
          <w:rFonts w:cs="Arial"/>
          <w:szCs w:val="18"/>
        </w:rPr>
        <w:t xml:space="preserve"> for excluding FX forwards and non-deliverable f</w:t>
      </w:r>
      <w:r w:rsidRPr="004C5421">
        <w:rPr>
          <w:rFonts w:cs="Arial"/>
          <w:szCs w:val="18"/>
        </w:rPr>
        <w:t>orwards with a maturity of less</w:t>
      </w:r>
      <w:r w:rsidR="0038340D">
        <w:rPr>
          <w:rFonts w:cs="Arial"/>
          <w:szCs w:val="18"/>
        </w:rPr>
        <w:t xml:space="preserve"> than 1 year from the clearing o</w:t>
      </w:r>
      <w:r w:rsidRPr="004C5421">
        <w:rPr>
          <w:rFonts w:cs="Arial"/>
          <w:szCs w:val="18"/>
        </w:rPr>
        <w:t xml:space="preserve">bligation as the existing arrangements for collateralising mark-to-market exposures and managing counterparty risk are already adequate. The benefits of requiring clearing of these instruments would not be sufficient to justify the costs. </w:t>
      </w:r>
    </w:p>
    <w:p w:rsidR="00723FB6" w:rsidRDefault="008E441A" w:rsidP="004C5421">
      <w:pPr>
        <w:pStyle w:val="Heading2"/>
        <w:numPr>
          <w:ilvl w:val="0"/>
          <w:numId w:val="0"/>
        </w:numPr>
      </w:pPr>
      <w:bookmarkStart w:id="8" w:name="_Toc357780191"/>
      <w:bookmarkStart w:id="9" w:name="_Toc359335092"/>
      <w:r>
        <w:t xml:space="preserve">2.5. </w:t>
      </w:r>
      <w:r w:rsidR="00723FB6">
        <w:t>Commodity derivatives</w:t>
      </w:r>
      <w:bookmarkEnd w:id="8"/>
      <w:bookmarkEnd w:id="9"/>
    </w:p>
    <w:p w:rsidR="004740A5" w:rsidRPr="004740A5" w:rsidRDefault="004740A5" w:rsidP="004740A5">
      <w:pPr>
        <w:pStyle w:val="Caption"/>
      </w:pPr>
      <w:r>
        <w:t>Comments on paragraph</w:t>
      </w:r>
      <w:r w:rsidR="004C273E">
        <w:t>s</w:t>
      </w:r>
      <w:r>
        <w:t xml:space="preserve"> 79 to 84:</w:t>
      </w:r>
    </w:p>
    <w:p w:rsidR="004C5421" w:rsidRPr="00651580" w:rsidRDefault="004C5421" w:rsidP="004C5421">
      <w:pPr>
        <w:rPr>
          <w:szCs w:val="18"/>
        </w:rPr>
      </w:pPr>
      <w:r w:rsidRPr="00651580">
        <w:rPr>
          <w:rFonts w:cs="Arial"/>
          <w:szCs w:val="18"/>
        </w:rPr>
        <w:t xml:space="preserve">The NAPF’s members would prefer to clear eligible </w:t>
      </w:r>
      <w:r>
        <w:rPr>
          <w:rFonts w:cs="Arial"/>
          <w:szCs w:val="18"/>
        </w:rPr>
        <w:t xml:space="preserve">commodity </w:t>
      </w:r>
      <w:r w:rsidRPr="00651580">
        <w:rPr>
          <w:rFonts w:cs="Arial"/>
          <w:szCs w:val="18"/>
        </w:rPr>
        <w:t xml:space="preserve">derivatives through a UK or European CCP. Given that this is not yet possible, we would suggest </w:t>
      </w:r>
      <w:r w:rsidR="0038340D">
        <w:rPr>
          <w:rFonts w:cs="Arial"/>
          <w:szCs w:val="18"/>
        </w:rPr>
        <w:t>delaying implementation of the clearing o</w:t>
      </w:r>
      <w:r w:rsidRPr="00651580">
        <w:rPr>
          <w:rFonts w:cs="Arial"/>
          <w:szCs w:val="18"/>
        </w:rPr>
        <w:t xml:space="preserve">bligation for </w:t>
      </w:r>
      <w:r>
        <w:rPr>
          <w:rFonts w:cs="Arial"/>
          <w:szCs w:val="18"/>
        </w:rPr>
        <w:t>index commodity d</w:t>
      </w:r>
      <w:r w:rsidRPr="00651580">
        <w:rPr>
          <w:rFonts w:cs="Arial"/>
          <w:szCs w:val="18"/>
        </w:rPr>
        <w:t>erivatives until such time as a European CCP is able to offer clearing services.</w:t>
      </w:r>
    </w:p>
    <w:p w:rsidR="00741028" w:rsidRDefault="00741028" w:rsidP="004C5421">
      <w:pPr>
        <w:pStyle w:val="Bold"/>
        <w:ind w:left="0"/>
      </w:pPr>
      <w:r w:rsidRPr="00741028">
        <w:t xml:space="preserve">Question 18 (Commodity derivatives): </w:t>
      </w:r>
      <w:r w:rsidR="00561C14" w:rsidRPr="00561C14">
        <w:t>Do you have preliminary views on the specific items within those classes which would be the best candidates for the clearing obligation, taking into consideration the overarching aim of reducing systemic risk and the criteria defined in Article 5(4) of EMIR?</w:t>
      </w:r>
      <w:r w:rsidRPr="00741028">
        <w:tab/>
      </w:r>
    </w:p>
    <w:p w:rsidR="00BE1539" w:rsidRDefault="00BE1539" w:rsidP="00B929D6">
      <w:pPr>
        <w:pStyle w:val="Caption"/>
      </w:pPr>
      <w:r>
        <w:t xml:space="preserve">Answer </w:t>
      </w:r>
      <w:r w:rsidR="00961902">
        <w:t>18</w:t>
      </w:r>
      <w:r w:rsidR="000B7E3A">
        <w:t>:</w:t>
      </w:r>
    </w:p>
    <w:p w:rsidR="00BE05DB" w:rsidRPr="00651580" w:rsidRDefault="00BE05DB" w:rsidP="00BE05DB">
      <w:pPr>
        <w:rPr>
          <w:szCs w:val="18"/>
        </w:rPr>
      </w:pPr>
      <w:r w:rsidRPr="00651580">
        <w:rPr>
          <w:rFonts w:cs="Arial"/>
          <w:szCs w:val="18"/>
        </w:rPr>
        <w:t xml:space="preserve">The NAPF’s members would prefer to clear eligible </w:t>
      </w:r>
      <w:r>
        <w:rPr>
          <w:rFonts w:cs="Arial"/>
          <w:szCs w:val="18"/>
        </w:rPr>
        <w:t xml:space="preserve">commodity </w:t>
      </w:r>
      <w:r w:rsidRPr="00651580">
        <w:rPr>
          <w:rFonts w:cs="Arial"/>
          <w:szCs w:val="18"/>
        </w:rPr>
        <w:t xml:space="preserve">derivatives through a UK or European CCP. Given that this is not yet possible, we would suggest delaying implementation of the Clearing Obligation for </w:t>
      </w:r>
      <w:r>
        <w:rPr>
          <w:rFonts w:cs="Arial"/>
          <w:szCs w:val="18"/>
        </w:rPr>
        <w:t>index commodity d</w:t>
      </w:r>
      <w:r w:rsidRPr="00651580">
        <w:rPr>
          <w:rFonts w:cs="Arial"/>
          <w:szCs w:val="18"/>
        </w:rPr>
        <w:t>erivatives until such time as a European CCP is able to offer clearing services.</w:t>
      </w:r>
    </w:p>
    <w:p w:rsidR="00BE05DB" w:rsidRDefault="00BE05DB" w:rsidP="00BE05DB">
      <w:pPr>
        <w:pStyle w:val="Heading1"/>
        <w:numPr>
          <w:ilvl w:val="0"/>
          <w:numId w:val="0"/>
        </w:numPr>
        <w:ind w:left="360" w:hanging="360"/>
      </w:pPr>
    </w:p>
    <w:p w:rsidR="00865E0F" w:rsidRDefault="008E441A" w:rsidP="00BE05DB">
      <w:pPr>
        <w:pStyle w:val="Heading1"/>
        <w:numPr>
          <w:ilvl w:val="0"/>
          <w:numId w:val="0"/>
        </w:numPr>
        <w:ind w:left="360" w:hanging="360"/>
      </w:pPr>
      <w:r>
        <w:t xml:space="preserve">3. </w:t>
      </w:r>
      <w:r w:rsidR="00865E0F">
        <w:t>Preliminary analysis of the readiness of asset classes vis-à-vis the clearing obligation</w:t>
      </w:r>
    </w:p>
    <w:p w:rsidR="004740A5" w:rsidRPr="004740A5" w:rsidRDefault="004740A5" w:rsidP="004740A5">
      <w:pPr>
        <w:pStyle w:val="Caption"/>
      </w:pPr>
      <w:r>
        <w:t>Comments on paragraph</w:t>
      </w:r>
      <w:r w:rsidR="004C273E">
        <w:t>s</w:t>
      </w:r>
      <w:r>
        <w:t xml:space="preserve"> 85 to 105:</w:t>
      </w:r>
    </w:p>
    <w:p w:rsidR="00BE05DB" w:rsidRPr="004C5421" w:rsidRDefault="00BE05DB" w:rsidP="00BE05DB">
      <w:pPr>
        <w:rPr>
          <w:rFonts w:cs="Arial"/>
          <w:szCs w:val="18"/>
        </w:rPr>
      </w:pPr>
      <w:r w:rsidRPr="004C5421">
        <w:rPr>
          <w:rFonts w:cs="Arial"/>
          <w:szCs w:val="18"/>
        </w:rPr>
        <w:t>Th</w:t>
      </w:r>
      <w:r w:rsidR="00AD2792">
        <w:rPr>
          <w:rFonts w:cs="Arial"/>
          <w:szCs w:val="18"/>
        </w:rPr>
        <w:t>ere is a case for excluding FX forwards and n</w:t>
      </w:r>
      <w:r w:rsidRPr="004C5421">
        <w:rPr>
          <w:rFonts w:cs="Arial"/>
          <w:szCs w:val="18"/>
        </w:rPr>
        <w:t>on</w:t>
      </w:r>
      <w:r w:rsidR="00AD2792">
        <w:rPr>
          <w:rFonts w:cs="Arial"/>
          <w:szCs w:val="18"/>
        </w:rPr>
        <w:t>-deliverable f</w:t>
      </w:r>
      <w:r w:rsidRPr="004C5421">
        <w:rPr>
          <w:rFonts w:cs="Arial"/>
          <w:szCs w:val="18"/>
        </w:rPr>
        <w:t>orwards with a maturit</w:t>
      </w:r>
      <w:r w:rsidR="00AD2792">
        <w:rPr>
          <w:rFonts w:cs="Arial"/>
          <w:szCs w:val="18"/>
        </w:rPr>
        <w:t>y of less than 1 year from the clearing o</w:t>
      </w:r>
      <w:r w:rsidRPr="004C5421">
        <w:rPr>
          <w:rFonts w:cs="Arial"/>
          <w:szCs w:val="18"/>
        </w:rPr>
        <w:t xml:space="preserve">bligation as the existing arrangements for collateralising mark-to-market exposures and managing counterparty risk are already adequate. The benefits of requiring clearing of these instruments would not be sufficient to justify the costs. </w:t>
      </w:r>
    </w:p>
    <w:p w:rsidR="00641E3A" w:rsidRDefault="00641E3A" w:rsidP="000F6C6B">
      <w:pPr>
        <w:pStyle w:val="Heading1"/>
        <w:numPr>
          <w:ilvl w:val="0"/>
          <w:numId w:val="0"/>
        </w:numPr>
        <w:ind w:left="360" w:hanging="360"/>
      </w:pPr>
      <w:bookmarkStart w:id="10" w:name="_Toc357780197"/>
      <w:bookmarkStart w:id="11" w:name="_Toc359318915"/>
      <w:bookmarkStart w:id="12" w:name="_Toc359335098"/>
      <w:bookmarkStart w:id="13" w:name="_Toc359338706"/>
    </w:p>
    <w:p w:rsidR="000F6C6B" w:rsidRDefault="008E441A" w:rsidP="000F6C6B">
      <w:pPr>
        <w:pStyle w:val="Heading1"/>
        <w:numPr>
          <w:ilvl w:val="0"/>
          <w:numId w:val="0"/>
        </w:numPr>
        <w:ind w:left="360" w:hanging="360"/>
      </w:pPr>
      <w:r>
        <w:t xml:space="preserve">4. </w:t>
      </w:r>
      <w:r w:rsidR="00865E0F">
        <w:t>D</w:t>
      </w:r>
      <w:r w:rsidR="00865E0F" w:rsidRPr="006165A2">
        <w:t xml:space="preserve">etermination of the phase in, and the </w:t>
      </w:r>
      <w:r w:rsidR="00865E0F">
        <w:t>categories</w:t>
      </w:r>
      <w:r w:rsidR="00865E0F" w:rsidRPr="006165A2">
        <w:t xml:space="preserve"> of counterparties to which the </w:t>
      </w:r>
      <w:r w:rsidR="00865E0F">
        <w:t xml:space="preserve">CO </w:t>
      </w:r>
      <w:r w:rsidR="00865E0F" w:rsidRPr="006165A2">
        <w:t>would apply</w:t>
      </w:r>
      <w:bookmarkStart w:id="14" w:name="_Toc359335099"/>
      <w:bookmarkEnd w:id="10"/>
      <w:bookmarkEnd w:id="11"/>
      <w:bookmarkEnd w:id="12"/>
      <w:bookmarkEnd w:id="13"/>
    </w:p>
    <w:p w:rsidR="00857689" w:rsidRDefault="00857689" w:rsidP="000F6C6B">
      <w:pPr>
        <w:pStyle w:val="Heading1"/>
        <w:numPr>
          <w:ilvl w:val="0"/>
          <w:numId w:val="0"/>
        </w:numPr>
        <w:ind w:left="360" w:hanging="360"/>
      </w:pPr>
      <w:r>
        <w:t>4.1. Dates, phase in, categories of counterparties</w:t>
      </w:r>
      <w:bookmarkEnd w:id="14"/>
    </w:p>
    <w:p w:rsidR="00561C14" w:rsidRPr="00412A9D" w:rsidRDefault="00865E0F" w:rsidP="00024C2A">
      <w:pPr>
        <w:pStyle w:val="Bold"/>
        <w:ind w:left="0"/>
      </w:pPr>
      <w:r>
        <w:t xml:space="preserve">Question 20 (dates, phase in): </w:t>
      </w:r>
      <w:r w:rsidR="00561C14" w:rsidRPr="00412A9D">
        <w:t xml:space="preserve">What would you consider to be the shortest delay to impose a clearing obligation to a class of OTC derivatives when there are several CCPs available? And when there is only one CCP available? </w:t>
      </w:r>
    </w:p>
    <w:p w:rsidR="00561C14" w:rsidRPr="00412A9D" w:rsidRDefault="00561C14" w:rsidP="00561C14">
      <w:pPr>
        <w:rPr>
          <w:b/>
        </w:rPr>
      </w:pPr>
      <w:r w:rsidRPr="00412A9D">
        <w:rPr>
          <w:b/>
        </w:rPr>
        <w:t>Please specify in your answer whether the cause of delay is due to operational issues (e.g. time for CCP/counterparties to be ready for the CO) and/or to market issues (e.g. time for a CCP to add a new product to its offering).</w:t>
      </w:r>
    </w:p>
    <w:p w:rsidR="00393DA5" w:rsidRDefault="00393DA5" w:rsidP="00B929D6">
      <w:pPr>
        <w:pStyle w:val="Caption"/>
      </w:pPr>
      <w:r>
        <w:t xml:space="preserve">Answer </w:t>
      </w:r>
      <w:r w:rsidR="00961902">
        <w:t>20</w:t>
      </w:r>
      <w:r w:rsidR="000B7E3A">
        <w:t>:</w:t>
      </w:r>
    </w:p>
    <w:p w:rsidR="000F6C6B" w:rsidRPr="000F6C6B" w:rsidRDefault="000F6C6B" w:rsidP="000F6C6B">
      <w:pPr>
        <w:rPr>
          <w:rFonts w:cs="Arial"/>
          <w:szCs w:val="18"/>
        </w:rPr>
      </w:pPr>
      <w:r w:rsidRPr="000F6C6B">
        <w:rPr>
          <w:rFonts w:cs="Arial"/>
          <w:szCs w:val="18"/>
        </w:rPr>
        <w:t>At least two CCPs should be available before central clearing is introduced for any specific asset class</w:t>
      </w:r>
      <w:r>
        <w:rPr>
          <w:rFonts w:cs="Arial"/>
          <w:szCs w:val="18"/>
        </w:rPr>
        <w:t xml:space="preserve">. This would give </w:t>
      </w:r>
      <w:r w:rsidRPr="000F6C6B">
        <w:rPr>
          <w:rFonts w:cs="Arial"/>
          <w:szCs w:val="18"/>
        </w:rPr>
        <w:t xml:space="preserve">investors confidence that competition was helping </w:t>
      </w:r>
      <w:r w:rsidR="00AD2792">
        <w:rPr>
          <w:rFonts w:cs="Arial"/>
          <w:szCs w:val="18"/>
        </w:rPr>
        <w:t>to deliver value for money. I</w:t>
      </w:r>
      <w:r w:rsidRPr="000F6C6B">
        <w:rPr>
          <w:rFonts w:cs="Arial"/>
          <w:szCs w:val="18"/>
        </w:rPr>
        <w:t>t would al</w:t>
      </w:r>
      <w:r w:rsidR="00AD2792">
        <w:rPr>
          <w:rFonts w:cs="Arial"/>
          <w:szCs w:val="18"/>
        </w:rPr>
        <w:t>so reassure investors that they</w:t>
      </w:r>
      <w:r w:rsidRPr="000F6C6B">
        <w:rPr>
          <w:rFonts w:cs="Arial"/>
          <w:szCs w:val="18"/>
        </w:rPr>
        <w:t xml:space="preserve"> could switch to a different provider if one CCP were to withdraw from the market. </w:t>
      </w:r>
    </w:p>
    <w:p w:rsidR="004665DA" w:rsidRPr="00393DA5" w:rsidRDefault="004665DA" w:rsidP="00393DA5"/>
    <w:p w:rsidR="00741028" w:rsidRDefault="00741028" w:rsidP="004665DA">
      <w:pPr>
        <w:pStyle w:val="Bold"/>
        <w:ind w:left="0"/>
      </w:pPr>
      <w:r w:rsidRPr="00741028">
        <w:t xml:space="preserve">Question 22 (dates, phase in): </w:t>
      </w:r>
      <w:r w:rsidR="00561C14" w:rsidRPr="00561C14">
        <w:t>What should be the assumption regarding market share which the CCP would have to be able to assume? Should it be requested that each CCP be able to handle the whole volume to tackle the worst case scenario?</w:t>
      </w:r>
      <w:r w:rsidRPr="00741028">
        <w:tab/>
      </w:r>
    </w:p>
    <w:p w:rsidR="00393DA5" w:rsidRDefault="00393DA5" w:rsidP="00B929D6">
      <w:pPr>
        <w:pStyle w:val="Caption"/>
      </w:pPr>
      <w:r>
        <w:t xml:space="preserve">Answer </w:t>
      </w:r>
      <w:r w:rsidR="00961902">
        <w:t>22</w:t>
      </w:r>
      <w:r w:rsidR="000B7E3A">
        <w:t>:</w:t>
      </w:r>
    </w:p>
    <w:p w:rsidR="00393DA5" w:rsidRDefault="004665DA" w:rsidP="00393DA5">
      <w:r>
        <w:t>Rather than rely on one CCP to handle the entire market volume, it would be better for ESMA to withdraw the central clearing obligation for a specific asset class if the number of CCPs in that particular sector falls to just one.</w:t>
      </w:r>
    </w:p>
    <w:p w:rsidR="004665DA" w:rsidRDefault="004665DA" w:rsidP="00393DA5"/>
    <w:p w:rsidR="00741028" w:rsidRDefault="00741028" w:rsidP="009D19EA">
      <w:pPr>
        <w:pStyle w:val="Bold"/>
        <w:ind w:left="0"/>
      </w:pPr>
      <w:r w:rsidRPr="00741028">
        <w:t xml:space="preserve">Question 27 (categories of counterparties): </w:t>
      </w:r>
      <w:r w:rsidR="00561C14" w:rsidRPr="00561C14">
        <w:t>Do you agree that a key factor to take into account when defining the phase in for the counterparties to comply with the clearing obligation will be the number of clearing members offering client clearing services? Is the client clearing capacity of the CCP also a relevant factor? What could be the other criteria?</w:t>
      </w:r>
      <w:r w:rsidRPr="00741028">
        <w:tab/>
      </w:r>
    </w:p>
    <w:p w:rsidR="00393DA5" w:rsidRDefault="00393DA5" w:rsidP="00B929D6">
      <w:pPr>
        <w:pStyle w:val="Caption"/>
      </w:pPr>
      <w:r>
        <w:t xml:space="preserve">Answer </w:t>
      </w:r>
      <w:r w:rsidR="00961902">
        <w:t>27</w:t>
      </w:r>
      <w:r w:rsidR="000B7E3A">
        <w:t>:</w:t>
      </w:r>
    </w:p>
    <w:p w:rsidR="00393DA5" w:rsidRPr="00393DA5" w:rsidRDefault="009D19EA" w:rsidP="00393DA5">
      <w:r>
        <w:t>Yes, both factors are important</w:t>
      </w:r>
    </w:p>
    <w:p w:rsidR="009D19EA" w:rsidRPr="00393DA5" w:rsidRDefault="009D19EA" w:rsidP="00393DA5"/>
    <w:p w:rsidR="00024C2A" w:rsidRDefault="008E441A" w:rsidP="00024C2A">
      <w:pPr>
        <w:pStyle w:val="Heading1"/>
        <w:numPr>
          <w:ilvl w:val="0"/>
          <w:numId w:val="0"/>
        </w:numPr>
        <w:ind w:left="360" w:hanging="360"/>
      </w:pPr>
      <w:bookmarkStart w:id="15" w:name="_Toc357780205"/>
      <w:bookmarkStart w:id="16" w:name="_Toc359318916"/>
      <w:bookmarkStart w:id="17" w:name="_Toc359335102"/>
      <w:bookmarkStart w:id="18" w:name="_Toc359338707"/>
      <w:r>
        <w:t xml:space="preserve">5. </w:t>
      </w:r>
      <w:r w:rsidR="00865E0F">
        <w:t>T</w:t>
      </w:r>
      <w:r w:rsidR="00865E0F" w:rsidRPr="003963C3">
        <w:t>he clearing obligation</w:t>
      </w:r>
      <w:bookmarkEnd w:id="15"/>
      <w:r w:rsidR="00865E0F">
        <w:t xml:space="preserve"> in specific cases</w:t>
      </w:r>
      <w:bookmarkStart w:id="19" w:name="_Toc359335104"/>
      <w:bookmarkEnd w:id="16"/>
      <w:bookmarkEnd w:id="17"/>
      <w:bookmarkEnd w:id="18"/>
    </w:p>
    <w:p w:rsidR="00865E0F" w:rsidRDefault="008E441A" w:rsidP="00024C2A">
      <w:pPr>
        <w:pStyle w:val="Heading1"/>
        <w:numPr>
          <w:ilvl w:val="0"/>
          <w:numId w:val="0"/>
        </w:numPr>
        <w:ind w:left="360" w:hanging="360"/>
      </w:pPr>
      <w:r>
        <w:t xml:space="preserve">5.2. </w:t>
      </w:r>
      <w:r w:rsidR="00865E0F" w:rsidRPr="00865E0F">
        <w:t>Foreign exchange OTC derivatives</w:t>
      </w:r>
      <w:bookmarkEnd w:id="19"/>
    </w:p>
    <w:p w:rsidR="00A574C3" w:rsidRPr="004740A5" w:rsidRDefault="00A574C3" w:rsidP="004740A5">
      <w:pPr>
        <w:rPr>
          <w:lang w:eastAsia="de-DE"/>
        </w:rPr>
      </w:pPr>
    </w:p>
    <w:p w:rsidR="00741028" w:rsidRDefault="00B235DB" w:rsidP="00A574C3">
      <w:pPr>
        <w:pStyle w:val="Bold"/>
        <w:ind w:left="0"/>
      </w:pPr>
      <w:r>
        <w:t>Question 33</w:t>
      </w:r>
      <w:r w:rsidR="00741028" w:rsidRPr="00741028">
        <w:t xml:space="preserve"> (FX derivatives): </w:t>
      </w:r>
      <w:r w:rsidR="00561C14" w:rsidRPr="00561C14">
        <w:t>Within the foreign exchange asset class, for which type of contracts do you consider that settlement risk is the predominant risk, and what criteria or characteristics should be used by ESMA to identify those contracts?</w:t>
      </w:r>
      <w:r w:rsidR="00741028" w:rsidRPr="00741028">
        <w:tab/>
      </w:r>
    </w:p>
    <w:p w:rsidR="00393DA5" w:rsidRDefault="00393DA5" w:rsidP="00B929D6">
      <w:pPr>
        <w:pStyle w:val="Caption"/>
      </w:pPr>
      <w:r>
        <w:t xml:space="preserve">Answer </w:t>
      </w:r>
      <w:r w:rsidR="00B235DB">
        <w:t>33</w:t>
      </w:r>
      <w:r w:rsidR="000B7E3A">
        <w:t>:</w:t>
      </w:r>
    </w:p>
    <w:p w:rsidR="00393DA5" w:rsidRPr="00393DA5" w:rsidRDefault="00A574C3" w:rsidP="005F1A98">
      <w:r>
        <w:t xml:space="preserve">The main risk relates to FX contracts of more than one year in duration. Shorter-term transactions should be excluded. </w:t>
      </w:r>
    </w:p>
    <w:p w:rsidR="00A574C3" w:rsidRPr="00962CA6" w:rsidRDefault="00A574C3" w:rsidP="005F1A98">
      <w:pPr>
        <w:rPr>
          <w:lang w:val="fr-FR" w:eastAsia="de-DE"/>
        </w:rPr>
      </w:pPr>
    </w:p>
    <w:sectPr w:rsidR="00A574C3" w:rsidRPr="00962CA6" w:rsidSect="004E3315">
      <w:footerReference w:type="default" r:id="rId9"/>
      <w:headerReference w:type="first" r:id="rId10"/>
      <w:footerReference w:type="first" r:id="rId11"/>
      <w:pgSz w:w="11906" w:h="16838" w:code="9"/>
      <w:pgMar w:top="1525"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BFA" w:rsidRDefault="00A16BFA" w:rsidP="004D343D">
      <w:pPr>
        <w:spacing w:after="0" w:line="240" w:lineRule="auto"/>
      </w:pPr>
      <w:r>
        <w:separator/>
      </w:r>
    </w:p>
  </w:endnote>
  <w:endnote w:type="continuationSeparator" w:id="0">
    <w:p w:rsidR="00A16BFA" w:rsidRDefault="00A16BFA" w:rsidP="004D3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165314"/>
      <w:docPartObj>
        <w:docPartGallery w:val="Page Numbers (Bottom of Page)"/>
        <w:docPartUnique/>
      </w:docPartObj>
    </w:sdtPr>
    <w:sdtEndPr>
      <w:rPr>
        <w:noProof/>
      </w:rPr>
    </w:sdtEndPr>
    <w:sdtContent>
      <w:p w:rsidR="00AB7307" w:rsidRDefault="00AB7307">
        <w:pPr>
          <w:pStyle w:val="Footer"/>
          <w:jc w:val="right"/>
        </w:pPr>
        <w:r>
          <w:fldChar w:fldCharType="begin"/>
        </w:r>
        <w:r>
          <w:instrText xml:space="preserve"> PAGE   \* MERGEFORMAT </w:instrText>
        </w:r>
        <w:r>
          <w:fldChar w:fldCharType="separate"/>
        </w:r>
        <w:r w:rsidR="00224664">
          <w:rPr>
            <w:noProof/>
          </w:rPr>
          <w:t>3</w:t>
        </w:r>
        <w:r>
          <w:rPr>
            <w:noProof/>
          </w:rPr>
          <w:fldChar w:fldCharType="end"/>
        </w:r>
      </w:p>
    </w:sdtContent>
  </w:sdt>
  <w:p w:rsidR="00AB7307" w:rsidRDefault="00AB73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05406"/>
      <w:docPartObj>
        <w:docPartGallery w:val="Page Numbers (Bottom of Page)"/>
        <w:docPartUnique/>
      </w:docPartObj>
    </w:sdtPr>
    <w:sdtEndPr>
      <w:rPr>
        <w:noProof/>
      </w:rPr>
    </w:sdtEndPr>
    <w:sdtContent>
      <w:p w:rsidR="00AB7307" w:rsidRDefault="00AB7307">
        <w:pPr>
          <w:pStyle w:val="Footer"/>
          <w:jc w:val="right"/>
        </w:pPr>
        <w:r>
          <w:t xml:space="preserve">12 July 2013 </w:t>
        </w:r>
        <w:r w:rsidRPr="00852DEE">
          <w:t>|</w:t>
        </w:r>
        <w:r>
          <w:t xml:space="preserve"> ESMA/2013/926</w:t>
        </w:r>
      </w:p>
    </w:sdtContent>
  </w:sdt>
  <w:p w:rsidR="00AB7307" w:rsidRDefault="00AB73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BFA" w:rsidRDefault="00A16BFA" w:rsidP="004D343D">
      <w:pPr>
        <w:spacing w:after="0" w:line="240" w:lineRule="auto"/>
      </w:pPr>
      <w:r>
        <w:separator/>
      </w:r>
    </w:p>
  </w:footnote>
  <w:footnote w:type="continuationSeparator" w:id="0">
    <w:p w:rsidR="00A16BFA" w:rsidRDefault="00A16BFA" w:rsidP="004D3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307" w:rsidRDefault="00AB7307">
    <w:pPr>
      <w:pStyle w:val="Header"/>
    </w:pPr>
    <w:r>
      <w:rPr>
        <w:noProof/>
        <w:lang w:eastAsia="en-GB"/>
      </w:rPr>
      <w:drawing>
        <wp:anchor distT="0" distB="0" distL="114300" distR="114300" simplePos="0" relativeHeight="251659264" behindDoc="0" locked="0" layoutInCell="1" allowOverlap="1" wp14:anchorId="1DE9E421" wp14:editId="30E179EA">
          <wp:simplePos x="0" y="0"/>
          <wp:positionH relativeFrom="page">
            <wp:posOffset>944245</wp:posOffset>
          </wp:positionH>
          <wp:positionV relativeFrom="page">
            <wp:posOffset>764540</wp:posOffset>
          </wp:positionV>
          <wp:extent cx="561975" cy="561975"/>
          <wp:effectExtent l="0" t="0" r="9525" b="9525"/>
          <wp:wrapNone/>
          <wp:docPr id="1" name="Picture 1"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90EB4"/>
    <w:multiLevelType w:val="hybridMultilevel"/>
    <w:tmpl w:val="D00E6092"/>
    <w:lvl w:ilvl="0" w:tplc="565C7802">
      <w:start w:val="1"/>
      <w:numFmt w:val="upperRoman"/>
      <w:pStyle w:val="05dHeadline1lin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5F2725FB"/>
    <w:multiLevelType w:val="multilevel"/>
    <w:tmpl w:val="A0602AA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425"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65CD27AE"/>
    <w:multiLevelType w:val="hybridMultilevel"/>
    <w:tmpl w:val="4E1A8C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A50265E"/>
    <w:multiLevelType w:val="hybridMultilevel"/>
    <w:tmpl w:val="22A68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028"/>
    <w:rsid w:val="00001C84"/>
    <w:rsid w:val="00024C2A"/>
    <w:rsid w:val="000A0AD9"/>
    <w:rsid w:val="000B7E3A"/>
    <w:rsid w:val="000D2A3B"/>
    <w:rsid w:val="000F6C6B"/>
    <w:rsid w:val="001567D7"/>
    <w:rsid w:val="00190510"/>
    <w:rsid w:val="00200B6B"/>
    <w:rsid w:val="00224664"/>
    <w:rsid w:val="0024278C"/>
    <w:rsid w:val="0025726B"/>
    <w:rsid w:val="002C3C4E"/>
    <w:rsid w:val="002E35A0"/>
    <w:rsid w:val="003457EE"/>
    <w:rsid w:val="00360689"/>
    <w:rsid w:val="0037122C"/>
    <w:rsid w:val="00374AD6"/>
    <w:rsid w:val="0038340D"/>
    <w:rsid w:val="00393DA5"/>
    <w:rsid w:val="003D1DBA"/>
    <w:rsid w:val="003E3188"/>
    <w:rsid w:val="00412A9D"/>
    <w:rsid w:val="00461EDE"/>
    <w:rsid w:val="004665DA"/>
    <w:rsid w:val="004740A5"/>
    <w:rsid w:val="004A0898"/>
    <w:rsid w:val="004A110C"/>
    <w:rsid w:val="004B7C63"/>
    <w:rsid w:val="004C273E"/>
    <w:rsid w:val="004C5421"/>
    <w:rsid w:val="004D343D"/>
    <w:rsid w:val="004E3315"/>
    <w:rsid w:val="00556B75"/>
    <w:rsid w:val="00561C14"/>
    <w:rsid w:val="00590BC4"/>
    <w:rsid w:val="005B6F53"/>
    <w:rsid w:val="005C7ACF"/>
    <w:rsid w:val="005E0564"/>
    <w:rsid w:val="005F1A98"/>
    <w:rsid w:val="00602D18"/>
    <w:rsid w:val="00641E3A"/>
    <w:rsid w:val="00651580"/>
    <w:rsid w:val="006574BB"/>
    <w:rsid w:val="00681A9A"/>
    <w:rsid w:val="0068374A"/>
    <w:rsid w:val="006A3868"/>
    <w:rsid w:val="006B4413"/>
    <w:rsid w:val="00723FB6"/>
    <w:rsid w:val="00730532"/>
    <w:rsid w:val="00734F6B"/>
    <w:rsid w:val="00741028"/>
    <w:rsid w:val="007B282F"/>
    <w:rsid w:val="007F578D"/>
    <w:rsid w:val="008325D1"/>
    <w:rsid w:val="00857689"/>
    <w:rsid w:val="00865E0F"/>
    <w:rsid w:val="008B14D0"/>
    <w:rsid w:val="008D7543"/>
    <w:rsid w:val="008E441A"/>
    <w:rsid w:val="0090640F"/>
    <w:rsid w:val="00961902"/>
    <w:rsid w:val="00962CA6"/>
    <w:rsid w:val="009D19EA"/>
    <w:rsid w:val="00A16733"/>
    <w:rsid w:val="00A16BFA"/>
    <w:rsid w:val="00A40266"/>
    <w:rsid w:val="00A467CE"/>
    <w:rsid w:val="00A574C3"/>
    <w:rsid w:val="00A66DC0"/>
    <w:rsid w:val="00AA4487"/>
    <w:rsid w:val="00AB1DF4"/>
    <w:rsid w:val="00AB7307"/>
    <w:rsid w:val="00AD2792"/>
    <w:rsid w:val="00AF688B"/>
    <w:rsid w:val="00B235DB"/>
    <w:rsid w:val="00B550A4"/>
    <w:rsid w:val="00B64097"/>
    <w:rsid w:val="00B929D6"/>
    <w:rsid w:val="00BE05DB"/>
    <w:rsid w:val="00BE1539"/>
    <w:rsid w:val="00C03B58"/>
    <w:rsid w:val="00C06F83"/>
    <w:rsid w:val="00C23FBB"/>
    <w:rsid w:val="00C30D29"/>
    <w:rsid w:val="00CF4064"/>
    <w:rsid w:val="00D070F5"/>
    <w:rsid w:val="00D258EA"/>
    <w:rsid w:val="00D4079C"/>
    <w:rsid w:val="00D50359"/>
    <w:rsid w:val="00D54F70"/>
    <w:rsid w:val="00D65AED"/>
    <w:rsid w:val="00D85697"/>
    <w:rsid w:val="00D91577"/>
    <w:rsid w:val="00DC4603"/>
    <w:rsid w:val="00E047EA"/>
    <w:rsid w:val="00E266C7"/>
    <w:rsid w:val="00E80FEF"/>
    <w:rsid w:val="00EB0F48"/>
    <w:rsid w:val="00EC5A4B"/>
    <w:rsid w:val="00EE0788"/>
    <w:rsid w:val="00F0165E"/>
    <w:rsid w:val="00F46DE7"/>
    <w:rsid w:val="00F833AB"/>
    <w:rsid w:val="00FA7E54"/>
    <w:rsid w:val="00FB4B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F70"/>
    <w:pPr>
      <w:jc w:val="both"/>
    </w:pPr>
    <w:rPr>
      <w:rFonts w:ascii="Georgia" w:hAnsi="Georgia"/>
      <w:sz w:val="18"/>
      <w:szCs w:val="20"/>
      <w:lang w:val="en-GB"/>
    </w:rPr>
  </w:style>
  <w:style w:type="paragraph" w:styleId="Heading1">
    <w:name w:val="heading 1"/>
    <w:basedOn w:val="Normal"/>
    <w:next w:val="Normal"/>
    <w:link w:val="Heading1Char"/>
    <w:qFormat/>
    <w:rsid w:val="000A0AD9"/>
    <w:pPr>
      <w:numPr>
        <w:numId w:val="1"/>
      </w:numPr>
      <w:spacing w:after="0" w:line="340" w:lineRule="exact"/>
      <w:outlineLvl w:val="0"/>
    </w:pPr>
    <w:rPr>
      <w:rFonts w:eastAsia="Times New Roman" w:cs="Times New Roman"/>
      <w:b/>
      <w:color w:val="0070C0"/>
      <w:szCs w:val="24"/>
      <w:lang w:eastAsia="de-DE"/>
    </w:rPr>
  </w:style>
  <w:style w:type="paragraph" w:styleId="Heading2">
    <w:name w:val="heading 2"/>
    <w:basedOn w:val="Heading1"/>
    <w:next w:val="Normal"/>
    <w:link w:val="Heading2Char"/>
    <w:qFormat/>
    <w:rsid w:val="000A0AD9"/>
    <w:pPr>
      <w:numPr>
        <w:ilvl w:val="1"/>
      </w:numPr>
      <w:spacing w:before="360" w:after="360"/>
      <w:outlineLvl w:val="1"/>
    </w:pPr>
    <w:rPr>
      <w:szCs w:val="20"/>
    </w:rPr>
  </w:style>
  <w:style w:type="paragraph" w:styleId="Heading3">
    <w:name w:val="heading 3"/>
    <w:basedOn w:val="Heading2"/>
    <w:next w:val="Normal"/>
    <w:link w:val="Heading3Char"/>
    <w:qFormat/>
    <w:rsid w:val="00723FB6"/>
    <w:pPr>
      <w:numPr>
        <w:ilvl w:val="2"/>
      </w:numPr>
      <w:outlineLvl w:val="2"/>
    </w:pPr>
  </w:style>
  <w:style w:type="paragraph" w:styleId="Heading4">
    <w:name w:val="heading 4"/>
    <w:basedOn w:val="Heading3"/>
    <w:next w:val="Normal"/>
    <w:link w:val="Heading4Char"/>
    <w:qFormat/>
    <w:rsid w:val="00723FB6"/>
    <w:pPr>
      <w:numPr>
        <w:ilvl w:val="3"/>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028"/>
    <w:rPr>
      <w:color w:val="0000FF" w:themeColor="hyperlink"/>
      <w:u w:val="single"/>
    </w:rPr>
  </w:style>
  <w:style w:type="paragraph" w:customStyle="1" w:styleId="Bold">
    <w:name w:val="Bold"/>
    <w:basedOn w:val="Question"/>
    <w:link w:val="BoldChar"/>
    <w:qFormat/>
    <w:rsid w:val="00865E0F"/>
  </w:style>
  <w:style w:type="paragraph" w:customStyle="1" w:styleId="Question">
    <w:name w:val="Question"/>
    <w:basedOn w:val="Caption"/>
    <w:link w:val="QuestionChar"/>
    <w:qFormat/>
    <w:rsid w:val="00723FB6"/>
    <w:pPr>
      <w:spacing w:after="240" w:line="276" w:lineRule="auto"/>
      <w:ind w:left="708"/>
    </w:pPr>
    <w:rPr>
      <w:rFonts w:eastAsia="Times New Roman" w:cs="Times New Roman"/>
      <w:color w:val="auto"/>
      <w:lang w:eastAsia="de-DE"/>
    </w:rPr>
  </w:style>
  <w:style w:type="character" w:customStyle="1" w:styleId="BoldChar">
    <w:name w:val="Bold Char"/>
    <w:basedOn w:val="DefaultParagraphFont"/>
    <w:link w:val="Bold"/>
    <w:rsid w:val="00865E0F"/>
    <w:rPr>
      <w:rFonts w:ascii="Georgia" w:eastAsia="Times New Roman" w:hAnsi="Georgia" w:cs="Times New Roman"/>
      <w:b/>
      <w:bCs/>
      <w:sz w:val="18"/>
      <w:szCs w:val="18"/>
      <w:lang w:val="en-GB" w:eastAsia="de-DE"/>
    </w:rPr>
  </w:style>
  <w:style w:type="character" w:customStyle="1" w:styleId="QuestionChar">
    <w:name w:val="Question Char"/>
    <w:link w:val="Question"/>
    <w:rsid w:val="00723FB6"/>
    <w:rPr>
      <w:rFonts w:ascii="Georgia" w:eastAsia="Times New Roman" w:hAnsi="Georgia" w:cs="Times New Roman"/>
      <w:b/>
      <w:bCs/>
      <w:sz w:val="18"/>
      <w:szCs w:val="18"/>
      <w:lang w:val="en-GB" w:eastAsia="de-DE"/>
    </w:rPr>
  </w:style>
  <w:style w:type="paragraph" w:styleId="Caption">
    <w:name w:val="caption"/>
    <w:basedOn w:val="Normal"/>
    <w:next w:val="Normal"/>
    <w:uiPriority w:val="35"/>
    <w:unhideWhenUsed/>
    <w:qFormat/>
    <w:rsid w:val="00B929D6"/>
    <w:pPr>
      <w:spacing w:before="240" w:line="240" w:lineRule="auto"/>
    </w:pPr>
    <w:rPr>
      <w:b/>
      <w:bCs/>
      <w:color w:val="C00000"/>
      <w:szCs w:val="18"/>
    </w:rPr>
  </w:style>
  <w:style w:type="paragraph" w:customStyle="1" w:styleId="Normalsanspara">
    <w:name w:val="Normal sans para"/>
    <w:basedOn w:val="Normal"/>
    <w:link w:val="NormalsansparaChar"/>
    <w:qFormat/>
    <w:rsid w:val="00723FB6"/>
    <w:pPr>
      <w:spacing w:before="120" w:after="240"/>
    </w:pPr>
    <w:rPr>
      <w:rFonts w:eastAsia="Times New Roman" w:cs="Times New Roman"/>
      <w:szCs w:val="24"/>
      <w:u w:val="single"/>
      <w:lang w:eastAsia="de-DE"/>
    </w:rPr>
  </w:style>
  <w:style w:type="character" w:customStyle="1" w:styleId="NormalsansparaChar">
    <w:name w:val="Normal sans para Char"/>
    <w:link w:val="Normalsanspara"/>
    <w:rsid w:val="00723FB6"/>
    <w:rPr>
      <w:rFonts w:ascii="Georgia" w:eastAsia="Times New Roman" w:hAnsi="Georgia" w:cs="Times New Roman"/>
      <w:sz w:val="20"/>
      <w:szCs w:val="24"/>
      <w:u w:val="single"/>
      <w:lang w:val="en-GB" w:eastAsia="de-DE"/>
    </w:rPr>
  </w:style>
  <w:style w:type="character" w:customStyle="1" w:styleId="Heading1Char">
    <w:name w:val="Heading 1 Char"/>
    <w:basedOn w:val="DefaultParagraphFont"/>
    <w:link w:val="Heading1"/>
    <w:rsid w:val="000A0AD9"/>
    <w:rPr>
      <w:rFonts w:ascii="Georgia" w:eastAsia="Times New Roman" w:hAnsi="Georgia" w:cs="Times New Roman"/>
      <w:b/>
      <w:color w:val="0070C0"/>
      <w:sz w:val="18"/>
      <w:szCs w:val="24"/>
      <w:lang w:val="en-GB" w:eastAsia="de-DE"/>
    </w:rPr>
  </w:style>
  <w:style w:type="character" w:customStyle="1" w:styleId="Heading2Char">
    <w:name w:val="Heading 2 Char"/>
    <w:basedOn w:val="DefaultParagraphFont"/>
    <w:link w:val="Heading2"/>
    <w:rsid w:val="000A0AD9"/>
    <w:rPr>
      <w:rFonts w:ascii="Georgia" w:eastAsia="Times New Roman" w:hAnsi="Georgia" w:cs="Times New Roman"/>
      <w:b/>
      <w:color w:val="0070C0"/>
      <w:sz w:val="18"/>
      <w:szCs w:val="20"/>
      <w:lang w:val="en-GB" w:eastAsia="de-DE"/>
    </w:rPr>
  </w:style>
  <w:style w:type="character" w:customStyle="1" w:styleId="Heading3Char">
    <w:name w:val="Heading 3 Char"/>
    <w:basedOn w:val="DefaultParagraphFont"/>
    <w:link w:val="Heading3"/>
    <w:rsid w:val="00723FB6"/>
    <w:rPr>
      <w:rFonts w:ascii="Georgia" w:eastAsia="Times New Roman" w:hAnsi="Georgia" w:cs="Times New Roman"/>
      <w:b/>
      <w:color w:val="0070C0"/>
      <w:sz w:val="18"/>
      <w:szCs w:val="20"/>
      <w:lang w:val="en-GB" w:eastAsia="de-DE"/>
    </w:rPr>
  </w:style>
  <w:style w:type="character" w:customStyle="1" w:styleId="Heading4Char">
    <w:name w:val="Heading 4 Char"/>
    <w:basedOn w:val="DefaultParagraphFont"/>
    <w:link w:val="Heading4"/>
    <w:rsid w:val="00723FB6"/>
    <w:rPr>
      <w:rFonts w:ascii="Georgia" w:eastAsia="Times New Roman" w:hAnsi="Georgia" w:cs="Times New Roman"/>
      <w:b/>
      <w:color w:val="0070C0"/>
      <w:sz w:val="18"/>
      <w:szCs w:val="20"/>
      <w:lang w:val="en-GB" w:eastAsia="de-DE"/>
    </w:rPr>
  </w:style>
  <w:style w:type="paragraph" w:customStyle="1" w:styleId="05dHeadline1line">
    <w:name w:val="05d_Headline 1 line"/>
    <w:basedOn w:val="Normal"/>
    <w:next w:val="Normal"/>
    <w:rsid w:val="00865E0F"/>
    <w:pPr>
      <w:keepNext/>
      <w:numPr>
        <w:numId w:val="2"/>
      </w:numPr>
      <w:pBdr>
        <w:top w:val="single" w:sz="4" w:space="10" w:color="000000"/>
      </w:pBdr>
      <w:tabs>
        <w:tab w:val="left" w:pos="284"/>
        <w:tab w:val="left" w:pos="397"/>
      </w:tabs>
      <w:spacing w:after="280" w:line="280" w:lineRule="exact"/>
    </w:pPr>
    <w:rPr>
      <w:rFonts w:eastAsia="Times New Roman" w:cs="Times New Roman"/>
      <w:b/>
      <w:color w:val="000000"/>
      <w:szCs w:val="24"/>
      <w:lang w:eastAsia="de-DE"/>
    </w:rPr>
  </w:style>
  <w:style w:type="paragraph" w:customStyle="1" w:styleId="Annex">
    <w:name w:val="Annex"/>
    <w:basedOn w:val="Normal"/>
    <w:link w:val="AnnexChar"/>
    <w:qFormat/>
    <w:rsid w:val="004D343D"/>
    <w:pPr>
      <w:spacing w:after="0" w:line="240" w:lineRule="auto"/>
      <w:jc w:val="left"/>
    </w:pPr>
    <w:rPr>
      <w:rFonts w:eastAsia="Times New Roman" w:cs="Times New Roman"/>
      <w:b/>
      <w:sz w:val="20"/>
      <w:lang w:eastAsia="de-DE"/>
    </w:rPr>
  </w:style>
  <w:style w:type="character" w:customStyle="1" w:styleId="AnnexChar">
    <w:name w:val="Annex Char"/>
    <w:link w:val="Annex"/>
    <w:rsid w:val="004D343D"/>
    <w:rPr>
      <w:rFonts w:ascii="Georgia" w:eastAsia="Times New Roman" w:hAnsi="Georgia" w:cs="Times New Roman"/>
      <w:b/>
      <w:sz w:val="20"/>
      <w:szCs w:val="20"/>
      <w:lang w:val="en-GB" w:eastAsia="de-DE"/>
    </w:rPr>
  </w:style>
  <w:style w:type="paragraph" w:customStyle="1" w:styleId="MyStyle">
    <w:name w:val="MyStyle"/>
    <w:basedOn w:val="Normal"/>
    <w:link w:val="MyStyleChar"/>
    <w:qFormat/>
    <w:rsid w:val="004D343D"/>
    <w:pPr>
      <w:pBdr>
        <w:bottom w:val="single" w:sz="4" w:space="1" w:color="17365D"/>
      </w:pBdr>
      <w:spacing w:after="0" w:line="240" w:lineRule="auto"/>
      <w:jc w:val="left"/>
    </w:pPr>
    <w:rPr>
      <w:rFonts w:eastAsia="Times New Roman" w:cs="Times New Roman"/>
      <w:b/>
      <w:sz w:val="22"/>
      <w:szCs w:val="24"/>
      <w:lang w:eastAsia="de-DE"/>
    </w:rPr>
  </w:style>
  <w:style w:type="character" w:customStyle="1" w:styleId="MyStyleChar">
    <w:name w:val="MyStyle Char"/>
    <w:link w:val="MyStyle"/>
    <w:rsid w:val="004D343D"/>
    <w:rPr>
      <w:rFonts w:ascii="Georgia" w:eastAsia="Times New Roman" w:hAnsi="Georgia" w:cs="Times New Roman"/>
      <w:b/>
      <w:szCs w:val="24"/>
      <w:lang w:val="en-GB" w:eastAsia="de-DE"/>
    </w:rPr>
  </w:style>
  <w:style w:type="paragraph" w:styleId="Header">
    <w:name w:val="header"/>
    <w:basedOn w:val="Normal"/>
    <w:link w:val="HeaderChar"/>
    <w:uiPriority w:val="99"/>
    <w:unhideWhenUsed/>
    <w:rsid w:val="004D34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343D"/>
    <w:rPr>
      <w:rFonts w:ascii="Georgia" w:hAnsi="Georgia"/>
      <w:sz w:val="18"/>
      <w:szCs w:val="20"/>
      <w:lang w:val="en-GB"/>
    </w:rPr>
  </w:style>
  <w:style w:type="paragraph" w:styleId="Footer">
    <w:name w:val="footer"/>
    <w:basedOn w:val="Normal"/>
    <w:link w:val="FooterChar"/>
    <w:uiPriority w:val="99"/>
    <w:unhideWhenUsed/>
    <w:rsid w:val="004D34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343D"/>
    <w:rPr>
      <w:rFonts w:ascii="Georgia" w:hAnsi="Georgia"/>
      <w:sz w:val="18"/>
      <w:szCs w:val="20"/>
      <w:lang w:val="en-GB"/>
    </w:rPr>
  </w:style>
  <w:style w:type="paragraph" w:styleId="BalloonText">
    <w:name w:val="Balloon Text"/>
    <w:basedOn w:val="Normal"/>
    <w:link w:val="BalloonTextChar"/>
    <w:uiPriority w:val="99"/>
    <w:semiHidden/>
    <w:unhideWhenUsed/>
    <w:rsid w:val="004E3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315"/>
    <w:rPr>
      <w:rFonts w:ascii="Tahoma" w:hAnsi="Tahoma" w:cs="Tahoma"/>
      <w:sz w:val="16"/>
      <w:szCs w:val="16"/>
      <w:lang w:val="en-GB"/>
    </w:rPr>
  </w:style>
  <w:style w:type="paragraph" w:styleId="ListParagraph">
    <w:name w:val="List Paragraph"/>
    <w:basedOn w:val="Normal"/>
    <w:uiPriority w:val="34"/>
    <w:qFormat/>
    <w:rsid w:val="003606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F70"/>
    <w:pPr>
      <w:jc w:val="both"/>
    </w:pPr>
    <w:rPr>
      <w:rFonts w:ascii="Georgia" w:hAnsi="Georgia"/>
      <w:sz w:val="18"/>
      <w:szCs w:val="20"/>
      <w:lang w:val="en-GB"/>
    </w:rPr>
  </w:style>
  <w:style w:type="paragraph" w:styleId="Heading1">
    <w:name w:val="heading 1"/>
    <w:basedOn w:val="Normal"/>
    <w:next w:val="Normal"/>
    <w:link w:val="Heading1Char"/>
    <w:qFormat/>
    <w:rsid w:val="000A0AD9"/>
    <w:pPr>
      <w:numPr>
        <w:numId w:val="1"/>
      </w:numPr>
      <w:spacing w:after="0" w:line="340" w:lineRule="exact"/>
      <w:outlineLvl w:val="0"/>
    </w:pPr>
    <w:rPr>
      <w:rFonts w:eastAsia="Times New Roman" w:cs="Times New Roman"/>
      <w:b/>
      <w:color w:val="0070C0"/>
      <w:szCs w:val="24"/>
      <w:lang w:eastAsia="de-DE"/>
    </w:rPr>
  </w:style>
  <w:style w:type="paragraph" w:styleId="Heading2">
    <w:name w:val="heading 2"/>
    <w:basedOn w:val="Heading1"/>
    <w:next w:val="Normal"/>
    <w:link w:val="Heading2Char"/>
    <w:qFormat/>
    <w:rsid w:val="000A0AD9"/>
    <w:pPr>
      <w:numPr>
        <w:ilvl w:val="1"/>
      </w:numPr>
      <w:spacing w:before="360" w:after="360"/>
      <w:outlineLvl w:val="1"/>
    </w:pPr>
    <w:rPr>
      <w:szCs w:val="20"/>
    </w:rPr>
  </w:style>
  <w:style w:type="paragraph" w:styleId="Heading3">
    <w:name w:val="heading 3"/>
    <w:basedOn w:val="Heading2"/>
    <w:next w:val="Normal"/>
    <w:link w:val="Heading3Char"/>
    <w:qFormat/>
    <w:rsid w:val="00723FB6"/>
    <w:pPr>
      <w:numPr>
        <w:ilvl w:val="2"/>
      </w:numPr>
      <w:outlineLvl w:val="2"/>
    </w:pPr>
  </w:style>
  <w:style w:type="paragraph" w:styleId="Heading4">
    <w:name w:val="heading 4"/>
    <w:basedOn w:val="Heading3"/>
    <w:next w:val="Normal"/>
    <w:link w:val="Heading4Char"/>
    <w:qFormat/>
    <w:rsid w:val="00723FB6"/>
    <w:pPr>
      <w:numPr>
        <w:ilvl w:val="3"/>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028"/>
    <w:rPr>
      <w:color w:val="0000FF" w:themeColor="hyperlink"/>
      <w:u w:val="single"/>
    </w:rPr>
  </w:style>
  <w:style w:type="paragraph" w:customStyle="1" w:styleId="Bold">
    <w:name w:val="Bold"/>
    <w:basedOn w:val="Question"/>
    <w:link w:val="BoldChar"/>
    <w:qFormat/>
    <w:rsid w:val="00865E0F"/>
  </w:style>
  <w:style w:type="paragraph" w:customStyle="1" w:styleId="Question">
    <w:name w:val="Question"/>
    <w:basedOn w:val="Caption"/>
    <w:link w:val="QuestionChar"/>
    <w:qFormat/>
    <w:rsid w:val="00723FB6"/>
    <w:pPr>
      <w:spacing w:after="240" w:line="276" w:lineRule="auto"/>
      <w:ind w:left="708"/>
    </w:pPr>
    <w:rPr>
      <w:rFonts w:eastAsia="Times New Roman" w:cs="Times New Roman"/>
      <w:color w:val="auto"/>
      <w:lang w:eastAsia="de-DE"/>
    </w:rPr>
  </w:style>
  <w:style w:type="character" w:customStyle="1" w:styleId="BoldChar">
    <w:name w:val="Bold Char"/>
    <w:basedOn w:val="DefaultParagraphFont"/>
    <w:link w:val="Bold"/>
    <w:rsid w:val="00865E0F"/>
    <w:rPr>
      <w:rFonts w:ascii="Georgia" w:eastAsia="Times New Roman" w:hAnsi="Georgia" w:cs="Times New Roman"/>
      <w:b/>
      <w:bCs/>
      <w:sz w:val="18"/>
      <w:szCs w:val="18"/>
      <w:lang w:val="en-GB" w:eastAsia="de-DE"/>
    </w:rPr>
  </w:style>
  <w:style w:type="character" w:customStyle="1" w:styleId="QuestionChar">
    <w:name w:val="Question Char"/>
    <w:link w:val="Question"/>
    <w:rsid w:val="00723FB6"/>
    <w:rPr>
      <w:rFonts w:ascii="Georgia" w:eastAsia="Times New Roman" w:hAnsi="Georgia" w:cs="Times New Roman"/>
      <w:b/>
      <w:bCs/>
      <w:sz w:val="18"/>
      <w:szCs w:val="18"/>
      <w:lang w:val="en-GB" w:eastAsia="de-DE"/>
    </w:rPr>
  </w:style>
  <w:style w:type="paragraph" w:styleId="Caption">
    <w:name w:val="caption"/>
    <w:basedOn w:val="Normal"/>
    <w:next w:val="Normal"/>
    <w:uiPriority w:val="35"/>
    <w:unhideWhenUsed/>
    <w:qFormat/>
    <w:rsid w:val="00B929D6"/>
    <w:pPr>
      <w:spacing w:before="240" w:line="240" w:lineRule="auto"/>
    </w:pPr>
    <w:rPr>
      <w:b/>
      <w:bCs/>
      <w:color w:val="C00000"/>
      <w:szCs w:val="18"/>
    </w:rPr>
  </w:style>
  <w:style w:type="paragraph" w:customStyle="1" w:styleId="Normalsanspara">
    <w:name w:val="Normal sans para"/>
    <w:basedOn w:val="Normal"/>
    <w:link w:val="NormalsansparaChar"/>
    <w:qFormat/>
    <w:rsid w:val="00723FB6"/>
    <w:pPr>
      <w:spacing w:before="120" w:after="240"/>
    </w:pPr>
    <w:rPr>
      <w:rFonts w:eastAsia="Times New Roman" w:cs="Times New Roman"/>
      <w:szCs w:val="24"/>
      <w:u w:val="single"/>
      <w:lang w:eastAsia="de-DE"/>
    </w:rPr>
  </w:style>
  <w:style w:type="character" w:customStyle="1" w:styleId="NormalsansparaChar">
    <w:name w:val="Normal sans para Char"/>
    <w:link w:val="Normalsanspara"/>
    <w:rsid w:val="00723FB6"/>
    <w:rPr>
      <w:rFonts w:ascii="Georgia" w:eastAsia="Times New Roman" w:hAnsi="Georgia" w:cs="Times New Roman"/>
      <w:sz w:val="20"/>
      <w:szCs w:val="24"/>
      <w:u w:val="single"/>
      <w:lang w:val="en-GB" w:eastAsia="de-DE"/>
    </w:rPr>
  </w:style>
  <w:style w:type="character" w:customStyle="1" w:styleId="Heading1Char">
    <w:name w:val="Heading 1 Char"/>
    <w:basedOn w:val="DefaultParagraphFont"/>
    <w:link w:val="Heading1"/>
    <w:rsid w:val="000A0AD9"/>
    <w:rPr>
      <w:rFonts w:ascii="Georgia" w:eastAsia="Times New Roman" w:hAnsi="Georgia" w:cs="Times New Roman"/>
      <w:b/>
      <w:color w:val="0070C0"/>
      <w:sz w:val="18"/>
      <w:szCs w:val="24"/>
      <w:lang w:val="en-GB" w:eastAsia="de-DE"/>
    </w:rPr>
  </w:style>
  <w:style w:type="character" w:customStyle="1" w:styleId="Heading2Char">
    <w:name w:val="Heading 2 Char"/>
    <w:basedOn w:val="DefaultParagraphFont"/>
    <w:link w:val="Heading2"/>
    <w:rsid w:val="000A0AD9"/>
    <w:rPr>
      <w:rFonts w:ascii="Georgia" w:eastAsia="Times New Roman" w:hAnsi="Georgia" w:cs="Times New Roman"/>
      <w:b/>
      <w:color w:val="0070C0"/>
      <w:sz w:val="18"/>
      <w:szCs w:val="20"/>
      <w:lang w:val="en-GB" w:eastAsia="de-DE"/>
    </w:rPr>
  </w:style>
  <w:style w:type="character" w:customStyle="1" w:styleId="Heading3Char">
    <w:name w:val="Heading 3 Char"/>
    <w:basedOn w:val="DefaultParagraphFont"/>
    <w:link w:val="Heading3"/>
    <w:rsid w:val="00723FB6"/>
    <w:rPr>
      <w:rFonts w:ascii="Georgia" w:eastAsia="Times New Roman" w:hAnsi="Georgia" w:cs="Times New Roman"/>
      <w:b/>
      <w:color w:val="0070C0"/>
      <w:sz w:val="18"/>
      <w:szCs w:val="20"/>
      <w:lang w:val="en-GB" w:eastAsia="de-DE"/>
    </w:rPr>
  </w:style>
  <w:style w:type="character" w:customStyle="1" w:styleId="Heading4Char">
    <w:name w:val="Heading 4 Char"/>
    <w:basedOn w:val="DefaultParagraphFont"/>
    <w:link w:val="Heading4"/>
    <w:rsid w:val="00723FB6"/>
    <w:rPr>
      <w:rFonts w:ascii="Georgia" w:eastAsia="Times New Roman" w:hAnsi="Georgia" w:cs="Times New Roman"/>
      <w:b/>
      <w:color w:val="0070C0"/>
      <w:sz w:val="18"/>
      <w:szCs w:val="20"/>
      <w:lang w:val="en-GB" w:eastAsia="de-DE"/>
    </w:rPr>
  </w:style>
  <w:style w:type="paragraph" w:customStyle="1" w:styleId="05dHeadline1line">
    <w:name w:val="05d_Headline 1 line"/>
    <w:basedOn w:val="Normal"/>
    <w:next w:val="Normal"/>
    <w:rsid w:val="00865E0F"/>
    <w:pPr>
      <w:keepNext/>
      <w:numPr>
        <w:numId w:val="2"/>
      </w:numPr>
      <w:pBdr>
        <w:top w:val="single" w:sz="4" w:space="10" w:color="000000"/>
      </w:pBdr>
      <w:tabs>
        <w:tab w:val="left" w:pos="284"/>
        <w:tab w:val="left" w:pos="397"/>
      </w:tabs>
      <w:spacing w:after="280" w:line="280" w:lineRule="exact"/>
    </w:pPr>
    <w:rPr>
      <w:rFonts w:eastAsia="Times New Roman" w:cs="Times New Roman"/>
      <w:b/>
      <w:color w:val="000000"/>
      <w:szCs w:val="24"/>
      <w:lang w:eastAsia="de-DE"/>
    </w:rPr>
  </w:style>
  <w:style w:type="paragraph" w:customStyle="1" w:styleId="Annex">
    <w:name w:val="Annex"/>
    <w:basedOn w:val="Normal"/>
    <w:link w:val="AnnexChar"/>
    <w:qFormat/>
    <w:rsid w:val="004D343D"/>
    <w:pPr>
      <w:spacing w:after="0" w:line="240" w:lineRule="auto"/>
      <w:jc w:val="left"/>
    </w:pPr>
    <w:rPr>
      <w:rFonts w:eastAsia="Times New Roman" w:cs="Times New Roman"/>
      <w:b/>
      <w:sz w:val="20"/>
      <w:lang w:eastAsia="de-DE"/>
    </w:rPr>
  </w:style>
  <w:style w:type="character" w:customStyle="1" w:styleId="AnnexChar">
    <w:name w:val="Annex Char"/>
    <w:link w:val="Annex"/>
    <w:rsid w:val="004D343D"/>
    <w:rPr>
      <w:rFonts w:ascii="Georgia" w:eastAsia="Times New Roman" w:hAnsi="Georgia" w:cs="Times New Roman"/>
      <w:b/>
      <w:sz w:val="20"/>
      <w:szCs w:val="20"/>
      <w:lang w:val="en-GB" w:eastAsia="de-DE"/>
    </w:rPr>
  </w:style>
  <w:style w:type="paragraph" w:customStyle="1" w:styleId="MyStyle">
    <w:name w:val="MyStyle"/>
    <w:basedOn w:val="Normal"/>
    <w:link w:val="MyStyleChar"/>
    <w:qFormat/>
    <w:rsid w:val="004D343D"/>
    <w:pPr>
      <w:pBdr>
        <w:bottom w:val="single" w:sz="4" w:space="1" w:color="17365D"/>
      </w:pBdr>
      <w:spacing w:after="0" w:line="240" w:lineRule="auto"/>
      <w:jc w:val="left"/>
    </w:pPr>
    <w:rPr>
      <w:rFonts w:eastAsia="Times New Roman" w:cs="Times New Roman"/>
      <w:b/>
      <w:sz w:val="22"/>
      <w:szCs w:val="24"/>
      <w:lang w:eastAsia="de-DE"/>
    </w:rPr>
  </w:style>
  <w:style w:type="character" w:customStyle="1" w:styleId="MyStyleChar">
    <w:name w:val="MyStyle Char"/>
    <w:link w:val="MyStyle"/>
    <w:rsid w:val="004D343D"/>
    <w:rPr>
      <w:rFonts w:ascii="Georgia" w:eastAsia="Times New Roman" w:hAnsi="Georgia" w:cs="Times New Roman"/>
      <w:b/>
      <w:szCs w:val="24"/>
      <w:lang w:val="en-GB" w:eastAsia="de-DE"/>
    </w:rPr>
  </w:style>
  <w:style w:type="paragraph" w:styleId="Header">
    <w:name w:val="header"/>
    <w:basedOn w:val="Normal"/>
    <w:link w:val="HeaderChar"/>
    <w:uiPriority w:val="99"/>
    <w:unhideWhenUsed/>
    <w:rsid w:val="004D34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343D"/>
    <w:rPr>
      <w:rFonts w:ascii="Georgia" w:hAnsi="Georgia"/>
      <w:sz w:val="18"/>
      <w:szCs w:val="20"/>
      <w:lang w:val="en-GB"/>
    </w:rPr>
  </w:style>
  <w:style w:type="paragraph" w:styleId="Footer">
    <w:name w:val="footer"/>
    <w:basedOn w:val="Normal"/>
    <w:link w:val="FooterChar"/>
    <w:uiPriority w:val="99"/>
    <w:unhideWhenUsed/>
    <w:rsid w:val="004D34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343D"/>
    <w:rPr>
      <w:rFonts w:ascii="Georgia" w:hAnsi="Georgia"/>
      <w:sz w:val="18"/>
      <w:szCs w:val="20"/>
      <w:lang w:val="en-GB"/>
    </w:rPr>
  </w:style>
  <w:style w:type="paragraph" w:styleId="BalloonText">
    <w:name w:val="Balloon Text"/>
    <w:basedOn w:val="Normal"/>
    <w:link w:val="BalloonTextChar"/>
    <w:uiPriority w:val="99"/>
    <w:semiHidden/>
    <w:unhideWhenUsed/>
    <w:rsid w:val="004E3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315"/>
    <w:rPr>
      <w:rFonts w:ascii="Tahoma" w:hAnsi="Tahoma" w:cs="Tahoma"/>
      <w:sz w:val="16"/>
      <w:szCs w:val="16"/>
      <w:lang w:val="en-GB"/>
    </w:rPr>
  </w:style>
  <w:style w:type="paragraph" w:styleId="ListParagraph">
    <w:name w:val="List Paragraph"/>
    <w:basedOn w:val="Normal"/>
    <w:uiPriority w:val="34"/>
    <w:qFormat/>
    <w:rsid w:val="003606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0E018-3545-499B-A9AE-8988EA268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1530</Words>
  <Characters>8722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Chloe</dc:creator>
  <cp:lastModifiedBy> </cp:lastModifiedBy>
  <cp:revision>2</cp:revision>
  <cp:lastPrinted>2013-09-12T14:13:00Z</cp:lastPrinted>
  <dcterms:created xsi:type="dcterms:W3CDTF">2013-09-12T14:25:00Z</dcterms:created>
  <dcterms:modified xsi:type="dcterms:W3CDTF">2013-09-12T14:25:00Z</dcterms:modified>
</cp:coreProperties>
</file>