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588" w:rsidRPr="003975ED" w:rsidRDefault="000C4588" w:rsidP="000C4588">
      <w:pPr>
        <w:rPr>
          <w:b/>
          <w:bCs/>
        </w:rPr>
      </w:pPr>
    </w:p>
    <w:p w:rsidR="000C4588" w:rsidRPr="003975ED" w:rsidRDefault="000C4588" w:rsidP="000C4588">
      <w:pPr>
        <w:rPr>
          <w:b/>
          <w:bCs/>
        </w:rPr>
      </w:pPr>
    </w:p>
    <w:p w:rsidR="000C4588" w:rsidRPr="003975ED" w:rsidRDefault="000C4588" w:rsidP="000C4588">
      <w:pPr>
        <w:rPr>
          <w:b/>
          <w:bCs/>
        </w:rPr>
      </w:pPr>
    </w:p>
    <w:p w:rsidR="000C4588" w:rsidRPr="003975ED" w:rsidRDefault="000C4588" w:rsidP="000C4588">
      <w:pPr>
        <w:rPr>
          <w:b/>
          <w:bCs/>
        </w:rPr>
      </w:pPr>
    </w:p>
    <w:p w:rsidR="000C4588" w:rsidRPr="003975ED" w:rsidRDefault="000C4588" w:rsidP="000C4588">
      <w:pPr>
        <w:rPr>
          <w:b/>
          <w:bCs/>
        </w:rPr>
      </w:pPr>
    </w:p>
    <w:p w:rsidR="003975ED" w:rsidRPr="003975ED" w:rsidRDefault="003975ED" w:rsidP="000C4588">
      <w:pPr>
        <w:rPr>
          <w:b/>
          <w:bCs/>
        </w:rPr>
      </w:pPr>
    </w:p>
    <w:p w:rsidR="000C55B8" w:rsidRPr="00884633" w:rsidRDefault="00884633" w:rsidP="00884633">
      <w:pPr>
        <w:rPr>
          <w:b/>
          <w:bCs/>
        </w:rPr>
      </w:pPr>
      <w:r w:rsidRPr="00884633">
        <w:rPr>
          <w:b/>
          <w:bCs/>
        </w:rPr>
        <w:t>Response t</w:t>
      </w:r>
      <w:r w:rsidR="000C55B8" w:rsidRPr="00884633">
        <w:rPr>
          <w:b/>
          <w:bCs/>
        </w:rPr>
        <w:t xml:space="preserve">o the </w:t>
      </w:r>
      <w:r w:rsidR="000C4588" w:rsidRPr="00884633">
        <w:rPr>
          <w:b/>
          <w:bCs/>
        </w:rPr>
        <w:t>joint</w:t>
      </w:r>
      <w:r w:rsidR="000C55B8" w:rsidRPr="00884633">
        <w:rPr>
          <w:b/>
          <w:bCs/>
        </w:rPr>
        <w:t xml:space="preserve"> discussion paper on draft regulatory technical standards on risk mitigation techniques for OTC derivatives not cleared by a CCP(JC/DP/2012/1)</w:t>
      </w:r>
      <w:r w:rsidR="000C4588" w:rsidRPr="00884633">
        <w:rPr>
          <w:b/>
          <w:bCs/>
        </w:rPr>
        <w:t>.</w:t>
      </w:r>
    </w:p>
    <w:p w:rsidR="000C55B8" w:rsidRPr="003975ED" w:rsidRDefault="000C55B8" w:rsidP="000C4588"/>
    <w:p w:rsidR="000C55B8" w:rsidRPr="003975ED" w:rsidRDefault="000C55B8" w:rsidP="000C4588">
      <w:r w:rsidRPr="003975ED">
        <w:t>This response comes from Eversheds LLP, an international law firm with offices throughout Europe</w:t>
      </w:r>
      <w:r w:rsidR="00884633">
        <w:t xml:space="preserve"> and internationally</w:t>
      </w:r>
      <w:r w:rsidRPr="003975ED">
        <w:t>.</w:t>
      </w:r>
    </w:p>
    <w:p w:rsidR="000C55B8" w:rsidRPr="003975ED" w:rsidRDefault="000C55B8" w:rsidP="000C4588"/>
    <w:p w:rsidR="000C55B8" w:rsidRPr="003975ED" w:rsidRDefault="000C55B8" w:rsidP="000C4588">
      <w:r w:rsidRPr="003975ED">
        <w:t xml:space="preserve">We advise both financial counterparties and non-financial counterparties in connection with OTC derivatives, but in both cases it is normally when they are acting as </w:t>
      </w:r>
      <w:r w:rsidR="004B69EF" w:rsidRPr="003975ED">
        <w:t>“</w:t>
      </w:r>
      <w:r w:rsidRPr="003975ED">
        <w:t>b</w:t>
      </w:r>
      <w:r w:rsidR="000C4588" w:rsidRPr="003975ED">
        <w:t>u</w:t>
      </w:r>
      <w:r w:rsidRPr="003975ED">
        <w:t>y</w:t>
      </w:r>
      <w:r w:rsidR="004B69EF" w:rsidRPr="003975ED">
        <w:t>”</w:t>
      </w:r>
      <w:r w:rsidRPr="003975ED">
        <w:t xml:space="preserve"> side counterparties rather than </w:t>
      </w:r>
      <w:r w:rsidR="004B69EF" w:rsidRPr="003975ED">
        <w:t>“</w:t>
      </w:r>
      <w:r w:rsidRPr="003975ED">
        <w:t>sell</w:t>
      </w:r>
      <w:r w:rsidR="004B69EF" w:rsidRPr="003975ED">
        <w:t>”</w:t>
      </w:r>
      <w:r w:rsidRPr="003975ED">
        <w:t xml:space="preserve"> side counterparties.</w:t>
      </w:r>
    </w:p>
    <w:p w:rsidR="000C55B8" w:rsidRPr="003975ED" w:rsidRDefault="000C55B8" w:rsidP="000C4588"/>
    <w:p w:rsidR="000C55B8" w:rsidRPr="003975ED" w:rsidRDefault="000C55B8" w:rsidP="000C4588">
      <w:r w:rsidRPr="003975ED">
        <w:t>In t</w:t>
      </w:r>
      <w:r w:rsidR="003B126D" w:rsidRPr="003975ED">
        <w:t>he United Kingdom we act for more</w:t>
      </w:r>
      <w:r w:rsidRPr="003975ED">
        <w:t xml:space="preserve"> </w:t>
      </w:r>
      <w:r w:rsidR="003B126D" w:rsidRPr="003975ED">
        <w:t>UCITS</w:t>
      </w:r>
      <w:r w:rsidRPr="003975ED">
        <w:t xml:space="preserve"> funds than any other law firm.</w:t>
      </w:r>
    </w:p>
    <w:p w:rsidR="000C55B8" w:rsidRPr="003975ED" w:rsidRDefault="000C55B8" w:rsidP="000C4588"/>
    <w:p w:rsidR="000C55B8" w:rsidRPr="003975ED" w:rsidRDefault="000C55B8" w:rsidP="000C4588">
      <w:pPr>
        <w:rPr>
          <w:b/>
          <w:bCs/>
        </w:rPr>
      </w:pPr>
      <w:r w:rsidRPr="003975ED">
        <w:rPr>
          <w:b/>
          <w:bCs/>
        </w:rPr>
        <w:t>General observations</w:t>
      </w:r>
    </w:p>
    <w:p w:rsidR="000C55B8" w:rsidRPr="003975ED" w:rsidRDefault="000C55B8" w:rsidP="000C4588"/>
    <w:p w:rsidR="000C55B8" w:rsidRPr="003975ED" w:rsidRDefault="000C55B8" w:rsidP="000C4588">
      <w:pPr>
        <w:pStyle w:val="Level1"/>
        <w:numPr>
          <w:ilvl w:val="0"/>
          <w:numId w:val="9"/>
        </w:numPr>
      </w:pPr>
      <w:r w:rsidRPr="003975ED">
        <w:t xml:space="preserve">The failure of a </w:t>
      </w:r>
      <w:r w:rsidR="003B126D" w:rsidRPr="003975ED">
        <w:t>UCITS</w:t>
      </w:r>
      <w:r w:rsidRPr="003975ED">
        <w:t xml:space="preserve"> fund should not be regard</w:t>
      </w:r>
      <w:r w:rsidR="000C4588" w:rsidRPr="003975ED">
        <w:t>ed</w:t>
      </w:r>
      <w:r w:rsidRPr="003975ED">
        <w:t xml:space="preserve"> as presenting a threat to the stability of the whole financial system.  This is because:  </w:t>
      </w:r>
    </w:p>
    <w:p w:rsidR="000C55B8" w:rsidRPr="003975ED" w:rsidRDefault="000C55B8" w:rsidP="000C4588">
      <w:pPr>
        <w:pStyle w:val="aDefinition"/>
      </w:pPr>
      <w:r w:rsidRPr="003975ED">
        <w:t xml:space="preserve">no individual fund is likely to be of such a size that its failure would affect the entire system; </w:t>
      </w:r>
    </w:p>
    <w:p w:rsidR="000C55B8" w:rsidRPr="003975ED" w:rsidRDefault="000C55B8" w:rsidP="000C4588">
      <w:pPr>
        <w:pStyle w:val="aDefinition"/>
      </w:pPr>
      <w:r w:rsidRPr="003975ED">
        <w:t>the r</w:t>
      </w:r>
      <w:r w:rsidR="003B126D" w:rsidRPr="003975ED">
        <w:t>u</w:t>
      </w:r>
      <w:r w:rsidRPr="003975ED">
        <w:t>les on spread of risk mean that the exposure of any single counterparty</w:t>
      </w:r>
      <w:r w:rsidR="003B126D" w:rsidRPr="003975ED">
        <w:t xml:space="preserve"> to the failure of a</w:t>
      </w:r>
      <w:r w:rsidRPr="003975ED">
        <w:t xml:space="preserve"> </w:t>
      </w:r>
      <w:r w:rsidR="003B126D" w:rsidRPr="003975ED">
        <w:t>UCITS</w:t>
      </w:r>
      <w:r w:rsidRPr="003975ED">
        <w:t xml:space="preserve"> fund is limited; and </w:t>
      </w:r>
    </w:p>
    <w:p w:rsidR="000C55B8" w:rsidRPr="003975ED" w:rsidRDefault="000C55B8" w:rsidP="000C4588">
      <w:pPr>
        <w:pStyle w:val="aDefinition"/>
      </w:pPr>
      <w:r w:rsidRPr="003975ED">
        <w:t xml:space="preserve">the rules on </w:t>
      </w:r>
      <w:r w:rsidR="000C4588" w:rsidRPr="003975ED">
        <w:t>global</w:t>
      </w:r>
      <w:r w:rsidRPr="003975ED">
        <w:t xml:space="preserve"> cover for derivatives exposure, monitored by the independent depository, mean that the risk of failure of a </w:t>
      </w:r>
      <w:r w:rsidR="003B126D" w:rsidRPr="003975ED">
        <w:t>UCITS</w:t>
      </w:r>
      <w:r w:rsidRPr="003975ED">
        <w:t xml:space="preserve"> fund should be very low indeed.</w:t>
      </w:r>
    </w:p>
    <w:p w:rsidR="000C55B8" w:rsidRPr="003975ED" w:rsidRDefault="000C55B8" w:rsidP="000C4588">
      <w:pPr>
        <w:pStyle w:val="Level1"/>
      </w:pPr>
      <w:r w:rsidRPr="003975ED">
        <w:t>The same considerations apply to non-</w:t>
      </w:r>
      <w:r w:rsidR="003B126D" w:rsidRPr="003975ED">
        <w:t>UCITS</w:t>
      </w:r>
      <w:r w:rsidRPr="003975ED">
        <w:t xml:space="preserve"> funds which are authorised by national regulators where the r</w:t>
      </w:r>
      <w:r w:rsidR="000C4588" w:rsidRPr="003975ED">
        <w:t>u</w:t>
      </w:r>
      <w:r w:rsidRPr="003975ED">
        <w:t>les require a similar spread of risk and global cover.</w:t>
      </w:r>
    </w:p>
    <w:p w:rsidR="000C55B8" w:rsidRPr="003975ED" w:rsidRDefault="000C55B8" w:rsidP="000C4588">
      <w:pPr>
        <w:pStyle w:val="Level1"/>
      </w:pPr>
      <w:r w:rsidRPr="003975ED">
        <w:t xml:space="preserve">The provision of cash collateral is a very inefficient use of resources, </w:t>
      </w:r>
      <w:r w:rsidR="000C4588" w:rsidRPr="003975ED">
        <w:t>both</w:t>
      </w:r>
      <w:r w:rsidRPr="003975ED">
        <w:t xml:space="preserve"> for investment funds and for non-financial counterparties.</w:t>
      </w:r>
    </w:p>
    <w:p w:rsidR="000C4588" w:rsidRPr="003975ED" w:rsidRDefault="000C55B8" w:rsidP="000C4588">
      <w:pPr>
        <w:pStyle w:val="Level1"/>
      </w:pPr>
      <w:r w:rsidRPr="003975ED">
        <w:t xml:space="preserve">Non-financial counterparties may well not have liquid assets available to provide as collateral.  </w:t>
      </w:r>
      <w:r w:rsidR="000C4588" w:rsidRPr="003975ED">
        <w:t>Typically they will give</w:t>
      </w:r>
      <w:r w:rsidRPr="003975ED">
        <w:t xml:space="preserve"> security over all their assets, of whatever nature, to support borrowings from the bank.  To require them to acquire specific suitable assets to use as collateral will mean that their assets are not being used for the purposes of their business, especially as regards initial margin, and this will have an adverse effect upon the European economy.</w:t>
      </w:r>
    </w:p>
    <w:p w:rsidR="000C55B8" w:rsidRPr="003975ED" w:rsidRDefault="000C55B8" w:rsidP="000C4588">
      <w:pPr>
        <w:pStyle w:val="Level1"/>
      </w:pPr>
      <w:r w:rsidRPr="003975ED">
        <w:t xml:space="preserve">The risk procedures which financial counterparties should apply to dealing with non-financial counterparties, and in particular the limits of exposure to any </w:t>
      </w:r>
      <w:r w:rsidRPr="003975ED">
        <w:lastRenderedPageBreak/>
        <w:t>non</w:t>
      </w:r>
      <w:r w:rsidR="000C4588" w:rsidRPr="003975ED">
        <w:noBreakHyphen/>
      </w:r>
      <w:r w:rsidRPr="003975ED">
        <w:t>financial counterparty, should mean that the failure of a non-financial counterparty should not present a risk to the entire financial system.</w:t>
      </w:r>
    </w:p>
    <w:p w:rsidR="000C55B8" w:rsidRPr="003975ED" w:rsidRDefault="000C55B8" w:rsidP="000C4588">
      <w:r w:rsidRPr="003975ED">
        <w:t>These general observations underlie some of our responses to the detailed questions.</w:t>
      </w:r>
    </w:p>
    <w:p w:rsidR="000C55B8" w:rsidRPr="003975ED" w:rsidRDefault="000C55B8" w:rsidP="000C4588">
      <w:pPr>
        <w:rPr>
          <w:b/>
          <w:bCs/>
        </w:rPr>
      </w:pPr>
    </w:p>
    <w:p w:rsidR="000F7BFE" w:rsidRPr="003975ED" w:rsidRDefault="0036620A" w:rsidP="000C4588">
      <w:pPr>
        <w:rPr>
          <w:b/>
          <w:bCs/>
        </w:rPr>
      </w:pPr>
      <w:r w:rsidRPr="003975ED">
        <w:rPr>
          <w:b/>
          <w:bCs/>
        </w:rPr>
        <w:t>ESMA questions</w:t>
      </w:r>
    </w:p>
    <w:p w:rsidR="0036620A" w:rsidRPr="003975ED" w:rsidRDefault="0036620A" w:rsidP="000C4588">
      <w:pPr>
        <w:pStyle w:val="Default"/>
        <w:jc w:val="both"/>
        <w:rPr>
          <w:color w:val="auto"/>
        </w:rPr>
      </w:pPr>
    </w:p>
    <w:p w:rsidR="0036620A" w:rsidRPr="003975ED" w:rsidRDefault="0036620A" w:rsidP="0014141E">
      <w:pPr>
        <w:pStyle w:val="Level1"/>
        <w:numPr>
          <w:ilvl w:val="0"/>
          <w:numId w:val="10"/>
        </w:numPr>
      </w:pPr>
      <w:r w:rsidRPr="003975ED">
        <w:t xml:space="preserve">What would be the effect of the proposals outlined in this discussion paper on the risk management of insurers and institutions for occupational retirement provision (IORPs)? </w:t>
      </w:r>
    </w:p>
    <w:p w:rsidR="0018447F" w:rsidRPr="003975ED" w:rsidRDefault="00884633" w:rsidP="000C4588">
      <w:pPr>
        <w:pStyle w:val="Level1"/>
        <w:numPr>
          <w:ilvl w:val="0"/>
          <w:numId w:val="0"/>
        </w:numPr>
        <w:ind w:left="851"/>
      </w:pPr>
      <w:r>
        <w:t>We have no comment on this question.</w:t>
      </w:r>
    </w:p>
    <w:p w:rsidR="0036620A" w:rsidRPr="003975ED" w:rsidRDefault="0036620A" w:rsidP="000C4588">
      <w:pPr>
        <w:pStyle w:val="Level1"/>
      </w:pPr>
      <w:r w:rsidRPr="003975ED">
        <w:t>What are your views regarding option 1 (general initial margin requirement)?</w:t>
      </w:r>
    </w:p>
    <w:p w:rsidR="0018447F" w:rsidRPr="003975ED" w:rsidRDefault="0018447F" w:rsidP="0014141E">
      <w:pPr>
        <w:pStyle w:val="Level1"/>
        <w:numPr>
          <w:ilvl w:val="0"/>
          <w:numId w:val="0"/>
        </w:numPr>
        <w:ind w:left="851"/>
      </w:pPr>
      <w:r w:rsidRPr="003975ED">
        <w:t xml:space="preserve">We disagree with the suggestion that everyone should post and collect initial margin.  As the paper makes clear, initial margin is intended to cover exposures arising in the interval between the last exchange of margins and the liquidation of the relevant positions.  If margin is exchanged daily, as suggested, we think it inconceivable that </w:t>
      </w:r>
      <w:r w:rsidR="0014141E" w:rsidRPr="003975ED">
        <w:t>any</w:t>
      </w:r>
      <w:r w:rsidRPr="003975ED">
        <w:t xml:space="preserve"> exposure arising from not having such initial margin will present a danger to the entire financial system.  In our view the costs imposed on participants by posting initial margin far outweigh any benefit.</w:t>
      </w:r>
    </w:p>
    <w:p w:rsidR="0018447F" w:rsidRPr="003975ED" w:rsidRDefault="0018447F" w:rsidP="000C4588">
      <w:pPr>
        <w:pStyle w:val="Level1"/>
        <w:numPr>
          <w:ilvl w:val="0"/>
          <w:numId w:val="0"/>
        </w:numPr>
        <w:ind w:left="851"/>
      </w:pPr>
      <w:r w:rsidRPr="003975ED">
        <w:t xml:space="preserve">This view does not, of course, </w:t>
      </w:r>
      <w:r w:rsidR="00AC2CC2" w:rsidRPr="003975ED">
        <w:t>prevent counterparties from negotiating to receive initial margin on a contractual basis.</w:t>
      </w:r>
    </w:p>
    <w:p w:rsidR="0036620A" w:rsidRPr="003975ED" w:rsidRDefault="0036620A" w:rsidP="000C4588">
      <w:pPr>
        <w:pStyle w:val="Level1"/>
      </w:pPr>
      <w:r w:rsidRPr="003975ED">
        <w:t xml:space="preserve">Could PRFCs adequately protect against default without collecting initial margins? </w:t>
      </w:r>
    </w:p>
    <w:p w:rsidR="006A04B6" w:rsidRPr="003975ED" w:rsidRDefault="006A04B6" w:rsidP="0014141E">
      <w:pPr>
        <w:pStyle w:val="Level1"/>
        <w:numPr>
          <w:ilvl w:val="0"/>
          <w:numId w:val="0"/>
        </w:numPr>
        <w:ind w:left="851"/>
      </w:pPr>
      <w:r w:rsidRPr="003975ED">
        <w:t>Paragraph 22 assumes that PRFCs are unable to undertake an adequate credit assessment of their counterparties.  Banks do, however, have enormous experience of l</w:t>
      </w:r>
      <w:r w:rsidR="0014141E" w:rsidRPr="003975ED">
        <w:t>e</w:t>
      </w:r>
      <w:r w:rsidRPr="003975ED">
        <w:t xml:space="preserve">nding to non-financial counterparties and many do so, if their credit assessment justifies it, without receiving any security.  It would be a mistake to introduce proposals which attempt to eliminate all risk, since business depends upon </w:t>
      </w:r>
      <w:r w:rsidR="0014141E" w:rsidRPr="003975ED">
        <w:t>matching</w:t>
      </w:r>
      <w:r w:rsidRPr="003975ED">
        <w:t xml:space="preserve"> risk and reward.  The objective of the proposals should not be to eliminate risk, but simply to reduce it to an amount where it will not affect the whole financial system.  </w:t>
      </w:r>
    </w:p>
    <w:p w:rsidR="0036620A" w:rsidRPr="003975ED" w:rsidRDefault="0036620A" w:rsidP="000C4588">
      <w:pPr>
        <w:pStyle w:val="Level1"/>
      </w:pPr>
      <w:r w:rsidRPr="003975ED">
        <w:t xml:space="preserve">What are the cost implications of a requirement for PRFC, NPRFC and NFCs+ to post and collect appropriate initial margin? If possible, please provide estimates of opportunity costs of collateral and other incremental compliance cost that may arise from the requirement. </w:t>
      </w:r>
    </w:p>
    <w:p w:rsidR="006A04B6" w:rsidRPr="003975ED" w:rsidRDefault="006A04B6" w:rsidP="0014141E">
      <w:pPr>
        <w:pStyle w:val="Level1"/>
        <w:numPr>
          <w:ilvl w:val="0"/>
          <w:numId w:val="0"/>
        </w:numPr>
        <w:ind w:left="851"/>
      </w:pPr>
      <w:r w:rsidRPr="003975ED">
        <w:t xml:space="preserve">As mentioned in our introductory remarks, it is likely to be very inefficient to leave assets sitting in a bank account, especially for commercial trading companies.  Indeed, in the case of trading companies the result of any requirement </w:t>
      </w:r>
      <w:r w:rsidR="00884633">
        <w:t xml:space="preserve">to </w:t>
      </w:r>
      <w:r w:rsidRPr="003975ED">
        <w:t xml:space="preserve">post initial margin may be to increase risk, because companies </w:t>
      </w:r>
      <w:r w:rsidRPr="003975ED">
        <w:lastRenderedPageBreak/>
        <w:t xml:space="preserve">which would otherwise have taken out </w:t>
      </w:r>
      <w:r w:rsidR="0014141E" w:rsidRPr="003975ED">
        <w:t>hedging</w:t>
      </w:r>
      <w:r w:rsidRPr="003975ED">
        <w:t xml:space="preserve"> contracts may decide not to do so.</w:t>
      </w:r>
    </w:p>
    <w:p w:rsidR="0036620A" w:rsidRPr="003975ED" w:rsidRDefault="0036620A" w:rsidP="000C4588">
      <w:pPr>
        <w:pStyle w:val="Level1"/>
      </w:pPr>
      <w:r w:rsidRPr="003975ED">
        <w:t xml:space="preserve">What are your views regarding option 2? </w:t>
      </w:r>
    </w:p>
    <w:p w:rsidR="00825497" w:rsidRPr="003975ED" w:rsidRDefault="00825497" w:rsidP="000C4588">
      <w:pPr>
        <w:pStyle w:val="Level1"/>
        <w:numPr>
          <w:ilvl w:val="0"/>
          <w:numId w:val="0"/>
        </w:numPr>
        <w:ind w:left="851"/>
      </w:pPr>
      <w:r w:rsidRPr="003975ED">
        <w:t>We disagree with option 2.  The underlying approach to OTC derivative contracts, as exemplified by the ISDA Master Agreement, is that both sides should be treated equally.  This is because the agreement may be used</w:t>
      </w:r>
      <w:r w:rsidR="00E73341" w:rsidRPr="003975ED">
        <w:t xml:space="preserve"> where the same party is both a buyer and a seller.  To require one party to post collateral, and not the other, is against this underlying principle.  In addition, as stated in our general observations, our view is that the failure of a NPRFC or an NFC is most unlikely to have an adverse effect on the stability of the financial system.</w:t>
      </w:r>
    </w:p>
    <w:p w:rsidR="0036620A" w:rsidRPr="003975ED" w:rsidRDefault="0036620A" w:rsidP="000C4588">
      <w:pPr>
        <w:pStyle w:val="Level1"/>
      </w:pPr>
      <w:r w:rsidRPr="003975ED">
        <w:t xml:space="preserve">How – in your opinion - would the proposal of limiting the requirement to post initial margin to NPRFCs and NFCs+, impact the market / competition? </w:t>
      </w:r>
    </w:p>
    <w:p w:rsidR="00E73341" w:rsidRPr="003975ED" w:rsidRDefault="00E73341" w:rsidP="000C4588">
      <w:pPr>
        <w:pStyle w:val="Level1"/>
        <w:numPr>
          <w:ilvl w:val="0"/>
          <w:numId w:val="0"/>
        </w:numPr>
        <w:ind w:left="851"/>
      </w:pPr>
      <w:r w:rsidRPr="003975ED">
        <w:t xml:space="preserve">The market is already biased in favour of credit institutions, </w:t>
      </w:r>
      <w:r w:rsidR="0070412D" w:rsidRPr="003975ED">
        <w:t xml:space="preserve">since the number of institutions on the </w:t>
      </w:r>
      <w:r w:rsidR="004B69EF" w:rsidRPr="003975ED">
        <w:t>“</w:t>
      </w:r>
      <w:r w:rsidR="0070412D" w:rsidRPr="003975ED">
        <w:t>sell</w:t>
      </w:r>
      <w:r w:rsidR="004B69EF" w:rsidRPr="003975ED">
        <w:t>”</w:t>
      </w:r>
      <w:r w:rsidR="0070412D" w:rsidRPr="003975ED">
        <w:t xml:space="preserve"> side is much smaller than the number of companies on the </w:t>
      </w:r>
      <w:r w:rsidR="004B69EF" w:rsidRPr="003975ED">
        <w:t>“</w:t>
      </w:r>
      <w:r w:rsidR="0070412D" w:rsidRPr="003975ED">
        <w:t>buy</w:t>
      </w:r>
      <w:r w:rsidR="004B69EF" w:rsidRPr="003975ED">
        <w:t>”</w:t>
      </w:r>
      <w:r w:rsidR="0070412D" w:rsidRPr="003975ED">
        <w:t xml:space="preserve"> side.  To require the </w:t>
      </w:r>
      <w:r w:rsidR="004B69EF" w:rsidRPr="003975ED">
        <w:t>“</w:t>
      </w:r>
      <w:r w:rsidR="0070412D" w:rsidRPr="003975ED">
        <w:t>buy</w:t>
      </w:r>
      <w:r w:rsidR="004B69EF" w:rsidRPr="003975ED">
        <w:t>”</w:t>
      </w:r>
      <w:r w:rsidR="0070412D" w:rsidRPr="003975ED">
        <w:t xml:space="preserve"> side to post collateral, but not the </w:t>
      </w:r>
      <w:r w:rsidR="004B69EF" w:rsidRPr="003975ED">
        <w:t>“</w:t>
      </w:r>
      <w:r w:rsidR="0070412D" w:rsidRPr="003975ED">
        <w:t>sell</w:t>
      </w:r>
      <w:r w:rsidR="004B69EF" w:rsidRPr="003975ED">
        <w:t>”</w:t>
      </w:r>
      <w:r w:rsidR="0070412D" w:rsidRPr="003975ED">
        <w:t xml:space="preserve"> side, would weigh the market place even more heavily in favour of the </w:t>
      </w:r>
      <w:r w:rsidR="00321396" w:rsidRPr="003975ED">
        <w:t>“</w:t>
      </w:r>
      <w:r w:rsidR="0070412D" w:rsidRPr="003975ED">
        <w:t>sell</w:t>
      </w:r>
      <w:r w:rsidR="00321396" w:rsidRPr="003975ED">
        <w:t>”</w:t>
      </w:r>
      <w:r w:rsidR="0070412D" w:rsidRPr="003975ED">
        <w:t xml:space="preserve"> side.</w:t>
      </w:r>
    </w:p>
    <w:p w:rsidR="0036620A" w:rsidRPr="003975ED" w:rsidRDefault="0036620A" w:rsidP="000C4588">
      <w:pPr>
        <w:pStyle w:val="Level1"/>
      </w:pPr>
      <w:r w:rsidRPr="003975ED">
        <w:t xml:space="preserve">What is the current practice in this respect, e.g. </w:t>
      </w:r>
    </w:p>
    <w:p w:rsidR="0036620A" w:rsidRPr="003975ED" w:rsidRDefault="0036620A" w:rsidP="000C4588">
      <w:pPr>
        <w:pStyle w:val="Level2"/>
      </w:pPr>
      <w:r w:rsidRPr="003975ED">
        <w:t xml:space="preserve">If a threshold is currently in place, for which contracts and counterparties is it used? </w:t>
      </w:r>
    </w:p>
    <w:p w:rsidR="0036620A" w:rsidRDefault="0036620A" w:rsidP="000C4588">
      <w:pPr>
        <w:pStyle w:val="Level2"/>
      </w:pPr>
      <w:r w:rsidRPr="003975ED">
        <w:t xml:space="preserve">Which criteria are currently the bases for the calculation of the threshold? </w:t>
      </w:r>
    </w:p>
    <w:p w:rsidR="00884633" w:rsidRPr="003975ED" w:rsidRDefault="00884633" w:rsidP="00884633">
      <w:pPr>
        <w:pStyle w:val="Level1"/>
        <w:numPr>
          <w:ilvl w:val="0"/>
          <w:numId w:val="0"/>
        </w:numPr>
        <w:ind w:left="851"/>
      </w:pPr>
      <w:r w:rsidRPr="003975ED">
        <w:t>In our experience it is unusual to have a threshold as regards initial margin.  This contrasts with a variation margin, where a threshold is quite common, for reasons of administrative convenience.</w:t>
      </w:r>
    </w:p>
    <w:p w:rsidR="0036620A" w:rsidRPr="003975ED" w:rsidRDefault="0036620A" w:rsidP="000C4588">
      <w:pPr>
        <w:pStyle w:val="Level1"/>
      </w:pPr>
      <w:r w:rsidRPr="003975ED">
        <w:t xml:space="preserve">For which types of counterparties should a threshold be applicable? </w:t>
      </w:r>
    </w:p>
    <w:p w:rsidR="0070412D" w:rsidRPr="003975ED" w:rsidRDefault="0070412D" w:rsidP="000C4588">
      <w:pPr>
        <w:pStyle w:val="Level1"/>
        <w:numPr>
          <w:ilvl w:val="0"/>
          <w:numId w:val="0"/>
        </w:numPr>
        <w:ind w:left="851"/>
      </w:pPr>
      <w:r w:rsidRPr="003975ED">
        <w:t>If a threshold is to be applied, it should be applied to all types of counterparties.</w:t>
      </w:r>
    </w:p>
    <w:p w:rsidR="0036620A" w:rsidRPr="003975ED" w:rsidRDefault="0036620A" w:rsidP="000C4588">
      <w:pPr>
        <w:pStyle w:val="Level1"/>
      </w:pPr>
      <w:r w:rsidRPr="003975ED">
        <w:t xml:space="preserve">How should the threshold be calculated? Should it be capped at a fixed amount and/ or should it be linked to certain criteria the counterparty should meet? </w:t>
      </w:r>
    </w:p>
    <w:p w:rsidR="0070412D" w:rsidRPr="003975ED" w:rsidRDefault="0070412D" w:rsidP="00321396">
      <w:pPr>
        <w:pStyle w:val="Level1"/>
        <w:numPr>
          <w:ilvl w:val="0"/>
          <w:numId w:val="0"/>
        </w:numPr>
        <w:ind w:left="851"/>
      </w:pPr>
      <w:r w:rsidRPr="003975ED">
        <w:t>A threshold is commonly used for cross-default events of default, and in such a case it is typically a percentage (normally 2% or 3%) o</w:t>
      </w:r>
      <w:r w:rsidR="00321396" w:rsidRPr="003975ED">
        <w:t>f</w:t>
      </w:r>
      <w:r w:rsidRPr="003975ED">
        <w:t xml:space="preserve"> shareholders’ equity.  For funds where there is no equivalent to shareholders’ equity it may be taken as a set figure of either $10 million or $25 million.</w:t>
      </w:r>
    </w:p>
    <w:p w:rsidR="0036620A" w:rsidRPr="003975ED" w:rsidRDefault="0036620A" w:rsidP="000C4588">
      <w:pPr>
        <w:pStyle w:val="Level1"/>
      </w:pPr>
      <w:r w:rsidRPr="003975ED">
        <w:lastRenderedPageBreak/>
        <w:t xml:space="preserve">How – in your opinion - would a threshold change transactions and business models? </w:t>
      </w:r>
    </w:p>
    <w:p w:rsidR="00EE1CD8" w:rsidRPr="003975ED" w:rsidRDefault="00EE1CD8" w:rsidP="000C4588">
      <w:pPr>
        <w:pStyle w:val="Level1"/>
        <w:numPr>
          <w:ilvl w:val="0"/>
          <w:numId w:val="0"/>
        </w:numPr>
        <w:ind w:left="851"/>
      </w:pPr>
      <w:r w:rsidRPr="003975ED">
        <w:t>Since the state</w:t>
      </w:r>
      <w:r w:rsidR="00321396" w:rsidRPr="003975ED">
        <w:t>d</w:t>
      </w:r>
      <w:r w:rsidRPr="003975ED">
        <w:t xml:space="preserve"> purpose of initial margin is to protect against falls in the value of collateral following the last exchange of margins, the likely result of allowing thresholds for initial margin would be to increase the </w:t>
      </w:r>
      <w:r w:rsidR="004B69EF" w:rsidRPr="003975ED">
        <w:t>“hair</w:t>
      </w:r>
      <w:r w:rsidRPr="003975ED">
        <w:t>cut</w:t>
      </w:r>
      <w:r w:rsidR="004B69EF" w:rsidRPr="003975ED">
        <w:t>”</w:t>
      </w:r>
      <w:r w:rsidRPr="003975ED">
        <w:t xml:space="preserve"> applied to variation margin.</w:t>
      </w:r>
    </w:p>
    <w:p w:rsidR="0036620A" w:rsidRPr="003975ED" w:rsidRDefault="0036620A" w:rsidP="000C4588">
      <w:pPr>
        <w:pStyle w:val="Level1"/>
      </w:pPr>
      <w:r w:rsidRPr="003975ED">
        <w:t xml:space="preserve">Are there any further options that the ESAs should consider? </w:t>
      </w:r>
    </w:p>
    <w:p w:rsidR="00EE1CD8" w:rsidRPr="003975ED" w:rsidRDefault="00EE1CD8" w:rsidP="000C4588">
      <w:pPr>
        <w:pStyle w:val="Level1"/>
        <w:numPr>
          <w:ilvl w:val="0"/>
          <w:numId w:val="0"/>
        </w:numPr>
        <w:ind w:left="851"/>
      </w:pPr>
      <w:r w:rsidRPr="003975ED">
        <w:t>The further option, which we support, is not to require initial margin.</w:t>
      </w:r>
    </w:p>
    <w:p w:rsidR="0036620A" w:rsidRPr="003975ED" w:rsidRDefault="0036620A" w:rsidP="000C4588">
      <w:pPr>
        <w:pStyle w:val="Level1"/>
      </w:pPr>
      <w:r w:rsidRPr="003975ED">
        <w:t xml:space="preserve">Are there any particular areas where regulatory arbitrage is of concern? </w:t>
      </w:r>
    </w:p>
    <w:p w:rsidR="00EE1CD8" w:rsidRPr="003975ED" w:rsidRDefault="00884633" w:rsidP="000C4588">
      <w:pPr>
        <w:pStyle w:val="Level1"/>
        <w:numPr>
          <w:ilvl w:val="0"/>
          <w:numId w:val="0"/>
        </w:numPr>
        <w:ind w:left="851"/>
      </w:pPr>
      <w:r>
        <w:t>We have no comment on this question.</w:t>
      </w:r>
    </w:p>
    <w:p w:rsidR="0036620A" w:rsidRPr="003975ED" w:rsidRDefault="0036620A" w:rsidP="000C4588">
      <w:pPr>
        <w:pStyle w:val="Level1"/>
      </w:pPr>
      <w:r w:rsidRPr="003975ED">
        <w:t xml:space="preserve">What impacts on markets, transactions and business models do you expect from the proposals? </w:t>
      </w:r>
    </w:p>
    <w:p w:rsidR="00EE1CD8" w:rsidRPr="003975ED" w:rsidRDefault="00EE1CD8" w:rsidP="000C4588">
      <w:pPr>
        <w:pStyle w:val="Level1"/>
        <w:numPr>
          <w:ilvl w:val="0"/>
          <w:numId w:val="0"/>
        </w:numPr>
        <w:ind w:left="851"/>
      </w:pPr>
      <w:r w:rsidRPr="003975ED">
        <w:t>We would expect the proposals to result in fewer OTC derivatives which are not cleared, which in turn would result either in lower levels of protection or in less choice available in the market place – for example, in relation to structured funds.</w:t>
      </w:r>
    </w:p>
    <w:p w:rsidR="0036620A" w:rsidRPr="003975ED" w:rsidRDefault="0036620A" w:rsidP="000C4588">
      <w:pPr>
        <w:pStyle w:val="Level1"/>
      </w:pPr>
      <w:r w:rsidRPr="003975ED">
        <w:t xml:space="preserve">As the valuation of the outstanding contracts is required on a daily basis, should there also be the requirement of a daily exchange of collateral? If not, in which situations should a daily exchange of collateral not be required? </w:t>
      </w:r>
    </w:p>
    <w:p w:rsidR="00EE1CD8" w:rsidRPr="003975ED" w:rsidRDefault="00EE1CD8" w:rsidP="000C4588">
      <w:pPr>
        <w:pStyle w:val="Level1"/>
        <w:numPr>
          <w:ilvl w:val="0"/>
          <w:numId w:val="0"/>
        </w:numPr>
        <w:ind w:left="851"/>
      </w:pPr>
      <w:r w:rsidRPr="003975ED">
        <w:t xml:space="preserve">In principle there should be a daily exchange of collateral, in order to reduce whatever the exposure may be on a daily basis.  This is, however, subject to the principle that for relatively small sums of money the administrative costs of doing this will outweigh the benefits.  We therefore believe that </w:t>
      </w:r>
      <w:r w:rsidR="00884633">
        <w:t>the parties</w:t>
      </w:r>
      <w:r w:rsidR="002B640D" w:rsidRPr="003975ED">
        <w:t xml:space="preserve"> should be free, within certain limits, to set thresholds below which a daily exchange will not be required.</w:t>
      </w:r>
    </w:p>
    <w:p w:rsidR="0036620A" w:rsidRPr="003975ED" w:rsidRDefault="0036620A" w:rsidP="000C4588">
      <w:pPr>
        <w:pStyle w:val="Level1"/>
      </w:pPr>
      <w:r w:rsidRPr="003975ED">
        <w:t xml:space="preserve">What would be the cost implications of a daily exchange of collateral? </w:t>
      </w:r>
    </w:p>
    <w:p w:rsidR="00BC4FC6" w:rsidRPr="003975ED" w:rsidRDefault="0023394B" w:rsidP="000C4588">
      <w:pPr>
        <w:pStyle w:val="Level1"/>
        <w:numPr>
          <w:ilvl w:val="0"/>
          <w:numId w:val="0"/>
        </w:numPr>
        <w:ind w:left="851"/>
      </w:pPr>
      <w:r w:rsidRPr="003975ED">
        <w:t>Many NPRFCs and NFCs will not have the systems in place to exchange collateral on a daily basis.  They will thus need to employ collateral management agents, at no doubt great expense.</w:t>
      </w:r>
    </w:p>
    <w:p w:rsidR="0036620A" w:rsidRPr="003975ED" w:rsidRDefault="0036620A" w:rsidP="000C4588">
      <w:pPr>
        <w:pStyle w:val="Level1"/>
      </w:pPr>
      <w:r w:rsidRPr="003975ED">
        <w:t xml:space="preserve">Do you think that the “Mark-to-market method” and/or the “Standardised Method” as set out in the CRR are reasonable standardised approaches for the calculation of initial margin requirements? </w:t>
      </w:r>
    </w:p>
    <w:p w:rsidR="0023394B" w:rsidRPr="003975ED" w:rsidRDefault="0023394B" w:rsidP="000C4588">
      <w:pPr>
        <w:pStyle w:val="Level1"/>
        <w:numPr>
          <w:ilvl w:val="0"/>
          <w:numId w:val="0"/>
        </w:numPr>
        <w:ind w:left="851"/>
      </w:pPr>
      <w:r w:rsidRPr="003975ED">
        <w:t>It is particularly difficult if, as is common with OTC contracts, more than one type of collateral is permitted.</w:t>
      </w:r>
    </w:p>
    <w:p w:rsidR="0023394B" w:rsidRPr="003975ED" w:rsidRDefault="0023394B" w:rsidP="000C4588">
      <w:pPr>
        <w:pStyle w:val="Level1"/>
        <w:numPr>
          <w:ilvl w:val="0"/>
          <w:numId w:val="0"/>
        </w:numPr>
        <w:ind w:left="851"/>
      </w:pPr>
      <w:r w:rsidRPr="003975ED">
        <w:lastRenderedPageBreak/>
        <w:t>We particularly disagree with the use of internal models for this purpose, since banks typically refuse to reveal the workings of their models, and there is thus a complete lack of transparency.</w:t>
      </w:r>
    </w:p>
    <w:p w:rsidR="0036620A" w:rsidRPr="003975ED" w:rsidRDefault="0036620A" w:rsidP="000C4588">
      <w:pPr>
        <w:pStyle w:val="Level1"/>
      </w:pPr>
      <w:r w:rsidRPr="003975ED">
        <w:t xml:space="preserve">Are there in your view additional alternatives to specify the manner in which an OTC derivatives counterparty may calculate initial margin requirements? </w:t>
      </w:r>
    </w:p>
    <w:p w:rsidR="00884633" w:rsidRPr="003975ED" w:rsidRDefault="00884633" w:rsidP="00884633">
      <w:pPr>
        <w:pStyle w:val="Level1"/>
        <w:numPr>
          <w:ilvl w:val="0"/>
          <w:numId w:val="0"/>
        </w:numPr>
        <w:ind w:left="851"/>
      </w:pPr>
      <w:r>
        <w:t>We have no comment on this question.</w:t>
      </w:r>
    </w:p>
    <w:p w:rsidR="0036620A" w:rsidRPr="003975ED" w:rsidRDefault="0036620A" w:rsidP="000C4588">
      <w:pPr>
        <w:pStyle w:val="Level1"/>
      </w:pPr>
      <w:r w:rsidRPr="003975ED">
        <w:t xml:space="preserve">What are the current practices with respect to the periodic or event-triggered recalculation of the initial margin? </w:t>
      </w:r>
    </w:p>
    <w:p w:rsidR="0023394B" w:rsidRPr="003975ED" w:rsidRDefault="0023394B" w:rsidP="000C4588">
      <w:pPr>
        <w:pStyle w:val="Level1"/>
        <w:numPr>
          <w:ilvl w:val="0"/>
          <w:numId w:val="0"/>
        </w:numPr>
        <w:ind w:left="851"/>
      </w:pPr>
      <w:r w:rsidRPr="003975ED">
        <w:t>Our experience is that initial margin is very rarely recalculated.</w:t>
      </w:r>
    </w:p>
    <w:p w:rsidR="0036620A" w:rsidRPr="003975ED" w:rsidRDefault="0036620A" w:rsidP="000C4588">
      <w:pPr>
        <w:pStyle w:val="Level1"/>
      </w:pPr>
      <w:r w:rsidRPr="003975ED">
        <w:t xml:space="preserve">Should the scope of entities that may be allowed to use an internal model be limited to PRFCs? </w:t>
      </w:r>
    </w:p>
    <w:p w:rsidR="0023394B" w:rsidRPr="003975ED" w:rsidRDefault="0023394B" w:rsidP="000C4588">
      <w:pPr>
        <w:pStyle w:val="Level1"/>
        <w:numPr>
          <w:ilvl w:val="0"/>
          <w:numId w:val="0"/>
        </w:numPr>
        <w:ind w:left="851"/>
      </w:pPr>
      <w:r w:rsidRPr="003975ED">
        <w:t>We disagree with the use of internal models for the reasons explained in reply to question 16.</w:t>
      </w:r>
    </w:p>
    <w:p w:rsidR="0036620A" w:rsidRPr="003975ED" w:rsidRDefault="0036620A" w:rsidP="000C4588">
      <w:pPr>
        <w:pStyle w:val="Level1"/>
      </w:pPr>
      <w:r w:rsidRPr="003975ED">
        <w:t xml:space="preserve">Do you think that the “Internal Model Method” as set out in the CRR is a reasonable internal approach for the calculation of initial margin requirements? </w:t>
      </w:r>
    </w:p>
    <w:p w:rsidR="0023394B" w:rsidRPr="003975ED" w:rsidRDefault="0023394B" w:rsidP="000C4588">
      <w:pPr>
        <w:pStyle w:val="Level1"/>
        <w:numPr>
          <w:ilvl w:val="0"/>
          <w:numId w:val="0"/>
        </w:numPr>
        <w:ind w:left="851"/>
      </w:pPr>
      <w:r w:rsidRPr="003975ED">
        <w:t>No, as explained in reply to question 16.</w:t>
      </w:r>
    </w:p>
    <w:p w:rsidR="0036620A" w:rsidRPr="003975ED" w:rsidRDefault="0036620A" w:rsidP="000C4588">
      <w:pPr>
        <w:pStyle w:val="Level1"/>
      </w:pPr>
      <w:r w:rsidRPr="003975ED">
        <w:t xml:space="preserve">Do you think that internal models as foreseen under Solvency II could be applied, after adequate adjustment to be defined to the internal model framework, to calculate initial margin? What are the practical difficulties? What are the adjustments of the Solvency II internal models that you see as necessary? </w:t>
      </w:r>
    </w:p>
    <w:p w:rsidR="00884633" w:rsidRPr="003975ED" w:rsidRDefault="00884633" w:rsidP="00884633">
      <w:pPr>
        <w:pStyle w:val="Level1"/>
        <w:numPr>
          <w:ilvl w:val="0"/>
          <w:numId w:val="0"/>
        </w:numPr>
        <w:ind w:left="851"/>
      </w:pPr>
      <w:r>
        <w:t>We have no comment on this question.</w:t>
      </w:r>
    </w:p>
    <w:p w:rsidR="0036620A" w:rsidRPr="003975ED" w:rsidRDefault="0036620A" w:rsidP="000C4588">
      <w:pPr>
        <w:pStyle w:val="Level1"/>
      </w:pPr>
      <w:r w:rsidRPr="003975ED">
        <w:t xml:space="preserve">What are the incremental compliance costs (one-off/on-going) of setting up appropriate internal models? </w:t>
      </w:r>
    </w:p>
    <w:p w:rsidR="00EE2A11" w:rsidRPr="003975ED" w:rsidRDefault="00EE2A11" w:rsidP="000C4588">
      <w:pPr>
        <w:pStyle w:val="Level1"/>
        <w:numPr>
          <w:ilvl w:val="0"/>
          <w:numId w:val="0"/>
        </w:numPr>
        <w:ind w:left="851"/>
      </w:pPr>
      <w:r w:rsidRPr="003975ED">
        <w:t>In practical terms it will not be feasible for NPRFCs and NFCs to set up internal models.  Such organisations will therefore either have to employ external modellers, who will charge fees, or else rely on the counterparty.</w:t>
      </w:r>
    </w:p>
    <w:p w:rsidR="0036620A" w:rsidRPr="003975ED" w:rsidRDefault="00884633" w:rsidP="000C4588">
      <w:pPr>
        <w:pStyle w:val="Level1"/>
      </w:pPr>
      <w:r>
        <w:t>To what extent would the “</w:t>
      </w:r>
      <w:r w:rsidR="0036620A" w:rsidRPr="003975ED">
        <w:t>mark-to-market method</w:t>
      </w:r>
      <w:r w:rsidRPr="00884633">
        <w:rPr>
          <w:rFonts w:eastAsia="MS Mincho" w:hAnsi="MS Mincho" w:cs="MS Mincho"/>
        </w:rPr>
        <w:t>”</w:t>
      </w:r>
      <w:r>
        <w:t xml:space="preserve"> or the “</w:t>
      </w:r>
      <w:r w:rsidR="0036620A" w:rsidRPr="003975ED">
        <w:t>standardised method</w:t>
      </w:r>
      <w:r w:rsidRPr="00884633">
        <w:rPr>
          <w:rFonts w:eastAsia="MS Mincho" w:hAnsi="MS Mincho" w:cs="MS Mincho"/>
        </w:rPr>
        <w:t>”</w:t>
      </w:r>
      <w:r w:rsidR="0036620A" w:rsidRPr="003975ED">
        <w:t xml:space="preserve"> change market practices? </w:t>
      </w:r>
    </w:p>
    <w:p w:rsidR="00790B39" w:rsidRPr="003975ED" w:rsidRDefault="00790B39" w:rsidP="00884633">
      <w:pPr>
        <w:pStyle w:val="Level1"/>
        <w:numPr>
          <w:ilvl w:val="0"/>
          <w:numId w:val="0"/>
        </w:numPr>
        <w:ind w:left="851"/>
      </w:pPr>
      <w:r w:rsidRPr="003975ED">
        <w:t xml:space="preserve">Increased transparency on the calculation of initial margin would improve the </w:t>
      </w:r>
      <w:r w:rsidR="00884633">
        <w:t xml:space="preserve">position </w:t>
      </w:r>
      <w:r w:rsidRPr="003975ED">
        <w:t xml:space="preserve">of NPRFCs and NFCs.  At present such organisations find that they simply have to accept any figure given to them by the </w:t>
      </w:r>
      <w:r w:rsidR="004B69EF" w:rsidRPr="003975ED">
        <w:t>“</w:t>
      </w:r>
      <w:r w:rsidRPr="003975ED">
        <w:t>sell</w:t>
      </w:r>
      <w:r w:rsidR="004B69EF" w:rsidRPr="003975ED">
        <w:t>”</w:t>
      </w:r>
      <w:r w:rsidRPr="003975ED">
        <w:t xml:space="preserve"> side.</w:t>
      </w:r>
    </w:p>
    <w:p w:rsidR="003758FE" w:rsidRPr="003975ED" w:rsidRDefault="003758FE" w:rsidP="000C4588">
      <w:pPr>
        <w:pStyle w:val="Level1"/>
      </w:pPr>
      <w:r w:rsidRPr="003975ED">
        <w:lastRenderedPageBreak/>
        <w:t xml:space="preserve">Do you see practical problems if there are discrepancies in the calculation of the IM amounts? If so, please explain. </w:t>
      </w:r>
    </w:p>
    <w:p w:rsidR="00790B39" w:rsidRPr="003975ED" w:rsidRDefault="00790B39" w:rsidP="000C4588">
      <w:pPr>
        <w:pStyle w:val="Level1"/>
        <w:numPr>
          <w:ilvl w:val="0"/>
          <w:numId w:val="0"/>
        </w:numPr>
        <w:ind w:left="851"/>
      </w:pPr>
      <w:r w:rsidRPr="003975ED">
        <w:t>This depends on the status of the rules relating to initial margin.  If a counterparty is required to obtain initial margin calculated in a particular way, and it is regarded as being in breach of the rules if it does not do so, then if there is a dispute as to the calculation of the margin the counterparty may find that it is unable to proceed with the transaction.</w:t>
      </w:r>
    </w:p>
    <w:p w:rsidR="003758FE" w:rsidRPr="003975ED" w:rsidRDefault="003758FE" w:rsidP="000C4588">
      <w:pPr>
        <w:pStyle w:val="Level1"/>
      </w:pPr>
      <w:r w:rsidRPr="003975ED">
        <w:t xml:space="preserve">Would it be a feasible option allowing the party authorised to use an internal model to calculate the IM for both counterparties? </w:t>
      </w:r>
    </w:p>
    <w:p w:rsidR="00790B39" w:rsidRPr="003975ED" w:rsidRDefault="00A368C2" w:rsidP="000C4588">
      <w:pPr>
        <w:pStyle w:val="Level1"/>
        <w:numPr>
          <w:ilvl w:val="0"/>
          <w:numId w:val="0"/>
        </w:numPr>
        <w:ind w:left="851"/>
      </w:pPr>
      <w:r w:rsidRPr="003975ED">
        <w:t>This would be feasible, and is what currently happens.  It is not, however, desirable.</w:t>
      </w:r>
    </w:p>
    <w:p w:rsidR="003758FE" w:rsidRPr="003975ED" w:rsidRDefault="003758FE" w:rsidP="000C4588">
      <w:pPr>
        <w:pStyle w:val="Level1"/>
      </w:pPr>
      <w:r w:rsidRPr="003975ED">
        <w:t xml:space="preserve">Do you see other options for treating such differences? </w:t>
      </w:r>
    </w:p>
    <w:p w:rsidR="00A368C2" w:rsidRPr="003975ED" w:rsidRDefault="00A368C2" w:rsidP="000C4588">
      <w:pPr>
        <w:pStyle w:val="Level1"/>
        <w:numPr>
          <w:ilvl w:val="0"/>
          <w:numId w:val="0"/>
        </w:numPr>
        <w:ind w:left="851"/>
      </w:pPr>
      <w:r w:rsidRPr="003975ED">
        <w:t>No.</w:t>
      </w:r>
    </w:p>
    <w:p w:rsidR="003758FE" w:rsidRPr="003975ED" w:rsidRDefault="003758FE" w:rsidP="000C4588">
      <w:pPr>
        <w:pStyle w:val="Level1"/>
      </w:pPr>
      <w:r w:rsidRPr="003975ED">
        <w:t xml:space="preserve">What kinds of segregation (e.g., in a segregated account, at an independent third party custodian, etc.) should be possible? What are, in your perspective, the advantages and disadvantages of such segregation? </w:t>
      </w:r>
    </w:p>
    <w:p w:rsidR="00A368C2" w:rsidRPr="003975ED" w:rsidRDefault="00A368C2" w:rsidP="00973CA2">
      <w:pPr>
        <w:pStyle w:val="Level1"/>
        <w:numPr>
          <w:ilvl w:val="0"/>
          <w:numId w:val="0"/>
        </w:numPr>
        <w:ind w:left="851"/>
      </w:pPr>
      <w:r w:rsidRPr="003975ED">
        <w:t xml:space="preserve">We see no logic at all in saying that collateral must be segregated if there is an exchange of collateral, </w:t>
      </w:r>
      <w:r w:rsidR="00973CA2" w:rsidRPr="003975ED">
        <w:t>but</w:t>
      </w:r>
      <w:r w:rsidRPr="003975ED">
        <w:t xml:space="preserve"> that it is voluntary where only one party posts collateral.</w:t>
      </w:r>
    </w:p>
    <w:p w:rsidR="00A368C2" w:rsidRPr="003975ED" w:rsidRDefault="00A368C2" w:rsidP="000C4588">
      <w:pPr>
        <w:pStyle w:val="Level1"/>
        <w:numPr>
          <w:ilvl w:val="0"/>
          <w:numId w:val="0"/>
        </w:numPr>
        <w:ind w:left="851"/>
      </w:pPr>
      <w:r w:rsidRPr="003975ED">
        <w:t>We are also of the view that mere segregation is not, by itself, adequate.  The collateral needs to be held in a way that it is insolvency-remote, so that if the counterparty receiving the collateral becomes insolvent, the party posting the collateral can retrieve it easily, rather than having to claim for an unsecured debt in the liquidation.</w:t>
      </w:r>
    </w:p>
    <w:p w:rsidR="00A368C2" w:rsidRPr="003975ED" w:rsidRDefault="00A368C2" w:rsidP="00973CA2">
      <w:pPr>
        <w:pStyle w:val="Level1"/>
        <w:numPr>
          <w:ilvl w:val="0"/>
          <w:numId w:val="0"/>
        </w:numPr>
        <w:ind w:left="851"/>
      </w:pPr>
      <w:r w:rsidRPr="003975ED">
        <w:t xml:space="preserve">The disadvantage of segregation is that the assets posted as collateral cannot be used by the receiver of the collateral, and therefore cannot </w:t>
      </w:r>
      <w:r w:rsidR="00973CA2" w:rsidRPr="003975ED">
        <w:t>earn</w:t>
      </w:r>
      <w:r w:rsidRPr="003975ED">
        <w:t xml:space="preserve"> a return for the receiver of collateral.  The consequence of this may be that transaction costs rise</w:t>
      </w:r>
      <w:r w:rsidR="00884633">
        <w:t xml:space="preserve"> and the returns of investment funds and other savings vehicles may fall</w:t>
      </w:r>
      <w:r w:rsidRPr="003975ED">
        <w:t>.</w:t>
      </w:r>
    </w:p>
    <w:p w:rsidR="003758FE" w:rsidRPr="003975ED" w:rsidRDefault="003758FE" w:rsidP="000C4588">
      <w:pPr>
        <w:pStyle w:val="Level1"/>
      </w:pPr>
      <w:r w:rsidRPr="003975ED">
        <w:t xml:space="preserve">If segregation was required what could, in your view, be a possible/adequate treatment of cash collateral? </w:t>
      </w:r>
    </w:p>
    <w:p w:rsidR="00A368C2" w:rsidRPr="003975ED" w:rsidRDefault="00A368C2" w:rsidP="000C4588">
      <w:pPr>
        <w:pStyle w:val="Level1"/>
        <w:numPr>
          <w:ilvl w:val="0"/>
          <w:numId w:val="0"/>
        </w:numPr>
        <w:ind w:left="851"/>
      </w:pPr>
      <w:r w:rsidRPr="003975ED">
        <w:t>The question here is whether credit institutions which receive cash collateral should be allowed to receive it as banker, rather than having to deposit the cash with a third party bank in order to segregate it.  If the purpose of segregating collateral is to ensure that it is available for return in the event of the receiver’s insolvency, then this approach should apply as much to cash as to other assets.</w:t>
      </w:r>
    </w:p>
    <w:p w:rsidR="003758FE" w:rsidRPr="003975ED" w:rsidRDefault="003758FE" w:rsidP="000C4588">
      <w:pPr>
        <w:pStyle w:val="Level1"/>
      </w:pPr>
      <w:r w:rsidRPr="003975ED">
        <w:lastRenderedPageBreak/>
        <w:t xml:space="preserve">What are the practical problems with Tri-Party transactions? </w:t>
      </w:r>
    </w:p>
    <w:p w:rsidR="00A368C2" w:rsidRPr="003975ED" w:rsidRDefault="009D756C" w:rsidP="000C4588">
      <w:pPr>
        <w:pStyle w:val="Level1"/>
        <w:numPr>
          <w:ilvl w:val="0"/>
          <w:numId w:val="0"/>
        </w:numPr>
        <w:ind w:left="851"/>
      </w:pPr>
      <w:r w:rsidRPr="003975ED">
        <w:t>The practical problems with Tri-Party transactions are that the administrative systems required may not be adequate for the task.</w:t>
      </w:r>
    </w:p>
    <w:p w:rsidR="003758FE" w:rsidRPr="003975ED" w:rsidRDefault="003758FE" w:rsidP="000C4588">
      <w:pPr>
        <w:pStyle w:val="Level1"/>
      </w:pPr>
      <w:r w:rsidRPr="003975ED">
        <w:t xml:space="preserve">What are current practices regarding the re-use of received collateral? </w:t>
      </w:r>
    </w:p>
    <w:p w:rsidR="009D756C" w:rsidRPr="003975ED" w:rsidRDefault="00F14FE4" w:rsidP="00973CA2">
      <w:pPr>
        <w:pStyle w:val="Level1"/>
        <w:numPr>
          <w:ilvl w:val="0"/>
          <w:numId w:val="0"/>
        </w:numPr>
        <w:ind w:left="851"/>
      </w:pPr>
      <w:r w:rsidRPr="003975ED">
        <w:t xml:space="preserve">It </w:t>
      </w:r>
      <w:r w:rsidR="00973CA2" w:rsidRPr="003975ED">
        <w:t>has</w:t>
      </w:r>
      <w:r w:rsidRPr="003975ED">
        <w:t xml:space="preserve"> long been recognised that allowing the re-use of collateral gives the counterparty posting the collateral an unsecured credit exposure on the receiver of collateral.  One reason why it was nevertheless allowed was</w:t>
      </w:r>
      <w:r w:rsidR="003941CB" w:rsidRPr="003975ED">
        <w:t xml:space="preserve"> that the receivers of such collateral said that the transactions would be cheaper if they were allowed to use the collateral.  Another reason was the administrative difficulties involved in taking security over collateral (which would effectively prohibit the re-use of the collateral).  Since </w:t>
      </w:r>
      <w:r w:rsidR="00973CA2" w:rsidRPr="003975ED">
        <w:t>L</w:t>
      </w:r>
      <w:r w:rsidR="003941CB" w:rsidRPr="003975ED">
        <w:t xml:space="preserve">ehmans, the practice is increasingly to forbid the re-use of collateral.  There are still, however, uncertainties as to the effect of the Financial Collateral Directive, and whether the taking of collateral requires registration </w:t>
      </w:r>
      <w:r w:rsidR="006D3931" w:rsidRPr="003975ED">
        <w:t>at</w:t>
      </w:r>
      <w:r w:rsidR="003941CB" w:rsidRPr="003975ED">
        <w:t xml:space="preserve"> various national registries in order to be effective.</w:t>
      </w:r>
      <w:r w:rsidR="006D3931" w:rsidRPr="003975ED">
        <w:t xml:space="preserve">  If collateral is to be delivered by way of security rather than </w:t>
      </w:r>
      <w:r w:rsidR="00973CA2" w:rsidRPr="003975ED">
        <w:t>by outright</w:t>
      </w:r>
      <w:r w:rsidR="006D3931" w:rsidRPr="003975ED">
        <w:t xml:space="preserve"> transfer, then these uncertainties need to be removed.</w:t>
      </w:r>
    </w:p>
    <w:p w:rsidR="003758FE" w:rsidRPr="003975ED" w:rsidRDefault="003758FE" w:rsidP="000C4588">
      <w:pPr>
        <w:pStyle w:val="Level1"/>
      </w:pPr>
      <w:r w:rsidRPr="003975ED">
        <w:t xml:space="preserve">What will be the impact if re-use of collateral was no longer possible? </w:t>
      </w:r>
    </w:p>
    <w:p w:rsidR="006D3931" w:rsidRPr="003975ED" w:rsidRDefault="006D3931" w:rsidP="000C4588">
      <w:pPr>
        <w:pStyle w:val="Level1"/>
        <w:numPr>
          <w:ilvl w:val="0"/>
          <w:numId w:val="0"/>
        </w:numPr>
        <w:ind w:left="851"/>
      </w:pPr>
      <w:r w:rsidRPr="003975ED">
        <w:t>Indications are that transactions will become more expensive.  We have no way of judging whether these indications are correct.</w:t>
      </w:r>
    </w:p>
    <w:p w:rsidR="003758FE" w:rsidRPr="003975ED" w:rsidRDefault="003758FE" w:rsidP="000C4588">
      <w:pPr>
        <w:pStyle w:val="Level1"/>
      </w:pPr>
      <w:r w:rsidRPr="003975ED">
        <w:t xml:space="preserve">What are, in your view, the advantages and disadvantages of the two options? </w:t>
      </w:r>
    </w:p>
    <w:p w:rsidR="006D3931" w:rsidRPr="003975ED" w:rsidRDefault="006D3931" w:rsidP="000C4588">
      <w:pPr>
        <w:pStyle w:val="Level1"/>
        <w:numPr>
          <w:ilvl w:val="0"/>
          <w:numId w:val="0"/>
        </w:numPr>
        <w:ind w:left="851"/>
      </w:pPr>
      <w:r w:rsidRPr="003975ED">
        <w:t xml:space="preserve">We disagree with both options.  We think that a preferable option will be that used in relation to </w:t>
      </w:r>
      <w:r w:rsidR="003B126D" w:rsidRPr="003975ED">
        <w:t>UCITS</w:t>
      </w:r>
      <w:r w:rsidRPr="003975ED">
        <w:t xml:space="preserve"> funds:  collateral received must be sufficiently liquid so that it can be sold quickly at a price that is close to its presale valuation.</w:t>
      </w:r>
    </w:p>
    <w:p w:rsidR="003758FE" w:rsidRPr="003975ED" w:rsidRDefault="003758FE" w:rsidP="000C4588">
      <w:pPr>
        <w:pStyle w:val="Level1"/>
      </w:pPr>
      <w:r w:rsidRPr="003975ED">
        <w:t xml:space="preserve">Should there be a broader range of eligible collateral, including also other assets (including non-financial assets)? If so, which kind of assets should be included? Should a broader range of collateral be restricted to certain types of counterparties? </w:t>
      </w:r>
    </w:p>
    <w:p w:rsidR="006D3931" w:rsidRPr="003975ED" w:rsidRDefault="006D3931" w:rsidP="000C4588">
      <w:pPr>
        <w:pStyle w:val="Level1"/>
        <w:numPr>
          <w:ilvl w:val="0"/>
          <w:numId w:val="0"/>
        </w:numPr>
        <w:ind w:left="851"/>
      </w:pPr>
      <w:r w:rsidRPr="003975ED">
        <w:t>See the answer to question 32.</w:t>
      </w:r>
    </w:p>
    <w:p w:rsidR="003758FE" w:rsidRPr="003975ED" w:rsidRDefault="003758FE" w:rsidP="000C4588">
      <w:pPr>
        <w:pStyle w:val="Level1"/>
      </w:pPr>
      <w:r w:rsidRPr="003975ED">
        <w:t xml:space="preserve">What consequences would changing the range of eligible collateral have for market practices? </w:t>
      </w:r>
    </w:p>
    <w:p w:rsidR="006D3931" w:rsidRPr="003975ED" w:rsidRDefault="006D3931" w:rsidP="000C4588">
      <w:pPr>
        <w:pStyle w:val="Level1"/>
        <w:numPr>
          <w:ilvl w:val="0"/>
          <w:numId w:val="0"/>
        </w:numPr>
        <w:ind w:left="851"/>
      </w:pPr>
      <w:r w:rsidRPr="003975ED">
        <w:t>The narrower the range of eligible collateral, the fewer transactions in OTC derivatives are likely to be carried out.  For example, there seems little benefit to the transitional arrangements for occupational pension schemes, if such schemes are going to have to provide the same collateral as they would have to for central clearing.</w:t>
      </w:r>
      <w:r w:rsidR="00FD6847" w:rsidRPr="003975ED">
        <w:t xml:space="preserve">  The inefficiency of such collateral is recognised in the Regulation as the reason why transitional arrangements should be made.</w:t>
      </w:r>
    </w:p>
    <w:p w:rsidR="003758FE" w:rsidRPr="003975ED" w:rsidRDefault="003758FE" w:rsidP="000C4588">
      <w:pPr>
        <w:pStyle w:val="Level1"/>
      </w:pPr>
      <w:r w:rsidRPr="003975ED">
        <w:lastRenderedPageBreak/>
        <w:t xml:space="preserve">What other criteria and factors could be used to determine eligible collateral? </w:t>
      </w:r>
    </w:p>
    <w:p w:rsidR="00FD6847" w:rsidRPr="003975ED" w:rsidRDefault="00FD6847" w:rsidP="000C4588">
      <w:pPr>
        <w:pStyle w:val="Level1"/>
        <w:numPr>
          <w:ilvl w:val="0"/>
          <w:numId w:val="0"/>
        </w:numPr>
        <w:ind w:left="851"/>
      </w:pPr>
      <w:r w:rsidRPr="003975ED">
        <w:t>Our view is that any collateral within the general test stated at question 32 should be eligible.  It is then a question of applying an appropriate cut in order to obtain a sensible valuation of that collateral.</w:t>
      </w:r>
    </w:p>
    <w:p w:rsidR="003758FE" w:rsidRPr="003975ED" w:rsidRDefault="003758FE" w:rsidP="000C4588">
      <w:pPr>
        <w:pStyle w:val="Level1"/>
      </w:pPr>
      <w:r w:rsidRPr="003975ED">
        <w:t xml:space="preserve">What is the current practice regarding the frequency of collateral valuation? </w:t>
      </w:r>
    </w:p>
    <w:p w:rsidR="00FD6847" w:rsidRPr="003975ED" w:rsidRDefault="00FD6847" w:rsidP="000C4588">
      <w:pPr>
        <w:pStyle w:val="Level1"/>
        <w:numPr>
          <w:ilvl w:val="0"/>
          <w:numId w:val="0"/>
        </w:numPr>
        <w:ind w:left="851"/>
      </w:pPr>
      <w:r w:rsidRPr="003975ED">
        <w:t>In our experience it is generally valued daily.</w:t>
      </w:r>
    </w:p>
    <w:p w:rsidR="003758FE" w:rsidRPr="003975ED" w:rsidRDefault="003758FE" w:rsidP="000C4588">
      <w:pPr>
        <w:pStyle w:val="Level1"/>
      </w:pPr>
      <w:r w:rsidRPr="003975ED">
        <w:t xml:space="preserve">For which types of transactions / counterparties should a daily collateral valuation not be mandatory? </w:t>
      </w:r>
    </w:p>
    <w:p w:rsidR="00FD6847" w:rsidRPr="003975ED" w:rsidRDefault="00FD6847" w:rsidP="003975ED">
      <w:pPr>
        <w:pStyle w:val="Level1"/>
        <w:numPr>
          <w:ilvl w:val="0"/>
          <w:numId w:val="0"/>
        </w:numPr>
        <w:ind w:left="851"/>
      </w:pPr>
      <w:r w:rsidRPr="003975ED">
        <w:t xml:space="preserve">There is no point having a daily valuation if the collateral itself does not have a daily valuation.  Subject to that, we believe that daily valuations should be </w:t>
      </w:r>
      <w:r w:rsidR="003975ED" w:rsidRPr="003975ED">
        <w:t>the</w:t>
      </w:r>
      <w:r w:rsidRPr="003975ED">
        <w:t xml:space="preserve"> norm.</w:t>
      </w:r>
    </w:p>
    <w:p w:rsidR="003758FE" w:rsidRPr="003975ED" w:rsidRDefault="003758FE" w:rsidP="000C4588">
      <w:pPr>
        <w:pStyle w:val="Level1"/>
      </w:pPr>
      <w:r w:rsidRPr="003975ED">
        <w:t xml:space="preserve">What are the cost implications of a more frequent valuation of collateral? </w:t>
      </w:r>
    </w:p>
    <w:p w:rsidR="00884633" w:rsidRPr="003975ED" w:rsidRDefault="00884633" w:rsidP="00884633">
      <w:pPr>
        <w:pStyle w:val="Level1"/>
        <w:numPr>
          <w:ilvl w:val="0"/>
          <w:numId w:val="0"/>
        </w:numPr>
        <w:ind w:left="851"/>
      </w:pPr>
      <w:r>
        <w:t>We have no comment on this question.</w:t>
      </w:r>
    </w:p>
    <w:p w:rsidR="000C7E4E" w:rsidRPr="003975ED" w:rsidRDefault="000C7E4E" w:rsidP="000C4588">
      <w:pPr>
        <w:pStyle w:val="Level1"/>
      </w:pPr>
      <w:r w:rsidRPr="003975ED">
        <w:t xml:space="preserve">Do you think that counterparties should be allowed to use own estimates of haircuts, subject to the fulfilment of certain minimum requirements? </w:t>
      </w:r>
    </w:p>
    <w:p w:rsidR="00FD6847" w:rsidRPr="003975ED" w:rsidRDefault="00FD6847" w:rsidP="000C4588">
      <w:pPr>
        <w:pStyle w:val="Level1"/>
        <w:numPr>
          <w:ilvl w:val="0"/>
          <w:numId w:val="0"/>
        </w:numPr>
        <w:ind w:left="851"/>
      </w:pPr>
      <w:r w:rsidRPr="003975ED">
        <w:t>Yes.</w:t>
      </w:r>
    </w:p>
    <w:p w:rsidR="000C7E4E" w:rsidRPr="003975ED" w:rsidRDefault="000C7E4E" w:rsidP="000C4588">
      <w:pPr>
        <w:pStyle w:val="Level1"/>
      </w:pPr>
      <w:r w:rsidRPr="003975ED">
        <w:t xml:space="preserve">Do you support the use of own estimates of haircuts to be limited to PRFCs? </w:t>
      </w:r>
    </w:p>
    <w:p w:rsidR="00FD6847" w:rsidRPr="003975ED" w:rsidRDefault="00FD6847" w:rsidP="000C4588">
      <w:pPr>
        <w:pStyle w:val="Level1"/>
        <w:numPr>
          <w:ilvl w:val="0"/>
          <w:numId w:val="0"/>
        </w:numPr>
        <w:ind w:left="851"/>
      </w:pPr>
      <w:r w:rsidRPr="003975ED">
        <w:t xml:space="preserve">No.  Haircuts have to be agreed between both parties.  A </w:t>
      </w:r>
      <w:r w:rsidR="003B126D" w:rsidRPr="003975ED">
        <w:t>UCITS</w:t>
      </w:r>
      <w:r w:rsidRPr="003975ED">
        <w:t xml:space="preserve"> fund, for example, is just as qualified as a PRFC to estimate a haircut.</w:t>
      </w:r>
    </w:p>
    <w:p w:rsidR="000C7E4E" w:rsidRPr="003975ED" w:rsidRDefault="000C7E4E" w:rsidP="000C4588">
      <w:pPr>
        <w:pStyle w:val="Level1"/>
      </w:pPr>
      <w:r w:rsidRPr="003975ED">
        <w:t xml:space="preserve">In your view, what criteria and factors should be met to ensure counterparties have a robust operational process for the exchange of collateral? </w:t>
      </w:r>
    </w:p>
    <w:p w:rsidR="00884633" w:rsidRPr="003975ED" w:rsidRDefault="00884633" w:rsidP="00884633">
      <w:pPr>
        <w:pStyle w:val="Level1"/>
        <w:numPr>
          <w:ilvl w:val="0"/>
          <w:numId w:val="0"/>
        </w:numPr>
        <w:ind w:left="851"/>
      </w:pPr>
      <w:r>
        <w:t>We have no comment on this question.</w:t>
      </w:r>
    </w:p>
    <w:p w:rsidR="000C7E4E" w:rsidRPr="003975ED" w:rsidRDefault="000C7E4E" w:rsidP="000C4588">
      <w:pPr>
        <w:pStyle w:val="Level1"/>
      </w:pPr>
      <w:r w:rsidRPr="003975ED">
        <w:t xml:space="preserve">What incremental costs do you expect from setting up and maintaining robust operational processes? </w:t>
      </w:r>
    </w:p>
    <w:p w:rsidR="00884633" w:rsidRPr="003975ED" w:rsidRDefault="00884633" w:rsidP="00884633">
      <w:pPr>
        <w:pStyle w:val="Level1"/>
        <w:numPr>
          <w:ilvl w:val="0"/>
          <w:numId w:val="0"/>
        </w:numPr>
        <w:ind w:left="851"/>
      </w:pPr>
      <w:r>
        <w:t>We have no comment on this question.</w:t>
      </w:r>
    </w:p>
    <w:p w:rsidR="000C7E4E" w:rsidRPr="003975ED" w:rsidRDefault="000C7E4E" w:rsidP="00884633">
      <w:pPr>
        <w:pStyle w:val="Level1"/>
      </w:pPr>
      <w:r w:rsidRPr="003975ED">
        <w:t xml:space="preserve">What are your views regarding setting a cap for the minimum threshold amount? How should such cap be set? </w:t>
      </w:r>
    </w:p>
    <w:p w:rsidR="00FD6847" w:rsidRPr="003975ED" w:rsidRDefault="00FD6847" w:rsidP="000C4588">
      <w:pPr>
        <w:pStyle w:val="Level1"/>
        <w:numPr>
          <w:ilvl w:val="0"/>
          <w:numId w:val="0"/>
        </w:numPr>
        <w:ind w:left="851"/>
      </w:pPr>
      <w:r w:rsidRPr="003975ED">
        <w:t xml:space="preserve">We disagree with setting a cap for the minimum threshold amount.  The minimum threshold amount shall be left to the parties, who will in effect be carrying out </w:t>
      </w:r>
      <w:r w:rsidR="00EC1292" w:rsidRPr="003975ED">
        <w:t>their own credit assessment.</w:t>
      </w:r>
    </w:p>
    <w:p w:rsidR="000C7E4E" w:rsidRPr="003975ED" w:rsidRDefault="000C7E4E" w:rsidP="000C4588">
      <w:pPr>
        <w:pStyle w:val="Level1"/>
      </w:pPr>
      <w:r w:rsidRPr="003975ED">
        <w:lastRenderedPageBreak/>
        <w:t xml:space="preserve">How would setting a cap impact markets, transactions and business models? </w:t>
      </w:r>
    </w:p>
    <w:p w:rsidR="00EC1292" w:rsidRPr="003975ED" w:rsidRDefault="00EC1292" w:rsidP="000C4588">
      <w:pPr>
        <w:pStyle w:val="Level1"/>
        <w:numPr>
          <w:ilvl w:val="0"/>
          <w:numId w:val="0"/>
        </w:numPr>
        <w:ind w:left="851"/>
      </w:pPr>
      <w:r w:rsidRPr="003975ED">
        <w:t xml:space="preserve">It would interfere with the freedom of the market place and thus probably lead </w:t>
      </w:r>
      <w:r w:rsidR="003975ED" w:rsidRPr="003975ED">
        <w:t xml:space="preserve">to </w:t>
      </w:r>
      <w:r w:rsidRPr="003975ED">
        <w:t>inefficiencies.  We very much doubt whether not having a cap on the minimum threshold would result in the collapse of the entire financial system.</w:t>
      </w:r>
    </w:p>
    <w:p w:rsidR="000C7E4E" w:rsidRPr="003975ED" w:rsidRDefault="000C7E4E" w:rsidP="000C4588">
      <w:pPr>
        <w:pStyle w:val="Level1"/>
      </w:pPr>
      <w:r w:rsidRPr="003975ED">
        <w:t xml:space="preserve">In your views, what should be considered as a practical or legal impediment to the prompt transfer of own funds or repayment of liabilities between the counterparties? </w:t>
      </w:r>
    </w:p>
    <w:p w:rsidR="00EC1292" w:rsidRPr="003975ED" w:rsidRDefault="00884633" w:rsidP="00884633">
      <w:pPr>
        <w:pStyle w:val="Level1"/>
        <w:numPr>
          <w:ilvl w:val="0"/>
          <w:numId w:val="0"/>
        </w:numPr>
        <w:ind w:left="851"/>
      </w:pPr>
      <w:r>
        <w:t>We have no comment on this question.</w:t>
      </w:r>
    </w:p>
    <w:p w:rsidR="000C7E4E" w:rsidRPr="003975ED" w:rsidRDefault="000C7E4E" w:rsidP="000C4588">
      <w:pPr>
        <w:pStyle w:val="Level1"/>
      </w:pPr>
      <w:r w:rsidRPr="003975ED">
        <w:t xml:space="preserve">What is the current practice regarding the collateralisation of intra-group derivative transactions? </w:t>
      </w:r>
    </w:p>
    <w:p w:rsidR="00EC1292" w:rsidRPr="003975ED" w:rsidRDefault="00884633" w:rsidP="00884633">
      <w:pPr>
        <w:pStyle w:val="Level1"/>
        <w:numPr>
          <w:ilvl w:val="0"/>
          <w:numId w:val="0"/>
        </w:numPr>
        <w:ind w:left="851"/>
      </w:pPr>
      <w:r>
        <w:t>We have no comment on this question.</w:t>
      </w:r>
    </w:p>
    <w:p w:rsidR="000C7E4E" w:rsidRDefault="000C7E4E" w:rsidP="00884633">
      <w:pPr>
        <w:pStyle w:val="Level1"/>
      </w:pPr>
      <w:r w:rsidRPr="003975ED">
        <w:t xml:space="preserve">What is the impact of the presented options on the capital and collateral requirements of the counterparties affected by the relevant provisions and the span of time necessary to comply with the Regulation? </w:t>
      </w:r>
    </w:p>
    <w:p w:rsidR="00884633" w:rsidRPr="003975ED" w:rsidRDefault="00884633" w:rsidP="00884633">
      <w:pPr>
        <w:pStyle w:val="Level1"/>
        <w:numPr>
          <w:ilvl w:val="0"/>
          <w:numId w:val="0"/>
        </w:numPr>
        <w:ind w:left="851"/>
      </w:pPr>
      <w:r>
        <w:t>We have no comment on this question.</w:t>
      </w:r>
    </w:p>
    <w:p w:rsidR="00884633" w:rsidRPr="003975ED" w:rsidRDefault="00884633" w:rsidP="00884633">
      <w:pPr>
        <w:pStyle w:val="Level1"/>
        <w:numPr>
          <w:ilvl w:val="0"/>
          <w:numId w:val="0"/>
        </w:numPr>
        <w:ind w:left="851"/>
      </w:pPr>
    </w:p>
    <w:sectPr w:rsidR="00884633" w:rsidRPr="003975ED" w:rsidSect="00DA55DB">
      <w:headerReference w:type="even" r:id="rId7"/>
      <w:headerReference w:type="default" r:id="rId8"/>
      <w:footerReference w:type="even" r:id="rId9"/>
      <w:footerReference w:type="default" r:id="rId10"/>
      <w:headerReference w:type="first" r:id="rId11"/>
      <w:footerReference w:type="first" r:id="rId12"/>
      <w:pgSz w:w="11907" w:h="16840" w:code="9"/>
      <w:pgMar w:top="1418" w:right="1418" w:bottom="1418" w:left="1418" w:header="567" w:footer="340" w:gutter="0"/>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2E90" w:rsidRDefault="00F62E90" w:rsidP="005D30CA">
      <w:r>
        <w:separator/>
      </w:r>
    </w:p>
  </w:endnote>
  <w:endnote w:type="continuationSeparator" w:id="0">
    <w:p w:rsidR="00F62E90" w:rsidRDefault="00F62E90" w:rsidP="005D30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A45" w:rsidRDefault="00A62A4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D35" w:rsidRDefault="00870034">
    <w:pPr>
      <w:pStyle w:val="Footer"/>
    </w:pPr>
    <w:fldSimple w:instr=" Title \* lower \* MERGEFORMAT ">
      <w:r w:rsidR="006E4840">
        <w:t>lon_lib1\6964270\2</w:t>
      </w:r>
    </w:fldSimple>
    <w:r w:rsidR="00095D35">
      <w:tab/>
    </w:r>
    <w:r>
      <w:rPr>
        <w:rStyle w:val="PageNumber"/>
      </w:rPr>
      <w:fldChar w:fldCharType="begin"/>
    </w:r>
    <w:r w:rsidR="00095D35">
      <w:rPr>
        <w:rStyle w:val="PageNumber"/>
      </w:rPr>
      <w:instrText xml:space="preserve"> PAGE </w:instrText>
    </w:r>
    <w:r>
      <w:rPr>
        <w:rStyle w:val="PageNumber"/>
      </w:rPr>
      <w:fldChar w:fldCharType="separate"/>
    </w:r>
    <w:r w:rsidR="006E4840">
      <w:rPr>
        <w:rStyle w:val="PageNumber"/>
      </w:rPr>
      <w:t>9</w:t>
    </w:r>
    <w:r>
      <w:rPr>
        <w:rStyle w:val="PageNumber"/>
      </w:rPr>
      <w:fldChar w:fldCharType="end"/>
    </w:r>
  </w:p>
  <w:p w:rsidR="00095D35" w:rsidRDefault="00870034">
    <w:pPr>
      <w:pStyle w:val="Footer"/>
    </w:pPr>
    <w:r>
      <w:fldChar w:fldCharType="begin"/>
    </w:r>
    <w:r w:rsidR="00095D35">
      <w:instrText xml:space="preserve"> Createdate \@ "D MMMM YYYY" \* MERGEFORMAT </w:instrText>
    </w:r>
    <w:r>
      <w:fldChar w:fldCharType="separate"/>
    </w:r>
    <w:r w:rsidR="006E4840">
      <w:t>2 April 2012</w:t>
    </w:r>
    <w:r>
      <w:fldChar w:fldCharType="end"/>
    </w:r>
    <w:r w:rsidR="00095D35">
      <w:t xml:space="preserve"> </w:t>
    </w:r>
    <w:fldSimple w:instr=" Author \*lower \* MERGEFORMAT ">
      <w:r w:rsidR="006E4840">
        <w:t>thomlia</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A45" w:rsidRDefault="00A62A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2E90" w:rsidRDefault="00F62E90" w:rsidP="005D30CA">
      <w:r>
        <w:separator/>
      </w:r>
    </w:p>
  </w:footnote>
  <w:footnote w:type="continuationSeparator" w:id="0">
    <w:p w:rsidR="00F62E90" w:rsidRDefault="00F62E90" w:rsidP="005D30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A45" w:rsidRDefault="00A62A4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A45" w:rsidRDefault="00A62A4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A45" w:rsidRDefault="00A62A4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1">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2">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3">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4">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62787184"/>
    <w:multiLevelType w:val="multilevel"/>
    <w:tmpl w:val="34ACF83C"/>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6">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7">
    <w:nsid w:val="7B9D102E"/>
    <w:multiLevelType w:val="singleLevel"/>
    <w:tmpl w:val="0DD0592C"/>
    <w:lvl w:ilvl="0">
      <w:start w:val="1"/>
      <w:numFmt w:val="upperLetter"/>
      <w:pStyle w:val="Background"/>
      <w:lvlText w:val="(%1)"/>
      <w:lvlJc w:val="left"/>
      <w:pPr>
        <w:tabs>
          <w:tab w:val="num" w:pos="851"/>
        </w:tabs>
        <w:ind w:left="851" w:hanging="851"/>
      </w:pPr>
    </w:lvl>
  </w:abstractNum>
  <w:num w:numId="1">
    <w:abstractNumId w:val="4"/>
  </w:num>
  <w:num w:numId="2">
    <w:abstractNumId w:val="7"/>
  </w:num>
  <w:num w:numId="3">
    <w:abstractNumId w:val="6"/>
  </w:num>
  <w:num w:numId="4">
    <w:abstractNumId w:val="5"/>
  </w:num>
  <w:num w:numId="5">
    <w:abstractNumId w:val="1"/>
  </w:num>
  <w:num w:numId="6">
    <w:abstractNumId w:val="3"/>
  </w:num>
  <w:num w:numId="7">
    <w:abstractNumId w:val="0"/>
  </w:num>
  <w:num w:numId="8">
    <w:abstractNumId w:val="2"/>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attachedTemplate r:id="rId1"/>
  <w:stylePaneFormatFilter w:val="1F08"/>
  <w:defaultTabStop w:val="720"/>
  <w:doNotHyphenateCaps/>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printColBlack/>
  </w:compat>
  <w:rsids>
    <w:rsidRoot w:val="002C7A2F"/>
    <w:rsid w:val="00002D5A"/>
    <w:rsid w:val="00015E26"/>
    <w:rsid w:val="00095D35"/>
    <w:rsid w:val="000C4588"/>
    <w:rsid w:val="000C55B8"/>
    <w:rsid w:val="000C7E4E"/>
    <w:rsid w:val="000D0EB3"/>
    <w:rsid w:val="000F7BFE"/>
    <w:rsid w:val="0014141E"/>
    <w:rsid w:val="00182509"/>
    <w:rsid w:val="0018447F"/>
    <w:rsid w:val="00192F42"/>
    <w:rsid w:val="001A4A17"/>
    <w:rsid w:val="001C75EF"/>
    <w:rsid w:val="001D081B"/>
    <w:rsid w:val="0022103D"/>
    <w:rsid w:val="0023394B"/>
    <w:rsid w:val="00281BA0"/>
    <w:rsid w:val="002B640D"/>
    <w:rsid w:val="002C7A2F"/>
    <w:rsid w:val="002D58E0"/>
    <w:rsid w:val="00321396"/>
    <w:rsid w:val="0036620A"/>
    <w:rsid w:val="003758FE"/>
    <w:rsid w:val="0038213C"/>
    <w:rsid w:val="003941CB"/>
    <w:rsid w:val="003975ED"/>
    <w:rsid w:val="003B126D"/>
    <w:rsid w:val="0042448F"/>
    <w:rsid w:val="00437FD9"/>
    <w:rsid w:val="004960CA"/>
    <w:rsid w:val="004B69EF"/>
    <w:rsid w:val="004D7C14"/>
    <w:rsid w:val="00514FF6"/>
    <w:rsid w:val="00595A4B"/>
    <w:rsid w:val="005D221E"/>
    <w:rsid w:val="005D30CA"/>
    <w:rsid w:val="005D5AA6"/>
    <w:rsid w:val="0069099E"/>
    <w:rsid w:val="006A04B6"/>
    <w:rsid w:val="006D3931"/>
    <w:rsid w:val="006D6242"/>
    <w:rsid w:val="006E4840"/>
    <w:rsid w:val="0070412D"/>
    <w:rsid w:val="00707B1C"/>
    <w:rsid w:val="00741251"/>
    <w:rsid w:val="00785468"/>
    <w:rsid w:val="00790B39"/>
    <w:rsid w:val="0079192D"/>
    <w:rsid w:val="007B4017"/>
    <w:rsid w:val="00825497"/>
    <w:rsid w:val="008610A1"/>
    <w:rsid w:val="00870034"/>
    <w:rsid w:val="00884633"/>
    <w:rsid w:val="0092211F"/>
    <w:rsid w:val="009633AC"/>
    <w:rsid w:val="00973CA2"/>
    <w:rsid w:val="009D756C"/>
    <w:rsid w:val="009F6505"/>
    <w:rsid w:val="00A368C2"/>
    <w:rsid w:val="00A36FD6"/>
    <w:rsid w:val="00A371A8"/>
    <w:rsid w:val="00A62A45"/>
    <w:rsid w:val="00AA62BB"/>
    <w:rsid w:val="00AC2CC2"/>
    <w:rsid w:val="00B21DD3"/>
    <w:rsid w:val="00B6379F"/>
    <w:rsid w:val="00B766FA"/>
    <w:rsid w:val="00BB3F83"/>
    <w:rsid w:val="00BC4FC6"/>
    <w:rsid w:val="00C4391A"/>
    <w:rsid w:val="00C4535D"/>
    <w:rsid w:val="00C74397"/>
    <w:rsid w:val="00CA13E5"/>
    <w:rsid w:val="00CA50A7"/>
    <w:rsid w:val="00D44B31"/>
    <w:rsid w:val="00D62BB9"/>
    <w:rsid w:val="00DA55DB"/>
    <w:rsid w:val="00DF2F23"/>
    <w:rsid w:val="00E10C3A"/>
    <w:rsid w:val="00E73341"/>
    <w:rsid w:val="00EC1292"/>
    <w:rsid w:val="00EE1CD8"/>
    <w:rsid w:val="00EE2A11"/>
    <w:rsid w:val="00F06AF5"/>
    <w:rsid w:val="00F14FE4"/>
    <w:rsid w:val="00F47BFE"/>
    <w:rsid w:val="00F62E90"/>
    <w:rsid w:val="00F74ED1"/>
    <w:rsid w:val="00FD6424"/>
    <w:rsid w:val="00FD6847"/>
  </w:rsids>
  <m:mathPr>
    <m:mathFont m:val="Cambria Math"/>
    <m:brkBin m:val="before"/>
    <m:brkBinSub m:val="--"/>
    <m:smallFrac m:val="off"/>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D221E"/>
    <w:pPr>
      <w:jc w:val="both"/>
    </w:pPr>
    <w:rPr>
      <w:rFonts w:ascii="Verdana" w:hAnsi="Verdana"/>
      <w:lang w:eastAsia="en-GB"/>
    </w:rPr>
  </w:style>
  <w:style w:type="character" w:default="1" w:styleId="DefaultParagraphFont">
    <w:name w:val="Default Paragraph Font"/>
    <w:uiPriority w:val="1"/>
    <w:unhideWhenUsed/>
    <w:rsid w:val="00884633"/>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5D221E"/>
    <w:pPr>
      <w:tabs>
        <w:tab w:val="left" w:pos="851"/>
        <w:tab w:val="left" w:pos="1843"/>
        <w:tab w:val="left" w:pos="3119"/>
        <w:tab w:val="left" w:pos="4253"/>
      </w:tabs>
      <w:spacing w:after="240" w:line="312" w:lineRule="auto"/>
    </w:pPr>
  </w:style>
  <w:style w:type="paragraph" w:customStyle="1" w:styleId="aDefinition">
    <w:name w:val="(a) Definition"/>
    <w:basedOn w:val="Body"/>
    <w:qFormat/>
    <w:rsid w:val="005D221E"/>
    <w:pPr>
      <w:numPr>
        <w:numId w:val="1"/>
      </w:numPr>
      <w:tabs>
        <w:tab w:val="clear" w:pos="1843"/>
        <w:tab w:val="clear" w:pos="3119"/>
        <w:tab w:val="clear" w:pos="4253"/>
      </w:tabs>
    </w:pPr>
  </w:style>
  <w:style w:type="paragraph" w:customStyle="1" w:styleId="iDefinition">
    <w:name w:val="(i) Definition"/>
    <w:basedOn w:val="Body"/>
    <w:qFormat/>
    <w:rsid w:val="005D221E"/>
    <w:pPr>
      <w:numPr>
        <w:ilvl w:val="1"/>
        <w:numId w:val="1"/>
      </w:numPr>
      <w:tabs>
        <w:tab w:val="clear" w:pos="851"/>
        <w:tab w:val="clear" w:pos="3119"/>
        <w:tab w:val="clear" w:pos="4253"/>
      </w:tabs>
    </w:pPr>
  </w:style>
  <w:style w:type="paragraph" w:customStyle="1" w:styleId="Body1">
    <w:name w:val="Body 1"/>
    <w:basedOn w:val="Body"/>
    <w:qFormat/>
    <w:rsid w:val="005D221E"/>
    <w:pPr>
      <w:tabs>
        <w:tab w:val="clear" w:pos="851"/>
        <w:tab w:val="clear" w:pos="1843"/>
        <w:tab w:val="clear" w:pos="3119"/>
        <w:tab w:val="clear" w:pos="4253"/>
      </w:tabs>
      <w:ind w:left="851"/>
    </w:pPr>
  </w:style>
  <w:style w:type="paragraph" w:customStyle="1" w:styleId="Background">
    <w:name w:val="Background"/>
    <w:basedOn w:val="Body1"/>
    <w:qFormat/>
    <w:rsid w:val="005D221E"/>
    <w:pPr>
      <w:numPr>
        <w:numId w:val="2"/>
      </w:numPr>
    </w:pPr>
  </w:style>
  <w:style w:type="paragraph" w:customStyle="1" w:styleId="Body2">
    <w:name w:val="Body 2"/>
    <w:basedOn w:val="Body1"/>
    <w:qFormat/>
    <w:rsid w:val="005D221E"/>
  </w:style>
  <w:style w:type="paragraph" w:customStyle="1" w:styleId="Body3">
    <w:name w:val="Body 3"/>
    <w:basedOn w:val="Body2"/>
    <w:qFormat/>
    <w:rsid w:val="005D221E"/>
    <w:pPr>
      <w:ind w:left="1843"/>
    </w:pPr>
  </w:style>
  <w:style w:type="paragraph" w:customStyle="1" w:styleId="Body4">
    <w:name w:val="Body 4"/>
    <w:basedOn w:val="Body3"/>
    <w:qFormat/>
    <w:rsid w:val="005D221E"/>
    <w:pPr>
      <w:ind w:left="3119"/>
    </w:pPr>
  </w:style>
  <w:style w:type="paragraph" w:customStyle="1" w:styleId="Body5">
    <w:name w:val="Body 5"/>
    <w:basedOn w:val="Body3"/>
    <w:qFormat/>
    <w:rsid w:val="005D221E"/>
    <w:pPr>
      <w:ind w:left="3119"/>
    </w:pPr>
  </w:style>
  <w:style w:type="paragraph" w:customStyle="1" w:styleId="Bullet1">
    <w:name w:val="Bullet 1"/>
    <w:basedOn w:val="Body1"/>
    <w:qFormat/>
    <w:rsid w:val="005D221E"/>
    <w:pPr>
      <w:numPr>
        <w:numId w:val="3"/>
      </w:numPr>
    </w:pPr>
  </w:style>
  <w:style w:type="paragraph" w:customStyle="1" w:styleId="Bullet2">
    <w:name w:val="Bullet 2"/>
    <w:basedOn w:val="Body2"/>
    <w:qFormat/>
    <w:rsid w:val="005D221E"/>
    <w:pPr>
      <w:numPr>
        <w:ilvl w:val="1"/>
        <w:numId w:val="3"/>
      </w:numPr>
    </w:pPr>
  </w:style>
  <w:style w:type="paragraph" w:customStyle="1" w:styleId="Bullet3">
    <w:name w:val="Bullet 3"/>
    <w:basedOn w:val="Body3"/>
    <w:qFormat/>
    <w:rsid w:val="005D221E"/>
    <w:pPr>
      <w:numPr>
        <w:ilvl w:val="2"/>
        <w:numId w:val="3"/>
      </w:numPr>
    </w:pPr>
  </w:style>
  <w:style w:type="character" w:customStyle="1" w:styleId="CrossReference">
    <w:name w:val="Cross Reference"/>
    <w:basedOn w:val="DefaultParagraphFont"/>
    <w:qFormat/>
    <w:rsid w:val="005D221E"/>
    <w:rPr>
      <w:b/>
    </w:rPr>
  </w:style>
  <w:style w:type="paragraph" w:styleId="Footer">
    <w:name w:val="footer"/>
    <w:basedOn w:val="Normal"/>
    <w:semiHidden/>
    <w:rsid w:val="005D221E"/>
    <w:pPr>
      <w:tabs>
        <w:tab w:val="center" w:pos="4536"/>
      </w:tabs>
    </w:pPr>
    <w:rPr>
      <w:noProof/>
      <w:sz w:val="16"/>
    </w:rPr>
  </w:style>
  <w:style w:type="character" w:styleId="FootnoteReference">
    <w:name w:val="footnote reference"/>
    <w:basedOn w:val="DefaultParagraphFont"/>
    <w:semiHidden/>
    <w:rsid w:val="005D221E"/>
    <w:rPr>
      <w:rFonts w:ascii="Tahoma" w:hAnsi="Tahoma"/>
      <w:b/>
      <w:color w:val="auto"/>
      <w:sz w:val="20"/>
      <w:u w:val="none"/>
      <w:vertAlign w:val="superscript"/>
    </w:rPr>
  </w:style>
  <w:style w:type="paragraph" w:styleId="FootnoteText">
    <w:name w:val="footnote text"/>
    <w:basedOn w:val="Normal"/>
    <w:semiHidden/>
    <w:rsid w:val="005D221E"/>
    <w:pPr>
      <w:tabs>
        <w:tab w:val="left" w:pos="851"/>
      </w:tabs>
      <w:spacing w:after="60"/>
      <w:ind w:left="851" w:hanging="851"/>
    </w:pPr>
    <w:rPr>
      <w:rFonts w:ascii="Tahoma" w:hAnsi="Tahoma"/>
      <w:sz w:val="16"/>
    </w:rPr>
  </w:style>
  <w:style w:type="paragraph" w:styleId="Header">
    <w:name w:val="header"/>
    <w:basedOn w:val="Normal"/>
    <w:semiHidden/>
    <w:rsid w:val="005D221E"/>
    <w:pPr>
      <w:tabs>
        <w:tab w:val="center" w:pos="4536"/>
        <w:tab w:val="right" w:pos="9072"/>
      </w:tabs>
    </w:pPr>
    <w:rPr>
      <w:noProof/>
      <w:sz w:val="16"/>
    </w:rPr>
  </w:style>
  <w:style w:type="paragraph" w:customStyle="1" w:styleId="Level1">
    <w:name w:val="Level 1"/>
    <w:basedOn w:val="Body1"/>
    <w:qFormat/>
    <w:rsid w:val="005D221E"/>
    <w:pPr>
      <w:numPr>
        <w:numId w:val="4"/>
      </w:numPr>
      <w:outlineLvl w:val="0"/>
    </w:pPr>
  </w:style>
  <w:style w:type="character" w:customStyle="1" w:styleId="Level1asHeadingtext">
    <w:name w:val="Level 1 as Heading (text)"/>
    <w:basedOn w:val="DefaultParagraphFont"/>
    <w:rsid w:val="005D221E"/>
    <w:rPr>
      <w:b/>
    </w:rPr>
  </w:style>
  <w:style w:type="paragraph" w:customStyle="1" w:styleId="Level2">
    <w:name w:val="Level 2"/>
    <w:basedOn w:val="Body2"/>
    <w:qFormat/>
    <w:rsid w:val="005D221E"/>
    <w:pPr>
      <w:numPr>
        <w:ilvl w:val="1"/>
        <w:numId w:val="4"/>
      </w:numPr>
      <w:outlineLvl w:val="1"/>
    </w:pPr>
  </w:style>
  <w:style w:type="character" w:customStyle="1" w:styleId="Level2asHeadingtext">
    <w:name w:val="Level 2 as Heading (text)"/>
    <w:basedOn w:val="DefaultParagraphFont"/>
    <w:rsid w:val="005D221E"/>
    <w:rPr>
      <w:b/>
    </w:rPr>
  </w:style>
  <w:style w:type="paragraph" w:customStyle="1" w:styleId="Level3">
    <w:name w:val="Level 3"/>
    <w:basedOn w:val="Body3"/>
    <w:qFormat/>
    <w:rsid w:val="005D221E"/>
    <w:pPr>
      <w:numPr>
        <w:ilvl w:val="2"/>
        <w:numId w:val="4"/>
      </w:numPr>
      <w:outlineLvl w:val="2"/>
    </w:pPr>
  </w:style>
  <w:style w:type="character" w:customStyle="1" w:styleId="Level3asHeadingtext">
    <w:name w:val="Level 3 as Heading (text)"/>
    <w:basedOn w:val="DefaultParagraphFont"/>
    <w:rsid w:val="005D221E"/>
    <w:rPr>
      <w:b/>
    </w:rPr>
  </w:style>
  <w:style w:type="paragraph" w:customStyle="1" w:styleId="Level4">
    <w:name w:val="Level 4"/>
    <w:basedOn w:val="Body4"/>
    <w:qFormat/>
    <w:rsid w:val="005D221E"/>
    <w:pPr>
      <w:numPr>
        <w:ilvl w:val="3"/>
        <w:numId w:val="4"/>
      </w:numPr>
      <w:outlineLvl w:val="3"/>
    </w:pPr>
  </w:style>
  <w:style w:type="paragraph" w:customStyle="1" w:styleId="Level5">
    <w:name w:val="Level 5"/>
    <w:basedOn w:val="Body5"/>
    <w:qFormat/>
    <w:rsid w:val="005D221E"/>
    <w:pPr>
      <w:numPr>
        <w:ilvl w:val="4"/>
        <w:numId w:val="4"/>
      </w:numPr>
      <w:outlineLvl w:val="4"/>
    </w:pPr>
  </w:style>
  <w:style w:type="character" w:styleId="PageNumber">
    <w:name w:val="page number"/>
    <w:basedOn w:val="DefaultParagraphFont"/>
    <w:semiHidden/>
    <w:rsid w:val="005D221E"/>
    <w:rPr>
      <w:sz w:val="16"/>
    </w:rPr>
  </w:style>
  <w:style w:type="paragraph" w:customStyle="1" w:styleId="Parties">
    <w:name w:val="Parties"/>
    <w:basedOn w:val="Body1"/>
    <w:qFormat/>
    <w:rsid w:val="005D221E"/>
    <w:pPr>
      <w:numPr>
        <w:numId w:val="5"/>
      </w:numPr>
    </w:pPr>
  </w:style>
  <w:style w:type="paragraph" w:customStyle="1" w:styleId="Rule1">
    <w:name w:val="Rule 1"/>
    <w:basedOn w:val="Body"/>
    <w:semiHidden/>
    <w:rsid w:val="005D221E"/>
    <w:pPr>
      <w:keepNext/>
      <w:numPr>
        <w:numId w:val="6"/>
      </w:numPr>
      <w:tabs>
        <w:tab w:val="clear" w:pos="851"/>
        <w:tab w:val="clear" w:pos="1843"/>
        <w:tab w:val="clear" w:pos="3119"/>
        <w:tab w:val="clear" w:pos="4253"/>
      </w:tabs>
    </w:pPr>
    <w:rPr>
      <w:b/>
    </w:rPr>
  </w:style>
  <w:style w:type="paragraph" w:customStyle="1" w:styleId="Rule2">
    <w:name w:val="Rule 2"/>
    <w:basedOn w:val="Body2"/>
    <w:semiHidden/>
    <w:rsid w:val="005D221E"/>
    <w:pPr>
      <w:numPr>
        <w:ilvl w:val="1"/>
        <w:numId w:val="6"/>
      </w:numPr>
    </w:pPr>
  </w:style>
  <w:style w:type="paragraph" w:customStyle="1" w:styleId="Rule3">
    <w:name w:val="Rule 3"/>
    <w:basedOn w:val="Body3"/>
    <w:semiHidden/>
    <w:rsid w:val="005D221E"/>
    <w:pPr>
      <w:numPr>
        <w:ilvl w:val="2"/>
        <w:numId w:val="6"/>
      </w:numPr>
    </w:pPr>
  </w:style>
  <w:style w:type="paragraph" w:customStyle="1" w:styleId="Rule4">
    <w:name w:val="Rule 4"/>
    <w:basedOn w:val="Body4"/>
    <w:semiHidden/>
    <w:rsid w:val="005D221E"/>
    <w:pPr>
      <w:numPr>
        <w:ilvl w:val="3"/>
        <w:numId w:val="6"/>
      </w:numPr>
    </w:pPr>
  </w:style>
  <w:style w:type="paragraph" w:customStyle="1" w:styleId="Rule5">
    <w:name w:val="Rule 5"/>
    <w:basedOn w:val="Body5"/>
    <w:semiHidden/>
    <w:rsid w:val="005D221E"/>
    <w:pPr>
      <w:numPr>
        <w:ilvl w:val="4"/>
        <w:numId w:val="6"/>
      </w:numPr>
    </w:pPr>
  </w:style>
  <w:style w:type="paragraph" w:customStyle="1" w:styleId="Schedule">
    <w:name w:val="Schedule"/>
    <w:basedOn w:val="Normal"/>
    <w:semiHidden/>
    <w:rsid w:val="005D221E"/>
    <w:pPr>
      <w:keepNext/>
      <w:numPr>
        <w:numId w:val="7"/>
      </w:numPr>
      <w:spacing w:after="240"/>
      <w:jc w:val="center"/>
    </w:pPr>
    <w:rPr>
      <w:b/>
      <w:caps/>
      <w:sz w:val="24"/>
    </w:rPr>
  </w:style>
  <w:style w:type="paragraph" w:customStyle="1" w:styleId="ScheduleTitle">
    <w:name w:val="Schedule Title"/>
    <w:basedOn w:val="Body"/>
    <w:qFormat/>
    <w:rsid w:val="005D221E"/>
    <w:pPr>
      <w:keepNext/>
      <w:tabs>
        <w:tab w:val="clear" w:pos="851"/>
        <w:tab w:val="clear" w:pos="1843"/>
        <w:tab w:val="clear" w:pos="3119"/>
        <w:tab w:val="clear" w:pos="4253"/>
      </w:tabs>
      <w:spacing w:after="480" w:line="240" w:lineRule="auto"/>
      <w:jc w:val="center"/>
    </w:pPr>
    <w:rPr>
      <w:b/>
    </w:rPr>
  </w:style>
  <w:style w:type="paragraph" w:customStyle="1" w:styleId="aBankingDefinition">
    <w:name w:val="(a) Banking Definition"/>
    <w:basedOn w:val="Body"/>
    <w:qFormat/>
    <w:rsid w:val="000D0EB3"/>
    <w:pPr>
      <w:numPr>
        <w:numId w:val="8"/>
      </w:numPr>
      <w:tabs>
        <w:tab w:val="clear" w:pos="851"/>
        <w:tab w:val="clear" w:pos="3119"/>
        <w:tab w:val="clear" w:pos="4253"/>
      </w:tabs>
    </w:pPr>
  </w:style>
  <w:style w:type="paragraph" w:customStyle="1" w:styleId="Sideheading">
    <w:name w:val="Sideheading"/>
    <w:basedOn w:val="Body"/>
    <w:qFormat/>
    <w:rsid w:val="005D221E"/>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rsid w:val="000D0EB3"/>
    <w:pPr>
      <w:numPr>
        <w:ilvl w:val="1"/>
      </w:numPr>
    </w:pPr>
  </w:style>
  <w:style w:type="paragraph" w:styleId="TOC1">
    <w:name w:val="toc 1"/>
    <w:basedOn w:val="Body"/>
    <w:next w:val="Normal"/>
    <w:semiHidden/>
    <w:rsid w:val="005D221E"/>
    <w:pPr>
      <w:tabs>
        <w:tab w:val="clear" w:pos="1843"/>
        <w:tab w:val="clear" w:pos="3119"/>
        <w:tab w:val="clear" w:pos="4253"/>
        <w:tab w:val="right" w:leader="dot" w:pos="9072"/>
      </w:tabs>
      <w:spacing w:after="60" w:line="240" w:lineRule="auto"/>
      <w:ind w:left="851" w:right="851" w:hanging="851"/>
    </w:pPr>
    <w:rPr>
      <w:caps/>
      <w:noProof/>
    </w:rPr>
  </w:style>
  <w:style w:type="paragraph" w:styleId="TOC2">
    <w:name w:val="toc 2"/>
    <w:basedOn w:val="Body"/>
    <w:next w:val="Normal"/>
    <w:semiHidden/>
    <w:rsid w:val="005D221E"/>
    <w:pPr>
      <w:tabs>
        <w:tab w:val="clear" w:pos="1843"/>
        <w:tab w:val="clear" w:pos="3119"/>
        <w:tab w:val="clear" w:pos="4253"/>
        <w:tab w:val="left" w:pos="1680"/>
        <w:tab w:val="right" w:leader="dot" w:pos="9072"/>
      </w:tabs>
      <w:spacing w:after="60" w:line="240" w:lineRule="auto"/>
      <w:ind w:left="1680" w:right="851" w:hanging="829"/>
    </w:pPr>
    <w:rPr>
      <w:noProof/>
    </w:rPr>
  </w:style>
  <w:style w:type="paragraph" w:styleId="TOC3">
    <w:name w:val="toc 3"/>
    <w:basedOn w:val="Body"/>
    <w:next w:val="Normal"/>
    <w:semiHidden/>
    <w:rsid w:val="005D221E"/>
    <w:pPr>
      <w:tabs>
        <w:tab w:val="clear" w:pos="1843"/>
        <w:tab w:val="clear" w:pos="3119"/>
        <w:tab w:val="clear" w:pos="4253"/>
        <w:tab w:val="right" w:leader="dot" w:pos="9072"/>
      </w:tabs>
      <w:spacing w:after="60" w:line="240" w:lineRule="auto"/>
      <w:ind w:left="851" w:right="851" w:hanging="851"/>
    </w:pPr>
    <w:rPr>
      <w:noProof/>
    </w:rPr>
  </w:style>
  <w:style w:type="paragraph" w:styleId="TOC4">
    <w:name w:val="toc 4"/>
    <w:basedOn w:val="Body"/>
    <w:next w:val="Normal"/>
    <w:semiHidden/>
    <w:rsid w:val="005D221E"/>
    <w:pPr>
      <w:keepNext/>
      <w:tabs>
        <w:tab w:val="clear" w:pos="1843"/>
        <w:tab w:val="clear" w:pos="3119"/>
        <w:tab w:val="clear" w:pos="4253"/>
      </w:tabs>
      <w:spacing w:after="60" w:line="240" w:lineRule="auto"/>
      <w:ind w:right="851"/>
    </w:pPr>
    <w:rPr>
      <w:b/>
      <w:noProof/>
    </w:rPr>
  </w:style>
  <w:style w:type="paragraph" w:styleId="TOC5">
    <w:name w:val="toc 5"/>
    <w:basedOn w:val="TOC1"/>
    <w:next w:val="Normal"/>
    <w:semiHidden/>
    <w:rsid w:val="0079192D"/>
    <w:pPr>
      <w:tabs>
        <w:tab w:val="clear" w:pos="851"/>
      </w:tabs>
      <w:ind w:firstLine="0"/>
    </w:pPr>
    <w:rPr>
      <w:caps w:val="0"/>
    </w:rPr>
  </w:style>
  <w:style w:type="paragraph" w:styleId="TOC6">
    <w:name w:val="toc 6"/>
    <w:basedOn w:val="Normal"/>
    <w:next w:val="Normal"/>
    <w:semiHidden/>
    <w:rsid w:val="005D221E"/>
    <w:pPr>
      <w:tabs>
        <w:tab w:val="right" w:leader="dot" w:pos="9072"/>
      </w:tabs>
      <w:ind w:left="2835" w:right="851" w:hanging="1134"/>
    </w:pPr>
    <w:rPr>
      <w:noProof/>
    </w:rPr>
  </w:style>
  <w:style w:type="paragraph" w:customStyle="1" w:styleId="Default">
    <w:name w:val="Default"/>
    <w:rsid w:val="0036620A"/>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ouse%20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House Styles.dot</Template>
  <TotalTime>7</TotalTime>
  <Pages>1</Pages>
  <Words>3027</Words>
  <Characters>15473</Characters>
  <Application>Microsoft Office Word</Application>
  <DocSecurity>0</DocSecurity>
  <Lines>295</Lines>
  <Paragraphs>115</Paragraphs>
  <ScaleCrop>false</ScaleCrop>
  <HeadingPairs>
    <vt:vector size="2" baseType="variant">
      <vt:variant>
        <vt:lpstr>Title</vt:lpstr>
      </vt:variant>
      <vt:variant>
        <vt:i4>1</vt:i4>
      </vt:variant>
    </vt:vector>
  </HeadingPairs>
  <TitlesOfParts>
    <vt:vector size="1" baseType="lpstr">
      <vt:lpstr>LON_LIB1\6964270\1</vt:lpstr>
    </vt:vector>
  </TitlesOfParts>
  <Company>Eversheds</Company>
  <LinksUpToDate>false</LinksUpToDate>
  <CharactersWithSpaces>18485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LON_LIB1\6964270\2</dc:title>
  <dc:subject/>
  <dc:creator>THOMLIA</dc:creator>
  <cp:keywords/>
  <cp:lastModifiedBy>Eversheds</cp:lastModifiedBy>
  <cp:revision>3</cp:revision>
  <cp:lastPrinted>2002-05-29T13:42:00Z</cp:lastPrinted>
  <dcterms:created xsi:type="dcterms:W3CDTF">2012-04-02T17:47:00Z</dcterms:created>
  <dcterms:modified xsi:type="dcterms:W3CDTF">2012-04-02T17:47:00Z</dcterms:modified>
</cp:coreProperties>
</file>