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rsidTr="00315E96">
        <w:trPr>
          <w:trHeight w:val="284"/>
        </w:trPr>
        <w:tc>
          <w:tcPr>
            <w:tcW w:w="9412" w:type="dxa"/>
          </w:tcPr>
          <w:p w:rsidR="00C2094B" w:rsidRPr="004E49B0" w:rsidRDefault="00DA32B8" w:rsidP="00284149">
            <w:pPr>
              <w:pStyle w:val="00bDBInfo"/>
              <w:rPr>
                <w:rFonts w:cs="Arial"/>
              </w:rPr>
            </w:pPr>
            <w:bookmarkStart w:id="0" w:name="_GoBack"/>
            <w:bookmarkEnd w:id="0"/>
            <w:r>
              <w:rPr>
                <w:rFonts w:cs="Arial"/>
              </w:rPr>
              <w:t>15</w:t>
            </w:r>
            <w:r w:rsidR="003A5DAC">
              <w:rPr>
                <w:rFonts w:cs="Arial"/>
              </w:rPr>
              <w:t xml:space="preserve"> </w:t>
            </w:r>
            <w:r w:rsidR="004049C0">
              <w:rPr>
                <w:rFonts w:cs="Arial"/>
              </w:rPr>
              <w:t>Ju</w:t>
            </w:r>
            <w:r w:rsidR="00284149">
              <w:rPr>
                <w:rFonts w:cs="Arial"/>
              </w:rPr>
              <w:t>ly</w:t>
            </w:r>
            <w:r w:rsidR="007C3918">
              <w:rPr>
                <w:rFonts w:cs="Arial"/>
              </w:rPr>
              <w:t xml:space="preserve"> </w:t>
            </w:r>
            <w:r w:rsidR="006F4B04" w:rsidRPr="004E49B0">
              <w:rPr>
                <w:rFonts w:cs="Arial"/>
              </w:rPr>
              <w:t>20</w:t>
            </w:r>
            <w:r w:rsidR="003A5DAC">
              <w:rPr>
                <w:rFonts w:cs="Arial"/>
              </w:rPr>
              <w:t>1</w:t>
            </w:r>
            <w:r w:rsidR="007C3918">
              <w:rPr>
                <w:rFonts w:cs="Arial"/>
              </w:rPr>
              <w:t>6</w:t>
            </w:r>
          </w:p>
        </w:tc>
      </w:tr>
    </w:tbl>
    <w:p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DA32B8" w:rsidRDefault="00AE627C" w:rsidP="00DA32B8">
            <w:pPr>
              <w:pStyle w:val="01aDBTitle"/>
              <w:rPr>
                <w:rFonts w:cs="Arial"/>
                <w:sz w:val="32"/>
              </w:rPr>
            </w:pPr>
            <w:r w:rsidRPr="009A053D">
              <w:rPr>
                <w:rFonts w:cs="Arial"/>
                <w:sz w:val="32"/>
              </w:rPr>
              <w:t>Reply form</w:t>
            </w:r>
            <w:r w:rsidR="00B835D5" w:rsidRPr="009A053D">
              <w:rPr>
                <w:rFonts w:cs="Arial"/>
                <w:sz w:val="32"/>
              </w:rPr>
              <w:t xml:space="preserve"> </w:t>
            </w:r>
            <w:r w:rsidR="0043173B" w:rsidRPr="009A053D">
              <w:rPr>
                <w:rFonts w:cs="Arial"/>
                <w:sz w:val="32"/>
              </w:rPr>
              <w:t>for</w:t>
            </w:r>
            <w:r w:rsidR="00027ECF" w:rsidRPr="009A053D">
              <w:rPr>
                <w:rFonts w:cs="Arial"/>
                <w:sz w:val="32"/>
              </w:rPr>
              <w:t xml:space="preserve"> the</w:t>
            </w:r>
            <w:r w:rsidR="00BF557C" w:rsidRPr="009A053D">
              <w:rPr>
                <w:rFonts w:cs="Arial"/>
                <w:sz w:val="32"/>
              </w:rPr>
              <w:t xml:space="preserve"> </w:t>
            </w:r>
            <w:r w:rsidR="00DA32B8">
              <w:rPr>
                <w:rFonts w:cs="Arial"/>
                <w:sz w:val="32"/>
              </w:rPr>
              <w:t>Call for E</w:t>
            </w:r>
            <w:r w:rsidR="00DA32B8" w:rsidRPr="00DA32B8">
              <w:rPr>
                <w:rFonts w:cs="Arial"/>
                <w:sz w:val="32"/>
              </w:rPr>
              <w:t>vidence</w:t>
            </w:r>
            <w:r w:rsidR="00DA32B8">
              <w:rPr>
                <w:rFonts w:cs="Arial"/>
                <w:sz w:val="32"/>
              </w:rPr>
              <w:t xml:space="preserve"> </w:t>
            </w:r>
          </w:p>
          <w:p w:rsidR="00791EB4" w:rsidRPr="009A053D" w:rsidRDefault="00DA32B8" w:rsidP="00DA32B8">
            <w:pPr>
              <w:pStyle w:val="01aDBTitle"/>
              <w:rPr>
                <w:rFonts w:cs="Arial"/>
                <w:sz w:val="32"/>
              </w:rPr>
            </w:pPr>
            <w:r>
              <w:rPr>
                <w:rFonts w:cs="Arial"/>
                <w:sz w:val="32"/>
              </w:rPr>
              <w:t>Asset S</w:t>
            </w:r>
            <w:r w:rsidRPr="00DA32B8">
              <w:rPr>
                <w:rFonts w:cs="Arial"/>
                <w:sz w:val="32"/>
              </w:rPr>
              <w:t>egregatio</w:t>
            </w:r>
            <w:r>
              <w:rPr>
                <w:rFonts w:cs="Arial"/>
                <w:sz w:val="32"/>
              </w:rPr>
              <w:t>n and Custody S</w:t>
            </w:r>
            <w:r w:rsidRPr="00DA32B8">
              <w:rPr>
                <w:rFonts w:cs="Arial"/>
                <w:sz w:val="32"/>
              </w:rPr>
              <w:t>ervices</w:t>
            </w:r>
            <w:r>
              <w:rPr>
                <w:rFonts w:cs="Arial"/>
                <w:sz w:val="32"/>
              </w:rPr>
              <w:t xml:space="preserve"> </w:t>
            </w:r>
            <w:r w:rsidR="009C6CE1">
              <w:rPr>
                <w:rFonts w:cs="Arial"/>
                <w:sz w:val="32"/>
              </w:rPr>
              <w:t xml:space="preserve"> </w:t>
            </w:r>
          </w:p>
        </w:tc>
      </w:tr>
      <w:tr w:rsidR="00060F72" w:rsidRPr="00616B9B" w:rsidTr="00B835D5">
        <w:trPr>
          <w:trHeight w:hRule="exact" w:val="605"/>
        </w:trPr>
        <w:tc>
          <w:tcPr>
            <w:tcW w:w="9397" w:type="dxa"/>
            <w:tcMar>
              <w:top w:w="142" w:type="dxa"/>
            </w:tcMar>
          </w:tcPr>
          <w:p w:rsidR="00D91010" w:rsidRPr="009A053D" w:rsidRDefault="00013CCE" w:rsidP="00027ECF">
            <w:pPr>
              <w:pStyle w:val="01bDBSubtitle"/>
              <w:rPr>
                <w:rFonts w:ascii="Arial" w:hAnsi="Arial" w:cs="Arial"/>
                <w:sz w:val="32"/>
              </w:rPr>
            </w:pPr>
            <w:r w:rsidRPr="009A053D">
              <w:rPr>
                <w:rFonts w:ascii="Arial" w:hAnsi="Arial" w:cs="Arial"/>
                <w:sz w:val="32"/>
              </w:rPr>
              <w:t xml:space="preserve"> </w:t>
            </w:r>
          </w:p>
        </w:tc>
      </w:tr>
    </w:tbl>
    <w:p w:rsidR="00620D7C" w:rsidRPr="00616B9B" w:rsidRDefault="00620D7C" w:rsidP="00C00012">
      <w:pPr>
        <w:pStyle w:val="05HeadlinenoIndex"/>
        <w:rPr>
          <w:rFonts w:cs="Arial"/>
        </w:rPr>
        <w:sectPr w:rsidR="00620D7C" w:rsidRPr="00616B9B" w:rsidSect="006E3C72">
          <w:headerReference w:type="default" r:id="rId9"/>
          <w:footerReference w:type="default" r:id="rId10"/>
          <w:headerReference w:type="first" r:id="rId11"/>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176639" w:rsidRDefault="00620D7C" w:rsidP="00DA32B8">
            <w:pPr>
              <w:pStyle w:val="02Date"/>
              <w:rPr>
                <w:rFonts w:cs="Arial"/>
                <w:highlight w:val="red"/>
              </w:rPr>
            </w:pPr>
            <w:r w:rsidRPr="007C3918">
              <w:rPr>
                <w:rFonts w:cs="Arial"/>
              </w:rPr>
              <w:lastRenderedPageBreak/>
              <w:t>Date</w:t>
            </w:r>
            <w:r w:rsidR="00CF5B86">
              <w:rPr>
                <w:rFonts w:cs="Arial"/>
              </w:rPr>
              <w:t>: 1</w:t>
            </w:r>
            <w:r w:rsidR="00DA32B8">
              <w:rPr>
                <w:rFonts w:cs="Arial"/>
              </w:rPr>
              <w:t>5</w:t>
            </w:r>
            <w:r w:rsidR="007C3918" w:rsidRPr="007C3918">
              <w:rPr>
                <w:rFonts w:cs="Arial"/>
              </w:rPr>
              <w:t xml:space="preserve"> </w:t>
            </w:r>
            <w:r w:rsidR="004049C0">
              <w:rPr>
                <w:rFonts w:cs="Arial"/>
              </w:rPr>
              <w:t>Ju</w:t>
            </w:r>
            <w:r w:rsidR="00284149">
              <w:rPr>
                <w:rFonts w:cs="Arial"/>
              </w:rPr>
              <w:t>ly</w:t>
            </w:r>
            <w:r w:rsidR="004049C0">
              <w:rPr>
                <w:rFonts w:cs="Arial"/>
              </w:rPr>
              <w:t xml:space="preserve"> </w:t>
            </w:r>
            <w:r w:rsidR="007C3918" w:rsidRPr="007C3918">
              <w:rPr>
                <w:rFonts w:cs="Arial"/>
              </w:rPr>
              <w:t>2016</w:t>
            </w:r>
          </w:p>
        </w:tc>
      </w:tr>
    </w:tbl>
    <w:p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rsidR="00F574D0" w:rsidRPr="00EF0769" w:rsidRDefault="00F574D0" w:rsidP="00DA32B8">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w:t>
      </w:r>
      <w:r w:rsidR="00CF5B86">
        <w:rPr>
          <w:rFonts w:cs="Arial"/>
        </w:rPr>
        <w:t xml:space="preserve">the </w:t>
      </w:r>
      <w:r w:rsidR="00DA32B8" w:rsidRPr="00DA32B8">
        <w:rPr>
          <w:rFonts w:cs="Arial"/>
        </w:rPr>
        <w:t>Call for Evidence Asset Se</w:t>
      </w:r>
      <w:r w:rsidR="00DA32B8">
        <w:rPr>
          <w:rFonts w:cs="Arial"/>
        </w:rPr>
        <w:t xml:space="preserve">gregation and Custody Services </w:t>
      </w:r>
      <w:r w:rsidR="008701E5" w:rsidRPr="008701E5">
        <w:rPr>
          <w:rFonts w:cs="Arial"/>
        </w:rPr>
        <w:t>(</w:t>
      </w:r>
      <w:r w:rsidR="00DA32B8">
        <w:rPr>
          <w:rFonts w:cs="Arial"/>
        </w:rPr>
        <w:t>ASCS</w:t>
      </w:r>
      <w:r w:rsidR="008701E5" w:rsidRPr="008701E5">
        <w:rPr>
          <w:rFonts w:cs="Arial"/>
        </w:rPr>
        <w:t>)</w:t>
      </w:r>
      <w:r w:rsidR="00015B5E" w:rsidRPr="00EF0769">
        <w:rPr>
          <w:rFonts w:cs="Arial"/>
        </w:rPr>
        <w:t>, published on the ESMA website</w:t>
      </w:r>
      <w:r w:rsidR="004E49B0" w:rsidRPr="00EF0769">
        <w:rPr>
          <w:rFonts w:cs="Arial"/>
        </w:rPr>
        <w:t>.</w:t>
      </w:r>
    </w:p>
    <w:p w:rsidR="001D000A" w:rsidRDefault="001D000A" w:rsidP="00F574D0">
      <w:pPr>
        <w:autoSpaceDE w:val="0"/>
        <w:autoSpaceDN w:val="0"/>
        <w:adjustRightInd w:val="0"/>
        <w:spacing w:before="120" w:after="120" w:line="276" w:lineRule="auto"/>
        <w:jc w:val="both"/>
        <w:rPr>
          <w:rStyle w:val="Strong4"/>
          <w:rFonts w:cs="Arial"/>
          <w:i/>
        </w:rPr>
      </w:pPr>
    </w:p>
    <w:p w:rsidR="00F574D0" w:rsidRPr="00176639" w:rsidRDefault="00F574D0" w:rsidP="00F574D0">
      <w:pPr>
        <w:autoSpaceDE w:val="0"/>
        <w:autoSpaceDN w:val="0"/>
        <w:adjustRightInd w:val="0"/>
        <w:spacing w:before="120" w:after="120" w:line="276" w:lineRule="auto"/>
        <w:jc w:val="both"/>
        <w:rPr>
          <w:rStyle w:val="Strong4"/>
          <w:rFonts w:cs="Arial"/>
          <w:i/>
        </w:rPr>
      </w:pPr>
      <w:r w:rsidRPr="00176639">
        <w:rPr>
          <w:rStyle w:val="Strong4"/>
          <w:rFonts w:cs="Arial"/>
          <w:i/>
        </w:rPr>
        <w:t>Instructions</w:t>
      </w:r>
    </w:p>
    <w:p w:rsidR="00F574D0" w:rsidRPr="00176639" w:rsidRDefault="00D75FEE" w:rsidP="00F574D0">
      <w:pPr>
        <w:pStyle w:val="04BodyText"/>
        <w:spacing w:before="120" w:after="120"/>
        <w:rPr>
          <w:rFonts w:cs="Arial"/>
        </w:rPr>
      </w:pPr>
      <w:r w:rsidRPr="00176639">
        <w:rPr>
          <w:rFonts w:cs="Arial"/>
        </w:rPr>
        <w:t xml:space="preserve">Please note that, in order to facilitate the analysis of </w:t>
      </w:r>
      <w:r w:rsidR="00CF5B86">
        <w:rPr>
          <w:rFonts w:cs="Arial"/>
        </w:rPr>
        <w:t>the</w:t>
      </w:r>
      <w:r w:rsidRPr="00176639">
        <w:rPr>
          <w:rFonts w:cs="Arial"/>
        </w:rPr>
        <w:t xml:space="preserve"> responses, you are requested to use this file to send your response to ESMA so as to allow us to process it properly. Therefore, </w:t>
      </w:r>
      <w:r w:rsidR="00332304" w:rsidRPr="00176639">
        <w:rPr>
          <w:rFonts w:cs="Arial"/>
        </w:rPr>
        <w:t xml:space="preserve">ESMA will only be able to consider responses which follow the instructions described </w:t>
      </w:r>
      <w:r w:rsidRPr="00176639">
        <w:rPr>
          <w:rFonts w:cs="Arial"/>
        </w:rPr>
        <w:t>below</w:t>
      </w:r>
      <w:r w:rsidR="00F574D0" w:rsidRPr="00176639">
        <w:rPr>
          <w:rFonts w:cs="Arial"/>
        </w:rPr>
        <w:t>:</w:t>
      </w:r>
    </w:p>
    <w:p w:rsidR="00F574D0" w:rsidRPr="00176639" w:rsidRDefault="00F574D0" w:rsidP="00573871">
      <w:pPr>
        <w:pStyle w:val="04bList"/>
        <w:numPr>
          <w:ilvl w:val="0"/>
          <w:numId w:val="32"/>
        </w:numPr>
        <w:spacing w:before="120" w:after="120"/>
        <w:rPr>
          <w:rFonts w:cs="Arial"/>
        </w:rPr>
      </w:pPr>
      <w:r w:rsidRPr="00176639">
        <w:rPr>
          <w:rFonts w:cs="Arial"/>
        </w:rPr>
        <w:t xml:space="preserve">use </w:t>
      </w:r>
      <w:r w:rsidR="00332304" w:rsidRPr="00176639">
        <w:rPr>
          <w:rFonts w:cs="Arial"/>
        </w:rPr>
        <w:t>this form</w:t>
      </w:r>
      <w:r w:rsidR="00955F48" w:rsidRPr="00176639">
        <w:rPr>
          <w:rFonts w:cs="Arial"/>
        </w:rPr>
        <w:t xml:space="preserve"> and send </w:t>
      </w:r>
      <w:r w:rsidR="00332304" w:rsidRPr="00176639">
        <w:rPr>
          <w:rFonts w:cs="Arial"/>
        </w:rPr>
        <w:t>your</w:t>
      </w:r>
      <w:r w:rsidR="00955F48" w:rsidRPr="00176639">
        <w:rPr>
          <w:rFonts w:cs="Arial"/>
        </w:rPr>
        <w:t xml:space="preserve"> responses in Word format (pdf documents will not be considered except for annexes);</w:t>
      </w:r>
    </w:p>
    <w:p w:rsidR="00F574D0" w:rsidRPr="00176639" w:rsidRDefault="00D75FEE" w:rsidP="00DA32B8">
      <w:pPr>
        <w:pStyle w:val="04bList"/>
        <w:numPr>
          <w:ilvl w:val="0"/>
          <w:numId w:val="32"/>
        </w:numPr>
        <w:spacing w:before="120" w:after="120"/>
        <w:rPr>
          <w:rFonts w:cs="Arial"/>
        </w:rPr>
      </w:pPr>
      <w:r w:rsidRPr="00176639">
        <w:rPr>
          <w:rFonts w:cs="Arial"/>
        </w:rPr>
        <w:t xml:space="preserve">do </w:t>
      </w:r>
      <w:r w:rsidR="00F574D0" w:rsidRPr="00176639">
        <w:rPr>
          <w:rFonts w:cs="Arial"/>
        </w:rPr>
        <w:t>not remove the tags of type &lt;</w:t>
      </w:r>
      <w:r w:rsidR="00BF557C" w:rsidRPr="00176639">
        <w:rPr>
          <w:rFonts w:cs="Arial"/>
        </w:rPr>
        <w:t>ESMA_QUESTION_</w:t>
      </w:r>
      <w:r w:rsidR="00665C07">
        <w:t>C</w:t>
      </w:r>
      <w:r w:rsidR="00DA32B8">
        <w:t>E</w:t>
      </w:r>
      <w:r w:rsidR="00AD0B9C">
        <w:t>_</w:t>
      </w:r>
      <w:r w:rsidR="00DA32B8" w:rsidRPr="00DA32B8">
        <w:t>ASCS</w:t>
      </w:r>
      <w:r w:rsidR="00E9344E" w:rsidRPr="00176639">
        <w:rPr>
          <w:rFonts w:cs="Arial"/>
        </w:rPr>
        <w:t>_</w:t>
      </w:r>
      <w:r w:rsidR="00F574D0" w:rsidRPr="00176639">
        <w:rPr>
          <w:rFonts w:cs="Arial"/>
        </w:rPr>
        <w:t>1&gt; - i.e. the response to one question has to be framed by the 2 tags corresponding to the question; and</w:t>
      </w:r>
    </w:p>
    <w:p w:rsidR="00F574D0" w:rsidRPr="00176639" w:rsidRDefault="00F574D0" w:rsidP="00573871">
      <w:pPr>
        <w:pStyle w:val="04bList"/>
        <w:numPr>
          <w:ilvl w:val="0"/>
          <w:numId w:val="32"/>
        </w:numPr>
        <w:spacing w:before="120" w:after="120"/>
        <w:rPr>
          <w:rFonts w:cs="Arial"/>
        </w:rPr>
      </w:pPr>
      <w:r w:rsidRPr="00176639">
        <w:rPr>
          <w:rFonts w:cs="Arial"/>
        </w:rPr>
        <w:t xml:space="preserve">if </w:t>
      </w:r>
      <w:r w:rsidR="00D75FEE" w:rsidRPr="00176639">
        <w:rPr>
          <w:rFonts w:cs="Arial"/>
        </w:rPr>
        <w:t>you do not have a</w:t>
      </w:r>
      <w:r w:rsidRPr="00176639">
        <w:rPr>
          <w:rFonts w:cs="Arial"/>
        </w:rPr>
        <w:t xml:space="preserve"> response to a question, </w:t>
      </w:r>
      <w:r w:rsidR="00D75FEE" w:rsidRPr="00176639">
        <w:rPr>
          <w:rFonts w:cs="Arial"/>
        </w:rPr>
        <w:t xml:space="preserve">do </w:t>
      </w:r>
      <w:r w:rsidRPr="00176639">
        <w:rPr>
          <w:rFonts w:cs="Arial"/>
        </w:rPr>
        <w:t>not delete it and leave the text “TYPE YOUR TEXT HERE” between the tags.</w:t>
      </w:r>
    </w:p>
    <w:p w:rsidR="00F574D0" w:rsidRPr="00176639" w:rsidRDefault="00F574D0" w:rsidP="00F574D0">
      <w:pPr>
        <w:pStyle w:val="04bList"/>
        <w:numPr>
          <w:ilvl w:val="0"/>
          <w:numId w:val="0"/>
        </w:numPr>
        <w:spacing w:before="120" w:after="120"/>
        <w:rPr>
          <w:rFonts w:cs="Arial"/>
        </w:rPr>
      </w:pPr>
      <w:r w:rsidRPr="00176639">
        <w:rPr>
          <w:rFonts w:cs="Arial"/>
        </w:rPr>
        <w:t>Responses are most helpful:</w:t>
      </w:r>
    </w:p>
    <w:p w:rsidR="00F574D0" w:rsidRPr="00176639" w:rsidRDefault="00F574D0" w:rsidP="00573871">
      <w:pPr>
        <w:pStyle w:val="04bList"/>
        <w:numPr>
          <w:ilvl w:val="0"/>
          <w:numId w:val="33"/>
        </w:numPr>
        <w:spacing w:before="120" w:after="120"/>
        <w:rPr>
          <w:rFonts w:cs="Arial"/>
        </w:rPr>
      </w:pPr>
      <w:r w:rsidRPr="00176639">
        <w:rPr>
          <w:rFonts w:cs="Arial"/>
        </w:rPr>
        <w:t>if they respond to the question stated;</w:t>
      </w:r>
    </w:p>
    <w:p w:rsidR="00F574D0" w:rsidRPr="00EF0769" w:rsidRDefault="00F574D0" w:rsidP="00573871">
      <w:pPr>
        <w:pStyle w:val="04bList"/>
        <w:numPr>
          <w:ilvl w:val="0"/>
          <w:numId w:val="33"/>
        </w:numPr>
        <w:spacing w:before="120" w:after="120"/>
        <w:rPr>
          <w:rFonts w:cs="Arial"/>
        </w:rPr>
      </w:pPr>
      <w:r w:rsidRPr="00176639">
        <w:rPr>
          <w:rFonts w:cs="Arial"/>
        </w:rPr>
        <w:t>contain a clear rationale, including on any related costs and</w:t>
      </w:r>
      <w:r w:rsidRPr="00EF0769">
        <w:rPr>
          <w:rFonts w:cs="Arial"/>
        </w:rPr>
        <w:t xml:space="preserve"> benefits; and</w:t>
      </w:r>
    </w:p>
    <w:p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rsidR="001D000A" w:rsidRDefault="001D000A" w:rsidP="000D17AA">
      <w:pPr>
        <w:pStyle w:val="04BodyText"/>
        <w:spacing w:before="120" w:after="120"/>
        <w:jc w:val="left"/>
        <w:rPr>
          <w:rFonts w:cs="Arial"/>
          <w:b/>
        </w:rPr>
      </w:pPr>
    </w:p>
    <w:p w:rsidR="000D17AA" w:rsidRPr="00EF0769" w:rsidRDefault="00606240" w:rsidP="000D17AA">
      <w:pPr>
        <w:pStyle w:val="04BodyText"/>
        <w:spacing w:before="120" w:after="120"/>
        <w:jc w:val="left"/>
        <w:rPr>
          <w:rFonts w:cs="Arial"/>
          <w:b/>
        </w:rPr>
      </w:pPr>
      <w:r>
        <w:rPr>
          <w:rFonts w:cs="Arial"/>
          <w:b/>
        </w:rPr>
        <w:t>Naming protocol</w:t>
      </w:r>
    </w:p>
    <w:p w:rsidR="000D17AA" w:rsidRPr="00EF0769" w:rsidRDefault="000D17AA" w:rsidP="000D17AA">
      <w:pPr>
        <w:pStyle w:val="04BodyText"/>
        <w:spacing w:before="120" w:after="120"/>
        <w:jc w:val="left"/>
        <w:rPr>
          <w:rFonts w:cs="Arial"/>
        </w:rPr>
      </w:pPr>
      <w:r w:rsidRPr="00EF0769">
        <w:rPr>
          <w:rFonts w:cs="Arial"/>
        </w:rPr>
        <w:t>In order to facilitate the handling of stakeholders</w:t>
      </w:r>
      <w:r w:rsidR="00CF5B86">
        <w:rPr>
          <w:rFonts w:cs="Arial"/>
        </w:rPr>
        <w:t>’</w:t>
      </w:r>
      <w:r w:rsidRPr="00EF0769">
        <w:rPr>
          <w:rFonts w:cs="Arial"/>
        </w:rPr>
        <w:t xml:space="preserve"> responses</w:t>
      </w:r>
      <w:r w:rsidR="00CF5B86">
        <w:rPr>
          <w:rFonts w:cs="Arial"/>
        </w:rPr>
        <w:t>,</w:t>
      </w:r>
      <w:r w:rsidRPr="00EF0769">
        <w:rPr>
          <w:rFonts w:cs="Arial"/>
        </w:rPr>
        <w:t xml:space="preserve"> please sav</w:t>
      </w:r>
      <w:r w:rsidR="00A96324">
        <w:rPr>
          <w:rFonts w:cs="Arial"/>
        </w:rPr>
        <w:t>e your document using the follow</w:t>
      </w:r>
      <w:r w:rsidRPr="00EF0769">
        <w:rPr>
          <w:rFonts w:cs="Arial"/>
        </w:rPr>
        <w:t>ing format:</w:t>
      </w:r>
    </w:p>
    <w:p w:rsidR="000D17AA" w:rsidRPr="00AD0B9C" w:rsidRDefault="00021E83" w:rsidP="000D17AA">
      <w:pPr>
        <w:pStyle w:val="04BodyText"/>
        <w:spacing w:before="120" w:after="120"/>
        <w:jc w:val="left"/>
        <w:rPr>
          <w:rFonts w:cs="Arial"/>
        </w:rPr>
      </w:pPr>
      <w:r w:rsidRPr="00AD0B9C">
        <w:rPr>
          <w:rFonts w:cs="Arial"/>
        </w:rPr>
        <w:t>ESMA_</w:t>
      </w:r>
      <w:r w:rsidR="003D79DA">
        <w:t>C</w:t>
      </w:r>
      <w:r w:rsidR="00DA32B8">
        <w:t>E</w:t>
      </w:r>
      <w:r w:rsidR="00AD0B9C" w:rsidRPr="00AD0B9C">
        <w:t>_</w:t>
      </w:r>
      <w:r w:rsidR="00DA32B8" w:rsidRPr="00DA32B8">
        <w:t>ASCS</w:t>
      </w:r>
      <w:r w:rsidRPr="00AD0B9C">
        <w:rPr>
          <w:rFonts w:cs="Arial"/>
        </w:rPr>
        <w:t>_NAMEOFCOMPANY_NAMEOFDOCUMENT</w:t>
      </w:r>
      <w:r w:rsidR="000D17AA" w:rsidRPr="00AD0B9C">
        <w:rPr>
          <w:rFonts w:cs="Arial"/>
        </w:rPr>
        <w:t>.</w:t>
      </w:r>
    </w:p>
    <w:p w:rsidR="00021E83" w:rsidRPr="00AD0B9C" w:rsidRDefault="000D17AA" w:rsidP="000D17AA">
      <w:pPr>
        <w:pStyle w:val="04BodyText"/>
        <w:spacing w:before="120" w:after="120"/>
        <w:jc w:val="left"/>
        <w:rPr>
          <w:rFonts w:cs="Arial"/>
        </w:rPr>
      </w:pPr>
      <w:r w:rsidRPr="00AD0B9C">
        <w:rPr>
          <w:rFonts w:cs="Arial"/>
        </w:rPr>
        <w:t xml:space="preserve">E.g. if the respondent were </w:t>
      </w:r>
      <w:r w:rsidR="00BF557C" w:rsidRPr="00AD0B9C">
        <w:rPr>
          <w:rFonts w:cs="Arial"/>
        </w:rPr>
        <w:t>XXXX</w:t>
      </w:r>
      <w:r w:rsidRPr="00AD0B9C">
        <w:rPr>
          <w:rFonts w:cs="Arial"/>
        </w:rPr>
        <w:t xml:space="preserve">, the </w:t>
      </w:r>
      <w:r w:rsidR="00021E83" w:rsidRPr="00AD0B9C">
        <w:rPr>
          <w:rFonts w:cs="Arial"/>
        </w:rPr>
        <w:t>name of the reply form would be:</w:t>
      </w:r>
    </w:p>
    <w:p w:rsidR="00021E83" w:rsidRPr="00DA32B8" w:rsidRDefault="00BF557C" w:rsidP="000D17AA">
      <w:pPr>
        <w:pStyle w:val="04BodyText"/>
        <w:spacing w:before="120" w:after="120"/>
        <w:jc w:val="left"/>
        <w:rPr>
          <w:rFonts w:cs="Arial"/>
          <w:lang w:val="fr-FR"/>
        </w:rPr>
      </w:pPr>
      <w:r w:rsidRPr="00DA32B8">
        <w:rPr>
          <w:rFonts w:cs="Arial"/>
          <w:lang w:val="fr-FR"/>
        </w:rPr>
        <w:t>ESMA_</w:t>
      </w:r>
      <w:r w:rsidR="00990FF9" w:rsidRPr="00DA32B8">
        <w:rPr>
          <w:lang w:val="fr-FR"/>
        </w:rPr>
        <w:t>C</w:t>
      </w:r>
      <w:r w:rsidR="00DA32B8" w:rsidRPr="00DA32B8">
        <w:rPr>
          <w:lang w:val="fr-FR"/>
        </w:rPr>
        <w:t>E</w:t>
      </w:r>
      <w:r w:rsidR="00AD0B9C" w:rsidRPr="00DA32B8">
        <w:rPr>
          <w:lang w:val="fr-FR"/>
        </w:rPr>
        <w:t>_</w:t>
      </w:r>
      <w:r w:rsidR="00DA32B8" w:rsidRPr="00DA32B8">
        <w:rPr>
          <w:lang w:val="fr-FR"/>
        </w:rPr>
        <w:t>ASCS</w:t>
      </w:r>
      <w:r w:rsidR="00332304" w:rsidRPr="00DA32B8">
        <w:rPr>
          <w:rFonts w:cs="Arial"/>
          <w:lang w:val="fr-FR"/>
        </w:rPr>
        <w:t>_</w:t>
      </w:r>
      <w:r w:rsidRPr="00DA32B8">
        <w:rPr>
          <w:rFonts w:cs="Arial"/>
          <w:lang w:val="fr-FR"/>
        </w:rPr>
        <w:t>XXXX</w:t>
      </w:r>
      <w:r w:rsidR="00021E83" w:rsidRPr="00DA32B8">
        <w:rPr>
          <w:rFonts w:cs="Arial"/>
          <w:lang w:val="fr-FR"/>
        </w:rPr>
        <w:t xml:space="preserve">_REPLYFORM or </w:t>
      </w:r>
    </w:p>
    <w:p w:rsidR="000D17AA" w:rsidRPr="00DA32B8" w:rsidRDefault="00BF557C" w:rsidP="000D17AA">
      <w:pPr>
        <w:pStyle w:val="04BodyText"/>
        <w:spacing w:before="120" w:after="120"/>
        <w:jc w:val="left"/>
        <w:rPr>
          <w:lang w:val="fr-FR"/>
        </w:rPr>
      </w:pPr>
      <w:r w:rsidRPr="00DA32B8">
        <w:rPr>
          <w:rFonts w:cs="Arial"/>
          <w:lang w:val="fr-FR"/>
        </w:rPr>
        <w:t>ESMA_</w:t>
      </w:r>
      <w:r w:rsidR="00990FF9" w:rsidRPr="00DA32B8">
        <w:rPr>
          <w:lang w:val="fr-FR"/>
        </w:rPr>
        <w:t>C</w:t>
      </w:r>
      <w:r w:rsidR="00DA32B8" w:rsidRPr="00DA32B8">
        <w:rPr>
          <w:lang w:val="fr-FR"/>
        </w:rPr>
        <w:t>E</w:t>
      </w:r>
      <w:r w:rsidR="00AD0B9C" w:rsidRPr="00DA32B8">
        <w:rPr>
          <w:lang w:val="fr-FR"/>
        </w:rPr>
        <w:t>_</w:t>
      </w:r>
      <w:r w:rsidR="00DA32B8" w:rsidRPr="006F7694">
        <w:rPr>
          <w:lang w:val="fr-FR"/>
        </w:rPr>
        <w:t>ASCS</w:t>
      </w:r>
      <w:r w:rsidRPr="00DA32B8">
        <w:rPr>
          <w:rFonts w:cs="Arial"/>
          <w:lang w:val="fr-FR"/>
        </w:rPr>
        <w:t>_XXXX</w:t>
      </w:r>
      <w:r w:rsidR="00021E83" w:rsidRPr="00DA32B8">
        <w:rPr>
          <w:rFonts w:cs="Arial"/>
          <w:lang w:val="fr-FR"/>
        </w:rPr>
        <w:t>_ANNEX1</w:t>
      </w:r>
    </w:p>
    <w:p w:rsidR="00332304" w:rsidRPr="00DA32B8" w:rsidRDefault="00332304" w:rsidP="00332304">
      <w:pPr>
        <w:autoSpaceDE w:val="0"/>
        <w:autoSpaceDN w:val="0"/>
        <w:adjustRightInd w:val="0"/>
        <w:spacing w:before="120" w:after="120" w:line="276" w:lineRule="auto"/>
        <w:jc w:val="both"/>
        <w:rPr>
          <w:rFonts w:cs="Arial"/>
          <w:b/>
          <w:bCs/>
          <w:i/>
          <w:color w:val="000000"/>
          <w:szCs w:val="20"/>
          <w:lang w:val="fr-FR" w:eastAsia="en-GB"/>
        </w:rPr>
      </w:pPr>
    </w:p>
    <w:p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574D0" w:rsidRPr="00EF0769" w:rsidRDefault="007C3918" w:rsidP="00F574D0">
      <w:pPr>
        <w:pStyle w:val="04BodyText"/>
        <w:spacing w:before="120" w:after="120"/>
        <w:rPr>
          <w:rFonts w:cs="Arial"/>
        </w:rPr>
      </w:pPr>
      <w:r>
        <w:rPr>
          <w:rFonts w:cs="Arial"/>
        </w:rPr>
        <w:t xml:space="preserve">Responses must reach us </w:t>
      </w:r>
      <w:r w:rsidRPr="001B0222">
        <w:rPr>
          <w:rFonts w:cs="Arial"/>
        </w:rPr>
        <w:t xml:space="preserve">by </w:t>
      </w:r>
      <w:r w:rsidR="006F7694" w:rsidRPr="006F7694">
        <w:rPr>
          <w:rFonts w:cs="Arial"/>
          <w:b/>
        </w:rPr>
        <w:t>23 September</w:t>
      </w:r>
      <w:r w:rsidR="006F7694">
        <w:rPr>
          <w:rFonts w:cs="Arial"/>
          <w:b/>
        </w:rPr>
        <w:t xml:space="preserve"> 2016</w:t>
      </w:r>
      <w:r w:rsidR="00021E83" w:rsidRPr="001B0222">
        <w:rPr>
          <w:rFonts w:cs="Arial"/>
          <w:b/>
        </w:rPr>
        <w:t>.</w:t>
      </w:r>
    </w:p>
    <w:p w:rsidR="00F574D0" w:rsidRPr="00EF0769" w:rsidRDefault="00F574D0" w:rsidP="00F574D0">
      <w:pPr>
        <w:pStyle w:val="04BodyText"/>
        <w:spacing w:before="120" w:after="120"/>
        <w:rPr>
          <w:rFonts w:cs="Arial"/>
        </w:rPr>
      </w:pPr>
      <w:r w:rsidRPr="00EF0769">
        <w:rPr>
          <w:rFonts w:cs="Arial"/>
        </w:rPr>
        <w:t xml:space="preserve">All contributions should be submitted online at </w:t>
      </w:r>
      <w:hyperlink r:id="rId12" w:history="1">
        <w:r w:rsidRPr="00EF0769">
          <w:rPr>
            <w:rStyle w:val="Hyperlink"/>
            <w:rFonts w:cs="Arial"/>
          </w:rPr>
          <w:t>www.esma.europa.eu</w:t>
        </w:r>
      </w:hyperlink>
      <w:r w:rsidRPr="00EF0769">
        <w:rPr>
          <w:rFonts w:cs="Arial"/>
        </w:rPr>
        <w:t xml:space="preserve"> under the heading ‘Your input/Consultations’. </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4"/>
    </w:p>
    <w:p w:rsidR="00A96324" w:rsidRDefault="00A96324" w:rsidP="00F574D0">
      <w:pPr>
        <w:autoSpaceDE w:val="0"/>
        <w:autoSpaceDN w:val="0"/>
        <w:adjustRightInd w:val="0"/>
        <w:spacing w:before="120" w:after="120" w:line="276" w:lineRule="auto"/>
        <w:jc w:val="both"/>
        <w:rPr>
          <w:rFonts w:cs="Arial"/>
          <w:b/>
          <w:bCs/>
          <w:i/>
          <w:color w:val="000000"/>
          <w:szCs w:val="20"/>
          <w:lang w:eastAsia="en-GB"/>
        </w:rPr>
      </w:pPr>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2"/>
    </w:p>
    <w:p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3"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rsidR="003755C6" w:rsidRDefault="003755C6" w:rsidP="00F574D0">
      <w:pPr>
        <w:autoSpaceDE w:val="0"/>
        <w:autoSpaceDN w:val="0"/>
        <w:adjustRightInd w:val="0"/>
        <w:spacing w:before="120" w:after="120" w:line="276" w:lineRule="auto"/>
        <w:jc w:val="both"/>
        <w:rPr>
          <w:rFonts w:cs="Arial"/>
          <w:szCs w:val="20"/>
        </w:rPr>
      </w:pPr>
    </w:p>
    <w:bookmarkEnd w:id="1"/>
    <w:p w:rsidR="00332304" w:rsidRDefault="00332304">
      <w:pPr>
        <w:rPr>
          <w:rFonts w:cs="Arial"/>
          <w:b/>
          <w:bCs/>
          <w:kern w:val="32"/>
          <w:sz w:val="24"/>
          <w:szCs w:val="32"/>
        </w:rPr>
      </w:pPr>
      <w:r>
        <w:br w:type="page"/>
      </w:r>
    </w:p>
    <w:p w:rsidR="00D34282" w:rsidRDefault="00D34282" w:rsidP="00D34282">
      <w:pPr>
        <w:pStyle w:val="Heading1"/>
        <w:numPr>
          <w:ilvl w:val="0"/>
          <w:numId w:val="0"/>
        </w:numPr>
        <w:ind w:left="431" w:hanging="431"/>
      </w:pPr>
      <w:r>
        <w:lastRenderedPageBreak/>
        <w:t>Introduction</w:t>
      </w:r>
    </w:p>
    <w:p w:rsidR="00D34282" w:rsidRPr="001D47A5" w:rsidRDefault="00D34282" w:rsidP="00D34282">
      <w:pPr>
        <w:rPr>
          <w:rStyle w:val="IntenseEmphasis"/>
        </w:rPr>
      </w:pPr>
      <w:r w:rsidRPr="001D47A5">
        <w:rPr>
          <w:rStyle w:val="IntenseEmphasis"/>
        </w:rPr>
        <w:t>Please make your introductory comments below, if any:</w:t>
      </w:r>
    </w:p>
    <w:p w:rsidR="00AD7675" w:rsidRPr="00BF28DA" w:rsidRDefault="00AD7675" w:rsidP="00D34282"/>
    <w:p w:rsidR="00D34282" w:rsidRPr="00176639" w:rsidRDefault="00D34282" w:rsidP="00D34282">
      <w:r w:rsidRPr="00176639">
        <w:t>&lt;</w:t>
      </w:r>
      <w:r w:rsidR="00D61A37" w:rsidRPr="00176639">
        <w:t>ESMA_COMMENT_</w:t>
      </w:r>
      <w:r w:rsidR="00665C07">
        <w:t>C</w:t>
      </w:r>
      <w:r w:rsidR="000018FA">
        <w:t>E</w:t>
      </w:r>
      <w:r w:rsidR="00176639">
        <w:t>_</w:t>
      </w:r>
      <w:r w:rsidR="000018FA" w:rsidRPr="000018FA">
        <w:t>ASCS</w:t>
      </w:r>
      <w:r w:rsidR="00D61A37" w:rsidRPr="00176639">
        <w:t>_1</w:t>
      </w:r>
      <w:r w:rsidRPr="00176639">
        <w:t>&gt;</w:t>
      </w:r>
    </w:p>
    <w:p w:rsidR="00D34282" w:rsidRDefault="00D34282" w:rsidP="00D34282">
      <w:permStart w:id="1429743637" w:edGrp="everyone"/>
      <w:r>
        <w:t>TYPE YOUR TEXT HERE</w:t>
      </w:r>
    </w:p>
    <w:permEnd w:id="1429743637"/>
    <w:p w:rsidR="00D34282" w:rsidRPr="00B42A10" w:rsidRDefault="00D34282" w:rsidP="00D34282">
      <w:pPr>
        <w:rPr>
          <w:lang w:val="fr-FR"/>
        </w:rPr>
      </w:pPr>
      <w:r w:rsidRPr="00B42A10">
        <w:rPr>
          <w:lang w:val="fr-FR"/>
        </w:rPr>
        <w:t>&lt;</w:t>
      </w:r>
      <w:r w:rsidR="002039F0" w:rsidRPr="00B42A10">
        <w:rPr>
          <w:lang w:val="fr-FR"/>
        </w:rPr>
        <w:t>ESMA_COMMENT_</w:t>
      </w:r>
      <w:r w:rsidR="000018FA" w:rsidRPr="00B42A10">
        <w:rPr>
          <w:lang w:val="fr-FR"/>
        </w:rPr>
        <w:t>CE</w:t>
      </w:r>
      <w:r w:rsidR="002039F0" w:rsidRPr="00B42A10">
        <w:rPr>
          <w:lang w:val="fr-FR"/>
        </w:rPr>
        <w:t>_</w:t>
      </w:r>
      <w:r w:rsidR="000018FA" w:rsidRPr="00B42A10">
        <w:rPr>
          <w:lang w:val="fr-FR"/>
        </w:rPr>
        <w:t>ASCS</w:t>
      </w:r>
      <w:r w:rsidR="002039F0" w:rsidRPr="00B42A10">
        <w:rPr>
          <w:lang w:val="fr-FR"/>
        </w:rPr>
        <w:t>_1</w:t>
      </w:r>
      <w:r w:rsidRPr="00B42A10">
        <w:rPr>
          <w:lang w:val="fr-FR"/>
        </w:rPr>
        <w:t>&gt;</w:t>
      </w:r>
    </w:p>
    <w:p w:rsidR="00F31E57" w:rsidRPr="00B42A10" w:rsidRDefault="00F31E57" w:rsidP="00D34282">
      <w:pPr>
        <w:rPr>
          <w:lang w:val="fr-FR"/>
        </w:rPr>
      </w:pPr>
    </w:p>
    <w:p w:rsidR="001A170B" w:rsidRPr="001A170B" w:rsidRDefault="00F31E57" w:rsidP="001A170B">
      <w:pPr>
        <w:numPr>
          <w:ilvl w:val="0"/>
          <w:numId w:val="38"/>
        </w:numPr>
        <w:spacing w:after="250" w:line="276" w:lineRule="auto"/>
        <w:jc w:val="both"/>
        <w:rPr>
          <w:b/>
          <w:bCs/>
          <w:sz w:val="22"/>
          <w:szCs w:val="20"/>
          <w:lang w:eastAsia="en-US"/>
        </w:rPr>
      </w:pPr>
      <w:r w:rsidRPr="0075015C">
        <w:br w:type="page"/>
      </w:r>
      <w:r w:rsidR="001A170B" w:rsidRPr="001A170B">
        <w:rPr>
          <w:b/>
          <w:bCs/>
          <w:sz w:val="22"/>
          <w:szCs w:val="20"/>
          <w:lang w:eastAsia="en-US"/>
        </w:rPr>
        <w:lastRenderedPageBreak/>
        <w:t>Please describe the model of asset segregation (including through the use of ‘omnibus accounts’) in your custody chain/the custody chain of the funds that you manage. Please explain what motivates your choice of asset segregation at each level (e.g. investor demand, local requirements, tax reasons).</w:t>
      </w:r>
    </w:p>
    <w:p w:rsidR="001A170B" w:rsidRPr="001A170B" w:rsidRDefault="001A170B" w:rsidP="001A170B">
      <w:pPr>
        <w:spacing w:after="250" w:line="276" w:lineRule="auto"/>
        <w:ind w:left="360"/>
        <w:jc w:val="both"/>
        <w:rPr>
          <w:b/>
          <w:bCs/>
          <w:sz w:val="22"/>
          <w:szCs w:val="20"/>
          <w:lang w:eastAsia="en-US"/>
        </w:rPr>
      </w:pPr>
      <w:r w:rsidRPr="001A170B">
        <w:rPr>
          <w:b/>
          <w:bCs/>
          <w:sz w:val="22"/>
          <w:szCs w:val="20"/>
          <w:lang w:eastAsia="en-US"/>
        </w:rPr>
        <w:t>In your description, please take into account the following:</w:t>
      </w:r>
    </w:p>
    <w:p w:rsidR="001A170B" w:rsidRPr="001A170B" w:rsidRDefault="001A170B" w:rsidP="001A170B">
      <w:pPr>
        <w:numPr>
          <w:ilvl w:val="0"/>
          <w:numId w:val="39"/>
        </w:numPr>
        <w:spacing w:after="250" w:line="276" w:lineRule="auto"/>
        <w:jc w:val="both"/>
        <w:rPr>
          <w:b/>
          <w:bCs/>
          <w:sz w:val="22"/>
          <w:szCs w:val="20"/>
          <w:lang w:eastAsia="en-US"/>
        </w:rPr>
      </w:pPr>
      <w:r w:rsidRPr="001A170B">
        <w:rPr>
          <w:b/>
          <w:bCs/>
          <w:sz w:val="22"/>
          <w:szCs w:val="20"/>
          <w:lang w:eastAsia="en-US"/>
        </w:rPr>
        <w:t xml:space="preserve">please describe – </w:t>
      </w:r>
      <w:r w:rsidRPr="001A170B">
        <w:rPr>
          <w:b/>
          <w:bCs/>
          <w:sz w:val="22"/>
          <w:szCs w:val="20"/>
          <w:u w:val="single"/>
          <w:lang w:eastAsia="en-US"/>
        </w:rPr>
        <w:t>with the use of a chart/diagram</w:t>
      </w:r>
      <w:r w:rsidRPr="001A170B">
        <w:rPr>
          <w:b/>
          <w:bCs/>
          <w:sz w:val="22"/>
          <w:szCs w:val="20"/>
          <w:lang w:eastAsia="en-US"/>
        </w:rPr>
        <w:t xml:space="preserve"> – at least three levels of account-keeping in your custody chain, as follows:</w:t>
      </w:r>
    </w:p>
    <w:p w:rsidR="001A170B" w:rsidRPr="001A170B" w:rsidRDefault="001A170B" w:rsidP="001A170B">
      <w:pPr>
        <w:numPr>
          <w:ilvl w:val="0"/>
          <w:numId w:val="40"/>
        </w:numPr>
        <w:spacing w:after="250" w:line="276" w:lineRule="auto"/>
        <w:jc w:val="both"/>
        <w:rPr>
          <w:b/>
          <w:bCs/>
          <w:sz w:val="22"/>
          <w:szCs w:val="20"/>
          <w:lang w:eastAsia="en-US"/>
        </w:rPr>
      </w:pPr>
      <w:r w:rsidRPr="001A170B">
        <w:rPr>
          <w:b/>
          <w:bCs/>
          <w:sz w:val="22"/>
          <w:szCs w:val="20"/>
          <w:lang w:eastAsia="en-US"/>
        </w:rPr>
        <w:t>the first level should be the level of the AIF/UCITS-appointed depositary,</w:t>
      </w:r>
    </w:p>
    <w:p w:rsidR="001A170B" w:rsidRPr="001A170B" w:rsidRDefault="001A170B" w:rsidP="00F579DC">
      <w:pPr>
        <w:numPr>
          <w:ilvl w:val="0"/>
          <w:numId w:val="40"/>
        </w:numPr>
        <w:spacing w:after="250" w:line="276" w:lineRule="auto"/>
        <w:jc w:val="both"/>
        <w:rPr>
          <w:b/>
          <w:bCs/>
          <w:sz w:val="22"/>
          <w:szCs w:val="20"/>
          <w:lang w:eastAsia="en-US"/>
        </w:rPr>
      </w:pPr>
      <w:r w:rsidRPr="001A170B">
        <w:rPr>
          <w:b/>
          <w:bCs/>
          <w:sz w:val="22"/>
          <w:szCs w:val="20"/>
          <w:lang w:eastAsia="en-US"/>
        </w:rPr>
        <w:t xml:space="preserve"> </w:t>
      </w:r>
      <w:r w:rsidR="00F579DC" w:rsidRPr="00F579DC">
        <w:rPr>
          <w:b/>
          <w:bCs/>
          <w:sz w:val="22"/>
          <w:szCs w:val="20"/>
          <w:lang w:eastAsia="en-US"/>
        </w:rPr>
        <w:t>the second level should be the level of a third party delegate of the depositary, and</w:t>
      </w:r>
    </w:p>
    <w:p w:rsidR="001A170B" w:rsidRPr="001A170B" w:rsidRDefault="001A170B" w:rsidP="001A170B">
      <w:pPr>
        <w:numPr>
          <w:ilvl w:val="0"/>
          <w:numId w:val="40"/>
        </w:numPr>
        <w:spacing w:after="250" w:line="276" w:lineRule="auto"/>
        <w:jc w:val="both"/>
        <w:rPr>
          <w:b/>
          <w:bCs/>
          <w:sz w:val="22"/>
          <w:szCs w:val="20"/>
          <w:lang w:eastAsia="en-US"/>
        </w:rPr>
      </w:pPr>
      <w:r w:rsidRPr="001A170B">
        <w:rPr>
          <w:b/>
          <w:bCs/>
          <w:sz w:val="22"/>
          <w:szCs w:val="20"/>
          <w:lang w:eastAsia="en-US"/>
        </w:rPr>
        <w:t>the second level should be the level of a third party delegate of the depositary, and</w:t>
      </w:r>
    </w:p>
    <w:p w:rsidR="001A170B" w:rsidRPr="001A170B" w:rsidRDefault="001A170B" w:rsidP="001A170B">
      <w:pPr>
        <w:numPr>
          <w:ilvl w:val="0"/>
          <w:numId w:val="40"/>
        </w:numPr>
        <w:spacing w:after="250" w:line="276" w:lineRule="auto"/>
        <w:jc w:val="both"/>
        <w:rPr>
          <w:b/>
          <w:bCs/>
          <w:sz w:val="22"/>
          <w:szCs w:val="20"/>
          <w:lang w:eastAsia="en-US"/>
        </w:rPr>
      </w:pPr>
      <w:r w:rsidRPr="001A170B">
        <w:rPr>
          <w:b/>
          <w:bCs/>
          <w:sz w:val="22"/>
          <w:szCs w:val="20"/>
          <w:lang w:eastAsia="en-US"/>
        </w:rPr>
        <w:t>the third level should be the level of a sub-delegate of the third party delegate or the CSD, where applicable.</w:t>
      </w:r>
    </w:p>
    <w:p w:rsidR="001A170B" w:rsidRPr="001A170B" w:rsidRDefault="001A170B" w:rsidP="001A170B">
      <w:pPr>
        <w:spacing w:after="250" w:line="276" w:lineRule="auto"/>
        <w:ind w:left="1353"/>
        <w:jc w:val="both"/>
        <w:rPr>
          <w:b/>
          <w:bCs/>
          <w:sz w:val="22"/>
          <w:szCs w:val="20"/>
          <w:lang w:eastAsia="en-US"/>
        </w:rPr>
      </w:pPr>
      <w:r w:rsidRPr="001A170B">
        <w:rPr>
          <w:b/>
          <w:bCs/>
          <w:sz w:val="22"/>
          <w:szCs w:val="20"/>
          <w:lang w:eastAsia="en-US"/>
        </w:rPr>
        <w:t>You may wish to add further levels of accounts, depending on your custody chain.</w:t>
      </w:r>
    </w:p>
    <w:p w:rsidR="001A170B" w:rsidRPr="001A170B" w:rsidRDefault="001A170B" w:rsidP="001A170B">
      <w:pPr>
        <w:numPr>
          <w:ilvl w:val="0"/>
          <w:numId w:val="39"/>
        </w:numPr>
        <w:spacing w:after="250" w:line="276" w:lineRule="auto"/>
        <w:jc w:val="both"/>
        <w:rPr>
          <w:b/>
          <w:bCs/>
          <w:sz w:val="22"/>
          <w:szCs w:val="20"/>
          <w:lang w:eastAsia="en-US"/>
        </w:rPr>
      </w:pPr>
      <w:r w:rsidRPr="001A170B">
        <w:rPr>
          <w:b/>
          <w:bCs/>
          <w:sz w:val="22"/>
          <w:szCs w:val="20"/>
          <w:lang w:eastAsia="en-US"/>
        </w:rPr>
        <w:t>if you use ‘omnibus accounts’ (i.e. accounts, in which the assets of different end investors are commingled, rather than each individual investor’s assets being held in a separate account) at any level of the custody chain, please provide, in as clear and detailed a manner as possible:</w:t>
      </w:r>
    </w:p>
    <w:p w:rsidR="001A170B" w:rsidRPr="001A170B" w:rsidRDefault="001A170B" w:rsidP="001A170B">
      <w:pPr>
        <w:numPr>
          <w:ilvl w:val="0"/>
          <w:numId w:val="41"/>
        </w:numPr>
        <w:spacing w:after="250" w:line="276" w:lineRule="auto"/>
        <w:jc w:val="both"/>
        <w:rPr>
          <w:b/>
          <w:bCs/>
          <w:sz w:val="22"/>
          <w:szCs w:val="20"/>
          <w:lang w:eastAsia="en-US"/>
        </w:rPr>
      </w:pPr>
      <w:r w:rsidRPr="001A170B">
        <w:rPr>
          <w:b/>
          <w:bCs/>
          <w:sz w:val="22"/>
          <w:szCs w:val="20"/>
          <w:lang w:eastAsia="en-US"/>
        </w:rPr>
        <w:t xml:space="preserve">an explanation including at which level of the chain you use them; </w:t>
      </w:r>
    </w:p>
    <w:p w:rsidR="001A170B" w:rsidRPr="001A170B" w:rsidRDefault="001A170B" w:rsidP="001A170B">
      <w:pPr>
        <w:numPr>
          <w:ilvl w:val="0"/>
          <w:numId w:val="41"/>
        </w:numPr>
        <w:spacing w:after="250" w:line="276" w:lineRule="auto"/>
        <w:jc w:val="both"/>
        <w:rPr>
          <w:b/>
          <w:bCs/>
          <w:sz w:val="22"/>
          <w:szCs w:val="20"/>
          <w:lang w:eastAsia="en-US"/>
        </w:rPr>
      </w:pPr>
      <w:r w:rsidRPr="001A170B">
        <w:rPr>
          <w:b/>
          <w:bCs/>
          <w:sz w:val="22"/>
          <w:szCs w:val="20"/>
          <w:lang w:eastAsia="en-US"/>
        </w:rPr>
        <w:t xml:space="preserve">a description of the features of these accounts (e.g. whose assets are held in them, who holds title to those assets or is considered to be the end investor, etc. - e.g. AIF, UCITS, other clients, depositaries or their third party delegates); </w:t>
      </w:r>
    </w:p>
    <w:p w:rsidR="001A170B" w:rsidRPr="001A170B" w:rsidRDefault="001A170B" w:rsidP="001A170B">
      <w:pPr>
        <w:numPr>
          <w:ilvl w:val="0"/>
          <w:numId w:val="41"/>
        </w:numPr>
        <w:spacing w:after="250" w:line="276" w:lineRule="auto"/>
        <w:jc w:val="both"/>
        <w:rPr>
          <w:b/>
          <w:bCs/>
          <w:sz w:val="22"/>
          <w:szCs w:val="20"/>
          <w:lang w:eastAsia="en-US"/>
        </w:rPr>
      </w:pPr>
      <w:r w:rsidRPr="001A170B">
        <w:rPr>
          <w:b/>
          <w:bCs/>
          <w:sz w:val="22"/>
          <w:szCs w:val="20"/>
          <w:lang w:eastAsia="en-US"/>
        </w:rPr>
        <w:t>an explanation on how any restriction on reuse of the assets applying to the funds (AIF/UCITS) which you have in custody/manage (e.g. the restriction under Article 22(7) of the UCITS Directive) is respected, when they are held in an omnibus account at a given level; and</w:t>
      </w:r>
    </w:p>
    <w:p w:rsidR="001A170B" w:rsidRPr="001A170B" w:rsidRDefault="001A170B" w:rsidP="001A170B">
      <w:pPr>
        <w:numPr>
          <w:ilvl w:val="0"/>
          <w:numId w:val="41"/>
        </w:numPr>
        <w:spacing w:after="250" w:line="276" w:lineRule="auto"/>
        <w:jc w:val="both"/>
        <w:rPr>
          <w:b/>
          <w:bCs/>
          <w:sz w:val="22"/>
          <w:szCs w:val="20"/>
          <w:lang w:eastAsia="en-US"/>
        </w:rPr>
      </w:pPr>
      <w:r w:rsidRPr="001A170B">
        <w:rPr>
          <w:b/>
          <w:bCs/>
          <w:sz w:val="22"/>
          <w:szCs w:val="20"/>
          <w:lang w:eastAsia="en-US"/>
        </w:rPr>
        <w:t xml:space="preserve">the number or percentage of ‘omnibus accounts’ versus ‘separate accounts’ in your custody chain. </w:t>
      </w:r>
    </w:p>
    <w:p w:rsidR="001A170B" w:rsidRPr="001A170B" w:rsidRDefault="001A170B" w:rsidP="001A170B">
      <w:pPr>
        <w:numPr>
          <w:ilvl w:val="0"/>
          <w:numId w:val="39"/>
        </w:numPr>
        <w:spacing w:after="250" w:line="276" w:lineRule="auto"/>
        <w:jc w:val="both"/>
        <w:rPr>
          <w:b/>
          <w:bCs/>
          <w:sz w:val="22"/>
          <w:szCs w:val="20"/>
          <w:lang w:eastAsia="en-US"/>
        </w:rPr>
      </w:pPr>
      <w:r w:rsidRPr="001A170B">
        <w:rPr>
          <w:b/>
          <w:bCs/>
          <w:sz w:val="22"/>
          <w:szCs w:val="20"/>
          <w:lang w:eastAsia="en-US"/>
        </w:rPr>
        <w:t xml:space="preserve">if you do not use ‘omnibus accounts’, please specify why and how far down the chain it is possible for you not to use them (i.e. whether this works in all situations </w:t>
      </w:r>
      <w:r w:rsidRPr="001A170B">
        <w:rPr>
          <w:b/>
          <w:bCs/>
          <w:sz w:val="22"/>
          <w:szCs w:val="20"/>
          <w:lang w:eastAsia="en-US"/>
        </w:rPr>
        <w:lastRenderedPageBreak/>
        <w:t>or, if it is necessary to use ‘omnibus accounts’ at some level of the custody chain, at which level)?</w:t>
      </w:r>
    </w:p>
    <w:p w:rsidR="001A170B" w:rsidRPr="001A170B" w:rsidRDefault="001A170B" w:rsidP="001A170B">
      <w:pPr>
        <w:numPr>
          <w:ilvl w:val="0"/>
          <w:numId w:val="39"/>
        </w:numPr>
        <w:spacing w:after="250" w:line="276" w:lineRule="auto"/>
        <w:jc w:val="both"/>
        <w:rPr>
          <w:b/>
          <w:bCs/>
          <w:sz w:val="22"/>
          <w:szCs w:val="20"/>
          <w:lang w:eastAsia="en-US"/>
        </w:rPr>
      </w:pPr>
      <w:r w:rsidRPr="001A170B">
        <w:rPr>
          <w:b/>
          <w:bCs/>
          <w:sz w:val="22"/>
          <w:szCs w:val="20"/>
          <w:lang w:eastAsia="en-US"/>
        </w:rPr>
        <w:t xml:space="preserve">in the chart/diagram to be provided under a), if applicable, please refer to the five options in the table under Q22 below and specify if your model matches or closely matches with any of the models described therein. </w:t>
      </w:r>
    </w:p>
    <w:p w:rsidR="001A170B" w:rsidRPr="001A170B" w:rsidRDefault="001A170B" w:rsidP="001A170B">
      <w:pPr>
        <w:numPr>
          <w:ilvl w:val="0"/>
          <w:numId w:val="39"/>
        </w:numPr>
        <w:spacing w:after="250" w:line="276" w:lineRule="auto"/>
        <w:jc w:val="both"/>
        <w:rPr>
          <w:bCs/>
          <w:sz w:val="22"/>
          <w:szCs w:val="20"/>
          <w:lang w:eastAsia="en-US"/>
        </w:rPr>
      </w:pPr>
      <w:r w:rsidRPr="001A170B">
        <w:rPr>
          <w:b/>
          <w:bCs/>
          <w:sz w:val="22"/>
          <w:szCs w:val="20"/>
          <w:lang w:eastAsia="en-US"/>
        </w:rPr>
        <w:t>if your model makes any distinction between AIF and UCITS assets, please highlight the difference between the two in the chart/diagram to be provided under a).</w:t>
      </w:r>
    </w:p>
    <w:p w:rsidR="001A170B" w:rsidRPr="001A170B" w:rsidRDefault="001A170B" w:rsidP="001A170B">
      <w:pPr>
        <w:numPr>
          <w:ilvl w:val="0"/>
          <w:numId w:val="39"/>
        </w:numPr>
        <w:spacing w:after="250" w:line="276" w:lineRule="auto"/>
        <w:jc w:val="both"/>
        <w:rPr>
          <w:rFonts w:cs="Arial"/>
          <w:b/>
          <w:bCs/>
          <w:sz w:val="22"/>
          <w:szCs w:val="20"/>
          <w:lang w:eastAsia="en-US"/>
        </w:rPr>
      </w:pPr>
      <w:r w:rsidRPr="001A170B">
        <w:rPr>
          <w:rFonts w:cs="Arial"/>
          <w:b/>
          <w:bCs/>
          <w:sz w:val="22"/>
          <w:szCs w:val="20"/>
          <w:lang w:eastAsia="en-US"/>
        </w:rPr>
        <w:t>According to a Briefing Note</w:t>
      </w:r>
      <w:r w:rsidRPr="001A170B">
        <w:rPr>
          <w:rFonts w:cs="Arial"/>
          <w:b/>
          <w:bCs/>
          <w:sz w:val="16"/>
          <w:szCs w:val="20"/>
          <w:vertAlign w:val="superscript"/>
          <w:lang w:eastAsia="en-US"/>
        </w:rPr>
        <w:footnoteReference w:id="2"/>
      </w:r>
      <w:r w:rsidRPr="001A170B">
        <w:rPr>
          <w:rFonts w:cs="Arial"/>
          <w:b/>
          <w:bCs/>
          <w:sz w:val="22"/>
          <w:szCs w:val="20"/>
          <w:lang w:eastAsia="en-US"/>
        </w:rPr>
        <w:t xml:space="preserve"> published by ECON in 2011, there are five basic models for holding securities with an intermediary: the trust model</w:t>
      </w:r>
      <w:r w:rsidRPr="001A170B">
        <w:rPr>
          <w:rFonts w:cs="Arial"/>
          <w:sz w:val="16"/>
          <w:szCs w:val="20"/>
          <w:vertAlign w:val="superscript"/>
          <w:lang w:eastAsia="en-US"/>
        </w:rPr>
        <w:footnoteReference w:id="3"/>
      </w:r>
      <w:r w:rsidRPr="001A170B">
        <w:rPr>
          <w:rFonts w:cs="Arial"/>
          <w:b/>
          <w:bCs/>
          <w:sz w:val="22"/>
          <w:szCs w:val="20"/>
          <w:lang w:eastAsia="en-US"/>
        </w:rPr>
        <w:t>, the security entitlement model</w:t>
      </w:r>
      <w:r w:rsidRPr="001A170B">
        <w:rPr>
          <w:rFonts w:cs="Arial"/>
          <w:sz w:val="16"/>
          <w:szCs w:val="20"/>
          <w:vertAlign w:val="superscript"/>
          <w:lang w:eastAsia="en-US"/>
        </w:rPr>
        <w:footnoteReference w:id="4"/>
      </w:r>
      <w:r w:rsidRPr="001A170B">
        <w:rPr>
          <w:rFonts w:cs="Arial"/>
          <w:b/>
          <w:bCs/>
          <w:sz w:val="22"/>
          <w:szCs w:val="20"/>
          <w:lang w:eastAsia="en-US"/>
        </w:rPr>
        <w:t>, the undivided property model</w:t>
      </w:r>
      <w:r w:rsidRPr="001A170B">
        <w:rPr>
          <w:rFonts w:cs="Arial"/>
          <w:sz w:val="16"/>
          <w:szCs w:val="20"/>
          <w:vertAlign w:val="superscript"/>
          <w:lang w:eastAsia="en-US"/>
        </w:rPr>
        <w:footnoteReference w:id="5"/>
      </w:r>
      <w:r w:rsidRPr="001A170B">
        <w:rPr>
          <w:rFonts w:cs="Arial"/>
          <w:b/>
          <w:bCs/>
          <w:sz w:val="22"/>
          <w:szCs w:val="20"/>
          <w:lang w:eastAsia="en-US"/>
        </w:rPr>
        <w:t>, the pooled property model</w:t>
      </w:r>
      <w:r w:rsidRPr="001A170B">
        <w:rPr>
          <w:rFonts w:cs="Arial"/>
          <w:sz w:val="16"/>
          <w:szCs w:val="20"/>
          <w:vertAlign w:val="superscript"/>
          <w:lang w:eastAsia="en-US"/>
        </w:rPr>
        <w:footnoteReference w:id="6"/>
      </w:r>
      <w:r w:rsidRPr="001A170B">
        <w:rPr>
          <w:rFonts w:cs="Arial"/>
          <w:b/>
          <w:bCs/>
          <w:sz w:val="22"/>
          <w:szCs w:val="20"/>
          <w:lang w:eastAsia="en-US"/>
        </w:rPr>
        <w:t xml:space="preserve"> and the transparent model</w:t>
      </w:r>
      <w:r w:rsidRPr="001A170B">
        <w:rPr>
          <w:rFonts w:cs="Arial"/>
          <w:sz w:val="16"/>
          <w:szCs w:val="20"/>
          <w:vertAlign w:val="superscript"/>
          <w:lang w:eastAsia="en-US"/>
        </w:rPr>
        <w:footnoteReference w:id="7"/>
      </w:r>
      <w:r w:rsidRPr="001A170B">
        <w:rPr>
          <w:rFonts w:cs="Arial"/>
          <w:b/>
          <w:bCs/>
          <w:sz w:val="22"/>
          <w:szCs w:val="20"/>
          <w:lang w:eastAsia="en-US"/>
        </w:rPr>
        <w:t>. ESMA is interested in gathering evidence on whether there may be any link between certain securities holding models and certain asset segregation models. Therefore, ESMA invites stakeholders to provide input to the following questions:</w:t>
      </w:r>
    </w:p>
    <w:p w:rsidR="001A170B" w:rsidRPr="001A170B" w:rsidRDefault="001A170B" w:rsidP="001A170B">
      <w:pPr>
        <w:numPr>
          <w:ilvl w:val="0"/>
          <w:numId w:val="42"/>
        </w:numPr>
        <w:spacing w:after="250" w:line="276" w:lineRule="auto"/>
        <w:jc w:val="both"/>
        <w:rPr>
          <w:rFonts w:cs="Arial"/>
          <w:b/>
          <w:bCs/>
          <w:sz w:val="22"/>
          <w:szCs w:val="20"/>
          <w:lang w:eastAsia="en-US"/>
        </w:rPr>
      </w:pPr>
      <w:r w:rsidRPr="001A170B">
        <w:rPr>
          <w:rFonts w:cs="Arial"/>
          <w:b/>
          <w:bCs/>
          <w:sz w:val="22"/>
          <w:szCs w:val="20"/>
          <w:lang w:eastAsia="en-US"/>
        </w:rPr>
        <w:t xml:space="preserve">What securities holding model do you use? </w:t>
      </w:r>
    </w:p>
    <w:p w:rsidR="001A170B" w:rsidRPr="001A170B" w:rsidRDefault="001A170B" w:rsidP="001A170B">
      <w:pPr>
        <w:numPr>
          <w:ilvl w:val="0"/>
          <w:numId w:val="42"/>
        </w:numPr>
        <w:spacing w:after="250" w:line="276" w:lineRule="auto"/>
        <w:jc w:val="both"/>
        <w:rPr>
          <w:rFonts w:cs="Arial"/>
          <w:b/>
          <w:bCs/>
          <w:sz w:val="22"/>
          <w:szCs w:val="20"/>
          <w:lang w:eastAsia="en-US"/>
        </w:rPr>
      </w:pPr>
      <w:r w:rsidRPr="001A170B">
        <w:rPr>
          <w:rFonts w:cs="Arial"/>
          <w:b/>
          <w:bCs/>
          <w:sz w:val="22"/>
          <w:szCs w:val="20"/>
          <w:lang w:eastAsia="en-US"/>
        </w:rPr>
        <w:t xml:space="preserve">Is such model the market standard in your jurisdiction? </w:t>
      </w:r>
    </w:p>
    <w:p w:rsidR="001A170B" w:rsidRPr="001A170B" w:rsidRDefault="001A170B" w:rsidP="001A170B">
      <w:pPr>
        <w:numPr>
          <w:ilvl w:val="0"/>
          <w:numId w:val="42"/>
        </w:numPr>
        <w:spacing w:after="250" w:line="276" w:lineRule="auto"/>
        <w:jc w:val="both"/>
        <w:rPr>
          <w:rFonts w:cs="Arial"/>
          <w:b/>
          <w:bCs/>
          <w:sz w:val="22"/>
          <w:szCs w:val="20"/>
          <w:lang w:eastAsia="en-US"/>
        </w:rPr>
      </w:pPr>
      <w:r w:rsidRPr="001A170B">
        <w:rPr>
          <w:rFonts w:cs="Arial"/>
          <w:b/>
          <w:bCs/>
          <w:sz w:val="22"/>
          <w:szCs w:val="20"/>
          <w:lang w:eastAsia="en-US"/>
        </w:rPr>
        <w:t>Is the market standard model in your jurisdiction one of the five mentioned above, or a different one? If a different one, please provide details.</w:t>
      </w:r>
    </w:p>
    <w:p w:rsidR="001A170B" w:rsidRPr="001A170B" w:rsidRDefault="001A170B" w:rsidP="001A170B">
      <w:pPr>
        <w:numPr>
          <w:ilvl w:val="0"/>
          <w:numId w:val="42"/>
        </w:numPr>
        <w:spacing w:after="250" w:line="276" w:lineRule="auto"/>
        <w:jc w:val="both"/>
        <w:rPr>
          <w:rFonts w:cs="Arial"/>
          <w:b/>
          <w:bCs/>
          <w:sz w:val="22"/>
          <w:szCs w:val="20"/>
          <w:lang w:eastAsia="en-US"/>
        </w:rPr>
      </w:pPr>
      <w:r w:rsidRPr="001A170B">
        <w:rPr>
          <w:rFonts w:cs="Arial"/>
          <w:b/>
          <w:bCs/>
          <w:sz w:val="22"/>
          <w:szCs w:val="20"/>
          <w:lang w:val="en-US" w:eastAsia="en-US"/>
        </w:rPr>
        <w:t xml:space="preserve">Does the model you refer to under f) </w:t>
      </w:r>
      <w:proofErr w:type="spellStart"/>
      <w:r w:rsidRPr="001A170B">
        <w:rPr>
          <w:rFonts w:cs="Arial"/>
          <w:b/>
          <w:bCs/>
          <w:sz w:val="22"/>
          <w:szCs w:val="20"/>
          <w:lang w:val="en-US" w:eastAsia="en-US"/>
        </w:rPr>
        <w:t>i</w:t>
      </w:r>
      <w:proofErr w:type="spellEnd"/>
      <w:r w:rsidRPr="001A170B">
        <w:rPr>
          <w:rFonts w:cs="Arial"/>
          <w:b/>
          <w:bCs/>
          <w:sz w:val="22"/>
          <w:szCs w:val="20"/>
          <w:lang w:val="en-US" w:eastAsia="en-US"/>
        </w:rPr>
        <w:t>) require a particular way of segregating assets</w:t>
      </w:r>
      <w:r w:rsidRPr="001A170B">
        <w:rPr>
          <w:rFonts w:cs="Arial"/>
          <w:b/>
          <w:sz w:val="22"/>
          <w:szCs w:val="20"/>
          <w:lang w:val="en-US" w:eastAsia="en-US"/>
        </w:rPr>
        <w:t xml:space="preserve"> </w:t>
      </w:r>
      <w:r w:rsidRPr="001A170B">
        <w:rPr>
          <w:rFonts w:cs="Arial"/>
          <w:b/>
          <w:bCs/>
          <w:sz w:val="22"/>
          <w:szCs w:val="20"/>
          <w:lang w:val="en-US" w:eastAsia="en-US"/>
        </w:rPr>
        <w:t xml:space="preserve">or omnibus accounts at one of the levels referred to </w:t>
      </w:r>
      <w:proofErr w:type="spellStart"/>
      <w:r w:rsidRPr="001A170B">
        <w:rPr>
          <w:rFonts w:cs="Arial"/>
          <w:b/>
          <w:bCs/>
          <w:sz w:val="22"/>
          <w:szCs w:val="20"/>
          <w:lang w:val="en-US" w:eastAsia="en-US"/>
        </w:rPr>
        <w:t>at</w:t>
      </w:r>
      <w:proofErr w:type="spellEnd"/>
      <w:r w:rsidRPr="001A170B">
        <w:rPr>
          <w:rFonts w:cs="Arial"/>
          <w:b/>
          <w:bCs/>
          <w:sz w:val="22"/>
          <w:szCs w:val="20"/>
          <w:lang w:val="en-US" w:eastAsia="en-US"/>
        </w:rPr>
        <w:t xml:space="preserve"> letter a) above?</w:t>
      </w:r>
      <w:r w:rsidRPr="001A170B">
        <w:rPr>
          <w:rFonts w:cs="Arial"/>
          <w:b/>
          <w:sz w:val="22"/>
          <w:szCs w:val="20"/>
          <w:lang w:val="en-US" w:eastAsia="en-US"/>
        </w:rPr>
        <w:t xml:space="preserve"> </w:t>
      </w:r>
      <w:r w:rsidRPr="001A170B">
        <w:rPr>
          <w:rFonts w:cs="Arial"/>
          <w:b/>
          <w:bCs/>
          <w:sz w:val="22"/>
          <w:szCs w:val="20"/>
          <w:lang w:val="en-US" w:eastAsia="en-US"/>
        </w:rPr>
        <w:t>If yes, please specify.</w:t>
      </w:r>
    </w:p>
    <w:p w:rsidR="001A170B" w:rsidRPr="001A170B" w:rsidRDefault="001A170B" w:rsidP="001A170B">
      <w:pPr>
        <w:numPr>
          <w:ilvl w:val="0"/>
          <w:numId w:val="39"/>
        </w:numPr>
        <w:spacing w:after="250" w:line="276" w:lineRule="auto"/>
        <w:jc w:val="both"/>
        <w:rPr>
          <w:rFonts w:cs="Arial"/>
          <w:b/>
          <w:bCs/>
          <w:sz w:val="22"/>
          <w:szCs w:val="20"/>
          <w:lang w:eastAsia="en-US"/>
        </w:rPr>
      </w:pPr>
      <w:r w:rsidRPr="001A170B">
        <w:rPr>
          <w:rFonts w:cs="Arial"/>
          <w:b/>
          <w:bCs/>
          <w:sz w:val="22"/>
          <w:szCs w:val="20"/>
          <w:lang w:eastAsia="en-US"/>
        </w:rPr>
        <w:t>Please explain the naming conventions (i.e. in whose name is the account opened) applied to the accounts with the delegates/sub-delegates of the depositary in the model described under answers to questions a) to e) above. Please also specify if there are instances where the accounts with the immediate delegate of the depositary are opened in the name of the funds.</w:t>
      </w:r>
    </w:p>
    <w:p w:rsidR="001A170B" w:rsidRDefault="001A170B" w:rsidP="001A170B">
      <w:pPr>
        <w:spacing w:after="250" w:line="276" w:lineRule="auto"/>
        <w:jc w:val="both"/>
        <w:rPr>
          <w:rFonts w:cs="Arial"/>
          <w:b/>
          <w:bCs/>
          <w:sz w:val="22"/>
          <w:szCs w:val="20"/>
          <w:lang w:eastAsia="en-US"/>
        </w:rPr>
      </w:pPr>
    </w:p>
    <w:p w:rsidR="001A170B" w:rsidRPr="00176639" w:rsidRDefault="001A170B" w:rsidP="001A170B">
      <w:r w:rsidRPr="00176639">
        <w:t>&lt;ESMA_</w:t>
      </w:r>
      <w:r>
        <w:t>QUESTION</w:t>
      </w:r>
      <w:r w:rsidRPr="00176639">
        <w:t>_</w:t>
      </w:r>
      <w:r>
        <w:t>CE_</w:t>
      </w:r>
      <w:r w:rsidRPr="000018FA">
        <w:t>ASCS</w:t>
      </w:r>
      <w:r w:rsidRPr="00176639">
        <w:t>_1&gt;</w:t>
      </w:r>
    </w:p>
    <w:p w:rsidR="001A170B" w:rsidRDefault="001A170B" w:rsidP="001A170B">
      <w:permStart w:id="1120935475" w:edGrp="everyone"/>
      <w:r>
        <w:t>TYPE YOUR TEXT HERE</w:t>
      </w:r>
    </w:p>
    <w:permEnd w:id="1120935475"/>
    <w:p w:rsidR="001A170B" w:rsidRPr="00B42A10" w:rsidRDefault="001A170B" w:rsidP="001A170B">
      <w:pPr>
        <w:rPr>
          <w:lang w:val="fr-FR"/>
        </w:rPr>
      </w:pPr>
      <w:r w:rsidRPr="00B42A10">
        <w:rPr>
          <w:lang w:val="fr-FR"/>
        </w:rPr>
        <w:t>&lt;ESMA_</w:t>
      </w:r>
      <w:r w:rsidRPr="001A170B">
        <w:rPr>
          <w:lang w:val="fr-FR"/>
        </w:rPr>
        <w:t>QUESTION</w:t>
      </w:r>
      <w:r w:rsidRPr="00B42A10">
        <w:rPr>
          <w:lang w:val="fr-FR"/>
        </w:rPr>
        <w:t>_CE_ASCS_1&gt;</w:t>
      </w:r>
    </w:p>
    <w:p w:rsidR="001A170B" w:rsidRPr="001A170B" w:rsidRDefault="001A170B" w:rsidP="001A170B">
      <w:pPr>
        <w:spacing w:after="250" w:line="276" w:lineRule="auto"/>
        <w:jc w:val="both"/>
        <w:rPr>
          <w:rFonts w:cs="Arial"/>
          <w:b/>
          <w:bCs/>
          <w:sz w:val="22"/>
          <w:szCs w:val="20"/>
          <w:lang w:eastAsia="en-US"/>
        </w:rPr>
      </w:pPr>
    </w:p>
    <w:p w:rsid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lastRenderedPageBreak/>
        <w:t>Please explain how, under the framework you have described in your response to Q1, the assets of the AIF/UCITS are protected against the insolvency of any of the parties involved in the custody chain (depositary, delegate, sub-delegate, – including prime broker – CSD) and – in case of use of ‘omnibus accounts’ – of their other clients whose assets are also held in this same account. In particular, what happens if a party, whose assets are held</w:t>
      </w:r>
      <w:r w:rsidRPr="001A170B" w:rsidDel="005B200C">
        <w:rPr>
          <w:b/>
          <w:bCs/>
          <w:sz w:val="22"/>
          <w:szCs w:val="20"/>
          <w:lang w:eastAsia="en-US"/>
        </w:rPr>
        <w:t xml:space="preserve"> </w:t>
      </w:r>
      <w:r w:rsidRPr="001A170B">
        <w:rPr>
          <w:b/>
          <w:bCs/>
          <w:sz w:val="22"/>
          <w:szCs w:val="20"/>
          <w:lang w:eastAsia="en-US"/>
        </w:rPr>
        <w:t>in another party’s ‘omnibus account’, becomes insolvent? Does this place at any disadvantage the other parties using the omnibus account who are not in default?</w:t>
      </w:r>
    </w:p>
    <w:p w:rsidR="00F579DC" w:rsidRDefault="00F579DC" w:rsidP="00F579DC">
      <w:pPr>
        <w:spacing w:after="250" w:line="276" w:lineRule="auto"/>
        <w:jc w:val="both"/>
        <w:rPr>
          <w:b/>
          <w:bCs/>
          <w:sz w:val="22"/>
          <w:szCs w:val="20"/>
          <w:lang w:eastAsia="en-US"/>
        </w:rPr>
      </w:pPr>
    </w:p>
    <w:p w:rsidR="001A170B" w:rsidRPr="00176639" w:rsidRDefault="001A170B" w:rsidP="001A170B">
      <w:r w:rsidRPr="00176639">
        <w:t>&lt;ESMA_</w:t>
      </w:r>
      <w:r>
        <w:t>QUESTION</w:t>
      </w:r>
      <w:r w:rsidRPr="00176639">
        <w:t>_</w:t>
      </w:r>
      <w:r>
        <w:t>CE_</w:t>
      </w:r>
      <w:r w:rsidRPr="000018FA">
        <w:t>ASCS</w:t>
      </w:r>
      <w:r w:rsidRPr="00176639">
        <w:t>_</w:t>
      </w:r>
      <w:r>
        <w:t>2</w:t>
      </w:r>
      <w:r w:rsidRPr="00176639">
        <w:t>&gt;</w:t>
      </w:r>
    </w:p>
    <w:p w:rsidR="001A170B" w:rsidRDefault="001A170B" w:rsidP="001A170B">
      <w:permStart w:id="463694538" w:edGrp="everyone"/>
      <w:r>
        <w:t>TYPE YOUR TEXT HERE</w:t>
      </w:r>
    </w:p>
    <w:permEnd w:id="463694538"/>
    <w:p w:rsidR="001A170B" w:rsidRPr="00B42A10" w:rsidRDefault="001A170B" w:rsidP="001A170B">
      <w:pPr>
        <w:rPr>
          <w:lang w:val="fr-FR"/>
        </w:rPr>
      </w:pPr>
      <w:r w:rsidRPr="00B42A10">
        <w:rPr>
          <w:lang w:val="fr-FR"/>
        </w:rPr>
        <w:t>&lt;ESMA_</w:t>
      </w:r>
      <w:r w:rsidRPr="001A170B">
        <w:rPr>
          <w:lang w:val="fr-FR"/>
        </w:rPr>
        <w:t>QUESTION</w:t>
      </w:r>
      <w:r w:rsidRPr="00B42A10">
        <w:rPr>
          <w:lang w:val="fr-FR"/>
        </w:rPr>
        <w:t>_CE_ASCS_</w:t>
      </w:r>
      <w:r>
        <w:rPr>
          <w:lang w:val="fr-FR"/>
        </w:rPr>
        <w:t>2</w:t>
      </w:r>
      <w:r w:rsidRPr="00B42A10">
        <w:rPr>
          <w:lang w:val="fr-FR"/>
        </w:rPr>
        <w:t>&gt;</w:t>
      </w:r>
    </w:p>
    <w:p w:rsidR="001A170B" w:rsidRPr="001A170B" w:rsidRDefault="001A170B" w:rsidP="001A170B">
      <w:pPr>
        <w:spacing w:after="250" w:line="276" w:lineRule="auto"/>
        <w:jc w:val="both"/>
        <w:rPr>
          <w:b/>
          <w:bCs/>
          <w:sz w:val="22"/>
          <w:szCs w:val="20"/>
          <w:lang w:eastAsia="en-US"/>
        </w:rPr>
      </w:pPr>
    </w:p>
    <w:p w:rsid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Please describe the differences (if any) between ‘omnibus accounts’ (i.e. books and records segregation) and separate accounts in terms of return of the assets from the account in a scenario of potential insolvency or insolvency. In particular, please indicate whether the assets may be transferred to the depositary or another delegate more easily and/or quickly under a particular insolvency regime from either of the two types of account and explain why. If possible and relevant, please (</w:t>
      </w:r>
      <w:proofErr w:type="spellStart"/>
      <w:r w:rsidRPr="001A170B">
        <w:rPr>
          <w:b/>
          <w:bCs/>
          <w:sz w:val="22"/>
          <w:szCs w:val="20"/>
          <w:lang w:eastAsia="en-US"/>
        </w:rPr>
        <w:t>i</w:t>
      </w:r>
      <w:proofErr w:type="spellEnd"/>
      <w:r w:rsidRPr="001A170B">
        <w:rPr>
          <w:b/>
          <w:bCs/>
          <w:sz w:val="22"/>
          <w:szCs w:val="20"/>
          <w:lang w:eastAsia="en-US"/>
        </w:rPr>
        <w:t>) distinguish among the various jurisdictions of which you have knowledge and (ii) explain whether a specific type of account may have an impact on the timeline for the aforementioned transfer of assets or, more generally, on the order of events in a scenario of potential insolvency or insolvency.</w:t>
      </w:r>
    </w:p>
    <w:p w:rsidR="00F579DC" w:rsidRDefault="00F579DC" w:rsidP="00F579DC">
      <w:pPr>
        <w:spacing w:after="250" w:line="276" w:lineRule="auto"/>
        <w:jc w:val="both"/>
        <w:rPr>
          <w:b/>
          <w:bCs/>
          <w:sz w:val="22"/>
          <w:szCs w:val="20"/>
          <w:lang w:eastAsia="en-US"/>
        </w:rPr>
      </w:pPr>
    </w:p>
    <w:p w:rsidR="00F579DC" w:rsidRPr="00176639" w:rsidRDefault="00F579DC" w:rsidP="00F579DC">
      <w:r w:rsidRPr="00176639">
        <w:t>&lt;ESMA_</w:t>
      </w:r>
      <w:r>
        <w:t>QUESTION</w:t>
      </w:r>
      <w:r w:rsidRPr="00176639">
        <w:t>_</w:t>
      </w:r>
      <w:r>
        <w:t>CE_</w:t>
      </w:r>
      <w:r w:rsidRPr="000018FA">
        <w:t>ASCS</w:t>
      </w:r>
      <w:r w:rsidRPr="00176639">
        <w:t>_</w:t>
      </w:r>
      <w:r>
        <w:t>3</w:t>
      </w:r>
      <w:r w:rsidRPr="00176639">
        <w:t>&gt;</w:t>
      </w:r>
    </w:p>
    <w:p w:rsidR="00F579DC" w:rsidRDefault="00F579DC" w:rsidP="00F579DC">
      <w:permStart w:id="886534859" w:edGrp="everyone"/>
      <w:r>
        <w:t>TYPE YOUR TEXT HERE</w:t>
      </w:r>
    </w:p>
    <w:permEnd w:id="886534859"/>
    <w:p w:rsidR="00F579DC" w:rsidRDefault="00F579DC" w:rsidP="00F579DC">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3</w:t>
      </w:r>
      <w:r w:rsidRPr="00B42A10">
        <w:rPr>
          <w:lang w:val="fr-FR"/>
        </w:rPr>
        <w:t>&gt;</w:t>
      </w:r>
    </w:p>
    <w:p w:rsidR="00F579DC" w:rsidRPr="001A170B" w:rsidRDefault="00F579DC" w:rsidP="00F579DC">
      <w:pPr>
        <w:spacing w:after="250" w:line="276" w:lineRule="auto"/>
        <w:jc w:val="both"/>
        <w:rPr>
          <w:b/>
          <w:bCs/>
          <w:sz w:val="22"/>
          <w:szCs w:val="20"/>
          <w:lang w:eastAsia="en-US"/>
        </w:rPr>
      </w:pPr>
    </w:p>
    <w:p w:rsidR="001A170B" w:rsidRP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Should you consider that asset segregation pursuant to options 1 and 2 of the CP does not provide any additional protection to the existing arrangements you described in your response to Q1 in case of insolvency, and that these arrangements provide adequate investor protection, please explain which aspects of the regime contribute to meeting the policy objective through measures including:</w:t>
      </w:r>
    </w:p>
    <w:p w:rsidR="001A170B" w:rsidRPr="001A170B" w:rsidRDefault="001A170B" w:rsidP="001A170B">
      <w:pPr>
        <w:numPr>
          <w:ilvl w:val="0"/>
          <w:numId w:val="46"/>
        </w:numPr>
        <w:spacing w:after="250" w:line="276" w:lineRule="auto"/>
        <w:jc w:val="both"/>
        <w:rPr>
          <w:rFonts w:cs="Arial"/>
          <w:b/>
          <w:sz w:val="22"/>
          <w:szCs w:val="20"/>
          <w:lang w:eastAsia="en-US"/>
        </w:rPr>
      </w:pPr>
      <w:r w:rsidRPr="001A170B">
        <w:rPr>
          <w:rFonts w:cs="Arial"/>
          <w:b/>
          <w:sz w:val="22"/>
          <w:szCs w:val="20"/>
          <w:lang w:eastAsia="en-US"/>
        </w:rPr>
        <w:t>effective reconciliation,</w:t>
      </w:r>
    </w:p>
    <w:p w:rsidR="001A170B" w:rsidRPr="001A170B" w:rsidRDefault="001A170B" w:rsidP="001A170B">
      <w:pPr>
        <w:numPr>
          <w:ilvl w:val="0"/>
          <w:numId w:val="46"/>
        </w:numPr>
        <w:spacing w:after="250" w:line="276" w:lineRule="auto"/>
        <w:jc w:val="both"/>
        <w:rPr>
          <w:rFonts w:cs="Arial"/>
          <w:b/>
          <w:sz w:val="22"/>
          <w:szCs w:val="20"/>
          <w:lang w:eastAsia="en-US"/>
        </w:rPr>
      </w:pPr>
      <w:r w:rsidRPr="001A170B">
        <w:rPr>
          <w:rFonts w:cs="Arial"/>
          <w:b/>
          <w:sz w:val="22"/>
          <w:szCs w:val="20"/>
          <w:lang w:eastAsia="en-US"/>
        </w:rPr>
        <w:t>traceability (e.g. books and records), or</w:t>
      </w:r>
    </w:p>
    <w:p w:rsidR="001A170B" w:rsidRPr="001A170B" w:rsidRDefault="001A170B" w:rsidP="001A170B">
      <w:pPr>
        <w:numPr>
          <w:ilvl w:val="0"/>
          <w:numId w:val="46"/>
        </w:numPr>
        <w:spacing w:after="250" w:line="276" w:lineRule="auto"/>
        <w:jc w:val="both"/>
        <w:rPr>
          <w:rFonts w:cs="Arial"/>
          <w:b/>
          <w:sz w:val="22"/>
          <w:szCs w:val="20"/>
          <w:lang w:eastAsia="en-US"/>
        </w:rPr>
      </w:pPr>
      <w:r w:rsidRPr="001A170B">
        <w:rPr>
          <w:rFonts w:cs="Arial"/>
          <w:b/>
          <w:sz w:val="22"/>
          <w:szCs w:val="20"/>
          <w:lang w:eastAsia="en-US"/>
        </w:rPr>
        <w:t>any other means (e.g. legal mechanisms).</w:t>
      </w:r>
    </w:p>
    <w:p w:rsidR="001A170B" w:rsidRDefault="001A170B" w:rsidP="001A170B">
      <w:pPr>
        <w:spacing w:after="250" w:line="276" w:lineRule="auto"/>
        <w:ind w:left="360"/>
        <w:jc w:val="both"/>
        <w:rPr>
          <w:b/>
          <w:bCs/>
          <w:sz w:val="22"/>
          <w:szCs w:val="20"/>
          <w:lang w:eastAsia="en-US"/>
        </w:rPr>
      </w:pPr>
      <w:r w:rsidRPr="001A170B">
        <w:rPr>
          <w:b/>
          <w:bCs/>
          <w:sz w:val="22"/>
          <w:szCs w:val="20"/>
          <w:lang w:eastAsia="en-US"/>
        </w:rPr>
        <w:lastRenderedPageBreak/>
        <w:t xml:space="preserve">Please justify your response and provide details on what any of the means under </w:t>
      </w:r>
      <w:proofErr w:type="spellStart"/>
      <w:r w:rsidRPr="001A170B">
        <w:rPr>
          <w:b/>
          <w:bCs/>
          <w:sz w:val="22"/>
          <w:szCs w:val="20"/>
          <w:lang w:eastAsia="en-US"/>
        </w:rPr>
        <w:t>i</w:t>
      </w:r>
      <w:proofErr w:type="spellEnd"/>
      <w:r w:rsidRPr="001A170B">
        <w:rPr>
          <w:b/>
          <w:bCs/>
          <w:sz w:val="22"/>
          <w:szCs w:val="20"/>
          <w:lang w:eastAsia="en-US"/>
        </w:rPr>
        <w:t xml:space="preserve">) to iii) consist of. </w:t>
      </w:r>
    </w:p>
    <w:p w:rsidR="00F579DC" w:rsidRDefault="00F579DC" w:rsidP="00F579DC">
      <w:pPr>
        <w:spacing w:after="250" w:line="276" w:lineRule="auto"/>
        <w:jc w:val="both"/>
        <w:rPr>
          <w:b/>
          <w:bCs/>
          <w:sz w:val="22"/>
          <w:szCs w:val="20"/>
          <w:lang w:eastAsia="en-US"/>
        </w:rPr>
      </w:pPr>
    </w:p>
    <w:p w:rsidR="00F579DC" w:rsidRPr="00176639" w:rsidRDefault="00F579DC" w:rsidP="00F579DC">
      <w:r w:rsidRPr="00176639">
        <w:t>&lt;ESMA_</w:t>
      </w:r>
      <w:r>
        <w:t>QUESTION</w:t>
      </w:r>
      <w:r w:rsidRPr="00176639">
        <w:t>_</w:t>
      </w:r>
      <w:r>
        <w:t>CE_</w:t>
      </w:r>
      <w:r w:rsidRPr="000018FA">
        <w:t>ASCS</w:t>
      </w:r>
      <w:r w:rsidRPr="00176639">
        <w:t>_</w:t>
      </w:r>
      <w:r>
        <w:t>4</w:t>
      </w:r>
      <w:r w:rsidRPr="00176639">
        <w:t>&gt;</w:t>
      </w:r>
    </w:p>
    <w:p w:rsidR="00F579DC" w:rsidRDefault="00F579DC" w:rsidP="00F579DC">
      <w:permStart w:id="1194150117" w:edGrp="everyone"/>
      <w:r>
        <w:t>TYPE YOUR TEXT HERE</w:t>
      </w:r>
    </w:p>
    <w:permEnd w:id="1194150117"/>
    <w:p w:rsidR="00F579DC" w:rsidRDefault="00F579DC" w:rsidP="00F579DC">
      <w:pPr>
        <w:spacing w:after="250" w:line="276" w:lineRule="auto"/>
        <w:jc w:val="both"/>
        <w:rPr>
          <w:b/>
          <w:bCs/>
          <w:sz w:val="22"/>
          <w:szCs w:val="20"/>
          <w:lang w:eastAsia="en-US"/>
        </w:rPr>
      </w:pPr>
      <w:r w:rsidRPr="00B42A10">
        <w:rPr>
          <w:lang w:val="fr-FR"/>
        </w:rPr>
        <w:t>&lt;ESMA_</w:t>
      </w:r>
      <w:r w:rsidRPr="001A170B">
        <w:rPr>
          <w:lang w:val="fr-FR"/>
        </w:rPr>
        <w:t>QUESTION</w:t>
      </w:r>
      <w:r w:rsidRPr="00B42A10">
        <w:rPr>
          <w:lang w:val="fr-FR"/>
        </w:rPr>
        <w:t>_CE_ASCS_</w:t>
      </w:r>
      <w:r>
        <w:rPr>
          <w:lang w:val="fr-FR"/>
        </w:rPr>
        <w:t>4</w:t>
      </w:r>
      <w:r w:rsidRPr="00B42A10">
        <w:rPr>
          <w:lang w:val="fr-FR"/>
        </w:rPr>
        <w:t>&gt;</w:t>
      </w:r>
    </w:p>
    <w:p w:rsidR="00F579DC" w:rsidRPr="001A170B" w:rsidRDefault="00F579DC" w:rsidP="00F579DC">
      <w:pPr>
        <w:spacing w:after="250" w:line="276" w:lineRule="auto"/>
        <w:jc w:val="both"/>
        <w:rPr>
          <w:b/>
          <w:bCs/>
          <w:sz w:val="22"/>
          <w:szCs w:val="20"/>
          <w:lang w:eastAsia="en-US"/>
        </w:rPr>
      </w:pPr>
    </w:p>
    <w:p w:rsidR="001A170B" w:rsidRPr="001A170B" w:rsidRDefault="001A170B" w:rsidP="001A170B">
      <w:pPr>
        <w:numPr>
          <w:ilvl w:val="0"/>
          <w:numId w:val="38"/>
        </w:numPr>
        <w:spacing w:after="250" w:line="276" w:lineRule="auto"/>
        <w:jc w:val="both"/>
        <w:rPr>
          <w:rFonts w:cs="Arial"/>
          <w:b/>
          <w:sz w:val="22"/>
          <w:szCs w:val="20"/>
          <w:lang w:eastAsia="en-US"/>
        </w:rPr>
      </w:pPr>
      <w:r w:rsidRPr="001A170B">
        <w:rPr>
          <w:rFonts w:cs="Arial"/>
          <w:b/>
          <w:sz w:val="22"/>
          <w:szCs w:val="20"/>
          <w:lang w:eastAsia="en-US"/>
        </w:rPr>
        <w:t>In the chart below (option 1 of the CP), AIF 1 would only have recourse against Depositary 1</w:t>
      </w:r>
      <w:r w:rsidRPr="001A170B">
        <w:rPr>
          <w:b/>
          <w:bCs/>
          <w:sz w:val="22"/>
          <w:szCs w:val="20"/>
          <w:lang w:eastAsia="en-US"/>
        </w:rPr>
        <w:t xml:space="preserve"> </w:t>
      </w:r>
      <w:r w:rsidRPr="001A170B">
        <w:rPr>
          <w:rFonts w:cs="Arial"/>
          <w:b/>
          <w:bCs/>
          <w:sz w:val="22"/>
          <w:szCs w:val="20"/>
          <w:lang w:eastAsia="en-US"/>
        </w:rPr>
        <w:t>under the PRIMA concept</w:t>
      </w:r>
      <w:r w:rsidRPr="001A170B">
        <w:rPr>
          <w:rFonts w:cs="Arial"/>
          <w:b/>
          <w:sz w:val="22"/>
          <w:szCs w:val="20"/>
          <w:lang w:eastAsia="en-US"/>
        </w:rPr>
        <w:t xml:space="preserve">. </w:t>
      </w:r>
    </w:p>
    <w:p w:rsidR="001A170B" w:rsidRPr="001A170B" w:rsidRDefault="001A170B" w:rsidP="001A170B">
      <w:pPr>
        <w:numPr>
          <w:ilvl w:val="0"/>
          <w:numId w:val="47"/>
        </w:numPr>
        <w:spacing w:after="250" w:line="276" w:lineRule="auto"/>
        <w:jc w:val="both"/>
        <w:rPr>
          <w:rFonts w:cs="Arial"/>
          <w:b/>
          <w:sz w:val="22"/>
          <w:szCs w:val="20"/>
          <w:lang w:eastAsia="en-US"/>
        </w:rPr>
      </w:pPr>
      <w:r w:rsidRPr="001A170B">
        <w:rPr>
          <w:rFonts w:cs="Arial"/>
          <w:b/>
          <w:sz w:val="22"/>
          <w:szCs w:val="20"/>
          <w:lang w:eastAsia="en-US"/>
        </w:rPr>
        <w:t>In the event of, for instance, a default of Depositary 2, would separate accounts at the level of the Delegate make it easier for Depositary 1 to enforce the rights in respect of the assets held in the account on its behalf against the Delegate?</w:t>
      </w:r>
    </w:p>
    <w:p w:rsidR="001A170B" w:rsidRPr="001A170B" w:rsidRDefault="001A170B" w:rsidP="001A170B">
      <w:pPr>
        <w:spacing w:after="250" w:line="276" w:lineRule="auto"/>
        <w:ind w:left="2160" w:hanging="360"/>
        <w:jc w:val="both"/>
        <w:rPr>
          <w:b/>
          <w:sz w:val="22"/>
          <w:szCs w:val="20"/>
          <w:lang w:eastAsia="en-US"/>
        </w:rPr>
      </w:pPr>
      <w:r w:rsidRPr="001A170B">
        <w:rPr>
          <w:b/>
          <w:sz w:val="22"/>
          <w:szCs w:val="20"/>
          <w:lang w:eastAsia="en-US"/>
        </w:rPr>
        <w:object w:dxaOrig="15375" w:dyaOrig="9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238.5pt" o:ole="">
            <v:imagedata r:id="rId14" o:title=""/>
          </v:shape>
          <o:OLEObject Type="Embed" ProgID="Visio.Drawing.11" ShapeID="_x0000_i1025" DrawAspect="Content" ObjectID="_1530091758" r:id="rId15"/>
        </w:object>
      </w:r>
    </w:p>
    <w:p w:rsidR="001A170B" w:rsidRPr="00F579DC" w:rsidRDefault="001A170B" w:rsidP="001A170B">
      <w:pPr>
        <w:numPr>
          <w:ilvl w:val="0"/>
          <w:numId w:val="47"/>
        </w:numPr>
        <w:spacing w:after="250" w:line="276" w:lineRule="auto"/>
        <w:jc w:val="both"/>
        <w:rPr>
          <w:sz w:val="22"/>
          <w:szCs w:val="20"/>
          <w:lang w:eastAsia="en-US"/>
        </w:rPr>
      </w:pPr>
      <w:r w:rsidRPr="001A170B">
        <w:rPr>
          <w:b/>
          <w:bCs/>
          <w:sz w:val="22"/>
          <w:szCs w:val="20"/>
          <w:lang w:eastAsia="en-US"/>
        </w:rPr>
        <w:t xml:space="preserve">In the event of the default of the Delegate, would separate accounts at the level of the Delegate make it easier for Depositary 1 and Depositary 2 to enforce their rights in respect of the assets held in the account on their behalf against the Delegate or its liquidators? </w:t>
      </w:r>
    </w:p>
    <w:p w:rsidR="00F579DC" w:rsidRDefault="00F579DC" w:rsidP="00F579DC">
      <w:pPr>
        <w:spacing w:after="250" w:line="276" w:lineRule="auto"/>
        <w:jc w:val="both"/>
        <w:rPr>
          <w:b/>
          <w:bCs/>
          <w:sz w:val="22"/>
          <w:szCs w:val="20"/>
          <w:lang w:eastAsia="en-US"/>
        </w:rPr>
      </w:pPr>
    </w:p>
    <w:p w:rsidR="00F579DC" w:rsidRPr="00176639" w:rsidRDefault="00F579DC" w:rsidP="00F579DC">
      <w:r w:rsidRPr="00176639">
        <w:t>&lt;ESMA_</w:t>
      </w:r>
      <w:r>
        <w:t>QUESTION</w:t>
      </w:r>
      <w:r w:rsidRPr="00176639">
        <w:t>_</w:t>
      </w:r>
      <w:r>
        <w:t>CE_</w:t>
      </w:r>
      <w:r w:rsidRPr="000018FA">
        <w:t>ASCS</w:t>
      </w:r>
      <w:r w:rsidRPr="00176639">
        <w:t>_</w:t>
      </w:r>
      <w:r>
        <w:t>5</w:t>
      </w:r>
      <w:r w:rsidRPr="00176639">
        <w:t>&gt;</w:t>
      </w:r>
    </w:p>
    <w:p w:rsidR="00F579DC" w:rsidRDefault="00F579DC" w:rsidP="00F579DC">
      <w:permStart w:id="1315722187" w:edGrp="everyone"/>
      <w:r>
        <w:t>TYPE YOUR TEXT HERE</w:t>
      </w:r>
    </w:p>
    <w:permEnd w:id="1315722187"/>
    <w:p w:rsidR="00F579DC" w:rsidRDefault="00F579DC" w:rsidP="00F579DC">
      <w:pPr>
        <w:spacing w:after="250" w:line="276" w:lineRule="auto"/>
        <w:jc w:val="both"/>
        <w:rPr>
          <w:b/>
          <w:bCs/>
          <w:sz w:val="22"/>
          <w:szCs w:val="20"/>
          <w:lang w:eastAsia="en-US"/>
        </w:rPr>
      </w:pPr>
      <w:r w:rsidRPr="00B42A10">
        <w:rPr>
          <w:lang w:val="fr-FR"/>
        </w:rPr>
        <w:t>&lt;ESMA_</w:t>
      </w:r>
      <w:r w:rsidRPr="001A170B">
        <w:rPr>
          <w:lang w:val="fr-FR"/>
        </w:rPr>
        <w:t>QUESTION</w:t>
      </w:r>
      <w:r w:rsidRPr="00B42A10">
        <w:rPr>
          <w:lang w:val="fr-FR"/>
        </w:rPr>
        <w:t>_CE_ASCS_</w:t>
      </w:r>
      <w:r>
        <w:rPr>
          <w:lang w:val="fr-FR"/>
        </w:rPr>
        <w:t>5</w:t>
      </w:r>
      <w:r w:rsidRPr="00B42A10">
        <w:rPr>
          <w:lang w:val="fr-FR"/>
        </w:rPr>
        <w:t>&gt;</w:t>
      </w:r>
    </w:p>
    <w:p w:rsidR="00F579DC" w:rsidRPr="001A170B" w:rsidRDefault="00F579DC" w:rsidP="00F579DC">
      <w:pPr>
        <w:spacing w:after="250" w:line="276" w:lineRule="auto"/>
        <w:jc w:val="both"/>
        <w:rPr>
          <w:sz w:val="22"/>
          <w:szCs w:val="20"/>
          <w:lang w:eastAsia="en-US"/>
        </w:rPr>
      </w:pPr>
    </w:p>
    <w:p w:rsidR="001A170B" w:rsidRP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lastRenderedPageBreak/>
        <w:t>Many respondents to the CP argued that, in an insolvency scenario, imposing a model where investors have individual accounts throughout the custody chain would not necessarily provide any particular benefit over the use of IT book segregation in an omnibus account (i.e. books and records instead of separate accounts). Please explain how the level of protection indicated in the policy objective at the start of this paper can be achieved through the use of omnibus accounts. Please also:</w:t>
      </w:r>
    </w:p>
    <w:p w:rsidR="001A170B" w:rsidRPr="001A170B" w:rsidRDefault="001A170B" w:rsidP="001A170B">
      <w:pPr>
        <w:numPr>
          <w:ilvl w:val="0"/>
          <w:numId w:val="48"/>
        </w:numPr>
        <w:spacing w:after="250" w:line="276" w:lineRule="auto"/>
        <w:jc w:val="both"/>
        <w:rPr>
          <w:rFonts w:cs="Arial"/>
          <w:b/>
          <w:sz w:val="22"/>
          <w:szCs w:val="20"/>
          <w:lang w:eastAsia="en-US"/>
        </w:rPr>
      </w:pPr>
      <w:r w:rsidRPr="001A170B">
        <w:rPr>
          <w:rFonts w:cs="Arial"/>
          <w:b/>
          <w:sz w:val="22"/>
          <w:szCs w:val="20"/>
          <w:lang w:eastAsia="en-US"/>
        </w:rPr>
        <w:t>describe how segregation in books and records would ensure the aforementioned investor protection;</w:t>
      </w:r>
    </w:p>
    <w:p w:rsidR="001A170B" w:rsidRPr="001A170B" w:rsidRDefault="001A170B" w:rsidP="001A170B">
      <w:pPr>
        <w:numPr>
          <w:ilvl w:val="0"/>
          <w:numId w:val="48"/>
        </w:numPr>
        <w:spacing w:after="250" w:line="276" w:lineRule="auto"/>
        <w:jc w:val="both"/>
        <w:rPr>
          <w:b/>
          <w:sz w:val="22"/>
          <w:szCs w:val="20"/>
          <w:lang w:eastAsia="en-US"/>
        </w:rPr>
      </w:pPr>
      <w:r w:rsidRPr="001A170B">
        <w:rPr>
          <w:b/>
          <w:sz w:val="22"/>
          <w:szCs w:val="20"/>
          <w:lang w:eastAsia="en-US"/>
        </w:rPr>
        <w:t>provide an example of how such books and records are used in insolvency proceedings to trace and return client securities when omnibus accounts are used; and</w:t>
      </w:r>
    </w:p>
    <w:p w:rsidR="001A170B" w:rsidRPr="00F579DC" w:rsidRDefault="001A170B" w:rsidP="001A170B">
      <w:pPr>
        <w:numPr>
          <w:ilvl w:val="0"/>
          <w:numId w:val="48"/>
        </w:numPr>
        <w:spacing w:after="250" w:line="276" w:lineRule="auto"/>
        <w:jc w:val="both"/>
        <w:rPr>
          <w:rFonts w:cs="Arial"/>
          <w:sz w:val="22"/>
          <w:szCs w:val="20"/>
          <w:lang w:eastAsia="en-US"/>
        </w:rPr>
      </w:pPr>
      <w:r w:rsidRPr="001A170B">
        <w:rPr>
          <w:b/>
          <w:sz w:val="22"/>
          <w:szCs w:val="20"/>
          <w:lang w:eastAsia="en-US"/>
        </w:rPr>
        <w:t>explain how the above-mentioned segregation in books and records would address any of the risks</w:t>
      </w:r>
      <w:r w:rsidRPr="001A170B">
        <w:rPr>
          <w:b/>
          <w:bCs/>
          <w:sz w:val="22"/>
          <w:szCs w:val="20"/>
          <w:lang w:eastAsia="en-US"/>
        </w:rPr>
        <w:t xml:space="preserve"> of ‘omnibus accounts’</w:t>
      </w:r>
      <w:r w:rsidRPr="001A170B">
        <w:rPr>
          <w:b/>
          <w:sz w:val="22"/>
          <w:szCs w:val="20"/>
          <w:lang w:eastAsia="en-US"/>
        </w:rPr>
        <w:t xml:space="preserve"> mentioned in recent IOSCO work</w:t>
      </w:r>
      <w:r w:rsidRPr="001A170B">
        <w:rPr>
          <w:b/>
          <w:bCs/>
          <w:sz w:val="16"/>
          <w:szCs w:val="20"/>
          <w:vertAlign w:val="superscript"/>
          <w:lang w:eastAsia="en-US"/>
        </w:rPr>
        <w:footnoteReference w:id="8"/>
      </w:r>
      <w:r w:rsidRPr="001A170B">
        <w:rPr>
          <w:b/>
          <w:sz w:val="22"/>
          <w:szCs w:val="20"/>
          <w:lang w:eastAsia="en-US"/>
        </w:rPr>
        <w:t>.</w:t>
      </w:r>
    </w:p>
    <w:p w:rsidR="00F579DC" w:rsidRDefault="00F579DC" w:rsidP="00F579DC">
      <w:pPr>
        <w:spacing w:after="250" w:line="276" w:lineRule="auto"/>
        <w:jc w:val="both"/>
        <w:rPr>
          <w:b/>
          <w:sz w:val="22"/>
          <w:szCs w:val="20"/>
          <w:lang w:eastAsia="en-US"/>
        </w:rPr>
      </w:pPr>
    </w:p>
    <w:p w:rsidR="00F579DC" w:rsidRPr="00176639" w:rsidRDefault="00F579DC" w:rsidP="00F579DC">
      <w:r w:rsidRPr="00176639">
        <w:t>&lt;ESMA_</w:t>
      </w:r>
      <w:r>
        <w:t>QUESTION</w:t>
      </w:r>
      <w:r w:rsidRPr="00176639">
        <w:t>_</w:t>
      </w:r>
      <w:r>
        <w:t>CE_</w:t>
      </w:r>
      <w:r w:rsidRPr="000018FA">
        <w:t>ASCS</w:t>
      </w:r>
      <w:r w:rsidRPr="00176639">
        <w:t>_</w:t>
      </w:r>
      <w:r>
        <w:t>6</w:t>
      </w:r>
      <w:r w:rsidRPr="00176639">
        <w:t>&gt;</w:t>
      </w:r>
    </w:p>
    <w:p w:rsidR="00F579DC" w:rsidRDefault="00F579DC" w:rsidP="00F579DC">
      <w:permStart w:id="1021072417" w:edGrp="everyone"/>
      <w:r>
        <w:t>TYPE YOUR TEXT HERE</w:t>
      </w:r>
    </w:p>
    <w:permEnd w:id="1021072417"/>
    <w:p w:rsidR="00F579DC" w:rsidRDefault="00F579DC" w:rsidP="00F579DC">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6</w:t>
      </w:r>
      <w:r w:rsidRPr="00B42A10">
        <w:rPr>
          <w:lang w:val="fr-FR"/>
        </w:rPr>
        <w:t>&gt;</w:t>
      </w:r>
    </w:p>
    <w:p w:rsidR="00F579DC" w:rsidRPr="001A170B" w:rsidRDefault="00F579DC" w:rsidP="00F579DC">
      <w:pPr>
        <w:spacing w:after="250" w:line="276" w:lineRule="auto"/>
        <w:jc w:val="both"/>
        <w:rPr>
          <w:rFonts w:cs="Arial"/>
          <w:sz w:val="22"/>
          <w:szCs w:val="20"/>
          <w:lang w:eastAsia="en-US"/>
        </w:rPr>
      </w:pPr>
    </w:p>
    <w:p w:rsidR="001A170B" w:rsidRP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Please describe the impact of settlement process and account structures on the different levels through the custody chain in the case of</w:t>
      </w:r>
    </w:p>
    <w:p w:rsidR="001A170B" w:rsidRPr="001A170B" w:rsidRDefault="001A170B" w:rsidP="001A170B">
      <w:pPr>
        <w:numPr>
          <w:ilvl w:val="0"/>
          <w:numId w:val="43"/>
        </w:numPr>
        <w:spacing w:after="250" w:line="276" w:lineRule="auto"/>
        <w:jc w:val="both"/>
        <w:rPr>
          <w:b/>
          <w:sz w:val="22"/>
          <w:szCs w:val="20"/>
          <w:lang w:eastAsia="en-US"/>
        </w:rPr>
      </w:pPr>
      <w:r w:rsidRPr="001A170B">
        <w:rPr>
          <w:b/>
          <w:sz w:val="22"/>
          <w:szCs w:val="20"/>
          <w:lang w:eastAsia="en-US"/>
        </w:rPr>
        <w:t xml:space="preserve">Cross-border investments </w:t>
      </w:r>
    </w:p>
    <w:p w:rsidR="001A170B" w:rsidRPr="001A170B" w:rsidRDefault="001A170B" w:rsidP="001A170B">
      <w:pPr>
        <w:numPr>
          <w:ilvl w:val="0"/>
          <w:numId w:val="45"/>
        </w:numPr>
        <w:spacing w:after="250" w:line="276" w:lineRule="auto"/>
        <w:jc w:val="both"/>
        <w:rPr>
          <w:b/>
          <w:sz w:val="22"/>
          <w:szCs w:val="20"/>
          <w:lang w:eastAsia="en-US"/>
        </w:rPr>
      </w:pPr>
      <w:r w:rsidRPr="001A170B">
        <w:rPr>
          <w:b/>
          <w:sz w:val="22"/>
          <w:szCs w:val="20"/>
          <w:lang w:eastAsia="en-US"/>
        </w:rPr>
        <w:t>Through CSD Links</w:t>
      </w:r>
    </w:p>
    <w:p w:rsidR="001A170B" w:rsidRPr="001A170B" w:rsidRDefault="001A170B" w:rsidP="001A170B">
      <w:pPr>
        <w:numPr>
          <w:ilvl w:val="0"/>
          <w:numId w:val="45"/>
        </w:numPr>
        <w:spacing w:after="250" w:line="276" w:lineRule="auto"/>
        <w:jc w:val="both"/>
        <w:rPr>
          <w:b/>
          <w:sz w:val="22"/>
          <w:szCs w:val="20"/>
          <w:lang w:eastAsia="en-US"/>
        </w:rPr>
      </w:pPr>
      <w:r w:rsidRPr="001A170B">
        <w:rPr>
          <w:b/>
          <w:sz w:val="22"/>
          <w:szCs w:val="20"/>
          <w:lang w:eastAsia="en-US"/>
        </w:rPr>
        <w:t>In relation to cross-border investments through CSD links, what are the functions of an investor CSD</w:t>
      </w:r>
      <w:r w:rsidRPr="001A170B">
        <w:rPr>
          <w:b/>
          <w:sz w:val="16"/>
          <w:szCs w:val="20"/>
          <w:vertAlign w:val="superscript"/>
          <w:lang w:eastAsia="en-US"/>
        </w:rPr>
        <w:footnoteReference w:id="9"/>
      </w:r>
      <w:r w:rsidRPr="001A170B">
        <w:rPr>
          <w:b/>
          <w:sz w:val="22"/>
          <w:szCs w:val="20"/>
          <w:lang w:eastAsia="en-US"/>
        </w:rPr>
        <w:t>?</w:t>
      </w:r>
    </w:p>
    <w:p w:rsidR="001A170B" w:rsidRPr="001A170B" w:rsidRDefault="001A170B" w:rsidP="001A170B">
      <w:pPr>
        <w:numPr>
          <w:ilvl w:val="0"/>
          <w:numId w:val="45"/>
        </w:numPr>
        <w:spacing w:after="250" w:line="276" w:lineRule="auto"/>
        <w:jc w:val="both"/>
        <w:rPr>
          <w:b/>
          <w:sz w:val="22"/>
          <w:szCs w:val="20"/>
          <w:lang w:eastAsia="en-US"/>
        </w:rPr>
      </w:pPr>
      <w:r w:rsidRPr="001A170B">
        <w:rPr>
          <w:b/>
          <w:sz w:val="22"/>
          <w:szCs w:val="20"/>
          <w:lang w:eastAsia="en-US"/>
        </w:rPr>
        <w:t>Through T2S</w:t>
      </w:r>
    </w:p>
    <w:p w:rsidR="001A170B" w:rsidRPr="001A170B" w:rsidRDefault="001A170B" w:rsidP="001A170B">
      <w:pPr>
        <w:numPr>
          <w:ilvl w:val="0"/>
          <w:numId w:val="43"/>
        </w:numPr>
        <w:spacing w:after="250" w:line="276" w:lineRule="auto"/>
        <w:jc w:val="both"/>
        <w:rPr>
          <w:b/>
          <w:sz w:val="22"/>
          <w:szCs w:val="20"/>
          <w:lang w:eastAsia="en-US"/>
        </w:rPr>
      </w:pPr>
      <w:r w:rsidRPr="001A170B">
        <w:rPr>
          <w:b/>
          <w:sz w:val="22"/>
          <w:szCs w:val="20"/>
          <w:lang w:eastAsia="en-US"/>
        </w:rPr>
        <w:lastRenderedPageBreak/>
        <w:t>Prime broker services</w:t>
      </w:r>
    </w:p>
    <w:p w:rsidR="001A170B" w:rsidRDefault="001A170B" w:rsidP="001A170B">
      <w:pPr>
        <w:numPr>
          <w:ilvl w:val="0"/>
          <w:numId w:val="43"/>
        </w:numPr>
        <w:spacing w:after="250" w:line="276" w:lineRule="auto"/>
        <w:jc w:val="both"/>
        <w:rPr>
          <w:b/>
          <w:sz w:val="22"/>
          <w:szCs w:val="20"/>
          <w:lang w:eastAsia="en-US"/>
        </w:rPr>
      </w:pPr>
      <w:r w:rsidRPr="001A170B">
        <w:rPr>
          <w:b/>
          <w:sz w:val="22"/>
          <w:szCs w:val="20"/>
          <w:lang w:eastAsia="en-US"/>
        </w:rPr>
        <w:t>Tri-party collateral management / securities lending.</w:t>
      </w:r>
    </w:p>
    <w:p w:rsidR="00F579DC" w:rsidRDefault="00F579DC" w:rsidP="00F579DC">
      <w:pPr>
        <w:spacing w:after="250" w:line="276" w:lineRule="auto"/>
        <w:jc w:val="both"/>
        <w:rPr>
          <w:b/>
          <w:sz w:val="22"/>
          <w:szCs w:val="20"/>
          <w:lang w:eastAsia="en-US"/>
        </w:rPr>
      </w:pPr>
    </w:p>
    <w:p w:rsidR="00F579DC" w:rsidRPr="00176639" w:rsidRDefault="00F579DC" w:rsidP="00F579DC">
      <w:r w:rsidRPr="00176639">
        <w:t>&lt;ESMA_</w:t>
      </w:r>
      <w:r>
        <w:t>QUESTION</w:t>
      </w:r>
      <w:r w:rsidRPr="00176639">
        <w:t>_</w:t>
      </w:r>
      <w:r>
        <w:t>CE_</w:t>
      </w:r>
      <w:r w:rsidRPr="000018FA">
        <w:t>ASCS</w:t>
      </w:r>
      <w:r w:rsidRPr="00176639">
        <w:t>_</w:t>
      </w:r>
      <w:r>
        <w:t>7</w:t>
      </w:r>
      <w:r w:rsidRPr="00176639">
        <w:t>&gt;</w:t>
      </w:r>
    </w:p>
    <w:p w:rsidR="00F579DC" w:rsidRDefault="00F579DC" w:rsidP="00F579DC">
      <w:permStart w:id="116292359" w:edGrp="everyone"/>
      <w:r>
        <w:t>TYPE YOUR TEXT HERE</w:t>
      </w:r>
    </w:p>
    <w:permEnd w:id="116292359"/>
    <w:p w:rsidR="00F579DC" w:rsidRDefault="00F579DC" w:rsidP="00F579DC">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7</w:t>
      </w:r>
      <w:r w:rsidRPr="00B42A10">
        <w:rPr>
          <w:lang w:val="fr-FR"/>
        </w:rPr>
        <w:t>&gt;</w:t>
      </w:r>
    </w:p>
    <w:p w:rsidR="00F579DC" w:rsidRPr="001A170B" w:rsidRDefault="00F579DC" w:rsidP="00F579DC">
      <w:pPr>
        <w:spacing w:after="250" w:line="276" w:lineRule="auto"/>
        <w:jc w:val="both"/>
        <w:rPr>
          <w:b/>
          <w:sz w:val="22"/>
          <w:szCs w:val="20"/>
          <w:lang w:eastAsia="en-US"/>
        </w:rPr>
      </w:pPr>
    </w:p>
    <w:p w:rsid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 xml:space="preserve">It has been argued that each time a new end investor or new AIF or UCITS is added as a customer, instead of one new account being created, many new accounts would need to be created at multiple levels in the chain of custody. If you agree with this statement, please provide further details of how this would work in practice. </w:t>
      </w:r>
    </w:p>
    <w:p w:rsidR="001C29EC" w:rsidRDefault="001C29EC" w:rsidP="001C29EC">
      <w:pPr>
        <w:spacing w:after="250" w:line="276" w:lineRule="auto"/>
        <w:jc w:val="both"/>
        <w:rPr>
          <w:b/>
          <w:bCs/>
          <w:sz w:val="22"/>
          <w:szCs w:val="20"/>
          <w:lang w:eastAsia="en-US"/>
        </w:rPr>
      </w:pPr>
    </w:p>
    <w:p w:rsidR="001C29EC" w:rsidRPr="00176639" w:rsidRDefault="001C29EC" w:rsidP="001C29EC">
      <w:r w:rsidRPr="00176639">
        <w:t>&lt;ESMA_</w:t>
      </w:r>
      <w:r>
        <w:t>QUESTION</w:t>
      </w:r>
      <w:r w:rsidRPr="00176639">
        <w:t>_</w:t>
      </w:r>
      <w:r>
        <w:t>CE_</w:t>
      </w:r>
      <w:r w:rsidRPr="000018FA">
        <w:t>ASCS</w:t>
      </w:r>
      <w:r w:rsidRPr="00176639">
        <w:t>_</w:t>
      </w:r>
      <w:r>
        <w:t>8</w:t>
      </w:r>
      <w:r w:rsidRPr="00176639">
        <w:t>&gt;</w:t>
      </w:r>
    </w:p>
    <w:p w:rsidR="001C29EC" w:rsidRDefault="001C29EC" w:rsidP="001C29EC">
      <w:permStart w:id="2078870050" w:edGrp="everyone"/>
      <w:r>
        <w:t>TYPE YOUR TEXT HERE</w:t>
      </w:r>
    </w:p>
    <w:permEnd w:id="2078870050"/>
    <w:p w:rsidR="001C29EC" w:rsidRDefault="001C29EC" w:rsidP="001C29EC">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8</w:t>
      </w:r>
      <w:r w:rsidRPr="00B42A10">
        <w:rPr>
          <w:lang w:val="fr-FR"/>
        </w:rPr>
        <w:t>&gt;</w:t>
      </w:r>
    </w:p>
    <w:p w:rsidR="001C29EC" w:rsidRPr="001A170B" w:rsidRDefault="001C29EC" w:rsidP="001C29EC">
      <w:pPr>
        <w:spacing w:after="250" w:line="276" w:lineRule="auto"/>
        <w:jc w:val="both"/>
        <w:rPr>
          <w:b/>
          <w:bCs/>
          <w:sz w:val="22"/>
          <w:szCs w:val="20"/>
          <w:lang w:eastAsia="en-US"/>
        </w:rPr>
      </w:pPr>
    </w:p>
    <w:p w:rsid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If the number of accounts were increased, what effect would it have on the efficiency of settlement operations (e.g. the ability to net off transactions)?</w:t>
      </w:r>
    </w:p>
    <w:p w:rsidR="001C29EC" w:rsidRDefault="001C29EC" w:rsidP="001C29EC">
      <w:pPr>
        <w:spacing w:after="250" w:line="276" w:lineRule="auto"/>
        <w:jc w:val="both"/>
        <w:rPr>
          <w:b/>
          <w:bCs/>
          <w:sz w:val="22"/>
          <w:szCs w:val="20"/>
          <w:lang w:eastAsia="en-US"/>
        </w:rPr>
      </w:pPr>
    </w:p>
    <w:p w:rsidR="001C29EC" w:rsidRPr="00176639" w:rsidRDefault="001C29EC" w:rsidP="001C29EC">
      <w:r w:rsidRPr="00176639">
        <w:t>&lt;ESMA_</w:t>
      </w:r>
      <w:r>
        <w:t>QUESTION</w:t>
      </w:r>
      <w:r w:rsidRPr="00176639">
        <w:t>_</w:t>
      </w:r>
      <w:r>
        <w:t>CE_</w:t>
      </w:r>
      <w:r w:rsidRPr="000018FA">
        <w:t>ASCS</w:t>
      </w:r>
      <w:r w:rsidRPr="00176639">
        <w:t>_</w:t>
      </w:r>
      <w:r>
        <w:t>9</w:t>
      </w:r>
      <w:r w:rsidRPr="00176639">
        <w:t>&gt;</w:t>
      </w:r>
    </w:p>
    <w:p w:rsidR="001C29EC" w:rsidRDefault="001C29EC" w:rsidP="001C29EC">
      <w:permStart w:id="602698663" w:edGrp="everyone"/>
      <w:r>
        <w:t>TYPE YOUR TEXT HERE</w:t>
      </w:r>
    </w:p>
    <w:permEnd w:id="602698663"/>
    <w:p w:rsidR="001C29EC" w:rsidRDefault="001C29EC" w:rsidP="001C29EC">
      <w:pPr>
        <w:spacing w:after="250" w:line="276" w:lineRule="auto"/>
        <w:jc w:val="both"/>
        <w:rPr>
          <w:b/>
          <w:bCs/>
          <w:sz w:val="22"/>
          <w:szCs w:val="20"/>
          <w:lang w:eastAsia="en-US"/>
        </w:rPr>
      </w:pPr>
      <w:r w:rsidRPr="00B42A10">
        <w:rPr>
          <w:lang w:val="fr-FR"/>
        </w:rPr>
        <w:t>&lt;ESMA_</w:t>
      </w:r>
      <w:r w:rsidRPr="001A170B">
        <w:rPr>
          <w:lang w:val="fr-FR"/>
        </w:rPr>
        <w:t>QUESTION</w:t>
      </w:r>
      <w:r w:rsidRPr="00B42A10">
        <w:rPr>
          <w:lang w:val="fr-FR"/>
        </w:rPr>
        <w:t>_CE_ASCS_</w:t>
      </w:r>
      <w:r>
        <w:rPr>
          <w:lang w:val="fr-FR"/>
        </w:rPr>
        <w:t>9</w:t>
      </w:r>
      <w:r w:rsidRPr="00B42A10">
        <w:rPr>
          <w:lang w:val="fr-FR"/>
        </w:rPr>
        <w:t>&gt;</w:t>
      </w:r>
    </w:p>
    <w:p w:rsidR="001C29EC" w:rsidRPr="001A170B" w:rsidRDefault="001C29EC" w:rsidP="001C29EC">
      <w:pPr>
        <w:spacing w:after="250" w:line="276" w:lineRule="auto"/>
        <w:jc w:val="both"/>
        <w:rPr>
          <w:b/>
          <w:bCs/>
          <w:sz w:val="22"/>
          <w:szCs w:val="20"/>
          <w:lang w:eastAsia="en-US"/>
        </w:rPr>
      </w:pPr>
    </w:p>
    <w:p w:rsidR="001A170B" w:rsidRP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Many respondents to the CP argued that option 1 in the CP would prevent asset managers from:</w:t>
      </w:r>
    </w:p>
    <w:p w:rsidR="001A170B" w:rsidRPr="001A170B" w:rsidRDefault="001A170B" w:rsidP="001A170B">
      <w:pPr>
        <w:numPr>
          <w:ilvl w:val="0"/>
          <w:numId w:val="49"/>
        </w:numPr>
        <w:spacing w:after="250" w:line="276" w:lineRule="auto"/>
        <w:jc w:val="both"/>
        <w:rPr>
          <w:rFonts w:cs="Arial"/>
          <w:b/>
          <w:sz w:val="22"/>
          <w:szCs w:val="20"/>
          <w:lang w:eastAsia="en-US"/>
        </w:rPr>
      </w:pPr>
      <w:r w:rsidRPr="001A170B">
        <w:rPr>
          <w:rFonts w:cs="Arial"/>
          <w:b/>
          <w:sz w:val="22"/>
          <w:szCs w:val="20"/>
          <w:lang w:eastAsia="en-US"/>
        </w:rPr>
        <w:t>executing block trades; and</w:t>
      </w:r>
    </w:p>
    <w:p w:rsidR="001A170B" w:rsidRPr="001A170B" w:rsidRDefault="001A170B" w:rsidP="001A170B">
      <w:pPr>
        <w:numPr>
          <w:ilvl w:val="0"/>
          <w:numId w:val="49"/>
        </w:numPr>
        <w:spacing w:after="250" w:line="276" w:lineRule="auto"/>
        <w:jc w:val="both"/>
        <w:rPr>
          <w:rFonts w:cs="Arial"/>
          <w:b/>
          <w:sz w:val="22"/>
          <w:szCs w:val="20"/>
          <w:lang w:eastAsia="en-US"/>
        </w:rPr>
      </w:pPr>
      <w:r w:rsidRPr="001A170B">
        <w:rPr>
          <w:rFonts w:cs="Arial"/>
          <w:b/>
          <w:sz w:val="22"/>
          <w:szCs w:val="20"/>
          <w:lang w:eastAsia="en-US"/>
        </w:rPr>
        <w:t xml:space="preserve">benefiting from internalised settlements (settling across the account provider’s own books rather than the books of the sub-delegate). </w:t>
      </w:r>
    </w:p>
    <w:p w:rsidR="001A170B" w:rsidRDefault="001A170B" w:rsidP="001A170B">
      <w:pPr>
        <w:spacing w:after="250" w:line="276" w:lineRule="auto"/>
        <w:ind w:left="360"/>
        <w:jc w:val="both"/>
        <w:rPr>
          <w:b/>
          <w:bCs/>
          <w:sz w:val="22"/>
          <w:szCs w:val="20"/>
          <w:lang w:eastAsia="en-US"/>
        </w:rPr>
      </w:pPr>
      <w:r w:rsidRPr="001A170B">
        <w:rPr>
          <w:b/>
          <w:bCs/>
          <w:sz w:val="22"/>
          <w:szCs w:val="20"/>
          <w:lang w:eastAsia="en-US"/>
        </w:rPr>
        <w:t>If you agree with the statements under a) or b), please explain the relevant issue.</w:t>
      </w:r>
    </w:p>
    <w:p w:rsidR="00731D88" w:rsidRDefault="00731D88" w:rsidP="00731D88">
      <w:pPr>
        <w:spacing w:after="250" w:line="276" w:lineRule="auto"/>
        <w:jc w:val="both"/>
        <w:rPr>
          <w:b/>
          <w:bCs/>
          <w:sz w:val="22"/>
          <w:szCs w:val="20"/>
          <w:lang w:eastAsia="en-US"/>
        </w:rPr>
      </w:pPr>
    </w:p>
    <w:p w:rsidR="00731D88" w:rsidRDefault="00731D88" w:rsidP="00731D88">
      <w:pPr>
        <w:spacing w:after="250" w:line="276" w:lineRule="auto"/>
        <w:jc w:val="both"/>
        <w:rPr>
          <w:b/>
          <w:bCs/>
          <w:sz w:val="22"/>
          <w:szCs w:val="20"/>
          <w:lang w:eastAsia="en-US"/>
        </w:rPr>
      </w:pPr>
    </w:p>
    <w:p w:rsidR="00731D88" w:rsidRPr="00176639" w:rsidRDefault="00731D88" w:rsidP="00731D88">
      <w:r w:rsidRPr="00176639">
        <w:lastRenderedPageBreak/>
        <w:t>&lt;ESMA_</w:t>
      </w:r>
      <w:r>
        <w:t>QUESTION</w:t>
      </w:r>
      <w:r w:rsidRPr="00176639">
        <w:t>_</w:t>
      </w:r>
      <w:r>
        <w:t>CE_</w:t>
      </w:r>
      <w:r w:rsidRPr="000018FA">
        <w:t>ASCS</w:t>
      </w:r>
      <w:r w:rsidRPr="00176639">
        <w:t>_</w:t>
      </w:r>
      <w:r>
        <w:t>10</w:t>
      </w:r>
      <w:r w:rsidRPr="00176639">
        <w:t>&gt;</w:t>
      </w:r>
    </w:p>
    <w:p w:rsidR="00731D88" w:rsidRDefault="00731D88" w:rsidP="00731D88">
      <w:permStart w:id="703549372" w:edGrp="everyone"/>
      <w:r>
        <w:t>TYPE YOUR TEXT HERE</w:t>
      </w:r>
    </w:p>
    <w:permEnd w:id="703549372"/>
    <w:p w:rsidR="00731D88"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10</w:t>
      </w:r>
      <w:r w:rsidRPr="00B42A10">
        <w:rPr>
          <w:lang w:val="fr-FR"/>
        </w:rPr>
        <w:t>&gt;</w:t>
      </w:r>
    </w:p>
    <w:p w:rsidR="00731D88" w:rsidRDefault="00731D88" w:rsidP="00731D88">
      <w:pPr>
        <w:spacing w:after="250" w:line="276" w:lineRule="auto"/>
        <w:jc w:val="both"/>
        <w:rPr>
          <w:b/>
          <w:bCs/>
          <w:sz w:val="22"/>
          <w:szCs w:val="20"/>
          <w:lang w:eastAsia="en-US"/>
        </w:rPr>
      </w:pPr>
    </w:p>
    <w:p w:rsid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Many CP respondents indicated that the costs associated with option 1 are very significant. Please provide further data on quantifying the cost impact (including one-off and on-going) of option 1 on AIFs/UCITS (and their shareholders), depositaries, global custodians, prime brokers, delegates, their clients and the different markets?</w:t>
      </w:r>
    </w:p>
    <w:p w:rsidR="00731D88" w:rsidRDefault="00731D88" w:rsidP="00731D88">
      <w:pPr>
        <w:spacing w:after="250" w:line="276" w:lineRule="auto"/>
        <w:jc w:val="both"/>
        <w:rPr>
          <w:b/>
          <w:bCs/>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11</w:t>
      </w:r>
      <w:r w:rsidRPr="00176639">
        <w:t>&gt;</w:t>
      </w:r>
    </w:p>
    <w:p w:rsidR="00731D88" w:rsidRDefault="00731D88" w:rsidP="00731D88">
      <w:permStart w:id="1696793338" w:edGrp="everyone"/>
      <w:r>
        <w:t>TYPE YOUR TEXT HERE</w:t>
      </w:r>
    </w:p>
    <w:permEnd w:id="1696793338"/>
    <w:p w:rsidR="00731D88" w:rsidRDefault="00731D88" w:rsidP="00731D88">
      <w:pPr>
        <w:spacing w:after="250" w:line="276" w:lineRule="auto"/>
        <w:jc w:val="both"/>
        <w:rPr>
          <w:b/>
          <w:bCs/>
          <w:sz w:val="22"/>
          <w:szCs w:val="20"/>
          <w:lang w:eastAsia="en-US"/>
        </w:rPr>
      </w:pPr>
      <w:r w:rsidRPr="00B42A10">
        <w:rPr>
          <w:lang w:val="fr-FR"/>
        </w:rPr>
        <w:t>&lt;ESMA_</w:t>
      </w:r>
      <w:r w:rsidRPr="001A170B">
        <w:rPr>
          <w:lang w:val="fr-FR"/>
        </w:rPr>
        <w:t>QUESTION</w:t>
      </w:r>
      <w:r w:rsidRPr="00B42A10">
        <w:rPr>
          <w:lang w:val="fr-FR"/>
        </w:rPr>
        <w:t>_CE_ASCS_</w:t>
      </w:r>
      <w:r>
        <w:rPr>
          <w:lang w:val="fr-FR"/>
        </w:rPr>
        <w:t>11</w:t>
      </w:r>
      <w:r w:rsidRPr="00B42A10">
        <w:rPr>
          <w:lang w:val="fr-FR"/>
        </w:rPr>
        <w:t>&gt;</w:t>
      </w:r>
    </w:p>
    <w:p w:rsidR="00731D88" w:rsidRPr="001A170B" w:rsidRDefault="00731D88" w:rsidP="00731D88">
      <w:pPr>
        <w:spacing w:after="250" w:line="276" w:lineRule="auto"/>
        <w:jc w:val="both"/>
        <w:rPr>
          <w:b/>
          <w:bCs/>
          <w:sz w:val="22"/>
          <w:szCs w:val="20"/>
          <w:lang w:eastAsia="en-US"/>
        </w:rPr>
      </w:pPr>
    </w:p>
    <w:p w:rsid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Are there any advantages of using omnibus accounts not covered in your responses to other questions?</w:t>
      </w:r>
    </w:p>
    <w:p w:rsidR="00731D88" w:rsidRDefault="00731D88" w:rsidP="00731D88">
      <w:pPr>
        <w:spacing w:after="250" w:line="276" w:lineRule="auto"/>
        <w:jc w:val="both"/>
        <w:rPr>
          <w:b/>
          <w:bCs/>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12</w:t>
      </w:r>
      <w:r w:rsidRPr="00176639">
        <w:t>&gt;</w:t>
      </w:r>
    </w:p>
    <w:p w:rsidR="00731D88" w:rsidRDefault="00731D88" w:rsidP="00731D88">
      <w:permStart w:id="826818288" w:edGrp="everyone"/>
      <w:r>
        <w:t>TYPE YOUR TEXT HERE</w:t>
      </w:r>
    </w:p>
    <w:permEnd w:id="826818288"/>
    <w:p w:rsidR="00731D88"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12</w:t>
      </w:r>
      <w:r w:rsidRPr="00B42A10">
        <w:rPr>
          <w:lang w:val="fr-FR"/>
        </w:rPr>
        <w:t>&gt;</w:t>
      </w:r>
    </w:p>
    <w:p w:rsidR="00731D88" w:rsidRPr="001A170B" w:rsidRDefault="00731D88" w:rsidP="00731D88">
      <w:pPr>
        <w:spacing w:after="250" w:line="276" w:lineRule="auto"/>
        <w:jc w:val="both"/>
        <w:rPr>
          <w:b/>
          <w:bCs/>
          <w:sz w:val="22"/>
          <w:szCs w:val="20"/>
          <w:lang w:eastAsia="en-US"/>
        </w:rPr>
      </w:pPr>
    </w:p>
    <w:p w:rsid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Please consider the case where a third-party delegate or sub-delegate in the custody chain also acts as a clearing member under EMIR. What would be the impact (if any) of the interaction between the approaches described under each of the options in the table under Q22 below and the choices provided for under Article 39 (2) and (3) of EMIR</w:t>
      </w:r>
      <w:r w:rsidRPr="001A170B">
        <w:rPr>
          <w:b/>
          <w:bCs/>
          <w:sz w:val="16"/>
          <w:szCs w:val="20"/>
          <w:vertAlign w:val="superscript"/>
          <w:lang w:eastAsia="en-US"/>
        </w:rPr>
        <w:footnoteReference w:id="10"/>
      </w:r>
      <w:r w:rsidRPr="001A170B">
        <w:rPr>
          <w:b/>
          <w:bCs/>
          <w:sz w:val="22"/>
          <w:szCs w:val="20"/>
          <w:lang w:eastAsia="en-US"/>
        </w:rPr>
        <w:t xml:space="preserve"> (including if this may raise any operational difficulties)? Should you consider that there is any impact, please explain why. </w:t>
      </w:r>
    </w:p>
    <w:p w:rsidR="00731D88" w:rsidRDefault="00731D88" w:rsidP="00731D88">
      <w:pPr>
        <w:spacing w:after="250" w:line="276" w:lineRule="auto"/>
        <w:jc w:val="both"/>
        <w:rPr>
          <w:b/>
          <w:bCs/>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13</w:t>
      </w:r>
      <w:r w:rsidRPr="00176639">
        <w:t>&gt;</w:t>
      </w:r>
    </w:p>
    <w:p w:rsidR="00731D88" w:rsidRDefault="00731D88" w:rsidP="00731D88">
      <w:permStart w:id="1307263692" w:edGrp="everyone"/>
      <w:r>
        <w:t>TYPE YOUR TEXT HERE</w:t>
      </w:r>
    </w:p>
    <w:permEnd w:id="1307263692"/>
    <w:p w:rsidR="00731D88" w:rsidRPr="001A170B" w:rsidRDefault="00731D88" w:rsidP="00731D88">
      <w:pPr>
        <w:spacing w:after="250" w:line="276" w:lineRule="auto"/>
        <w:jc w:val="both"/>
        <w:rPr>
          <w:b/>
          <w:bCs/>
          <w:sz w:val="22"/>
          <w:szCs w:val="20"/>
          <w:lang w:eastAsia="en-US"/>
        </w:rPr>
      </w:pPr>
      <w:r w:rsidRPr="00B42A10">
        <w:rPr>
          <w:lang w:val="fr-FR"/>
        </w:rPr>
        <w:t>&lt;ESMA_</w:t>
      </w:r>
      <w:r w:rsidRPr="001A170B">
        <w:rPr>
          <w:lang w:val="fr-FR"/>
        </w:rPr>
        <w:t>QUESTION</w:t>
      </w:r>
      <w:r w:rsidRPr="00B42A10">
        <w:rPr>
          <w:lang w:val="fr-FR"/>
        </w:rPr>
        <w:t>_CE_ASCS_</w:t>
      </w:r>
      <w:r>
        <w:rPr>
          <w:lang w:val="fr-FR"/>
        </w:rPr>
        <w:t>13</w:t>
      </w:r>
      <w:r w:rsidRPr="00B42A10">
        <w:rPr>
          <w:lang w:val="fr-FR"/>
        </w:rPr>
        <w:t>&gt;</w:t>
      </w:r>
    </w:p>
    <w:p w:rsidR="001A170B" w:rsidRP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lastRenderedPageBreak/>
        <w:t>Please describe the functioning of the following arrangements and clarify the operational reasons why, and the extent to which, the segregation requirements under option 1 would affect them:</w:t>
      </w:r>
    </w:p>
    <w:p w:rsidR="001A170B" w:rsidRPr="001A170B" w:rsidRDefault="001A170B" w:rsidP="001A170B">
      <w:pPr>
        <w:numPr>
          <w:ilvl w:val="0"/>
          <w:numId w:val="50"/>
        </w:numPr>
        <w:spacing w:after="250" w:line="276" w:lineRule="auto"/>
        <w:jc w:val="both"/>
        <w:rPr>
          <w:rFonts w:cs="Arial"/>
          <w:b/>
          <w:sz w:val="22"/>
          <w:szCs w:val="20"/>
          <w:lang w:eastAsia="en-US"/>
        </w:rPr>
      </w:pPr>
      <w:r w:rsidRPr="001A170B">
        <w:rPr>
          <w:rFonts w:cs="Arial"/>
          <w:b/>
          <w:sz w:val="22"/>
          <w:szCs w:val="20"/>
          <w:lang w:eastAsia="en-US"/>
        </w:rPr>
        <w:t>tri-party collateral management arrangements;</w:t>
      </w:r>
    </w:p>
    <w:p w:rsidR="001A170B" w:rsidRDefault="001A170B" w:rsidP="001A170B">
      <w:pPr>
        <w:numPr>
          <w:ilvl w:val="0"/>
          <w:numId w:val="50"/>
        </w:numPr>
        <w:spacing w:after="250" w:line="276" w:lineRule="auto"/>
        <w:jc w:val="both"/>
        <w:rPr>
          <w:rFonts w:cs="Arial"/>
          <w:b/>
          <w:sz w:val="22"/>
          <w:szCs w:val="20"/>
          <w:lang w:eastAsia="en-US"/>
        </w:rPr>
      </w:pPr>
      <w:r w:rsidRPr="001A170B">
        <w:rPr>
          <w:rFonts w:cs="Arial"/>
          <w:b/>
          <w:sz w:val="22"/>
          <w:szCs w:val="20"/>
          <w:lang w:eastAsia="en-US"/>
        </w:rPr>
        <w:t>prime brokerage arrangements.</w:t>
      </w:r>
    </w:p>
    <w:p w:rsidR="00731D88" w:rsidRDefault="00731D88" w:rsidP="00731D88">
      <w:pPr>
        <w:spacing w:after="250" w:line="276" w:lineRule="auto"/>
        <w:jc w:val="both"/>
        <w:rPr>
          <w:rFonts w:cs="Arial"/>
          <w:b/>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14</w:t>
      </w:r>
      <w:r w:rsidRPr="00176639">
        <w:t>&gt;</w:t>
      </w:r>
    </w:p>
    <w:p w:rsidR="00731D88" w:rsidRDefault="00731D88" w:rsidP="00731D88">
      <w:permStart w:id="1559324150" w:edGrp="everyone"/>
      <w:r>
        <w:t>TYPE YOUR TEXT HERE</w:t>
      </w:r>
    </w:p>
    <w:permEnd w:id="1559324150"/>
    <w:p w:rsidR="00731D88"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14</w:t>
      </w:r>
      <w:r w:rsidRPr="00B42A10">
        <w:rPr>
          <w:lang w:val="fr-FR"/>
        </w:rPr>
        <w:t>&gt;</w:t>
      </w:r>
    </w:p>
    <w:p w:rsidR="00731D88" w:rsidRPr="001A170B" w:rsidRDefault="00731D88" w:rsidP="00731D88">
      <w:pPr>
        <w:spacing w:after="250" w:line="276" w:lineRule="auto"/>
        <w:jc w:val="both"/>
        <w:rPr>
          <w:rFonts w:cs="Arial"/>
          <w:b/>
          <w:sz w:val="22"/>
          <w:szCs w:val="20"/>
          <w:lang w:eastAsia="en-US"/>
        </w:rPr>
      </w:pPr>
    </w:p>
    <w:p w:rsid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Are you able to source any data on quantifying the additional costs and market impact for prime brokers and/or collateral managers as a result of implementing option 1?</w:t>
      </w:r>
    </w:p>
    <w:p w:rsidR="00731D88" w:rsidRDefault="00731D88" w:rsidP="00731D88">
      <w:pPr>
        <w:spacing w:after="250" w:line="276" w:lineRule="auto"/>
        <w:jc w:val="both"/>
        <w:rPr>
          <w:b/>
          <w:bCs/>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15</w:t>
      </w:r>
      <w:r w:rsidRPr="00176639">
        <w:t>&gt;</w:t>
      </w:r>
    </w:p>
    <w:p w:rsidR="00731D88" w:rsidRDefault="00731D88" w:rsidP="00731D88">
      <w:permStart w:id="466960808" w:edGrp="everyone"/>
      <w:r>
        <w:t>TYPE YOUR TEXT HERE</w:t>
      </w:r>
    </w:p>
    <w:permEnd w:id="466960808"/>
    <w:p w:rsidR="00731D88" w:rsidRPr="001A170B" w:rsidRDefault="00731D88" w:rsidP="00731D88">
      <w:pPr>
        <w:spacing w:after="250" w:line="276" w:lineRule="auto"/>
        <w:jc w:val="both"/>
        <w:rPr>
          <w:b/>
          <w:bCs/>
          <w:sz w:val="22"/>
          <w:szCs w:val="20"/>
          <w:lang w:eastAsia="en-US"/>
        </w:rPr>
      </w:pPr>
      <w:r w:rsidRPr="00B42A10">
        <w:rPr>
          <w:lang w:val="fr-FR"/>
        </w:rPr>
        <w:t>&lt;ESMA_</w:t>
      </w:r>
      <w:r w:rsidRPr="001A170B">
        <w:rPr>
          <w:lang w:val="fr-FR"/>
        </w:rPr>
        <w:t>QUESTION</w:t>
      </w:r>
      <w:r w:rsidRPr="00B42A10">
        <w:rPr>
          <w:lang w:val="fr-FR"/>
        </w:rPr>
        <w:t>_CE_ASCS_</w:t>
      </w:r>
      <w:r>
        <w:rPr>
          <w:lang w:val="fr-FR"/>
        </w:rPr>
        <w:t>15</w:t>
      </w:r>
      <w:r w:rsidRPr="00B42A10">
        <w:rPr>
          <w:lang w:val="fr-FR"/>
        </w:rPr>
        <w:t>&gt;</w:t>
      </w:r>
    </w:p>
    <w:p w:rsid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Many respondents to the CP argued that the requirements under option 1 would trigger ‘legal certainty risk’ and ‘attendant operational risk’ in relation to collateral management. Should you agree with these statements, please specify what precisely you understand by “legal certainty risk and “attendant operational risk”.  How could those risks be mitigated?</w:t>
      </w:r>
    </w:p>
    <w:p w:rsidR="00731D88" w:rsidRDefault="00731D88" w:rsidP="00731D88">
      <w:pPr>
        <w:spacing w:after="250" w:line="276" w:lineRule="auto"/>
        <w:jc w:val="both"/>
        <w:rPr>
          <w:b/>
          <w:bCs/>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16</w:t>
      </w:r>
      <w:r w:rsidRPr="00176639">
        <w:t>&gt;</w:t>
      </w:r>
    </w:p>
    <w:p w:rsidR="00731D88" w:rsidRDefault="00731D88" w:rsidP="00731D88">
      <w:permStart w:id="1164080367" w:edGrp="everyone"/>
      <w:r>
        <w:t>TYPE YOUR TEXT HERE</w:t>
      </w:r>
    </w:p>
    <w:permEnd w:id="1164080367"/>
    <w:p w:rsidR="00731D88"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16</w:t>
      </w:r>
      <w:r w:rsidRPr="00B42A10">
        <w:rPr>
          <w:lang w:val="fr-FR"/>
        </w:rPr>
        <w:t>&gt;</w:t>
      </w:r>
    </w:p>
    <w:p w:rsidR="00731D88" w:rsidRPr="001A170B" w:rsidRDefault="00731D88" w:rsidP="00731D88">
      <w:pPr>
        <w:spacing w:after="250" w:line="276" w:lineRule="auto"/>
        <w:jc w:val="both"/>
        <w:rPr>
          <w:b/>
          <w:bCs/>
          <w:sz w:val="22"/>
          <w:szCs w:val="20"/>
          <w:lang w:eastAsia="en-US"/>
        </w:rPr>
      </w:pPr>
    </w:p>
    <w:p w:rsid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Could adaptations to IT systems help to face the challenges that option 1 represents in relation to collateral management? If so, please explain how, if possible indicating the costs and timescales of the work that would be needed.</w:t>
      </w:r>
    </w:p>
    <w:p w:rsidR="00731D88" w:rsidRDefault="00731D88" w:rsidP="00731D88">
      <w:pPr>
        <w:spacing w:after="250" w:line="276" w:lineRule="auto"/>
        <w:jc w:val="both"/>
        <w:rPr>
          <w:b/>
          <w:bCs/>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17</w:t>
      </w:r>
      <w:r w:rsidRPr="00176639">
        <w:t>&gt;</w:t>
      </w:r>
    </w:p>
    <w:p w:rsidR="00731D88" w:rsidRDefault="00731D88" w:rsidP="00731D88">
      <w:permStart w:id="1818169967" w:edGrp="everyone"/>
      <w:r>
        <w:t>TYPE YOUR TEXT HERE</w:t>
      </w:r>
    </w:p>
    <w:permEnd w:id="1818169967"/>
    <w:p w:rsidR="00731D88" w:rsidRPr="001A170B"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17</w:t>
      </w:r>
      <w:r w:rsidRPr="00B42A10">
        <w:rPr>
          <w:lang w:val="fr-FR"/>
        </w:rPr>
        <w:t>&gt;</w:t>
      </w:r>
    </w:p>
    <w:p w:rsid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lastRenderedPageBreak/>
        <w:t xml:space="preserve">Have you identified any operational (or other) challenges in terms of the impact of the requirements under option 1 of the CP for the functioning and efficiency of T2S? If your answer is yes, please </w:t>
      </w:r>
      <w:proofErr w:type="gramStart"/>
      <w:r w:rsidRPr="001A170B">
        <w:rPr>
          <w:b/>
          <w:bCs/>
          <w:sz w:val="22"/>
          <w:szCs w:val="20"/>
          <w:lang w:eastAsia="en-US"/>
        </w:rPr>
        <w:t>explain</w:t>
      </w:r>
      <w:proofErr w:type="gramEnd"/>
      <w:r w:rsidRPr="001A170B">
        <w:rPr>
          <w:b/>
          <w:bCs/>
          <w:sz w:val="22"/>
          <w:szCs w:val="20"/>
          <w:lang w:eastAsia="en-US"/>
        </w:rPr>
        <w:t xml:space="preserve"> in detail.</w:t>
      </w:r>
    </w:p>
    <w:p w:rsidR="00731D88" w:rsidRDefault="00731D88" w:rsidP="00731D88">
      <w:pPr>
        <w:spacing w:after="250" w:line="276" w:lineRule="auto"/>
        <w:jc w:val="both"/>
        <w:rPr>
          <w:b/>
          <w:bCs/>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18</w:t>
      </w:r>
      <w:r w:rsidRPr="00176639">
        <w:t>&gt;</w:t>
      </w:r>
    </w:p>
    <w:p w:rsidR="00731D88" w:rsidRDefault="00731D88" w:rsidP="00731D88">
      <w:permStart w:id="1660768396" w:edGrp="everyone"/>
      <w:r>
        <w:t>TYPE YOUR TEXT HERE</w:t>
      </w:r>
    </w:p>
    <w:permEnd w:id="1660768396"/>
    <w:p w:rsidR="00731D88"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18</w:t>
      </w:r>
      <w:r w:rsidRPr="00B42A10">
        <w:rPr>
          <w:lang w:val="fr-FR"/>
        </w:rPr>
        <w:t>&gt;</w:t>
      </w:r>
    </w:p>
    <w:p w:rsidR="00731D88" w:rsidRPr="001A170B" w:rsidRDefault="00731D88" w:rsidP="00731D88">
      <w:pPr>
        <w:spacing w:after="250" w:line="276" w:lineRule="auto"/>
        <w:jc w:val="both"/>
        <w:rPr>
          <w:b/>
          <w:bCs/>
          <w:sz w:val="22"/>
          <w:szCs w:val="20"/>
          <w:lang w:eastAsia="en-US"/>
        </w:rPr>
      </w:pPr>
    </w:p>
    <w:p w:rsidR="001A170B" w:rsidRPr="001A170B" w:rsidRDefault="001A170B" w:rsidP="001A170B">
      <w:pPr>
        <w:numPr>
          <w:ilvl w:val="0"/>
          <w:numId w:val="38"/>
        </w:numPr>
        <w:spacing w:after="250" w:line="276" w:lineRule="auto"/>
        <w:jc w:val="both"/>
        <w:rPr>
          <w:rFonts w:cs="Arial"/>
          <w:b/>
          <w:bCs/>
          <w:sz w:val="22"/>
          <w:szCs w:val="20"/>
          <w:lang w:eastAsia="en-US"/>
        </w:rPr>
      </w:pPr>
      <w:r w:rsidRPr="001A170B">
        <w:rPr>
          <w:rFonts w:cs="Arial"/>
          <w:b/>
          <w:bCs/>
          <w:sz w:val="22"/>
          <w:szCs w:val="20"/>
          <w:lang w:eastAsia="en-US"/>
        </w:rPr>
        <w:t>Many respondents to the CP argued that AIFs risk being shut out of key markets due to the following:</w:t>
      </w:r>
    </w:p>
    <w:p w:rsidR="001A170B" w:rsidRPr="001A170B" w:rsidRDefault="001A170B" w:rsidP="001A170B">
      <w:pPr>
        <w:numPr>
          <w:ilvl w:val="0"/>
          <w:numId w:val="51"/>
        </w:numPr>
        <w:spacing w:after="250" w:line="276" w:lineRule="auto"/>
        <w:jc w:val="both"/>
        <w:rPr>
          <w:rFonts w:cs="Arial"/>
          <w:b/>
          <w:sz w:val="22"/>
          <w:szCs w:val="20"/>
          <w:lang w:eastAsia="en-US"/>
        </w:rPr>
      </w:pPr>
      <w:r w:rsidRPr="001A170B">
        <w:rPr>
          <w:rFonts w:cs="Arial"/>
          <w:b/>
          <w:sz w:val="22"/>
          <w:szCs w:val="20"/>
          <w:lang w:eastAsia="en-US"/>
        </w:rPr>
        <w:t>the mismatch that will arise between local jurisdiction securities ownership rules and the mandated level of segregation required under option 1 in the CP; and/or</w:t>
      </w:r>
    </w:p>
    <w:p w:rsidR="001A170B" w:rsidRPr="001A170B" w:rsidRDefault="001A170B" w:rsidP="001A170B">
      <w:pPr>
        <w:numPr>
          <w:ilvl w:val="0"/>
          <w:numId w:val="51"/>
        </w:numPr>
        <w:spacing w:after="250" w:line="276" w:lineRule="auto"/>
        <w:jc w:val="both"/>
        <w:rPr>
          <w:rFonts w:cs="Arial"/>
          <w:b/>
          <w:sz w:val="22"/>
          <w:szCs w:val="20"/>
          <w:lang w:eastAsia="en-US"/>
        </w:rPr>
      </w:pPr>
      <w:r w:rsidRPr="001A170B">
        <w:rPr>
          <w:rFonts w:cs="Arial"/>
          <w:b/>
          <w:sz w:val="22"/>
          <w:szCs w:val="20"/>
          <w:lang w:eastAsia="en-US"/>
        </w:rPr>
        <w:t xml:space="preserve">the requirement in certain countries to hold omnibus accounts across multiple depositaries, as is the case for certain stock exchanges. </w:t>
      </w:r>
    </w:p>
    <w:p w:rsidR="001A170B" w:rsidRDefault="001A170B" w:rsidP="001A170B">
      <w:pPr>
        <w:spacing w:after="250" w:line="276" w:lineRule="auto"/>
        <w:jc w:val="both"/>
        <w:rPr>
          <w:rFonts w:cs="Arial"/>
          <w:b/>
          <w:bCs/>
          <w:sz w:val="22"/>
          <w:szCs w:val="20"/>
          <w:lang w:eastAsia="en-US"/>
        </w:rPr>
      </w:pPr>
      <w:r w:rsidRPr="001A170B">
        <w:rPr>
          <w:rFonts w:cs="Arial"/>
          <w:b/>
          <w:bCs/>
          <w:sz w:val="22"/>
          <w:szCs w:val="20"/>
          <w:lang w:eastAsia="en-US"/>
        </w:rPr>
        <w:t>If you agree with the above statement, please explain your concern with reference to specific jurisdictions and/or stock exchanges and the relevant requirements.</w:t>
      </w:r>
    </w:p>
    <w:p w:rsidR="00731D88" w:rsidRDefault="00731D88" w:rsidP="001A170B">
      <w:pPr>
        <w:spacing w:after="250" w:line="276" w:lineRule="auto"/>
        <w:jc w:val="both"/>
        <w:rPr>
          <w:rFonts w:cs="Arial"/>
          <w:b/>
          <w:bCs/>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19</w:t>
      </w:r>
      <w:r w:rsidRPr="00176639">
        <w:t>&gt;</w:t>
      </w:r>
    </w:p>
    <w:p w:rsidR="00731D88" w:rsidRDefault="00731D88" w:rsidP="00731D88">
      <w:permStart w:id="661803968" w:edGrp="everyone"/>
      <w:r>
        <w:t>TYPE YOUR TEXT HERE</w:t>
      </w:r>
    </w:p>
    <w:permEnd w:id="661803968"/>
    <w:p w:rsidR="00731D88"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19</w:t>
      </w:r>
      <w:r w:rsidRPr="00B42A10">
        <w:rPr>
          <w:lang w:val="fr-FR"/>
        </w:rPr>
        <w:t>&gt;</w:t>
      </w:r>
    </w:p>
    <w:p w:rsidR="00731D88" w:rsidRPr="001A170B" w:rsidRDefault="00731D88" w:rsidP="00731D88">
      <w:pPr>
        <w:spacing w:after="250" w:line="276" w:lineRule="auto"/>
        <w:jc w:val="both"/>
        <w:rPr>
          <w:rFonts w:cs="Arial"/>
          <w:b/>
          <w:bCs/>
          <w:sz w:val="22"/>
          <w:szCs w:val="20"/>
          <w:lang w:eastAsia="en-US"/>
        </w:rPr>
      </w:pPr>
    </w:p>
    <w:p w:rsidR="001A170B" w:rsidRDefault="001A170B" w:rsidP="001A170B">
      <w:pPr>
        <w:numPr>
          <w:ilvl w:val="0"/>
          <w:numId w:val="38"/>
        </w:numPr>
        <w:spacing w:after="250" w:line="276" w:lineRule="auto"/>
        <w:jc w:val="both"/>
        <w:rPr>
          <w:rFonts w:cs="Arial"/>
          <w:b/>
          <w:sz w:val="22"/>
          <w:szCs w:val="20"/>
          <w:lang w:eastAsia="en-US"/>
        </w:rPr>
      </w:pPr>
      <w:r w:rsidRPr="001A170B">
        <w:rPr>
          <w:rFonts w:cs="Arial"/>
          <w:b/>
          <w:sz w:val="22"/>
          <w:szCs w:val="20"/>
          <w:lang w:eastAsia="en-US"/>
        </w:rPr>
        <w:t>Should you/the funds that you manage comply with option 1 in the CP, please provide details on if and how you apply the requirements under this option when delegating safe-keeping duties to third parties outside the EU.</w:t>
      </w:r>
    </w:p>
    <w:p w:rsidR="00731D88" w:rsidRDefault="00731D88" w:rsidP="00731D88">
      <w:pPr>
        <w:spacing w:after="250" w:line="276" w:lineRule="auto"/>
        <w:jc w:val="both"/>
        <w:rPr>
          <w:rFonts w:cs="Arial"/>
          <w:b/>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20</w:t>
      </w:r>
      <w:r w:rsidRPr="00176639">
        <w:t>&gt;</w:t>
      </w:r>
    </w:p>
    <w:p w:rsidR="00731D88" w:rsidRDefault="00731D88" w:rsidP="00731D88">
      <w:permStart w:id="1028784235" w:edGrp="everyone"/>
      <w:r>
        <w:t>TYPE YOUR TEXT HERE</w:t>
      </w:r>
    </w:p>
    <w:permEnd w:id="1028784235"/>
    <w:p w:rsidR="00731D88"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20</w:t>
      </w:r>
      <w:r w:rsidRPr="00B42A10">
        <w:rPr>
          <w:lang w:val="fr-FR"/>
        </w:rPr>
        <w:t>&gt;</w:t>
      </w:r>
    </w:p>
    <w:p w:rsidR="00731D88" w:rsidRPr="001A170B" w:rsidRDefault="00731D88" w:rsidP="00731D88">
      <w:pPr>
        <w:spacing w:after="250" w:line="276" w:lineRule="auto"/>
        <w:jc w:val="both"/>
        <w:rPr>
          <w:rFonts w:cs="Arial"/>
          <w:b/>
          <w:sz w:val="22"/>
          <w:szCs w:val="20"/>
          <w:lang w:eastAsia="en-US"/>
        </w:rPr>
      </w:pPr>
    </w:p>
    <w:p w:rsidR="00731D88" w:rsidRPr="00731D88" w:rsidRDefault="001A170B" w:rsidP="00731D88">
      <w:pPr>
        <w:numPr>
          <w:ilvl w:val="0"/>
          <w:numId w:val="38"/>
        </w:numPr>
        <w:spacing w:after="250" w:line="276" w:lineRule="auto"/>
        <w:jc w:val="both"/>
        <w:rPr>
          <w:rFonts w:cs="Arial"/>
          <w:b/>
          <w:bCs/>
          <w:sz w:val="22"/>
          <w:szCs w:val="20"/>
          <w:lang w:eastAsia="en-US"/>
        </w:rPr>
      </w:pPr>
      <w:r w:rsidRPr="001A170B">
        <w:rPr>
          <w:rFonts w:cs="Arial"/>
          <w:b/>
          <w:bCs/>
          <w:sz w:val="22"/>
          <w:szCs w:val="20"/>
          <w:lang w:eastAsia="en-US"/>
        </w:rPr>
        <w:t>Many respondents to the CP argued that, given that many delegated third parties are located outside of the EU, option 1 of the CP could lead to higher fees charged by the delegated parties. Are you able to source any data on the potential higher fees charged by the delegated parties outside the EU as a result of implementing option 1?</w:t>
      </w:r>
    </w:p>
    <w:p w:rsidR="00731D88" w:rsidRPr="00176639" w:rsidRDefault="00731D88" w:rsidP="00731D88">
      <w:r w:rsidRPr="00176639">
        <w:lastRenderedPageBreak/>
        <w:t>&lt;ESMA_</w:t>
      </w:r>
      <w:r>
        <w:t>QUESTION</w:t>
      </w:r>
      <w:r w:rsidRPr="00176639">
        <w:t>_</w:t>
      </w:r>
      <w:r>
        <w:t>CE_</w:t>
      </w:r>
      <w:r w:rsidRPr="000018FA">
        <w:t>ASCS</w:t>
      </w:r>
      <w:r w:rsidRPr="00176639">
        <w:t>_</w:t>
      </w:r>
      <w:r>
        <w:t>21</w:t>
      </w:r>
      <w:r w:rsidRPr="00176639">
        <w:t>&gt;</w:t>
      </w:r>
    </w:p>
    <w:p w:rsidR="00731D88" w:rsidRDefault="00731D88" w:rsidP="00731D88">
      <w:permStart w:id="739326740" w:edGrp="everyone"/>
      <w:r>
        <w:t>TYPE YOUR TEXT HERE</w:t>
      </w:r>
    </w:p>
    <w:permEnd w:id="739326740"/>
    <w:p w:rsidR="00731D88" w:rsidRDefault="00731D88" w:rsidP="00731D88">
      <w:pPr>
        <w:spacing w:after="250" w:line="276" w:lineRule="auto"/>
        <w:jc w:val="both"/>
        <w:rPr>
          <w:rFonts w:cs="Arial"/>
          <w:b/>
          <w:bCs/>
          <w:sz w:val="22"/>
          <w:szCs w:val="20"/>
          <w:lang w:eastAsia="en-US"/>
        </w:rPr>
      </w:pPr>
      <w:r w:rsidRPr="00B42A10">
        <w:rPr>
          <w:lang w:val="fr-FR"/>
        </w:rPr>
        <w:t>&lt;ESMA_</w:t>
      </w:r>
      <w:r w:rsidRPr="001A170B">
        <w:rPr>
          <w:lang w:val="fr-FR"/>
        </w:rPr>
        <w:t>QUESTION</w:t>
      </w:r>
      <w:r w:rsidRPr="00B42A10">
        <w:rPr>
          <w:lang w:val="fr-FR"/>
        </w:rPr>
        <w:t>_CE_ASCS_</w:t>
      </w:r>
      <w:r>
        <w:rPr>
          <w:lang w:val="fr-FR"/>
        </w:rPr>
        <w:t>21</w:t>
      </w:r>
      <w:r w:rsidRPr="00B42A10">
        <w:rPr>
          <w:lang w:val="fr-FR"/>
        </w:rPr>
        <w:t>&gt;</w:t>
      </w:r>
    </w:p>
    <w:p w:rsidR="00731D88" w:rsidRPr="001A170B" w:rsidRDefault="00731D88" w:rsidP="00731D88">
      <w:pPr>
        <w:spacing w:after="250" w:line="276" w:lineRule="auto"/>
        <w:jc w:val="both"/>
        <w:rPr>
          <w:rFonts w:cs="Arial"/>
          <w:b/>
          <w:bCs/>
          <w:sz w:val="22"/>
          <w:szCs w:val="20"/>
          <w:lang w:eastAsia="en-US"/>
        </w:rPr>
      </w:pPr>
    </w:p>
    <w:p w:rsidR="001A170B" w:rsidRP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 xml:space="preserve">How would you compare and contrast the five options in the cost-benefit analysis (CBA) of the CP in terms of achieving the policy objective described in the above introduction? In your opinion, does any one of the options offer a better solution for achieving this aim, and if so, how? In answering to these questions, please refer to the table below which is copied from the CBA of the CP and adds the sub-delegate level. </w:t>
      </w:r>
    </w:p>
    <w:p w:rsidR="001A170B" w:rsidRPr="001A170B" w:rsidRDefault="001A170B" w:rsidP="001A170B">
      <w:pPr>
        <w:spacing w:after="250" w:line="276" w:lineRule="auto"/>
        <w:ind w:left="360"/>
        <w:jc w:val="both"/>
        <w:rPr>
          <w:b/>
          <w:bCs/>
          <w:sz w:val="22"/>
          <w:szCs w:val="20"/>
          <w:lang w:eastAsia="en-US"/>
        </w:rPr>
      </w:pPr>
      <w:r w:rsidRPr="001A170B">
        <w:rPr>
          <w:b/>
          <w:bCs/>
          <w:sz w:val="22"/>
          <w:szCs w:val="20"/>
          <w:lang w:eastAsia="en-US"/>
        </w:rPr>
        <w:t xml:space="preserve">Please note that as the present call for evidence is intended to cover asset segregation requirements for both AIFs and UCITS, with regard to the latter any reference in the table below to ‘AIF’ should also be read as ‘UCITS’, i.e. when applied to UCITS, references to ‘AIF’ should be read as ‘UCITS’ and references to ‘non-AIF’ should be read as ‘non-UCITS’. </w:t>
      </w:r>
    </w:p>
    <w:tbl>
      <w:tblPr>
        <w:tblW w:w="0" w:type="auto"/>
        <w:tblInd w:w="568" w:type="dxa"/>
        <w:tblCellMar>
          <w:left w:w="0" w:type="dxa"/>
          <w:right w:w="0" w:type="dxa"/>
        </w:tblCellMar>
        <w:tblLook w:val="04A0" w:firstRow="1" w:lastRow="0" w:firstColumn="1" w:lastColumn="0" w:noHBand="0" w:noVBand="1"/>
      </w:tblPr>
      <w:tblGrid>
        <w:gridCol w:w="2092"/>
        <w:gridCol w:w="6626"/>
      </w:tblGrid>
      <w:tr w:rsidR="001A170B" w:rsidRPr="001A170B" w:rsidTr="00A03F41">
        <w:tc>
          <w:tcPr>
            <w:tcW w:w="209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1A170B" w:rsidRPr="001A170B" w:rsidRDefault="001A170B" w:rsidP="001A170B">
            <w:pPr>
              <w:spacing w:after="250" w:line="276" w:lineRule="auto"/>
              <w:jc w:val="both"/>
              <w:rPr>
                <w:rFonts w:eastAsia="Calibri" w:cs="Arial"/>
                <w:b/>
                <w:bCs/>
                <w:sz w:val="22"/>
                <w:szCs w:val="22"/>
                <w:lang w:val="nl-BE" w:eastAsia="en-US"/>
              </w:rPr>
            </w:pPr>
            <w:r w:rsidRPr="001A170B">
              <w:rPr>
                <w:rFonts w:eastAsia="Calibri" w:cs="Arial"/>
                <w:b/>
                <w:bCs/>
                <w:sz w:val="22"/>
                <w:szCs w:val="22"/>
                <w:lang w:val="nl-BE" w:eastAsia="en-US"/>
              </w:rPr>
              <w:t>Option 1</w:t>
            </w:r>
          </w:p>
        </w:tc>
        <w:tc>
          <w:tcPr>
            <w:tcW w:w="662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1A170B" w:rsidRPr="001A170B" w:rsidRDefault="001A170B" w:rsidP="001A170B">
            <w:pPr>
              <w:spacing w:after="250" w:line="276" w:lineRule="auto"/>
              <w:jc w:val="both"/>
              <w:rPr>
                <w:rFonts w:eastAsia="Calibri" w:cs="Arial"/>
                <w:sz w:val="22"/>
                <w:szCs w:val="22"/>
                <w:lang w:val="en-US" w:eastAsia="en-US"/>
              </w:rPr>
            </w:pPr>
            <w:r w:rsidRPr="001A170B">
              <w:rPr>
                <w:rFonts w:eastAsia="Calibri" w:cs="Arial"/>
                <w:sz w:val="22"/>
                <w:szCs w:val="22"/>
                <w:lang w:val="en-US" w:eastAsia="en-US"/>
              </w:rPr>
              <w:t xml:space="preserve">AIF and non-AIF assets should not be mixed in the same account and there should be separate accounts for AIF assets of each depositary when a delegate is holding assets for multiple depositary clients. </w:t>
            </w:r>
          </w:p>
          <w:p w:rsidR="001A170B" w:rsidRPr="001A170B" w:rsidRDefault="001A170B" w:rsidP="001A170B">
            <w:pPr>
              <w:spacing w:after="250" w:line="276" w:lineRule="auto"/>
              <w:jc w:val="both"/>
              <w:rPr>
                <w:rFonts w:eastAsia="Calibri" w:cs="Arial"/>
                <w:sz w:val="22"/>
                <w:szCs w:val="22"/>
                <w:lang w:val="en-US" w:eastAsia="en-US"/>
              </w:rPr>
            </w:pPr>
            <w:r w:rsidRPr="001A170B">
              <w:rPr>
                <w:rFonts w:eastAsia="Calibri" w:cs="Arial"/>
                <w:sz w:val="22"/>
                <w:szCs w:val="22"/>
                <w:lang w:val="en-US" w:eastAsia="en-US"/>
              </w:rPr>
              <w:t xml:space="preserve">When the delegate appoints a sub-delegate, this should hold separate accounts for AIF assets of each depositary and should not mix in the same account non-AIF assets of that depositary or AIF assets coming from different depositaries.   </w:t>
            </w:r>
          </w:p>
        </w:tc>
      </w:tr>
      <w:tr w:rsidR="001A170B" w:rsidRPr="001A170B" w:rsidTr="00A03F41">
        <w:tc>
          <w:tcPr>
            <w:tcW w:w="2092"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1A170B" w:rsidRPr="001A170B" w:rsidRDefault="001A170B" w:rsidP="001A170B">
            <w:pPr>
              <w:spacing w:after="250" w:line="276" w:lineRule="auto"/>
              <w:jc w:val="both"/>
              <w:rPr>
                <w:rFonts w:eastAsia="Calibri" w:cs="Arial"/>
                <w:b/>
                <w:bCs/>
                <w:sz w:val="22"/>
                <w:szCs w:val="22"/>
                <w:lang w:val="nl-BE" w:eastAsia="en-US"/>
              </w:rPr>
            </w:pPr>
            <w:r w:rsidRPr="001A170B">
              <w:rPr>
                <w:rFonts w:eastAsia="Calibri" w:cs="Arial"/>
                <w:b/>
                <w:bCs/>
                <w:sz w:val="22"/>
                <w:szCs w:val="22"/>
                <w:lang w:val="nl-BE" w:eastAsia="en-US"/>
              </w:rPr>
              <w:t>Option 2</w:t>
            </w:r>
          </w:p>
        </w:tc>
        <w:tc>
          <w:tcPr>
            <w:tcW w:w="6626" w:type="dxa"/>
            <w:tcBorders>
              <w:top w:val="nil"/>
              <w:left w:val="nil"/>
              <w:bottom w:val="single" w:sz="8" w:space="0" w:color="9CC2E5"/>
              <w:right w:val="single" w:sz="8" w:space="0" w:color="9CC2E5"/>
            </w:tcBorders>
            <w:tcMar>
              <w:top w:w="0" w:type="dxa"/>
              <w:left w:w="108" w:type="dxa"/>
              <w:bottom w:w="0" w:type="dxa"/>
              <w:right w:w="108" w:type="dxa"/>
            </w:tcMar>
            <w:hideMark/>
          </w:tcPr>
          <w:p w:rsidR="001A170B" w:rsidRPr="001A170B" w:rsidRDefault="001A170B" w:rsidP="001A170B">
            <w:pPr>
              <w:spacing w:after="250" w:line="276" w:lineRule="auto"/>
              <w:jc w:val="both"/>
              <w:rPr>
                <w:rFonts w:eastAsia="Calibri" w:cs="Arial"/>
                <w:sz w:val="22"/>
                <w:szCs w:val="22"/>
                <w:lang w:val="en-US" w:eastAsia="en-US"/>
              </w:rPr>
            </w:pPr>
            <w:r w:rsidRPr="001A170B">
              <w:rPr>
                <w:rFonts w:eastAsia="Calibri" w:cs="Arial"/>
                <w:sz w:val="22"/>
                <w:szCs w:val="22"/>
                <w:lang w:val="en-US" w:eastAsia="en-US"/>
              </w:rPr>
              <w:t>The separation of AIF and non-AIF assets should be required, but it would be possible to combine AIF assets of multiple depositaries into a single account at delegate or sub-delegate level.</w:t>
            </w:r>
          </w:p>
        </w:tc>
      </w:tr>
      <w:tr w:rsidR="001A170B" w:rsidRPr="001A170B" w:rsidTr="00A03F41">
        <w:tc>
          <w:tcPr>
            <w:tcW w:w="209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1A170B" w:rsidRPr="001A170B" w:rsidRDefault="001A170B" w:rsidP="001A170B">
            <w:pPr>
              <w:spacing w:after="250" w:line="276" w:lineRule="auto"/>
              <w:jc w:val="both"/>
              <w:rPr>
                <w:rFonts w:eastAsia="Calibri" w:cs="Arial"/>
                <w:b/>
                <w:bCs/>
                <w:sz w:val="22"/>
                <w:szCs w:val="22"/>
                <w:lang w:val="nl-BE" w:eastAsia="en-US"/>
              </w:rPr>
            </w:pPr>
            <w:r w:rsidRPr="001A170B">
              <w:rPr>
                <w:rFonts w:eastAsia="Calibri" w:cs="Arial"/>
                <w:b/>
                <w:bCs/>
                <w:sz w:val="22"/>
                <w:szCs w:val="22"/>
                <w:lang w:val="nl-BE" w:eastAsia="en-US"/>
              </w:rPr>
              <w:t>Option 3</w:t>
            </w:r>
          </w:p>
        </w:tc>
        <w:tc>
          <w:tcPr>
            <w:tcW w:w="662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1A170B" w:rsidRPr="001A170B" w:rsidRDefault="001A170B" w:rsidP="001A170B">
            <w:pPr>
              <w:spacing w:after="250" w:line="276" w:lineRule="auto"/>
              <w:jc w:val="both"/>
              <w:rPr>
                <w:rFonts w:eastAsia="Calibri" w:cs="Arial"/>
                <w:sz w:val="22"/>
                <w:szCs w:val="22"/>
                <w:lang w:val="en-US" w:eastAsia="en-US"/>
              </w:rPr>
            </w:pPr>
            <w:r w:rsidRPr="001A170B">
              <w:rPr>
                <w:rFonts w:eastAsia="Calibri" w:cs="Arial"/>
                <w:sz w:val="22"/>
                <w:szCs w:val="22"/>
                <w:lang w:val="en-US" w:eastAsia="en-US"/>
              </w:rPr>
              <w:t>AIF and non-AIF assets could be commingled in the account on which the AIF’s assets are to be kept at the level of the delegate. However, the delegate could not commingle in this account assets coming from different depositaries.</w:t>
            </w:r>
          </w:p>
          <w:p w:rsidR="001A170B" w:rsidRPr="001A170B" w:rsidRDefault="001A170B" w:rsidP="001A170B">
            <w:pPr>
              <w:spacing w:after="250" w:line="276" w:lineRule="auto"/>
              <w:jc w:val="both"/>
              <w:rPr>
                <w:rFonts w:eastAsia="Calibri" w:cs="Arial"/>
                <w:sz w:val="22"/>
                <w:szCs w:val="22"/>
                <w:lang w:val="en-US" w:eastAsia="en-US"/>
              </w:rPr>
            </w:pPr>
            <w:r w:rsidRPr="001A170B">
              <w:rPr>
                <w:rFonts w:eastAsia="Calibri" w:cs="Arial"/>
                <w:sz w:val="22"/>
                <w:szCs w:val="22"/>
                <w:lang w:val="en-US" w:eastAsia="en-US"/>
              </w:rPr>
              <w:t xml:space="preserve">When the delegate appoints a sub-delegate, this should hold separate accounts for assets coming from different depositaries. However, AIF and non-AIF assets could be commingled in the account of a given depositary in which the AIF’s assets are to be kept at the level of the sub-delegate.  </w:t>
            </w:r>
          </w:p>
        </w:tc>
      </w:tr>
      <w:tr w:rsidR="001A170B" w:rsidRPr="001A170B" w:rsidTr="00A03F41">
        <w:tc>
          <w:tcPr>
            <w:tcW w:w="2092" w:type="dxa"/>
            <w:tcBorders>
              <w:top w:val="nil"/>
              <w:left w:val="single" w:sz="8" w:space="0" w:color="9CC2E5"/>
              <w:bottom w:val="single" w:sz="8" w:space="0" w:color="9CC2E5"/>
              <w:right w:val="single" w:sz="8" w:space="0" w:color="9CC2E5"/>
            </w:tcBorders>
            <w:tcMar>
              <w:top w:w="0" w:type="dxa"/>
              <w:left w:w="108" w:type="dxa"/>
              <w:bottom w:w="0" w:type="dxa"/>
              <w:right w:w="108" w:type="dxa"/>
            </w:tcMar>
            <w:hideMark/>
          </w:tcPr>
          <w:p w:rsidR="001A170B" w:rsidRPr="001A170B" w:rsidRDefault="001A170B" w:rsidP="001A170B">
            <w:pPr>
              <w:spacing w:after="250" w:line="276" w:lineRule="auto"/>
              <w:jc w:val="both"/>
              <w:rPr>
                <w:rFonts w:eastAsia="Calibri" w:cs="Arial"/>
                <w:b/>
                <w:bCs/>
                <w:sz w:val="22"/>
                <w:szCs w:val="22"/>
                <w:lang w:val="nl-BE" w:eastAsia="en-US"/>
              </w:rPr>
            </w:pPr>
            <w:r w:rsidRPr="001A170B">
              <w:rPr>
                <w:rFonts w:eastAsia="Calibri" w:cs="Arial"/>
                <w:b/>
                <w:bCs/>
                <w:sz w:val="22"/>
                <w:szCs w:val="22"/>
                <w:lang w:val="nl-BE" w:eastAsia="en-US"/>
              </w:rPr>
              <w:t>Option 4</w:t>
            </w:r>
          </w:p>
        </w:tc>
        <w:tc>
          <w:tcPr>
            <w:tcW w:w="6626" w:type="dxa"/>
            <w:tcBorders>
              <w:top w:val="nil"/>
              <w:left w:val="nil"/>
              <w:bottom w:val="single" w:sz="8" w:space="0" w:color="9CC2E5"/>
              <w:right w:val="single" w:sz="8" w:space="0" w:color="9CC2E5"/>
            </w:tcBorders>
            <w:tcMar>
              <w:top w:w="0" w:type="dxa"/>
              <w:left w:w="108" w:type="dxa"/>
              <w:bottom w:w="0" w:type="dxa"/>
              <w:right w:w="108" w:type="dxa"/>
            </w:tcMar>
            <w:hideMark/>
          </w:tcPr>
          <w:p w:rsidR="001A170B" w:rsidRPr="001A170B" w:rsidRDefault="001A170B" w:rsidP="001A170B">
            <w:pPr>
              <w:spacing w:after="250" w:line="276" w:lineRule="auto"/>
              <w:jc w:val="both"/>
              <w:rPr>
                <w:rFonts w:eastAsia="Calibri" w:cs="Arial"/>
                <w:sz w:val="22"/>
                <w:szCs w:val="22"/>
                <w:lang w:val="en-US" w:eastAsia="en-US"/>
              </w:rPr>
            </w:pPr>
            <w:r w:rsidRPr="001A170B">
              <w:rPr>
                <w:rFonts w:eastAsia="Calibri" w:cs="Arial"/>
                <w:sz w:val="22"/>
                <w:szCs w:val="22"/>
                <w:lang w:val="en-US" w:eastAsia="en-US"/>
              </w:rPr>
              <w:t xml:space="preserve">AIF and non-AIF assets could be commingled in the account on which the AIF’s assets are to be kept at the level of the delegate. </w:t>
            </w:r>
            <w:r w:rsidRPr="001A170B">
              <w:rPr>
                <w:rFonts w:eastAsia="Calibri" w:cs="Arial"/>
                <w:sz w:val="22"/>
                <w:szCs w:val="22"/>
                <w:lang w:val="en-US" w:eastAsia="en-US"/>
              </w:rPr>
              <w:lastRenderedPageBreak/>
              <w:t>The delegate could commingle in this account assets coming from different depositary clients.</w:t>
            </w:r>
          </w:p>
          <w:p w:rsidR="001A170B" w:rsidRPr="001A170B" w:rsidRDefault="001A170B" w:rsidP="001A170B">
            <w:pPr>
              <w:spacing w:after="250" w:line="276" w:lineRule="auto"/>
              <w:jc w:val="both"/>
              <w:rPr>
                <w:rFonts w:eastAsia="Calibri" w:cs="Arial"/>
                <w:sz w:val="22"/>
                <w:szCs w:val="22"/>
                <w:lang w:val="en-US" w:eastAsia="en-US"/>
              </w:rPr>
            </w:pPr>
            <w:r w:rsidRPr="001A170B">
              <w:rPr>
                <w:rFonts w:eastAsia="Calibri" w:cs="Arial"/>
                <w:sz w:val="22"/>
                <w:szCs w:val="22"/>
                <w:lang w:val="en-US" w:eastAsia="en-US"/>
              </w:rPr>
              <w:t>When the delegate appoints a sub-delegate, this could commingle in the same account AIF and non-AIF assets and assets coming from different depositaries and the delegates’ clients (but should not be mixed with the delegate’s or depositaries’ own assets).</w:t>
            </w:r>
          </w:p>
        </w:tc>
      </w:tr>
      <w:tr w:rsidR="001A170B" w:rsidRPr="001A170B" w:rsidTr="00A03F41">
        <w:tc>
          <w:tcPr>
            <w:tcW w:w="209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rsidR="001A170B" w:rsidRPr="001A170B" w:rsidRDefault="001A170B" w:rsidP="001A170B">
            <w:pPr>
              <w:spacing w:after="250" w:line="276" w:lineRule="auto"/>
              <w:jc w:val="both"/>
              <w:rPr>
                <w:rFonts w:eastAsia="Calibri" w:cs="Arial"/>
                <w:b/>
                <w:bCs/>
                <w:sz w:val="22"/>
                <w:szCs w:val="22"/>
                <w:lang w:val="nl-BE" w:eastAsia="en-US"/>
              </w:rPr>
            </w:pPr>
            <w:r w:rsidRPr="001A170B">
              <w:rPr>
                <w:rFonts w:eastAsia="Calibri" w:cs="Arial"/>
                <w:b/>
                <w:bCs/>
                <w:sz w:val="22"/>
                <w:szCs w:val="22"/>
                <w:lang w:val="nl-BE" w:eastAsia="en-US"/>
              </w:rPr>
              <w:lastRenderedPageBreak/>
              <w:t>Option 5</w:t>
            </w:r>
          </w:p>
        </w:tc>
        <w:tc>
          <w:tcPr>
            <w:tcW w:w="6626"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rsidR="001A170B" w:rsidRPr="001A170B" w:rsidRDefault="001A170B" w:rsidP="001A170B">
            <w:pPr>
              <w:spacing w:after="250" w:line="276" w:lineRule="auto"/>
              <w:jc w:val="both"/>
              <w:rPr>
                <w:rFonts w:eastAsia="Calibri" w:cs="Arial"/>
                <w:sz w:val="22"/>
                <w:szCs w:val="22"/>
                <w:lang w:val="en-US" w:eastAsia="en-US"/>
              </w:rPr>
            </w:pPr>
            <w:r w:rsidRPr="001A170B">
              <w:rPr>
                <w:rFonts w:eastAsia="Calibri" w:cs="Arial"/>
                <w:sz w:val="22"/>
                <w:szCs w:val="22"/>
                <w:lang w:val="en-US" w:eastAsia="en-US"/>
              </w:rPr>
              <w:t>AIF assets should be segregated on an AIF-by-AIF basis at the level of the delegate or sub- delegate.</w:t>
            </w:r>
          </w:p>
        </w:tc>
      </w:tr>
    </w:tbl>
    <w:p w:rsidR="001A170B" w:rsidRDefault="001A170B" w:rsidP="00731D88">
      <w:pPr>
        <w:spacing w:after="250" w:line="276" w:lineRule="auto"/>
        <w:jc w:val="both"/>
        <w:rPr>
          <w:rFonts w:cs="Arial"/>
          <w:sz w:val="22"/>
          <w:szCs w:val="20"/>
          <w:lang w:val="en-US" w:eastAsia="en-US"/>
        </w:rPr>
      </w:pPr>
    </w:p>
    <w:p w:rsidR="00731D88" w:rsidRPr="00176639" w:rsidRDefault="00731D88" w:rsidP="00731D88">
      <w:r w:rsidRPr="00176639">
        <w:t>&lt;ESMA_</w:t>
      </w:r>
      <w:r>
        <w:t>QUESTION</w:t>
      </w:r>
      <w:r w:rsidRPr="00176639">
        <w:t>_</w:t>
      </w:r>
      <w:r>
        <w:t>CE_</w:t>
      </w:r>
      <w:r w:rsidRPr="000018FA">
        <w:t>ASCS</w:t>
      </w:r>
      <w:r w:rsidRPr="00176639">
        <w:t>_</w:t>
      </w:r>
      <w:r>
        <w:t>22</w:t>
      </w:r>
      <w:r w:rsidRPr="00176639">
        <w:t>&gt;</w:t>
      </w:r>
    </w:p>
    <w:p w:rsidR="00731D88" w:rsidRDefault="00731D88" w:rsidP="00731D88">
      <w:permStart w:id="1271152318" w:edGrp="everyone"/>
      <w:r>
        <w:t>TYPE YOUR TEXT HERE</w:t>
      </w:r>
    </w:p>
    <w:permEnd w:id="1271152318"/>
    <w:p w:rsidR="00731D88"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22</w:t>
      </w:r>
      <w:r w:rsidRPr="00B42A10">
        <w:rPr>
          <w:lang w:val="fr-FR"/>
        </w:rPr>
        <w:t>&gt;</w:t>
      </w:r>
    </w:p>
    <w:p w:rsidR="00731D88" w:rsidRPr="001A170B" w:rsidRDefault="00731D88" w:rsidP="00731D88">
      <w:pPr>
        <w:spacing w:after="250" w:line="276" w:lineRule="auto"/>
        <w:jc w:val="both"/>
        <w:rPr>
          <w:rFonts w:cs="Arial"/>
          <w:sz w:val="22"/>
          <w:szCs w:val="20"/>
          <w:lang w:val="en-US" w:eastAsia="en-US"/>
        </w:rPr>
      </w:pPr>
    </w:p>
    <w:p w:rsidR="001A170B" w:rsidRP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Articles 38(3) and (4) of the CSDR state that a CSD shall offer its participants the choice between:</w:t>
      </w:r>
    </w:p>
    <w:p w:rsidR="001A170B" w:rsidRPr="001A170B" w:rsidRDefault="001A170B" w:rsidP="001A170B">
      <w:pPr>
        <w:numPr>
          <w:ilvl w:val="0"/>
          <w:numId w:val="52"/>
        </w:numPr>
        <w:spacing w:after="250" w:line="276" w:lineRule="auto"/>
        <w:jc w:val="both"/>
        <w:rPr>
          <w:rFonts w:cs="Arial"/>
          <w:b/>
          <w:sz w:val="22"/>
          <w:szCs w:val="20"/>
          <w:lang w:eastAsia="en-US"/>
        </w:rPr>
      </w:pPr>
      <w:r w:rsidRPr="001A170B">
        <w:rPr>
          <w:rFonts w:cs="Arial"/>
          <w:b/>
          <w:sz w:val="22"/>
          <w:szCs w:val="20"/>
          <w:lang w:eastAsia="en-US"/>
        </w:rPr>
        <w:t>‘omnibus client segregation’ at the CSD level (holding in one securities account the securities that belong to different clients of that participant);</w:t>
      </w:r>
    </w:p>
    <w:p w:rsidR="001A170B" w:rsidRPr="001A170B" w:rsidRDefault="001A170B" w:rsidP="001A170B">
      <w:pPr>
        <w:numPr>
          <w:ilvl w:val="0"/>
          <w:numId w:val="52"/>
        </w:numPr>
        <w:spacing w:after="250" w:line="276" w:lineRule="auto"/>
        <w:jc w:val="both"/>
        <w:rPr>
          <w:rFonts w:cs="Arial"/>
          <w:b/>
          <w:sz w:val="22"/>
          <w:szCs w:val="20"/>
          <w:lang w:eastAsia="en-US"/>
        </w:rPr>
      </w:pPr>
      <w:r w:rsidRPr="001A170B">
        <w:rPr>
          <w:rFonts w:cs="Arial"/>
          <w:b/>
          <w:sz w:val="22"/>
          <w:szCs w:val="20"/>
          <w:lang w:eastAsia="en-US"/>
        </w:rPr>
        <w:t>‘individual client segregation’ at the CSD level (segregating the securities of any of the participant’s clients, if and as required by the participant).</w:t>
      </w:r>
    </w:p>
    <w:p w:rsidR="001A170B" w:rsidRPr="001A170B" w:rsidRDefault="001A170B" w:rsidP="001A170B">
      <w:pPr>
        <w:spacing w:after="250" w:line="276" w:lineRule="auto"/>
        <w:ind w:left="360"/>
        <w:jc w:val="both"/>
        <w:rPr>
          <w:b/>
          <w:bCs/>
          <w:sz w:val="22"/>
          <w:szCs w:val="20"/>
          <w:lang w:eastAsia="en-US"/>
        </w:rPr>
      </w:pPr>
      <w:r w:rsidRPr="001A170B">
        <w:rPr>
          <w:b/>
          <w:bCs/>
          <w:sz w:val="22"/>
          <w:szCs w:val="20"/>
          <w:lang w:eastAsia="en-US"/>
        </w:rPr>
        <w:t>In addition, under Article 38 (5) of CSDR, a participant shall offer its clients at least the choice between omnibus client segregation and individual client segregation and inform them of the costs and risks associated with each option</w:t>
      </w:r>
      <w:r w:rsidRPr="001A170B">
        <w:rPr>
          <w:b/>
          <w:bCs/>
          <w:sz w:val="16"/>
          <w:szCs w:val="20"/>
          <w:vertAlign w:val="superscript"/>
          <w:lang w:eastAsia="en-US"/>
        </w:rPr>
        <w:footnoteReference w:id="11"/>
      </w:r>
      <w:r w:rsidRPr="001A170B">
        <w:rPr>
          <w:b/>
          <w:bCs/>
          <w:sz w:val="22"/>
          <w:szCs w:val="20"/>
          <w:lang w:eastAsia="en-US"/>
        </w:rPr>
        <w:t xml:space="preserve">. </w:t>
      </w:r>
    </w:p>
    <w:p w:rsidR="001A170B" w:rsidRPr="001A170B" w:rsidRDefault="001A170B" w:rsidP="001A170B">
      <w:pPr>
        <w:numPr>
          <w:ilvl w:val="0"/>
          <w:numId w:val="53"/>
        </w:numPr>
        <w:spacing w:after="250" w:line="276" w:lineRule="auto"/>
        <w:jc w:val="both"/>
        <w:rPr>
          <w:rFonts w:cs="Arial"/>
          <w:b/>
          <w:sz w:val="22"/>
          <w:szCs w:val="20"/>
          <w:lang w:eastAsia="en-US"/>
        </w:rPr>
      </w:pPr>
      <w:r w:rsidRPr="001A170B">
        <w:rPr>
          <w:rFonts w:cs="Arial"/>
          <w:b/>
          <w:sz w:val="22"/>
          <w:szCs w:val="20"/>
          <w:lang w:eastAsia="en-US"/>
        </w:rPr>
        <w:t xml:space="preserve">Do you consider that a regime similar to the one under Article 38 of the CSDR but applied throughout the custody chain (according to which the manager of AIFs/UCITS, on behalf of their investors, informs the depositary of the level of asset segregation it wishes to apply throughout the custody chain to each individual AIF/UCITS, after having duly assessed the risks and costs associated with the different options) would achieve the policy objective described in the above introduction? Please explain why and, if the answer is yes, how. </w:t>
      </w:r>
    </w:p>
    <w:p w:rsidR="001A170B" w:rsidRPr="001A170B" w:rsidRDefault="001A170B" w:rsidP="001A170B">
      <w:pPr>
        <w:numPr>
          <w:ilvl w:val="0"/>
          <w:numId w:val="53"/>
        </w:numPr>
        <w:spacing w:after="250" w:line="276" w:lineRule="auto"/>
        <w:jc w:val="both"/>
        <w:rPr>
          <w:rFonts w:cs="Arial"/>
          <w:b/>
          <w:sz w:val="22"/>
          <w:szCs w:val="20"/>
          <w:lang w:eastAsia="en-US"/>
        </w:rPr>
      </w:pPr>
      <w:r w:rsidRPr="001A170B">
        <w:rPr>
          <w:rFonts w:cs="Arial"/>
          <w:b/>
          <w:sz w:val="22"/>
          <w:szCs w:val="20"/>
          <w:lang w:eastAsia="en-US"/>
        </w:rPr>
        <w:t xml:space="preserve">Applying a regime similar to the one under Article 38 of the CSDR to the AIF/UCITS framework would mean that the fund investors would have the choice to invest in </w:t>
      </w:r>
      <w:r w:rsidRPr="001A170B">
        <w:rPr>
          <w:rFonts w:cs="Arial"/>
          <w:b/>
          <w:sz w:val="22"/>
          <w:szCs w:val="20"/>
          <w:lang w:eastAsia="en-US"/>
        </w:rPr>
        <w:lastRenderedPageBreak/>
        <w:t>a given fund or not, after having been made aware – through appropriate disclosures – of the level of asset segregation that the managers of AIFs/UCITS had chosen and the related costs. However, investors would not have the opportunity to participate in the choice of the level of asset segregation as such a choice would have to be made by the manager for each individual fund as a whole (i.e. it would not be possible to have different levels of segregation for the investors in the same fund). Do you consider that this could raise any concern in terms of investor protection or could any concern be alleviated through appropriate disclosures? Please explain the reasons for your answer.</w:t>
      </w:r>
    </w:p>
    <w:p w:rsidR="001A170B" w:rsidRDefault="001A170B" w:rsidP="001A170B">
      <w:pPr>
        <w:numPr>
          <w:ilvl w:val="0"/>
          <w:numId w:val="53"/>
        </w:numPr>
        <w:spacing w:after="250" w:line="276" w:lineRule="auto"/>
        <w:jc w:val="both"/>
        <w:rPr>
          <w:rFonts w:cs="Arial"/>
          <w:b/>
          <w:sz w:val="22"/>
          <w:szCs w:val="20"/>
          <w:lang w:eastAsia="en-US"/>
        </w:rPr>
      </w:pPr>
      <w:r w:rsidRPr="001A170B">
        <w:rPr>
          <w:rFonts w:cs="Arial"/>
          <w:b/>
          <w:sz w:val="22"/>
          <w:szCs w:val="20"/>
          <w:lang w:eastAsia="en-US"/>
        </w:rPr>
        <w:t>Please comment on any implications of such a regime for the account related provisions under Article 39 of EMIR.</w:t>
      </w:r>
    </w:p>
    <w:p w:rsidR="00731D88" w:rsidRDefault="00731D88" w:rsidP="00731D88">
      <w:pPr>
        <w:spacing w:after="250" w:line="276" w:lineRule="auto"/>
        <w:jc w:val="both"/>
        <w:rPr>
          <w:rFonts w:cs="Arial"/>
          <w:b/>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23</w:t>
      </w:r>
      <w:r w:rsidRPr="00176639">
        <w:t>&gt;</w:t>
      </w:r>
    </w:p>
    <w:p w:rsidR="00731D88" w:rsidRDefault="00731D88" w:rsidP="00731D88">
      <w:permStart w:id="1482317391" w:edGrp="everyone"/>
      <w:r>
        <w:t>TYPE YOUR TEXT HERE</w:t>
      </w:r>
    </w:p>
    <w:permEnd w:id="1482317391"/>
    <w:p w:rsidR="00731D88"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23</w:t>
      </w:r>
      <w:r w:rsidRPr="00B42A10">
        <w:rPr>
          <w:lang w:val="fr-FR"/>
        </w:rPr>
        <w:t>&gt;</w:t>
      </w:r>
    </w:p>
    <w:p w:rsidR="00731D88" w:rsidRPr="001A170B" w:rsidRDefault="00731D88" w:rsidP="00731D88">
      <w:pPr>
        <w:spacing w:after="250" w:line="276" w:lineRule="auto"/>
        <w:jc w:val="both"/>
        <w:rPr>
          <w:rFonts w:cs="Arial"/>
          <w:b/>
          <w:sz w:val="22"/>
          <w:szCs w:val="20"/>
          <w:lang w:eastAsia="en-US"/>
        </w:rPr>
      </w:pPr>
    </w:p>
    <w:p w:rsidR="001A170B" w:rsidRDefault="001A170B" w:rsidP="001A170B">
      <w:pPr>
        <w:numPr>
          <w:ilvl w:val="0"/>
          <w:numId w:val="38"/>
        </w:numPr>
        <w:spacing w:after="250" w:line="276" w:lineRule="auto"/>
        <w:jc w:val="both"/>
        <w:rPr>
          <w:b/>
          <w:bCs/>
          <w:sz w:val="22"/>
          <w:szCs w:val="20"/>
          <w:lang w:eastAsia="en-US"/>
        </w:rPr>
      </w:pPr>
      <w:r w:rsidRPr="001A170B">
        <w:rPr>
          <w:b/>
          <w:bCs/>
          <w:sz w:val="22"/>
          <w:szCs w:val="20"/>
          <w:lang w:eastAsia="en-US"/>
        </w:rPr>
        <w:t>Please describe any alternative regime which, in your view, would achieve the policy objective described in the above introduction.</w:t>
      </w:r>
    </w:p>
    <w:p w:rsidR="00731D88" w:rsidRDefault="00731D88" w:rsidP="00731D88">
      <w:pPr>
        <w:spacing w:after="250" w:line="276" w:lineRule="auto"/>
        <w:jc w:val="both"/>
        <w:rPr>
          <w:b/>
          <w:bCs/>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24</w:t>
      </w:r>
      <w:r w:rsidRPr="00176639">
        <w:t>&gt;</w:t>
      </w:r>
    </w:p>
    <w:p w:rsidR="00731D88" w:rsidRDefault="00731D88" w:rsidP="00731D88">
      <w:permStart w:id="996359276" w:edGrp="everyone"/>
      <w:r>
        <w:t>TYPE YOUR TEXT HERE</w:t>
      </w:r>
    </w:p>
    <w:permEnd w:id="996359276"/>
    <w:p w:rsidR="00731D88"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24</w:t>
      </w:r>
      <w:r w:rsidRPr="00B42A10">
        <w:rPr>
          <w:lang w:val="fr-FR"/>
        </w:rPr>
        <w:t>&gt;</w:t>
      </w:r>
    </w:p>
    <w:p w:rsidR="00731D88" w:rsidRPr="001A170B" w:rsidRDefault="00731D88" w:rsidP="00731D88">
      <w:pPr>
        <w:spacing w:after="250" w:line="276" w:lineRule="auto"/>
        <w:jc w:val="both"/>
        <w:rPr>
          <w:b/>
          <w:bCs/>
          <w:sz w:val="22"/>
          <w:szCs w:val="20"/>
          <w:lang w:eastAsia="en-US"/>
        </w:rPr>
      </w:pPr>
    </w:p>
    <w:p w:rsidR="001A170B" w:rsidRDefault="001A170B" w:rsidP="001A170B">
      <w:pPr>
        <w:numPr>
          <w:ilvl w:val="0"/>
          <w:numId w:val="38"/>
        </w:numPr>
        <w:spacing w:after="250" w:line="276" w:lineRule="auto"/>
        <w:jc w:val="both"/>
        <w:rPr>
          <w:rFonts w:cs="Arial"/>
          <w:b/>
          <w:bCs/>
          <w:sz w:val="22"/>
          <w:szCs w:val="20"/>
          <w:lang w:eastAsia="en-US"/>
        </w:rPr>
      </w:pPr>
      <w:r w:rsidRPr="001A170B">
        <w:rPr>
          <w:rFonts w:cs="Arial"/>
          <w:b/>
          <w:bCs/>
          <w:sz w:val="22"/>
          <w:szCs w:val="20"/>
          <w:lang w:eastAsia="en-US"/>
        </w:rPr>
        <w:t xml:space="preserve">Do you see a need for detailing and further clarifying the concept of “custody” for the purposes of the AIFMD and UCITS Directive? </w:t>
      </w:r>
    </w:p>
    <w:p w:rsidR="00731D88" w:rsidRDefault="00731D88" w:rsidP="00731D88">
      <w:pPr>
        <w:spacing w:after="250" w:line="276" w:lineRule="auto"/>
        <w:jc w:val="both"/>
        <w:rPr>
          <w:rFonts w:cs="Arial"/>
          <w:b/>
          <w:bCs/>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25</w:t>
      </w:r>
      <w:r w:rsidRPr="00176639">
        <w:t>&gt;</w:t>
      </w:r>
    </w:p>
    <w:p w:rsidR="00731D88" w:rsidRDefault="00731D88" w:rsidP="00731D88">
      <w:permStart w:id="1994619958" w:edGrp="everyone"/>
      <w:r>
        <w:t>TYPE YOUR TEXT HERE</w:t>
      </w:r>
    </w:p>
    <w:permEnd w:id="1994619958"/>
    <w:p w:rsidR="00731D88"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25</w:t>
      </w:r>
      <w:r w:rsidRPr="00B42A10">
        <w:rPr>
          <w:lang w:val="fr-FR"/>
        </w:rPr>
        <w:t>&gt;</w:t>
      </w:r>
    </w:p>
    <w:p w:rsidR="00731D88" w:rsidRPr="001A170B" w:rsidRDefault="00731D88" w:rsidP="00731D88">
      <w:pPr>
        <w:spacing w:after="250" w:line="276" w:lineRule="auto"/>
        <w:jc w:val="both"/>
        <w:rPr>
          <w:rFonts w:cs="Arial"/>
          <w:b/>
          <w:bCs/>
          <w:sz w:val="22"/>
          <w:szCs w:val="20"/>
          <w:lang w:eastAsia="en-US"/>
        </w:rPr>
      </w:pPr>
    </w:p>
    <w:p w:rsidR="001A170B" w:rsidRPr="001A170B" w:rsidRDefault="001A170B" w:rsidP="001A170B">
      <w:pPr>
        <w:numPr>
          <w:ilvl w:val="0"/>
          <w:numId w:val="38"/>
        </w:numPr>
        <w:spacing w:after="250" w:line="276" w:lineRule="auto"/>
        <w:jc w:val="both"/>
        <w:rPr>
          <w:rFonts w:cs="Arial"/>
          <w:b/>
          <w:bCs/>
          <w:sz w:val="22"/>
          <w:szCs w:val="20"/>
          <w:lang w:eastAsia="en-US"/>
        </w:rPr>
      </w:pPr>
      <w:r w:rsidRPr="001A170B">
        <w:rPr>
          <w:rFonts w:cs="Arial"/>
          <w:b/>
          <w:bCs/>
          <w:sz w:val="22"/>
          <w:szCs w:val="20"/>
          <w:lang w:eastAsia="en-US"/>
        </w:rPr>
        <w:t>If your answer to Q25 is yes, should the concept of “custody” of financial instruments include the provision of any of the following services for the purpose of the AIFMD and UCITS Directive:</w:t>
      </w:r>
    </w:p>
    <w:p w:rsidR="001A170B" w:rsidRPr="001A170B" w:rsidRDefault="001A170B" w:rsidP="001A170B">
      <w:pPr>
        <w:numPr>
          <w:ilvl w:val="0"/>
          <w:numId w:val="54"/>
        </w:numPr>
        <w:spacing w:after="250" w:line="276" w:lineRule="auto"/>
        <w:jc w:val="both"/>
        <w:rPr>
          <w:rFonts w:cs="Arial"/>
          <w:b/>
          <w:sz w:val="22"/>
          <w:szCs w:val="20"/>
          <w:lang w:eastAsia="en-US"/>
        </w:rPr>
      </w:pPr>
      <w:r w:rsidRPr="001A170B">
        <w:rPr>
          <w:rFonts w:cs="Arial"/>
          <w:b/>
          <w:sz w:val="22"/>
          <w:szCs w:val="20"/>
          <w:lang w:eastAsia="en-US"/>
        </w:rPr>
        <w:t>initial recording of securities in a book-entry system (‘notary service’);</w:t>
      </w:r>
    </w:p>
    <w:p w:rsidR="001A170B" w:rsidRPr="001A170B" w:rsidRDefault="001A170B" w:rsidP="001A170B">
      <w:pPr>
        <w:numPr>
          <w:ilvl w:val="0"/>
          <w:numId w:val="54"/>
        </w:numPr>
        <w:spacing w:after="250" w:line="276" w:lineRule="auto"/>
        <w:jc w:val="both"/>
        <w:rPr>
          <w:rFonts w:cs="Arial"/>
          <w:b/>
          <w:sz w:val="22"/>
          <w:szCs w:val="20"/>
          <w:lang w:eastAsia="en-US"/>
        </w:rPr>
      </w:pPr>
      <w:r w:rsidRPr="001A170B">
        <w:rPr>
          <w:rFonts w:cs="Arial"/>
          <w:b/>
          <w:sz w:val="22"/>
          <w:szCs w:val="20"/>
          <w:lang w:eastAsia="en-US"/>
        </w:rPr>
        <w:lastRenderedPageBreak/>
        <w:t>providing and maintaining securities accounts at the top tier level (‘central maintenance service’)</w:t>
      </w:r>
      <w:r w:rsidRPr="001A170B">
        <w:rPr>
          <w:rFonts w:cs="Arial"/>
          <w:sz w:val="22"/>
          <w:szCs w:val="20"/>
          <w:vertAlign w:val="superscript"/>
          <w:lang w:eastAsia="en-US"/>
        </w:rPr>
        <w:footnoteReference w:id="12"/>
      </w:r>
      <w:r w:rsidRPr="001A170B">
        <w:rPr>
          <w:rFonts w:cs="Arial"/>
          <w:b/>
          <w:sz w:val="22"/>
          <w:szCs w:val="20"/>
          <w:lang w:eastAsia="en-US"/>
        </w:rPr>
        <w:t>;</w:t>
      </w:r>
    </w:p>
    <w:p w:rsidR="001A170B" w:rsidRPr="001A170B" w:rsidRDefault="001A170B" w:rsidP="001A170B">
      <w:pPr>
        <w:numPr>
          <w:ilvl w:val="0"/>
          <w:numId w:val="54"/>
        </w:numPr>
        <w:spacing w:after="250" w:line="276" w:lineRule="auto"/>
        <w:jc w:val="both"/>
        <w:rPr>
          <w:rFonts w:cs="Arial"/>
          <w:b/>
          <w:sz w:val="22"/>
          <w:szCs w:val="20"/>
          <w:lang w:eastAsia="en-US"/>
        </w:rPr>
      </w:pPr>
      <w:r w:rsidRPr="001A170B">
        <w:rPr>
          <w:rFonts w:cs="Arial"/>
          <w:b/>
          <w:sz w:val="22"/>
          <w:szCs w:val="20"/>
          <w:lang w:eastAsia="en-US"/>
        </w:rPr>
        <w:t>maintaining or operating securities accounts in relation to the settlement service;</w:t>
      </w:r>
    </w:p>
    <w:p w:rsidR="001A170B" w:rsidRPr="001A170B" w:rsidRDefault="001A170B" w:rsidP="001A170B">
      <w:pPr>
        <w:numPr>
          <w:ilvl w:val="0"/>
          <w:numId w:val="54"/>
        </w:numPr>
        <w:spacing w:after="250" w:line="276" w:lineRule="auto"/>
        <w:jc w:val="both"/>
        <w:rPr>
          <w:rFonts w:cs="Arial"/>
          <w:b/>
          <w:sz w:val="22"/>
          <w:szCs w:val="20"/>
          <w:lang w:eastAsia="en-US"/>
        </w:rPr>
      </w:pPr>
      <w:r w:rsidRPr="001A170B">
        <w:rPr>
          <w:rFonts w:cs="Arial"/>
          <w:b/>
          <w:sz w:val="22"/>
          <w:szCs w:val="20"/>
          <w:lang w:eastAsia="en-US"/>
        </w:rPr>
        <w:t>having any kind of access to the assets of the AIF/UCITS; or</w:t>
      </w:r>
    </w:p>
    <w:p w:rsidR="001A170B" w:rsidRDefault="001A170B" w:rsidP="001A170B">
      <w:pPr>
        <w:numPr>
          <w:ilvl w:val="0"/>
          <w:numId w:val="54"/>
        </w:numPr>
        <w:spacing w:after="250" w:line="276" w:lineRule="auto"/>
        <w:jc w:val="both"/>
        <w:rPr>
          <w:rFonts w:cs="Arial"/>
          <w:b/>
          <w:sz w:val="22"/>
          <w:szCs w:val="20"/>
          <w:lang w:eastAsia="en-US"/>
        </w:rPr>
      </w:pPr>
      <w:r w:rsidRPr="001A170B">
        <w:rPr>
          <w:rFonts w:cs="Arial"/>
          <w:b/>
          <w:sz w:val="22"/>
          <w:szCs w:val="20"/>
          <w:lang w:eastAsia="en-US"/>
        </w:rPr>
        <w:t>having any access to the accounts where the assets of the AIF/UCITS are booked with the right to pledge and transfer those assets from those accounts to any other party?</w:t>
      </w:r>
    </w:p>
    <w:p w:rsidR="00731D88" w:rsidRDefault="00731D88" w:rsidP="00731D88">
      <w:pPr>
        <w:spacing w:after="250" w:line="276" w:lineRule="auto"/>
        <w:jc w:val="both"/>
        <w:rPr>
          <w:rFonts w:cs="Arial"/>
          <w:b/>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26</w:t>
      </w:r>
      <w:r w:rsidRPr="00176639">
        <w:t>&gt;</w:t>
      </w:r>
    </w:p>
    <w:p w:rsidR="00731D88" w:rsidRDefault="00731D88" w:rsidP="00731D88">
      <w:permStart w:id="1072904924" w:edGrp="everyone"/>
      <w:r>
        <w:t>TYPE YOUR TEXT HERE</w:t>
      </w:r>
    </w:p>
    <w:permEnd w:id="1072904924"/>
    <w:p w:rsidR="00731D88"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26</w:t>
      </w:r>
      <w:r w:rsidRPr="00B42A10">
        <w:rPr>
          <w:lang w:val="fr-FR"/>
        </w:rPr>
        <w:t>&gt;</w:t>
      </w:r>
    </w:p>
    <w:p w:rsidR="00731D88" w:rsidRPr="001A170B" w:rsidRDefault="00731D88" w:rsidP="00731D88">
      <w:pPr>
        <w:spacing w:after="250" w:line="276" w:lineRule="auto"/>
        <w:jc w:val="both"/>
        <w:rPr>
          <w:rFonts w:cs="Arial"/>
          <w:b/>
          <w:sz w:val="22"/>
          <w:szCs w:val="20"/>
          <w:lang w:eastAsia="en-US"/>
        </w:rPr>
      </w:pPr>
    </w:p>
    <w:p w:rsidR="001A170B" w:rsidRDefault="001A170B" w:rsidP="001A170B">
      <w:pPr>
        <w:numPr>
          <w:ilvl w:val="0"/>
          <w:numId w:val="38"/>
        </w:numPr>
        <w:spacing w:after="250" w:line="276" w:lineRule="auto"/>
        <w:jc w:val="both"/>
        <w:rPr>
          <w:rFonts w:cs="Arial"/>
          <w:b/>
          <w:bCs/>
          <w:sz w:val="22"/>
          <w:szCs w:val="20"/>
          <w:lang w:eastAsia="en-US"/>
        </w:rPr>
      </w:pPr>
      <w:r w:rsidRPr="001A170B">
        <w:rPr>
          <w:rFonts w:cs="Arial"/>
          <w:b/>
          <w:bCs/>
          <w:sz w:val="22"/>
          <w:szCs w:val="20"/>
          <w:lang w:eastAsia="en-US"/>
        </w:rPr>
        <w:t>If your answer to Q25 is yes, w</w:t>
      </w:r>
      <w:r w:rsidRPr="001A170B" w:rsidDel="004F2FC4">
        <w:rPr>
          <w:rFonts w:cs="Arial"/>
          <w:b/>
          <w:bCs/>
          <w:sz w:val="22"/>
          <w:szCs w:val="20"/>
          <w:lang w:eastAsia="en-US"/>
        </w:rPr>
        <w:t xml:space="preserve">ould you include any other services in the </w:t>
      </w:r>
      <w:r w:rsidRPr="001A170B">
        <w:rPr>
          <w:rFonts w:cs="Arial"/>
          <w:b/>
          <w:bCs/>
          <w:sz w:val="22"/>
          <w:szCs w:val="20"/>
          <w:lang w:eastAsia="en-US"/>
        </w:rPr>
        <w:t>concept</w:t>
      </w:r>
      <w:r w:rsidRPr="001A170B" w:rsidDel="004F2FC4">
        <w:rPr>
          <w:rFonts w:cs="Arial"/>
          <w:b/>
          <w:bCs/>
          <w:sz w:val="22"/>
          <w:szCs w:val="20"/>
          <w:lang w:eastAsia="en-US"/>
        </w:rPr>
        <w:t xml:space="preserve"> of “custody” of financial instruments for the purpose of the AIFMD and UCITS Directive? If your answer is yes, please list </w:t>
      </w:r>
      <w:r w:rsidRPr="001A170B">
        <w:rPr>
          <w:rFonts w:cs="Arial"/>
          <w:b/>
          <w:bCs/>
          <w:sz w:val="22"/>
          <w:szCs w:val="20"/>
          <w:lang w:eastAsia="en-US"/>
        </w:rPr>
        <w:t>and describe precisely the</w:t>
      </w:r>
      <w:r w:rsidRPr="001A170B" w:rsidDel="004F2FC4">
        <w:rPr>
          <w:rFonts w:cs="Arial"/>
          <w:b/>
          <w:bCs/>
          <w:sz w:val="22"/>
          <w:szCs w:val="20"/>
          <w:lang w:eastAsia="en-US"/>
        </w:rPr>
        <w:t xml:space="preserve"> services that should be included.</w:t>
      </w:r>
    </w:p>
    <w:p w:rsidR="00731D88" w:rsidRDefault="00731D88" w:rsidP="00731D88">
      <w:pPr>
        <w:spacing w:after="250" w:line="276" w:lineRule="auto"/>
        <w:jc w:val="both"/>
        <w:rPr>
          <w:rFonts w:cs="Arial"/>
          <w:b/>
          <w:bCs/>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27</w:t>
      </w:r>
      <w:r w:rsidRPr="00176639">
        <w:t>&gt;</w:t>
      </w:r>
    </w:p>
    <w:p w:rsidR="00731D88" w:rsidRDefault="00731D88" w:rsidP="00731D88">
      <w:permStart w:id="1113786793" w:edGrp="everyone"/>
      <w:r>
        <w:t>TYPE YOUR TEXT HERE</w:t>
      </w:r>
    </w:p>
    <w:permEnd w:id="1113786793"/>
    <w:p w:rsidR="00731D88" w:rsidRDefault="00731D88" w:rsidP="00731D88">
      <w:pPr>
        <w:spacing w:after="250" w:line="276" w:lineRule="auto"/>
        <w:jc w:val="both"/>
        <w:rPr>
          <w:lang w:val="fr-FR"/>
        </w:rPr>
      </w:pPr>
      <w:r w:rsidRPr="00B42A10">
        <w:rPr>
          <w:lang w:val="fr-FR"/>
        </w:rPr>
        <w:t>&lt;ESMA_</w:t>
      </w:r>
      <w:r w:rsidRPr="001A170B">
        <w:rPr>
          <w:lang w:val="fr-FR"/>
        </w:rPr>
        <w:t>QUESTION</w:t>
      </w:r>
      <w:r w:rsidRPr="00B42A10">
        <w:rPr>
          <w:lang w:val="fr-FR"/>
        </w:rPr>
        <w:t>_CE_ASCS_</w:t>
      </w:r>
      <w:r>
        <w:rPr>
          <w:lang w:val="fr-FR"/>
        </w:rPr>
        <w:t>27</w:t>
      </w:r>
      <w:r w:rsidRPr="00B42A10">
        <w:rPr>
          <w:lang w:val="fr-FR"/>
        </w:rPr>
        <w:t>&gt;</w:t>
      </w:r>
    </w:p>
    <w:p w:rsidR="00731D88" w:rsidRPr="001A170B" w:rsidRDefault="00731D88" w:rsidP="00731D88">
      <w:pPr>
        <w:spacing w:after="250" w:line="276" w:lineRule="auto"/>
        <w:jc w:val="both"/>
        <w:rPr>
          <w:rFonts w:cs="Arial"/>
          <w:b/>
          <w:bCs/>
          <w:sz w:val="22"/>
          <w:szCs w:val="20"/>
          <w:lang w:eastAsia="en-US"/>
        </w:rPr>
      </w:pPr>
    </w:p>
    <w:p w:rsidR="001A170B" w:rsidRDefault="001A170B" w:rsidP="001A170B">
      <w:pPr>
        <w:numPr>
          <w:ilvl w:val="0"/>
          <w:numId w:val="38"/>
        </w:numPr>
        <w:spacing w:after="250" w:line="276" w:lineRule="auto"/>
        <w:jc w:val="both"/>
        <w:rPr>
          <w:rFonts w:cs="Arial"/>
          <w:b/>
          <w:bCs/>
          <w:sz w:val="22"/>
          <w:szCs w:val="20"/>
          <w:lang w:eastAsia="en-US"/>
        </w:rPr>
      </w:pPr>
      <w:r w:rsidRPr="001A170B">
        <w:rPr>
          <w:rFonts w:cs="Arial"/>
          <w:b/>
          <w:bCs/>
          <w:sz w:val="22"/>
          <w:szCs w:val="20"/>
          <w:lang w:eastAsia="en-US"/>
        </w:rPr>
        <w:t>Please explain how, in your views, “custody” services interact with “safe-keeping” services, in particular those referred to under Article 21(8) of the AIFMD (as well as Article 89 of the AIFMD Level 2</w:t>
      </w:r>
      <w:r w:rsidRPr="001A170B">
        <w:rPr>
          <w:rFonts w:cs="Arial"/>
          <w:b/>
          <w:bCs/>
          <w:sz w:val="22"/>
          <w:szCs w:val="20"/>
          <w:vertAlign w:val="superscript"/>
          <w:lang w:eastAsia="en-US"/>
        </w:rPr>
        <w:footnoteReference w:id="13"/>
      </w:r>
      <w:r w:rsidRPr="001A170B">
        <w:rPr>
          <w:rFonts w:cs="Arial"/>
          <w:b/>
          <w:bCs/>
          <w:sz w:val="22"/>
          <w:szCs w:val="20"/>
          <w:lang w:eastAsia="en-US"/>
        </w:rPr>
        <w:t>) and Article 22(5) of the UCITS Directive (as well as Article 13 of the UCITS V Level 2</w:t>
      </w:r>
      <w:r w:rsidRPr="001A170B">
        <w:rPr>
          <w:rFonts w:cs="Arial"/>
          <w:b/>
          <w:bCs/>
          <w:sz w:val="22"/>
          <w:szCs w:val="20"/>
          <w:vertAlign w:val="superscript"/>
          <w:lang w:eastAsia="en-US"/>
        </w:rPr>
        <w:footnoteReference w:id="14"/>
      </w:r>
      <w:r w:rsidRPr="001A170B">
        <w:rPr>
          <w:rFonts w:cs="Arial"/>
          <w:b/>
          <w:bCs/>
          <w:sz w:val="22"/>
          <w:szCs w:val="20"/>
          <w:lang w:eastAsia="en-US"/>
        </w:rPr>
        <w:t>).</w:t>
      </w:r>
    </w:p>
    <w:p w:rsidR="00731D88" w:rsidRDefault="00731D88" w:rsidP="00731D88">
      <w:pPr>
        <w:spacing w:after="250" w:line="276" w:lineRule="auto"/>
        <w:jc w:val="both"/>
        <w:rPr>
          <w:rFonts w:cs="Arial"/>
          <w:b/>
          <w:bCs/>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28</w:t>
      </w:r>
      <w:r w:rsidRPr="00176639">
        <w:t>&gt;</w:t>
      </w:r>
    </w:p>
    <w:p w:rsidR="00731D88" w:rsidRDefault="00731D88" w:rsidP="00731D88">
      <w:permStart w:id="262079451" w:edGrp="everyone"/>
      <w:r>
        <w:t>TYPE YOUR TEXT HERE</w:t>
      </w:r>
    </w:p>
    <w:permEnd w:id="262079451"/>
    <w:p w:rsidR="00731D88" w:rsidRPr="001A170B" w:rsidRDefault="00731D88" w:rsidP="00731D88">
      <w:pPr>
        <w:spacing w:after="250" w:line="276" w:lineRule="auto"/>
        <w:jc w:val="both"/>
        <w:rPr>
          <w:rFonts w:cs="Arial"/>
          <w:b/>
          <w:bCs/>
          <w:sz w:val="22"/>
          <w:szCs w:val="20"/>
          <w:lang w:eastAsia="en-US"/>
        </w:rPr>
      </w:pPr>
      <w:r w:rsidRPr="00B42A10">
        <w:rPr>
          <w:lang w:val="fr-FR"/>
        </w:rPr>
        <w:t>&lt;ESMA_</w:t>
      </w:r>
      <w:r w:rsidRPr="001A170B">
        <w:rPr>
          <w:lang w:val="fr-FR"/>
        </w:rPr>
        <w:t>QUESTION</w:t>
      </w:r>
      <w:r w:rsidRPr="00B42A10">
        <w:rPr>
          <w:lang w:val="fr-FR"/>
        </w:rPr>
        <w:t>_CE_ASCS_</w:t>
      </w:r>
      <w:r>
        <w:rPr>
          <w:lang w:val="fr-FR"/>
        </w:rPr>
        <w:t>28</w:t>
      </w:r>
      <w:r w:rsidRPr="00B42A10">
        <w:rPr>
          <w:lang w:val="fr-FR"/>
        </w:rPr>
        <w:t>&gt;</w:t>
      </w:r>
    </w:p>
    <w:p w:rsidR="001A170B" w:rsidRDefault="001A170B" w:rsidP="001A170B">
      <w:pPr>
        <w:numPr>
          <w:ilvl w:val="0"/>
          <w:numId w:val="38"/>
        </w:numPr>
        <w:spacing w:after="250" w:line="276" w:lineRule="auto"/>
        <w:jc w:val="both"/>
        <w:rPr>
          <w:rFonts w:cs="Arial"/>
          <w:b/>
          <w:bCs/>
          <w:sz w:val="22"/>
          <w:szCs w:val="20"/>
          <w:lang w:eastAsia="en-US"/>
        </w:rPr>
      </w:pPr>
      <w:r w:rsidRPr="001A170B">
        <w:rPr>
          <w:rFonts w:cs="Arial"/>
          <w:b/>
          <w:bCs/>
          <w:sz w:val="22"/>
          <w:szCs w:val="20"/>
          <w:lang w:eastAsia="en-US"/>
        </w:rPr>
        <w:lastRenderedPageBreak/>
        <w:t xml:space="preserve">If you consider that the provision by a CSD of any of the core services (i.e. services mentioned under Section A of the Annex to the CSDR) or ancillary services (i.e. services provided in accordance with Section B or Section C of the Annex to the CSDR) </w:t>
      </w:r>
      <w:r w:rsidRPr="001A170B" w:rsidDel="004F2FC4">
        <w:rPr>
          <w:rFonts w:cs="Arial"/>
          <w:b/>
          <w:bCs/>
          <w:sz w:val="22"/>
          <w:szCs w:val="20"/>
          <w:lang w:eastAsia="en-US"/>
        </w:rPr>
        <w:t xml:space="preserve">should </w:t>
      </w:r>
      <w:r w:rsidRPr="001A170B">
        <w:rPr>
          <w:rFonts w:cs="Arial"/>
          <w:b/>
          <w:bCs/>
          <w:sz w:val="22"/>
          <w:szCs w:val="20"/>
          <w:lang w:eastAsia="en-US"/>
        </w:rPr>
        <w:t xml:space="preserve">not result in the CSD </w:t>
      </w:r>
      <w:r w:rsidRPr="001A170B" w:rsidDel="004F2FC4">
        <w:rPr>
          <w:rFonts w:cs="Arial"/>
          <w:b/>
          <w:bCs/>
          <w:sz w:val="22"/>
          <w:szCs w:val="20"/>
          <w:lang w:eastAsia="en-US"/>
        </w:rPr>
        <w:t>be</w:t>
      </w:r>
      <w:r w:rsidRPr="001A170B">
        <w:rPr>
          <w:rFonts w:cs="Arial"/>
          <w:b/>
          <w:bCs/>
          <w:sz w:val="22"/>
          <w:szCs w:val="20"/>
          <w:lang w:eastAsia="en-US"/>
        </w:rPr>
        <w:t>ing</w:t>
      </w:r>
      <w:r w:rsidRPr="001A170B" w:rsidDel="004F2FC4">
        <w:rPr>
          <w:rFonts w:cs="Arial"/>
          <w:b/>
          <w:bCs/>
          <w:sz w:val="22"/>
          <w:szCs w:val="20"/>
          <w:lang w:eastAsia="en-US"/>
        </w:rPr>
        <w:t xml:space="preserve"> considered as a delegate within the meaning of Article 21(11) of the AIFMD and Article 22a of the UCITS Directive</w:t>
      </w:r>
      <w:r w:rsidRPr="001A170B">
        <w:rPr>
          <w:rFonts w:cs="Arial"/>
          <w:b/>
          <w:bCs/>
          <w:sz w:val="22"/>
          <w:szCs w:val="20"/>
          <w:lang w:eastAsia="en-US"/>
        </w:rPr>
        <w:t>, please list the specific services and</w:t>
      </w:r>
      <w:r w:rsidRPr="001A170B" w:rsidDel="004F2FC4">
        <w:rPr>
          <w:rFonts w:cs="Arial"/>
          <w:b/>
          <w:bCs/>
          <w:sz w:val="22"/>
          <w:szCs w:val="20"/>
          <w:lang w:eastAsia="en-US"/>
        </w:rPr>
        <w:t xml:space="preserve"> explain the reasons why. </w:t>
      </w:r>
    </w:p>
    <w:p w:rsidR="00731D88" w:rsidRDefault="00731D88" w:rsidP="00731D88">
      <w:pPr>
        <w:spacing w:after="250" w:line="276" w:lineRule="auto"/>
        <w:jc w:val="both"/>
        <w:rPr>
          <w:rFonts w:cs="Arial"/>
          <w:b/>
          <w:bCs/>
          <w:sz w:val="22"/>
          <w:szCs w:val="20"/>
          <w:lang w:eastAsia="en-US"/>
        </w:rPr>
      </w:pPr>
    </w:p>
    <w:p w:rsidR="00731D88" w:rsidRPr="00176639" w:rsidRDefault="00731D88" w:rsidP="00731D88">
      <w:r w:rsidRPr="00176639">
        <w:t>&lt;ESMA_</w:t>
      </w:r>
      <w:r>
        <w:t>QUESTION</w:t>
      </w:r>
      <w:r w:rsidRPr="00176639">
        <w:t>_</w:t>
      </w:r>
      <w:r>
        <w:t>CE_</w:t>
      </w:r>
      <w:r w:rsidRPr="000018FA">
        <w:t>ASCS</w:t>
      </w:r>
      <w:r w:rsidRPr="00176639">
        <w:t>_</w:t>
      </w:r>
      <w:r>
        <w:t>29</w:t>
      </w:r>
      <w:r w:rsidRPr="00176639">
        <w:t>&gt;</w:t>
      </w:r>
    </w:p>
    <w:p w:rsidR="00731D88" w:rsidRDefault="00731D88" w:rsidP="00731D88">
      <w:permStart w:id="1545142824" w:edGrp="everyone"/>
      <w:r>
        <w:t>TYPE YOUR TEXT HERE</w:t>
      </w:r>
    </w:p>
    <w:permEnd w:id="1545142824"/>
    <w:p w:rsidR="008701E5" w:rsidRPr="00731D88" w:rsidRDefault="00731D88" w:rsidP="00B42A10">
      <w:pPr>
        <w:spacing w:after="250" w:line="276" w:lineRule="auto"/>
        <w:jc w:val="both"/>
        <w:rPr>
          <w:rFonts w:cs="Arial"/>
          <w:b/>
          <w:bCs/>
          <w:sz w:val="22"/>
          <w:szCs w:val="20"/>
          <w:lang w:eastAsia="en-US"/>
        </w:rPr>
      </w:pPr>
      <w:r w:rsidRPr="00B42A10">
        <w:rPr>
          <w:lang w:val="fr-FR"/>
        </w:rPr>
        <w:t>&lt;ESMA_</w:t>
      </w:r>
      <w:r w:rsidRPr="001A170B">
        <w:rPr>
          <w:lang w:val="fr-FR"/>
        </w:rPr>
        <w:t>QUESTION</w:t>
      </w:r>
      <w:r w:rsidRPr="00B42A10">
        <w:rPr>
          <w:lang w:val="fr-FR"/>
        </w:rPr>
        <w:t>_CE_ASCS_</w:t>
      </w:r>
      <w:r>
        <w:rPr>
          <w:lang w:val="fr-FR"/>
        </w:rPr>
        <w:t>29</w:t>
      </w:r>
      <w:r w:rsidRPr="00B42A10">
        <w:rPr>
          <w:lang w:val="fr-FR"/>
        </w:rPr>
        <w:t>&gt;</w:t>
      </w:r>
    </w:p>
    <w:sectPr w:rsidR="008701E5" w:rsidRPr="00731D88" w:rsidSect="00A8728B">
      <w:headerReference w:type="even" r:id="rId16"/>
      <w:headerReference w:type="first" r:id="rId17"/>
      <w:footerReference w:type="first" r:id="rId18"/>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24" w:rsidRDefault="00CF3024">
      <w:r>
        <w:separator/>
      </w:r>
    </w:p>
    <w:p w:rsidR="00CF3024" w:rsidRDefault="00CF3024"/>
  </w:endnote>
  <w:endnote w:type="continuationSeparator" w:id="0">
    <w:p w:rsidR="00CF3024" w:rsidRDefault="00CF3024">
      <w:r>
        <w:continuationSeparator/>
      </w:r>
    </w:p>
    <w:p w:rsidR="00CF3024" w:rsidRDefault="00CF3024"/>
  </w:endnote>
  <w:endnote w:type="continuationNotice" w:id="1">
    <w:p w:rsidR="00CF3024" w:rsidRDefault="00CF3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D733EE">
            <w:rPr>
              <w:rFonts w:cs="Arial"/>
              <w:noProof/>
              <w:sz w:val="22"/>
              <w:szCs w:val="22"/>
            </w:rPr>
            <w:t>6</w:t>
          </w:r>
          <w:r w:rsidRPr="00616B9B">
            <w:rPr>
              <w:rFonts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24" w:rsidRDefault="00CF3024">
      <w:r>
        <w:separator/>
      </w:r>
    </w:p>
    <w:p w:rsidR="00CF3024" w:rsidRDefault="00CF3024"/>
  </w:footnote>
  <w:footnote w:type="continuationSeparator" w:id="0">
    <w:p w:rsidR="00CF3024" w:rsidRDefault="00CF3024">
      <w:r>
        <w:continuationSeparator/>
      </w:r>
    </w:p>
    <w:p w:rsidR="00CF3024" w:rsidRDefault="00CF3024"/>
  </w:footnote>
  <w:footnote w:type="continuationNotice" w:id="1">
    <w:p w:rsidR="00CF3024" w:rsidRDefault="00CF3024"/>
  </w:footnote>
  <w:footnote w:id="2">
    <w:p w:rsidR="001A170B" w:rsidRDefault="001A170B" w:rsidP="001A170B">
      <w:pPr>
        <w:pStyle w:val="FootnoteText"/>
      </w:pPr>
      <w:r>
        <w:rPr>
          <w:rStyle w:val="FootnoteReference"/>
        </w:rPr>
        <w:footnoteRef/>
      </w:r>
      <w:r>
        <w:t xml:space="preserve"> </w:t>
      </w:r>
      <w:hyperlink r:id="rId1" w:history="1">
        <w:r w:rsidRPr="00F674D6">
          <w:rPr>
            <w:rStyle w:val="Hyperlink"/>
          </w:rPr>
          <w:t>http://www.europarl.europa.eu/document/activities/cont/201106/20110606ATT20781/20110606ATT20781EN.pdf</w:t>
        </w:r>
      </w:hyperlink>
    </w:p>
  </w:footnote>
  <w:footnote w:id="3">
    <w:p w:rsidR="001A170B" w:rsidRDefault="001A170B" w:rsidP="001A170B">
      <w:pPr>
        <w:pStyle w:val="FootnoteText"/>
      </w:pPr>
      <w:r>
        <w:rPr>
          <w:rStyle w:val="FootnoteReference"/>
        </w:rPr>
        <w:footnoteRef/>
      </w:r>
      <w:r>
        <w:t xml:space="preserve"> See pages 14-15 of the Briefing Note.</w:t>
      </w:r>
    </w:p>
  </w:footnote>
  <w:footnote w:id="4">
    <w:p w:rsidR="001A170B" w:rsidRDefault="001A170B" w:rsidP="001A170B">
      <w:pPr>
        <w:pStyle w:val="FootnoteText"/>
      </w:pPr>
      <w:r>
        <w:rPr>
          <w:rStyle w:val="FootnoteReference"/>
        </w:rPr>
        <w:footnoteRef/>
      </w:r>
      <w:r>
        <w:t xml:space="preserve"> See page</w:t>
      </w:r>
      <w:r w:rsidRPr="00370F78">
        <w:t xml:space="preserve"> </w:t>
      </w:r>
      <w:r>
        <w:t>16</w:t>
      </w:r>
      <w:r w:rsidRPr="00370F78">
        <w:t xml:space="preserve"> of the Briefing Note.</w:t>
      </w:r>
    </w:p>
  </w:footnote>
  <w:footnote w:id="5">
    <w:p w:rsidR="001A170B" w:rsidRDefault="001A170B" w:rsidP="001A170B">
      <w:pPr>
        <w:pStyle w:val="FootnoteText"/>
      </w:pPr>
      <w:r>
        <w:rPr>
          <w:rStyle w:val="FootnoteReference"/>
        </w:rPr>
        <w:footnoteRef/>
      </w:r>
      <w:r>
        <w:t xml:space="preserve"> </w:t>
      </w:r>
      <w:r w:rsidRPr="00ED77C7">
        <w:t>See page 1</w:t>
      </w:r>
      <w:r>
        <w:t>7</w:t>
      </w:r>
      <w:r w:rsidRPr="00ED77C7">
        <w:t xml:space="preserve"> of the Briefing Note.</w:t>
      </w:r>
    </w:p>
  </w:footnote>
  <w:footnote w:id="6">
    <w:p w:rsidR="001A170B" w:rsidRDefault="001A170B" w:rsidP="001A170B">
      <w:pPr>
        <w:pStyle w:val="FootnoteText"/>
      </w:pPr>
      <w:r>
        <w:rPr>
          <w:rStyle w:val="FootnoteReference"/>
        </w:rPr>
        <w:footnoteRef/>
      </w:r>
      <w:r>
        <w:t xml:space="preserve"> </w:t>
      </w:r>
      <w:r w:rsidRPr="00ED77C7">
        <w:t>See page 1</w:t>
      </w:r>
      <w:r>
        <w:t xml:space="preserve">8 </w:t>
      </w:r>
      <w:r w:rsidRPr="00ED77C7">
        <w:t>of the Briefing Note.</w:t>
      </w:r>
    </w:p>
  </w:footnote>
  <w:footnote w:id="7">
    <w:p w:rsidR="001A170B" w:rsidRDefault="001A170B" w:rsidP="001A170B">
      <w:pPr>
        <w:pStyle w:val="FootnoteText"/>
      </w:pPr>
      <w:r>
        <w:rPr>
          <w:rStyle w:val="FootnoteReference"/>
        </w:rPr>
        <w:footnoteRef/>
      </w:r>
      <w:r>
        <w:t xml:space="preserve"> </w:t>
      </w:r>
      <w:r w:rsidRPr="00ED77C7">
        <w:t>See page 1</w:t>
      </w:r>
      <w:r>
        <w:t>9</w:t>
      </w:r>
      <w:r w:rsidRPr="00ED77C7">
        <w:t xml:space="preserve"> of the Briefing Note.</w:t>
      </w:r>
    </w:p>
  </w:footnote>
  <w:footnote w:id="8">
    <w:p w:rsidR="001A170B" w:rsidRDefault="001A170B" w:rsidP="001A170B">
      <w:pPr>
        <w:pStyle w:val="FootnoteText"/>
      </w:pPr>
      <w:r>
        <w:rPr>
          <w:rStyle w:val="FootnoteReference"/>
        </w:rPr>
        <w:footnoteRef/>
      </w:r>
      <w:r>
        <w:t xml:space="preserve"> See paragraphs 29 and 30 of the </w:t>
      </w:r>
      <w:hyperlink r:id="rId2" w:history="1">
        <w:r w:rsidRPr="0079137B">
          <w:rPr>
            <w:rStyle w:val="Hyperlink"/>
          </w:rPr>
          <w:t>Standards for the Custody of Collective Investment Schemes’ Assets – Final Report (FR25/2015)</w:t>
        </w:r>
      </w:hyperlink>
      <w:r>
        <w:t>: “</w:t>
      </w:r>
      <w:r w:rsidRPr="00AD2E92">
        <w:rPr>
          <w:i/>
        </w:rPr>
        <w:t>Depending on the operational framework in the jurisdiction, there is a risk that CIS assets in the custodian’s care can become co-mingled with (</w:t>
      </w:r>
      <w:proofErr w:type="spellStart"/>
      <w:r w:rsidRPr="00AD2E92">
        <w:rPr>
          <w:i/>
        </w:rPr>
        <w:t>i</w:t>
      </w:r>
      <w:proofErr w:type="spellEnd"/>
      <w:r w:rsidRPr="00AD2E92">
        <w:rPr>
          <w:i/>
        </w:rPr>
        <w:t>) assets of the responsible entity; (ii) assets of the custodian; or (iii) the assets of other clients of the custodian (although it should be noted that CIS assets may be held in a permissible "omnibus account"). The consequences of these risks could result in the ownership of the assets being called into question in the event of misuse or insolvency of the custodian, which may create difficulties differentiating ownership of the assets</w:t>
      </w:r>
      <w:r>
        <w:t xml:space="preserve">”. The positive and negative aspects of omnibus accounts are also mentioned on page 11 of the IOSCO </w:t>
      </w:r>
      <w:hyperlink r:id="rId3" w:history="1">
        <w:r w:rsidRPr="00AD2E92">
          <w:rPr>
            <w:rStyle w:val="Hyperlink"/>
          </w:rPr>
          <w:t>Survey of Regimes for the Protection, Distribution and/or Transfer of Client Assets – Final Report (FR05/11)</w:t>
        </w:r>
      </w:hyperlink>
      <w:r>
        <w:t>.</w:t>
      </w:r>
    </w:p>
  </w:footnote>
  <w:footnote w:id="9">
    <w:p w:rsidR="001A170B" w:rsidRDefault="001A170B" w:rsidP="001A170B">
      <w:pPr>
        <w:pStyle w:val="FootnoteText"/>
      </w:pPr>
      <w:r>
        <w:rPr>
          <w:rStyle w:val="FootnoteReference"/>
        </w:rPr>
        <w:footnoteRef/>
      </w:r>
      <w:r>
        <w:t xml:space="preserve"> </w:t>
      </w:r>
      <w:r w:rsidRPr="00760AB2">
        <w:t xml:space="preserve">According to Article 1(g) of the ESMA draft </w:t>
      </w:r>
      <w:r>
        <w:t>technical standards under CSDR</w:t>
      </w:r>
      <w:r w:rsidRPr="00760AB2">
        <w:t xml:space="preserve"> </w:t>
      </w:r>
      <w:r>
        <w:t>(</w:t>
      </w:r>
      <w:r w:rsidRPr="00BC76E4">
        <w:t>ESMA/2015/1457/Annex II</w:t>
      </w:r>
      <w:r>
        <w:t>)</w:t>
      </w:r>
      <w:r w:rsidRPr="00BC76E4">
        <w:t>,</w:t>
      </w:r>
      <w:r w:rsidRPr="00760AB2">
        <w:t xml:space="preserve"> ‘investor CSD’ means a CSD that is a participant in the securities settlement system operated </w:t>
      </w:r>
      <w:r>
        <w:t xml:space="preserve">by </w:t>
      </w:r>
      <w:r w:rsidRPr="00760AB2">
        <w:t>another CSD or that uses an intermediary that is a participant in the securities settlement system operated by another CSD in</w:t>
      </w:r>
      <w:r>
        <w:t xml:space="preserve"> relation to a securities issue </w:t>
      </w:r>
      <w:r w:rsidRPr="00760AB2">
        <w:t xml:space="preserve"> (</w:t>
      </w:r>
      <w:r>
        <w:t xml:space="preserve">available at </w:t>
      </w:r>
      <w:hyperlink r:id="rId4" w:history="1">
        <w:r w:rsidRPr="00760AB2">
          <w:rPr>
            <w:rStyle w:val="Hyperlink"/>
          </w:rPr>
          <w:t>www.esma.europa.eu/sites/default/files/library/2015/11/2015-esma-1457_-_annex_ii_-_csdr_ts_on_csd_requirements_and_internalised_settlement.pdf</w:t>
        </w:r>
      </w:hyperlink>
      <w:r>
        <w:t>).</w:t>
      </w:r>
    </w:p>
  </w:footnote>
  <w:footnote w:id="10">
    <w:p w:rsidR="001A170B" w:rsidRDefault="001A170B" w:rsidP="001A170B">
      <w:pPr>
        <w:pStyle w:val="FootnoteText"/>
      </w:pPr>
      <w:r>
        <w:rPr>
          <w:rStyle w:val="FootnoteReference"/>
        </w:rPr>
        <w:footnoteRef/>
      </w:r>
      <w:r>
        <w:t xml:space="preserve"> Article 39(2) and (3) of EMIR states the following: “</w:t>
      </w:r>
      <w:r w:rsidRPr="00DD219E">
        <w:rPr>
          <w:i/>
        </w:rPr>
        <w:t>2. A CCP shall offer to keep separate records and accounts enabling each clearing member to distinguish in accounts with the CCP the assets and positions of that clearing member from those held for the accounts of its clients (‘omnibus client segregation’). 3. A CCP shall offer to keep separate records and accounts enabling each clearing member to distinguish in accounts with the CCP the assets and positions held for the account of a client from those held for the account of other clients (‘individual client segregation’). Upon request, the CCP shall offer clearing members the possibility to open more accounts in their own name or for the account of their clients</w:t>
      </w:r>
      <w:r>
        <w:t>”.</w:t>
      </w:r>
    </w:p>
  </w:footnote>
  <w:footnote w:id="11">
    <w:p w:rsidR="001A170B" w:rsidRDefault="001A170B" w:rsidP="001A170B">
      <w:pPr>
        <w:pStyle w:val="FootnoteText"/>
      </w:pPr>
      <w:r>
        <w:rPr>
          <w:rStyle w:val="FootnoteReference"/>
        </w:rPr>
        <w:footnoteRef/>
      </w:r>
      <w:r>
        <w:t xml:space="preserve"> </w:t>
      </w:r>
      <w:r w:rsidRPr="008B3A1C">
        <w:t xml:space="preserve">However, </w:t>
      </w:r>
      <w:r>
        <w:t xml:space="preserve">under Article 38(5) of the CSDR </w:t>
      </w:r>
      <w:r w:rsidRPr="008B3A1C">
        <w:t>a CSD and its participant shall provide individual clients segregation for citizens and residents of, and legal persons established in, a Member State where required under the national law under which the securities are constituted as it stands at 17 September 2014.</w:t>
      </w:r>
    </w:p>
  </w:footnote>
  <w:footnote w:id="12">
    <w:p w:rsidR="001A170B" w:rsidRDefault="001A170B" w:rsidP="001A170B">
      <w:pPr>
        <w:pStyle w:val="FootnoteText"/>
      </w:pPr>
      <w:r>
        <w:rPr>
          <w:rStyle w:val="FootnoteReference"/>
        </w:rPr>
        <w:footnoteRef/>
      </w:r>
      <w:r>
        <w:t xml:space="preserve"> These services are part of the c</w:t>
      </w:r>
      <w:r w:rsidRPr="00240E91">
        <w:t>ore services of central securities depositories</w:t>
      </w:r>
      <w:r>
        <w:t xml:space="preserve"> under Section A, point 2 of the Annex to </w:t>
      </w:r>
      <w:r w:rsidRPr="00240E91">
        <w:t>Regulation (EU) No 909/2014 (“CSDR”)</w:t>
      </w:r>
      <w:r>
        <w:t>.</w:t>
      </w:r>
    </w:p>
  </w:footnote>
  <w:footnote w:id="13">
    <w:p w:rsidR="001A170B" w:rsidRDefault="001A170B" w:rsidP="001A170B">
      <w:pPr>
        <w:pStyle w:val="FootnoteText"/>
      </w:pPr>
      <w:r>
        <w:rPr>
          <w:rStyle w:val="FootnoteReference"/>
        </w:rPr>
        <w:footnoteRef/>
      </w:r>
      <w:r>
        <w:t xml:space="preserve"> Commission Delegated Regulation (EU) </w:t>
      </w:r>
      <w:r w:rsidRPr="00B065F5">
        <w:t>No 231/2013</w:t>
      </w:r>
      <w:r>
        <w:t xml:space="preserve"> of 19 December 2012.</w:t>
      </w:r>
    </w:p>
  </w:footnote>
  <w:footnote w:id="14">
    <w:p w:rsidR="001A170B" w:rsidRDefault="001A170B" w:rsidP="001A170B">
      <w:pPr>
        <w:pStyle w:val="FootnoteText"/>
      </w:pPr>
      <w:r>
        <w:rPr>
          <w:rStyle w:val="FootnoteReference"/>
        </w:rPr>
        <w:footnoteRef/>
      </w:r>
      <w:r>
        <w:t xml:space="preserve"> </w:t>
      </w:r>
      <w:r w:rsidRPr="00B065F5">
        <w:t>Commission Delegated Regulation (EU) 2016/438 of 17 December 2015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6A61F"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DE66EB" w:rsidP="00013CCE">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5D83E31A" wp14:editId="27AC3B28">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8648A"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156637CA" wp14:editId="0D76F416">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D37D9"/>
    <w:multiLevelType w:val="hybridMultilevel"/>
    <w:tmpl w:val="1F3EE51C"/>
    <w:lvl w:ilvl="0" w:tplc="FB80131E">
      <w:start w:val="1"/>
      <w:numFmt w:val="lowerLetter"/>
      <w:lvlText w:val="%1)"/>
      <w:lvlJc w:val="left"/>
      <w:pPr>
        <w:ind w:left="927" w:hanging="360"/>
      </w:pPr>
      <w:rPr>
        <w:rFonts w:ascii="Arial" w:eastAsia="Times New Roman" w:hAnsi="Arial" w:cs="Times New Roman"/>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E4F20AB"/>
    <w:multiLevelType w:val="hybridMultilevel"/>
    <w:tmpl w:val="C9EAA7A8"/>
    <w:lvl w:ilvl="0" w:tplc="36803642">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134B538E"/>
    <w:multiLevelType w:val="hybridMultilevel"/>
    <w:tmpl w:val="203E3FEA"/>
    <w:lvl w:ilvl="0" w:tplc="5BD6AE5A">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8"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3B415C"/>
    <w:multiLevelType w:val="hybridMultilevel"/>
    <w:tmpl w:val="1F3EE51C"/>
    <w:lvl w:ilvl="0" w:tplc="FB80131E">
      <w:start w:val="1"/>
      <w:numFmt w:val="lowerLetter"/>
      <w:lvlText w:val="%1)"/>
      <w:lvlJc w:val="left"/>
      <w:pPr>
        <w:ind w:left="927" w:hanging="360"/>
      </w:pPr>
      <w:rPr>
        <w:rFonts w:ascii="Arial" w:eastAsia="Times New Roman" w:hAnsi="Arial" w:cs="Times New Roman"/>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51D6C"/>
    <w:multiLevelType w:val="hybridMultilevel"/>
    <w:tmpl w:val="C9EAA7A8"/>
    <w:lvl w:ilvl="0" w:tplc="36803642">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9E089E"/>
    <w:multiLevelType w:val="hybridMultilevel"/>
    <w:tmpl w:val="87960D64"/>
    <w:lvl w:ilvl="0" w:tplc="4F30587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003AEB"/>
    <w:multiLevelType w:val="hybridMultilevel"/>
    <w:tmpl w:val="C9EAA7A8"/>
    <w:lvl w:ilvl="0" w:tplc="36803642">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21"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3"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5" w15:restartNumberingAfterBreak="0">
    <w:nsid w:val="3FC527D1"/>
    <w:multiLevelType w:val="hybridMultilevel"/>
    <w:tmpl w:val="7E46D640"/>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40606AE6"/>
    <w:multiLevelType w:val="hybridMultilevel"/>
    <w:tmpl w:val="1F3EE51C"/>
    <w:lvl w:ilvl="0" w:tplc="FB80131E">
      <w:start w:val="1"/>
      <w:numFmt w:val="lowerLetter"/>
      <w:lvlText w:val="%1)"/>
      <w:lvlJc w:val="left"/>
      <w:pPr>
        <w:ind w:left="927" w:hanging="360"/>
      </w:pPr>
      <w:rPr>
        <w:rFonts w:ascii="Arial" w:eastAsia="Times New Roman" w:hAnsi="Arial" w:cs="Times New Roman"/>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40C74677"/>
    <w:multiLevelType w:val="hybridMultilevel"/>
    <w:tmpl w:val="1F3EE51C"/>
    <w:lvl w:ilvl="0" w:tplc="FB80131E">
      <w:start w:val="1"/>
      <w:numFmt w:val="lowerLetter"/>
      <w:lvlText w:val="%1)"/>
      <w:lvlJc w:val="left"/>
      <w:pPr>
        <w:ind w:left="927" w:hanging="360"/>
      </w:pPr>
      <w:rPr>
        <w:rFonts w:ascii="Arial" w:eastAsia="Times New Roman" w:hAnsi="Arial" w:cs="Times New Roman"/>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9" w15:restartNumberingAfterBreak="0">
    <w:nsid w:val="47500471"/>
    <w:multiLevelType w:val="hybridMultilevel"/>
    <w:tmpl w:val="2A3A553A"/>
    <w:lvl w:ilvl="0" w:tplc="064E517E">
      <w:start w:val="1"/>
      <w:numFmt w:val="decimal"/>
      <w:lvlText w:val="Q%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CA477F1"/>
    <w:multiLevelType w:val="hybridMultilevel"/>
    <w:tmpl w:val="2AB82324"/>
    <w:lvl w:ilvl="0" w:tplc="7B641D22">
      <w:start w:val="1"/>
      <w:numFmt w:val="lowerLetter"/>
      <w:pStyle w:val="Questionstyle"/>
      <w:lvlText w:val="%1)"/>
      <w:lvlJc w:val="left"/>
      <w:pPr>
        <w:ind w:left="927" w:hanging="360"/>
      </w:pPr>
      <w:rPr>
        <w:rFonts w:ascii="Arial" w:hAnsi="Arial" w:cs="Arial" w:hint="default"/>
        <w:b/>
        <w:sz w:val="20"/>
        <w:szCs w:val="20"/>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63339FF"/>
    <w:multiLevelType w:val="hybridMultilevel"/>
    <w:tmpl w:val="1F3EE51C"/>
    <w:lvl w:ilvl="0" w:tplc="FB80131E">
      <w:start w:val="1"/>
      <w:numFmt w:val="lowerLetter"/>
      <w:lvlText w:val="%1)"/>
      <w:lvlJc w:val="left"/>
      <w:pPr>
        <w:ind w:left="927" w:hanging="360"/>
      </w:pPr>
      <w:rPr>
        <w:rFonts w:ascii="Arial" w:eastAsia="Times New Roman" w:hAnsi="Arial" w:cs="Times New Roman"/>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40"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5D930987"/>
    <w:multiLevelType w:val="hybridMultilevel"/>
    <w:tmpl w:val="1F3EE51C"/>
    <w:lvl w:ilvl="0" w:tplc="FB80131E">
      <w:start w:val="1"/>
      <w:numFmt w:val="lowerLetter"/>
      <w:lvlText w:val="%1)"/>
      <w:lvlJc w:val="left"/>
      <w:pPr>
        <w:ind w:left="927" w:hanging="360"/>
      </w:pPr>
      <w:rPr>
        <w:rFonts w:ascii="Arial" w:eastAsia="Times New Roman" w:hAnsi="Arial" w:cs="Times New Roman"/>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3"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4"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6" w15:restartNumberingAfterBreak="0">
    <w:nsid w:val="67F167FE"/>
    <w:multiLevelType w:val="hybridMultilevel"/>
    <w:tmpl w:val="62C47C54"/>
    <w:lvl w:ilvl="0" w:tplc="36803642">
      <w:start w:val="1"/>
      <w:numFmt w:val="lowerRoman"/>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7"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69A07508"/>
    <w:multiLevelType w:val="hybridMultilevel"/>
    <w:tmpl w:val="19A2E306"/>
    <w:lvl w:ilvl="0" w:tplc="D2766E68">
      <w:numFmt w:val="bullet"/>
      <w:lvlText w:val="-"/>
      <w:lvlJc w:val="left"/>
      <w:pPr>
        <w:ind w:left="1636" w:hanging="360"/>
      </w:pPr>
      <w:rPr>
        <w:rFonts w:ascii="Arial" w:eastAsiaTheme="majorEastAsia" w:hAnsi="Arial" w:cs="Aria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9"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50"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53" w15:restartNumberingAfterBreak="0">
    <w:nsid w:val="7BCF77CB"/>
    <w:multiLevelType w:val="hybridMultilevel"/>
    <w:tmpl w:val="C960043C"/>
    <w:lvl w:ilvl="0" w:tplc="3680364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23"/>
  </w:num>
  <w:num w:numId="2">
    <w:abstractNumId w:val="28"/>
  </w:num>
  <w:num w:numId="3">
    <w:abstractNumId w:val="19"/>
  </w:num>
  <w:num w:numId="4">
    <w:abstractNumId w:val="35"/>
  </w:num>
  <w:num w:numId="5">
    <w:abstractNumId w:val="37"/>
  </w:num>
  <w:num w:numId="6">
    <w:abstractNumId w:val="0"/>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44"/>
  </w:num>
  <w:num w:numId="14">
    <w:abstractNumId w:val="33"/>
  </w:num>
  <w:num w:numId="15">
    <w:abstractNumId w:val="15"/>
  </w:num>
  <w:num w:numId="16">
    <w:abstractNumId w:val="1"/>
  </w:num>
  <w:num w:numId="17">
    <w:abstractNumId w:val="21"/>
  </w:num>
  <w:num w:numId="18">
    <w:abstractNumId w:val="22"/>
  </w:num>
  <w:num w:numId="19">
    <w:abstractNumId w:val="24"/>
  </w:num>
  <w:num w:numId="20">
    <w:abstractNumId w:val="39"/>
  </w:num>
  <w:num w:numId="21">
    <w:abstractNumId w:val="51"/>
  </w:num>
  <w:num w:numId="22">
    <w:abstractNumId w:val="36"/>
  </w:num>
  <w:num w:numId="23">
    <w:abstractNumId w:val="14"/>
  </w:num>
  <w:num w:numId="24">
    <w:abstractNumId w:val="43"/>
  </w:num>
  <w:num w:numId="25">
    <w:abstractNumId w:val="42"/>
  </w:num>
  <w:num w:numId="26">
    <w:abstractNumId w:val="30"/>
  </w:num>
  <w:num w:numId="27">
    <w:abstractNumId w:val="47"/>
  </w:num>
  <w:num w:numId="28">
    <w:abstractNumId w:val="54"/>
  </w:num>
  <w:num w:numId="29">
    <w:abstractNumId w:val="12"/>
  </w:num>
  <w:num w:numId="30">
    <w:abstractNumId w:val="6"/>
  </w:num>
  <w:num w:numId="31">
    <w:abstractNumId w:val="32"/>
  </w:num>
  <w:num w:numId="32">
    <w:abstractNumId w:val="2"/>
  </w:num>
  <w:num w:numId="33">
    <w:abstractNumId w:val="10"/>
  </w:num>
  <w:num w:numId="34">
    <w:abstractNumId w:val="31"/>
  </w:num>
  <w:num w:numId="35">
    <w:abstractNumId w:val="50"/>
  </w:num>
  <w:num w:numId="36">
    <w:abstractNumId w:val="49"/>
  </w:num>
  <w:num w:numId="37">
    <w:abstractNumId w:val="17"/>
  </w:num>
  <w:num w:numId="38">
    <w:abstractNumId w:val="29"/>
  </w:num>
  <w:num w:numId="39">
    <w:abstractNumId w:val="34"/>
  </w:num>
  <w:num w:numId="40">
    <w:abstractNumId w:val="4"/>
  </w:num>
  <w:num w:numId="41">
    <w:abstractNumId w:val="11"/>
  </w:num>
  <w:num w:numId="42">
    <w:abstractNumId w:val="18"/>
  </w:num>
  <w:num w:numId="43">
    <w:abstractNumId w:val="25"/>
  </w:num>
  <w:num w:numId="44">
    <w:abstractNumId w:val="16"/>
  </w:num>
  <w:num w:numId="45">
    <w:abstractNumId w:val="48"/>
  </w:num>
  <w:num w:numId="46">
    <w:abstractNumId w:val="53"/>
  </w:num>
  <w:num w:numId="47">
    <w:abstractNumId w:val="5"/>
  </w:num>
  <w:num w:numId="48">
    <w:abstractNumId w:val="3"/>
  </w:num>
  <w:num w:numId="49">
    <w:abstractNumId w:val="26"/>
  </w:num>
  <w:num w:numId="50">
    <w:abstractNumId w:val="41"/>
  </w:num>
  <w:num w:numId="51">
    <w:abstractNumId w:val="27"/>
  </w:num>
  <w:num w:numId="52">
    <w:abstractNumId w:val="46"/>
  </w:num>
  <w:num w:numId="53">
    <w:abstractNumId w:val="9"/>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x/kqrBK5rhT04o9+xC76jxx+rzY8E9MXHW3P4/0ODaRMSuXJPFb7P1eDji+hh3KhZCHXVoD46O5r5AeyQ+TxiA==" w:salt="keqD5JpjIOdjj229AHqcQA=="/>
  <w:defaultTabStop w:val="709"/>
  <w:autoHyphenation/>
  <w:hyphenationZone w:val="567"/>
  <w:characterSpacingControl w:val="doNotCompress"/>
  <w:hdrShapeDefaults>
    <o:shapedefaults v:ext="edit" spidmax="1228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18FA"/>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863"/>
    <w:rsid w:val="00021E83"/>
    <w:rsid w:val="00023713"/>
    <w:rsid w:val="00023C4D"/>
    <w:rsid w:val="00025E71"/>
    <w:rsid w:val="00026269"/>
    <w:rsid w:val="00027154"/>
    <w:rsid w:val="00027ECF"/>
    <w:rsid w:val="000303BE"/>
    <w:rsid w:val="000344D6"/>
    <w:rsid w:val="00034960"/>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3EB"/>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469A"/>
    <w:rsid w:val="000B55C0"/>
    <w:rsid w:val="000B5DF2"/>
    <w:rsid w:val="000C06C9"/>
    <w:rsid w:val="000C1D0E"/>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639"/>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170B"/>
    <w:rsid w:val="001A371B"/>
    <w:rsid w:val="001A4766"/>
    <w:rsid w:val="001A5E5C"/>
    <w:rsid w:val="001A6A0D"/>
    <w:rsid w:val="001A6C51"/>
    <w:rsid w:val="001A6FAA"/>
    <w:rsid w:val="001A7D73"/>
    <w:rsid w:val="001B0222"/>
    <w:rsid w:val="001B0363"/>
    <w:rsid w:val="001B1355"/>
    <w:rsid w:val="001B3138"/>
    <w:rsid w:val="001B4E4B"/>
    <w:rsid w:val="001B50AC"/>
    <w:rsid w:val="001B5E05"/>
    <w:rsid w:val="001B6D68"/>
    <w:rsid w:val="001B6F2E"/>
    <w:rsid w:val="001C0344"/>
    <w:rsid w:val="001C0F2A"/>
    <w:rsid w:val="001C1A59"/>
    <w:rsid w:val="001C270F"/>
    <w:rsid w:val="001C29EC"/>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39F0"/>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2EC"/>
    <w:rsid w:val="0023499C"/>
    <w:rsid w:val="00235CE3"/>
    <w:rsid w:val="0023636A"/>
    <w:rsid w:val="00236F34"/>
    <w:rsid w:val="002372F7"/>
    <w:rsid w:val="00237602"/>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4149"/>
    <w:rsid w:val="00286064"/>
    <w:rsid w:val="002867B1"/>
    <w:rsid w:val="00287BBB"/>
    <w:rsid w:val="00287E3B"/>
    <w:rsid w:val="00290638"/>
    <w:rsid w:val="00291763"/>
    <w:rsid w:val="00291D80"/>
    <w:rsid w:val="00293156"/>
    <w:rsid w:val="00293BE7"/>
    <w:rsid w:val="00293D4B"/>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6866"/>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4CB1"/>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36D5"/>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1D3"/>
    <w:rsid w:val="003C6E49"/>
    <w:rsid w:val="003D0CBF"/>
    <w:rsid w:val="003D0DD6"/>
    <w:rsid w:val="003D4B73"/>
    <w:rsid w:val="003D503B"/>
    <w:rsid w:val="003D605E"/>
    <w:rsid w:val="003D61D1"/>
    <w:rsid w:val="003D6780"/>
    <w:rsid w:val="003D6FCB"/>
    <w:rsid w:val="003D79DA"/>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49C0"/>
    <w:rsid w:val="00406E90"/>
    <w:rsid w:val="00410240"/>
    <w:rsid w:val="00412253"/>
    <w:rsid w:val="004142ED"/>
    <w:rsid w:val="0041634D"/>
    <w:rsid w:val="00416D8F"/>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2C1D"/>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6FD5"/>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34B4"/>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C7F55"/>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5C07"/>
    <w:rsid w:val="00666F74"/>
    <w:rsid w:val="00667FEA"/>
    <w:rsid w:val="006710D2"/>
    <w:rsid w:val="00671A8B"/>
    <w:rsid w:val="00671F53"/>
    <w:rsid w:val="006725A0"/>
    <w:rsid w:val="0067555E"/>
    <w:rsid w:val="00677FAD"/>
    <w:rsid w:val="006802DE"/>
    <w:rsid w:val="0068032D"/>
    <w:rsid w:val="0068068C"/>
    <w:rsid w:val="00681115"/>
    <w:rsid w:val="006827BF"/>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CA2"/>
    <w:rsid w:val="006B1329"/>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6F7694"/>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1D88"/>
    <w:rsid w:val="0073248E"/>
    <w:rsid w:val="00733EE9"/>
    <w:rsid w:val="00735B8E"/>
    <w:rsid w:val="0073673C"/>
    <w:rsid w:val="00736935"/>
    <w:rsid w:val="00743DE7"/>
    <w:rsid w:val="0074509E"/>
    <w:rsid w:val="00745B9F"/>
    <w:rsid w:val="0074726F"/>
    <w:rsid w:val="0075015C"/>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3918"/>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707"/>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6457"/>
    <w:rsid w:val="00907631"/>
    <w:rsid w:val="00907776"/>
    <w:rsid w:val="00913401"/>
    <w:rsid w:val="00913567"/>
    <w:rsid w:val="009137B6"/>
    <w:rsid w:val="00915EBA"/>
    <w:rsid w:val="00917093"/>
    <w:rsid w:val="0092030E"/>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4A21"/>
    <w:rsid w:val="0097606C"/>
    <w:rsid w:val="009771D1"/>
    <w:rsid w:val="0098012D"/>
    <w:rsid w:val="00980845"/>
    <w:rsid w:val="00981BD9"/>
    <w:rsid w:val="0098225F"/>
    <w:rsid w:val="00983A3C"/>
    <w:rsid w:val="00983EFA"/>
    <w:rsid w:val="00984C15"/>
    <w:rsid w:val="00987829"/>
    <w:rsid w:val="00990FF9"/>
    <w:rsid w:val="00991276"/>
    <w:rsid w:val="009923E7"/>
    <w:rsid w:val="00992697"/>
    <w:rsid w:val="00992D4E"/>
    <w:rsid w:val="00994621"/>
    <w:rsid w:val="009947FF"/>
    <w:rsid w:val="0099544B"/>
    <w:rsid w:val="009A053D"/>
    <w:rsid w:val="009A07A6"/>
    <w:rsid w:val="009A0D56"/>
    <w:rsid w:val="009A2624"/>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E1"/>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6EF"/>
    <w:rsid w:val="00A04C57"/>
    <w:rsid w:val="00A06340"/>
    <w:rsid w:val="00A0684F"/>
    <w:rsid w:val="00A06867"/>
    <w:rsid w:val="00A10148"/>
    <w:rsid w:val="00A10776"/>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324"/>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E"/>
    <w:rsid w:val="00AD0B9C"/>
    <w:rsid w:val="00AD0CB4"/>
    <w:rsid w:val="00AD1FF2"/>
    <w:rsid w:val="00AD2A21"/>
    <w:rsid w:val="00AD3B43"/>
    <w:rsid w:val="00AD4FF2"/>
    <w:rsid w:val="00AD506C"/>
    <w:rsid w:val="00AD6BE5"/>
    <w:rsid w:val="00AD767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9C1"/>
    <w:rsid w:val="00B03CE2"/>
    <w:rsid w:val="00B06544"/>
    <w:rsid w:val="00B105F2"/>
    <w:rsid w:val="00B10991"/>
    <w:rsid w:val="00B12128"/>
    <w:rsid w:val="00B12945"/>
    <w:rsid w:val="00B12C1E"/>
    <w:rsid w:val="00B155DF"/>
    <w:rsid w:val="00B156CF"/>
    <w:rsid w:val="00B1570E"/>
    <w:rsid w:val="00B15999"/>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2A10"/>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3CE5"/>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946"/>
    <w:rsid w:val="00CD6F6E"/>
    <w:rsid w:val="00CE157F"/>
    <w:rsid w:val="00CE1966"/>
    <w:rsid w:val="00CE1ED4"/>
    <w:rsid w:val="00CE2216"/>
    <w:rsid w:val="00CE3014"/>
    <w:rsid w:val="00CE30E5"/>
    <w:rsid w:val="00CE6FC6"/>
    <w:rsid w:val="00CF2056"/>
    <w:rsid w:val="00CF3024"/>
    <w:rsid w:val="00CF4471"/>
    <w:rsid w:val="00CF51C0"/>
    <w:rsid w:val="00CF5B2A"/>
    <w:rsid w:val="00CF5B86"/>
    <w:rsid w:val="00CF5F57"/>
    <w:rsid w:val="00CF62BB"/>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B45"/>
    <w:rsid w:val="00D71F8A"/>
    <w:rsid w:val="00D733EE"/>
    <w:rsid w:val="00D75603"/>
    <w:rsid w:val="00D75FEE"/>
    <w:rsid w:val="00D76933"/>
    <w:rsid w:val="00D76D88"/>
    <w:rsid w:val="00D77CC9"/>
    <w:rsid w:val="00D83D4B"/>
    <w:rsid w:val="00D871C6"/>
    <w:rsid w:val="00D875F8"/>
    <w:rsid w:val="00D91010"/>
    <w:rsid w:val="00DA0FA7"/>
    <w:rsid w:val="00DA12B0"/>
    <w:rsid w:val="00DA2BA0"/>
    <w:rsid w:val="00DA32B8"/>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3E9"/>
    <w:rsid w:val="00DE64A6"/>
    <w:rsid w:val="00DE66EB"/>
    <w:rsid w:val="00DE7035"/>
    <w:rsid w:val="00DF12E3"/>
    <w:rsid w:val="00DF2E8E"/>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5C0E"/>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579DC"/>
    <w:rsid w:val="00F6031F"/>
    <w:rsid w:val="00F61664"/>
    <w:rsid w:val="00F61B99"/>
    <w:rsid w:val="00F64C45"/>
    <w:rsid w:val="00F6502B"/>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2d4491,#283583"/>
    </o:shapedefaults>
    <o:shapelayout v:ext="edit">
      <o:idmap v:ext="edit" data="1"/>
    </o:shapelayout>
  </w:shapeDefaults>
  <w:decimalSymbol w:val="."/>
  <w:listSeparator w:val=","/>
  <w15:docId w15:val="{81EEED4D-1ACA-437D-BEE9-430B56C1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DC"/>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6"/>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6"/>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6"/>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6"/>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6"/>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6"/>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7"/>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0C1D0E"/>
    <w:pPr>
      <w:numPr>
        <w:numId w:val="39"/>
      </w:numPr>
      <w:spacing w:after="250" w:line="276" w:lineRule="auto"/>
      <w:contextualSpacing/>
      <w:jc w:val="both"/>
    </w:pPr>
    <w:rPr>
      <w:rFonts w:eastAsiaTheme="minorEastAsia" w:cs="Arial"/>
      <w:b/>
      <w:szCs w:val="20"/>
      <w:lang w:eastAsia="en-US"/>
    </w:rPr>
  </w:style>
  <w:style w:type="character" w:customStyle="1" w:styleId="QuestionstyleChar">
    <w:name w:val="Question style Char"/>
    <w:basedOn w:val="DefaultParagraphFont"/>
    <w:link w:val="Questionstyle"/>
    <w:rsid w:val="000C1D0E"/>
    <w:rPr>
      <w:rFonts w:ascii="Arial" w:eastAsiaTheme="minorEastAsia"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esma.europa.eu"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oleObject" Target="embeddings/Microsoft_Visio_2003-2010_Drawing.vsd"/><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iosco.org/library/pubdocs/pdf/IOSCOPD351.pdf" TargetMode="External"/><Relationship Id="rId2" Type="http://schemas.openxmlformats.org/officeDocument/2006/relationships/hyperlink" Target="http://www.iosco.org/library/pubdocs/pdf/IOSCOPD512.pdf" TargetMode="External"/><Relationship Id="rId1" Type="http://schemas.openxmlformats.org/officeDocument/2006/relationships/hyperlink" Target="http://www.europarl.europa.eu/document/activities/cont/201106/20110606ATT20781/20110606ATT20781EN.pdf" TargetMode="External"/><Relationship Id="rId4" Type="http://schemas.openxmlformats.org/officeDocument/2006/relationships/hyperlink" Target="http://www.esma.europa.eu/sites/default/files/library/2015/11/2015-esma-1457_-_annex_ii_-_csdr_ts_on_csd_requirements_and_internalised_settl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ebsite Document" ma:contentTypeID="0x010100AE6B8B4649F0FA42BC4F4897A77999EC010300188820D3D298344EB8B4A088C96902B2" ma:contentTypeVersion="20" ma:contentTypeDescription="" ma:contentTypeScope="" ma:versionID="3d18ff5c61fdf076612af0601d73877d">
  <xsd:schema xmlns:xsd="http://www.w3.org/2001/XMLSchema" xmlns:xs="http://www.w3.org/2001/XMLSchema" xmlns:p="http://schemas.microsoft.com/office/2006/metadata/properties" xmlns:ns2="04e156a7-4389-4348-bdc5-772e1b15193f" targetNamespace="http://schemas.microsoft.com/office/2006/metadata/properties" ma:root="true" ma:fieldsID="84e9c40e3a454abbc6e6f60aa86b77e0" ns2:_="">
    <xsd:import namespace="04e156a7-4389-4348-bdc5-772e1b15193f"/>
    <xsd:element name="properties">
      <xsd:complexType>
        <xsd:sequence>
          <xsd:element name="documentManagement">
            <xsd:complexType>
              <xsd:all>
                <xsd:element ref="ns2:Year"/>
                <xsd:element ref="ns2:MeetingDate" minOccurs="0"/>
                <xsd:element ref="ns2:_dlc_DocIdUrl" minOccurs="0"/>
                <xsd:element ref="ns2:_dlc_DocIdPersistId" minOccurs="0"/>
                <xsd:element ref="ns2:j05422ce24ce4e4ab320b03641ea4418" minOccurs="0"/>
                <xsd:element ref="ns2:TaxCatchAll" minOccurs="0"/>
                <xsd:element ref="ns2:TaxCatchAllLabel" minOccurs="0"/>
                <xsd:element ref="ns2:i5bb2eea380a44bda7ee278cd0cc8b9c" minOccurs="0"/>
                <xsd:element ref="ns2:gda4d86408c5493e8985022410f7cd57" minOccurs="0"/>
                <xsd:element ref="ns2:_dlc_DocId" minOccurs="0"/>
                <xsd:element ref="ns2:ecffb14172554a4ba7481deb4c063ead" minOccurs="0"/>
                <xsd:element ref="ns2:c8637115ca234e04bb3384934748be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156a7-4389-4348-bdc5-772e1b15193f" elementFormDefault="qualified">
    <xsd:import namespace="http://schemas.microsoft.com/office/2006/documentManagement/types"/>
    <xsd:import namespace="http://schemas.microsoft.com/office/infopath/2007/PartnerControls"/>
    <xsd:element name="Year" ma:index="4" ma:displayName="Year" ma:default="2016" ma:description="" ma:internalName="Year" ma:readOnly="false">
      <xsd:simpleType>
        <xsd:restriction base="dms:Text">
          <xsd:maxLength value="4"/>
        </xsd:restriction>
      </xsd:simpleType>
    </xsd:element>
    <xsd:element name="MeetingDate" ma:index="6" nillable="true" ma:displayName="Meeting Date" ma:description="" ma:format="DateOnly" ma:internalName="MeetingDate" ma:readOnly="false">
      <xsd:simpleType>
        <xsd:restriction base="dms:DateTime"/>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j05422ce24ce4e4ab320b03641ea4418" ma:index="9" ma:taxonomy="true" ma:internalName="j05422ce24ce4e4ab320b03641ea4418" ma:taxonomyFieldName="DocumentType" ma:displayName="Document Type" ma:readOnly="false" ma:default="" ma:fieldId="{305422ce-24ce-4e4a-b320-b03641ea4418}"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e634e61-1f3b-42f6-a906-c1c71afec3e4}" ma:internalName="TaxCatchAll" ma:showField="CatchAllData" ma:web="04e156a7-4389-4348-bdc5-772e1b15193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e634e61-1f3b-42f6-a906-c1c71afec3e4}" ma:internalName="TaxCatchAllLabel" ma:readOnly="true" ma:showField="CatchAllDataLabel" ma:web="04e156a7-4389-4348-bdc5-772e1b15193f">
      <xsd:complexType>
        <xsd:complexContent>
          <xsd:extension base="dms:MultiChoiceLookup">
            <xsd:sequence>
              <xsd:element name="Value" type="dms:Lookup" maxOccurs="unbounded" minOccurs="0" nillable="true"/>
            </xsd:sequence>
          </xsd:extension>
        </xsd:complexContent>
      </xsd:complexType>
    </xsd:element>
    <xsd:element name="i5bb2eea380a44bda7ee278cd0cc8b9c" ma:index="13" ma:taxonomy="true" ma:internalName="i5bb2eea380a44bda7ee278cd0cc8b9c" ma:taxonomyFieldName="ConfidentialityLevel" ma:displayName="Confidentiality Level" ma:default="2;#Regular|07f1e362-856b-423d-bea6-a14079762141" ma:fieldId="{25bb2eea-380a-44bd-a7ee-278cd0cc8b9c}"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gda4d86408c5493e8985022410f7cd57" ma:index="16" nillable="true" ma:taxonomy="true" ma:internalName="gda4d86408c5493e8985022410f7cd57" ma:taxonomyFieldName="EsmaAudience" ma:displayName="Audience" ma:readOnly="false" ma:default="" ma:fieldId="{0da4d864-08c5-493e-8985-022410f7cd57}" ma:sspId="0ac1876e-32bf-4158-94e7-cdbcd053a335" ma:termSetId="b571f04a-7c01-4ca7-82ee-9fa9ce367c3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ecffb14172554a4ba7481deb4c063ead" ma:index="20" nillable="true" ma:taxonomy="true" ma:internalName="ecffb14172554a4ba7481deb4c063ead" ma:taxonomyFieldName="Topic" ma:displayName="Topic" ma:readOnly="false" ma:default="" ma:fieldId="{ecffb141-7255-4a4b-a748-1deb4c063ead}" ma:sspId="0ac1876e-32bf-4158-94e7-cdbcd053a335" ma:termSetId="6abdd5a6-9549-415c-8347-3fdbcce9001d" ma:anchorId="00000000-0000-0000-0000-000000000000" ma:open="true" ma:isKeyword="false">
      <xsd:complexType>
        <xsd:sequence>
          <xsd:element ref="pc:Terms" minOccurs="0" maxOccurs="1"/>
        </xsd:sequence>
      </xsd:complexType>
    </xsd:element>
    <xsd:element name="c8637115ca234e04bb3384934748beb0" ma:index="23" ma:taxonomy="true" ma:internalName="c8637115ca234e04bb3384934748beb0" ma:taxonomyFieldName="TeamName" ma:displayName="Team Name" ma:readOnly="false" ma:default="1;#Communications|7759f44a-d057-4de2-8be6-5ed35b270d6d" ma:fieldId="{c8637115-ca23-4e04-bb33-84934748beb0}"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cffb14172554a4ba7481deb4c063ead xmlns="04e156a7-4389-4348-bdc5-772e1b15193f">
      <Terms xmlns="http://schemas.microsoft.com/office/infopath/2007/PartnerControls"/>
    </ecffb14172554a4ba7481deb4c063ead>
    <j05422ce24ce4e4ab320b03641ea4418 xmlns="04e156a7-4389-4348-bdc5-772e1b15193f">
      <Terms xmlns="http://schemas.microsoft.com/office/infopath/2007/PartnerControls"/>
    </j05422ce24ce4e4ab320b03641ea4418>
    <Year xmlns="04e156a7-4389-4348-bdc5-772e1b15193f">2016</Year>
    <_dlc_DocId xmlns="04e156a7-4389-4348-bdc5-772e1b15193f">ESMA71-1154262120-42</_dlc_DocId>
    <TaxCatchAll xmlns="04e156a7-4389-4348-bdc5-772e1b15193f">
      <Value>2</Value>
      <Value>1</Value>
    </TaxCatchAll>
    <_dlc_DocIdUrl xmlns="04e156a7-4389-4348-bdc5-772e1b15193f">
      <Url>http://sherpa.esma.europa.eu/sites/COM/_layouts/15/DocIdRedir.aspx?ID=ESMA71-1154262120-42</Url>
      <Description>ESMA71-1154262120-42</Description>
    </_dlc_DocIdUrl>
    <MeetingDate xmlns="04e156a7-4389-4348-bdc5-772e1b15193f" xsi:nil="true"/>
    <gda4d86408c5493e8985022410f7cd57 xmlns="04e156a7-4389-4348-bdc5-772e1b15193f">
      <Terms xmlns="http://schemas.microsoft.com/office/infopath/2007/PartnerControls"/>
    </gda4d86408c5493e8985022410f7cd57>
    <c8637115ca234e04bb3384934748beb0 xmlns="04e156a7-4389-4348-bdc5-772e1b15193f">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7759f44a-d057-4de2-8be6-5ed35b270d6d</TermId>
        </TermInfo>
      </Terms>
    </c8637115ca234e04bb3384934748beb0>
    <i5bb2eea380a44bda7ee278cd0cc8b9c xmlns="04e156a7-4389-4348-bdc5-772e1b15193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i5bb2eea380a44bda7ee278cd0cc8b9c>
  </documentManagement>
</p:properties>
</file>

<file path=customXml/itemProps1.xml><?xml version="1.0" encoding="utf-8"?>
<ds:datastoreItem xmlns:ds="http://schemas.openxmlformats.org/officeDocument/2006/customXml" ds:itemID="{6A8167E5-BE25-4CA9-9841-EA3A185DA3C5}"/>
</file>

<file path=customXml/itemProps2.xml><?xml version="1.0" encoding="utf-8"?>
<ds:datastoreItem xmlns:ds="http://schemas.openxmlformats.org/officeDocument/2006/customXml" ds:itemID="{EE9C4EAB-A44D-4DDE-9F72-2CCC8ED407A9}"/>
</file>

<file path=customXml/itemProps3.xml><?xml version="1.0" encoding="utf-8"?>
<ds:datastoreItem xmlns:ds="http://schemas.openxmlformats.org/officeDocument/2006/customXml" ds:itemID="{B6389EF4-7D7A-48B3-80CE-1A9299BF31FC}"/>
</file>

<file path=customXml/itemProps4.xml><?xml version="1.0" encoding="utf-8"?>
<ds:datastoreItem xmlns:ds="http://schemas.openxmlformats.org/officeDocument/2006/customXml" ds:itemID="{DCBA4AC5-82B9-4106-82AE-9B749A5D8C08}"/>
</file>

<file path=customXml/itemProps5.xml><?xml version="1.0" encoding="utf-8"?>
<ds:datastoreItem xmlns:ds="http://schemas.openxmlformats.org/officeDocument/2006/customXml" ds:itemID="{A9EF0CE0-674E-4133-AA83-808934C2FF6E}"/>
</file>

<file path=customXml/itemProps6.xml><?xml version="1.0" encoding="utf-8"?>
<ds:datastoreItem xmlns:ds="http://schemas.openxmlformats.org/officeDocument/2006/customXml" ds:itemID="{212662E8-9DE5-46CB-ADB2-F572307299CA}"/>
</file>

<file path=docProps/app.xml><?xml version="1.0" encoding="utf-8"?>
<Properties xmlns="http://schemas.openxmlformats.org/officeDocument/2006/extended-properties" xmlns:vt="http://schemas.openxmlformats.org/officeDocument/2006/docPropsVTypes">
  <Template>Normal</Template>
  <TotalTime>64</TotalTime>
  <Pages>18</Pages>
  <Words>3701</Words>
  <Characters>19811</Characters>
  <Application>Microsoft Office Word</Application>
  <DocSecurity>8</DocSecurity>
  <Lines>165</Lines>
  <Paragraphs>46</Paragraphs>
  <ScaleCrop>false</ScaleCrop>
  <HeadingPairs>
    <vt:vector size="12" baseType="variant">
      <vt:variant>
        <vt:lpstr>Title</vt:lpstr>
      </vt:variant>
      <vt:variant>
        <vt:i4>1</vt:i4>
      </vt:variant>
      <vt:variant>
        <vt:lpstr>Название</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6" baseType="lpstr">
      <vt:lpstr>Reply form for the ESEF CP</vt:lpstr>
      <vt:lpstr>Reply form for the ESEF CP</vt:lpstr>
      <vt:lpstr>20110000</vt:lpstr>
      <vt:lpstr>20110000</vt:lpstr>
      <vt:lpstr>20110000</vt:lpstr>
      <vt:lpstr>20110000</vt:lpstr>
    </vt:vector>
  </TitlesOfParts>
  <Company>ESMA</Company>
  <LinksUpToDate>false</LinksUpToDate>
  <CharactersWithSpaces>23466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ESEF CP</dc:title>
  <dc:creator>ESMA</dc:creator>
  <cp:lastModifiedBy>Valentina Mejdahl</cp:lastModifiedBy>
  <cp:revision>9</cp:revision>
  <cp:lastPrinted>2015-02-18T11:01:00Z</cp:lastPrinted>
  <dcterms:created xsi:type="dcterms:W3CDTF">2016-07-15T08:06:00Z</dcterms:created>
  <dcterms:modified xsi:type="dcterms:W3CDTF">2016-07-15T10:43:00Z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Name">
    <vt:lpwstr>1;#Communications|7759f44a-d057-4de2-8be6-5ed35b270d6d</vt:lpwstr>
  </property>
  <property fmtid="{D5CDD505-2E9C-101B-9397-08002B2CF9AE}" pid="3" name="ContentTypeId">
    <vt:lpwstr>0x010100AE6B8B4649F0FA42BC4F4897A77999EC010300188820D3D298344EB8B4A088C96902B2</vt:lpwstr>
  </property>
  <property fmtid="{D5CDD505-2E9C-101B-9397-08002B2CF9AE}" pid="4" name="ConfidentialityLevel">
    <vt:lpwstr>2;#Regular|07f1e362-856b-423d-bea6-a14079762141</vt:lpwstr>
  </property>
  <property fmtid="{D5CDD505-2E9C-101B-9397-08002B2CF9AE}" pid="5" name="_dlc_DocIdItemGuid">
    <vt:lpwstr>5f87e667-ab19-4ade-bebc-90f61f6c3914</vt:lpwstr>
  </property>
  <property fmtid="{D5CDD505-2E9C-101B-9397-08002B2CF9AE}" pid="6" name="EsmaAudience">
    <vt:lpwstr/>
  </property>
  <property fmtid="{D5CDD505-2E9C-101B-9397-08002B2CF9AE}" pid="7" name="Topic">
    <vt:lpwstr/>
  </property>
  <property fmtid="{D5CDD505-2E9C-101B-9397-08002B2CF9AE}" pid="8" name="DocumentType">
    <vt:lpwstr/>
  </property>
</Properties>
</file>