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32B349A7"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w:t>
                </w:r>
                <w:r w:rsidR="00424A4F">
                  <w:rPr>
                    <w:rFonts w:asciiTheme="minorHAnsi" w:hAnsiTheme="minorHAnsi" w:cstheme="minorHAnsi"/>
                    <w:sz w:val="40"/>
                    <w:szCs w:val="40"/>
                  </w:rPr>
                  <w:t>Call for evidence on pre-hedging</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3A0656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871163">
            <w:rPr>
              <w:rFonts w:asciiTheme="minorHAnsi" w:eastAsiaTheme="minorEastAsia" w:hAnsiTheme="minorHAnsi" w:cstheme="minorBidi"/>
              <w:b/>
              <w:sz w:val="18"/>
              <w:szCs w:val="16"/>
              <w:lang w:eastAsia="en-US"/>
            </w:rPr>
            <w:t>30</w:t>
          </w:r>
          <w:r w:rsidR="00B16706" w:rsidRPr="00B16706">
            <w:rPr>
              <w:rFonts w:asciiTheme="minorHAnsi" w:eastAsiaTheme="minorEastAsia" w:hAnsiTheme="minorHAnsi" w:cstheme="minorBidi"/>
              <w:b/>
              <w:sz w:val="18"/>
              <w:szCs w:val="16"/>
              <w:lang w:eastAsia="en-US"/>
            </w:rPr>
            <w:t xml:space="preserve"> September 202</w:t>
          </w:r>
          <w:r w:rsidR="00871163">
            <w:rPr>
              <w:rFonts w:asciiTheme="minorHAnsi" w:eastAsiaTheme="minorEastAsia" w:hAnsiTheme="minorHAnsi" w:cstheme="minorBidi"/>
              <w:b/>
              <w:sz w:val="18"/>
              <w:szCs w:val="16"/>
              <w:lang w:eastAsia="en-US"/>
            </w:rPr>
            <w:t>2</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6DE74A12"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424A4F">
            <w:rPr>
              <w:rFonts w:eastAsiaTheme="minorEastAsia" w:cstheme="minorBidi"/>
              <w:sz w:val="18"/>
              <w:szCs w:val="16"/>
              <w:lang w:eastAsia="en-US"/>
            </w:rPr>
            <w:t>PHDG</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14C5D76C"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24A4F">
            <w:rPr>
              <w:rFonts w:eastAsiaTheme="minorEastAsia" w:cstheme="minorBidi"/>
              <w:sz w:val="18"/>
              <w:szCs w:val="16"/>
              <w:lang w:eastAsia="en-US"/>
            </w:rPr>
            <w:t>PHDG</w:t>
          </w:r>
          <w:r w:rsidRPr="00A409C2">
            <w:rPr>
              <w:rFonts w:eastAsiaTheme="minorEastAsia" w:cstheme="minorBidi"/>
              <w:sz w:val="18"/>
              <w:szCs w:val="16"/>
              <w:lang w:eastAsia="en-US"/>
            </w:rPr>
            <w:t>_nameofrespondent_RESPONSEFORM. For example, for a respondent named ABCD, the response form would be entitled ESMA_</w:t>
          </w:r>
          <w:r w:rsidR="00FD4D00">
            <w:rPr>
              <w:rFonts w:eastAsiaTheme="minorEastAsia" w:cstheme="minorBidi"/>
              <w:sz w:val="18"/>
              <w:szCs w:val="16"/>
              <w:lang w:eastAsia="en-US"/>
            </w:rPr>
            <w:t>PHDG</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2CA59813" w:rsidR="00AF2EF7" w:rsidRPr="00B16706" w:rsidRDefault="00424A4F" w:rsidP="00AF2EF7">
      <w:pPr>
        <w:spacing w:after="120" w:line="276" w:lineRule="auto"/>
        <w:rPr>
          <w:rFonts w:asciiTheme="minorHAnsi" w:hAnsiTheme="minorHAnsi" w:cstheme="minorHAnsi"/>
          <w:sz w:val="20"/>
          <w:szCs w:val="20"/>
        </w:rPr>
      </w:pPr>
      <w:r w:rsidRPr="00424A4F">
        <w:rPr>
          <w:rFonts w:ascii="Arial" w:hAnsi="Arial" w:cs="Arial"/>
          <w:sz w:val="18"/>
          <w:szCs w:val="18"/>
          <w:lang w:eastAsia="it-IT"/>
        </w:rPr>
        <w:t>All interested stakeholders are invited to respond to this call for evidence. This call for evidence is primarily of interest to investment firms, credit institutions, proprietary traders, market makers, asset management companies and in general persons operating on an ongoing basis in financial markets, but responses are also sought from any other market participants including trade associations and industry bodies, institutional and retail investors, consultants and academics</w:t>
      </w:r>
      <w:r>
        <w:rPr>
          <w:rFonts w:ascii="Arial" w:hAnsi="Arial" w:cs="Arial"/>
          <w:sz w:val="18"/>
          <w:szCs w:val="18"/>
          <w:lang w:eastAsia="it-IT"/>
        </w:rPr>
        <w:t xml:space="preserve">. </w:t>
      </w: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showingPlcHdr/>
            <w:text/>
          </w:sdtPr>
          <w:sdtEndPr/>
          <w:sdtContent>
            <w:tc>
              <w:tcPr>
                <w:tcW w:w="5595" w:type="dxa"/>
                <w:shd w:val="clear" w:color="auto" w:fill="auto"/>
              </w:tcPr>
              <w:p w14:paraId="1B67440D" w14:textId="77777777" w:rsidR="00C85C8B" w:rsidRPr="00B16706" w:rsidRDefault="00C85C8B" w:rsidP="00C85C8B">
                <w:pPr>
                  <w:rPr>
                    <w:rFonts w:ascii="Arial" w:hAnsi="Arial" w:cs="Arial"/>
                    <w:color w:val="808080"/>
                    <w:sz w:val="16"/>
                    <w:szCs w:val="20"/>
                    <w:lang w:eastAsia="de-DE"/>
                  </w:rPr>
                </w:pPr>
                <w:r w:rsidRPr="00B16706">
                  <w:rPr>
                    <w:rStyle w:val="Heading6Char"/>
                    <w:sz w:val="18"/>
                    <w:szCs w:val="18"/>
                  </w:rPr>
                  <w:t>Click here to enter text.</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7777777" w:rsidR="00C85C8B" w:rsidRPr="00B16706" w:rsidRDefault="00092D6C"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B16706">
                  <w:rPr>
                    <w:rFonts w:ascii="Arial" w:hAnsi="Arial" w:cs="Arial"/>
                    <w:sz w:val="16"/>
                    <w:szCs w:val="20"/>
                    <w:lang w:eastAsia="de-DE"/>
                  </w:rPr>
                  <w:t>Choose an item.</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3D1D28" w:rsidR="00C85C8B" w:rsidRPr="00B16706" w:rsidRDefault="000C406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7777777" w:rsidR="00C85C8B" w:rsidRPr="00B16706" w:rsidRDefault="00C85C8B" w:rsidP="00C85C8B">
                <w:pPr>
                  <w:rPr>
                    <w:rFonts w:ascii="Arial" w:hAnsi="Arial" w:cs="Arial"/>
                    <w:sz w:val="16"/>
                    <w:szCs w:val="20"/>
                    <w:lang w:eastAsia="de-DE"/>
                  </w:rPr>
                </w:pPr>
                <w:r w:rsidRPr="00B16706">
                  <w:rPr>
                    <w:rFonts w:ascii="Arial" w:hAnsi="Arial" w:cs="Arial"/>
                    <w:color w:val="808080"/>
                    <w:sz w:val="16"/>
                    <w:szCs w:val="20"/>
                    <w:lang w:eastAsia="de-DE"/>
                  </w:rPr>
                  <w:t>Choose an item.</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3AC1CEE3" w14:textId="77777777" w:rsidR="00A73299" w:rsidRDefault="00A73299" w:rsidP="00A73299">
      <w:pPr>
        <w:pStyle w:val="Questionstyle"/>
      </w:pPr>
      <w:r w:rsidRPr="00D70FF1">
        <w:t>Do you agree with the proposed definition of pre-hedging with respect to case (i) and (ii)? Please explain elaborating if both case (i) and case (ii) in your view can qualify as pre-hedging and providing specific examples on both instances.</w:t>
      </w:r>
    </w:p>
    <w:p w14:paraId="382ABA39" w14:textId="77777777" w:rsidR="00A73299" w:rsidRDefault="00A73299" w:rsidP="00A73299">
      <w:r>
        <w:t>&lt;ESMA_QUESTION_PHDG_1&gt;</w:t>
      </w:r>
    </w:p>
    <w:p w14:paraId="5A36FBCA" w14:textId="388E31B7" w:rsidR="00A73299" w:rsidRDefault="00A73299" w:rsidP="00A73299">
      <w:permStart w:id="273960001" w:edGrp="everyone"/>
      <w:r>
        <w:t>TYPE YOUR TEXT HERE</w:t>
      </w:r>
    </w:p>
    <w:permEnd w:id="273960001"/>
    <w:p w14:paraId="0A66617B" w14:textId="77777777" w:rsidR="00A73299" w:rsidRDefault="00A73299" w:rsidP="00A73299">
      <w:r>
        <w:t>&lt;ESMA_QUESTION_PHDG_1&gt;</w:t>
      </w:r>
    </w:p>
    <w:p w14:paraId="14B67125" w14:textId="77777777" w:rsidR="00A73299" w:rsidRDefault="00A73299" w:rsidP="00A73299"/>
    <w:p w14:paraId="361F5A87" w14:textId="77777777" w:rsidR="00A73299" w:rsidRDefault="00A73299" w:rsidP="00A73299">
      <w:pPr>
        <w:pStyle w:val="Questionstyle"/>
      </w:pPr>
      <w:r w:rsidRPr="00D70FF1">
        <w:t>Do you believe the definition should encompass other market practices? Please explain.</w:t>
      </w:r>
    </w:p>
    <w:p w14:paraId="6BE0CED2" w14:textId="77777777" w:rsidR="00A73299" w:rsidRDefault="00A73299" w:rsidP="00A73299">
      <w:r>
        <w:t>&lt;ESMA_QUESTION_PHDG_2&gt;</w:t>
      </w:r>
    </w:p>
    <w:p w14:paraId="2A6B5011" w14:textId="6035AD65" w:rsidR="00A73299" w:rsidRDefault="00A73299" w:rsidP="00A73299">
      <w:permStart w:id="37300729" w:edGrp="everyone"/>
      <w:r>
        <w:t>TYPE YOUR TEXT HER</w:t>
      </w:r>
      <w:r w:rsidR="006D3F14">
        <w:t>E</w:t>
      </w:r>
    </w:p>
    <w:permEnd w:id="37300729"/>
    <w:p w14:paraId="71EB66BA" w14:textId="77777777" w:rsidR="00A73299" w:rsidRDefault="00A73299" w:rsidP="00A73299">
      <w:r>
        <w:t>&lt;ESMA_QUESTION_PHDG_2&gt;</w:t>
      </w:r>
    </w:p>
    <w:p w14:paraId="6ED0E381" w14:textId="77777777" w:rsidR="00A73299" w:rsidRDefault="00A73299" w:rsidP="00A73299"/>
    <w:p w14:paraId="5EB4C878" w14:textId="77777777" w:rsidR="00A73299" w:rsidRDefault="00A73299" w:rsidP="00A73299">
      <w:pPr>
        <w:pStyle w:val="Questionstyle"/>
      </w:pPr>
      <w:r w:rsidRPr="00D70FF1">
        <w:t>Do you agree with the proposed distinction between pre-hedging and hedging?</w:t>
      </w:r>
    </w:p>
    <w:p w14:paraId="587B8021" w14:textId="77777777" w:rsidR="00A73299" w:rsidRDefault="00A73299" w:rsidP="00A73299">
      <w:r>
        <w:t>&lt;ESMA_QUESTION_PHDG_3&gt;</w:t>
      </w:r>
    </w:p>
    <w:p w14:paraId="14EF5858" w14:textId="51194AFB" w:rsidR="00A73299" w:rsidRDefault="00A73299" w:rsidP="00A73299">
      <w:permStart w:id="1817013114" w:edGrp="everyone"/>
      <w:r>
        <w:t>TYPE YOUR TEXT HERE</w:t>
      </w:r>
    </w:p>
    <w:permEnd w:id="1817013114"/>
    <w:p w14:paraId="3D1CE017" w14:textId="77777777" w:rsidR="00A73299" w:rsidRDefault="00A73299" w:rsidP="00A73299">
      <w:r>
        <w:t>&lt;ESMA_QUESTION_PHDG_3&gt;</w:t>
      </w:r>
    </w:p>
    <w:p w14:paraId="17CDAE12" w14:textId="77777777" w:rsidR="00A73299" w:rsidRDefault="00A73299" w:rsidP="00A73299"/>
    <w:p w14:paraId="489BA89A" w14:textId="77777777" w:rsidR="00A73299" w:rsidRDefault="00A73299" w:rsidP="00A73299">
      <w:pPr>
        <w:pStyle w:val="Questionstyle"/>
      </w:pPr>
      <w:r w:rsidRPr="00D70FF1">
        <w:t>Do you have any specific concerns with respect to the practice of pre hedging being undertaken by liquidity providers when the trading protocol allows for a ‘last look’?</w:t>
      </w:r>
    </w:p>
    <w:p w14:paraId="16A00167" w14:textId="77777777" w:rsidR="00A73299" w:rsidRDefault="00A73299" w:rsidP="00A73299">
      <w:r>
        <w:t>&lt;ESMA_QUESTION_PHDG_4&gt;</w:t>
      </w:r>
    </w:p>
    <w:p w14:paraId="13627DA6" w14:textId="77777777" w:rsidR="00A73299" w:rsidRDefault="00A73299" w:rsidP="00A73299">
      <w:permStart w:id="810027983" w:edGrp="everyone"/>
      <w:r>
        <w:t>TYPE YOUR TEXT HERE</w:t>
      </w:r>
    </w:p>
    <w:permEnd w:id="810027983"/>
    <w:p w14:paraId="447B09BE" w14:textId="77777777" w:rsidR="00A73299" w:rsidRDefault="00A73299" w:rsidP="00A73299">
      <w:r>
        <w:t>&lt;ESMA_QUESTION_PHDG_4&gt;</w:t>
      </w:r>
    </w:p>
    <w:p w14:paraId="3F319FF5" w14:textId="77777777" w:rsidR="00A73299" w:rsidRDefault="00A73299" w:rsidP="00A73299"/>
    <w:p w14:paraId="6DD23CFD" w14:textId="77777777" w:rsidR="00A73299" w:rsidRDefault="00A73299" w:rsidP="00A73299">
      <w:pPr>
        <w:pStyle w:val="Questionstyle"/>
      </w:pPr>
      <w:r w:rsidRPr="00D70FF1">
        <w:t xml:space="preserve">What is your view on the arguments presented in favour and against pre-hedging? </w:t>
      </w:r>
    </w:p>
    <w:p w14:paraId="357A9E96" w14:textId="77777777" w:rsidR="00A73299" w:rsidRDefault="00A73299" w:rsidP="00A73299">
      <w:r>
        <w:t>&lt;ESMA_QUESTION_PHDG_5&gt;</w:t>
      </w:r>
    </w:p>
    <w:p w14:paraId="3C22B0E4" w14:textId="77777777" w:rsidR="00A73299" w:rsidRDefault="00A73299" w:rsidP="00A73299">
      <w:permStart w:id="1379824319" w:edGrp="everyone"/>
      <w:r>
        <w:t>TYPE YOUR TEXT HERE</w:t>
      </w:r>
    </w:p>
    <w:permEnd w:id="1379824319"/>
    <w:p w14:paraId="19E8F0D9" w14:textId="77777777" w:rsidR="00A73299" w:rsidRDefault="00A73299" w:rsidP="00A73299">
      <w:r>
        <w:t>&lt;ESMA_QUESTION_PHDG_5&gt;</w:t>
      </w:r>
    </w:p>
    <w:p w14:paraId="186C7C64" w14:textId="77777777" w:rsidR="00A73299" w:rsidRDefault="00A73299" w:rsidP="00A73299"/>
    <w:p w14:paraId="14ECCDB7" w14:textId="77777777" w:rsidR="00A73299" w:rsidRDefault="00A73299" w:rsidP="00A73299">
      <w:pPr>
        <w:pStyle w:val="Questionstyle"/>
      </w:pPr>
      <w:r w:rsidRPr="00D70FF1">
        <w:t xml:space="preserve">In which cases could a foreseeable transaction enable a conclusion to be drawn on its effect on the prices? </w:t>
      </w:r>
    </w:p>
    <w:p w14:paraId="5B9CA099" w14:textId="77777777" w:rsidR="00A73299" w:rsidRDefault="00A73299" w:rsidP="00A73299">
      <w:r>
        <w:t>&lt;ESMA_QUESTION_PHDG_6&gt;</w:t>
      </w:r>
    </w:p>
    <w:p w14:paraId="22C9F37D" w14:textId="77777777" w:rsidR="00A73299" w:rsidRDefault="00A73299" w:rsidP="00A73299">
      <w:permStart w:id="554985269" w:edGrp="everyone"/>
      <w:r>
        <w:t>TYPE YOUR TEXT HERE</w:t>
      </w:r>
    </w:p>
    <w:permEnd w:id="554985269"/>
    <w:p w14:paraId="388EB716" w14:textId="77777777" w:rsidR="00A73299" w:rsidRDefault="00A73299" w:rsidP="00A73299">
      <w:r>
        <w:t>&lt;ESMA_QUESTION_PHDG_6&gt;</w:t>
      </w:r>
    </w:p>
    <w:p w14:paraId="56129511" w14:textId="77777777" w:rsidR="00A73299" w:rsidRDefault="00A73299" w:rsidP="00A73299"/>
    <w:p w14:paraId="21ED915B" w14:textId="77777777" w:rsidR="00A73299" w:rsidRDefault="00A73299" w:rsidP="00A73299">
      <w:pPr>
        <w:pStyle w:val="Questionstyle"/>
      </w:pPr>
      <w:r w:rsidRPr="00D70FF1">
        <w:t>Do you agree that an RFM when the liquidity provider could discover the trading intentions of the sender on the basis of their past commercial relationship, the market conditions or the news flow should be considered as precise information?</w:t>
      </w:r>
    </w:p>
    <w:p w14:paraId="31EE2447" w14:textId="77777777" w:rsidR="00A73299" w:rsidRDefault="00A73299" w:rsidP="00A73299">
      <w:r>
        <w:lastRenderedPageBreak/>
        <w:t>&lt;ESMA_QUESTION_PHDG_7&gt;</w:t>
      </w:r>
    </w:p>
    <w:p w14:paraId="17F297EE" w14:textId="0861CEAA" w:rsidR="00A73299" w:rsidRDefault="00A73299" w:rsidP="00A73299">
      <w:permStart w:id="116469412" w:edGrp="everyone"/>
      <w:r>
        <w:t>TYPE YOUR TEXT HERE</w:t>
      </w:r>
    </w:p>
    <w:permEnd w:id="116469412"/>
    <w:p w14:paraId="50BB3AA9" w14:textId="77777777" w:rsidR="00A73299" w:rsidRDefault="00A73299" w:rsidP="00A73299">
      <w:r>
        <w:t>&lt;ESMA_QUESTION_PHDG_7&gt;</w:t>
      </w:r>
    </w:p>
    <w:p w14:paraId="39C63DE3" w14:textId="77777777" w:rsidR="00A73299" w:rsidRDefault="00A73299" w:rsidP="00A73299"/>
    <w:p w14:paraId="0540F4CD" w14:textId="77777777" w:rsidR="00A73299" w:rsidRDefault="00A73299" w:rsidP="00A73299">
      <w:pPr>
        <w:pStyle w:val="Questionstyle"/>
      </w:pPr>
      <w:r w:rsidRPr="00D70FF1">
        <w:t xml:space="preserve">Please provide your views regarding the criteria for the identification of RFQs that could potentially have a significant impact on the price of the relevant financial instrument. Is there any other criterion that ESMA should take into account?   </w:t>
      </w:r>
    </w:p>
    <w:p w14:paraId="27FC0CF4" w14:textId="77777777" w:rsidR="00A73299" w:rsidRDefault="00A73299" w:rsidP="00A73299">
      <w:r>
        <w:t>&lt;ESMA_QUESTION_PHDG_8&gt;</w:t>
      </w:r>
    </w:p>
    <w:p w14:paraId="0B89B420" w14:textId="77777777" w:rsidR="00A73299" w:rsidRDefault="00A73299" w:rsidP="00A73299">
      <w:permStart w:id="2023978491" w:edGrp="everyone"/>
      <w:r>
        <w:t>TYPE YOUR TEXT HERE</w:t>
      </w:r>
    </w:p>
    <w:permEnd w:id="2023978491"/>
    <w:p w14:paraId="3CCFEE0A" w14:textId="77777777" w:rsidR="00A73299" w:rsidRDefault="00A73299" w:rsidP="00A73299">
      <w:r>
        <w:t>&lt;ESMA_QUESTION_PHDG_8&gt;</w:t>
      </w:r>
    </w:p>
    <w:p w14:paraId="0FEBDB3D" w14:textId="77777777" w:rsidR="00A73299" w:rsidRDefault="00A73299" w:rsidP="00A73299"/>
    <w:p w14:paraId="66467253" w14:textId="77777777" w:rsidR="00A73299" w:rsidRDefault="00A73299" w:rsidP="00A73299">
      <w:pPr>
        <w:pStyle w:val="Questionstyle"/>
      </w:pPr>
      <w:r w:rsidRPr="00D70FF1">
        <w:t>Does the GFXC Guidance describe all the possible cases of risk management rationale that could justify legitimate pre-hedging? If not, please elaborate</w:t>
      </w:r>
    </w:p>
    <w:p w14:paraId="379CB8B6" w14:textId="77777777" w:rsidR="00A73299" w:rsidRDefault="00A73299" w:rsidP="00A73299">
      <w:r>
        <w:t>&lt;ESMA_QUESTION_PHDG_9&gt;</w:t>
      </w:r>
    </w:p>
    <w:p w14:paraId="126700CD" w14:textId="77777777" w:rsidR="00A73299" w:rsidRDefault="00A73299" w:rsidP="00A73299">
      <w:permStart w:id="1646090865" w:edGrp="everyone"/>
      <w:r>
        <w:t>TYPE YOUR TEXT HERE</w:t>
      </w:r>
    </w:p>
    <w:permEnd w:id="1646090865"/>
    <w:p w14:paraId="1496746B" w14:textId="77777777" w:rsidR="00A73299" w:rsidRDefault="00A73299" w:rsidP="00A73299">
      <w:r>
        <w:t>&lt;ESMA_QUESTION_PHDG_9&gt;</w:t>
      </w:r>
    </w:p>
    <w:p w14:paraId="6AFCEC55" w14:textId="77777777" w:rsidR="00A73299" w:rsidRDefault="00A73299" w:rsidP="00A73299"/>
    <w:p w14:paraId="04037351" w14:textId="77777777" w:rsidR="00A73299" w:rsidRDefault="00A73299" w:rsidP="00A73299">
      <w:pPr>
        <w:pStyle w:val="Questionstyle"/>
      </w:pPr>
      <w:r w:rsidRPr="00D70FF1">
        <w:t xml:space="preserve">Can you identify practical examples of pre-hedging practices with/without a risk management rationale? </w:t>
      </w:r>
    </w:p>
    <w:p w14:paraId="136B9669" w14:textId="77777777" w:rsidR="00A73299" w:rsidRDefault="00A73299" w:rsidP="00A73299">
      <w:r>
        <w:t>&lt;ESMA_QUESTION_PHDG_10&gt;</w:t>
      </w:r>
    </w:p>
    <w:p w14:paraId="21760586" w14:textId="77777777" w:rsidR="00A73299" w:rsidRDefault="00A73299" w:rsidP="00A73299">
      <w:permStart w:id="104741344" w:edGrp="everyone"/>
      <w:r>
        <w:t>TYPE YOUR TEXT HERE</w:t>
      </w:r>
    </w:p>
    <w:permEnd w:id="104741344"/>
    <w:p w14:paraId="47BEB52E" w14:textId="77777777" w:rsidR="00A73299" w:rsidRDefault="00A73299" w:rsidP="00A73299">
      <w:r>
        <w:t>&lt;ESMA_QUESTION_PHDG_10&gt;</w:t>
      </w:r>
    </w:p>
    <w:p w14:paraId="7A3974D5" w14:textId="77777777" w:rsidR="00A73299" w:rsidRDefault="00A73299" w:rsidP="00A73299"/>
    <w:p w14:paraId="09440864" w14:textId="77777777" w:rsidR="00A73299" w:rsidRDefault="00A73299" w:rsidP="00A73299">
      <w:pPr>
        <w:pStyle w:val="Questionstyle"/>
      </w:pPr>
      <w:r w:rsidRPr="00D70FF1">
        <w:t>Can pre-hedging be considered legitimate when the market participant is aware, on the basis of objective circumstances, that it will not be awarded the transaction?</w:t>
      </w:r>
    </w:p>
    <w:p w14:paraId="1202A54B" w14:textId="77777777" w:rsidR="00A73299" w:rsidRDefault="00A73299" w:rsidP="00A73299">
      <w:r>
        <w:t>&lt;ESMA_QUESTION_PHDG_11&gt;</w:t>
      </w:r>
    </w:p>
    <w:p w14:paraId="0A8BF43C" w14:textId="77777777" w:rsidR="00A73299" w:rsidRDefault="00A73299" w:rsidP="00A73299">
      <w:permStart w:id="1736514824" w:edGrp="everyone"/>
      <w:r>
        <w:t>TYPE YOUR TEXT HERE</w:t>
      </w:r>
    </w:p>
    <w:permEnd w:id="1736514824"/>
    <w:p w14:paraId="362547F0" w14:textId="77777777" w:rsidR="00A73299" w:rsidRDefault="00A73299" w:rsidP="00A73299">
      <w:r>
        <w:t>&lt;ESMA_QUESTION_PHDG_11&gt;</w:t>
      </w:r>
    </w:p>
    <w:p w14:paraId="4F45871F" w14:textId="77777777" w:rsidR="00A73299" w:rsidRDefault="00A73299" w:rsidP="00A73299"/>
    <w:p w14:paraId="395D8E4C" w14:textId="77777777" w:rsidR="00A73299" w:rsidRDefault="00A73299" w:rsidP="00A73299">
      <w:pPr>
        <w:pStyle w:val="Questionstyle"/>
      </w:pPr>
      <w:r w:rsidRPr="00D70FF1">
        <w:t>Can you identify financial instruments that should/should not be used for pre-hedging purposes? Please elaborate</w:t>
      </w:r>
    </w:p>
    <w:p w14:paraId="5528D1E0" w14:textId="77777777" w:rsidR="00A73299" w:rsidRDefault="00A73299" w:rsidP="00A73299">
      <w:r>
        <w:t>&lt;ESMA_QUESTION_PHDG_12&gt;</w:t>
      </w:r>
    </w:p>
    <w:p w14:paraId="1A08572B" w14:textId="77777777" w:rsidR="00A73299" w:rsidRDefault="00A73299" w:rsidP="00A73299">
      <w:permStart w:id="664279198" w:edGrp="everyone"/>
      <w:r>
        <w:t>TYPE YOUR TEXT HERE</w:t>
      </w:r>
    </w:p>
    <w:permEnd w:id="664279198"/>
    <w:p w14:paraId="4D04C976" w14:textId="77777777" w:rsidR="00A73299" w:rsidRDefault="00A73299" w:rsidP="00A73299">
      <w:r>
        <w:t>&lt;ESMA_QUESTION_PHDG_12&gt;</w:t>
      </w:r>
    </w:p>
    <w:p w14:paraId="4BB1A096" w14:textId="77777777" w:rsidR="00A73299" w:rsidRDefault="00A73299" w:rsidP="00A73299"/>
    <w:p w14:paraId="786A89D5" w14:textId="77777777" w:rsidR="00A73299" w:rsidRDefault="00A73299" w:rsidP="00A73299">
      <w:pPr>
        <w:pStyle w:val="Questionstyle"/>
      </w:pPr>
      <w:r w:rsidRPr="00D70FF1">
        <w:t>Please provide your views on the proposed indicators of legitimate and illegitimate pre-hedging. Would you suggest any other?</w:t>
      </w:r>
    </w:p>
    <w:p w14:paraId="2A36AD70" w14:textId="77777777" w:rsidR="00A73299" w:rsidRDefault="00A73299" w:rsidP="00A73299">
      <w:r>
        <w:t>&lt;ESMA_QUESTION_PHDG_13&gt;</w:t>
      </w:r>
    </w:p>
    <w:p w14:paraId="0EA85B50" w14:textId="77777777" w:rsidR="00A73299" w:rsidRDefault="00A73299" w:rsidP="00A73299">
      <w:permStart w:id="1472084367" w:edGrp="everyone"/>
      <w:r>
        <w:t>TYPE YOUR TEXT HERE</w:t>
      </w:r>
    </w:p>
    <w:permEnd w:id="1472084367"/>
    <w:p w14:paraId="6BC3B353" w14:textId="77777777" w:rsidR="00A73299" w:rsidRDefault="00A73299" w:rsidP="00A73299">
      <w:r>
        <w:t>&lt;ESMA_QUESTION_PHDG_13&gt;</w:t>
      </w:r>
    </w:p>
    <w:p w14:paraId="4DC357E2" w14:textId="77777777" w:rsidR="00A73299" w:rsidRDefault="00A73299" w:rsidP="00A73299"/>
    <w:p w14:paraId="5A0F661F" w14:textId="77777777" w:rsidR="00A73299" w:rsidRDefault="00A73299" w:rsidP="00A73299">
      <w:pPr>
        <w:pStyle w:val="Questionstyle"/>
      </w:pPr>
      <w:r w:rsidRPr="00D70FF1">
        <w:lastRenderedPageBreak/>
        <w:t xml:space="preserve">According to your experience, can express consent to pre-hedging be provided on a case-by-case basis in the context of electronic and competitive RFQs? If yes, how? Do you think the client’s consent to pre-hedging should ground a presumption of legitimacy of the liquidity provider’s behaviour? </w:t>
      </w:r>
    </w:p>
    <w:p w14:paraId="1BCD981E" w14:textId="77777777" w:rsidR="00A73299" w:rsidRDefault="00A73299" w:rsidP="00A73299">
      <w:r>
        <w:t>&lt;ESMA_QUESTION_PHDG_14&gt;</w:t>
      </w:r>
    </w:p>
    <w:p w14:paraId="39517D1B" w14:textId="77777777" w:rsidR="00A73299" w:rsidRDefault="00A73299" w:rsidP="00A73299">
      <w:permStart w:id="1778341178" w:edGrp="everyone"/>
      <w:r>
        <w:t>TYPE YOUR TEXT HERE</w:t>
      </w:r>
    </w:p>
    <w:permEnd w:id="1778341178"/>
    <w:p w14:paraId="06395638" w14:textId="77777777" w:rsidR="00A73299" w:rsidRDefault="00A73299" w:rsidP="00A73299">
      <w:r>
        <w:t>&lt;ESMA_QUESTION_PHDG_14&gt;</w:t>
      </w:r>
    </w:p>
    <w:p w14:paraId="60AD5AEA" w14:textId="77777777" w:rsidR="00A73299" w:rsidRDefault="00A73299" w:rsidP="00A73299"/>
    <w:p w14:paraId="7585A22A" w14:textId="77777777" w:rsidR="00A73299" w:rsidRDefault="00A73299" w:rsidP="00A73299">
      <w:pPr>
        <w:pStyle w:val="Questionstyle"/>
      </w:pPr>
      <w:r w:rsidRPr="00D70FF1">
        <w:t xml:space="preserve">Could you please indicate which are in your view the pre-hedging practices that appear to be conducted mostly in the interest of the liquidity provider and which may risk to not bring any benefit to the client? </w:t>
      </w:r>
    </w:p>
    <w:p w14:paraId="22AB1953" w14:textId="77777777" w:rsidR="00A73299" w:rsidRDefault="00A73299" w:rsidP="00A73299">
      <w:r>
        <w:t>&lt;ESMA_QUESTION_PHDG_15&gt;</w:t>
      </w:r>
    </w:p>
    <w:p w14:paraId="18F74691" w14:textId="77777777" w:rsidR="00A73299" w:rsidRDefault="00A73299" w:rsidP="00A73299">
      <w:permStart w:id="113129472" w:edGrp="everyone"/>
      <w:r>
        <w:t>TYPE YOUR TEXT HERE</w:t>
      </w:r>
    </w:p>
    <w:permEnd w:id="113129472"/>
    <w:p w14:paraId="615AF21B" w14:textId="77777777" w:rsidR="00A73299" w:rsidRDefault="00A73299" w:rsidP="00A73299">
      <w:r>
        <w:t>&lt;ESMA_QUESTION_PHDG_15&gt;</w:t>
      </w:r>
    </w:p>
    <w:p w14:paraId="7906CFF2" w14:textId="77777777" w:rsidR="00A73299" w:rsidRDefault="00A73299" w:rsidP="00A73299"/>
    <w:p w14:paraId="15646476" w14:textId="77777777" w:rsidR="00A73299" w:rsidRDefault="00A73299" w:rsidP="00A73299">
      <w:pPr>
        <w:pStyle w:val="Questionstyle"/>
      </w:pPr>
      <w:r w:rsidRPr="00D70FF1">
        <w:t>Do you think it would be feasible for liquidity providers to provide evidence of (i) their reasonable expectation to conclude the transaction; (i) the risk management needs behind the transactions; (iii) the benefit for the client pursued through the transaction and (iv) the client’s consent? If no, please indicate potential obstacles to the provision of such evidence.</w:t>
      </w:r>
    </w:p>
    <w:p w14:paraId="476ECBEC" w14:textId="77777777" w:rsidR="00A73299" w:rsidRDefault="00A73299" w:rsidP="00A73299">
      <w:r>
        <w:t>&lt;ESMA_QUESTION_PHDG_16&gt;</w:t>
      </w:r>
    </w:p>
    <w:p w14:paraId="0091FA66" w14:textId="77777777" w:rsidR="00A73299" w:rsidRDefault="00A73299" w:rsidP="00A73299">
      <w:permStart w:id="934892473" w:edGrp="everyone"/>
      <w:r>
        <w:t>TYPE YOUR TEXT HERE</w:t>
      </w:r>
    </w:p>
    <w:permEnd w:id="934892473"/>
    <w:p w14:paraId="7B3FD07A" w14:textId="77777777" w:rsidR="00A73299" w:rsidRDefault="00A73299" w:rsidP="00A73299">
      <w:r>
        <w:t>&lt;ESMA_QUESTION_PHDG_16&gt;</w:t>
      </w:r>
    </w:p>
    <w:p w14:paraId="5A2DC5B7" w14:textId="77777777" w:rsidR="00A73299" w:rsidRDefault="00A73299" w:rsidP="00A73299"/>
    <w:p w14:paraId="2906EA5A" w14:textId="77777777" w:rsidR="00A73299" w:rsidRDefault="00A73299" w:rsidP="00A73299">
      <w:pPr>
        <w:pStyle w:val="Questionstyle"/>
      </w:pPr>
      <w:r w:rsidRPr="00D70FF1">
        <w:t>Do you believe that the liquidity of a financial instrument should be considered as an indicator in determining whether pre-hedging may be illegitimate behaviour? Please elaborate.</w:t>
      </w:r>
    </w:p>
    <w:p w14:paraId="0959559E" w14:textId="77777777" w:rsidR="00A73299" w:rsidRDefault="00A73299" w:rsidP="00A73299">
      <w:r>
        <w:t>&lt;ESMA_QUESTION_PHDG_17&gt;</w:t>
      </w:r>
    </w:p>
    <w:p w14:paraId="4336367C" w14:textId="77777777" w:rsidR="00A73299" w:rsidRDefault="00A73299" w:rsidP="00A73299">
      <w:permStart w:id="232944764" w:edGrp="everyone"/>
      <w:r>
        <w:t>TYPE YOUR TEXT HERE</w:t>
      </w:r>
    </w:p>
    <w:permEnd w:id="232944764"/>
    <w:p w14:paraId="11D513B5" w14:textId="77777777" w:rsidR="00A73299" w:rsidRDefault="00A73299" w:rsidP="00A73299">
      <w:r>
        <w:t>&lt;ESMA_QUESTION_PHDG_17&gt;</w:t>
      </w:r>
    </w:p>
    <w:p w14:paraId="3661C65E" w14:textId="77777777" w:rsidR="00A73299" w:rsidRDefault="00A73299" w:rsidP="00A73299"/>
    <w:p w14:paraId="6003E627" w14:textId="77777777" w:rsidR="00A73299" w:rsidRDefault="00A73299" w:rsidP="00A73299">
      <w:pPr>
        <w:pStyle w:val="Questionstyle"/>
      </w:pPr>
      <w:r w:rsidRPr="00D70FF1">
        <w:t>According to your experience does the practice of pre-hedging primarily take place in what is described as the ‘wholesale markets’ space or does this practice take place also with respect to order / RFQs submitted by retail or professional clients?</w:t>
      </w:r>
    </w:p>
    <w:p w14:paraId="10A1567D" w14:textId="77777777" w:rsidR="00A73299" w:rsidRDefault="00A73299" w:rsidP="00A73299">
      <w:r>
        <w:t>&lt;ESMA_QUESTION_PHDG_18&gt;</w:t>
      </w:r>
    </w:p>
    <w:p w14:paraId="187FB79A" w14:textId="77777777" w:rsidR="00A73299" w:rsidRDefault="00A73299" w:rsidP="00A73299">
      <w:permStart w:id="1521039362" w:edGrp="everyone"/>
      <w:r>
        <w:t>TYPE YOUR TEXT HERE</w:t>
      </w:r>
    </w:p>
    <w:permEnd w:id="1521039362"/>
    <w:p w14:paraId="76B35FA4" w14:textId="77777777" w:rsidR="00A73299" w:rsidRDefault="00A73299" w:rsidP="00A73299">
      <w:r>
        <w:t>&lt;ESMA_QUESTION_PHDG_18&gt;</w:t>
      </w:r>
    </w:p>
    <w:p w14:paraId="5A690878" w14:textId="77777777" w:rsidR="00A73299" w:rsidRDefault="00A73299" w:rsidP="00A73299"/>
    <w:p w14:paraId="0A76C108" w14:textId="77777777" w:rsidR="00A73299" w:rsidRDefault="00A73299" w:rsidP="00A73299">
      <w:pPr>
        <w:pStyle w:val="Questionstyle"/>
      </w:pPr>
      <w:r w:rsidRPr="00D70FF1">
        <w:t>As an investment firm conducting pre-hedging, do you have any internal procedure addressing the COI which might arise specifically from such practice? If yes, please briefly explain the content of such procedure.</w:t>
      </w:r>
    </w:p>
    <w:p w14:paraId="08D816CB" w14:textId="77777777" w:rsidR="00A73299" w:rsidRDefault="00A73299" w:rsidP="00A73299">
      <w:r>
        <w:t>&lt;ESMA_QUESTION_PHDG_19&gt;</w:t>
      </w:r>
    </w:p>
    <w:p w14:paraId="64EF16C7" w14:textId="77777777" w:rsidR="00A73299" w:rsidRDefault="00A73299" w:rsidP="00A73299">
      <w:permStart w:id="1295605557" w:edGrp="everyone"/>
      <w:r>
        <w:lastRenderedPageBreak/>
        <w:t>TYPE YOUR TEXT HERE</w:t>
      </w:r>
    </w:p>
    <w:permEnd w:id="1295605557"/>
    <w:p w14:paraId="4349B080" w14:textId="77777777" w:rsidR="00A73299" w:rsidRDefault="00A73299" w:rsidP="00A73299">
      <w:r>
        <w:t>&lt;ESMA_QUESTION_PHDG_19&gt;</w:t>
      </w:r>
    </w:p>
    <w:p w14:paraId="7D050107" w14:textId="77777777" w:rsidR="00A73299" w:rsidRDefault="00A73299" w:rsidP="00A73299"/>
    <w:p w14:paraId="44056447" w14:textId="77777777" w:rsidR="00A73299" w:rsidRDefault="00A73299" w:rsidP="00A73299">
      <w:pPr>
        <w:pStyle w:val="Questionstyle"/>
      </w:pPr>
      <w:r w:rsidRPr="00D70FF1">
        <w:t>According to current market practice, do investment firms disclose to clients that their RFQs might be pre-hedged? If so, does this happen on a case-by-case basis (i.e. a client is informed that a specific order might be pre-hedged) or is this rather a general disclosure? Please elaborate, distinguishing between various trading models, e.g. voice trading vs electronic trades and please specify if there are instances in which RFQ systems allow to specify is pre-hedging is conducted?</w:t>
      </w:r>
    </w:p>
    <w:p w14:paraId="1DE4BFA7" w14:textId="77777777" w:rsidR="00A73299" w:rsidRDefault="00A73299" w:rsidP="00A73299">
      <w:r>
        <w:t>&lt;ESMA_QUESTION_PHDG_20&gt;</w:t>
      </w:r>
    </w:p>
    <w:p w14:paraId="6B99248F" w14:textId="77777777" w:rsidR="00A73299" w:rsidRDefault="00A73299" w:rsidP="00A73299">
      <w:permStart w:id="508713136" w:edGrp="everyone"/>
      <w:r>
        <w:t>TYPE YOUR TEXT HERE</w:t>
      </w:r>
    </w:p>
    <w:permEnd w:id="508713136"/>
    <w:p w14:paraId="6D1C794F" w14:textId="77777777" w:rsidR="00A73299" w:rsidRDefault="00A73299" w:rsidP="00A73299">
      <w:r>
        <w:t>&lt;ESMA_QUESTION_PHDG_20&gt;</w:t>
      </w:r>
    </w:p>
    <w:p w14:paraId="7866B32C" w14:textId="77777777" w:rsidR="00A73299" w:rsidRDefault="00A73299" w:rsidP="00A73299"/>
    <w:p w14:paraId="16F49958" w14:textId="77777777" w:rsidR="00A73299" w:rsidRDefault="00A73299" w:rsidP="00A73299">
      <w:pPr>
        <w:pStyle w:val="Questionstyle"/>
      </w:pPr>
      <w:r w:rsidRPr="00D70FF1">
        <w:t>According to current market practice, are clients offered quotes with and without pre-hedging, leaving to the client a choice depending on his execution preferences? Is so in which instances?</w:t>
      </w:r>
    </w:p>
    <w:p w14:paraId="40AB9046" w14:textId="77777777" w:rsidR="00A73299" w:rsidRDefault="00A73299" w:rsidP="00A73299">
      <w:r>
        <w:t>&lt;ESMA_QUESTION_PHDG_21&gt;</w:t>
      </w:r>
    </w:p>
    <w:p w14:paraId="10CA95F7" w14:textId="77777777" w:rsidR="00A73299" w:rsidRDefault="00A73299" w:rsidP="00A73299">
      <w:permStart w:id="220690189" w:edGrp="everyone"/>
      <w:r>
        <w:t>TYPE YOUR TEXT HERE</w:t>
      </w:r>
    </w:p>
    <w:permEnd w:id="220690189"/>
    <w:p w14:paraId="46E7D19D" w14:textId="77777777" w:rsidR="00A73299" w:rsidRDefault="00A73299" w:rsidP="00A73299">
      <w:r>
        <w:t>&lt;ESMA_QUESTION_PHDG_21&gt;</w:t>
      </w:r>
    </w:p>
    <w:p w14:paraId="4661464E" w14:textId="77777777" w:rsidR="00A73299" w:rsidRDefault="00A73299" w:rsidP="00A73299"/>
    <w:p w14:paraId="1CD3091C" w14:textId="77777777" w:rsidR="00A73299" w:rsidRDefault="00A73299" w:rsidP="00A73299">
      <w:pPr>
        <w:pStyle w:val="Questionstyle"/>
      </w:pPr>
      <w:r w:rsidRPr="00D70FF1">
        <w:t>Do you currently keep record of pre-hedging trades and related trading activity? Do you believe record keeping in this instance would be easy to implement?</w:t>
      </w:r>
    </w:p>
    <w:p w14:paraId="67114ACA" w14:textId="77777777" w:rsidR="00A73299" w:rsidRDefault="00A73299" w:rsidP="00A73299">
      <w:r>
        <w:t>&lt;ESMA_QUESTION_PHDG_22&gt;</w:t>
      </w:r>
    </w:p>
    <w:p w14:paraId="1D6F1C80" w14:textId="77777777" w:rsidR="00A73299" w:rsidRDefault="00A73299" w:rsidP="00A73299">
      <w:permStart w:id="1124810317" w:edGrp="everyone"/>
      <w:r>
        <w:t>TYPE YOUR TEXT HERE</w:t>
      </w:r>
    </w:p>
    <w:permEnd w:id="1124810317"/>
    <w:p w14:paraId="4AA50A4E" w14:textId="77777777" w:rsidR="00A73299" w:rsidRDefault="00A73299" w:rsidP="00A73299">
      <w:r>
        <w:t>&lt;ESMA_QUESTION_PHDG_22&gt;</w:t>
      </w:r>
    </w:p>
    <w:p w14:paraId="388927D4" w14:textId="77777777" w:rsidR="00A73299" w:rsidRDefault="00A73299" w:rsidP="00A73299"/>
    <w:p w14:paraId="00C9D386" w14:textId="77777777" w:rsidR="00A73299" w:rsidRDefault="00A73299" w:rsidP="00A73299">
      <w:pPr>
        <w:pStyle w:val="Questionstyle"/>
      </w:pPr>
      <w:r w:rsidRPr="00D70FF1">
        <w:t>Would you like to highlight any specific issue related to the obligation to provide clear and not misleading information?</w:t>
      </w:r>
    </w:p>
    <w:p w14:paraId="59C4778C" w14:textId="77777777" w:rsidR="00A73299" w:rsidRDefault="00A73299" w:rsidP="00A73299">
      <w:r>
        <w:t>&lt;ESMA_QUESTION_PHDG_23&gt;</w:t>
      </w:r>
    </w:p>
    <w:p w14:paraId="612B14B8" w14:textId="77777777" w:rsidR="00A73299" w:rsidRDefault="00A73299" w:rsidP="00A73299">
      <w:permStart w:id="333139389" w:edGrp="everyone"/>
      <w:r>
        <w:t>TYPE YOUR TEXT HERE</w:t>
      </w:r>
    </w:p>
    <w:permEnd w:id="333139389"/>
    <w:p w14:paraId="4CC6BA7F" w14:textId="77777777" w:rsidR="00A73299" w:rsidRDefault="00A73299" w:rsidP="00A73299">
      <w:r>
        <w:t>&lt;ESMA_QUESTION_PHDG_23&gt;</w:t>
      </w:r>
    </w:p>
    <w:p w14:paraId="7EED8A4D" w14:textId="77777777" w:rsidR="00A73299" w:rsidRDefault="00A73299" w:rsidP="00A73299"/>
    <w:p w14:paraId="79DFA8F3" w14:textId="77777777" w:rsidR="00A73299" w:rsidRPr="00D70FF1" w:rsidRDefault="00A73299" w:rsidP="00A73299">
      <w:pPr>
        <w:pStyle w:val="Questionstyle"/>
      </w:pPr>
      <w:r w:rsidRPr="00D70FF1">
        <w:t>Should ESMA consider any other element with respect to pre-hedging and systematic internalisers and OTFs? Please elaborate</w:t>
      </w:r>
    </w:p>
    <w:p w14:paraId="14617195" w14:textId="77777777" w:rsidR="00A73299" w:rsidRDefault="00A73299" w:rsidP="00A73299">
      <w:r>
        <w:t>&lt;ESMA_QUESTION_PHDG_24&gt;</w:t>
      </w:r>
    </w:p>
    <w:p w14:paraId="794F2BFB" w14:textId="215745E1" w:rsidR="00A73299" w:rsidRDefault="00A73299" w:rsidP="00A73299">
      <w:permStart w:id="638745335" w:edGrp="everyone"/>
      <w:r>
        <w:t>TYPE YOUR TEXT HERE</w:t>
      </w:r>
    </w:p>
    <w:permEnd w:id="638745335"/>
    <w:p w14:paraId="6D5727A1" w14:textId="77777777" w:rsidR="00A73299" w:rsidRDefault="00A73299" w:rsidP="00A73299">
      <w:r>
        <w:t>&lt;ESMA_QUESTION_PHDG_24&gt;</w:t>
      </w:r>
    </w:p>
    <w:p w14:paraId="4398379C" w14:textId="77777777" w:rsidR="00A73299" w:rsidRDefault="00A73299" w:rsidP="00A73299"/>
    <w:p w14:paraId="419A39B5" w14:textId="77777777" w:rsidR="00A73299" w:rsidRDefault="00A73299" w:rsidP="00A73299"/>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0F4D" w14:textId="77777777" w:rsidR="00503A3F" w:rsidRDefault="00503A3F" w:rsidP="007E7997">
      <w:r>
        <w:separator/>
      </w:r>
    </w:p>
  </w:endnote>
  <w:endnote w:type="continuationSeparator" w:id="0">
    <w:p w14:paraId="5CA6C8BD" w14:textId="77777777" w:rsidR="00503A3F" w:rsidRDefault="00503A3F" w:rsidP="007E7997">
      <w:r>
        <w:continuationSeparator/>
      </w:r>
    </w:p>
  </w:endnote>
  <w:endnote w:type="continuationNotice" w:id="1">
    <w:p w14:paraId="31D2BAA9" w14:textId="77777777" w:rsidR="00503A3F" w:rsidRDefault="00503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CFD3" w14:textId="77777777" w:rsidR="00503A3F" w:rsidRDefault="00503A3F" w:rsidP="007E7997">
      <w:r>
        <w:separator/>
      </w:r>
    </w:p>
  </w:footnote>
  <w:footnote w:type="continuationSeparator" w:id="0">
    <w:p w14:paraId="096FB77E" w14:textId="77777777" w:rsidR="00503A3F" w:rsidRDefault="00503A3F" w:rsidP="007E7997">
      <w:r>
        <w:continuationSeparator/>
      </w:r>
    </w:p>
  </w:footnote>
  <w:footnote w:type="continuationNotice" w:id="1">
    <w:p w14:paraId="1284CD28" w14:textId="77777777" w:rsidR="00503A3F" w:rsidRDefault="00503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B6200"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7qf3rYMBgzFG1vj09vJ6Zd+otrdYg9/j4zeETtJ9qCxSWGWnSoA+vpabAHC1dYSDTYc0JP9KqOXOEZT3OfmdCA==" w:salt="5WioAnC/TBImKr/UlDWOW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 Policy Document" ma:contentTypeID="0x01010001BD15C3986B91498E0AE644B715B9EE140028D9BEAC2E112B48874369BFF013BE35" ma:contentTypeVersion="8" ma:contentTypeDescription="" ma:contentTypeScope="" ma:versionID="fe3ac8518dae978b3706c2bd0ff41fa5">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5e185457e98995b4b87131e88e6e535"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4f99a58c-742f-4a20-98c8-851f22b5d1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ESMA70-449-674</_dlc_DocId>
    <TaxCatchAll xmlns="20fbe147-bbda-4e53-b6b1-7e8bbff3fe19">
      <Value>1826</Value>
      <Value>12</Value>
      <Value>1999</Value>
      <Value>484</Value>
      <Value>14</Value>
    </TaxCatchAll>
    <_dlc_DocIdUrl xmlns="20fbe147-bbda-4e53-b6b1-7e8bbff3fe19">
      <Url>https://sherpa.esma.europa.eu/sites/MKT/SMK/_layouts/15/DocIdRedir.aspx?ID=ESMA70-449-674</Url>
      <Description>ESMA70-449-674</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 - Pre-hedging</TermName>
          <TermId xmlns="http://schemas.microsoft.com/office/infopath/2007/PartnerControls">86add1cd-63a0-4597-b64f-7f7822fcc0f2</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 - Pre-hedging - Discussion Paper A</TermName>
          <TermId xmlns="http://schemas.microsoft.com/office/infopath/2007/PartnerControls">dfc5e8d2-1373-4d5a-adf0-f0860e9a1127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Props1.xml><?xml version="1.0" encoding="utf-8"?>
<ds:datastoreItem xmlns:ds="http://schemas.openxmlformats.org/officeDocument/2006/customXml" ds:itemID="{8BE1EB74-B3C7-4F85-9493-F7F180F75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8337F5EE-E87B-49CE-96B5-F95CE63A0DF2}">
  <ds:schemaRefs>
    <ds:schemaRef ds:uri="http://purl.org/dc/elements/1.1/"/>
    <ds:schemaRef ds:uri="http://schemas.microsoft.com/office/2006/metadata/properties"/>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8</Pages>
  <Words>1408</Words>
  <Characters>8029</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Dan Nacu-Manole</cp:lastModifiedBy>
  <cp:revision>2</cp:revision>
  <cp:lastPrinted>2017-07-24T14:47:00Z</cp:lastPrinted>
  <dcterms:created xsi:type="dcterms:W3CDTF">2022-07-29T08:35:00Z</dcterms:created>
  <dcterms:modified xsi:type="dcterms:W3CDTF">2022-07-29T08:35:00Z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0x01010001BD15C3986B91498E0AE644B715B9EE140028D9BEAC2E112B48874369BFF013BE35</vt:lpwstr>
  </property>
  <property fmtid="{D5CDD505-2E9C-101B-9397-08002B2CF9AE}" pid="5" name="_dlc_DocIdItemGuid">
    <vt:lpwstr>96f40c0c-2046-4f48-a026-c7dd73a65259</vt:lpwstr>
  </property>
  <property fmtid="{D5CDD505-2E9C-101B-9397-08002B2CF9AE}" pid="6" name="DocumentType">
    <vt:lpwstr>12;#Report|78753201-1e9e-4a21-a088-6ff602b5c999</vt:lpwstr>
  </property>
  <property fmtid="{D5CDD505-2E9C-101B-9397-08002B2CF9AE}" pid="7" name="Topic">
    <vt:lpwstr>1826;#MAR - Pre-hedging|86add1cd-63a0-4597-b64f-7f7822fcc0f2</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1999;#MAR - Pre-hedging - Discussion Paper A|dfc5e8d2-1373-4d5a-adf0-f0860e9a1127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