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0D88FE" w14:textId="77777777" w:rsidR="002F73BB" w:rsidRPr="00112DBA" w:rsidRDefault="002F73BB" w:rsidP="002F73BB">
      <w:pPr>
        <w:rPr>
          <w:rFonts w:ascii="Arial" w:hAnsi="Arial" w:cs="Arial"/>
        </w:rPr>
      </w:pPr>
    </w:p>
    <w:p w14:paraId="3D4D5D0D" w14:textId="77777777" w:rsidR="002F73BB" w:rsidRDefault="002F73BB" w:rsidP="002F73BB">
      <w:pPr>
        <w:pStyle w:val="Title"/>
        <w:jc w:val="center"/>
        <w:rPr>
          <w:rFonts w:ascii="Arial" w:hAnsi="Arial" w:cs="Arial"/>
          <w:sz w:val="40"/>
        </w:rPr>
      </w:pPr>
    </w:p>
    <w:p w14:paraId="5BF7A153" w14:textId="77777777" w:rsidR="002F73BB" w:rsidRPr="008E66FF" w:rsidRDefault="002F73BB" w:rsidP="002F73BB">
      <w:pPr>
        <w:pStyle w:val="Title"/>
        <w:jc w:val="center"/>
        <w:rPr>
          <w:rStyle w:val="field-content"/>
          <w:rFonts w:ascii="Arial" w:hAnsi="Arial" w:cs="Arial"/>
          <w:b/>
          <w:sz w:val="36"/>
        </w:rPr>
      </w:pPr>
      <w:r w:rsidRPr="008E66FF">
        <w:rPr>
          <w:rStyle w:val="field-content"/>
          <w:rFonts w:ascii="Arial" w:hAnsi="Arial" w:cs="Arial"/>
          <w:b/>
          <w:sz w:val="36"/>
        </w:rPr>
        <w:t xml:space="preserve">CSD Register </w:t>
      </w:r>
    </w:p>
    <w:p w14:paraId="45F4D2AE" w14:textId="77777777" w:rsidR="002F73BB" w:rsidRPr="008E66FF" w:rsidRDefault="002F73BB" w:rsidP="002F73BB">
      <w:pPr>
        <w:pStyle w:val="Title"/>
        <w:jc w:val="center"/>
        <w:rPr>
          <w:rStyle w:val="field-content"/>
          <w:rFonts w:ascii="Arial" w:hAnsi="Arial" w:cs="Arial"/>
          <w:sz w:val="24"/>
        </w:rPr>
      </w:pPr>
      <w:r w:rsidRPr="008E66FF">
        <w:rPr>
          <w:rStyle w:val="field-content"/>
          <w:rFonts w:ascii="Arial" w:hAnsi="Arial" w:cs="Arial"/>
          <w:sz w:val="24"/>
        </w:rPr>
        <w:t>Article</w:t>
      </w:r>
      <w:r>
        <w:rPr>
          <w:rStyle w:val="field-content"/>
          <w:rFonts w:ascii="Arial" w:hAnsi="Arial" w:cs="Arial"/>
          <w:sz w:val="24"/>
        </w:rPr>
        <w:t>s</w:t>
      </w:r>
      <w:r w:rsidRPr="008E66FF">
        <w:rPr>
          <w:rStyle w:val="field-content"/>
          <w:rFonts w:ascii="Arial" w:hAnsi="Arial" w:cs="Arial"/>
          <w:sz w:val="24"/>
        </w:rPr>
        <w:t xml:space="preserve"> 21 </w:t>
      </w:r>
      <w:r>
        <w:rPr>
          <w:rStyle w:val="field-content"/>
          <w:rFonts w:ascii="Arial" w:hAnsi="Arial" w:cs="Arial"/>
          <w:sz w:val="24"/>
        </w:rPr>
        <w:t xml:space="preserve">and 58 </w:t>
      </w:r>
      <w:r w:rsidRPr="008E66FF">
        <w:rPr>
          <w:rStyle w:val="field-content"/>
          <w:rFonts w:ascii="Arial" w:hAnsi="Arial" w:cs="Arial"/>
          <w:sz w:val="24"/>
        </w:rPr>
        <w:t>of Regulation (EU) No 909/2014 (CSDR)</w:t>
      </w:r>
    </w:p>
    <w:p w14:paraId="5C433BC5" w14:textId="77777777" w:rsidR="002F73BB" w:rsidRPr="008E66FF" w:rsidRDefault="002F73BB" w:rsidP="002F73BB">
      <w:pPr>
        <w:pStyle w:val="Subtitle"/>
        <w:spacing w:after="0" w:line="240" w:lineRule="auto"/>
        <w:rPr>
          <w:rStyle w:val="field-content"/>
          <w:b/>
          <w:i w:val="0"/>
          <w:iCs w:val="0"/>
          <w:spacing w:val="-10"/>
          <w:kern w:val="28"/>
          <w:szCs w:val="56"/>
        </w:rPr>
      </w:pPr>
    </w:p>
    <w:p w14:paraId="1A58D740" w14:textId="77777777" w:rsidR="002F73BB" w:rsidRDefault="002F73BB" w:rsidP="002F73BB">
      <w:pPr>
        <w:spacing w:after="0"/>
        <w:jc w:val="both"/>
        <w:rPr>
          <w:rFonts w:ascii="Arial" w:hAnsi="Arial" w:cs="Arial"/>
          <w:b/>
          <w:sz w:val="20"/>
          <w:szCs w:val="20"/>
        </w:rPr>
      </w:pPr>
    </w:p>
    <w:p w14:paraId="5D466E31" w14:textId="2E18CDB9" w:rsidR="002F73BB" w:rsidRPr="00021E03" w:rsidRDefault="002F73BB" w:rsidP="002F73BB">
      <w:pPr>
        <w:jc w:val="both"/>
        <w:rPr>
          <w:rFonts w:ascii="Arial" w:hAnsi="Arial" w:cs="Arial"/>
          <w:b/>
          <w:sz w:val="20"/>
          <w:szCs w:val="20"/>
        </w:rPr>
      </w:pPr>
      <w:r>
        <w:rPr>
          <w:rFonts w:ascii="Arial" w:hAnsi="Arial" w:cs="Arial"/>
          <w:b/>
          <w:sz w:val="20"/>
          <w:szCs w:val="20"/>
        </w:rPr>
        <w:t>Competent authorities shall</w:t>
      </w:r>
      <w:r w:rsidRPr="00A06325">
        <w:rPr>
          <w:rFonts w:ascii="Arial" w:hAnsi="Arial" w:cs="Arial"/>
          <w:b/>
          <w:sz w:val="20"/>
          <w:szCs w:val="20"/>
        </w:rPr>
        <w:t xml:space="preserve"> send the information </w:t>
      </w:r>
      <w:r>
        <w:rPr>
          <w:rFonts w:ascii="Arial" w:hAnsi="Arial" w:cs="Arial"/>
          <w:b/>
          <w:sz w:val="20"/>
          <w:szCs w:val="20"/>
        </w:rPr>
        <w:t xml:space="preserve">requested in the below tables </w:t>
      </w:r>
      <w:r w:rsidRPr="00834E4F">
        <w:rPr>
          <w:rFonts w:ascii="Arial" w:hAnsi="Arial" w:cs="Arial"/>
          <w:b/>
          <w:sz w:val="20"/>
          <w:szCs w:val="20"/>
          <w:u w:val="single"/>
        </w:rPr>
        <w:t>in WORD format</w:t>
      </w:r>
      <w:r>
        <w:rPr>
          <w:rFonts w:ascii="Arial" w:hAnsi="Arial" w:cs="Arial"/>
          <w:b/>
          <w:sz w:val="20"/>
          <w:szCs w:val="20"/>
        </w:rPr>
        <w:t xml:space="preserve"> </w:t>
      </w:r>
      <w:r w:rsidRPr="00A06325">
        <w:rPr>
          <w:rFonts w:ascii="Arial" w:hAnsi="Arial" w:cs="Arial"/>
          <w:b/>
          <w:sz w:val="20"/>
          <w:szCs w:val="20"/>
        </w:rPr>
        <w:t xml:space="preserve">to </w:t>
      </w:r>
      <w:hyperlink r:id="rId12" w:history="1">
        <w:r w:rsidRPr="00A06325">
          <w:rPr>
            <w:rStyle w:val="Hyperlink"/>
            <w:rFonts w:ascii="Arial" w:hAnsi="Arial" w:cs="Arial"/>
            <w:b/>
            <w:sz w:val="20"/>
            <w:szCs w:val="20"/>
          </w:rPr>
          <w:t>CSDR.Notifications@esma.europa.eu</w:t>
        </w:r>
      </w:hyperlink>
      <w:r w:rsidRPr="00A06325">
        <w:rPr>
          <w:rFonts w:ascii="Arial" w:hAnsi="Arial" w:cs="Arial"/>
          <w:b/>
          <w:sz w:val="20"/>
          <w:szCs w:val="20"/>
        </w:rPr>
        <w:t>.</w:t>
      </w:r>
      <w:r w:rsidRPr="00F87019">
        <w:rPr>
          <w:rFonts w:ascii="Arial" w:hAnsi="Arial" w:cs="Arial"/>
          <w:b/>
          <w:sz w:val="20"/>
          <w:szCs w:val="20"/>
        </w:rPr>
        <w:t xml:space="preserve"> </w:t>
      </w:r>
      <w:r w:rsidRPr="00A06325">
        <w:rPr>
          <w:rFonts w:ascii="Arial" w:hAnsi="Arial" w:cs="Arial"/>
          <w:b/>
          <w:sz w:val="20"/>
          <w:szCs w:val="20"/>
        </w:rPr>
        <w:t xml:space="preserve">The </w:t>
      </w:r>
      <w:r>
        <w:rPr>
          <w:rFonts w:ascii="Arial" w:hAnsi="Arial" w:cs="Arial"/>
          <w:b/>
          <w:sz w:val="20"/>
          <w:szCs w:val="20"/>
        </w:rPr>
        <w:t>information provided will be</w:t>
      </w:r>
      <w:r w:rsidRPr="00A06325">
        <w:rPr>
          <w:rFonts w:ascii="Arial" w:hAnsi="Arial" w:cs="Arial"/>
          <w:b/>
          <w:sz w:val="20"/>
          <w:szCs w:val="20"/>
        </w:rPr>
        <w:t xml:space="preserve"> published by ESMA in accordance with Article 21(3) and Article 58(2) of CSDR.  </w:t>
      </w:r>
    </w:p>
    <w:p w14:paraId="71FE33A0" w14:textId="77777777" w:rsidR="002F73BB" w:rsidRPr="00A06325" w:rsidRDefault="002F73BB" w:rsidP="002F73BB">
      <w:pPr>
        <w:pStyle w:val="Subtitle"/>
        <w:spacing w:after="0" w:line="240" w:lineRule="auto"/>
        <w:jc w:val="both"/>
        <w:rPr>
          <w:rFonts w:ascii="Arial" w:eastAsia="Times New Roman" w:hAnsi="Arial" w:cs="Arial"/>
          <w:color w:val="auto"/>
          <w:sz w:val="20"/>
          <w:szCs w:val="20"/>
          <w:lang w:val="en-US"/>
        </w:rPr>
      </w:pPr>
      <w:r w:rsidRPr="00A06325">
        <w:rPr>
          <w:rFonts w:ascii="Arial" w:eastAsia="Times New Roman" w:hAnsi="Arial" w:cs="Arial"/>
          <w:color w:val="auto"/>
          <w:sz w:val="20"/>
          <w:szCs w:val="20"/>
          <w:lang w:val="en-US"/>
        </w:rPr>
        <w:t xml:space="preserve"> Article 21 - </w:t>
      </w:r>
      <w:r w:rsidRPr="00A06325">
        <w:rPr>
          <w:rFonts w:ascii="Arial" w:eastAsia="Times New Roman" w:hAnsi="Arial" w:cs="Arial"/>
          <w:b/>
          <w:color w:val="auto"/>
          <w:sz w:val="20"/>
          <w:szCs w:val="20"/>
          <w:lang w:val="en-US"/>
        </w:rPr>
        <w:t>CSD register</w:t>
      </w:r>
    </w:p>
    <w:p w14:paraId="400F7B8F" w14:textId="77777777" w:rsidR="002F73BB" w:rsidRPr="00A06325" w:rsidRDefault="002F73BB" w:rsidP="002F73BB">
      <w:pPr>
        <w:spacing w:after="0" w:line="240" w:lineRule="auto"/>
        <w:jc w:val="both"/>
        <w:rPr>
          <w:rFonts w:ascii="Arial" w:eastAsia="Times New Roman" w:hAnsi="Arial" w:cs="Arial"/>
          <w:i/>
          <w:sz w:val="20"/>
          <w:szCs w:val="20"/>
          <w:lang w:val="en-US"/>
        </w:rPr>
      </w:pPr>
      <w:r w:rsidRPr="00A06325">
        <w:rPr>
          <w:rFonts w:ascii="Arial" w:eastAsia="Times New Roman" w:hAnsi="Arial" w:cs="Arial"/>
          <w:i/>
          <w:sz w:val="20"/>
          <w:szCs w:val="20"/>
          <w:lang w:val="en-US"/>
        </w:rPr>
        <w:t>1.   Decisions taken by competent authorities under Articles 16, 19 and 20 shall be immediately communicated to ESMA.</w:t>
      </w:r>
    </w:p>
    <w:p w14:paraId="2D03EF4C" w14:textId="77777777" w:rsidR="002F73BB" w:rsidRPr="00A06325" w:rsidRDefault="002F73BB" w:rsidP="002F73BB">
      <w:pPr>
        <w:spacing w:after="0" w:line="240" w:lineRule="auto"/>
        <w:jc w:val="both"/>
        <w:rPr>
          <w:rFonts w:ascii="Arial" w:eastAsia="Times New Roman" w:hAnsi="Arial" w:cs="Arial"/>
          <w:i/>
          <w:sz w:val="20"/>
          <w:szCs w:val="20"/>
          <w:lang w:val="en-US"/>
        </w:rPr>
      </w:pPr>
      <w:r w:rsidRPr="00A06325">
        <w:rPr>
          <w:rFonts w:ascii="Arial" w:eastAsia="Times New Roman" w:hAnsi="Arial" w:cs="Arial"/>
          <w:i/>
          <w:sz w:val="20"/>
          <w:szCs w:val="20"/>
          <w:lang w:val="en-US"/>
        </w:rPr>
        <w:t>2.   Central banks shall without undue delay inform ESMA of any securities settlement system that they operate.</w:t>
      </w:r>
    </w:p>
    <w:p w14:paraId="0B0001FE" w14:textId="77777777" w:rsidR="002F73BB" w:rsidRPr="00A06325" w:rsidRDefault="002F73BB" w:rsidP="002F73BB">
      <w:pPr>
        <w:spacing w:after="0" w:line="240" w:lineRule="auto"/>
        <w:jc w:val="both"/>
        <w:rPr>
          <w:rFonts w:ascii="Arial" w:eastAsia="Times New Roman" w:hAnsi="Arial" w:cs="Arial"/>
          <w:i/>
          <w:sz w:val="20"/>
          <w:szCs w:val="20"/>
          <w:lang w:val="en-US"/>
        </w:rPr>
      </w:pPr>
      <w:r w:rsidRPr="00A06325">
        <w:rPr>
          <w:rFonts w:ascii="Arial" w:eastAsia="Times New Roman" w:hAnsi="Arial" w:cs="Arial"/>
          <w:i/>
          <w:sz w:val="20"/>
          <w:szCs w:val="20"/>
          <w:lang w:val="en-US"/>
        </w:rPr>
        <w:t xml:space="preserve">3.   The </w:t>
      </w:r>
      <w:r w:rsidRPr="00A06325">
        <w:rPr>
          <w:rFonts w:ascii="Arial" w:eastAsia="Times New Roman" w:hAnsi="Arial" w:cs="Arial"/>
          <w:b/>
          <w:i/>
          <w:sz w:val="20"/>
          <w:szCs w:val="20"/>
          <w:lang w:val="en-US"/>
        </w:rPr>
        <w:t>name</w:t>
      </w:r>
      <w:r w:rsidRPr="00A06325">
        <w:rPr>
          <w:rFonts w:ascii="Arial" w:eastAsia="Times New Roman" w:hAnsi="Arial" w:cs="Arial"/>
          <w:i/>
          <w:sz w:val="20"/>
          <w:szCs w:val="20"/>
          <w:lang w:val="en-US"/>
        </w:rPr>
        <w:t xml:space="preserve"> </w:t>
      </w:r>
      <w:r w:rsidRPr="00A06325">
        <w:rPr>
          <w:rFonts w:ascii="Arial" w:eastAsia="Times New Roman" w:hAnsi="Arial" w:cs="Arial"/>
          <w:b/>
          <w:i/>
          <w:sz w:val="20"/>
          <w:szCs w:val="20"/>
          <w:lang w:val="en-US"/>
        </w:rPr>
        <w:t>of each CSD</w:t>
      </w:r>
      <w:r w:rsidRPr="00A06325">
        <w:rPr>
          <w:rFonts w:ascii="Arial" w:eastAsia="Times New Roman" w:hAnsi="Arial" w:cs="Arial"/>
          <w:i/>
          <w:sz w:val="20"/>
          <w:szCs w:val="20"/>
          <w:lang w:val="en-US"/>
        </w:rPr>
        <w:t xml:space="preserve"> operating in compliance with this Regulation and to which </w:t>
      </w:r>
      <w:proofErr w:type="spellStart"/>
      <w:r w:rsidRPr="00A06325">
        <w:rPr>
          <w:rFonts w:ascii="Arial" w:eastAsia="Times New Roman" w:hAnsi="Arial" w:cs="Arial"/>
          <w:b/>
          <w:i/>
          <w:sz w:val="20"/>
          <w:szCs w:val="20"/>
          <w:lang w:val="en-US"/>
        </w:rPr>
        <w:t>authorisation</w:t>
      </w:r>
      <w:proofErr w:type="spellEnd"/>
      <w:r w:rsidRPr="00A06325">
        <w:rPr>
          <w:rFonts w:ascii="Arial" w:eastAsia="Times New Roman" w:hAnsi="Arial" w:cs="Arial"/>
          <w:b/>
          <w:i/>
          <w:sz w:val="20"/>
          <w:szCs w:val="20"/>
          <w:lang w:val="en-US"/>
        </w:rPr>
        <w:t xml:space="preserve"> </w:t>
      </w:r>
      <w:r w:rsidRPr="00E34B80">
        <w:rPr>
          <w:rFonts w:ascii="Arial" w:eastAsia="Times New Roman" w:hAnsi="Arial" w:cs="Arial"/>
          <w:i/>
          <w:sz w:val="20"/>
          <w:szCs w:val="20"/>
          <w:lang w:val="en-US"/>
        </w:rPr>
        <w:t>or recognition</w:t>
      </w:r>
      <w:r w:rsidRPr="00A06325">
        <w:rPr>
          <w:rFonts w:ascii="Arial" w:eastAsia="Times New Roman" w:hAnsi="Arial" w:cs="Arial"/>
          <w:i/>
          <w:sz w:val="20"/>
          <w:szCs w:val="20"/>
          <w:lang w:val="en-US"/>
        </w:rPr>
        <w:t xml:space="preserve"> has been granted pursuant to Article 16, 19 or 25 shall be entered in a register specifying the </w:t>
      </w:r>
      <w:r w:rsidRPr="00A06325">
        <w:rPr>
          <w:rFonts w:ascii="Arial" w:eastAsia="Times New Roman" w:hAnsi="Arial" w:cs="Arial"/>
          <w:b/>
          <w:i/>
          <w:sz w:val="20"/>
          <w:szCs w:val="20"/>
          <w:lang w:val="en-US"/>
        </w:rPr>
        <w:t>services</w:t>
      </w:r>
      <w:r w:rsidRPr="00A06325">
        <w:rPr>
          <w:rFonts w:ascii="Arial" w:eastAsia="Times New Roman" w:hAnsi="Arial" w:cs="Arial"/>
          <w:i/>
          <w:sz w:val="20"/>
          <w:szCs w:val="20"/>
          <w:lang w:val="en-US"/>
        </w:rPr>
        <w:t xml:space="preserve"> and, where applicable, </w:t>
      </w:r>
      <w:r w:rsidRPr="00A06325">
        <w:rPr>
          <w:rFonts w:ascii="Arial" w:eastAsia="Times New Roman" w:hAnsi="Arial" w:cs="Arial"/>
          <w:b/>
          <w:i/>
          <w:sz w:val="20"/>
          <w:szCs w:val="20"/>
          <w:lang w:val="en-US"/>
        </w:rPr>
        <w:t>classes of financial instruments</w:t>
      </w:r>
      <w:r w:rsidRPr="00A06325">
        <w:rPr>
          <w:rFonts w:ascii="Arial" w:eastAsia="Times New Roman" w:hAnsi="Arial" w:cs="Arial"/>
          <w:i/>
          <w:sz w:val="20"/>
          <w:szCs w:val="20"/>
          <w:lang w:val="en-US"/>
        </w:rPr>
        <w:t xml:space="preserve"> for which the CSD has been </w:t>
      </w:r>
      <w:proofErr w:type="spellStart"/>
      <w:r w:rsidRPr="00A06325">
        <w:rPr>
          <w:rFonts w:ascii="Arial" w:eastAsia="Times New Roman" w:hAnsi="Arial" w:cs="Arial"/>
          <w:i/>
          <w:sz w:val="20"/>
          <w:szCs w:val="20"/>
          <w:lang w:val="en-US"/>
        </w:rPr>
        <w:t>authorised</w:t>
      </w:r>
      <w:proofErr w:type="spellEnd"/>
      <w:r w:rsidRPr="00A06325">
        <w:rPr>
          <w:rFonts w:ascii="Arial" w:eastAsia="Times New Roman" w:hAnsi="Arial" w:cs="Arial"/>
          <w:i/>
          <w:sz w:val="20"/>
          <w:szCs w:val="20"/>
          <w:lang w:val="en-US"/>
        </w:rPr>
        <w:t xml:space="preserve">. The register shall include </w:t>
      </w:r>
      <w:r w:rsidRPr="00A06325">
        <w:rPr>
          <w:rFonts w:ascii="Arial" w:eastAsia="Times New Roman" w:hAnsi="Arial" w:cs="Arial"/>
          <w:b/>
          <w:i/>
          <w:sz w:val="20"/>
          <w:szCs w:val="20"/>
          <w:lang w:val="en-US"/>
        </w:rPr>
        <w:t>branches operated by the CSD in other Member States, CSD links and the information required under Article 31 where Member States have made use of the possibility provided for in that Article</w:t>
      </w:r>
      <w:r w:rsidRPr="00A06325">
        <w:rPr>
          <w:rFonts w:ascii="Arial" w:eastAsia="Times New Roman" w:hAnsi="Arial" w:cs="Arial"/>
          <w:i/>
          <w:sz w:val="20"/>
          <w:szCs w:val="20"/>
          <w:lang w:val="en-US"/>
        </w:rPr>
        <w:t>. ESMA shall make the register available on its dedicated website and keep it up to date.</w:t>
      </w:r>
    </w:p>
    <w:p w14:paraId="1A591669" w14:textId="77777777" w:rsidR="002F73BB" w:rsidRDefault="002F73BB" w:rsidP="002F73BB">
      <w:pPr>
        <w:spacing w:after="0" w:line="240" w:lineRule="auto"/>
        <w:jc w:val="both"/>
        <w:rPr>
          <w:rFonts w:ascii="Arial" w:eastAsia="Times New Roman" w:hAnsi="Arial" w:cs="Arial"/>
          <w:i/>
          <w:sz w:val="20"/>
          <w:szCs w:val="20"/>
          <w:lang w:val="en-US"/>
        </w:rPr>
      </w:pPr>
    </w:p>
    <w:p w14:paraId="66BD8944" w14:textId="77777777" w:rsidR="002F73BB" w:rsidRPr="00A06325" w:rsidRDefault="002F73BB" w:rsidP="002F73BB">
      <w:pPr>
        <w:spacing w:after="0" w:line="240" w:lineRule="auto"/>
        <w:jc w:val="both"/>
        <w:rPr>
          <w:rFonts w:ascii="Arial" w:eastAsia="Times New Roman" w:hAnsi="Arial" w:cs="Arial"/>
          <w:i/>
          <w:sz w:val="20"/>
          <w:szCs w:val="20"/>
          <w:lang w:val="en-US"/>
        </w:rPr>
      </w:pPr>
      <w:r w:rsidRPr="00A06325">
        <w:rPr>
          <w:rFonts w:ascii="Arial" w:eastAsia="Times New Roman" w:hAnsi="Arial" w:cs="Arial"/>
          <w:i/>
          <w:sz w:val="20"/>
          <w:szCs w:val="20"/>
          <w:lang w:val="en-US"/>
        </w:rPr>
        <w:t xml:space="preserve">Article 58 - </w:t>
      </w:r>
      <w:r w:rsidRPr="00A06325">
        <w:rPr>
          <w:rFonts w:ascii="Arial" w:eastAsia="Times New Roman" w:hAnsi="Arial" w:cs="Arial"/>
          <w:b/>
          <w:i/>
          <w:sz w:val="20"/>
          <w:szCs w:val="20"/>
          <w:lang w:val="en-US"/>
        </w:rPr>
        <w:t>CSD register</w:t>
      </w:r>
    </w:p>
    <w:p w14:paraId="1047EEB7" w14:textId="77777777" w:rsidR="002F73BB" w:rsidRPr="00A06325" w:rsidRDefault="002F73BB" w:rsidP="002F73BB">
      <w:pPr>
        <w:spacing w:after="0" w:line="240" w:lineRule="auto"/>
        <w:jc w:val="both"/>
        <w:rPr>
          <w:rFonts w:ascii="Arial" w:eastAsia="Times New Roman" w:hAnsi="Arial" w:cs="Arial"/>
          <w:i/>
          <w:sz w:val="20"/>
          <w:szCs w:val="20"/>
          <w:lang w:val="en-US"/>
        </w:rPr>
      </w:pPr>
      <w:r w:rsidRPr="00A06325">
        <w:rPr>
          <w:rFonts w:ascii="Arial" w:eastAsia="Times New Roman" w:hAnsi="Arial" w:cs="Arial"/>
          <w:i/>
          <w:sz w:val="20"/>
          <w:szCs w:val="20"/>
          <w:lang w:val="en-US"/>
        </w:rPr>
        <w:t xml:space="preserve">1.   Decisions taken by competent authorities under Articles 54, 56 and 57 shall be notified </w:t>
      </w:r>
      <w:proofErr w:type="gramStart"/>
      <w:r w:rsidRPr="00A06325">
        <w:rPr>
          <w:rFonts w:ascii="Arial" w:eastAsia="Times New Roman" w:hAnsi="Arial" w:cs="Arial"/>
          <w:i/>
          <w:sz w:val="20"/>
          <w:szCs w:val="20"/>
          <w:lang w:val="en-US"/>
        </w:rPr>
        <w:t>to</w:t>
      </w:r>
      <w:proofErr w:type="gramEnd"/>
      <w:r w:rsidRPr="00A06325">
        <w:rPr>
          <w:rFonts w:ascii="Arial" w:eastAsia="Times New Roman" w:hAnsi="Arial" w:cs="Arial"/>
          <w:i/>
          <w:sz w:val="20"/>
          <w:szCs w:val="20"/>
          <w:lang w:val="en-US"/>
        </w:rPr>
        <w:t xml:space="preserve"> ESMA.</w:t>
      </w:r>
    </w:p>
    <w:p w14:paraId="329DA35F" w14:textId="77777777" w:rsidR="002F73BB" w:rsidRPr="00A06325" w:rsidRDefault="002F73BB" w:rsidP="002F73BB">
      <w:pPr>
        <w:spacing w:after="0" w:line="240" w:lineRule="auto"/>
        <w:jc w:val="both"/>
        <w:rPr>
          <w:rFonts w:ascii="Arial" w:eastAsia="Times New Roman" w:hAnsi="Arial" w:cs="Arial"/>
          <w:i/>
          <w:sz w:val="20"/>
          <w:szCs w:val="20"/>
          <w:lang w:val="en-US"/>
        </w:rPr>
      </w:pPr>
      <w:r w:rsidRPr="00A06325">
        <w:rPr>
          <w:rFonts w:ascii="Arial" w:eastAsia="Times New Roman" w:hAnsi="Arial" w:cs="Arial"/>
          <w:i/>
          <w:sz w:val="20"/>
          <w:szCs w:val="20"/>
          <w:lang w:val="en-US"/>
        </w:rPr>
        <w:t xml:space="preserve">2.   ESMA shall introduce in the </w:t>
      </w:r>
      <w:proofErr w:type="gramStart"/>
      <w:r w:rsidRPr="00A06325">
        <w:rPr>
          <w:rFonts w:ascii="Arial" w:eastAsia="Times New Roman" w:hAnsi="Arial" w:cs="Arial"/>
          <w:i/>
          <w:sz w:val="20"/>
          <w:szCs w:val="20"/>
          <w:lang w:val="en-US"/>
        </w:rPr>
        <w:t>register,</w:t>
      </w:r>
      <w:proofErr w:type="gramEnd"/>
      <w:r w:rsidRPr="00A06325">
        <w:rPr>
          <w:rFonts w:ascii="Arial" w:eastAsia="Times New Roman" w:hAnsi="Arial" w:cs="Arial"/>
          <w:i/>
          <w:sz w:val="20"/>
          <w:szCs w:val="20"/>
          <w:lang w:val="en-US"/>
        </w:rPr>
        <w:t xml:space="preserve"> that it is required to make available on its dedicated website in accordance with Article 21(3), the following information:</w:t>
      </w:r>
    </w:p>
    <w:p w14:paraId="64913286" w14:textId="77777777" w:rsidR="002F73BB" w:rsidRPr="00A06325" w:rsidRDefault="002F73BB" w:rsidP="002F73BB">
      <w:pPr>
        <w:spacing w:after="0" w:line="240" w:lineRule="auto"/>
        <w:jc w:val="both"/>
        <w:rPr>
          <w:rFonts w:ascii="Arial" w:eastAsia="Times New Roman" w:hAnsi="Arial" w:cs="Arial"/>
          <w:i/>
          <w:sz w:val="20"/>
          <w:szCs w:val="20"/>
          <w:lang w:val="en-US"/>
        </w:rPr>
      </w:pPr>
      <w:r w:rsidRPr="00A06325">
        <w:rPr>
          <w:rFonts w:ascii="Arial" w:eastAsia="Times New Roman" w:hAnsi="Arial" w:cs="Arial"/>
          <w:i/>
          <w:sz w:val="20"/>
          <w:szCs w:val="20"/>
          <w:lang w:val="en-US"/>
        </w:rPr>
        <w:t>(a)</w:t>
      </w:r>
      <w:r w:rsidRPr="00A06325">
        <w:rPr>
          <w:rFonts w:ascii="Arial" w:eastAsia="Times New Roman" w:hAnsi="Arial" w:cs="Arial"/>
          <w:i/>
          <w:sz w:val="20"/>
          <w:szCs w:val="20"/>
          <w:lang w:val="en-US"/>
        </w:rPr>
        <w:tab/>
        <w:t xml:space="preserve">the </w:t>
      </w:r>
      <w:r w:rsidRPr="00A06325">
        <w:rPr>
          <w:rFonts w:ascii="Arial" w:eastAsia="Times New Roman" w:hAnsi="Arial" w:cs="Arial"/>
          <w:b/>
          <w:i/>
          <w:sz w:val="20"/>
          <w:szCs w:val="20"/>
          <w:lang w:val="en-US"/>
        </w:rPr>
        <w:t>name of each CSD</w:t>
      </w:r>
      <w:r w:rsidRPr="00A06325">
        <w:rPr>
          <w:rFonts w:ascii="Arial" w:eastAsia="Times New Roman" w:hAnsi="Arial" w:cs="Arial"/>
          <w:i/>
          <w:sz w:val="20"/>
          <w:szCs w:val="20"/>
          <w:lang w:val="en-US"/>
        </w:rPr>
        <w:t xml:space="preserve"> which was subject to a decision under Articles 54, 56 and </w:t>
      </w:r>
      <w:proofErr w:type="gramStart"/>
      <w:r w:rsidRPr="00A06325">
        <w:rPr>
          <w:rFonts w:ascii="Arial" w:eastAsia="Times New Roman" w:hAnsi="Arial" w:cs="Arial"/>
          <w:i/>
          <w:sz w:val="20"/>
          <w:szCs w:val="20"/>
          <w:lang w:val="en-US"/>
        </w:rPr>
        <w:t>57;</w:t>
      </w:r>
      <w:proofErr w:type="gramEnd"/>
    </w:p>
    <w:p w14:paraId="314C35AB" w14:textId="77777777" w:rsidR="002F73BB" w:rsidRPr="00A06325" w:rsidRDefault="002F73BB" w:rsidP="002F73BB">
      <w:pPr>
        <w:spacing w:after="0" w:line="240" w:lineRule="auto"/>
        <w:jc w:val="both"/>
        <w:rPr>
          <w:rFonts w:ascii="Arial" w:eastAsia="Times New Roman" w:hAnsi="Arial" w:cs="Arial"/>
          <w:i/>
          <w:sz w:val="20"/>
          <w:szCs w:val="20"/>
          <w:lang w:val="en-US"/>
        </w:rPr>
      </w:pPr>
      <w:r w:rsidRPr="00A06325">
        <w:rPr>
          <w:rFonts w:ascii="Arial" w:eastAsia="Times New Roman" w:hAnsi="Arial" w:cs="Arial"/>
          <w:i/>
          <w:sz w:val="20"/>
          <w:szCs w:val="20"/>
          <w:lang w:val="en-US"/>
        </w:rPr>
        <w:t>(b)</w:t>
      </w:r>
      <w:r w:rsidRPr="00A06325">
        <w:rPr>
          <w:rFonts w:ascii="Arial" w:eastAsia="Times New Roman" w:hAnsi="Arial" w:cs="Arial"/>
          <w:i/>
          <w:sz w:val="20"/>
          <w:szCs w:val="20"/>
          <w:lang w:val="en-US"/>
        </w:rPr>
        <w:tab/>
        <w:t xml:space="preserve">the </w:t>
      </w:r>
      <w:r w:rsidRPr="00A06325">
        <w:rPr>
          <w:rFonts w:ascii="Arial" w:eastAsia="Times New Roman" w:hAnsi="Arial" w:cs="Arial"/>
          <w:b/>
          <w:i/>
          <w:sz w:val="20"/>
          <w:szCs w:val="20"/>
          <w:lang w:val="en-US"/>
        </w:rPr>
        <w:t>name of each</w:t>
      </w:r>
      <w:r w:rsidRPr="00A06325">
        <w:rPr>
          <w:rFonts w:ascii="Arial" w:eastAsia="Times New Roman" w:hAnsi="Arial" w:cs="Arial"/>
          <w:i/>
          <w:sz w:val="20"/>
          <w:szCs w:val="20"/>
          <w:lang w:val="en-US"/>
        </w:rPr>
        <w:t xml:space="preserve"> </w:t>
      </w:r>
      <w:r w:rsidRPr="00A06325">
        <w:rPr>
          <w:rFonts w:ascii="Arial" w:eastAsia="Times New Roman" w:hAnsi="Arial" w:cs="Arial"/>
          <w:b/>
          <w:i/>
          <w:sz w:val="20"/>
          <w:szCs w:val="20"/>
          <w:lang w:val="en-US"/>
        </w:rPr>
        <w:t xml:space="preserve">designated credit </w:t>
      </w:r>
      <w:proofErr w:type="gramStart"/>
      <w:r w:rsidRPr="00A06325">
        <w:rPr>
          <w:rFonts w:ascii="Arial" w:eastAsia="Times New Roman" w:hAnsi="Arial" w:cs="Arial"/>
          <w:b/>
          <w:i/>
          <w:sz w:val="20"/>
          <w:szCs w:val="20"/>
          <w:lang w:val="en-US"/>
        </w:rPr>
        <w:t>institution</w:t>
      </w:r>
      <w:r w:rsidRPr="00A06325">
        <w:rPr>
          <w:rFonts w:ascii="Arial" w:eastAsia="Times New Roman" w:hAnsi="Arial" w:cs="Arial"/>
          <w:i/>
          <w:sz w:val="20"/>
          <w:szCs w:val="20"/>
          <w:lang w:val="en-US"/>
        </w:rPr>
        <w:t>;</w:t>
      </w:r>
      <w:proofErr w:type="gramEnd"/>
    </w:p>
    <w:p w14:paraId="53B3A5AE" w14:textId="77777777" w:rsidR="002F73BB" w:rsidRPr="00A06325" w:rsidRDefault="002F73BB" w:rsidP="002F73BB">
      <w:pPr>
        <w:spacing w:after="0" w:line="240" w:lineRule="auto"/>
        <w:jc w:val="both"/>
        <w:rPr>
          <w:rFonts w:ascii="Arial" w:eastAsia="Times New Roman" w:hAnsi="Arial" w:cs="Arial"/>
          <w:i/>
          <w:sz w:val="20"/>
          <w:szCs w:val="20"/>
          <w:lang w:val="en-US"/>
        </w:rPr>
      </w:pPr>
      <w:r w:rsidRPr="00A06325">
        <w:rPr>
          <w:rFonts w:ascii="Arial" w:eastAsia="Times New Roman" w:hAnsi="Arial" w:cs="Arial"/>
          <w:i/>
          <w:sz w:val="20"/>
          <w:szCs w:val="20"/>
          <w:lang w:val="en-US"/>
        </w:rPr>
        <w:t>(c)</w:t>
      </w:r>
      <w:r w:rsidRPr="00A06325">
        <w:rPr>
          <w:rFonts w:ascii="Arial" w:eastAsia="Times New Roman" w:hAnsi="Arial" w:cs="Arial"/>
          <w:i/>
          <w:sz w:val="20"/>
          <w:szCs w:val="20"/>
          <w:lang w:val="en-US"/>
        </w:rPr>
        <w:tab/>
        <w:t xml:space="preserve">the </w:t>
      </w:r>
      <w:r w:rsidRPr="00A06325">
        <w:rPr>
          <w:rFonts w:ascii="Arial" w:eastAsia="Times New Roman" w:hAnsi="Arial" w:cs="Arial"/>
          <w:b/>
          <w:i/>
          <w:sz w:val="20"/>
          <w:szCs w:val="20"/>
          <w:lang w:val="en-US"/>
        </w:rPr>
        <w:t>list of banking-type ancillary services</w:t>
      </w:r>
      <w:r w:rsidRPr="00A06325">
        <w:rPr>
          <w:rFonts w:ascii="Arial" w:eastAsia="Times New Roman" w:hAnsi="Arial" w:cs="Arial"/>
          <w:i/>
          <w:sz w:val="20"/>
          <w:szCs w:val="20"/>
          <w:lang w:val="en-US"/>
        </w:rPr>
        <w:t xml:space="preserve"> that a designated credit institution or a CSD </w:t>
      </w:r>
      <w:proofErr w:type="spellStart"/>
      <w:r w:rsidRPr="00A06325">
        <w:rPr>
          <w:rFonts w:ascii="Arial" w:eastAsia="Times New Roman" w:hAnsi="Arial" w:cs="Arial"/>
          <w:i/>
          <w:sz w:val="20"/>
          <w:szCs w:val="20"/>
          <w:lang w:val="en-US"/>
        </w:rPr>
        <w:t>authorised</w:t>
      </w:r>
      <w:proofErr w:type="spellEnd"/>
      <w:r w:rsidRPr="00A06325">
        <w:rPr>
          <w:rFonts w:ascii="Arial" w:eastAsia="Times New Roman" w:hAnsi="Arial" w:cs="Arial"/>
          <w:i/>
          <w:sz w:val="20"/>
          <w:szCs w:val="20"/>
          <w:lang w:val="en-US"/>
        </w:rPr>
        <w:t xml:space="preserve"> under Article 54 is </w:t>
      </w:r>
      <w:proofErr w:type="spellStart"/>
      <w:r w:rsidRPr="00A06325">
        <w:rPr>
          <w:rFonts w:ascii="Arial" w:eastAsia="Times New Roman" w:hAnsi="Arial" w:cs="Arial"/>
          <w:i/>
          <w:sz w:val="20"/>
          <w:szCs w:val="20"/>
          <w:lang w:val="en-US"/>
        </w:rPr>
        <w:t>authorised</w:t>
      </w:r>
      <w:proofErr w:type="spellEnd"/>
      <w:r w:rsidRPr="00A06325">
        <w:rPr>
          <w:rFonts w:ascii="Arial" w:eastAsia="Times New Roman" w:hAnsi="Arial" w:cs="Arial"/>
          <w:i/>
          <w:sz w:val="20"/>
          <w:szCs w:val="20"/>
          <w:lang w:val="en-US"/>
        </w:rPr>
        <w:t xml:space="preserve"> to provide for the CSD’s participants.</w:t>
      </w:r>
    </w:p>
    <w:p w14:paraId="2DE7E5C5" w14:textId="77777777" w:rsidR="002F73BB" w:rsidRDefault="002F73BB" w:rsidP="002F73BB">
      <w:pPr>
        <w:spacing w:after="0" w:line="240" w:lineRule="auto"/>
        <w:jc w:val="both"/>
        <w:rPr>
          <w:rFonts w:ascii="Arial" w:eastAsia="Times New Roman" w:hAnsi="Arial" w:cs="Arial"/>
          <w:i/>
          <w:sz w:val="20"/>
          <w:szCs w:val="20"/>
          <w:lang w:val="en-US"/>
        </w:rPr>
      </w:pPr>
    </w:p>
    <w:p w14:paraId="5C80A322" w14:textId="77777777" w:rsidR="009C778B" w:rsidRDefault="009C778B" w:rsidP="002F73BB">
      <w:pPr>
        <w:spacing w:after="0" w:line="240" w:lineRule="auto"/>
        <w:jc w:val="both"/>
        <w:rPr>
          <w:rFonts w:ascii="Arial" w:eastAsia="Times New Roman" w:hAnsi="Arial" w:cs="Arial"/>
          <w:i/>
          <w:sz w:val="20"/>
          <w:szCs w:val="20"/>
          <w:lang w:val="en-US"/>
        </w:rPr>
      </w:pPr>
    </w:p>
    <w:p w14:paraId="536B70FC" w14:textId="77777777" w:rsidR="009C778B" w:rsidRDefault="009C778B" w:rsidP="002F73BB">
      <w:pPr>
        <w:spacing w:after="0" w:line="240" w:lineRule="auto"/>
        <w:jc w:val="both"/>
        <w:rPr>
          <w:rFonts w:ascii="Arial" w:eastAsia="Times New Roman" w:hAnsi="Arial" w:cs="Arial"/>
          <w:i/>
          <w:sz w:val="20"/>
          <w:szCs w:val="20"/>
          <w:lang w:val="en-US"/>
        </w:rPr>
      </w:pPr>
    </w:p>
    <w:p w14:paraId="63B1BFC9" w14:textId="77777777" w:rsidR="009C778B" w:rsidRDefault="009C778B" w:rsidP="002F73BB">
      <w:pPr>
        <w:spacing w:after="0" w:line="240" w:lineRule="auto"/>
        <w:jc w:val="both"/>
        <w:rPr>
          <w:rFonts w:ascii="Arial" w:eastAsia="Times New Roman" w:hAnsi="Arial" w:cs="Arial"/>
          <w:i/>
          <w:sz w:val="20"/>
          <w:szCs w:val="20"/>
          <w:lang w:val="en-US"/>
        </w:rPr>
      </w:pPr>
    </w:p>
    <w:p w14:paraId="6036AA09" w14:textId="77777777" w:rsidR="009C778B" w:rsidRDefault="009C778B" w:rsidP="002F73BB">
      <w:pPr>
        <w:spacing w:after="0" w:line="240" w:lineRule="auto"/>
        <w:jc w:val="both"/>
        <w:rPr>
          <w:rFonts w:ascii="Arial" w:eastAsia="Times New Roman" w:hAnsi="Arial" w:cs="Arial"/>
          <w:i/>
          <w:sz w:val="20"/>
          <w:szCs w:val="20"/>
          <w:lang w:val="en-US"/>
        </w:rPr>
      </w:pPr>
    </w:p>
    <w:p w14:paraId="490AAFE5" w14:textId="77777777" w:rsidR="009C778B" w:rsidRDefault="009C778B" w:rsidP="002F73BB">
      <w:pPr>
        <w:spacing w:after="0" w:line="240" w:lineRule="auto"/>
        <w:jc w:val="both"/>
        <w:rPr>
          <w:rFonts w:ascii="Arial" w:eastAsia="Times New Roman" w:hAnsi="Arial" w:cs="Arial"/>
          <w:i/>
          <w:sz w:val="20"/>
          <w:szCs w:val="20"/>
          <w:lang w:val="en-US"/>
        </w:rPr>
      </w:pPr>
    </w:p>
    <w:p w14:paraId="46C7A5FF" w14:textId="77777777" w:rsidR="009C778B" w:rsidRDefault="009C778B" w:rsidP="002F73BB">
      <w:pPr>
        <w:spacing w:after="0" w:line="240" w:lineRule="auto"/>
        <w:jc w:val="both"/>
        <w:rPr>
          <w:rFonts w:ascii="Arial" w:eastAsia="Times New Roman" w:hAnsi="Arial" w:cs="Arial"/>
          <w:i/>
          <w:sz w:val="20"/>
          <w:szCs w:val="20"/>
          <w:lang w:val="en-US"/>
        </w:rPr>
      </w:pPr>
    </w:p>
    <w:p w14:paraId="223EC6C6" w14:textId="77777777" w:rsidR="009C778B" w:rsidRDefault="009C778B" w:rsidP="002F73BB">
      <w:pPr>
        <w:spacing w:after="0" w:line="240" w:lineRule="auto"/>
        <w:jc w:val="both"/>
        <w:rPr>
          <w:rFonts w:ascii="Arial" w:eastAsia="Times New Roman" w:hAnsi="Arial" w:cs="Arial"/>
          <w:i/>
          <w:sz w:val="20"/>
          <w:szCs w:val="20"/>
          <w:lang w:val="en-US"/>
        </w:rPr>
      </w:pPr>
    </w:p>
    <w:p w14:paraId="399C5A3F" w14:textId="77777777" w:rsidR="009C778B" w:rsidRDefault="009C778B" w:rsidP="002F73BB">
      <w:pPr>
        <w:spacing w:after="0" w:line="240" w:lineRule="auto"/>
        <w:jc w:val="both"/>
        <w:rPr>
          <w:rFonts w:ascii="Arial" w:eastAsia="Times New Roman" w:hAnsi="Arial" w:cs="Arial"/>
          <w:i/>
          <w:sz w:val="20"/>
          <w:szCs w:val="20"/>
          <w:lang w:val="en-US"/>
        </w:rPr>
      </w:pPr>
    </w:p>
    <w:p w14:paraId="107B085E" w14:textId="77777777" w:rsidR="009C778B" w:rsidRDefault="009C778B" w:rsidP="002F73BB">
      <w:pPr>
        <w:spacing w:after="0" w:line="240" w:lineRule="auto"/>
        <w:jc w:val="both"/>
        <w:rPr>
          <w:rFonts w:ascii="Arial" w:eastAsia="Times New Roman" w:hAnsi="Arial" w:cs="Arial"/>
          <w:i/>
          <w:sz w:val="20"/>
          <w:szCs w:val="20"/>
          <w:lang w:val="en-US"/>
        </w:rPr>
      </w:pPr>
    </w:p>
    <w:p w14:paraId="2C8489CC" w14:textId="77777777" w:rsidR="009C778B" w:rsidRDefault="009C778B" w:rsidP="002F73BB">
      <w:pPr>
        <w:spacing w:after="0" w:line="240" w:lineRule="auto"/>
        <w:jc w:val="both"/>
        <w:rPr>
          <w:rFonts w:ascii="Arial" w:eastAsia="Times New Roman" w:hAnsi="Arial" w:cs="Arial"/>
          <w:i/>
          <w:sz w:val="20"/>
          <w:szCs w:val="20"/>
          <w:lang w:val="en-US"/>
        </w:rPr>
      </w:pPr>
    </w:p>
    <w:p w14:paraId="6D560B3E" w14:textId="77777777" w:rsidR="009C778B" w:rsidRDefault="009C778B" w:rsidP="002F73BB">
      <w:pPr>
        <w:spacing w:after="0" w:line="240" w:lineRule="auto"/>
        <w:jc w:val="both"/>
        <w:rPr>
          <w:rFonts w:ascii="Arial" w:eastAsia="Times New Roman" w:hAnsi="Arial" w:cs="Arial"/>
          <w:i/>
          <w:sz w:val="20"/>
          <w:szCs w:val="20"/>
          <w:lang w:val="en-US"/>
        </w:rPr>
      </w:pPr>
    </w:p>
    <w:p w14:paraId="54D4375A" w14:textId="77777777" w:rsidR="009C778B" w:rsidRPr="00A06325" w:rsidRDefault="009C778B" w:rsidP="002F73BB">
      <w:pPr>
        <w:spacing w:after="0" w:line="240" w:lineRule="auto"/>
        <w:jc w:val="both"/>
        <w:rPr>
          <w:rFonts w:ascii="Arial" w:eastAsia="Times New Roman" w:hAnsi="Arial" w:cs="Arial"/>
          <w:i/>
          <w:sz w:val="20"/>
          <w:szCs w:val="20"/>
          <w:lang w:val="en-US"/>
        </w:rPr>
      </w:pPr>
    </w:p>
    <w:sdt>
      <w:sdtPr>
        <w:rPr>
          <w:rFonts w:ascii="Arial" w:eastAsiaTheme="minorHAnsi" w:hAnsi="Arial" w:cs="Arial"/>
          <w:color w:val="auto"/>
          <w:sz w:val="20"/>
          <w:szCs w:val="22"/>
          <w:lang w:val="en-GB"/>
        </w:rPr>
        <w:id w:val="-623776950"/>
        <w:docPartObj>
          <w:docPartGallery w:val="Table of Contents"/>
          <w:docPartUnique/>
        </w:docPartObj>
      </w:sdtPr>
      <w:sdtEndPr>
        <w:rPr>
          <w:b/>
          <w:bCs/>
          <w:noProof/>
          <w:sz w:val="22"/>
        </w:rPr>
      </w:sdtEndPr>
      <w:sdtContent>
        <w:p w14:paraId="4E917AF2" w14:textId="77777777" w:rsidR="007156AF" w:rsidRDefault="002F73BB" w:rsidP="002F73BB">
          <w:pPr>
            <w:pStyle w:val="TOCHeading"/>
            <w:rPr>
              <w:noProof/>
            </w:rPr>
          </w:pPr>
          <w:r w:rsidRPr="008B7433">
            <w:rPr>
              <w:rFonts w:ascii="Arial" w:hAnsi="Arial" w:cs="Arial"/>
              <w:sz w:val="24"/>
            </w:rPr>
            <w:t>Contents</w:t>
          </w:r>
          <w:r w:rsidRPr="008B7433">
            <w:rPr>
              <w:rFonts w:ascii="Arial" w:hAnsi="Arial" w:cs="Arial"/>
              <w:sz w:val="28"/>
            </w:rPr>
            <w:fldChar w:fldCharType="begin"/>
          </w:r>
          <w:r w:rsidRPr="008B7433">
            <w:rPr>
              <w:rFonts w:ascii="Arial" w:hAnsi="Arial" w:cs="Arial"/>
              <w:sz w:val="28"/>
            </w:rPr>
            <w:instrText xml:space="preserve"> TOC \o "1-3" \h \z \u </w:instrText>
          </w:r>
          <w:r w:rsidRPr="008B7433">
            <w:rPr>
              <w:rFonts w:ascii="Arial" w:hAnsi="Arial" w:cs="Arial"/>
              <w:sz w:val="28"/>
            </w:rPr>
            <w:fldChar w:fldCharType="separate"/>
          </w:r>
        </w:p>
        <w:p w14:paraId="3E266C75" w14:textId="6C517E4F" w:rsidR="007156AF" w:rsidRDefault="007156AF">
          <w:pPr>
            <w:pStyle w:val="TOC1"/>
            <w:tabs>
              <w:tab w:val="left" w:pos="480"/>
              <w:tab w:val="right" w:leader="dot" w:pos="13948"/>
            </w:tabs>
            <w:rPr>
              <w:rFonts w:eastAsiaTheme="minorEastAsia"/>
              <w:noProof/>
              <w:kern w:val="2"/>
              <w:sz w:val="24"/>
              <w:szCs w:val="24"/>
              <w:lang w:eastAsia="en-GB"/>
              <w14:ligatures w14:val="standardContextual"/>
            </w:rPr>
          </w:pPr>
          <w:hyperlink w:anchor="_Toc195712422" w:history="1">
            <w:r w:rsidRPr="00EA51F0">
              <w:rPr>
                <w:rStyle w:val="Hyperlink"/>
                <w:rFonts w:cs="Arial"/>
                <w:b/>
                <w:noProof/>
              </w:rPr>
              <w:t>I.</w:t>
            </w:r>
            <w:r>
              <w:rPr>
                <w:rFonts w:eastAsiaTheme="minorEastAsia"/>
                <w:noProof/>
                <w:kern w:val="2"/>
                <w:sz w:val="24"/>
                <w:szCs w:val="24"/>
                <w:lang w:eastAsia="en-GB"/>
                <w14:ligatures w14:val="standardContextual"/>
              </w:rPr>
              <w:tab/>
            </w:r>
            <w:r w:rsidRPr="00EA51F0">
              <w:rPr>
                <w:rStyle w:val="Hyperlink"/>
                <w:rFonts w:cs="Arial"/>
                <w:b/>
                <w:noProof/>
              </w:rPr>
              <w:t>EEA CSDs (authorised under Art 16/Art 54 of CSDR) – general information</w:t>
            </w:r>
            <w:r>
              <w:rPr>
                <w:noProof/>
                <w:webHidden/>
              </w:rPr>
              <w:tab/>
            </w:r>
            <w:r>
              <w:rPr>
                <w:noProof/>
                <w:webHidden/>
              </w:rPr>
              <w:fldChar w:fldCharType="begin"/>
            </w:r>
            <w:r>
              <w:rPr>
                <w:noProof/>
                <w:webHidden/>
              </w:rPr>
              <w:instrText xml:space="preserve"> PAGEREF _Toc195712422 \h </w:instrText>
            </w:r>
            <w:r>
              <w:rPr>
                <w:noProof/>
                <w:webHidden/>
              </w:rPr>
            </w:r>
            <w:r>
              <w:rPr>
                <w:noProof/>
                <w:webHidden/>
              </w:rPr>
              <w:fldChar w:fldCharType="separate"/>
            </w:r>
            <w:r>
              <w:rPr>
                <w:noProof/>
                <w:webHidden/>
              </w:rPr>
              <w:t>2</w:t>
            </w:r>
            <w:r>
              <w:rPr>
                <w:noProof/>
                <w:webHidden/>
              </w:rPr>
              <w:fldChar w:fldCharType="end"/>
            </w:r>
          </w:hyperlink>
        </w:p>
        <w:p w14:paraId="631B9679" w14:textId="3157BC73" w:rsidR="007156AF" w:rsidRDefault="007156AF">
          <w:pPr>
            <w:pStyle w:val="TOC1"/>
            <w:tabs>
              <w:tab w:val="left" w:pos="480"/>
              <w:tab w:val="right" w:leader="dot" w:pos="13948"/>
            </w:tabs>
            <w:rPr>
              <w:rFonts w:eastAsiaTheme="minorEastAsia"/>
              <w:noProof/>
              <w:kern w:val="2"/>
              <w:sz w:val="24"/>
              <w:szCs w:val="24"/>
              <w:lang w:eastAsia="en-GB"/>
              <w14:ligatures w14:val="standardContextual"/>
            </w:rPr>
          </w:pPr>
          <w:hyperlink w:anchor="_Toc195712423" w:history="1">
            <w:r w:rsidRPr="00EA51F0">
              <w:rPr>
                <w:rStyle w:val="Hyperlink"/>
                <w:rFonts w:cs="Arial"/>
                <w:b/>
                <w:noProof/>
              </w:rPr>
              <w:t>II.</w:t>
            </w:r>
            <w:r>
              <w:rPr>
                <w:rFonts w:eastAsiaTheme="minorEastAsia"/>
                <w:noProof/>
                <w:kern w:val="2"/>
                <w:sz w:val="24"/>
                <w:szCs w:val="24"/>
                <w:lang w:eastAsia="en-GB"/>
                <w14:ligatures w14:val="standardContextual"/>
              </w:rPr>
              <w:tab/>
            </w:r>
            <w:r w:rsidRPr="00EA51F0">
              <w:rPr>
                <w:rStyle w:val="Hyperlink"/>
                <w:rFonts w:cs="Arial"/>
                <w:b/>
                <w:noProof/>
              </w:rPr>
              <w:t>EEA CSDs – additional information on each CSD</w:t>
            </w:r>
            <w:r>
              <w:rPr>
                <w:noProof/>
                <w:webHidden/>
              </w:rPr>
              <w:tab/>
            </w:r>
            <w:r>
              <w:rPr>
                <w:noProof/>
                <w:webHidden/>
              </w:rPr>
              <w:fldChar w:fldCharType="begin"/>
            </w:r>
            <w:r>
              <w:rPr>
                <w:noProof/>
                <w:webHidden/>
              </w:rPr>
              <w:instrText xml:space="preserve"> PAGEREF _Toc195712423 \h </w:instrText>
            </w:r>
            <w:r>
              <w:rPr>
                <w:noProof/>
                <w:webHidden/>
              </w:rPr>
            </w:r>
            <w:r>
              <w:rPr>
                <w:noProof/>
                <w:webHidden/>
              </w:rPr>
              <w:fldChar w:fldCharType="separate"/>
            </w:r>
            <w:r>
              <w:rPr>
                <w:noProof/>
                <w:webHidden/>
              </w:rPr>
              <w:t>5</w:t>
            </w:r>
            <w:r>
              <w:rPr>
                <w:noProof/>
                <w:webHidden/>
              </w:rPr>
              <w:fldChar w:fldCharType="end"/>
            </w:r>
          </w:hyperlink>
        </w:p>
        <w:p w14:paraId="34689539" w14:textId="0D1EFAE5" w:rsidR="007156AF" w:rsidRDefault="007156AF">
          <w:pPr>
            <w:pStyle w:val="TOC1"/>
            <w:tabs>
              <w:tab w:val="left" w:pos="720"/>
              <w:tab w:val="right" w:leader="dot" w:pos="13948"/>
            </w:tabs>
            <w:rPr>
              <w:rFonts w:eastAsiaTheme="minorEastAsia"/>
              <w:noProof/>
              <w:kern w:val="2"/>
              <w:sz w:val="24"/>
              <w:szCs w:val="24"/>
              <w:lang w:eastAsia="en-GB"/>
              <w14:ligatures w14:val="standardContextual"/>
            </w:rPr>
          </w:pPr>
          <w:hyperlink w:anchor="_Toc195712424" w:history="1">
            <w:r w:rsidRPr="00EA51F0">
              <w:rPr>
                <w:rStyle w:val="Hyperlink"/>
                <w:rFonts w:cs="Arial"/>
                <w:b/>
                <w:noProof/>
              </w:rPr>
              <w:t>III.</w:t>
            </w:r>
            <w:r>
              <w:rPr>
                <w:rFonts w:eastAsiaTheme="minorEastAsia"/>
                <w:noProof/>
                <w:kern w:val="2"/>
                <w:sz w:val="24"/>
                <w:szCs w:val="24"/>
                <w:lang w:eastAsia="en-GB"/>
                <w14:ligatures w14:val="standardContextual"/>
              </w:rPr>
              <w:tab/>
            </w:r>
            <w:r w:rsidRPr="00EA51F0">
              <w:rPr>
                <w:rStyle w:val="Hyperlink"/>
                <w:rFonts w:cs="Arial"/>
                <w:b/>
                <w:noProof/>
              </w:rPr>
              <w:t>EEA entities allowed to record book entries into securities accounts maintained by CSDs (Art 31 of CSDR)</w:t>
            </w:r>
            <w:r>
              <w:rPr>
                <w:noProof/>
                <w:webHidden/>
              </w:rPr>
              <w:tab/>
            </w:r>
            <w:r>
              <w:rPr>
                <w:noProof/>
                <w:webHidden/>
              </w:rPr>
              <w:fldChar w:fldCharType="begin"/>
            </w:r>
            <w:r>
              <w:rPr>
                <w:noProof/>
                <w:webHidden/>
              </w:rPr>
              <w:instrText xml:space="preserve"> PAGEREF _Toc195712424 \h </w:instrText>
            </w:r>
            <w:r>
              <w:rPr>
                <w:noProof/>
                <w:webHidden/>
              </w:rPr>
            </w:r>
            <w:r>
              <w:rPr>
                <w:noProof/>
                <w:webHidden/>
              </w:rPr>
              <w:fldChar w:fldCharType="separate"/>
            </w:r>
            <w:r>
              <w:rPr>
                <w:noProof/>
                <w:webHidden/>
              </w:rPr>
              <w:t>8</w:t>
            </w:r>
            <w:r>
              <w:rPr>
                <w:noProof/>
                <w:webHidden/>
              </w:rPr>
              <w:fldChar w:fldCharType="end"/>
            </w:r>
          </w:hyperlink>
        </w:p>
        <w:p w14:paraId="2B316973" w14:textId="41E87A00" w:rsidR="007156AF" w:rsidRDefault="007156AF">
          <w:pPr>
            <w:pStyle w:val="TOC1"/>
            <w:tabs>
              <w:tab w:val="left" w:pos="720"/>
              <w:tab w:val="right" w:leader="dot" w:pos="13948"/>
            </w:tabs>
            <w:rPr>
              <w:rFonts w:eastAsiaTheme="minorEastAsia"/>
              <w:noProof/>
              <w:kern w:val="2"/>
              <w:sz w:val="24"/>
              <w:szCs w:val="24"/>
              <w:lang w:eastAsia="en-GB"/>
              <w14:ligatures w14:val="standardContextual"/>
            </w:rPr>
          </w:pPr>
          <w:hyperlink w:anchor="_Toc195712425" w:history="1">
            <w:r w:rsidRPr="00EA51F0">
              <w:rPr>
                <w:rStyle w:val="Hyperlink"/>
                <w:rFonts w:cs="Arial"/>
                <w:b/>
                <w:noProof/>
              </w:rPr>
              <w:t>IV.</w:t>
            </w:r>
            <w:r>
              <w:rPr>
                <w:rFonts w:eastAsiaTheme="minorEastAsia"/>
                <w:noProof/>
                <w:kern w:val="2"/>
                <w:sz w:val="24"/>
                <w:szCs w:val="24"/>
                <w:lang w:eastAsia="en-GB"/>
                <w14:ligatures w14:val="standardContextual"/>
              </w:rPr>
              <w:tab/>
            </w:r>
            <w:r w:rsidRPr="00EA51F0">
              <w:rPr>
                <w:rStyle w:val="Hyperlink"/>
                <w:rFonts w:cs="Arial"/>
                <w:b/>
                <w:noProof/>
              </w:rPr>
              <w:t>Third-country CSDs (TC-CSDs) recognised by ESMA under Article 25 of CSDR</w:t>
            </w:r>
            <w:r>
              <w:rPr>
                <w:noProof/>
                <w:webHidden/>
              </w:rPr>
              <w:tab/>
            </w:r>
            <w:r>
              <w:rPr>
                <w:noProof/>
                <w:webHidden/>
              </w:rPr>
              <w:fldChar w:fldCharType="begin"/>
            </w:r>
            <w:r>
              <w:rPr>
                <w:noProof/>
                <w:webHidden/>
              </w:rPr>
              <w:instrText xml:space="preserve"> PAGEREF _Toc195712425 \h </w:instrText>
            </w:r>
            <w:r>
              <w:rPr>
                <w:noProof/>
                <w:webHidden/>
              </w:rPr>
            </w:r>
            <w:r>
              <w:rPr>
                <w:noProof/>
                <w:webHidden/>
              </w:rPr>
              <w:fldChar w:fldCharType="separate"/>
            </w:r>
            <w:r>
              <w:rPr>
                <w:noProof/>
                <w:webHidden/>
              </w:rPr>
              <w:t>8</w:t>
            </w:r>
            <w:r>
              <w:rPr>
                <w:noProof/>
                <w:webHidden/>
              </w:rPr>
              <w:fldChar w:fldCharType="end"/>
            </w:r>
          </w:hyperlink>
        </w:p>
        <w:p w14:paraId="7F10FE66" w14:textId="77777777" w:rsidR="002F73BB" w:rsidRPr="00A06325" w:rsidRDefault="002F73BB" w:rsidP="002F73BB">
          <w:pPr>
            <w:rPr>
              <w:rStyle w:val="field-content"/>
              <w:rFonts w:ascii="Arial" w:hAnsi="Arial" w:cs="Arial"/>
              <w:b/>
              <w:bCs/>
              <w:noProof/>
            </w:rPr>
            <w:sectPr w:rsidR="002F73BB" w:rsidRPr="00A06325" w:rsidSect="00F35D1E">
              <w:headerReference w:type="default" r:id="rId13"/>
              <w:footerReference w:type="default" r:id="rId14"/>
              <w:pgSz w:w="16838" w:h="11906" w:orient="landscape"/>
              <w:pgMar w:top="1440" w:right="1440" w:bottom="1440" w:left="1440" w:header="708" w:footer="708" w:gutter="0"/>
              <w:cols w:space="708"/>
              <w:docGrid w:linePitch="360"/>
            </w:sectPr>
          </w:pPr>
          <w:r w:rsidRPr="008B7433">
            <w:rPr>
              <w:rFonts w:ascii="Arial" w:hAnsi="Arial" w:cs="Arial"/>
              <w:b/>
              <w:bCs/>
              <w:noProof/>
              <w:sz w:val="20"/>
            </w:rPr>
            <w:fldChar w:fldCharType="end"/>
          </w:r>
        </w:p>
      </w:sdtContent>
    </w:sdt>
    <w:p w14:paraId="46239041" w14:textId="77777777" w:rsidR="00E9266C" w:rsidRPr="00EE5CA7" w:rsidRDefault="00E9266C" w:rsidP="00E9266C">
      <w:pPr>
        <w:rPr>
          <w:rFonts w:ascii="Arial" w:hAnsi="Arial" w:cs="Arial"/>
        </w:rPr>
      </w:pPr>
    </w:p>
    <w:tbl>
      <w:tblPr>
        <w:tblStyle w:val="TableGrid"/>
        <w:tblpPr w:leftFromText="180" w:rightFromText="180" w:vertAnchor="text" w:tblpY="1"/>
        <w:tblOverlap w:val="never"/>
        <w:tblW w:w="5000" w:type="pct"/>
        <w:tblLayout w:type="fixed"/>
        <w:tblLook w:val="04A0" w:firstRow="1" w:lastRow="0" w:firstColumn="1" w:lastColumn="0" w:noHBand="0" w:noVBand="1"/>
      </w:tblPr>
      <w:tblGrid>
        <w:gridCol w:w="991"/>
        <w:gridCol w:w="993"/>
        <w:gridCol w:w="1414"/>
        <w:gridCol w:w="851"/>
        <w:gridCol w:w="1135"/>
        <w:gridCol w:w="993"/>
        <w:gridCol w:w="2265"/>
        <w:gridCol w:w="2416"/>
        <w:gridCol w:w="1699"/>
        <w:gridCol w:w="1191"/>
      </w:tblGrid>
      <w:tr w:rsidR="00E9266C" w:rsidRPr="00EE5CA7" w14:paraId="10BC9606" w14:textId="77777777" w:rsidTr="007F68F7">
        <w:trPr>
          <w:trHeight w:val="70"/>
          <w:tblHeader/>
        </w:trPr>
        <w:tc>
          <w:tcPr>
            <w:tcW w:w="5000" w:type="pct"/>
            <w:gridSpan w:val="10"/>
            <w:shd w:val="clear" w:color="auto" w:fill="2E74B5" w:themeFill="accent1" w:themeFillShade="BF"/>
            <w:vAlign w:val="center"/>
          </w:tcPr>
          <w:p w14:paraId="5D61EC8C" w14:textId="62C8805E" w:rsidR="00E9266C" w:rsidRPr="00EE5CA7" w:rsidRDefault="00E9266C" w:rsidP="00590D84">
            <w:pPr>
              <w:pStyle w:val="Heading1"/>
              <w:numPr>
                <w:ilvl w:val="0"/>
                <w:numId w:val="13"/>
              </w:numPr>
              <w:spacing w:line="259" w:lineRule="auto"/>
              <w:ind w:left="360"/>
              <w:rPr>
                <w:rFonts w:cs="Arial"/>
                <w:b/>
                <w:color w:val="FFFFFF" w:themeColor="background1"/>
                <w:szCs w:val="16"/>
              </w:rPr>
            </w:pPr>
            <w:bookmarkStart w:id="0" w:name="_Toc195710701"/>
            <w:bookmarkStart w:id="1" w:name="_Toc195712422"/>
            <w:r w:rsidRPr="00EE5CA7">
              <w:rPr>
                <w:rFonts w:cs="Arial"/>
                <w:b/>
                <w:color w:val="FFFFFF" w:themeColor="background1"/>
              </w:rPr>
              <w:t>E</w:t>
            </w:r>
            <w:r>
              <w:rPr>
                <w:rFonts w:cs="Arial"/>
                <w:b/>
                <w:color w:val="FFFFFF" w:themeColor="background1"/>
              </w:rPr>
              <w:t>EA</w:t>
            </w:r>
            <w:r w:rsidRPr="00EE5CA7">
              <w:rPr>
                <w:rFonts w:cs="Arial"/>
                <w:b/>
                <w:color w:val="FFFFFF" w:themeColor="background1"/>
              </w:rPr>
              <w:t xml:space="preserve"> CSDs (authorised under Art 16/Art 54 of CSDR) – general information</w:t>
            </w:r>
            <w:bookmarkEnd w:id="0"/>
            <w:bookmarkEnd w:id="1"/>
          </w:p>
        </w:tc>
      </w:tr>
      <w:tr w:rsidR="00E9266C" w:rsidRPr="00EE5CA7" w14:paraId="4BB788B8" w14:textId="77777777" w:rsidTr="007F68F7">
        <w:trPr>
          <w:trHeight w:val="70"/>
          <w:tblHeader/>
        </w:trPr>
        <w:tc>
          <w:tcPr>
            <w:tcW w:w="355" w:type="pct"/>
            <w:vMerge w:val="restart"/>
            <w:shd w:val="clear" w:color="auto" w:fill="BDD6EE" w:themeFill="accent1" w:themeFillTint="66"/>
            <w:vAlign w:val="center"/>
          </w:tcPr>
          <w:p w14:paraId="2DD40B85" w14:textId="77777777" w:rsidR="00E9266C" w:rsidRPr="004B4000" w:rsidRDefault="00E9266C" w:rsidP="007F68F7">
            <w:pPr>
              <w:jc w:val="center"/>
              <w:rPr>
                <w:rFonts w:ascii="Arial" w:hAnsi="Arial" w:cs="Arial"/>
                <w:b/>
                <w:sz w:val="14"/>
                <w:szCs w:val="18"/>
              </w:rPr>
            </w:pPr>
            <w:r w:rsidRPr="004B4000">
              <w:rPr>
                <w:rFonts w:ascii="Arial" w:hAnsi="Arial" w:cs="Arial"/>
                <w:b/>
                <w:sz w:val="14"/>
                <w:szCs w:val="18"/>
              </w:rPr>
              <w:t>CSD Home Member State</w:t>
            </w:r>
          </w:p>
        </w:tc>
        <w:tc>
          <w:tcPr>
            <w:tcW w:w="356" w:type="pct"/>
            <w:vMerge w:val="restart"/>
            <w:shd w:val="clear" w:color="auto" w:fill="BDD6EE" w:themeFill="accent1" w:themeFillTint="66"/>
            <w:vAlign w:val="center"/>
          </w:tcPr>
          <w:p w14:paraId="3ACAAEA8" w14:textId="77777777" w:rsidR="00E9266C" w:rsidRPr="004B4000" w:rsidRDefault="00E9266C" w:rsidP="007F68F7">
            <w:pPr>
              <w:jc w:val="center"/>
              <w:rPr>
                <w:rFonts w:ascii="Arial" w:hAnsi="Arial" w:cs="Arial"/>
                <w:b/>
                <w:sz w:val="14"/>
                <w:szCs w:val="18"/>
              </w:rPr>
            </w:pPr>
            <w:r w:rsidRPr="004B4000">
              <w:rPr>
                <w:rFonts w:ascii="Arial" w:hAnsi="Arial" w:cs="Arial"/>
                <w:b/>
                <w:sz w:val="14"/>
                <w:szCs w:val="18"/>
              </w:rPr>
              <w:t>Competent Authority</w:t>
            </w:r>
          </w:p>
        </w:tc>
        <w:tc>
          <w:tcPr>
            <w:tcW w:w="507" w:type="pct"/>
            <w:vMerge w:val="restart"/>
            <w:shd w:val="clear" w:color="auto" w:fill="BDD6EE" w:themeFill="accent1" w:themeFillTint="66"/>
            <w:vAlign w:val="center"/>
          </w:tcPr>
          <w:p w14:paraId="0C9B257F" w14:textId="77777777" w:rsidR="00E9266C" w:rsidRPr="004B4000" w:rsidRDefault="00E9266C" w:rsidP="007F68F7">
            <w:pPr>
              <w:jc w:val="center"/>
              <w:rPr>
                <w:rFonts w:ascii="Arial" w:hAnsi="Arial" w:cs="Arial"/>
                <w:b/>
                <w:sz w:val="14"/>
                <w:szCs w:val="18"/>
              </w:rPr>
            </w:pPr>
            <w:r w:rsidRPr="004B4000">
              <w:rPr>
                <w:rFonts w:ascii="Arial" w:hAnsi="Arial" w:cs="Arial"/>
                <w:b/>
                <w:sz w:val="14"/>
                <w:szCs w:val="18"/>
              </w:rPr>
              <w:t>CSD Name</w:t>
            </w:r>
          </w:p>
        </w:tc>
        <w:tc>
          <w:tcPr>
            <w:tcW w:w="305" w:type="pct"/>
            <w:vMerge w:val="restart"/>
            <w:shd w:val="clear" w:color="auto" w:fill="BDD6EE" w:themeFill="accent1" w:themeFillTint="66"/>
            <w:vAlign w:val="center"/>
          </w:tcPr>
          <w:p w14:paraId="36FA3109" w14:textId="77777777" w:rsidR="00E9266C" w:rsidRPr="004B4000" w:rsidRDefault="00E9266C" w:rsidP="007F68F7">
            <w:pPr>
              <w:jc w:val="center"/>
              <w:rPr>
                <w:rFonts w:ascii="Arial" w:hAnsi="Arial" w:cs="Arial"/>
                <w:b/>
                <w:sz w:val="14"/>
                <w:szCs w:val="18"/>
              </w:rPr>
            </w:pPr>
            <w:r w:rsidRPr="004B4000">
              <w:rPr>
                <w:rFonts w:ascii="Arial" w:hAnsi="Arial" w:cs="Arial"/>
                <w:b/>
                <w:sz w:val="14"/>
                <w:szCs w:val="18"/>
              </w:rPr>
              <w:t>LEI of CSD</w:t>
            </w:r>
          </w:p>
        </w:tc>
        <w:tc>
          <w:tcPr>
            <w:tcW w:w="3477" w:type="pct"/>
            <w:gridSpan w:val="6"/>
            <w:shd w:val="clear" w:color="auto" w:fill="BDD6EE" w:themeFill="accent1" w:themeFillTint="66"/>
            <w:vAlign w:val="center"/>
          </w:tcPr>
          <w:p w14:paraId="3737ED14" w14:textId="77777777" w:rsidR="00E9266C" w:rsidRPr="004B4000" w:rsidRDefault="00E9266C" w:rsidP="007F68F7">
            <w:pPr>
              <w:jc w:val="center"/>
              <w:rPr>
                <w:rFonts w:ascii="Arial" w:hAnsi="Arial" w:cs="Arial"/>
                <w:b/>
                <w:sz w:val="14"/>
                <w:szCs w:val="18"/>
              </w:rPr>
            </w:pPr>
            <w:r w:rsidRPr="004B4000">
              <w:rPr>
                <w:rFonts w:ascii="Arial" w:hAnsi="Arial" w:cs="Arial"/>
                <w:b/>
                <w:sz w:val="14"/>
                <w:szCs w:val="18"/>
              </w:rPr>
              <w:t>Initial Authorisation,</w:t>
            </w:r>
          </w:p>
          <w:p w14:paraId="778EE4B0" w14:textId="77777777" w:rsidR="00E9266C" w:rsidRPr="004B4000" w:rsidRDefault="00E9266C" w:rsidP="007F68F7">
            <w:pPr>
              <w:jc w:val="center"/>
              <w:rPr>
                <w:rFonts w:ascii="Arial" w:hAnsi="Arial" w:cs="Arial"/>
                <w:b/>
                <w:sz w:val="14"/>
                <w:szCs w:val="18"/>
              </w:rPr>
            </w:pPr>
            <w:r w:rsidRPr="004B4000">
              <w:rPr>
                <w:rFonts w:ascii="Arial" w:hAnsi="Arial" w:cs="Arial"/>
                <w:b/>
                <w:sz w:val="14"/>
                <w:szCs w:val="18"/>
              </w:rPr>
              <w:t>Extension or Outsourcing of Activities and Services</w:t>
            </w:r>
          </w:p>
          <w:p w14:paraId="3FE83EA1" w14:textId="77777777" w:rsidR="00E9266C" w:rsidRPr="004B4000" w:rsidRDefault="00E9266C" w:rsidP="007F68F7">
            <w:pPr>
              <w:jc w:val="center"/>
              <w:rPr>
                <w:rFonts w:ascii="Arial" w:hAnsi="Arial" w:cs="Arial"/>
                <w:b/>
                <w:sz w:val="14"/>
                <w:szCs w:val="18"/>
              </w:rPr>
            </w:pPr>
          </w:p>
        </w:tc>
      </w:tr>
      <w:tr w:rsidR="00E9266C" w:rsidRPr="00EE5CA7" w14:paraId="042EC153" w14:textId="77777777" w:rsidTr="007F68F7">
        <w:trPr>
          <w:tblHeader/>
        </w:trPr>
        <w:tc>
          <w:tcPr>
            <w:tcW w:w="355" w:type="pct"/>
            <w:vMerge/>
            <w:shd w:val="clear" w:color="auto" w:fill="BDD6EE" w:themeFill="accent1" w:themeFillTint="66"/>
          </w:tcPr>
          <w:p w14:paraId="5B04D9B4" w14:textId="77777777" w:rsidR="00E9266C" w:rsidRPr="004B4000" w:rsidRDefault="00E9266C" w:rsidP="007F68F7">
            <w:pPr>
              <w:jc w:val="center"/>
              <w:rPr>
                <w:rFonts w:ascii="Arial" w:hAnsi="Arial" w:cs="Arial"/>
                <w:sz w:val="14"/>
                <w:szCs w:val="18"/>
              </w:rPr>
            </w:pPr>
          </w:p>
        </w:tc>
        <w:tc>
          <w:tcPr>
            <w:tcW w:w="356" w:type="pct"/>
            <w:vMerge/>
            <w:shd w:val="clear" w:color="auto" w:fill="BDD6EE" w:themeFill="accent1" w:themeFillTint="66"/>
          </w:tcPr>
          <w:p w14:paraId="6420A694" w14:textId="77777777" w:rsidR="00E9266C" w:rsidRPr="004B4000" w:rsidRDefault="00E9266C" w:rsidP="007F68F7">
            <w:pPr>
              <w:jc w:val="center"/>
              <w:rPr>
                <w:rFonts w:ascii="Arial" w:hAnsi="Arial" w:cs="Arial"/>
                <w:sz w:val="14"/>
                <w:szCs w:val="18"/>
              </w:rPr>
            </w:pPr>
          </w:p>
        </w:tc>
        <w:tc>
          <w:tcPr>
            <w:tcW w:w="507" w:type="pct"/>
            <w:vMerge/>
            <w:shd w:val="clear" w:color="auto" w:fill="BDD6EE" w:themeFill="accent1" w:themeFillTint="66"/>
          </w:tcPr>
          <w:p w14:paraId="53A373F3" w14:textId="77777777" w:rsidR="00E9266C" w:rsidRPr="004B4000" w:rsidRDefault="00E9266C" w:rsidP="007F68F7">
            <w:pPr>
              <w:jc w:val="center"/>
              <w:rPr>
                <w:rFonts w:ascii="Arial" w:hAnsi="Arial" w:cs="Arial"/>
                <w:sz w:val="14"/>
                <w:szCs w:val="18"/>
              </w:rPr>
            </w:pPr>
          </w:p>
        </w:tc>
        <w:tc>
          <w:tcPr>
            <w:tcW w:w="305" w:type="pct"/>
            <w:vMerge/>
            <w:shd w:val="clear" w:color="auto" w:fill="BDD6EE" w:themeFill="accent1" w:themeFillTint="66"/>
          </w:tcPr>
          <w:p w14:paraId="40A4189B" w14:textId="77777777" w:rsidR="00E9266C" w:rsidRPr="004B4000" w:rsidRDefault="00E9266C" w:rsidP="007F68F7">
            <w:pPr>
              <w:jc w:val="center"/>
              <w:rPr>
                <w:rFonts w:ascii="Arial" w:hAnsi="Arial" w:cs="Arial"/>
                <w:sz w:val="14"/>
                <w:szCs w:val="18"/>
              </w:rPr>
            </w:pPr>
          </w:p>
        </w:tc>
        <w:tc>
          <w:tcPr>
            <w:tcW w:w="407" w:type="pct"/>
            <w:shd w:val="clear" w:color="auto" w:fill="BDD6EE" w:themeFill="accent1" w:themeFillTint="66"/>
          </w:tcPr>
          <w:p w14:paraId="7250B84A" w14:textId="77777777" w:rsidR="00E9266C" w:rsidRPr="004B4000" w:rsidRDefault="00E9266C" w:rsidP="007F68F7">
            <w:pPr>
              <w:jc w:val="center"/>
              <w:rPr>
                <w:rFonts w:ascii="Arial" w:hAnsi="Arial" w:cs="Arial"/>
                <w:sz w:val="14"/>
                <w:szCs w:val="18"/>
              </w:rPr>
            </w:pPr>
            <w:r w:rsidRPr="004B4000">
              <w:rPr>
                <w:rFonts w:ascii="Arial" w:hAnsi="Arial" w:cs="Arial"/>
                <w:sz w:val="14"/>
                <w:szCs w:val="18"/>
              </w:rPr>
              <w:t>Date</w:t>
            </w:r>
          </w:p>
          <w:p w14:paraId="1DBAE1C0" w14:textId="6FF9CDF9" w:rsidR="00E9266C" w:rsidRPr="004B4000" w:rsidRDefault="00E9266C" w:rsidP="007F68F7">
            <w:pPr>
              <w:jc w:val="center"/>
              <w:rPr>
                <w:rFonts w:ascii="Arial" w:hAnsi="Arial" w:cs="Arial"/>
                <w:sz w:val="14"/>
                <w:szCs w:val="18"/>
              </w:rPr>
            </w:pPr>
          </w:p>
        </w:tc>
        <w:tc>
          <w:tcPr>
            <w:tcW w:w="356" w:type="pct"/>
            <w:shd w:val="clear" w:color="auto" w:fill="BDD6EE" w:themeFill="accent1" w:themeFillTint="66"/>
          </w:tcPr>
          <w:p w14:paraId="257347C3" w14:textId="77777777" w:rsidR="00E9266C" w:rsidRPr="004B4000" w:rsidRDefault="00E9266C" w:rsidP="007F68F7">
            <w:pPr>
              <w:jc w:val="center"/>
              <w:rPr>
                <w:rFonts w:ascii="Arial" w:hAnsi="Arial" w:cs="Arial"/>
                <w:sz w:val="14"/>
                <w:szCs w:val="18"/>
              </w:rPr>
            </w:pPr>
            <w:r>
              <w:rPr>
                <w:rFonts w:ascii="Arial" w:hAnsi="Arial" w:cs="Arial"/>
                <w:sz w:val="14"/>
                <w:szCs w:val="18"/>
              </w:rPr>
              <w:t>T</w:t>
            </w:r>
            <w:r w:rsidRPr="004B4000">
              <w:rPr>
                <w:rFonts w:ascii="Arial" w:hAnsi="Arial" w:cs="Arial"/>
                <w:sz w:val="14"/>
                <w:szCs w:val="18"/>
              </w:rPr>
              <w:t>ype of decision</w:t>
            </w:r>
          </w:p>
        </w:tc>
        <w:tc>
          <w:tcPr>
            <w:tcW w:w="812" w:type="pct"/>
            <w:shd w:val="clear" w:color="auto" w:fill="BDD6EE" w:themeFill="accent1" w:themeFillTint="66"/>
          </w:tcPr>
          <w:p w14:paraId="5294C27B" w14:textId="77777777" w:rsidR="00E9266C" w:rsidRPr="00495A8D" w:rsidRDefault="00E9266C" w:rsidP="007F68F7">
            <w:pPr>
              <w:jc w:val="center"/>
              <w:rPr>
                <w:rFonts w:ascii="Arial" w:hAnsi="Arial" w:cs="Arial"/>
                <w:b/>
                <w:bCs/>
                <w:sz w:val="14"/>
                <w:szCs w:val="14"/>
              </w:rPr>
            </w:pPr>
            <w:r w:rsidRPr="00495A8D">
              <w:rPr>
                <w:rFonts w:ascii="Arial" w:hAnsi="Arial" w:cs="Arial"/>
                <w:b/>
                <w:bCs/>
                <w:sz w:val="14"/>
                <w:szCs w:val="14"/>
              </w:rPr>
              <w:t>Core Services of central securities depositories</w:t>
            </w:r>
          </w:p>
          <w:p w14:paraId="2FF5BCD4" w14:textId="77777777" w:rsidR="00E9266C" w:rsidRDefault="00E9266C" w:rsidP="007F68F7">
            <w:pPr>
              <w:jc w:val="center"/>
              <w:rPr>
                <w:rFonts w:ascii="Arial" w:hAnsi="Arial" w:cs="Arial"/>
                <w:sz w:val="14"/>
                <w:szCs w:val="14"/>
              </w:rPr>
            </w:pPr>
            <w:r w:rsidRPr="00495A8D">
              <w:rPr>
                <w:rFonts w:ascii="Arial" w:hAnsi="Arial" w:cs="Arial"/>
                <w:b/>
                <w:bCs/>
                <w:sz w:val="14"/>
                <w:szCs w:val="14"/>
              </w:rPr>
              <w:t>depositories</w:t>
            </w:r>
            <w:r w:rsidRPr="00495A8D">
              <w:rPr>
                <w:rFonts w:ascii="Arial" w:hAnsi="Arial" w:cs="Arial"/>
                <w:sz w:val="14"/>
                <w:szCs w:val="14"/>
              </w:rPr>
              <w:t xml:space="preserve"> </w:t>
            </w:r>
          </w:p>
          <w:p w14:paraId="0159EA2F" w14:textId="77777777" w:rsidR="00E9266C" w:rsidRPr="00495A8D" w:rsidRDefault="00E9266C" w:rsidP="007F68F7">
            <w:pPr>
              <w:jc w:val="center"/>
              <w:rPr>
                <w:rFonts w:ascii="Arial" w:hAnsi="Arial" w:cs="Arial"/>
                <w:sz w:val="14"/>
                <w:szCs w:val="14"/>
              </w:rPr>
            </w:pPr>
            <w:r w:rsidRPr="00495A8D">
              <w:rPr>
                <w:rFonts w:ascii="Arial" w:hAnsi="Arial" w:cs="Arial"/>
                <w:sz w:val="14"/>
                <w:szCs w:val="14"/>
              </w:rPr>
              <w:t>Section A of CSDR Annex</w:t>
            </w:r>
          </w:p>
          <w:p w14:paraId="7179C664" w14:textId="77777777" w:rsidR="00E9266C" w:rsidRPr="00495A8D" w:rsidRDefault="00E9266C" w:rsidP="007F68F7">
            <w:pPr>
              <w:jc w:val="center"/>
              <w:rPr>
                <w:rFonts w:ascii="Arial" w:hAnsi="Arial" w:cs="Arial"/>
                <w:sz w:val="14"/>
                <w:szCs w:val="14"/>
              </w:rPr>
            </w:pPr>
          </w:p>
        </w:tc>
        <w:tc>
          <w:tcPr>
            <w:tcW w:w="866" w:type="pct"/>
            <w:shd w:val="clear" w:color="auto" w:fill="BDD6EE" w:themeFill="accent1" w:themeFillTint="66"/>
          </w:tcPr>
          <w:p w14:paraId="67BCE8CE" w14:textId="77777777" w:rsidR="00E9266C" w:rsidRPr="00495A8D" w:rsidRDefault="00E9266C" w:rsidP="007F68F7">
            <w:pPr>
              <w:jc w:val="center"/>
              <w:rPr>
                <w:rFonts w:ascii="Arial" w:hAnsi="Arial" w:cs="Arial"/>
                <w:b/>
                <w:bCs/>
                <w:sz w:val="14"/>
                <w:szCs w:val="14"/>
              </w:rPr>
            </w:pPr>
            <w:r w:rsidRPr="00495A8D">
              <w:rPr>
                <w:rFonts w:ascii="Arial" w:hAnsi="Arial" w:cs="Arial"/>
                <w:b/>
                <w:bCs/>
                <w:sz w:val="14"/>
                <w:szCs w:val="14"/>
              </w:rPr>
              <w:t>Non-banking-type ancillary services of CSDs that do not entail credit or liquidity risks</w:t>
            </w:r>
          </w:p>
          <w:p w14:paraId="553C2397" w14:textId="77777777" w:rsidR="00E9266C" w:rsidRPr="00495A8D" w:rsidRDefault="00E9266C" w:rsidP="007F68F7">
            <w:pPr>
              <w:jc w:val="center"/>
              <w:rPr>
                <w:rFonts w:ascii="Arial" w:hAnsi="Arial" w:cs="Arial"/>
                <w:sz w:val="14"/>
                <w:szCs w:val="14"/>
              </w:rPr>
            </w:pPr>
            <w:r w:rsidRPr="00495A8D">
              <w:rPr>
                <w:rFonts w:ascii="Arial" w:hAnsi="Arial" w:cs="Arial"/>
                <w:sz w:val="14"/>
                <w:szCs w:val="14"/>
              </w:rPr>
              <w:t>Section B of CSDR Annex</w:t>
            </w:r>
          </w:p>
        </w:tc>
        <w:tc>
          <w:tcPr>
            <w:tcW w:w="609" w:type="pct"/>
            <w:shd w:val="clear" w:color="auto" w:fill="BDD6EE" w:themeFill="accent1" w:themeFillTint="66"/>
          </w:tcPr>
          <w:p w14:paraId="7F2E4240" w14:textId="77777777" w:rsidR="00E9266C" w:rsidRPr="00495A8D" w:rsidRDefault="00E9266C" w:rsidP="007F68F7">
            <w:pPr>
              <w:jc w:val="center"/>
              <w:rPr>
                <w:rFonts w:ascii="Arial" w:hAnsi="Arial" w:cs="Arial"/>
                <w:sz w:val="14"/>
                <w:szCs w:val="14"/>
              </w:rPr>
            </w:pPr>
            <w:r w:rsidRPr="00495A8D">
              <w:rPr>
                <w:rFonts w:ascii="Arial" w:hAnsi="Arial" w:cs="Arial"/>
                <w:b/>
                <w:bCs/>
                <w:sz w:val="14"/>
                <w:szCs w:val="14"/>
              </w:rPr>
              <w:t xml:space="preserve">Banking-type ancillary services </w:t>
            </w:r>
            <w:r w:rsidRPr="00495A8D">
              <w:rPr>
                <w:rFonts w:ascii="Arial" w:hAnsi="Arial" w:cs="Arial"/>
                <w:sz w:val="14"/>
                <w:szCs w:val="14"/>
              </w:rPr>
              <w:t>Section C of CSDR Annex</w:t>
            </w:r>
          </w:p>
          <w:p w14:paraId="2CB08EC2" w14:textId="77777777" w:rsidR="00E9266C" w:rsidRPr="00495A8D" w:rsidRDefault="00E9266C" w:rsidP="007F68F7">
            <w:pPr>
              <w:jc w:val="center"/>
              <w:rPr>
                <w:rFonts w:ascii="Arial" w:hAnsi="Arial" w:cs="Arial"/>
                <w:sz w:val="14"/>
                <w:szCs w:val="14"/>
              </w:rPr>
            </w:pPr>
          </w:p>
          <w:p w14:paraId="0C61658C" w14:textId="77777777" w:rsidR="00E9266C" w:rsidRPr="00495A8D" w:rsidRDefault="00E9266C" w:rsidP="007F68F7">
            <w:pPr>
              <w:jc w:val="center"/>
              <w:rPr>
                <w:rFonts w:ascii="Arial" w:hAnsi="Arial" w:cs="Arial"/>
                <w:sz w:val="14"/>
                <w:szCs w:val="14"/>
              </w:rPr>
            </w:pPr>
          </w:p>
        </w:tc>
        <w:tc>
          <w:tcPr>
            <w:tcW w:w="427" w:type="pct"/>
            <w:shd w:val="clear" w:color="auto" w:fill="BDD6EE" w:themeFill="accent1" w:themeFillTint="66"/>
          </w:tcPr>
          <w:p w14:paraId="0F8160C3" w14:textId="76F31942" w:rsidR="00E9266C" w:rsidRPr="004B4000" w:rsidRDefault="00E9266C" w:rsidP="007F68F7">
            <w:pPr>
              <w:jc w:val="center"/>
              <w:rPr>
                <w:rFonts w:ascii="Arial" w:hAnsi="Arial" w:cs="Arial"/>
                <w:sz w:val="14"/>
                <w:szCs w:val="18"/>
              </w:rPr>
            </w:pPr>
            <w:r w:rsidRPr="004B4000">
              <w:rPr>
                <w:rFonts w:ascii="Arial" w:hAnsi="Arial" w:cs="Arial"/>
                <w:sz w:val="14"/>
                <w:szCs w:val="18"/>
              </w:rPr>
              <w:t>If applicable, name of entity</w:t>
            </w:r>
            <w:r w:rsidR="00DE7706">
              <w:rPr>
                <w:rFonts w:ascii="Arial" w:hAnsi="Arial" w:cs="Arial"/>
                <w:sz w:val="14"/>
                <w:szCs w:val="18"/>
              </w:rPr>
              <w:t>(</w:t>
            </w:r>
            <w:proofErr w:type="spellStart"/>
            <w:r w:rsidR="00DE7706">
              <w:rPr>
                <w:rFonts w:ascii="Arial" w:hAnsi="Arial" w:cs="Arial"/>
                <w:sz w:val="14"/>
                <w:szCs w:val="18"/>
              </w:rPr>
              <w:t>ies</w:t>
            </w:r>
            <w:proofErr w:type="spellEnd"/>
            <w:r w:rsidR="00DE7706">
              <w:rPr>
                <w:rFonts w:ascii="Arial" w:hAnsi="Arial" w:cs="Arial"/>
                <w:sz w:val="14"/>
                <w:szCs w:val="18"/>
              </w:rPr>
              <w:t>)</w:t>
            </w:r>
            <w:r w:rsidRPr="004B4000">
              <w:rPr>
                <w:rFonts w:ascii="Arial" w:hAnsi="Arial" w:cs="Arial"/>
                <w:sz w:val="14"/>
                <w:szCs w:val="18"/>
              </w:rPr>
              <w:t xml:space="preserve"> to which services or</w:t>
            </w:r>
          </w:p>
          <w:p w14:paraId="7169D574" w14:textId="77777777" w:rsidR="00E9266C" w:rsidRPr="004B4000" w:rsidRDefault="00E9266C" w:rsidP="007F68F7">
            <w:pPr>
              <w:jc w:val="center"/>
              <w:rPr>
                <w:rFonts w:ascii="Arial" w:hAnsi="Arial" w:cs="Arial"/>
                <w:sz w:val="14"/>
                <w:szCs w:val="18"/>
              </w:rPr>
            </w:pPr>
            <w:r w:rsidRPr="004B4000">
              <w:rPr>
                <w:rFonts w:ascii="Arial" w:hAnsi="Arial" w:cs="Arial"/>
                <w:sz w:val="14"/>
                <w:szCs w:val="18"/>
              </w:rPr>
              <w:t>activities are outsourced</w:t>
            </w:r>
          </w:p>
        </w:tc>
      </w:tr>
      <w:tr w:rsidR="00E9266C" w:rsidRPr="004C5B6A" w14:paraId="3CF10BAE" w14:textId="77777777" w:rsidTr="007F68F7">
        <w:tc>
          <w:tcPr>
            <w:tcW w:w="355" w:type="pct"/>
            <w:shd w:val="clear" w:color="auto" w:fill="auto"/>
          </w:tcPr>
          <w:p w14:paraId="3C2F56D8" w14:textId="0C55A1AD" w:rsidR="00E9266C" w:rsidRPr="004C5B6A" w:rsidRDefault="004C5B6A" w:rsidP="007F68F7">
            <w:pPr>
              <w:rPr>
                <w:rFonts w:ascii="Arial" w:hAnsi="Arial" w:cs="Arial"/>
                <w:sz w:val="16"/>
                <w:szCs w:val="16"/>
                <w:lang w:val="en-US"/>
              </w:rPr>
            </w:pPr>
            <w:r>
              <w:rPr>
                <w:rFonts w:ascii="Arial" w:hAnsi="Arial" w:cs="Arial"/>
                <w:sz w:val="16"/>
                <w:szCs w:val="16"/>
                <w:lang w:val="en-US"/>
              </w:rPr>
              <w:t>[country code]</w:t>
            </w:r>
          </w:p>
        </w:tc>
        <w:tc>
          <w:tcPr>
            <w:tcW w:w="356" w:type="pct"/>
            <w:shd w:val="clear" w:color="auto" w:fill="auto"/>
          </w:tcPr>
          <w:p w14:paraId="7F237AA6" w14:textId="5E37690B" w:rsidR="00E9266C" w:rsidRPr="004C5B6A" w:rsidRDefault="00E9266C" w:rsidP="007F68F7">
            <w:pPr>
              <w:rPr>
                <w:rFonts w:ascii="Arial" w:hAnsi="Arial" w:cs="Arial"/>
                <w:sz w:val="16"/>
                <w:szCs w:val="16"/>
                <w:lang w:val="en-US"/>
              </w:rPr>
            </w:pPr>
          </w:p>
        </w:tc>
        <w:tc>
          <w:tcPr>
            <w:tcW w:w="507" w:type="pct"/>
            <w:shd w:val="clear" w:color="auto" w:fill="auto"/>
          </w:tcPr>
          <w:p w14:paraId="0F253EE0" w14:textId="50AAEF08" w:rsidR="00E9266C" w:rsidRPr="004C5B6A" w:rsidRDefault="004C5B6A" w:rsidP="004C5B6A">
            <w:pPr>
              <w:rPr>
                <w:rFonts w:ascii="Arial" w:hAnsi="Arial" w:cs="Arial"/>
                <w:sz w:val="16"/>
                <w:szCs w:val="16"/>
              </w:rPr>
            </w:pPr>
            <w:r w:rsidRPr="004C5B6A">
              <w:rPr>
                <w:rFonts w:ascii="Arial" w:hAnsi="Arial" w:cs="Arial"/>
                <w:sz w:val="16"/>
                <w:szCs w:val="16"/>
              </w:rPr>
              <w:t>Commercial name (legal name)</w:t>
            </w:r>
          </w:p>
        </w:tc>
        <w:tc>
          <w:tcPr>
            <w:tcW w:w="305" w:type="pct"/>
          </w:tcPr>
          <w:p w14:paraId="22E9C190" w14:textId="0F80E0A9" w:rsidR="00E9266C" w:rsidRPr="004C5B6A" w:rsidRDefault="00E9266C" w:rsidP="007F68F7">
            <w:pPr>
              <w:rPr>
                <w:rFonts w:ascii="Arial" w:eastAsia="Calibri" w:hAnsi="Arial" w:cs="Arial"/>
                <w:sz w:val="16"/>
                <w:szCs w:val="16"/>
                <w:lang w:val="bg-BG"/>
              </w:rPr>
            </w:pPr>
          </w:p>
        </w:tc>
        <w:tc>
          <w:tcPr>
            <w:tcW w:w="407" w:type="pct"/>
          </w:tcPr>
          <w:p w14:paraId="7CB36EE6" w14:textId="5D5FAFF5" w:rsidR="00E9266C" w:rsidRPr="004C5B6A" w:rsidRDefault="00A72EA0" w:rsidP="007F68F7">
            <w:pPr>
              <w:rPr>
                <w:rFonts w:ascii="Arial" w:hAnsi="Arial" w:cs="Arial"/>
                <w:sz w:val="16"/>
                <w:szCs w:val="16"/>
              </w:rPr>
            </w:pPr>
            <w:r w:rsidRPr="004C5B6A">
              <w:rPr>
                <w:rFonts w:ascii="Arial" w:hAnsi="Arial" w:cs="Arial"/>
                <w:sz w:val="16"/>
                <w:szCs w:val="16"/>
              </w:rPr>
              <w:t>(DD/MM/</w:t>
            </w:r>
            <w:proofErr w:type="gramStart"/>
            <w:r w:rsidRPr="004C5B6A">
              <w:rPr>
                <w:rFonts w:ascii="Arial" w:hAnsi="Arial" w:cs="Arial"/>
                <w:sz w:val="16"/>
                <w:szCs w:val="16"/>
              </w:rPr>
              <w:t>YYYY</w:t>
            </w:r>
            <w:r w:rsidRPr="004C5B6A" w:rsidDel="003A173B">
              <w:rPr>
                <w:rFonts w:ascii="Arial" w:hAnsi="Arial" w:cs="Arial"/>
                <w:sz w:val="16"/>
                <w:szCs w:val="16"/>
              </w:rPr>
              <w:t xml:space="preserve"> </w:t>
            </w:r>
            <w:r w:rsidRPr="004C5B6A">
              <w:rPr>
                <w:rFonts w:ascii="Arial" w:hAnsi="Arial" w:cs="Arial"/>
                <w:sz w:val="16"/>
                <w:szCs w:val="16"/>
              </w:rPr>
              <w:t>)</w:t>
            </w:r>
            <w:proofErr w:type="gramEnd"/>
          </w:p>
        </w:tc>
        <w:tc>
          <w:tcPr>
            <w:tcW w:w="356" w:type="pct"/>
          </w:tcPr>
          <w:p w14:paraId="0AB27999" w14:textId="218DA684" w:rsidR="00E9266C" w:rsidRPr="004C5B6A" w:rsidRDefault="00E9266C" w:rsidP="007F68F7">
            <w:pPr>
              <w:rPr>
                <w:rFonts w:ascii="Arial" w:hAnsi="Arial" w:cs="Arial"/>
                <w:sz w:val="16"/>
                <w:szCs w:val="16"/>
              </w:rPr>
            </w:pPr>
          </w:p>
        </w:tc>
        <w:tc>
          <w:tcPr>
            <w:tcW w:w="812" w:type="pct"/>
          </w:tcPr>
          <w:p w14:paraId="7BEFA8C9" w14:textId="68E741DD" w:rsidR="00E9266C" w:rsidRPr="004C5B6A" w:rsidRDefault="00A72EA0" w:rsidP="00A72EA0">
            <w:pPr>
              <w:pStyle w:val="ListParagraph"/>
              <w:numPr>
                <w:ilvl w:val="0"/>
                <w:numId w:val="12"/>
              </w:numPr>
              <w:spacing w:after="0" w:line="240" w:lineRule="auto"/>
              <w:rPr>
                <w:rFonts w:ascii="Arial" w:hAnsi="Arial" w:cs="Arial"/>
                <w:sz w:val="16"/>
                <w:szCs w:val="16"/>
              </w:rPr>
            </w:pPr>
            <w:r w:rsidRPr="004C5B6A">
              <w:rPr>
                <w:rFonts w:ascii="Arial" w:hAnsi="Arial" w:cs="Arial"/>
                <w:sz w:val="16"/>
                <w:szCs w:val="16"/>
              </w:rPr>
              <w:t>[</w:t>
            </w:r>
            <w:r w:rsidR="00E9266C" w:rsidRPr="004C5B6A">
              <w:rPr>
                <w:rFonts w:ascii="Arial" w:hAnsi="Arial" w:cs="Arial"/>
                <w:sz w:val="16"/>
                <w:szCs w:val="16"/>
              </w:rPr>
              <w:t>Notary Service</w:t>
            </w:r>
          </w:p>
          <w:p w14:paraId="342B2ECA" w14:textId="77777777" w:rsidR="00E9266C" w:rsidRPr="004C5B6A" w:rsidRDefault="00E9266C" w:rsidP="00A72EA0">
            <w:pPr>
              <w:pStyle w:val="ListParagraph"/>
              <w:numPr>
                <w:ilvl w:val="0"/>
                <w:numId w:val="12"/>
              </w:numPr>
              <w:spacing w:after="0" w:line="240" w:lineRule="auto"/>
              <w:rPr>
                <w:rFonts w:ascii="Arial" w:hAnsi="Arial" w:cs="Arial"/>
                <w:sz w:val="16"/>
                <w:szCs w:val="16"/>
              </w:rPr>
            </w:pPr>
            <w:r w:rsidRPr="004C5B6A">
              <w:rPr>
                <w:rFonts w:ascii="Arial" w:hAnsi="Arial" w:cs="Arial"/>
                <w:sz w:val="16"/>
                <w:szCs w:val="16"/>
              </w:rPr>
              <w:t>Central Maintenance Service</w:t>
            </w:r>
          </w:p>
          <w:p w14:paraId="77AEDA50" w14:textId="0AD6B832" w:rsidR="00E9266C" w:rsidRPr="004C5B6A" w:rsidRDefault="00E9266C" w:rsidP="00A72EA0">
            <w:pPr>
              <w:pStyle w:val="ListParagraph"/>
              <w:numPr>
                <w:ilvl w:val="0"/>
                <w:numId w:val="12"/>
              </w:numPr>
              <w:spacing w:after="0" w:line="240" w:lineRule="auto"/>
              <w:rPr>
                <w:rFonts w:ascii="Arial" w:hAnsi="Arial" w:cs="Arial"/>
                <w:sz w:val="16"/>
                <w:szCs w:val="16"/>
              </w:rPr>
            </w:pPr>
            <w:r w:rsidRPr="004C5B6A">
              <w:rPr>
                <w:rFonts w:ascii="Arial" w:hAnsi="Arial" w:cs="Arial"/>
                <w:sz w:val="16"/>
                <w:szCs w:val="16"/>
              </w:rPr>
              <w:t>Settlement Service</w:t>
            </w:r>
            <w:r w:rsidR="00A72EA0" w:rsidRPr="004C5B6A">
              <w:rPr>
                <w:rFonts w:ascii="Arial" w:hAnsi="Arial" w:cs="Arial"/>
                <w:sz w:val="16"/>
                <w:szCs w:val="16"/>
              </w:rPr>
              <w:t>]</w:t>
            </w:r>
          </w:p>
          <w:p w14:paraId="09FA3497" w14:textId="77777777" w:rsidR="00E9266C" w:rsidRPr="004C5B6A" w:rsidRDefault="00E9266C" w:rsidP="007F68F7">
            <w:pPr>
              <w:pStyle w:val="ListParagraph"/>
              <w:spacing w:after="0" w:line="240" w:lineRule="auto"/>
              <w:ind w:left="186"/>
              <w:rPr>
                <w:rFonts w:ascii="Arial" w:hAnsi="Arial" w:cs="Arial"/>
                <w:sz w:val="16"/>
                <w:szCs w:val="16"/>
              </w:rPr>
            </w:pPr>
          </w:p>
          <w:p w14:paraId="5EC02C57" w14:textId="77777777" w:rsidR="00E9266C" w:rsidRPr="004C5B6A" w:rsidRDefault="00E9266C" w:rsidP="007F68F7">
            <w:pPr>
              <w:pStyle w:val="ListParagraph"/>
              <w:spacing w:after="0" w:line="240" w:lineRule="auto"/>
              <w:ind w:left="44"/>
              <w:rPr>
                <w:rFonts w:ascii="Arial" w:hAnsi="Arial" w:cs="Arial"/>
                <w:b/>
                <w:sz w:val="16"/>
                <w:szCs w:val="16"/>
              </w:rPr>
            </w:pPr>
          </w:p>
        </w:tc>
        <w:tc>
          <w:tcPr>
            <w:tcW w:w="866" w:type="pct"/>
          </w:tcPr>
          <w:p w14:paraId="0D71FB3F" w14:textId="77777777" w:rsidR="00E9266C" w:rsidRPr="00031F25" w:rsidRDefault="00E9266C" w:rsidP="00935710">
            <w:pPr>
              <w:ind w:left="29"/>
              <w:rPr>
                <w:rFonts w:ascii="Arial" w:hAnsi="Arial" w:cs="Arial"/>
                <w:sz w:val="16"/>
                <w:szCs w:val="16"/>
              </w:rPr>
            </w:pPr>
            <w:r w:rsidRPr="00505452">
              <w:rPr>
                <w:rFonts w:ascii="Arial" w:hAnsi="Arial" w:cs="Arial"/>
                <w:b/>
                <w:bCs/>
                <w:sz w:val="16"/>
                <w:szCs w:val="16"/>
              </w:rPr>
              <w:t>Ancillary services listed in Section B</w:t>
            </w:r>
            <w:r w:rsidRPr="00031F25">
              <w:rPr>
                <w:rFonts w:ascii="Arial" w:hAnsi="Arial" w:cs="Arial"/>
                <w:sz w:val="16"/>
                <w:szCs w:val="16"/>
              </w:rPr>
              <w:t>:</w:t>
            </w:r>
          </w:p>
          <w:p w14:paraId="3CCEEFF8" w14:textId="77777777" w:rsidR="00CD11F6" w:rsidRPr="00031F25" w:rsidRDefault="00CD11F6" w:rsidP="00935710">
            <w:pPr>
              <w:pStyle w:val="ListParagraph"/>
              <w:spacing w:after="0" w:line="240" w:lineRule="auto"/>
              <w:ind w:left="29"/>
              <w:rPr>
                <w:rFonts w:ascii="Arial" w:hAnsi="Arial" w:cs="Arial"/>
                <w:sz w:val="16"/>
                <w:szCs w:val="16"/>
              </w:rPr>
            </w:pPr>
          </w:p>
          <w:p w14:paraId="364D9CD2" w14:textId="4ABECF5F" w:rsidR="00E9266C" w:rsidRDefault="00E9266C" w:rsidP="00935710">
            <w:pPr>
              <w:pStyle w:val="ListParagraph"/>
              <w:spacing w:after="0" w:line="240" w:lineRule="auto"/>
              <w:ind w:left="29"/>
              <w:rPr>
                <w:rFonts w:ascii="Arial" w:hAnsi="Arial" w:cs="Arial"/>
                <w:sz w:val="16"/>
                <w:szCs w:val="16"/>
                <w:u w:val="single"/>
              </w:rPr>
            </w:pPr>
            <w:r w:rsidRPr="00031F25">
              <w:rPr>
                <w:rFonts w:ascii="Arial" w:hAnsi="Arial" w:cs="Arial"/>
                <w:sz w:val="16"/>
                <w:szCs w:val="16"/>
                <w:u w:val="single"/>
              </w:rPr>
              <w:t>Services related to the Settlement Service</w:t>
            </w:r>
          </w:p>
          <w:p w14:paraId="640B1150" w14:textId="3A52A5A3" w:rsidR="00074A90" w:rsidRPr="00505452" w:rsidRDefault="00505452" w:rsidP="00505452">
            <w:pPr>
              <w:pStyle w:val="ListParagraph"/>
              <w:numPr>
                <w:ilvl w:val="0"/>
                <w:numId w:val="17"/>
              </w:numPr>
              <w:spacing w:after="0" w:line="240" w:lineRule="auto"/>
              <w:ind w:left="29"/>
              <w:rPr>
                <w:rFonts w:ascii="Arial" w:hAnsi="Arial" w:cs="Arial"/>
                <w:sz w:val="16"/>
                <w:szCs w:val="16"/>
              </w:rPr>
            </w:pPr>
            <w:r>
              <w:rPr>
                <w:rFonts w:ascii="Arial" w:hAnsi="Arial" w:cs="Arial"/>
                <w:sz w:val="16"/>
                <w:szCs w:val="16"/>
              </w:rPr>
              <w:t xml:space="preserve">(a) </w:t>
            </w:r>
            <w:r w:rsidR="00074A90" w:rsidRPr="009E691D">
              <w:rPr>
                <w:rFonts w:ascii="Arial" w:hAnsi="Arial" w:cs="Arial"/>
                <w:sz w:val="16"/>
                <w:szCs w:val="16"/>
              </w:rPr>
              <w:t xml:space="preserve">Organising a securities lending mechanism, as agent among participants of a securities settlement </w:t>
            </w:r>
            <w:proofErr w:type="gramStart"/>
            <w:r w:rsidR="00074A90" w:rsidRPr="009E691D">
              <w:rPr>
                <w:rFonts w:ascii="Arial" w:hAnsi="Arial" w:cs="Arial"/>
                <w:sz w:val="16"/>
                <w:szCs w:val="16"/>
              </w:rPr>
              <w:t>system;</w:t>
            </w:r>
            <w:proofErr w:type="gramEnd"/>
          </w:p>
          <w:p w14:paraId="057CA250" w14:textId="0C67BA1B" w:rsidR="00074A90" w:rsidRPr="00505452" w:rsidRDefault="00505452" w:rsidP="00505452">
            <w:pPr>
              <w:pStyle w:val="ListParagraph"/>
              <w:numPr>
                <w:ilvl w:val="0"/>
                <w:numId w:val="17"/>
              </w:numPr>
              <w:spacing w:after="0" w:line="240" w:lineRule="auto"/>
              <w:ind w:left="29"/>
              <w:rPr>
                <w:rFonts w:ascii="Arial" w:hAnsi="Arial" w:cs="Arial"/>
                <w:sz w:val="16"/>
                <w:szCs w:val="16"/>
              </w:rPr>
            </w:pPr>
            <w:r>
              <w:rPr>
                <w:rFonts w:ascii="Arial" w:hAnsi="Arial" w:cs="Arial"/>
                <w:sz w:val="16"/>
                <w:szCs w:val="16"/>
              </w:rPr>
              <w:t xml:space="preserve">(b) </w:t>
            </w:r>
            <w:r w:rsidR="00074A90" w:rsidRPr="009E691D">
              <w:rPr>
                <w:rFonts w:ascii="Arial" w:hAnsi="Arial" w:cs="Arial"/>
                <w:sz w:val="16"/>
                <w:szCs w:val="16"/>
              </w:rPr>
              <w:t xml:space="preserve">Providing collateral management services, as agent for participants in a securities settlement </w:t>
            </w:r>
            <w:proofErr w:type="gramStart"/>
            <w:r w:rsidR="00074A90" w:rsidRPr="009E691D">
              <w:rPr>
                <w:rFonts w:ascii="Arial" w:hAnsi="Arial" w:cs="Arial"/>
                <w:sz w:val="16"/>
                <w:szCs w:val="16"/>
              </w:rPr>
              <w:t>system;</w:t>
            </w:r>
            <w:proofErr w:type="gramEnd"/>
          </w:p>
          <w:p w14:paraId="577949A3" w14:textId="4330D313" w:rsidR="00074A90" w:rsidRPr="009E691D" w:rsidRDefault="00505452" w:rsidP="00935710">
            <w:pPr>
              <w:pStyle w:val="ListParagraph"/>
              <w:numPr>
                <w:ilvl w:val="0"/>
                <w:numId w:val="17"/>
              </w:numPr>
              <w:spacing w:after="0" w:line="240" w:lineRule="auto"/>
              <w:ind w:left="29"/>
              <w:rPr>
                <w:rFonts w:ascii="Arial" w:hAnsi="Arial" w:cs="Arial"/>
                <w:sz w:val="16"/>
                <w:szCs w:val="16"/>
              </w:rPr>
            </w:pPr>
            <w:r>
              <w:rPr>
                <w:rFonts w:ascii="Arial" w:hAnsi="Arial" w:cs="Arial"/>
                <w:sz w:val="16"/>
                <w:szCs w:val="16"/>
              </w:rPr>
              <w:t xml:space="preserve">(c) </w:t>
            </w:r>
            <w:r w:rsidR="00074A90" w:rsidRPr="009E691D">
              <w:rPr>
                <w:rFonts w:ascii="Arial" w:hAnsi="Arial" w:cs="Arial"/>
                <w:sz w:val="16"/>
                <w:szCs w:val="16"/>
              </w:rPr>
              <w:t>Settlement matching, instruction routing, trade confirmation, trade verification.</w:t>
            </w:r>
          </w:p>
          <w:p w14:paraId="4ECAF3AE" w14:textId="77777777" w:rsidR="00E9266C" w:rsidRPr="009E691D" w:rsidRDefault="00E9266C" w:rsidP="00935710">
            <w:pPr>
              <w:ind w:left="29"/>
              <w:rPr>
                <w:rFonts w:ascii="Arial" w:hAnsi="Arial" w:cs="Arial"/>
                <w:sz w:val="16"/>
                <w:szCs w:val="16"/>
              </w:rPr>
            </w:pPr>
          </w:p>
          <w:p w14:paraId="5AF34A3A" w14:textId="4001D7D4" w:rsidR="00E9266C" w:rsidRPr="00031F25" w:rsidRDefault="00E9266C" w:rsidP="00935710">
            <w:pPr>
              <w:pStyle w:val="ListParagraph"/>
              <w:spacing w:after="0" w:line="240" w:lineRule="auto"/>
              <w:ind w:left="29"/>
              <w:rPr>
                <w:rFonts w:ascii="Arial" w:hAnsi="Arial" w:cs="Arial"/>
                <w:sz w:val="16"/>
                <w:szCs w:val="16"/>
                <w:u w:val="single"/>
              </w:rPr>
            </w:pPr>
            <w:r w:rsidRPr="00031F25">
              <w:rPr>
                <w:rFonts w:ascii="Arial" w:hAnsi="Arial" w:cs="Arial"/>
                <w:sz w:val="16"/>
                <w:szCs w:val="16"/>
                <w:u w:val="single"/>
              </w:rPr>
              <w:t>Services related to the notary and central maintenance services</w:t>
            </w:r>
          </w:p>
          <w:p w14:paraId="3E5510AF" w14:textId="24EBA72E" w:rsidR="00935710" w:rsidRPr="00935710" w:rsidRDefault="00505452" w:rsidP="00935710">
            <w:pPr>
              <w:pStyle w:val="ListParagraph"/>
              <w:spacing w:line="240" w:lineRule="auto"/>
              <w:ind w:left="29"/>
              <w:rPr>
                <w:rFonts w:ascii="Arial" w:hAnsi="Arial" w:cs="Arial"/>
                <w:sz w:val="16"/>
                <w:szCs w:val="16"/>
              </w:rPr>
            </w:pPr>
            <w:r>
              <w:rPr>
                <w:rFonts w:ascii="Arial" w:hAnsi="Arial" w:cs="Arial"/>
                <w:sz w:val="16"/>
                <w:szCs w:val="16"/>
              </w:rPr>
              <w:t xml:space="preserve">(a) </w:t>
            </w:r>
            <w:r w:rsidR="00935710" w:rsidRPr="00935710">
              <w:rPr>
                <w:rFonts w:ascii="Arial" w:hAnsi="Arial" w:cs="Arial"/>
                <w:sz w:val="16"/>
                <w:szCs w:val="16"/>
              </w:rPr>
              <w:t xml:space="preserve">Services related to shareholders’ </w:t>
            </w:r>
            <w:proofErr w:type="gramStart"/>
            <w:r w:rsidR="00935710" w:rsidRPr="00935710">
              <w:rPr>
                <w:rFonts w:ascii="Arial" w:hAnsi="Arial" w:cs="Arial"/>
                <w:sz w:val="16"/>
                <w:szCs w:val="16"/>
              </w:rPr>
              <w:t>registers;</w:t>
            </w:r>
            <w:proofErr w:type="gramEnd"/>
          </w:p>
          <w:p w14:paraId="743B59D9" w14:textId="5BB2E001" w:rsidR="00935710" w:rsidRPr="00935710" w:rsidRDefault="00935710" w:rsidP="00935710">
            <w:pPr>
              <w:pStyle w:val="ListParagraph"/>
              <w:ind w:left="29"/>
              <w:rPr>
                <w:rFonts w:ascii="Arial" w:hAnsi="Arial" w:cs="Arial"/>
                <w:sz w:val="16"/>
                <w:szCs w:val="16"/>
              </w:rPr>
            </w:pPr>
            <w:r w:rsidRPr="00935710">
              <w:rPr>
                <w:rFonts w:ascii="Arial" w:hAnsi="Arial" w:cs="Arial"/>
                <w:sz w:val="16"/>
                <w:szCs w:val="16"/>
              </w:rPr>
              <w:t xml:space="preserve">(b) Supporting the processing of corporate actions, including tax, general meetings and information </w:t>
            </w:r>
            <w:proofErr w:type="gramStart"/>
            <w:r w:rsidRPr="00935710">
              <w:rPr>
                <w:rFonts w:ascii="Arial" w:hAnsi="Arial" w:cs="Arial"/>
                <w:sz w:val="16"/>
                <w:szCs w:val="16"/>
              </w:rPr>
              <w:t>services;</w:t>
            </w:r>
            <w:proofErr w:type="gramEnd"/>
          </w:p>
          <w:p w14:paraId="344D77EB" w14:textId="7412D916" w:rsidR="00935710" w:rsidRPr="00935710" w:rsidRDefault="00935710" w:rsidP="00935710">
            <w:pPr>
              <w:pStyle w:val="ListParagraph"/>
              <w:ind w:left="29"/>
              <w:rPr>
                <w:rFonts w:ascii="Arial" w:hAnsi="Arial" w:cs="Arial"/>
                <w:sz w:val="16"/>
                <w:szCs w:val="16"/>
              </w:rPr>
            </w:pPr>
            <w:r w:rsidRPr="00935710">
              <w:rPr>
                <w:rFonts w:ascii="Arial" w:hAnsi="Arial" w:cs="Arial"/>
                <w:sz w:val="16"/>
                <w:szCs w:val="16"/>
              </w:rPr>
              <w:t xml:space="preserve">(c) New issue services, including allocation and management of ISIN codes and similar </w:t>
            </w:r>
            <w:proofErr w:type="gramStart"/>
            <w:r w:rsidRPr="00935710">
              <w:rPr>
                <w:rFonts w:ascii="Arial" w:hAnsi="Arial" w:cs="Arial"/>
                <w:sz w:val="16"/>
                <w:szCs w:val="16"/>
              </w:rPr>
              <w:t>codes;</w:t>
            </w:r>
            <w:proofErr w:type="gramEnd"/>
          </w:p>
          <w:p w14:paraId="25F2C57E" w14:textId="796E3F06" w:rsidR="00935710" w:rsidRPr="00935710" w:rsidRDefault="00935710" w:rsidP="00935710">
            <w:pPr>
              <w:pStyle w:val="ListParagraph"/>
              <w:ind w:left="29"/>
              <w:rPr>
                <w:rFonts w:ascii="Arial" w:hAnsi="Arial" w:cs="Arial"/>
                <w:sz w:val="16"/>
                <w:szCs w:val="16"/>
              </w:rPr>
            </w:pPr>
            <w:r w:rsidRPr="00935710">
              <w:rPr>
                <w:rFonts w:ascii="Arial" w:hAnsi="Arial" w:cs="Arial"/>
                <w:sz w:val="16"/>
                <w:szCs w:val="16"/>
              </w:rPr>
              <w:lastRenderedPageBreak/>
              <w:t>(d) Instruction routing and processing, fee collection and processing and related reporting.</w:t>
            </w:r>
          </w:p>
          <w:p w14:paraId="24EC0D89" w14:textId="79266FDF" w:rsidR="00E9266C" w:rsidRPr="00935710" w:rsidRDefault="00E9266C" w:rsidP="00935710">
            <w:pPr>
              <w:ind w:left="29"/>
              <w:rPr>
                <w:rFonts w:ascii="Arial" w:hAnsi="Arial" w:cs="Arial"/>
                <w:sz w:val="16"/>
                <w:szCs w:val="16"/>
                <w:u w:val="single"/>
              </w:rPr>
            </w:pPr>
            <w:r w:rsidRPr="00935710">
              <w:rPr>
                <w:rFonts w:ascii="Arial" w:hAnsi="Arial" w:cs="Arial"/>
                <w:sz w:val="16"/>
                <w:szCs w:val="16"/>
                <w:u w:val="single"/>
              </w:rPr>
              <w:t>Establishing CSD links, providing, maintaining or operating securities accounts in relation to the settlement service, collateral management, other ancillary services</w:t>
            </w:r>
          </w:p>
          <w:p w14:paraId="5BA03C3F" w14:textId="77777777" w:rsidR="00CA1D12" w:rsidRPr="00031F25" w:rsidRDefault="00CA1D12" w:rsidP="00935710">
            <w:pPr>
              <w:pStyle w:val="ListParagraph"/>
              <w:spacing w:after="0" w:line="240" w:lineRule="auto"/>
              <w:ind w:left="29"/>
              <w:rPr>
                <w:rFonts w:ascii="Arial" w:hAnsi="Arial" w:cs="Arial"/>
                <w:sz w:val="16"/>
                <w:szCs w:val="16"/>
              </w:rPr>
            </w:pPr>
          </w:p>
          <w:p w14:paraId="286FE6A7" w14:textId="77777777" w:rsidR="00031F25" w:rsidRPr="00031F25" w:rsidRDefault="00E9266C" w:rsidP="00935710">
            <w:pPr>
              <w:pStyle w:val="ListParagraph"/>
              <w:spacing w:after="0" w:line="240" w:lineRule="auto"/>
              <w:ind w:left="29"/>
              <w:rPr>
                <w:rFonts w:ascii="Arial" w:hAnsi="Arial" w:cs="Arial"/>
                <w:sz w:val="16"/>
                <w:szCs w:val="16"/>
                <w:u w:val="single"/>
              </w:rPr>
            </w:pPr>
            <w:r w:rsidRPr="00031F25">
              <w:rPr>
                <w:rFonts w:ascii="Arial" w:hAnsi="Arial" w:cs="Arial"/>
                <w:sz w:val="16"/>
                <w:szCs w:val="16"/>
                <w:u w:val="single"/>
              </w:rPr>
              <w:t>Any other services</w:t>
            </w:r>
          </w:p>
          <w:p w14:paraId="3539BB92" w14:textId="54084990" w:rsidR="00031F25" w:rsidRPr="00031F25" w:rsidRDefault="00031F25" w:rsidP="00935710">
            <w:pPr>
              <w:ind w:left="29"/>
              <w:rPr>
                <w:rFonts w:ascii="Arial" w:hAnsi="Arial" w:cs="Arial"/>
                <w:sz w:val="16"/>
                <w:szCs w:val="16"/>
              </w:rPr>
            </w:pPr>
            <w:r w:rsidRPr="00031F25">
              <w:rPr>
                <w:rFonts w:ascii="Arial" w:hAnsi="Arial" w:cs="Arial"/>
                <w:sz w:val="16"/>
                <w:szCs w:val="16"/>
              </w:rPr>
              <w:t>(a</w:t>
            </w:r>
            <w:r>
              <w:rPr>
                <w:rFonts w:ascii="Arial" w:hAnsi="Arial" w:cs="Arial"/>
                <w:sz w:val="16"/>
                <w:szCs w:val="16"/>
              </w:rPr>
              <w:t xml:space="preserve">) </w:t>
            </w:r>
            <w:r w:rsidRPr="00031F25">
              <w:rPr>
                <w:rFonts w:ascii="Arial" w:hAnsi="Arial" w:cs="Arial"/>
                <w:sz w:val="16"/>
                <w:szCs w:val="16"/>
              </w:rPr>
              <w:t xml:space="preserve">Providing general collateral management services as </w:t>
            </w:r>
            <w:proofErr w:type="gramStart"/>
            <w:r w:rsidRPr="00031F25">
              <w:rPr>
                <w:rFonts w:ascii="Arial" w:hAnsi="Arial" w:cs="Arial"/>
                <w:sz w:val="16"/>
                <w:szCs w:val="16"/>
              </w:rPr>
              <w:t>agent;</w:t>
            </w:r>
            <w:proofErr w:type="gramEnd"/>
          </w:p>
          <w:p w14:paraId="1BC528B3" w14:textId="486D4102" w:rsidR="00031F25" w:rsidRPr="00031F25" w:rsidRDefault="00031F25" w:rsidP="00935710">
            <w:pPr>
              <w:pStyle w:val="ListParagraph"/>
              <w:spacing w:after="0" w:line="240" w:lineRule="auto"/>
              <w:ind w:left="29"/>
              <w:rPr>
                <w:rFonts w:ascii="Arial" w:hAnsi="Arial" w:cs="Arial"/>
                <w:sz w:val="16"/>
                <w:szCs w:val="16"/>
              </w:rPr>
            </w:pPr>
            <w:r w:rsidRPr="00031F25">
              <w:rPr>
                <w:rFonts w:ascii="Arial" w:hAnsi="Arial" w:cs="Arial"/>
                <w:sz w:val="16"/>
                <w:szCs w:val="16"/>
              </w:rPr>
              <w:t xml:space="preserve">(b) Providing regulatory </w:t>
            </w:r>
            <w:proofErr w:type="gramStart"/>
            <w:r w:rsidRPr="00031F25">
              <w:rPr>
                <w:rFonts w:ascii="Arial" w:hAnsi="Arial" w:cs="Arial"/>
                <w:sz w:val="16"/>
                <w:szCs w:val="16"/>
              </w:rPr>
              <w:t>reporting;</w:t>
            </w:r>
            <w:proofErr w:type="gramEnd"/>
          </w:p>
          <w:p w14:paraId="7C11852F" w14:textId="19D08740" w:rsidR="00031F25" w:rsidRPr="00031F25" w:rsidRDefault="00031F25" w:rsidP="00935710">
            <w:pPr>
              <w:pStyle w:val="ListParagraph"/>
              <w:spacing w:after="0" w:line="240" w:lineRule="auto"/>
              <w:ind w:left="29"/>
              <w:rPr>
                <w:rFonts w:ascii="Arial" w:hAnsi="Arial" w:cs="Arial"/>
                <w:sz w:val="16"/>
                <w:szCs w:val="16"/>
              </w:rPr>
            </w:pPr>
            <w:r w:rsidRPr="00031F25">
              <w:rPr>
                <w:rFonts w:ascii="Arial" w:hAnsi="Arial" w:cs="Arial"/>
                <w:sz w:val="16"/>
                <w:szCs w:val="16"/>
              </w:rPr>
              <w:t xml:space="preserve">(c) Providing information, data and statistics to market/census bureaus or other governmental or inter-governmental </w:t>
            </w:r>
            <w:proofErr w:type="gramStart"/>
            <w:r w:rsidRPr="00031F25">
              <w:rPr>
                <w:rFonts w:ascii="Arial" w:hAnsi="Arial" w:cs="Arial"/>
                <w:sz w:val="16"/>
                <w:szCs w:val="16"/>
              </w:rPr>
              <w:t>entities;</w:t>
            </w:r>
            <w:proofErr w:type="gramEnd"/>
          </w:p>
          <w:p w14:paraId="099C1324" w14:textId="7684375F" w:rsidR="00031F25" w:rsidRPr="00031F25" w:rsidRDefault="00031F25" w:rsidP="00935710">
            <w:pPr>
              <w:pStyle w:val="ListParagraph"/>
              <w:spacing w:after="0" w:line="240" w:lineRule="auto"/>
              <w:ind w:left="29"/>
              <w:rPr>
                <w:rFonts w:ascii="Arial" w:hAnsi="Arial" w:cs="Arial"/>
                <w:sz w:val="16"/>
                <w:szCs w:val="16"/>
              </w:rPr>
            </w:pPr>
            <w:r w:rsidRPr="00031F25">
              <w:rPr>
                <w:rFonts w:ascii="Arial" w:hAnsi="Arial" w:cs="Arial"/>
                <w:sz w:val="16"/>
                <w:szCs w:val="16"/>
              </w:rPr>
              <w:t>(d) Providing IT services.</w:t>
            </w:r>
          </w:p>
          <w:p w14:paraId="132A1883" w14:textId="77777777" w:rsidR="00031F25" w:rsidRPr="00031F25" w:rsidRDefault="00031F25" w:rsidP="00935710">
            <w:pPr>
              <w:pStyle w:val="ListParagraph"/>
              <w:spacing w:after="0" w:line="240" w:lineRule="auto"/>
              <w:ind w:left="29"/>
              <w:rPr>
                <w:rFonts w:ascii="Arial" w:hAnsi="Arial" w:cs="Arial"/>
                <w:sz w:val="16"/>
                <w:szCs w:val="16"/>
              </w:rPr>
            </w:pPr>
          </w:p>
          <w:p w14:paraId="49763F41" w14:textId="77777777" w:rsidR="00031F25" w:rsidRPr="00031F25" w:rsidRDefault="00031F25" w:rsidP="00935710">
            <w:pPr>
              <w:pStyle w:val="ListParagraph"/>
              <w:spacing w:after="0" w:line="240" w:lineRule="auto"/>
              <w:ind w:left="29"/>
              <w:rPr>
                <w:rFonts w:ascii="Arial" w:hAnsi="Arial" w:cs="Arial"/>
                <w:sz w:val="16"/>
                <w:szCs w:val="16"/>
              </w:rPr>
            </w:pPr>
          </w:p>
          <w:p w14:paraId="388C464C" w14:textId="50FB0832" w:rsidR="00E9266C" w:rsidRPr="00935710" w:rsidRDefault="00E9266C" w:rsidP="00935710">
            <w:pPr>
              <w:pStyle w:val="ListParagraph"/>
              <w:spacing w:after="0" w:line="240" w:lineRule="auto"/>
              <w:ind w:left="29"/>
              <w:rPr>
                <w:rFonts w:ascii="Arial" w:hAnsi="Arial" w:cs="Arial"/>
                <w:b/>
                <w:bCs/>
                <w:sz w:val="16"/>
                <w:szCs w:val="16"/>
                <w:u w:val="single"/>
              </w:rPr>
            </w:pPr>
            <w:r w:rsidRPr="00935710">
              <w:rPr>
                <w:rFonts w:ascii="Arial" w:hAnsi="Arial" w:cs="Arial"/>
                <w:b/>
                <w:bCs/>
                <w:sz w:val="16"/>
                <w:szCs w:val="16"/>
              </w:rPr>
              <w:t>Ancillary services allowed but not explicitly listed in Section B:</w:t>
            </w:r>
          </w:p>
          <w:p w14:paraId="13DD60D2" w14:textId="17490C03" w:rsidR="00E9266C" w:rsidRPr="00031F25" w:rsidRDefault="00E9266C" w:rsidP="00935710">
            <w:pPr>
              <w:pStyle w:val="ListParagraph"/>
              <w:spacing w:after="0" w:line="240" w:lineRule="auto"/>
              <w:ind w:left="29"/>
              <w:rPr>
                <w:rFonts w:ascii="Arial" w:hAnsi="Arial" w:cs="Arial"/>
                <w:sz w:val="16"/>
                <w:szCs w:val="16"/>
              </w:rPr>
            </w:pPr>
          </w:p>
        </w:tc>
        <w:tc>
          <w:tcPr>
            <w:tcW w:w="609" w:type="pct"/>
          </w:tcPr>
          <w:p w14:paraId="742F68C1" w14:textId="77777777" w:rsidR="00E9266C" w:rsidRPr="004C5B6A" w:rsidRDefault="00CD11F6" w:rsidP="007F68F7">
            <w:pPr>
              <w:rPr>
                <w:rFonts w:ascii="Arial" w:hAnsi="Arial" w:cs="Arial"/>
                <w:b/>
                <w:bCs/>
                <w:sz w:val="16"/>
                <w:szCs w:val="16"/>
              </w:rPr>
            </w:pPr>
            <w:r w:rsidRPr="004C5B6A">
              <w:rPr>
                <w:rFonts w:ascii="Arial" w:hAnsi="Arial" w:cs="Arial"/>
                <w:b/>
                <w:bCs/>
                <w:sz w:val="16"/>
                <w:szCs w:val="16"/>
              </w:rPr>
              <w:lastRenderedPageBreak/>
              <w:t xml:space="preserve">Banking-type ancillary services listed in Section C: </w:t>
            </w:r>
          </w:p>
          <w:p w14:paraId="377AE638" w14:textId="0F8A0C24" w:rsidR="005E38CE" w:rsidRPr="005E38CE" w:rsidRDefault="005E38CE" w:rsidP="005E38CE">
            <w:pPr>
              <w:rPr>
                <w:rFonts w:ascii="Arial" w:hAnsi="Arial" w:cs="Arial"/>
                <w:sz w:val="16"/>
                <w:szCs w:val="16"/>
              </w:rPr>
            </w:pPr>
            <w:r>
              <w:rPr>
                <w:rFonts w:ascii="Arial" w:hAnsi="Arial" w:cs="Arial"/>
                <w:sz w:val="16"/>
                <w:szCs w:val="16"/>
              </w:rPr>
              <w:t>(</w:t>
            </w:r>
            <w:r w:rsidRPr="005E38CE">
              <w:rPr>
                <w:rFonts w:ascii="Arial" w:hAnsi="Arial" w:cs="Arial"/>
                <w:sz w:val="16"/>
                <w:szCs w:val="16"/>
              </w:rPr>
              <w:t>a)</w:t>
            </w:r>
            <w:r>
              <w:rPr>
                <w:rFonts w:ascii="Arial" w:hAnsi="Arial" w:cs="Arial"/>
                <w:sz w:val="16"/>
                <w:szCs w:val="16"/>
              </w:rPr>
              <w:t xml:space="preserve"> </w:t>
            </w:r>
            <w:r w:rsidRPr="005E38CE">
              <w:rPr>
                <w:rFonts w:ascii="Arial" w:hAnsi="Arial" w:cs="Arial"/>
                <w:sz w:val="16"/>
                <w:szCs w:val="16"/>
              </w:rPr>
              <w:t>Providing cash accounts to, and accepting deposits from, participants in a securities settlement system and holders of securities accounts, within the meaning of point 1 of Annex I to Directive 2013/36/</w:t>
            </w:r>
            <w:proofErr w:type="gramStart"/>
            <w:r w:rsidRPr="005E38CE">
              <w:rPr>
                <w:rFonts w:ascii="Arial" w:hAnsi="Arial" w:cs="Arial"/>
                <w:sz w:val="16"/>
                <w:szCs w:val="16"/>
              </w:rPr>
              <w:t>EU;</w:t>
            </w:r>
            <w:proofErr w:type="gramEnd"/>
          </w:p>
          <w:p w14:paraId="00DEB6D5" w14:textId="77777777" w:rsidR="005E38CE" w:rsidRPr="005E38CE" w:rsidRDefault="005E38CE" w:rsidP="005E38CE">
            <w:pPr>
              <w:rPr>
                <w:rFonts w:ascii="Arial" w:hAnsi="Arial" w:cs="Arial"/>
                <w:sz w:val="16"/>
                <w:szCs w:val="16"/>
              </w:rPr>
            </w:pPr>
          </w:p>
          <w:p w14:paraId="7F2EADEF" w14:textId="5300FE33" w:rsidR="005E38CE" w:rsidRPr="005E38CE" w:rsidRDefault="005E38CE" w:rsidP="005E38CE">
            <w:pPr>
              <w:rPr>
                <w:rFonts w:ascii="Arial" w:hAnsi="Arial" w:cs="Arial"/>
                <w:sz w:val="16"/>
                <w:szCs w:val="16"/>
              </w:rPr>
            </w:pPr>
            <w:r w:rsidRPr="005E38CE">
              <w:rPr>
                <w:rFonts w:ascii="Arial" w:hAnsi="Arial" w:cs="Arial"/>
                <w:sz w:val="16"/>
                <w:szCs w:val="16"/>
              </w:rPr>
              <w:t>(b) Providing cash credit for reimbursement no later than the following business day, cash lending to pre-finance corporate actions and lending securities to holders of securities accounts, within the meaning of point 2 of Annex I to Directive 2013/36/</w:t>
            </w:r>
            <w:proofErr w:type="gramStart"/>
            <w:r w:rsidRPr="005E38CE">
              <w:rPr>
                <w:rFonts w:ascii="Arial" w:hAnsi="Arial" w:cs="Arial"/>
                <w:sz w:val="16"/>
                <w:szCs w:val="16"/>
              </w:rPr>
              <w:t>EU;</w:t>
            </w:r>
            <w:proofErr w:type="gramEnd"/>
          </w:p>
          <w:p w14:paraId="3CD3B245" w14:textId="77777777" w:rsidR="005E38CE" w:rsidRPr="005E38CE" w:rsidRDefault="005E38CE" w:rsidP="005E38CE">
            <w:pPr>
              <w:rPr>
                <w:rFonts w:ascii="Arial" w:hAnsi="Arial" w:cs="Arial"/>
                <w:sz w:val="16"/>
                <w:szCs w:val="16"/>
              </w:rPr>
            </w:pPr>
          </w:p>
          <w:p w14:paraId="3D099737" w14:textId="7668A6EA" w:rsidR="005E38CE" w:rsidRPr="005E38CE" w:rsidRDefault="005E38CE" w:rsidP="005E38CE">
            <w:pPr>
              <w:rPr>
                <w:rFonts w:ascii="Arial" w:hAnsi="Arial" w:cs="Arial"/>
                <w:sz w:val="16"/>
                <w:szCs w:val="16"/>
              </w:rPr>
            </w:pPr>
            <w:r w:rsidRPr="005E38CE">
              <w:rPr>
                <w:rFonts w:ascii="Arial" w:hAnsi="Arial" w:cs="Arial"/>
                <w:sz w:val="16"/>
                <w:szCs w:val="16"/>
              </w:rPr>
              <w:lastRenderedPageBreak/>
              <w:t>(c) Payment services involving processing of cash and foreign exchange transactions, within the meaning of point 4 of Annex I to Directive 2013/36/</w:t>
            </w:r>
            <w:proofErr w:type="gramStart"/>
            <w:r w:rsidRPr="005E38CE">
              <w:rPr>
                <w:rFonts w:ascii="Arial" w:hAnsi="Arial" w:cs="Arial"/>
                <w:sz w:val="16"/>
                <w:szCs w:val="16"/>
              </w:rPr>
              <w:t>EU;</w:t>
            </w:r>
            <w:proofErr w:type="gramEnd"/>
          </w:p>
          <w:p w14:paraId="33FAE5EF" w14:textId="77777777" w:rsidR="005E38CE" w:rsidRPr="005E38CE" w:rsidRDefault="005E38CE" w:rsidP="005E38CE">
            <w:pPr>
              <w:rPr>
                <w:rFonts w:ascii="Arial" w:hAnsi="Arial" w:cs="Arial"/>
                <w:sz w:val="16"/>
                <w:szCs w:val="16"/>
              </w:rPr>
            </w:pPr>
          </w:p>
          <w:p w14:paraId="18811891" w14:textId="1B42D9CD" w:rsidR="005E38CE" w:rsidRPr="005E38CE" w:rsidRDefault="005E38CE" w:rsidP="005E38CE">
            <w:pPr>
              <w:rPr>
                <w:rFonts w:ascii="Arial" w:hAnsi="Arial" w:cs="Arial"/>
                <w:sz w:val="16"/>
                <w:szCs w:val="16"/>
              </w:rPr>
            </w:pPr>
            <w:r w:rsidRPr="005E38CE">
              <w:rPr>
                <w:rFonts w:ascii="Arial" w:hAnsi="Arial" w:cs="Arial"/>
                <w:sz w:val="16"/>
                <w:szCs w:val="16"/>
              </w:rPr>
              <w:t>(d) Guarantees and commitments related to securities lending and borrowing, within the meaning of point 6 of Annex I to Directive 2013/36/</w:t>
            </w:r>
            <w:proofErr w:type="gramStart"/>
            <w:r w:rsidRPr="005E38CE">
              <w:rPr>
                <w:rFonts w:ascii="Arial" w:hAnsi="Arial" w:cs="Arial"/>
                <w:sz w:val="16"/>
                <w:szCs w:val="16"/>
              </w:rPr>
              <w:t>EU;</w:t>
            </w:r>
            <w:proofErr w:type="gramEnd"/>
          </w:p>
          <w:p w14:paraId="2B9826D4" w14:textId="77777777" w:rsidR="005E38CE" w:rsidRPr="005E38CE" w:rsidRDefault="005E38CE" w:rsidP="005E38CE">
            <w:pPr>
              <w:rPr>
                <w:rFonts w:ascii="Arial" w:hAnsi="Arial" w:cs="Arial"/>
                <w:sz w:val="16"/>
                <w:szCs w:val="16"/>
              </w:rPr>
            </w:pPr>
          </w:p>
          <w:p w14:paraId="7F882558" w14:textId="629C48C3" w:rsidR="00CD11F6" w:rsidRPr="004C5B6A" w:rsidRDefault="005E38CE" w:rsidP="005E38CE">
            <w:pPr>
              <w:rPr>
                <w:rFonts w:ascii="Arial" w:hAnsi="Arial" w:cs="Arial"/>
                <w:sz w:val="16"/>
                <w:szCs w:val="16"/>
              </w:rPr>
            </w:pPr>
            <w:r w:rsidRPr="005E38CE">
              <w:rPr>
                <w:rFonts w:ascii="Arial" w:hAnsi="Arial" w:cs="Arial"/>
                <w:sz w:val="16"/>
                <w:szCs w:val="16"/>
              </w:rPr>
              <w:t>(e) Treasury activities involving foreign exchange and transferable securities related to managing participants’ long balances, within the meaning of points 7(b) and (e) of Annex I to Directive 2013/36/EU.</w:t>
            </w:r>
          </w:p>
          <w:p w14:paraId="16D307F9" w14:textId="77777777" w:rsidR="00CD11F6" w:rsidRPr="004C5B6A" w:rsidRDefault="00CD11F6" w:rsidP="007F68F7">
            <w:pPr>
              <w:rPr>
                <w:rFonts w:ascii="Arial" w:hAnsi="Arial" w:cs="Arial"/>
                <w:sz w:val="16"/>
                <w:szCs w:val="16"/>
              </w:rPr>
            </w:pPr>
          </w:p>
          <w:p w14:paraId="5B7DC36A" w14:textId="77777777" w:rsidR="00CD11F6" w:rsidRPr="004C5B6A" w:rsidRDefault="00CD11F6" w:rsidP="007F68F7">
            <w:pPr>
              <w:rPr>
                <w:rFonts w:ascii="Arial" w:hAnsi="Arial" w:cs="Arial"/>
                <w:sz w:val="16"/>
                <w:szCs w:val="16"/>
              </w:rPr>
            </w:pPr>
          </w:p>
          <w:p w14:paraId="66E7CF51" w14:textId="77777777" w:rsidR="00CD11F6" w:rsidRPr="004C5B6A" w:rsidRDefault="00CD11F6" w:rsidP="007F68F7">
            <w:pPr>
              <w:rPr>
                <w:rFonts w:ascii="Arial" w:hAnsi="Arial" w:cs="Arial"/>
                <w:sz w:val="16"/>
                <w:szCs w:val="16"/>
              </w:rPr>
            </w:pPr>
          </w:p>
          <w:p w14:paraId="2ED81AE7" w14:textId="67EA7112" w:rsidR="00CD11F6" w:rsidRPr="004C5B6A" w:rsidRDefault="00CD11F6" w:rsidP="007F68F7">
            <w:pPr>
              <w:rPr>
                <w:rFonts w:ascii="Arial" w:hAnsi="Arial" w:cs="Arial"/>
                <w:b/>
                <w:bCs/>
                <w:sz w:val="16"/>
                <w:szCs w:val="16"/>
              </w:rPr>
            </w:pPr>
            <w:r w:rsidRPr="004C5B6A">
              <w:rPr>
                <w:rFonts w:ascii="Arial" w:hAnsi="Arial" w:cs="Arial"/>
                <w:b/>
                <w:bCs/>
                <w:sz w:val="16"/>
                <w:szCs w:val="16"/>
              </w:rPr>
              <w:lastRenderedPageBreak/>
              <w:t>Banking-type ancillary services allowed but not listed in Section C:</w:t>
            </w:r>
          </w:p>
        </w:tc>
        <w:tc>
          <w:tcPr>
            <w:tcW w:w="427" w:type="pct"/>
          </w:tcPr>
          <w:p w14:paraId="338CD5C1" w14:textId="77777777" w:rsidR="00E9266C" w:rsidRPr="004C5B6A" w:rsidRDefault="00E9266C" w:rsidP="007F68F7">
            <w:pPr>
              <w:rPr>
                <w:rFonts w:ascii="Arial" w:hAnsi="Arial" w:cs="Arial"/>
                <w:sz w:val="16"/>
                <w:szCs w:val="16"/>
              </w:rPr>
            </w:pPr>
          </w:p>
        </w:tc>
      </w:tr>
    </w:tbl>
    <w:p w14:paraId="17BCAB6F" w14:textId="77777777" w:rsidR="002F73BB" w:rsidRPr="00590D84" w:rsidRDefault="002F73BB" w:rsidP="00590D84">
      <w:pPr>
        <w:pStyle w:val="Heading1"/>
        <w:numPr>
          <w:ilvl w:val="0"/>
          <w:numId w:val="13"/>
        </w:numPr>
        <w:ind w:left="360"/>
        <w:rPr>
          <w:rFonts w:cs="Arial"/>
          <w:b/>
          <w:color w:val="auto"/>
        </w:rPr>
      </w:pPr>
      <w:r w:rsidRPr="00590D84">
        <w:rPr>
          <w:rFonts w:cs="Arial"/>
          <w:b/>
          <w:color w:val="auto"/>
        </w:rPr>
        <w:lastRenderedPageBreak/>
        <w:br w:type="page"/>
      </w:r>
    </w:p>
    <w:p w14:paraId="3C0989C8" w14:textId="77777777" w:rsidR="002F73BB" w:rsidRPr="00A06325" w:rsidRDefault="002F73BB" w:rsidP="002F73BB">
      <w:pPr>
        <w:rPr>
          <w:rFonts w:ascii="Arial" w:hAnsi="Arial" w:cs="Arial"/>
          <w:b/>
          <w:sz w:val="28"/>
          <w:szCs w:val="28"/>
        </w:rPr>
      </w:pPr>
    </w:p>
    <w:tbl>
      <w:tblPr>
        <w:tblStyle w:val="TableGrid"/>
        <w:tblW w:w="5000" w:type="pct"/>
        <w:tblLayout w:type="fixed"/>
        <w:tblLook w:val="04A0" w:firstRow="1" w:lastRow="0" w:firstColumn="1" w:lastColumn="0" w:noHBand="0" w:noVBand="1"/>
      </w:tblPr>
      <w:tblGrid>
        <w:gridCol w:w="1296"/>
        <w:gridCol w:w="1562"/>
        <w:gridCol w:w="1177"/>
        <w:gridCol w:w="1174"/>
        <w:gridCol w:w="1041"/>
        <w:gridCol w:w="1306"/>
        <w:gridCol w:w="1306"/>
        <w:gridCol w:w="1041"/>
        <w:gridCol w:w="1177"/>
        <w:gridCol w:w="1434"/>
        <w:gridCol w:w="1434"/>
      </w:tblGrid>
      <w:tr w:rsidR="00DA468C" w:rsidRPr="00590D84" w14:paraId="6A16B461" w14:textId="77777777" w:rsidTr="00E9266C">
        <w:trPr>
          <w:trHeight w:val="70"/>
        </w:trPr>
        <w:tc>
          <w:tcPr>
            <w:tcW w:w="5000" w:type="pct"/>
            <w:gridSpan w:val="11"/>
            <w:shd w:val="clear" w:color="auto" w:fill="ED7D31" w:themeFill="accent2"/>
          </w:tcPr>
          <w:p w14:paraId="620B6460" w14:textId="27AC1184" w:rsidR="00DA468C" w:rsidRPr="001636C3" w:rsidRDefault="00DA468C" w:rsidP="001636C3">
            <w:pPr>
              <w:pStyle w:val="Heading1"/>
              <w:numPr>
                <w:ilvl w:val="0"/>
                <w:numId w:val="14"/>
              </w:numPr>
              <w:spacing w:line="259" w:lineRule="auto"/>
              <w:rPr>
                <w:rFonts w:cs="Arial"/>
                <w:b/>
                <w:color w:val="auto"/>
              </w:rPr>
            </w:pPr>
            <w:bookmarkStart w:id="2" w:name="_Toc195712423"/>
            <w:r w:rsidRPr="00590D84">
              <w:rPr>
                <w:rFonts w:cs="Arial"/>
                <w:b/>
                <w:color w:val="auto"/>
              </w:rPr>
              <w:t>E</w:t>
            </w:r>
            <w:r w:rsidR="00C02BF0">
              <w:rPr>
                <w:rFonts w:cs="Arial"/>
                <w:b/>
                <w:color w:val="auto"/>
              </w:rPr>
              <w:t>EA</w:t>
            </w:r>
            <w:r w:rsidRPr="00590D84">
              <w:rPr>
                <w:rFonts w:cs="Arial"/>
                <w:b/>
                <w:color w:val="auto"/>
              </w:rPr>
              <w:t xml:space="preserve"> CSDs – additional information on each CSD</w:t>
            </w:r>
            <w:bookmarkEnd w:id="2"/>
          </w:p>
        </w:tc>
      </w:tr>
      <w:tr w:rsidR="00DA468C" w:rsidRPr="00112DBA" w14:paraId="180CB9E4" w14:textId="77777777" w:rsidTr="00DA468C">
        <w:trPr>
          <w:trHeight w:val="70"/>
        </w:trPr>
        <w:tc>
          <w:tcPr>
            <w:tcW w:w="5000" w:type="pct"/>
            <w:gridSpan w:val="11"/>
            <w:shd w:val="clear" w:color="auto" w:fill="auto"/>
          </w:tcPr>
          <w:p w14:paraId="32823099" w14:textId="77777777" w:rsidR="00DA468C" w:rsidRPr="002F4214" w:rsidRDefault="00DA468C" w:rsidP="00C03446">
            <w:pPr>
              <w:rPr>
                <w:rFonts w:ascii="Arial" w:hAnsi="Arial" w:cs="Arial"/>
                <w:b/>
              </w:rPr>
            </w:pPr>
          </w:p>
          <w:p w14:paraId="478F2942" w14:textId="77777777" w:rsidR="00DA468C" w:rsidRPr="00112DBA" w:rsidRDefault="00DA468C" w:rsidP="00C03446">
            <w:pPr>
              <w:rPr>
                <w:rFonts w:ascii="Arial" w:hAnsi="Arial" w:cs="Arial"/>
                <w:b/>
                <w:sz w:val="24"/>
                <w:szCs w:val="24"/>
              </w:rPr>
            </w:pPr>
            <w:r>
              <w:rPr>
                <w:rFonts w:ascii="Arial" w:hAnsi="Arial" w:cs="Arial"/>
                <w:b/>
                <w:sz w:val="24"/>
                <w:szCs w:val="24"/>
              </w:rPr>
              <w:t xml:space="preserve">[specify </w:t>
            </w:r>
            <w:r w:rsidRPr="00112DBA">
              <w:rPr>
                <w:rFonts w:ascii="Arial" w:hAnsi="Arial" w:cs="Arial"/>
                <w:b/>
                <w:sz w:val="24"/>
                <w:szCs w:val="24"/>
              </w:rPr>
              <w:t xml:space="preserve">CSD Name </w:t>
            </w:r>
            <w:r>
              <w:rPr>
                <w:rFonts w:ascii="Arial" w:hAnsi="Arial" w:cs="Arial"/>
                <w:b/>
                <w:sz w:val="24"/>
                <w:szCs w:val="24"/>
              </w:rPr>
              <w:t xml:space="preserve">- </w:t>
            </w:r>
            <w:r w:rsidRPr="00112DBA">
              <w:rPr>
                <w:rFonts w:ascii="Arial" w:hAnsi="Arial" w:cs="Arial"/>
                <w:b/>
                <w:sz w:val="24"/>
                <w:szCs w:val="24"/>
              </w:rPr>
              <w:t>Home Member State</w:t>
            </w:r>
            <w:r>
              <w:rPr>
                <w:rFonts w:ascii="Arial" w:hAnsi="Arial" w:cs="Arial"/>
                <w:b/>
                <w:sz w:val="24"/>
                <w:szCs w:val="24"/>
              </w:rPr>
              <w:t>]</w:t>
            </w:r>
          </w:p>
          <w:p w14:paraId="3E6A88BE" w14:textId="77777777" w:rsidR="00DA468C" w:rsidRPr="002F4214" w:rsidRDefault="00DA468C" w:rsidP="00C03446">
            <w:pPr>
              <w:rPr>
                <w:rFonts w:ascii="Arial" w:hAnsi="Arial" w:cs="Arial"/>
                <w:b/>
              </w:rPr>
            </w:pPr>
          </w:p>
        </w:tc>
      </w:tr>
      <w:tr w:rsidR="002F73BB" w:rsidRPr="00112DBA" w14:paraId="573D579E" w14:textId="77777777" w:rsidTr="00E9266C">
        <w:trPr>
          <w:trHeight w:val="70"/>
        </w:trPr>
        <w:tc>
          <w:tcPr>
            <w:tcW w:w="465" w:type="pct"/>
            <w:shd w:val="clear" w:color="auto" w:fill="F7CAAC" w:themeFill="accent2" w:themeFillTint="66"/>
            <w:vAlign w:val="center"/>
          </w:tcPr>
          <w:p w14:paraId="3B4423A4" w14:textId="77777777" w:rsidR="002F73BB" w:rsidRPr="00112DBA" w:rsidRDefault="002F73BB" w:rsidP="00C03446">
            <w:pPr>
              <w:jc w:val="center"/>
              <w:rPr>
                <w:rFonts w:ascii="Arial" w:hAnsi="Arial" w:cs="Arial"/>
                <w:b/>
                <w:sz w:val="20"/>
              </w:rPr>
            </w:pPr>
            <w:r w:rsidRPr="00112DBA">
              <w:rPr>
                <w:rFonts w:ascii="Arial" w:hAnsi="Arial" w:cs="Arial"/>
                <w:b/>
                <w:sz w:val="20"/>
              </w:rPr>
              <w:t>Securities settlement system(s) operated by the CSD</w:t>
            </w:r>
          </w:p>
        </w:tc>
        <w:tc>
          <w:tcPr>
            <w:tcW w:w="560" w:type="pct"/>
            <w:shd w:val="clear" w:color="auto" w:fill="F7CAAC" w:themeFill="accent2" w:themeFillTint="66"/>
          </w:tcPr>
          <w:p w14:paraId="40180CD1" w14:textId="77777777" w:rsidR="002F73BB" w:rsidRPr="00112DBA" w:rsidRDefault="002F73BB" w:rsidP="00C03446">
            <w:pPr>
              <w:jc w:val="center"/>
              <w:rPr>
                <w:rFonts w:ascii="Arial" w:hAnsi="Arial" w:cs="Arial"/>
                <w:b/>
                <w:sz w:val="20"/>
              </w:rPr>
            </w:pPr>
            <w:r w:rsidRPr="00112DBA">
              <w:rPr>
                <w:rFonts w:ascii="Arial" w:hAnsi="Arial" w:cs="Arial"/>
                <w:b/>
                <w:sz w:val="20"/>
              </w:rPr>
              <w:t>Classes of financial instruments</w:t>
            </w:r>
          </w:p>
        </w:tc>
        <w:tc>
          <w:tcPr>
            <w:tcW w:w="1216" w:type="pct"/>
            <w:gridSpan w:val="3"/>
            <w:shd w:val="clear" w:color="auto" w:fill="F7CAAC" w:themeFill="accent2" w:themeFillTint="66"/>
          </w:tcPr>
          <w:p w14:paraId="75B07747" w14:textId="77777777" w:rsidR="002F73BB" w:rsidRPr="00112DBA" w:rsidRDefault="002F73BB" w:rsidP="00C03446">
            <w:pPr>
              <w:jc w:val="center"/>
              <w:rPr>
                <w:rFonts w:ascii="Arial" w:hAnsi="Arial" w:cs="Arial"/>
                <w:b/>
                <w:sz w:val="20"/>
              </w:rPr>
            </w:pPr>
            <w:r w:rsidRPr="00112DBA">
              <w:rPr>
                <w:rFonts w:ascii="Arial" w:hAnsi="Arial" w:cs="Arial"/>
                <w:b/>
                <w:sz w:val="20"/>
              </w:rPr>
              <w:t>CSD links</w:t>
            </w:r>
          </w:p>
          <w:p w14:paraId="0DDCD854" w14:textId="77777777" w:rsidR="002F73BB" w:rsidRPr="00112DBA" w:rsidRDefault="002F73BB" w:rsidP="00C03446">
            <w:pPr>
              <w:jc w:val="center"/>
              <w:rPr>
                <w:rFonts w:ascii="Arial" w:hAnsi="Arial" w:cs="Arial"/>
                <w:b/>
                <w:sz w:val="20"/>
              </w:rPr>
            </w:pPr>
          </w:p>
        </w:tc>
        <w:tc>
          <w:tcPr>
            <w:tcW w:w="936" w:type="pct"/>
            <w:gridSpan w:val="2"/>
            <w:shd w:val="clear" w:color="auto" w:fill="F7CAAC" w:themeFill="accent2" w:themeFillTint="66"/>
          </w:tcPr>
          <w:p w14:paraId="6C63D9F7" w14:textId="77777777" w:rsidR="002F73BB" w:rsidRPr="00112DBA" w:rsidRDefault="002F73BB" w:rsidP="00C03446">
            <w:pPr>
              <w:jc w:val="center"/>
              <w:rPr>
                <w:rFonts w:ascii="Arial" w:hAnsi="Arial" w:cs="Arial"/>
                <w:b/>
                <w:sz w:val="20"/>
              </w:rPr>
            </w:pPr>
            <w:r w:rsidRPr="00112DBA">
              <w:rPr>
                <w:rFonts w:ascii="Arial" w:hAnsi="Arial" w:cs="Arial"/>
                <w:b/>
                <w:sz w:val="20"/>
              </w:rPr>
              <w:t>Designated credit institutions</w:t>
            </w:r>
          </w:p>
        </w:tc>
        <w:tc>
          <w:tcPr>
            <w:tcW w:w="1823" w:type="pct"/>
            <w:gridSpan w:val="4"/>
            <w:shd w:val="clear" w:color="auto" w:fill="F7CAAC" w:themeFill="accent2" w:themeFillTint="66"/>
          </w:tcPr>
          <w:p w14:paraId="4DADD58F" w14:textId="77777777" w:rsidR="002F73BB" w:rsidRDefault="002F73BB" w:rsidP="00C03446">
            <w:pPr>
              <w:jc w:val="center"/>
              <w:rPr>
                <w:rFonts w:ascii="Arial" w:hAnsi="Arial" w:cs="Arial"/>
                <w:b/>
                <w:sz w:val="20"/>
              </w:rPr>
            </w:pPr>
            <w:r w:rsidRPr="00112DBA">
              <w:rPr>
                <w:rFonts w:ascii="Arial" w:hAnsi="Arial" w:cs="Arial"/>
                <w:b/>
                <w:sz w:val="20"/>
              </w:rPr>
              <w:t xml:space="preserve">Services </w:t>
            </w:r>
          </w:p>
          <w:p w14:paraId="20E6C078" w14:textId="77777777" w:rsidR="002F73BB" w:rsidRDefault="002F73BB" w:rsidP="00C03446">
            <w:pPr>
              <w:jc w:val="center"/>
              <w:rPr>
                <w:rFonts w:ascii="Arial" w:hAnsi="Arial" w:cs="Arial"/>
                <w:b/>
                <w:sz w:val="20"/>
              </w:rPr>
            </w:pPr>
            <w:r w:rsidRPr="00112DBA">
              <w:rPr>
                <w:rFonts w:ascii="Arial" w:hAnsi="Arial" w:cs="Arial"/>
                <w:b/>
                <w:sz w:val="20"/>
              </w:rPr>
              <w:t xml:space="preserve">provided in </w:t>
            </w:r>
          </w:p>
          <w:p w14:paraId="4F727630" w14:textId="77777777" w:rsidR="002F73BB" w:rsidRPr="00112DBA" w:rsidRDefault="002F73BB" w:rsidP="00C03446">
            <w:pPr>
              <w:jc w:val="center"/>
              <w:rPr>
                <w:rFonts w:ascii="Arial" w:hAnsi="Arial" w:cs="Arial"/>
                <w:b/>
                <w:sz w:val="20"/>
              </w:rPr>
            </w:pPr>
            <w:r>
              <w:rPr>
                <w:rFonts w:ascii="Arial" w:hAnsi="Arial" w:cs="Arial"/>
                <w:b/>
                <w:sz w:val="20"/>
              </w:rPr>
              <w:t>h</w:t>
            </w:r>
            <w:r w:rsidRPr="00112DBA">
              <w:rPr>
                <w:rFonts w:ascii="Arial" w:hAnsi="Arial" w:cs="Arial"/>
                <w:b/>
                <w:sz w:val="20"/>
              </w:rPr>
              <w:t xml:space="preserve">ost Member States </w:t>
            </w:r>
          </w:p>
          <w:p w14:paraId="752CEAEC" w14:textId="77777777" w:rsidR="002F73BB" w:rsidRPr="00112DBA" w:rsidRDefault="002F73BB" w:rsidP="00C03446">
            <w:pPr>
              <w:jc w:val="center"/>
              <w:rPr>
                <w:rFonts w:ascii="Arial" w:hAnsi="Arial" w:cs="Arial"/>
                <w:b/>
                <w:sz w:val="20"/>
              </w:rPr>
            </w:pPr>
          </w:p>
        </w:tc>
      </w:tr>
      <w:tr w:rsidR="00DA468C" w:rsidRPr="00112DBA" w14:paraId="53433F74" w14:textId="77777777" w:rsidTr="00E9266C">
        <w:trPr>
          <w:trHeight w:val="70"/>
        </w:trPr>
        <w:tc>
          <w:tcPr>
            <w:tcW w:w="465" w:type="pct"/>
            <w:shd w:val="clear" w:color="auto" w:fill="F7CAAC" w:themeFill="accent2" w:themeFillTint="66"/>
          </w:tcPr>
          <w:p w14:paraId="67573A36" w14:textId="77777777" w:rsidR="002F73BB" w:rsidRPr="00112DBA" w:rsidRDefault="002F73BB" w:rsidP="009C142D">
            <w:pPr>
              <w:rPr>
                <w:rFonts w:ascii="Arial" w:hAnsi="Arial" w:cs="Arial"/>
                <w:b/>
                <w:sz w:val="20"/>
              </w:rPr>
            </w:pPr>
          </w:p>
        </w:tc>
        <w:tc>
          <w:tcPr>
            <w:tcW w:w="560" w:type="pct"/>
            <w:shd w:val="clear" w:color="auto" w:fill="F7CAAC" w:themeFill="accent2" w:themeFillTint="66"/>
          </w:tcPr>
          <w:p w14:paraId="18612673" w14:textId="77777777" w:rsidR="002F73BB" w:rsidRPr="00112DBA" w:rsidRDefault="002F73BB" w:rsidP="009C142D">
            <w:pPr>
              <w:rPr>
                <w:rFonts w:ascii="Arial" w:hAnsi="Arial" w:cs="Arial"/>
                <w:b/>
                <w:sz w:val="20"/>
              </w:rPr>
            </w:pPr>
            <w:r w:rsidRPr="008072B1">
              <w:rPr>
                <w:rFonts w:ascii="Arial" w:hAnsi="Arial" w:cs="Arial"/>
                <w:sz w:val="16"/>
              </w:rPr>
              <w:t xml:space="preserve">Specify the type of financial instruments as referred to in Article 42(1)(d)(i) of the </w:t>
            </w:r>
            <w:r w:rsidRPr="00402D6C">
              <w:rPr>
                <w:rFonts w:ascii="Arial" w:hAnsi="Arial" w:cs="Arial"/>
                <w:sz w:val="16"/>
                <w:lang w:val="en"/>
              </w:rPr>
              <w:t>Commission Delegated Regulatio</w:t>
            </w:r>
            <w:r w:rsidRPr="00A93181">
              <w:rPr>
                <w:rFonts w:ascii="Arial" w:hAnsi="Arial" w:cs="Arial"/>
                <w:sz w:val="16"/>
                <w:lang w:val="en"/>
              </w:rPr>
              <w:t>n (EU) 2017/392</w:t>
            </w:r>
          </w:p>
        </w:tc>
        <w:tc>
          <w:tcPr>
            <w:tcW w:w="422" w:type="pct"/>
            <w:shd w:val="clear" w:color="auto" w:fill="F7CAAC" w:themeFill="accent2" w:themeFillTint="66"/>
          </w:tcPr>
          <w:p w14:paraId="620CD4C7" w14:textId="77777777" w:rsidR="002F73BB" w:rsidRPr="00112DBA" w:rsidRDefault="002F73BB" w:rsidP="009C142D">
            <w:pPr>
              <w:rPr>
                <w:rFonts w:ascii="Arial" w:hAnsi="Arial" w:cs="Arial"/>
                <w:b/>
                <w:sz w:val="20"/>
              </w:rPr>
            </w:pPr>
            <w:r w:rsidRPr="005B0E78">
              <w:rPr>
                <w:rFonts w:ascii="Arial" w:hAnsi="Arial" w:cs="Arial"/>
                <w:sz w:val="16"/>
              </w:rPr>
              <w:t xml:space="preserve">Name of the other </w:t>
            </w:r>
            <w:r>
              <w:rPr>
                <w:rFonts w:ascii="Arial" w:hAnsi="Arial" w:cs="Arial"/>
                <w:sz w:val="16"/>
              </w:rPr>
              <w:t>CSDs</w:t>
            </w:r>
            <w:r w:rsidRPr="005B0E78">
              <w:rPr>
                <w:rFonts w:ascii="Arial" w:hAnsi="Arial" w:cs="Arial"/>
                <w:sz w:val="16"/>
              </w:rPr>
              <w:t xml:space="preserve"> involved in each link </w:t>
            </w:r>
          </w:p>
        </w:tc>
        <w:tc>
          <w:tcPr>
            <w:tcW w:w="421" w:type="pct"/>
            <w:shd w:val="clear" w:color="auto" w:fill="F7CAAC" w:themeFill="accent2" w:themeFillTint="66"/>
          </w:tcPr>
          <w:p w14:paraId="214BCFAE" w14:textId="77777777" w:rsidR="002F73BB" w:rsidRPr="00112DBA" w:rsidRDefault="002F73BB" w:rsidP="009C142D">
            <w:pPr>
              <w:rPr>
                <w:rFonts w:ascii="Arial" w:hAnsi="Arial" w:cs="Arial"/>
                <w:b/>
                <w:sz w:val="20"/>
              </w:rPr>
            </w:pPr>
            <w:r w:rsidRPr="005B0E78">
              <w:rPr>
                <w:rFonts w:ascii="Arial" w:hAnsi="Arial" w:cs="Arial"/>
                <w:sz w:val="16"/>
              </w:rPr>
              <w:t>Specify</w:t>
            </w:r>
            <w:r>
              <w:rPr>
                <w:rFonts w:ascii="Arial" w:hAnsi="Arial" w:cs="Arial"/>
                <w:sz w:val="16"/>
              </w:rPr>
              <w:t xml:space="preserve"> for each link if the other CSDs involved in the link act as</w:t>
            </w:r>
            <w:r w:rsidRPr="005B0E78">
              <w:rPr>
                <w:rFonts w:ascii="Arial" w:hAnsi="Arial" w:cs="Arial"/>
                <w:sz w:val="16"/>
              </w:rPr>
              <w:t xml:space="preserve"> “receiving CSDs</w:t>
            </w:r>
            <w:r>
              <w:rPr>
                <w:rFonts w:ascii="Arial" w:hAnsi="Arial" w:cs="Arial"/>
                <w:sz w:val="16"/>
              </w:rPr>
              <w:t>” or “requesting CSDs”</w:t>
            </w:r>
          </w:p>
        </w:tc>
        <w:tc>
          <w:tcPr>
            <w:tcW w:w="373" w:type="pct"/>
            <w:shd w:val="clear" w:color="auto" w:fill="F7CAAC" w:themeFill="accent2" w:themeFillTint="66"/>
          </w:tcPr>
          <w:p w14:paraId="746B0393" w14:textId="0DE68F26" w:rsidR="002F73BB" w:rsidRPr="00112DBA" w:rsidRDefault="002F73BB" w:rsidP="003B66C3">
            <w:pPr>
              <w:rPr>
                <w:rFonts w:ascii="Arial" w:hAnsi="Arial" w:cs="Arial"/>
                <w:b/>
                <w:sz w:val="20"/>
              </w:rPr>
            </w:pPr>
            <w:r w:rsidRPr="005B0E78">
              <w:rPr>
                <w:rFonts w:ascii="Arial" w:hAnsi="Arial" w:cs="Arial"/>
                <w:sz w:val="16"/>
              </w:rPr>
              <w:t>Type of link (</w:t>
            </w:r>
            <w:r w:rsidR="003B66C3">
              <w:rPr>
                <w:rFonts w:ascii="Arial" w:hAnsi="Arial" w:cs="Arial"/>
                <w:sz w:val="16"/>
              </w:rPr>
              <w:t>standard</w:t>
            </w:r>
            <w:r w:rsidRPr="005B0E78">
              <w:rPr>
                <w:rFonts w:ascii="Arial" w:hAnsi="Arial" w:cs="Arial"/>
                <w:sz w:val="16"/>
              </w:rPr>
              <w:t xml:space="preserve"> link, indirect link, </w:t>
            </w:r>
            <w:proofErr w:type="spellStart"/>
            <w:r w:rsidRPr="005B0E78">
              <w:rPr>
                <w:rFonts w:ascii="Arial" w:hAnsi="Arial" w:cs="Arial"/>
                <w:sz w:val="16"/>
              </w:rPr>
              <w:t>interopera</w:t>
            </w:r>
            <w:r w:rsidR="009C142D">
              <w:rPr>
                <w:rFonts w:ascii="Arial" w:hAnsi="Arial" w:cs="Arial"/>
                <w:sz w:val="16"/>
              </w:rPr>
              <w:t>-</w:t>
            </w:r>
            <w:r w:rsidRPr="005B0E78">
              <w:rPr>
                <w:rFonts w:ascii="Arial" w:hAnsi="Arial" w:cs="Arial"/>
                <w:sz w:val="16"/>
              </w:rPr>
              <w:t>ble</w:t>
            </w:r>
            <w:proofErr w:type="spellEnd"/>
            <w:r w:rsidRPr="005B0E78">
              <w:rPr>
                <w:rFonts w:ascii="Arial" w:hAnsi="Arial" w:cs="Arial"/>
                <w:sz w:val="16"/>
              </w:rPr>
              <w:t xml:space="preserve"> link)</w:t>
            </w:r>
          </w:p>
        </w:tc>
        <w:tc>
          <w:tcPr>
            <w:tcW w:w="468" w:type="pct"/>
            <w:shd w:val="clear" w:color="auto" w:fill="F7CAAC" w:themeFill="accent2" w:themeFillTint="66"/>
          </w:tcPr>
          <w:p w14:paraId="4875158A" w14:textId="77777777" w:rsidR="002F73BB" w:rsidRPr="00497EF9" w:rsidRDefault="002F73BB" w:rsidP="009C142D">
            <w:pPr>
              <w:rPr>
                <w:rFonts w:ascii="Arial" w:hAnsi="Arial" w:cs="Arial"/>
                <w:sz w:val="16"/>
              </w:rPr>
            </w:pPr>
            <w:r w:rsidRPr="00497EF9">
              <w:rPr>
                <w:rFonts w:ascii="Arial" w:hAnsi="Arial" w:cs="Arial"/>
                <w:sz w:val="16"/>
              </w:rPr>
              <w:t xml:space="preserve">Name of the </w:t>
            </w:r>
            <w:r>
              <w:rPr>
                <w:rFonts w:ascii="Arial" w:hAnsi="Arial" w:cs="Arial"/>
                <w:sz w:val="16"/>
              </w:rPr>
              <w:t>credit institution(s)</w:t>
            </w:r>
          </w:p>
        </w:tc>
        <w:tc>
          <w:tcPr>
            <w:tcW w:w="468" w:type="pct"/>
            <w:shd w:val="clear" w:color="auto" w:fill="F7CAAC" w:themeFill="accent2" w:themeFillTint="66"/>
          </w:tcPr>
          <w:p w14:paraId="4EC821C7" w14:textId="77777777" w:rsidR="002F73BB" w:rsidRPr="00497EF9" w:rsidRDefault="002F73BB" w:rsidP="009C142D">
            <w:pPr>
              <w:rPr>
                <w:rFonts w:ascii="Arial" w:hAnsi="Arial" w:cs="Arial"/>
                <w:sz w:val="16"/>
              </w:rPr>
            </w:pPr>
            <w:r w:rsidRPr="00497EF9">
              <w:rPr>
                <w:rFonts w:ascii="Arial" w:hAnsi="Arial" w:cs="Arial"/>
                <w:sz w:val="16"/>
              </w:rPr>
              <w:t>Services provided</w:t>
            </w:r>
            <w:r>
              <w:rPr>
                <w:rFonts w:ascii="Arial" w:hAnsi="Arial" w:cs="Arial"/>
                <w:sz w:val="16"/>
              </w:rPr>
              <w:t xml:space="preserve"> (Annex to CSDR)</w:t>
            </w:r>
          </w:p>
        </w:tc>
        <w:tc>
          <w:tcPr>
            <w:tcW w:w="373" w:type="pct"/>
            <w:shd w:val="clear" w:color="auto" w:fill="F7CAAC" w:themeFill="accent2" w:themeFillTint="66"/>
          </w:tcPr>
          <w:p w14:paraId="6EC4B68B" w14:textId="77777777" w:rsidR="002F73BB" w:rsidRPr="00114A8C" w:rsidRDefault="002F73BB" w:rsidP="009C142D">
            <w:pPr>
              <w:rPr>
                <w:rFonts w:ascii="Arial" w:hAnsi="Arial" w:cs="Arial"/>
                <w:sz w:val="20"/>
              </w:rPr>
            </w:pPr>
            <w:r w:rsidRPr="00114A8C">
              <w:rPr>
                <w:rFonts w:ascii="Arial" w:hAnsi="Arial" w:cs="Arial"/>
                <w:sz w:val="16"/>
              </w:rPr>
              <w:t>Host Member State</w:t>
            </w:r>
          </w:p>
        </w:tc>
        <w:tc>
          <w:tcPr>
            <w:tcW w:w="422" w:type="pct"/>
            <w:shd w:val="clear" w:color="auto" w:fill="F7CAAC" w:themeFill="accent2" w:themeFillTint="66"/>
          </w:tcPr>
          <w:p w14:paraId="0B9BD7E1" w14:textId="77777777" w:rsidR="002F73BB" w:rsidRPr="00114A8C" w:rsidRDefault="002F73BB" w:rsidP="009C142D">
            <w:pPr>
              <w:rPr>
                <w:rFonts w:ascii="Arial" w:hAnsi="Arial" w:cs="Arial"/>
                <w:sz w:val="16"/>
              </w:rPr>
            </w:pPr>
            <w:r>
              <w:rPr>
                <w:rFonts w:ascii="Arial" w:hAnsi="Arial" w:cs="Arial"/>
                <w:sz w:val="16"/>
              </w:rPr>
              <w:t xml:space="preserve">If applicable, name of the </w:t>
            </w:r>
            <w:r w:rsidRPr="00834E4F">
              <w:rPr>
                <w:rFonts w:ascii="Arial" w:hAnsi="Arial" w:cs="Arial"/>
                <w:b/>
                <w:sz w:val="16"/>
              </w:rPr>
              <w:t>branch</w:t>
            </w:r>
            <w:r>
              <w:rPr>
                <w:rFonts w:ascii="Arial" w:hAnsi="Arial" w:cs="Arial"/>
                <w:sz w:val="16"/>
              </w:rPr>
              <w:t xml:space="preserve"> providing services </w:t>
            </w:r>
          </w:p>
        </w:tc>
        <w:tc>
          <w:tcPr>
            <w:tcW w:w="514" w:type="pct"/>
            <w:shd w:val="clear" w:color="auto" w:fill="F7CAAC" w:themeFill="accent2" w:themeFillTint="66"/>
          </w:tcPr>
          <w:p w14:paraId="74B57D12" w14:textId="77777777" w:rsidR="002F73BB" w:rsidRPr="00112DBA" w:rsidRDefault="002F73BB" w:rsidP="009C142D">
            <w:pPr>
              <w:rPr>
                <w:rFonts w:ascii="Arial" w:hAnsi="Arial" w:cs="Arial"/>
                <w:b/>
                <w:sz w:val="20"/>
              </w:rPr>
            </w:pPr>
            <w:r w:rsidRPr="00114A8C">
              <w:rPr>
                <w:rFonts w:ascii="Arial" w:hAnsi="Arial" w:cs="Arial"/>
                <w:sz w:val="16"/>
              </w:rPr>
              <w:t>Services provided</w:t>
            </w:r>
            <w:r>
              <w:rPr>
                <w:rFonts w:ascii="Arial" w:hAnsi="Arial" w:cs="Arial"/>
                <w:sz w:val="16"/>
              </w:rPr>
              <w:t xml:space="preserve"> (Annex to CSDR)</w:t>
            </w:r>
          </w:p>
          <w:p w14:paraId="718C0D6D" w14:textId="77777777" w:rsidR="002F73BB" w:rsidRPr="005B0E78" w:rsidRDefault="002F73BB" w:rsidP="009C142D">
            <w:pPr>
              <w:rPr>
                <w:rFonts w:ascii="Arial" w:hAnsi="Arial" w:cs="Arial"/>
                <w:sz w:val="16"/>
              </w:rPr>
            </w:pPr>
          </w:p>
        </w:tc>
        <w:tc>
          <w:tcPr>
            <w:tcW w:w="514" w:type="pct"/>
            <w:shd w:val="clear" w:color="auto" w:fill="F7CAAC" w:themeFill="accent2" w:themeFillTint="66"/>
          </w:tcPr>
          <w:p w14:paraId="24EC1266" w14:textId="77777777" w:rsidR="002F73BB" w:rsidRDefault="002F73BB" w:rsidP="009C142D">
            <w:pPr>
              <w:rPr>
                <w:rFonts w:ascii="Arial" w:hAnsi="Arial" w:cs="Arial"/>
                <w:sz w:val="16"/>
              </w:rPr>
            </w:pPr>
            <w:r>
              <w:rPr>
                <w:rFonts w:ascii="Arial" w:hAnsi="Arial" w:cs="Arial"/>
                <w:sz w:val="16"/>
              </w:rPr>
              <w:t xml:space="preserve">If </w:t>
            </w:r>
            <w:r w:rsidRPr="005B0E78">
              <w:rPr>
                <w:rFonts w:ascii="Arial" w:hAnsi="Arial" w:cs="Arial"/>
                <w:sz w:val="16"/>
              </w:rPr>
              <w:t>applicable</w:t>
            </w:r>
            <w:r>
              <w:rPr>
                <w:rFonts w:ascii="Arial" w:hAnsi="Arial" w:cs="Arial"/>
                <w:sz w:val="16"/>
              </w:rPr>
              <w:t>, the law referred to in Article 49(1) of CSDR of the host Member State</w:t>
            </w:r>
          </w:p>
          <w:p w14:paraId="0F8A9A04" w14:textId="77777777" w:rsidR="002F73BB" w:rsidRPr="00114A8C" w:rsidRDefault="002F73BB" w:rsidP="009C142D">
            <w:pPr>
              <w:rPr>
                <w:rFonts w:ascii="Arial" w:hAnsi="Arial" w:cs="Arial"/>
                <w:sz w:val="16"/>
              </w:rPr>
            </w:pPr>
          </w:p>
        </w:tc>
      </w:tr>
      <w:tr w:rsidR="002F73BB" w:rsidRPr="00112DBA" w14:paraId="256C5FF6" w14:textId="77777777" w:rsidTr="00C03446">
        <w:trPr>
          <w:trHeight w:val="70"/>
        </w:trPr>
        <w:tc>
          <w:tcPr>
            <w:tcW w:w="465" w:type="pct"/>
          </w:tcPr>
          <w:p w14:paraId="55E6213A" w14:textId="77777777" w:rsidR="002F73BB" w:rsidRDefault="002F73BB" w:rsidP="00C03446">
            <w:pPr>
              <w:pStyle w:val="ListParagraph"/>
              <w:spacing w:after="0" w:line="240" w:lineRule="auto"/>
              <w:ind w:left="360"/>
              <w:rPr>
                <w:rFonts w:ascii="Arial" w:hAnsi="Arial" w:cs="Arial"/>
                <w:sz w:val="16"/>
                <w:szCs w:val="16"/>
              </w:rPr>
            </w:pPr>
          </w:p>
          <w:p w14:paraId="789590F9" w14:textId="77777777" w:rsidR="002F73BB" w:rsidRPr="00FF089A" w:rsidRDefault="002F73BB" w:rsidP="00C03446"/>
        </w:tc>
        <w:tc>
          <w:tcPr>
            <w:tcW w:w="560" w:type="pct"/>
            <w:shd w:val="clear" w:color="auto" w:fill="auto"/>
          </w:tcPr>
          <w:p w14:paraId="1CE797AC" w14:textId="77777777" w:rsidR="002F73BB" w:rsidRPr="00ED6C19" w:rsidRDefault="002F73BB" w:rsidP="00C03446">
            <w:pPr>
              <w:pStyle w:val="ListParagraph"/>
              <w:numPr>
                <w:ilvl w:val="0"/>
                <w:numId w:val="9"/>
              </w:numPr>
              <w:spacing w:after="0" w:line="240" w:lineRule="auto"/>
              <w:rPr>
                <w:rFonts w:ascii="Arial" w:eastAsia="Times New Roman" w:hAnsi="Arial" w:cs="Arial"/>
                <w:sz w:val="16"/>
                <w:szCs w:val="16"/>
                <w:lang w:eastAsia="en-GB"/>
              </w:rPr>
            </w:pPr>
            <w:r w:rsidRPr="00ED6C19">
              <w:rPr>
                <w:rFonts w:ascii="Arial" w:eastAsia="Times New Roman" w:hAnsi="Arial" w:cs="Arial"/>
                <w:sz w:val="16"/>
                <w:szCs w:val="16"/>
                <w:lang w:eastAsia="en-GB"/>
              </w:rPr>
              <w:t>transferable securities referred to in point (a) of Article 4(1)(44) of Directive 2014/65/EU,</w:t>
            </w:r>
          </w:p>
          <w:p w14:paraId="7BB254A8" w14:textId="77777777" w:rsidR="002F73BB" w:rsidRPr="00ED6C19" w:rsidRDefault="002F73BB" w:rsidP="00C03446">
            <w:pPr>
              <w:pStyle w:val="ListParagraph"/>
              <w:numPr>
                <w:ilvl w:val="0"/>
                <w:numId w:val="9"/>
              </w:numPr>
              <w:spacing w:after="0" w:line="240" w:lineRule="auto"/>
              <w:rPr>
                <w:rFonts w:ascii="Arial" w:eastAsia="Times New Roman" w:hAnsi="Arial" w:cs="Arial"/>
                <w:sz w:val="16"/>
                <w:szCs w:val="16"/>
                <w:lang w:eastAsia="en-GB"/>
              </w:rPr>
            </w:pPr>
            <w:r w:rsidRPr="00ED6C19">
              <w:rPr>
                <w:rFonts w:ascii="Arial" w:eastAsia="Times New Roman" w:hAnsi="Arial" w:cs="Arial"/>
                <w:sz w:val="16"/>
                <w:szCs w:val="16"/>
                <w:lang w:eastAsia="en-GB"/>
              </w:rPr>
              <w:t>sovereign debt referred to in Article 4(1)(61) of Directive 2014/65/EU,</w:t>
            </w:r>
          </w:p>
          <w:p w14:paraId="0366B38F" w14:textId="77777777" w:rsidR="002F73BB" w:rsidRPr="00ED6C19" w:rsidRDefault="002F73BB" w:rsidP="00C03446">
            <w:pPr>
              <w:pStyle w:val="ListParagraph"/>
              <w:numPr>
                <w:ilvl w:val="0"/>
                <w:numId w:val="9"/>
              </w:numPr>
              <w:spacing w:after="0" w:line="240" w:lineRule="auto"/>
              <w:rPr>
                <w:rFonts w:ascii="Arial" w:eastAsia="Times New Roman" w:hAnsi="Arial" w:cs="Arial"/>
                <w:sz w:val="16"/>
                <w:szCs w:val="16"/>
                <w:lang w:eastAsia="en-GB"/>
              </w:rPr>
            </w:pPr>
            <w:r w:rsidRPr="00ED6C19">
              <w:rPr>
                <w:rFonts w:ascii="Arial" w:eastAsia="Times New Roman" w:hAnsi="Arial" w:cs="Arial"/>
                <w:sz w:val="16"/>
                <w:szCs w:val="16"/>
                <w:lang w:eastAsia="en-GB"/>
              </w:rPr>
              <w:t xml:space="preserve">transferable securities referred to in point (b) of Article 4(1)(44) of Directive </w:t>
            </w:r>
            <w:r w:rsidRPr="00ED6C19">
              <w:rPr>
                <w:rFonts w:ascii="Arial" w:eastAsia="Times New Roman" w:hAnsi="Arial" w:cs="Arial"/>
                <w:sz w:val="16"/>
                <w:szCs w:val="16"/>
                <w:lang w:eastAsia="en-GB"/>
              </w:rPr>
              <w:lastRenderedPageBreak/>
              <w:t>2014/65/EU, other than sovereign debt referred to in Article 4(1)(61) of Directive 2014/65/EU,</w:t>
            </w:r>
          </w:p>
          <w:p w14:paraId="1603389D" w14:textId="77777777" w:rsidR="002F73BB" w:rsidRPr="00ED6C19" w:rsidRDefault="002F73BB" w:rsidP="00C03446">
            <w:pPr>
              <w:pStyle w:val="ListParagraph"/>
              <w:numPr>
                <w:ilvl w:val="0"/>
                <w:numId w:val="9"/>
              </w:numPr>
              <w:spacing w:after="0" w:line="240" w:lineRule="auto"/>
              <w:rPr>
                <w:rFonts w:ascii="Arial" w:eastAsia="Times New Roman" w:hAnsi="Arial" w:cs="Arial"/>
                <w:sz w:val="16"/>
                <w:szCs w:val="16"/>
                <w:lang w:eastAsia="en-GB"/>
              </w:rPr>
            </w:pPr>
            <w:r w:rsidRPr="00ED6C19">
              <w:rPr>
                <w:rFonts w:ascii="Arial" w:eastAsia="Times New Roman" w:hAnsi="Arial" w:cs="Arial"/>
                <w:sz w:val="16"/>
                <w:szCs w:val="16"/>
                <w:lang w:eastAsia="en-GB"/>
              </w:rPr>
              <w:t>transferable securities referred to in point (c) of Article 4(1)(44) of Directive 2014/65/EU,</w:t>
            </w:r>
          </w:p>
          <w:p w14:paraId="149F9357" w14:textId="77777777" w:rsidR="002F73BB" w:rsidRPr="00ED6C19" w:rsidRDefault="002F73BB" w:rsidP="00C03446">
            <w:pPr>
              <w:pStyle w:val="ListParagraph"/>
              <w:numPr>
                <w:ilvl w:val="0"/>
                <w:numId w:val="9"/>
              </w:numPr>
              <w:spacing w:after="0" w:line="240" w:lineRule="auto"/>
              <w:rPr>
                <w:rFonts w:ascii="Arial" w:eastAsia="Times New Roman" w:hAnsi="Arial" w:cs="Arial"/>
                <w:sz w:val="16"/>
                <w:szCs w:val="16"/>
                <w:lang w:eastAsia="en-GB"/>
              </w:rPr>
            </w:pPr>
            <w:r w:rsidRPr="00ED6C19">
              <w:rPr>
                <w:rFonts w:ascii="Arial" w:eastAsia="Times New Roman" w:hAnsi="Arial" w:cs="Arial"/>
                <w:sz w:val="16"/>
                <w:szCs w:val="16"/>
                <w:lang w:eastAsia="en-GB"/>
              </w:rPr>
              <w:t>exchange-traded funds as defined in point (46) of Article 4(1) of Directive 2014/65/UE (ETF),</w:t>
            </w:r>
          </w:p>
          <w:p w14:paraId="48E41BD7" w14:textId="77777777" w:rsidR="002F73BB" w:rsidRPr="00ED6C19" w:rsidRDefault="002F73BB" w:rsidP="00C03446">
            <w:pPr>
              <w:pStyle w:val="ListParagraph"/>
              <w:numPr>
                <w:ilvl w:val="0"/>
                <w:numId w:val="9"/>
              </w:numPr>
              <w:spacing w:after="0" w:line="240" w:lineRule="auto"/>
              <w:rPr>
                <w:rFonts w:ascii="Arial" w:eastAsia="Times New Roman" w:hAnsi="Arial" w:cs="Arial"/>
                <w:sz w:val="16"/>
                <w:szCs w:val="16"/>
                <w:lang w:eastAsia="en-GB"/>
              </w:rPr>
            </w:pPr>
            <w:r w:rsidRPr="00ED6C19">
              <w:rPr>
                <w:rFonts w:ascii="Arial" w:eastAsia="Times New Roman" w:hAnsi="Arial" w:cs="Arial"/>
                <w:sz w:val="16"/>
                <w:szCs w:val="16"/>
                <w:lang w:eastAsia="en-GB"/>
              </w:rPr>
              <w:t>units in collective investment undertakings, other than ETFs,</w:t>
            </w:r>
          </w:p>
          <w:p w14:paraId="720CD986" w14:textId="77777777" w:rsidR="002F73BB" w:rsidRPr="00ED6C19" w:rsidRDefault="002F73BB" w:rsidP="00C03446">
            <w:pPr>
              <w:pStyle w:val="ListParagraph"/>
              <w:numPr>
                <w:ilvl w:val="0"/>
                <w:numId w:val="9"/>
              </w:numPr>
              <w:spacing w:after="0" w:line="240" w:lineRule="auto"/>
              <w:rPr>
                <w:rFonts w:ascii="Arial" w:eastAsia="Times New Roman" w:hAnsi="Arial" w:cs="Arial"/>
                <w:sz w:val="16"/>
                <w:szCs w:val="16"/>
                <w:lang w:eastAsia="en-GB"/>
              </w:rPr>
            </w:pPr>
            <w:r w:rsidRPr="00ED6C19">
              <w:rPr>
                <w:rFonts w:ascii="Arial" w:eastAsia="Times New Roman" w:hAnsi="Arial" w:cs="Arial"/>
                <w:sz w:val="16"/>
                <w:szCs w:val="16"/>
                <w:lang w:eastAsia="en-GB"/>
              </w:rPr>
              <w:t>money-market instruments, other than sovereign debt referred to in Article 4(1)(61) of Directive 2014/65/EU,</w:t>
            </w:r>
          </w:p>
          <w:p w14:paraId="7201E263" w14:textId="77777777" w:rsidR="002F73BB" w:rsidRDefault="002F73BB" w:rsidP="00C03446">
            <w:pPr>
              <w:pStyle w:val="ListParagraph"/>
              <w:numPr>
                <w:ilvl w:val="0"/>
                <w:numId w:val="9"/>
              </w:numPr>
              <w:spacing w:after="0" w:line="240" w:lineRule="auto"/>
              <w:rPr>
                <w:rFonts w:ascii="Arial" w:eastAsia="Times New Roman" w:hAnsi="Arial" w:cs="Arial"/>
                <w:sz w:val="16"/>
                <w:szCs w:val="16"/>
                <w:lang w:eastAsia="en-GB"/>
              </w:rPr>
            </w:pPr>
            <w:r w:rsidRPr="00ED6C19">
              <w:rPr>
                <w:rFonts w:ascii="Arial" w:eastAsia="Times New Roman" w:hAnsi="Arial" w:cs="Arial"/>
                <w:sz w:val="16"/>
                <w:szCs w:val="16"/>
                <w:lang w:eastAsia="en-GB"/>
              </w:rPr>
              <w:t>emission allowances,</w:t>
            </w:r>
          </w:p>
          <w:p w14:paraId="4D56E1C8" w14:textId="77777777" w:rsidR="002F73BB" w:rsidRPr="00F52C16" w:rsidRDefault="002F73BB" w:rsidP="00C03446">
            <w:pPr>
              <w:pStyle w:val="ListParagraph"/>
              <w:numPr>
                <w:ilvl w:val="0"/>
                <w:numId w:val="9"/>
              </w:numPr>
              <w:spacing w:after="0" w:line="240" w:lineRule="auto"/>
              <w:rPr>
                <w:rFonts w:ascii="Arial" w:eastAsia="Times New Roman" w:hAnsi="Arial" w:cs="Arial"/>
                <w:sz w:val="16"/>
                <w:szCs w:val="16"/>
                <w:lang w:eastAsia="en-GB"/>
              </w:rPr>
            </w:pPr>
            <w:r w:rsidRPr="00ED6C19">
              <w:rPr>
                <w:rFonts w:ascii="Arial" w:eastAsia="Times New Roman" w:hAnsi="Arial" w:cs="Arial"/>
                <w:sz w:val="16"/>
                <w:szCs w:val="16"/>
                <w:lang w:eastAsia="en-GB"/>
              </w:rPr>
              <w:t>other financial instruments (please specify).</w:t>
            </w:r>
          </w:p>
        </w:tc>
        <w:tc>
          <w:tcPr>
            <w:tcW w:w="422" w:type="pct"/>
            <w:shd w:val="clear" w:color="auto" w:fill="auto"/>
          </w:tcPr>
          <w:p w14:paraId="19208C33" w14:textId="77777777" w:rsidR="002F73BB" w:rsidRPr="005B0E78" w:rsidRDefault="002F73BB" w:rsidP="00C03446">
            <w:pPr>
              <w:jc w:val="center"/>
              <w:rPr>
                <w:rFonts w:ascii="Arial" w:hAnsi="Arial" w:cs="Arial"/>
                <w:sz w:val="16"/>
              </w:rPr>
            </w:pPr>
          </w:p>
        </w:tc>
        <w:tc>
          <w:tcPr>
            <w:tcW w:w="421" w:type="pct"/>
            <w:shd w:val="clear" w:color="auto" w:fill="auto"/>
          </w:tcPr>
          <w:p w14:paraId="10AF5281" w14:textId="77777777" w:rsidR="002F73BB" w:rsidRPr="005B0E78" w:rsidRDefault="002F73BB" w:rsidP="00C03446">
            <w:pPr>
              <w:jc w:val="center"/>
              <w:rPr>
                <w:rFonts w:ascii="Arial" w:hAnsi="Arial" w:cs="Arial"/>
                <w:sz w:val="16"/>
              </w:rPr>
            </w:pPr>
          </w:p>
        </w:tc>
        <w:tc>
          <w:tcPr>
            <w:tcW w:w="373" w:type="pct"/>
            <w:shd w:val="clear" w:color="auto" w:fill="auto"/>
          </w:tcPr>
          <w:p w14:paraId="30FCC767" w14:textId="77777777" w:rsidR="002F73BB" w:rsidRPr="00112DBA" w:rsidRDefault="002F73BB" w:rsidP="00C03446">
            <w:pPr>
              <w:jc w:val="center"/>
              <w:rPr>
                <w:rFonts w:ascii="Arial" w:hAnsi="Arial" w:cs="Arial"/>
                <w:b/>
                <w:sz w:val="20"/>
              </w:rPr>
            </w:pPr>
          </w:p>
        </w:tc>
        <w:tc>
          <w:tcPr>
            <w:tcW w:w="468" w:type="pct"/>
            <w:shd w:val="clear" w:color="auto" w:fill="auto"/>
          </w:tcPr>
          <w:p w14:paraId="6C7A7828" w14:textId="77777777" w:rsidR="002F73BB" w:rsidRPr="00497EF9" w:rsidRDefault="002F73BB" w:rsidP="00C03446">
            <w:pPr>
              <w:jc w:val="center"/>
              <w:rPr>
                <w:rFonts w:ascii="Arial" w:hAnsi="Arial" w:cs="Arial"/>
                <w:sz w:val="16"/>
              </w:rPr>
            </w:pPr>
          </w:p>
        </w:tc>
        <w:tc>
          <w:tcPr>
            <w:tcW w:w="468" w:type="pct"/>
            <w:shd w:val="clear" w:color="auto" w:fill="auto"/>
          </w:tcPr>
          <w:p w14:paraId="5FA091C5" w14:textId="692FA6A1" w:rsidR="002F73BB" w:rsidRPr="004E29C9" w:rsidRDefault="002F73BB" w:rsidP="00C03446">
            <w:pPr>
              <w:rPr>
                <w:rFonts w:ascii="Arial" w:hAnsi="Arial" w:cs="Arial"/>
                <w:sz w:val="16"/>
                <w:szCs w:val="16"/>
              </w:rPr>
            </w:pPr>
            <w:r w:rsidRPr="004E29C9">
              <w:rPr>
                <w:rFonts w:ascii="Arial" w:hAnsi="Arial" w:cs="Arial"/>
                <w:sz w:val="16"/>
                <w:szCs w:val="16"/>
              </w:rPr>
              <w:t>a) Banking-type ancillary services referred to in Section C:</w:t>
            </w:r>
          </w:p>
          <w:p w14:paraId="2E0514B9" w14:textId="77777777" w:rsidR="002F73BB" w:rsidRPr="004E29C9" w:rsidRDefault="002F73BB" w:rsidP="00C03446">
            <w:pPr>
              <w:rPr>
                <w:rFonts w:ascii="Arial" w:hAnsi="Arial" w:cs="Arial"/>
                <w:sz w:val="16"/>
                <w:szCs w:val="16"/>
              </w:rPr>
            </w:pPr>
          </w:p>
          <w:p w14:paraId="13F8D51A" w14:textId="77777777" w:rsidR="002F73BB" w:rsidRPr="004E29C9" w:rsidRDefault="002F73BB" w:rsidP="00C03446">
            <w:pPr>
              <w:rPr>
                <w:rFonts w:ascii="Arial" w:hAnsi="Arial" w:cs="Arial"/>
                <w:sz w:val="16"/>
                <w:szCs w:val="16"/>
              </w:rPr>
            </w:pPr>
            <w:r w:rsidRPr="004E29C9">
              <w:rPr>
                <w:rFonts w:ascii="Arial" w:hAnsi="Arial" w:cs="Arial"/>
                <w:sz w:val="16"/>
                <w:szCs w:val="16"/>
              </w:rPr>
              <w:t>b) Banking-type ancillary services allowed but not explicitly listed in Section C:</w:t>
            </w:r>
          </w:p>
          <w:p w14:paraId="4C13FC65" w14:textId="77777777" w:rsidR="002F73BB" w:rsidRPr="00497EF9" w:rsidRDefault="002F73BB" w:rsidP="00C03446">
            <w:pPr>
              <w:jc w:val="center"/>
              <w:rPr>
                <w:rFonts w:ascii="Arial" w:hAnsi="Arial" w:cs="Arial"/>
                <w:sz w:val="16"/>
              </w:rPr>
            </w:pPr>
          </w:p>
        </w:tc>
        <w:tc>
          <w:tcPr>
            <w:tcW w:w="373" w:type="pct"/>
            <w:shd w:val="clear" w:color="auto" w:fill="auto"/>
          </w:tcPr>
          <w:p w14:paraId="35C68024" w14:textId="77777777" w:rsidR="002F73BB" w:rsidRPr="00114A8C" w:rsidRDefault="002F73BB" w:rsidP="00C03446">
            <w:pPr>
              <w:jc w:val="center"/>
              <w:rPr>
                <w:rFonts w:ascii="Arial" w:hAnsi="Arial" w:cs="Arial"/>
                <w:sz w:val="16"/>
              </w:rPr>
            </w:pPr>
          </w:p>
        </w:tc>
        <w:tc>
          <w:tcPr>
            <w:tcW w:w="422" w:type="pct"/>
            <w:shd w:val="clear" w:color="auto" w:fill="auto"/>
          </w:tcPr>
          <w:p w14:paraId="1B2EA991" w14:textId="77777777" w:rsidR="002F73BB" w:rsidRDefault="002F73BB" w:rsidP="00C03446">
            <w:pPr>
              <w:jc w:val="center"/>
              <w:rPr>
                <w:rFonts w:ascii="Arial" w:hAnsi="Arial" w:cs="Arial"/>
                <w:sz w:val="16"/>
              </w:rPr>
            </w:pPr>
          </w:p>
        </w:tc>
        <w:tc>
          <w:tcPr>
            <w:tcW w:w="514" w:type="pct"/>
            <w:shd w:val="clear" w:color="auto" w:fill="auto"/>
          </w:tcPr>
          <w:p w14:paraId="682BD3E6" w14:textId="77777777" w:rsidR="002F73BB" w:rsidRDefault="002F73BB" w:rsidP="002F73BB">
            <w:pPr>
              <w:pStyle w:val="ListParagraph"/>
              <w:numPr>
                <w:ilvl w:val="0"/>
                <w:numId w:val="11"/>
              </w:numPr>
              <w:spacing w:after="0" w:line="240" w:lineRule="auto"/>
              <w:rPr>
                <w:rFonts w:ascii="Arial" w:hAnsi="Arial" w:cs="Arial"/>
                <w:sz w:val="16"/>
                <w:szCs w:val="16"/>
              </w:rPr>
            </w:pPr>
            <w:r>
              <w:rPr>
                <w:rFonts w:ascii="Arial" w:hAnsi="Arial" w:cs="Arial"/>
                <w:sz w:val="16"/>
                <w:szCs w:val="16"/>
              </w:rPr>
              <w:t>Core s</w:t>
            </w:r>
            <w:r w:rsidRPr="004E29C9">
              <w:rPr>
                <w:rFonts w:ascii="Arial" w:hAnsi="Arial" w:cs="Arial"/>
                <w:sz w:val="16"/>
                <w:szCs w:val="16"/>
              </w:rPr>
              <w:t xml:space="preserve">ervices referred to in </w:t>
            </w:r>
            <w:r>
              <w:rPr>
                <w:rFonts w:ascii="Arial" w:hAnsi="Arial" w:cs="Arial"/>
                <w:sz w:val="16"/>
                <w:szCs w:val="16"/>
              </w:rPr>
              <w:t>Section</w:t>
            </w:r>
            <w:r w:rsidRPr="004E29C9">
              <w:rPr>
                <w:rFonts w:ascii="Arial" w:hAnsi="Arial" w:cs="Arial"/>
                <w:sz w:val="16"/>
                <w:szCs w:val="16"/>
              </w:rPr>
              <w:t xml:space="preserve"> A</w:t>
            </w:r>
            <w:r>
              <w:rPr>
                <w:rFonts w:ascii="Arial" w:hAnsi="Arial" w:cs="Arial"/>
                <w:sz w:val="16"/>
                <w:szCs w:val="16"/>
              </w:rPr>
              <w:t>:</w:t>
            </w:r>
          </w:p>
          <w:p w14:paraId="746D0F8B" w14:textId="77777777" w:rsidR="002F73BB" w:rsidRPr="004E29C9" w:rsidRDefault="002F73BB" w:rsidP="00C03446">
            <w:pPr>
              <w:pStyle w:val="ListParagraph"/>
              <w:spacing w:after="0" w:line="240" w:lineRule="auto"/>
              <w:ind w:left="360"/>
              <w:rPr>
                <w:rFonts w:ascii="Arial" w:hAnsi="Arial" w:cs="Arial"/>
                <w:sz w:val="16"/>
                <w:szCs w:val="16"/>
              </w:rPr>
            </w:pPr>
          </w:p>
          <w:p w14:paraId="16FA4468" w14:textId="08B2F573" w:rsidR="002F73BB" w:rsidRDefault="002F73BB" w:rsidP="002F73BB">
            <w:pPr>
              <w:pStyle w:val="ListParagraph"/>
              <w:numPr>
                <w:ilvl w:val="0"/>
                <w:numId w:val="11"/>
              </w:numPr>
              <w:spacing w:after="0" w:line="240" w:lineRule="auto"/>
              <w:rPr>
                <w:rFonts w:ascii="Arial" w:hAnsi="Arial" w:cs="Arial"/>
                <w:sz w:val="16"/>
                <w:szCs w:val="16"/>
              </w:rPr>
            </w:pPr>
            <w:r>
              <w:rPr>
                <w:rFonts w:ascii="Arial" w:hAnsi="Arial" w:cs="Arial"/>
                <w:sz w:val="16"/>
                <w:szCs w:val="16"/>
              </w:rPr>
              <w:t>Ancillary s</w:t>
            </w:r>
            <w:r w:rsidRPr="004E29C9">
              <w:rPr>
                <w:rFonts w:ascii="Arial" w:hAnsi="Arial" w:cs="Arial"/>
                <w:sz w:val="16"/>
                <w:szCs w:val="16"/>
              </w:rPr>
              <w:t xml:space="preserve">ervices </w:t>
            </w:r>
            <w:r w:rsidR="00E60EA7">
              <w:rPr>
                <w:rFonts w:ascii="Arial" w:hAnsi="Arial" w:cs="Arial"/>
                <w:sz w:val="16"/>
                <w:szCs w:val="16"/>
              </w:rPr>
              <w:t>listed</w:t>
            </w:r>
            <w:r w:rsidRPr="004E29C9">
              <w:rPr>
                <w:rFonts w:ascii="Arial" w:hAnsi="Arial" w:cs="Arial"/>
                <w:sz w:val="16"/>
                <w:szCs w:val="16"/>
              </w:rPr>
              <w:t xml:space="preserve"> in </w:t>
            </w:r>
            <w:r>
              <w:rPr>
                <w:rFonts w:ascii="Arial" w:hAnsi="Arial" w:cs="Arial"/>
                <w:sz w:val="16"/>
                <w:szCs w:val="16"/>
              </w:rPr>
              <w:t>Section</w:t>
            </w:r>
            <w:r w:rsidRPr="004E29C9">
              <w:rPr>
                <w:rFonts w:ascii="Arial" w:hAnsi="Arial" w:cs="Arial"/>
                <w:sz w:val="16"/>
                <w:szCs w:val="16"/>
              </w:rPr>
              <w:t xml:space="preserve"> B</w:t>
            </w:r>
            <w:r>
              <w:rPr>
                <w:rFonts w:ascii="Arial" w:hAnsi="Arial" w:cs="Arial"/>
                <w:sz w:val="16"/>
                <w:szCs w:val="16"/>
              </w:rPr>
              <w:t>:</w:t>
            </w:r>
          </w:p>
          <w:p w14:paraId="1A1EF578" w14:textId="77777777" w:rsidR="002F73BB" w:rsidRPr="004E29C9" w:rsidRDefault="002F73BB" w:rsidP="00C03446">
            <w:pPr>
              <w:pStyle w:val="ListParagraph"/>
              <w:spacing w:after="0" w:line="240" w:lineRule="auto"/>
              <w:ind w:left="360"/>
              <w:rPr>
                <w:rFonts w:ascii="Arial" w:hAnsi="Arial" w:cs="Arial"/>
                <w:sz w:val="16"/>
                <w:szCs w:val="16"/>
              </w:rPr>
            </w:pPr>
          </w:p>
          <w:p w14:paraId="30BBAC19" w14:textId="77777777" w:rsidR="002F73BB" w:rsidRDefault="002F73BB" w:rsidP="002F73BB">
            <w:pPr>
              <w:pStyle w:val="ListParagraph"/>
              <w:numPr>
                <w:ilvl w:val="0"/>
                <w:numId w:val="11"/>
              </w:numPr>
              <w:spacing w:after="0" w:line="240" w:lineRule="auto"/>
              <w:rPr>
                <w:rFonts w:ascii="Arial" w:hAnsi="Arial" w:cs="Arial"/>
                <w:sz w:val="16"/>
                <w:szCs w:val="16"/>
              </w:rPr>
            </w:pPr>
            <w:r>
              <w:rPr>
                <w:rFonts w:ascii="Arial" w:hAnsi="Arial" w:cs="Arial"/>
                <w:sz w:val="16"/>
                <w:szCs w:val="16"/>
              </w:rPr>
              <w:t>Ancillary s</w:t>
            </w:r>
            <w:r w:rsidRPr="005B0E78">
              <w:rPr>
                <w:rFonts w:ascii="Arial" w:hAnsi="Arial" w:cs="Arial"/>
                <w:sz w:val="16"/>
                <w:szCs w:val="16"/>
              </w:rPr>
              <w:t xml:space="preserve">ervices allowed but not explicitly listed in </w:t>
            </w:r>
            <w:r>
              <w:rPr>
                <w:rFonts w:ascii="Arial" w:hAnsi="Arial" w:cs="Arial"/>
                <w:sz w:val="16"/>
                <w:szCs w:val="16"/>
              </w:rPr>
              <w:t>Section</w:t>
            </w:r>
            <w:r w:rsidRPr="005B0E78">
              <w:rPr>
                <w:rFonts w:ascii="Arial" w:hAnsi="Arial" w:cs="Arial"/>
                <w:sz w:val="16"/>
                <w:szCs w:val="16"/>
              </w:rPr>
              <w:t xml:space="preserve"> B</w:t>
            </w:r>
            <w:r>
              <w:rPr>
                <w:rFonts w:ascii="Arial" w:hAnsi="Arial" w:cs="Arial"/>
                <w:sz w:val="16"/>
                <w:szCs w:val="16"/>
              </w:rPr>
              <w:t>:</w:t>
            </w:r>
          </w:p>
          <w:p w14:paraId="2AC61B11" w14:textId="77777777" w:rsidR="002F73BB" w:rsidRDefault="002F73BB" w:rsidP="00C03446">
            <w:pPr>
              <w:pStyle w:val="ListParagraph"/>
              <w:spacing w:after="0" w:line="240" w:lineRule="auto"/>
              <w:ind w:left="360"/>
              <w:rPr>
                <w:rFonts w:ascii="Arial" w:hAnsi="Arial" w:cs="Arial"/>
                <w:sz w:val="16"/>
                <w:szCs w:val="16"/>
              </w:rPr>
            </w:pPr>
          </w:p>
          <w:p w14:paraId="0D0928CE" w14:textId="729960A8" w:rsidR="002F73BB" w:rsidRDefault="002F73BB" w:rsidP="002F73BB">
            <w:pPr>
              <w:pStyle w:val="ListParagraph"/>
              <w:numPr>
                <w:ilvl w:val="0"/>
                <w:numId w:val="11"/>
              </w:numPr>
              <w:spacing w:after="0" w:line="240" w:lineRule="auto"/>
              <w:rPr>
                <w:rFonts w:ascii="Arial" w:hAnsi="Arial" w:cs="Arial"/>
                <w:sz w:val="16"/>
                <w:szCs w:val="16"/>
              </w:rPr>
            </w:pPr>
            <w:r>
              <w:rPr>
                <w:rFonts w:ascii="Arial" w:hAnsi="Arial" w:cs="Arial"/>
                <w:sz w:val="16"/>
                <w:szCs w:val="16"/>
              </w:rPr>
              <w:t xml:space="preserve">Banking-type </w:t>
            </w:r>
            <w:r>
              <w:rPr>
                <w:rFonts w:ascii="Arial" w:hAnsi="Arial" w:cs="Arial"/>
                <w:sz w:val="16"/>
                <w:szCs w:val="16"/>
              </w:rPr>
              <w:lastRenderedPageBreak/>
              <w:t>ancillary s</w:t>
            </w:r>
            <w:r w:rsidRPr="004E29C9">
              <w:rPr>
                <w:rFonts w:ascii="Arial" w:hAnsi="Arial" w:cs="Arial"/>
                <w:sz w:val="16"/>
                <w:szCs w:val="16"/>
              </w:rPr>
              <w:t xml:space="preserve">ervices </w:t>
            </w:r>
            <w:r w:rsidR="00E60EA7">
              <w:rPr>
                <w:rFonts w:ascii="Arial" w:hAnsi="Arial" w:cs="Arial"/>
                <w:sz w:val="16"/>
                <w:szCs w:val="16"/>
              </w:rPr>
              <w:t>listed</w:t>
            </w:r>
            <w:r w:rsidRPr="004E29C9">
              <w:rPr>
                <w:rFonts w:ascii="Arial" w:hAnsi="Arial" w:cs="Arial"/>
                <w:sz w:val="16"/>
                <w:szCs w:val="16"/>
              </w:rPr>
              <w:t xml:space="preserve"> in </w:t>
            </w:r>
            <w:r>
              <w:rPr>
                <w:rFonts w:ascii="Arial" w:hAnsi="Arial" w:cs="Arial"/>
                <w:sz w:val="16"/>
                <w:szCs w:val="16"/>
              </w:rPr>
              <w:t>Section</w:t>
            </w:r>
            <w:r w:rsidRPr="004E29C9">
              <w:rPr>
                <w:rFonts w:ascii="Arial" w:hAnsi="Arial" w:cs="Arial"/>
                <w:sz w:val="16"/>
                <w:szCs w:val="16"/>
              </w:rPr>
              <w:t xml:space="preserve"> </w:t>
            </w:r>
            <w:r>
              <w:rPr>
                <w:rFonts w:ascii="Arial" w:hAnsi="Arial" w:cs="Arial"/>
                <w:sz w:val="16"/>
                <w:szCs w:val="16"/>
              </w:rPr>
              <w:t>C:</w:t>
            </w:r>
          </w:p>
          <w:p w14:paraId="336F2135" w14:textId="77777777" w:rsidR="002F73BB" w:rsidRDefault="002F73BB" w:rsidP="00C03446">
            <w:pPr>
              <w:pStyle w:val="ListParagraph"/>
              <w:spacing w:after="0" w:line="240" w:lineRule="auto"/>
              <w:ind w:left="360"/>
              <w:rPr>
                <w:rFonts w:ascii="Arial" w:hAnsi="Arial" w:cs="Arial"/>
                <w:sz w:val="16"/>
                <w:szCs w:val="16"/>
              </w:rPr>
            </w:pPr>
          </w:p>
          <w:p w14:paraId="4959B4D6" w14:textId="77777777" w:rsidR="002F73BB" w:rsidRDefault="002F73BB" w:rsidP="002F73BB">
            <w:pPr>
              <w:pStyle w:val="ListParagraph"/>
              <w:numPr>
                <w:ilvl w:val="0"/>
                <w:numId w:val="11"/>
              </w:numPr>
              <w:spacing w:after="0" w:line="240" w:lineRule="auto"/>
              <w:rPr>
                <w:rFonts w:ascii="Arial" w:hAnsi="Arial" w:cs="Arial"/>
                <w:sz w:val="16"/>
                <w:szCs w:val="16"/>
              </w:rPr>
            </w:pPr>
            <w:r>
              <w:rPr>
                <w:rFonts w:ascii="Arial" w:hAnsi="Arial" w:cs="Arial"/>
                <w:sz w:val="16"/>
                <w:szCs w:val="16"/>
              </w:rPr>
              <w:t>Banking-type ancillary s</w:t>
            </w:r>
            <w:r w:rsidRPr="005B0E78">
              <w:rPr>
                <w:rFonts w:ascii="Arial" w:hAnsi="Arial" w:cs="Arial"/>
                <w:sz w:val="16"/>
                <w:szCs w:val="16"/>
              </w:rPr>
              <w:t xml:space="preserve">ervices allowed but not explicitly listed </w:t>
            </w:r>
            <w:r>
              <w:rPr>
                <w:rFonts w:ascii="Arial" w:hAnsi="Arial" w:cs="Arial"/>
                <w:sz w:val="16"/>
                <w:szCs w:val="16"/>
              </w:rPr>
              <w:t>in Section C:</w:t>
            </w:r>
          </w:p>
          <w:p w14:paraId="117B53A1" w14:textId="77777777" w:rsidR="002F73BB" w:rsidRPr="00114A8C" w:rsidRDefault="002F73BB" w:rsidP="00C03446">
            <w:pPr>
              <w:jc w:val="center"/>
              <w:rPr>
                <w:rFonts w:ascii="Arial" w:hAnsi="Arial" w:cs="Arial"/>
                <w:sz w:val="16"/>
              </w:rPr>
            </w:pPr>
          </w:p>
        </w:tc>
        <w:tc>
          <w:tcPr>
            <w:tcW w:w="514" w:type="pct"/>
          </w:tcPr>
          <w:p w14:paraId="434411D1" w14:textId="77777777" w:rsidR="002F73BB" w:rsidRPr="00114A8C" w:rsidRDefault="002F73BB" w:rsidP="00C03446">
            <w:pPr>
              <w:jc w:val="center"/>
              <w:rPr>
                <w:rFonts w:ascii="Arial" w:hAnsi="Arial" w:cs="Arial"/>
                <w:sz w:val="16"/>
              </w:rPr>
            </w:pPr>
          </w:p>
        </w:tc>
      </w:tr>
    </w:tbl>
    <w:p w14:paraId="49AA1C76" w14:textId="77777777" w:rsidR="002F73BB" w:rsidRPr="00112DBA" w:rsidRDefault="002F73BB" w:rsidP="002F73BB">
      <w:pPr>
        <w:rPr>
          <w:rFonts w:ascii="Arial" w:hAnsi="Arial" w:cs="Arial"/>
          <w:b/>
          <w:sz w:val="28"/>
          <w:szCs w:val="28"/>
        </w:rPr>
      </w:pPr>
    </w:p>
    <w:p w14:paraId="1E12A845" w14:textId="6794ECE1" w:rsidR="0004214F" w:rsidRDefault="0004214F">
      <w:pPr>
        <w:rPr>
          <w:rFonts w:ascii="Arial" w:hAnsi="Arial" w:cs="Arial"/>
          <w:b/>
        </w:rPr>
      </w:pPr>
      <w:r>
        <w:rPr>
          <w:rFonts w:ascii="Arial" w:hAnsi="Arial" w:cs="Arial"/>
          <w:b/>
        </w:rPr>
        <w:lastRenderedPageBreak/>
        <w:br w:type="page"/>
      </w:r>
    </w:p>
    <w:p w14:paraId="575058E4" w14:textId="77777777" w:rsidR="002F73BB" w:rsidRPr="00112DBA" w:rsidRDefault="002F73BB" w:rsidP="002F73BB">
      <w:pPr>
        <w:rPr>
          <w:rFonts w:ascii="Arial" w:hAnsi="Arial" w:cs="Arial"/>
          <w:b/>
        </w:rPr>
      </w:pPr>
    </w:p>
    <w:tbl>
      <w:tblPr>
        <w:tblStyle w:val="TableGrid"/>
        <w:tblW w:w="13948" w:type="dxa"/>
        <w:tblLook w:val="04A0" w:firstRow="1" w:lastRow="0" w:firstColumn="1" w:lastColumn="0" w:noHBand="0" w:noVBand="1"/>
      </w:tblPr>
      <w:tblGrid>
        <w:gridCol w:w="2122"/>
        <w:gridCol w:w="3730"/>
        <w:gridCol w:w="2923"/>
        <w:gridCol w:w="2324"/>
        <w:gridCol w:w="2849"/>
      </w:tblGrid>
      <w:tr w:rsidR="002F73BB" w:rsidRPr="00590D84" w14:paraId="536B297A" w14:textId="77777777" w:rsidTr="00D63A30">
        <w:trPr>
          <w:tblHeader/>
        </w:trPr>
        <w:tc>
          <w:tcPr>
            <w:tcW w:w="13948" w:type="dxa"/>
            <w:gridSpan w:val="5"/>
            <w:shd w:val="clear" w:color="auto" w:fill="70AD47" w:themeFill="accent6"/>
          </w:tcPr>
          <w:p w14:paraId="1C506624" w14:textId="29870E85" w:rsidR="002F73BB" w:rsidRPr="001636C3" w:rsidRDefault="002F73BB" w:rsidP="001636C3">
            <w:pPr>
              <w:pStyle w:val="Heading1"/>
              <w:numPr>
                <w:ilvl w:val="0"/>
                <w:numId w:val="14"/>
              </w:numPr>
              <w:spacing w:line="259" w:lineRule="auto"/>
              <w:ind w:left="360" w:hanging="360"/>
              <w:rPr>
                <w:rFonts w:cs="Arial"/>
                <w:b/>
                <w:color w:val="auto"/>
              </w:rPr>
            </w:pPr>
            <w:bookmarkStart w:id="3" w:name="_Toc491093815"/>
            <w:bookmarkStart w:id="4" w:name="_Toc491111557"/>
            <w:bookmarkStart w:id="5" w:name="_Toc195712424"/>
            <w:r w:rsidRPr="00590D84">
              <w:rPr>
                <w:rFonts w:cs="Arial"/>
                <w:b/>
                <w:color w:val="auto"/>
              </w:rPr>
              <w:t>E</w:t>
            </w:r>
            <w:bookmarkEnd w:id="3"/>
            <w:r w:rsidR="001636C3">
              <w:rPr>
                <w:rFonts w:cs="Arial"/>
                <w:b/>
                <w:color w:val="auto"/>
              </w:rPr>
              <w:t>EA e</w:t>
            </w:r>
            <w:r w:rsidRPr="00590D84">
              <w:rPr>
                <w:rFonts w:cs="Arial"/>
                <w:b/>
                <w:color w:val="auto"/>
              </w:rPr>
              <w:t>ntities allowed to record book entries into securities accounts maintained by CSDs (Art 31 of CSDR)</w:t>
            </w:r>
            <w:bookmarkEnd w:id="4"/>
            <w:bookmarkEnd w:id="5"/>
          </w:p>
        </w:tc>
      </w:tr>
      <w:tr w:rsidR="00CE28D2" w:rsidRPr="00112DBA" w14:paraId="3703810E" w14:textId="77777777" w:rsidTr="00D63A30">
        <w:trPr>
          <w:tblHeader/>
        </w:trPr>
        <w:tc>
          <w:tcPr>
            <w:tcW w:w="2122" w:type="dxa"/>
            <w:shd w:val="clear" w:color="auto" w:fill="C5E0B3" w:themeFill="accent6" w:themeFillTint="66"/>
          </w:tcPr>
          <w:p w14:paraId="4718CA1A" w14:textId="4D1C6B6E" w:rsidR="00CE28D2" w:rsidRPr="00112DBA" w:rsidRDefault="00CE28D2" w:rsidP="00CE28D2">
            <w:pPr>
              <w:jc w:val="center"/>
              <w:rPr>
                <w:rFonts w:ascii="Arial" w:hAnsi="Arial" w:cs="Arial"/>
                <w:b/>
                <w:sz w:val="20"/>
                <w:szCs w:val="20"/>
              </w:rPr>
            </w:pPr>
            <w:r w:rsidRPr="00112DBA">
              <w:rPr>
                <w:rFonts w:ascii="Arial" w:hAnsi="Arial" w:cs="Arial"/>
                <w:b/>
                <w:sz w:val="20"/>
                <w:szCs w:val="20"/>
              </w:rPr>
              <w:t>Home Member State</w:t>
            </w:r>
          </w:p>
        </w:tc>
        <w:tc>
          <w:tcPr>
            <w:tcW w:w="3730" w:type="dxa"/>
            <w:shd w:val="clear" w:color="auto" w:fill="C5E0B3" w:themeFill="accent6" w:themeFillTint="66"/>
          </w:tcPr>
          <w:p w14:paraId="1D0E2449" w14:textId="77777777" w:rsidR="00CE28D2" w:rsidRPr="00112DBA" w:rsidRDefault="00CE28D2" w:rsidP="00C03446">
            <w:pPr>
              <w:jc w:val="center"/>
              <w:rPr>
                <w:rFonts w:ascii="Arial" w:hAnsi="Arial" w:cs="Arial"/>
                <w:b/>
                <w:sz w:val="20"/>
                <w:szCs w:val="20"/>
              </w:rPr>
            </w:pPr>
            <w:r w:rsidRPr="00112DBA">
              <w:rPr>
                <w:rFonts w:ascii="Arial" w:hAnsi="Arial" w:cs="Arial"/>
                <w:b/>
                <w:sz w:val="20"/>
                <w:szCs w:val="20"/>
              </w:rPr>
              <w:t xml:space="preserve">Name of </w:t>
            </w:r>
            <w:r>
              <w:rPr>
                <w:rFonts w:ascii="Arial" w:hAnsi="Arial" w:cs="Arial"/>
                <w:b/>
                <w:sz w:val="20"/>
                <w:szCs w:val="20"/>
              </w:rPr>
              <w:t>the</w:t>
            </w:r>
            <w:r w:rsidRPr="00112DBA">
              <w:rPr>
                <w:rFonts w:ascii="Arial" w:hAnsi="Arial" w:cs="Arial"/>
                <w:b/>
                <w:sz w:val="20"/>
                <w:szCs w:val="20"/>
              </w:rPr>
              <w:t xml:space="preserve"> CSD</w:t>
            </w:r>
            <w:r>
              <w:rPr>
                <w:rFonts w:ascii="Arial" w:hAnsi="Arial" w:cs="Arial"/>
                <w:b/>
                <w:sz w:val="20"/>
                <w:szCs w:val="20"/>
              </w:rPr>
              <w:t xml:space="preserve"> maintaining the securities accounts</w:t>
            </w:r>
          </w:p>
        </w:tc>
        <w:tc>
          <w:tcPr>
            <w:tcW w:w="2923" w:type="dxa"/>
            <w:shd w:val="clear" w:color="auto" w:fill="C5E0B3" w:themeFill="accent6" w:themeFillTint="66"/>
          </w:tcPr>
          <w:p w14:paraId="4292BA05" w14:textId="77777777" w:rsidR="00CE28D2" w:rsidRPr="00112DBA" w:rsidRDefault="00CE28D2" w:rsidP="00C03446">
            <w:pPr>
              <w:jc w:val="center"/>
              <w:rPr>
                <w:rFonts w:ascii="Arial" w:hAnsi="Arial" w:cs="Arial"/>
                <w:b/>
                <w:sz w:val="20"/>
                <w:szCs w:val="20"/>
              </w:rPr>
            </w:pPr>
            <w:r w:rsidRPr="00112DBA">
              <w:rPr>
                <w:rFonts w:ascii="Arial" w:hAnsi="Arial" w:cs="Arial"/>
                <w:b/>
                <w:sz w:val="20"/>
                <w:szCs w:val="20"/>
              </w:rPr>
              <w:t>Name of entity allowed to record book entries into securities accounts maintained by the CSD</w:t>
            </w:r>
          </w:p>
        </w:tc>
        <w:tc>
          <w:tcPr>
            <w:tcW w:w="2324" w:type="dxa"/>
            <w:shd w:val="clear" w:color="auto" w:fill="C5E0B3" w:themeFill="accent6" w:themeFillTint="66"/>
          </w:tcPr>
          <w:p w14:paraId="11F71FD2" w14:textId="77777777" w:rsidR="00CE28D2" w:rsidRPr="00112DBA" w:rsidRDefault="00CE28D2" w:rsidP="00C03446">
            <w:pPr>
              <w:jc w:val="center"/>
              <w:rPr>
                <w:rFonts w:ascii="Arial" w:hAnsi="Arial" w:cs="Arial"/>
                <w:b/>
                <w:sz w:val="20"/>
                <w:szCs w:val="20"/>
              </w:rPr>
            </w:pPr>
            <w:r w:rsidRPr="00112DBA">
              <w:rPr>
                <w:rFonts w:ascii="Arial" w:hAnsi="Arial" w:cs="Arial"/>
                <w:b/>
                <w:sz w:val="20"/>
                <w:szCs w:val="20"/>
              </w:rPr>
              <w:t>Core services referred to in Section A of the Annex to CSDR provided by the entity</w:t>
            </w:r>
          </w:p>
        </w:tc>
        <w:tc>
          <w:tcPr>
            <w:tcW w:w="2849" w:type="dxa"/>
            <w:shd w:val="clear" w:color="auto" w:fill="C5E0B3" w:themeFill="accent6" w:themeFillTint="66"/>
          </w:tcPr>
          <w:p w14:paraId="508C7223" w14:textId="77777777" w:rsidR="00CE28D2" w:rsidRPr="00112DBA" w:rsidRDefault="00CE28D2" w:rsidP="00C03446">
            <w:pPr>
              <w:jc w:val="center"/>
              <w:rPr>
                <w:rFonts w:ascii="Arial" w:hAnsi="Arial" w:cs="Arial"/>
                <w:b/>
                <w:sz w:val="20"/>
                <w:szCs w:val="20"/>
              </w:rPr>
            </w:pPr>
            <w:r w:rsidRPr="00112DBA">
              <w:rPr>
                <w:rFonts w:ascii="Arial" w:hAnsi="Arial" w:cs="Arial"/>
                <w:b/>
                <w:sz w:val="20"/>
                <w:szCs w:val="20"/>
              </w:rPr>
              <w:t>Regime applicable to the provision of these services, incl. applicable national law provisions</w:t>
            </w:r>
          </w:p>
        </w:tc>
      </w:tr>
      <w:tr w:rsidR="00CE28D2" w:rsidRPr="00363BD6" w14:paraId="76BEA963" w14:textId="77777777" w:rsidTr="00CE28D2">
        <w:trPr>
          <w:tblHeader/>
        </w:trPr>
        <w:tc>
          <w:tcPr>
            <w:tcW w:w="2122" w:type="dxa"/>
            <w:shd w:val="clear" w:color="auto" w:fill="auto"/>
          </w:tcPr>
          <w:p w14:paraId="0202E057" w14:textId="0D7CAB8F" w:rsidR="00CE28D2" w:rsidRPr="00363BD6" w:rsidRDefault="00363BD6" w:rsidP="00C03446">
            <w:pPr>
              <w:rPr>
                <w:rFonts w:ascii="Arial" w:hAnsi="Arial" w:cs="Arial"/>
                <w:bCs/>
                <w:sz w:val="16"/>
                <w:szCs w:val="16"/>
              </w:rPr>
            </w:pPr>
            <w:r w:rsidRPr="00363BD6">
              <w:rPr>
                <w:rFonts w:ascii="Arial" w:hAnsi="Arial" w:cs="Arial"/>
                <w:bCs/>
                <w:sz w:val="16"/>
                <w:szCs w:val="16"/>
              </w:rPr>
              <w:t>[country code]</w:t>
            </w:r>
          </w:p>
        </w:tc>
        <w:tc>
          <w:tcPr>
            <w:tcW w:w="3730" w:type="dxa"/>
            <w:shd w:val="clear" w:color="auto" w:fill="auto"/>
          </w:tcPr>
          <w:p w14:paraId="43652506" w14:textId="7CD057C7" w:rsidR="00CE28D2" w:rsidRPr="00363BD6" w:rsidRDefault="00363BD6" w:rsidP="00C03446">
            <w:pPr>
              <w:rPr>
                <w:rFonts w:ascii="Arial" w:hAnsi="Arial" w:cs="Arial"/>
                <w:bCs/>
                <w:sz w:val="16"/>
                <w:szCs w:val="16"/>
              </w:rPr>
            </w:pPr>
            <w:r>
              <w:rPr>
                <w:rFonts w:ascii="Arial" w:hAnsi="Arial" w:cs="Arial"/>
                <w:bCs/>
                <w:sz w:val="16"/>
                <w:szCs w:val="16"/>
              </w:rPr>
              <w:t>[c</w:t>
            </w:r>
            <w:r w:rsidR="00D63A30" w:rsidRPr="00363BD6">
              <w:rPr>
                <w:rFonts w:ascii="Arial" w:hAnsi="Arial" w:cs="Arial"/>
                <w:bCs/>
                <w:sz w:val="16"/>
                <w:szCs w:val="16"/>
              </w:rPr>
              <w:t>ommercial name</w:t>
            </w:r>
            <w:r>
              <w:rPr>
                <w:rFonts w:ascii="Arial" w:hAnsi="Arial" w:cs="Arial"/>
                <w:bCs/>
                <w:sz w:val="16"/>
                <w:szCs w:val="16"/>
              </w:rPr>
              <w:t>]</w:t>
            </w:r>
          </w:p>
        </w:tc>
        <w:tc>
          <w:tcPr>
            <w:tcW w:w="2923" w:type="dxa"/>
            <w:shd w:val="clear" w:color="auto" w:fill="auto"/>
          </w:tcPr>
          <w:p w14:paraId="1A4A3299" w14:textId="49BFBC08" w:rsidR="00CE28D2" w:rsidRPr="00363BD6" w:rsidRDefault="00363BD6" w:rsidP="00C03446">
            <w:pPr>
              <w:rPr>
                <w:rFonts w:ascii="Arial" w:hAnsi="Arial" w:cs="Arial"/>
                <w:bCs/>
                <w:sz w:val="16"/>
                <w:szCs w:val="16"/>
              </w:rPr>
            </w:pPr>
            <w:r>
              <w:rPr>
                <w:rFonts w:ascii="Arial" w:hAnsi="Arial" w:cs="Arial"/>
                <w:bCs/>
                <w:sz w:val="16"/>
                <w:szCs w:val="16"/>
              </w:rPr>
              <w:t>[if any, commercial name (legal name)]</w:t>
            </w:r>
          </w:p>
        </w:tc>
        <w:tc>
          <w:tcPr>
            <w:tcW w:w="2324" w:type="dxa"/>
            <w:shd w:val="clear" w:color="auto" w:fill="auto"/>
          </w:tcPr>
          <w:p w14:paraId="5D49CEBF" w14:textId="77777777" w:rsidR="00D63A30" w:rsidRPr="00363BD6" w:rsidRDefault="00D63A30" w:rsidP="00D63A30">
            <w:pPr>
              <w:pStyle w:val="ListParagraph"/>
              <w:numPr>
                <w:ilvl w:val="0"/>
                <w:numId w:val="12"/>
              </w:numPr>
              <w:spacing w:after="0" w:line="240" w:lineRule="auto"/>
              <w:rPr>
                <w:rFonts w:ascii="Arial" w:hAnsi="Arial" w:cs="Arial"/>
                <w:bCs/>
                <w:sz w:val="16"/>
                <w:szCs w:val="16"/>
              </w:rPr>
            </w:pPr>
            <w:r w:rsidRPr="00363BD6">
              <w:rPr>
                <w:rFonts w:ascii="Arial" w:hAnsi="Arial" w:cs="Arial"/>
                <w:bCs/>
                <w:sz w:val="16"/>
                <w:szCs w:val="16"/>
              </w:rPr>
              <w:t>[Notary Service</w:t>
            </w:r>
          </w:p>
          <w:p w14:paraId="738D6148" w14:textId="77777777" w:rsidR="00D63A30" w:rsidRPr="00363BD6" w:rsidRDefault="00D63A30" w:rsidP="00D63A30">
            <w:pPr>
              <w:pStyle w:val="ListParagraph"/>
              <w:numPr>
                <w:ilvl w:val="0"/>
                <w:numId w:val="12"/>
              </w:numPr>
              <w:spacing w:after="0" w:line="240" w:lineRule="auto"/>
              <w:rPr>
                <w:rFonts w:ascii="Arial" w:hAnsi="Arial" w:cs="Arial"/>
                <w:bCs/>
                <w:sz w:val="16"/>
                <w:szCs w:val="16"/>
              </w:rPr>
            </w:pPr>
            <w:r w:rsidRPr="00363BD6">
              <w:rPr>
                <w:rFonts w:ascii="Arial" w:hAnsi="Arial" w:cs="Arial"/>
                <w:bCs/>
                <w:sz w:val="16"/>
                <w:szCs w:val="16"/>
              </w:rPr>
              <w:t>Central Maintenance Service</w:t>
            </w:r>
          </w:p>
          <w:p w14:paraId="11D9F694" w14:textId="77777777" w:rsidR="00D63A30" w:rsidRPr="00363BD6" w:rsidRDefault="00D63A30" w:rsidP="00D63A30">
            <w:pPr>
              <w:pStyle w:val="ListParagraph"/>
              <w:numPr>
                <w:ilvl w:val="0"/>
                <w:numId w:val="12"/>
              </w:numPr>
              <w:spacing w:after="0" w:line="240" w:lineRule="auto"/>
              <w:rPr>
                <w:rFonts w:ascii="Arial" w:hAnsi="Arial" w:cs="Arial"/>
                <w:bCs/>
                <w:sz w:val="16"/>
                <w:szCs w:val="16"/>
              </w:rPr>
            </w:pPr>
            <w:r w:rsidRPr="00363BD6">
              <w:rPr>
                <w:rFonts w:ascii="Arial" w:hAnsi="Arial" w:cs="Arial"/>
                <w:bCs/>
                <w:sz w:val="16"/>
                <w:szCs w:val="16"/>
              </w:rPr>
              <w:t>Settlement Service]</w:t>
            </w:r>
          </w:p>
          <w:p w14:paraId="2B83D2C7" w14:textId="77777777" w:rsidR="00CE28D2" w:rsidRPr="00363BD6" w:rsidRDefault="00CE28D2" w:rsidP="00C03446">
            <w:pPr>
              <w:rPr>
                <w:rFonts w:ascii="Arial" w:hAnsi="Arial" w:cs="Arial"/>
                <w:bCs/>
                <w:sz w:val="16"/>
                <w:szCs w:val="16"/>
              </w:rPr>
            </w:pPr>
          </w:p>
        </w:tc>
        <w:tc>
          <w:tcPr>
            <w:tcW w:w="2849" w:type="dxa"/>
            <w:shd w:val="clear" w:color="auto" w:fill="auto"/>
          </w:tcPr>
          <w:p w14:paraId="7B39E2CC" w14:textId="77777777" w:rsidR="00CE28D2" w:rsidRPr="00363BD6" w:rsidRDefault="00CE28D2" w:rsidP="00C03446">
            <w:pPr>
              <w:rPr>
                <w:rFonts w:ascii="Arial" w:hAnsi="Arial" w:cs="Arial"/>
                <w:bCs/>
                <w:sz w:val="16"/>
                <w:szCs w:val="16"/>
              </w:rPr>
            </w:pPr>
          </w:p>
        </w:tc>
      </w:tr>
    </w:tbl>
    <w:p w14:paraId="0B752FC8" w14:textId="77777777" w:rsidR="002F73BB" w:rsidRDefault="002F73BB" w:rsidP="002F73BB">
      <w:pPr>
        <w:rPr>
          <w:rFonts w:ascii="Arial" w:hAnsi="Arial" w:cs="Arial"/>
          <w:b/>
        </w:rPr>
      </w:pPr>
    </w:p>
    <w:p w14:paraId="5DC7CF16" w14:textId="77777777" w:rsidR="001636C3" w:rsidRDefault="001636C3" w:rsidP="002F73BB">
      <w:pPr>
        <w:rPr>
          <w:rFonts w:ascii="Arial" w:hAnsi="Arial" w:cs="Arial"/>
          <w:b/>
        </w:rPr>
      </w:pPr>
    </w:p>
    <w:p w14:paraId="709AE2BE" w14:textId="77777777" w:rsidR="001636C3" w:rsidRPr="00112DBA" w:rsidRDefault="001636C3" w:rsidP="002F73BB">
      <w:pPr>
        <w:rPr>
          <w:rFonts w:ascii="Arial" w:hAnsi="Arial" w:cs="Arial"/>
          <w:b/>
        </w:rPr>
      </w:pPr>
    </w:p>
    <w:tbl>
      <w:tblPr>
        <w:tblStyle w:val="TableGrid"/>
        <w:tblW w:w="5000" w:type="pct"/>
        <w:tblLayout w:type="fixed"/>
        <w:tblLook w:val="04A0" w:firstRow="1" w:lastRow="0" w:firstColumn="1" w:lastColumn="0" w:noHBand="0" w:noVBand="1"/>
      </w:tblPr>
      <w:tblGrid>
        <w:gridCol w:w="843"/>
        <w:gridCol w:w="1127"/>
        <w:gridCol w:w="988"/>
        <w:gridCol w:w="851"/>
        <w:gridCol w:w="1121"/>
        <w:gridCol w:w="1975"/>
        <w:gridCol w:w="4226"/>
        <w:gridCol w:w="2817"/>
      </w:tblGrid>
      <w:tr w:rsidR="0034456A" w:rsidRPr="00EE5CA7" w14:paraId="60689FA6" w14:textId="77777777" w:rsidTr="00590D84">
        <w:trPr>
          <w:trHeight w:val="70"/>
        </w:trPr>
        <w:tc>
          <w:tcPr>
            <w:tcW w:w="5000" w:type="pct"/>
            <w:gridSpan w:val="8"/>
            <w:shd w:val="clear" w:color="auto" w:fill="35009F"/>
          </w:tcPr>
          <w:p w14:paraId="3F57904D" w14:textId="77777777" w:rsidR="0034456A" w:rsidRPr="0054016C" w:rsidRDefault="0034456A" w:rsidP="001636C3">
            <w:pPr>
              <w:pStyle w:val="Heading1"/>
              <w:numPr>
                <w:ilvl w:val="0"/>
                <w:numId w:val="14"/>
              </w:numPr>
              <w:spacing w:line="259" w:lineRule="auto"/>
              <w:ind w:left="360" w:hanging="328"/>
              <w:rPr>
                <w:rFonts w:cs="Arial"/>
                <w:b/>
                <w:color w:val="auto"/>
              </w:rPr>
            </w:pPr>
            <w:bookmarkStart w:id="6" w:name="_Toc195710761"/>
            <w:bookmarkStart w:id="7" w:name="_Toc195712425"/>
            <w:r w:rsidRPr="00EE5CA7">
              <w:rPr>
                <w:rFonts w:cs="Arial"/>
                <w:b/>
                <w:color w:val="auto"/>
              </w:rPr>
              <w:t>Third-country CSDs (TC-CSDs) recognised by ESMA under Article 25 of CSDR</w:t>
            </w:r>
            <w:bookmarkEnd w:id="6"/>
            <w:bookmarkEnd w:id="7"/>
          </w:p>
          <w:p w14:paraId="1D47A3EE" w14:textId="77777777" w:rsidR="0034456A" w:rsidRPr="00EE5CA7" w:rsidRDefault="0034456A" w:rsidP="007F68F7">
            <w:pPr>
              <w:rPr>
                <w:rFonts w:ascii="Arial" w:hAnsi="Arial" w:cs="Arial"/>
                <w:b/>
                <w:sz w:val="16"/>
                <w:szCs w:val="20"/>
              </w:rPr>
            </w:pPr>
          </w:p>
        </w:tc>
      </w:tr>
      <w:tr w:rsidR="0034456A" w:rsidRPr="0054016C" w14:paraId="3A47A6B0" w14:textId="77777777" w:rsidTr="00590D84">
        <w:trPr>
          <w:trHeight w:val="70"/>
        </w:trPr>
        <w:tc>
          <w:tcPr>
            <w:tcW w:w="302" w:type="pct"/>
            <w:vMerge w:val="restart"/>
            <w:shd w:val="clear" w:color="auto" w:fill="A072FF"/>
          </w:tcPr>
          <w:p w14:paraId="28C19A5E" w14:textId="77777777" w:rsidR="0034456A" w:rsidRPr="0054016C" w:rsidRDefault="0034456A" w:rsidP="007F68F7">
            <w:pPr>
              <w:jc w:val="center"/>
              <w:rPr>
                <w:rFonts w:ascii="Arial" w:hAnsi="Arial" w:cs="Arial"/>
                <w:b/>
                <w:color w:val="FFFFFF" w:themeColor="background1"/>
                <w:sz w:val="14"/>
                <w:szCs w:val="18"/>
              </w:rPr>
            </w:pPr>
            <w:r w:rsidRPr="0054016C">
              <w:rPr>
                <w:rFonts w:ascii="Arial" w:hAnsi="Arial" w:cs="Arial"/>
                <w:b/>
                <w:color w:val="FFFFFF" w:themeColor="background1"/>
                <w:sz w:val="14"/>
                <w:szCs w:val="18"/>
              </w:rPr>
              <w:t>Third countries</w:t>
            </w:r>
          </w:p>
        </w:tc>
        <w:tc>
          <w:tcPr>
            <w:tcW w:w="404" w:type="pct"/>
            <w:vMerge w:val="restart"/>
            <w:shd w:val="clear" w:color="auto" w:fill="A072FF"/>
          </w:tcPr>
          <w:p w14:paraId="264BD3AE" w14:textId="77777777" w:rsidR="0034456A" w:rsidRPr="0054016C" w:rsidRDefault="0034456A" w:rsidP="007F68F7">
            <w:pPr>
              <w:jc w:val="center"/>
              <w:rPr>
                <w:rFonts w:ascii="Arial" w:hAnsi="Arial" w:cs="Arial"/>
                <w:b/>
                <w:color w:val="FFFFFF" w:themeColor="background1"/>
                <w:sz w:val="14"/>
                <w:szCs w:val="18"/>
              </w:rPr>
            </w:pPr>
            <w:r w:rsidRPr="0054016C">
              <w:rPr>
                <w:rFonts w:ascii="Arial" w:hAnsi="Arial" w:cs="Arial"/>
                <w:b/>
                <w:color w:val="FFFFFF" w:themeColor="background1"/>
                <w:sz w:val="14"/>
                <w:szCs w:val="18"/>
              </w:rPr>
              <w:t xml:space="preserve">Responsible third-country authorities </w:t>
            </w:r>
          </w:p>
        </w:tc>
        <w:tc>
          <w:tcPr>
            <w:tcW w:w="354" w:type="pct"/>
            <w:vMerge w:val="restart"/>
            <w:shd w:val="clear" w:color="auto" w:fill="A072FF"/>
          </w:tcPr>
          <w:p w14:paraId="46047148" w14:textId="77777777" w:rsidR="0034456A" w:rsidRPr="0054016C" w:rsidRDefault="0034456A" w:rsidP="007F68F7">
            <w:pPr>
              <w:jc w:val="center"/>
              <w:rPr>
                <w:rFonts w:ascii="Arial" w:hAnsi="Arial" w:cs="Arial"/>
                <w:b/>
                <w:color w:val="FFFFFF" w:themeColor="background1"/>
                <w:sz w:val="14"/>
                <w:szCs w:val="18"/>
              </w:rPr>
            </w:pPr>
            <w:r w:rsidRPr="0054016C">
              <w:rPr>
                <w:rFonts w:ascii="Arial" w:hAnsi="Arial" w:cs="Arial"/>
                <w:b/>
                <w:color w:val="FFFFFF" w:themeColor="background1"/>
                <w:sz w:val="14"/>
                <w:szCs w:val="18"/>
              </w:rPr>
              <w:t>TC-CSDs Names</w:t>
            </w:r>
          </w:p>
        </w:tc>
        <w:tc>
          <w:tcPr>
            <w:tcW w:w="305" w:type="pct"/>
            <w:vMerge w:val="restart"/>
            <w:shd w:val="clear" w:color="auto" w:fill="A072FF"/>
          </w:tcPr>
          <w:p w14:paraId="337AC467" w14:textId="77777777" w:rsidR="0034456A" w:rsidRPr="0054016C" w:rsidRDefault="0034456A" w:rsidP="007F68F7">
            <w:pPr>
              <w:jc w:val="center"/>
              <w:rPr>
                <w:rFonts w:ascii="Arial" w:hAnsi="Arial" w:cs="Arial"/>
                <w:b/>
                <w:color w:val="FFFFFF" w:themeColor="background1"/>
                <w:sz w:val="14"/>
                <w:szCs w:val="18"/>
              </w:rPr>
            </w:pPr>
            <w:r w:rsidRPr="0054016C">
              <w:rPr>
                <w:rFonts w:ascii="Arial" w:hAnsi="Arial" w:cs="Arial"/>
                <w:b/>
                <w:color w:val="FFFFFF" w:themeColor="background1"/>
                <w:sz w:val="14"/>
                <w:szCs w:val="18"/>
              </w:rPr>
              <w:t xml:space="preserve">LEIs </w:t>
            </w:r>
          </w:p>
          <w:p w14:paraId="07CD76D1" w14:textId="77777777" w:rsidR="0034456A" w:rsidRPr="0054016C" w:rsidRDefault="0034456A" w:rsidP="007F68F7">
            <w:pPr>
              <w:jc w:val="center"/>
              <w:rPr>
                <w:rFonts w:ascii="Arial" w:hAnsi="Arial" w:cs="Arial"/>
                <w:b/>
                <w:color w:val="FFFFFF" w:themeColor="background1"/>
                <w:sz w:val="14"/>
                <w:szCs w:val="18"/>
              </w:rPr>
            </w:pPr>
            <w:r w:rsidRPr="0054016C">
              <w:rPr>
                <w:rFonts w:ascii="Arial" w:hAnsi="Arial" w:cs="Arial"/>
                <w:b/>
                <w:color w:val="FFFFFF" w:themeColor="background1"/>
                <w:sz w:val="14"/>
                <w:szCs w:val="18"/>
              </w:rPr>
              <w:t xml:space="preserve">of the </w:t>
            </w:r>
          </w:p>
          <w:p w14:paraId="7053E9C5" w14:textId="77777777" w:rsidR="0034456A" w:rsidRPr="0054016C" w:rsidRDefault="0034456A" w:rsidP="007F68F7">
            <w:pPr>
              <w:jc w:val="center"/>
              <w:rPr>
                <w:rFonts w:ascii="Arial" w:hAnsi="Arial" w:cs="Arial"/>
                <w:b/>
                <w:color w:val="FFFFFF" w:themeColor="background1"/>
                <w:sz w:val="14"/>
                <w:szCs w:val="18"/>
              </w:rPr>
            </w:pPr>
            <w:r w:rsidRPr="0054016C">
              <w:rPr>
                <w:rFonts w:ascii="Arial" w:hAnsi="Arial" w:cs="Arial"/>
                <w:b/>
                <w:color w:val="FFFFFF" w:themeColor="background1"/>
                <w:sz w:val="14"/>
                <w:szCs w:val="18"/>
              </w:rPr>
              <w:t>TC-CSD</w:t>
            </w:r>
          </w:p>
        </w:tc>
        <w:tc>
          <w:tcPr>
            <w:tcW w:w="3636" w:type="pct"/>
            <w:gridSpan w:val="4"/>
            <w:shd w:val="clear" w:color="auto" w:fill="A072FF"/>
          </w:tcPr>
          <w:p w14:paraId="5E3C0D18" w14:textId="77777777" w:rsidR="0034456A" w:rsidRPr="0054016C" w:rsidRDefault="0034456A" w:rsidP="007F68F7">
            <w:pPr>
              <w:jc w:val="center"/>
              <w:rPr>
                <w:rFonts w:ascii="Arial" w:hAnsi="Arial" w:cs="Arial"/>
                <w:b/>
                <w:color w:val="FFFFFF" w:themeColor="background1"/>
                <w:sz w:val="14"/>
                <w:szCs w:val="18"/>
              </w:rPr>
            </w:pPr>
            <w:r w:rsidRPr="0054016C">
              <w:rPr>
                <w:rFonts w:ascii="Arial" w:hAnsi="Arial" w:cs="Arial"/>
                <w:b/>
                <w:color w:val="FFFFFF" w:themeColor="background1"/>
                <w:sz w:val="14"/>
                <w:szCs w:val="18"/>
              </w:rPr>
              <w:t>Services provided in the EU</w:t>
            </w:r>
          </w:p>
          <w:p w14:paraId="40CF4C87" w14:textId="77777777" w:rsidR="0034456A" w:rsidRPr="0054016C" w:rsidRDefault="0034456A" w:rsidP="007F68F7">
            <w:pPr>
              <w:jc w:val="center"/>
              <w:rPr>
                <w:rFonts w:ascii="Arial" w:hAnsi="Arial" w:cs="Arial"/>
                <w:b/>
                <w:color w:val="FFFFFF" w:themeColor="background1"/>
                <w:sz w:val="14"/>
                <w:szCs w:val="18"/>
              </w:rPr>
            </w:pPr>
          </w:p>
          <w:p w14:paraId="6BB7A5B7" w14:textId="77777777" w:rsidR="0034456A" w:rsidRPr="0054016C" w:rsidRDefault="0034456A" w:rsidP="007F68F7">
            <w:pPr>
              <w:jc w:val="center"/>
              <w:rPr>
                <w:rFonts w:ascii="Arial" w:hAnsi="Arial" w:cs="Arial"/>
                <w:b/>
                <w:color w:val="FFFFFF" w:themeColor="background1"/>
                <w:sz w:val="14"/>
                <w:szCs w:val="18"/>
              </w:rPr>
            </w:pPr>
          </w:p>
          <w:p w14:paraId="7F5D530A" w14:textId="77777777" w:rsidR="0034456A" w:rsidRPr="0054016C" w:rsidRDefault="0034456A" w:rsidP="007F68F7">
            <w:pPr>
              <w:jc w:val="center"/>
              <w:rPr>
                <w:rFonts w:ascii="Arial" w:hAnsi="Arial" w:cs="Arial"/>
                <w:b/>
                <w:color w:val="FFFFFF" w:themeColor="background1"/>
                <w:sz w:val="14"/>
                <w:szCs w:val="18"/>
              </w:rPr>
            </w:pPr>
          </w:p>
        </w:tc>
      </w:tr>
      <w:tr w:rsidR="0034456A" w:rsidRPr="0054016C" w14:paraId="750EA8A6" w14:textId="77777777" w:rsidTr="00590D84">
        <w:tc>
          <w:tcPr>
            <w:tcW w:w="302" w:type="pct"/>
            <w:vMerge/>
            <w:shd w:val="clear" w:color="auto" w:fill="FFE599" w:themeFill="accent4" w:themeFillTint="66"/>
          </w:tcPr>
          <w:p w14:paraId="69D271BF" w14:textId="77777777" w:rsidR="0034456A" w:rsidRPr="0054016C" w:rsidRDefault="0034456A" w:rsidP="007F68F7">
            <w:pPr>
              <w:rPr>
                <w:rFonts w:ascii="Arial" w:hAnsi="Arial" w:cs="Arial"/>
                <w:color w:val="FFFFFF" w:themeColor="background1"/>
                <w:sz w:val="14"/>
                <w:szCs w:val="18"/>
              </w:rPr>
            </w:pPr>
          </w:p>
        </w:tc>
        <w:tc>
          <w:tcPr>
            <w:tcW w:w="404" w:type="pct"/>
            <w:vMerge/>
            <w:shd w:val="clear" w:color="auto" w:fill="FFE599" w:themeFill="accent4" w:themeFillTint="66"/>
          </w:tcPr>
          <w:p w14:paraId="496294FD" w14:textId="77777777" w:rsidR="0034456A" w:rsidRPr="0054016C" w:rsidRDefault="0034456A" w:rsidP="007F68F7">
            <w:pPr>
              <w:rPr>
                <w:rFonts w:ascii="Arial" w:hAnsi="Arial" w:cs="Arial"/>
                <w:color w:val="FFFFFF" w:themeColor="background1"/>
                <w:sz w:val="14"/>
                <w:szCs w:val="18"/>
              </w:rPr>
            </w:pPr>
          </w:p>
        </w:tc>
        <w:tc>
          <w:tcPr>
            <w:tcW w:w="354" w:type="pct"/>
            <w:vMerge/>
            <w:shd w:val="clear" w:color="auto" w:fill="FFE599" w:themeFill="accent4" w:themeFillTint="66"/>
          </w:tcPr>
          <w:p w14:paraId="65FA7743" w14:textId="77777777" w:rsidR="0034456A" w:rsidRPr="0054016C" w:rsidRDefault="0034456A" w:rsidP="007F68F7">
            <w:pPr>
              <w:rPr>
                <w:rFonts w:ascii="Arial" w:hAnsi="Arial" w:cs="Arial"/>
                <w:color w:val="FFFFFF" w:themeColor="background1"/>
                <w:sz w:val="14"/>
                <w:szCs w:val="18"/>
              </w:rPr>
            </w:pPr>
          </w:p>
        </w:tc>
        <w:tc>
          <w:tcPr>
            <w:tcW w:w="305" w:type="pct"/>
            <w:vMerge/>
            <w:shd w:val="clear" w:color="auto" w:fill="FFE599" w:themeFill="accent4" w:themeFillTint="66"/>
          </w:tcPr>
          <w:p w14:paraId="54BE3EDF" w14:textId="77777777" w:rsidR="0034456A" w:rsidRPr="0054016C" w:rsidRDefault="0034456A" w:rsidP="007F68F7">
            <w:pPr>
              <w:rPr>
                <w:rFonts w:ascii="Arial" w:hAnsi="Arial" w:cs="Arial"/>
                <w:color w:val="FFFFFF" w:themeColor="background1"/>
                <w:sz w:val="14"/>
                <w:szCs w:val="18"/>
              </w:rPr>
            </w:pPr>
          </w:p>
        </w:tc>
        <w:tc>
          <w:tcPr>
            <w:tcW w:w="402" w:type="pct"/>
            <w:shd w:val="clear" w:color="auto" w:fill="A072FF"/>
          </w:tcPr>
          <w:p w14:paraId="217EE2AE" w14:textId="77777777" w:rsidR="0034456A" w:rsidRPr="0054016C" w:rsidRDefault="0034456A" w:rsidP="007F68F7">
            <w:pPr>
              <w:rPr>
                <w:rFonts w:ascii="Arial" w:hAnsi="Arial" w:cs="Arial"/>
                <w:color w:val="FFFFFF" w:themeColor="background1"/>
                <w:sz w:val="14"/>
                <w:szCs w:val="18"/>
              </w:rPr>
            </w:pPr>
            <w:r w:rsidRPr="0054016C">
              <w:rPr>
                <w:rFonts w:ascii="Arial" w:hAnsi="Arial" w:cs="Arial"/>
                <w:color w:val="FFFFFF" w:themeColor="background1"/>
                <w:sz w:val="14"/>
                <w:szCs w:val="18"/>
              </w:rPr>
              <w:t xml:space="preserve">Validity of the recognition decision </w:t>
            </w:r>
          </w:p>
          <w:p w14:paraId="1BCAF5BE" w14:textId="77777777" w:rsidR="0034456A" w:rsidRPr="0054016C" w:rsidRDefault="0034456A" w:rsidP="007F68F7">
            <w:pPr>
              <w:rPr>
                <w:rFonts w:ascii="Arial" w:hAnsi="Arial" w:cs="Arial"/>
                <w:color w:val="FFFFFF" w:themeColor="background1"/>
                <w:sz w:val="14"/>
                <w:szCs w:val="18"/>
              </w:rPr>
            </w:pPr>
          </w:p>
        </w:tc>
        <w:tc>
          <w:tcPr>
            <w:tcW w:w="708" w:type="pct"/>
            <w:shd w:val="clear" w:color="auto" w:fill="A072FF"/>
          </w:tcPr>
          <w:p w14:paraId="54424D45" w14:textId="77777777" w:rsidR="0034456A" w:rsidRPr="0054016C" w:rsidRDefault="0034456A" w:rsidP="007F68F7">
            <w:pPr>
              <w:rPr>
                <w:rFonts w:ascii="Arial" w:hAnsi="Arial" w:cs="Arial"/>
                <w:color w:val="FFFFFF" w:themeColor="background1"/>
                <w:sz w:val="14"/>
                <w:szCs w:val="18"/>
              </w:rPr>
            </w:pPr>
            <w:r w:rsidRPr="0054016C">
              <w:rPr>
                <w:rFonts w:ascii="Arial" w:hAnsi="Arial" w:cs="Arial"/>
                <w:color w:val="FFFFFF" w:themeColor="background1"/>
                <w:sz w:val="14"/>
                <w:szCs w:val="18"/>
              </w:rPr>
              <w:t>Member States in which the TC-CSD provides or intends to provide services</w:t>
            </w:r>
          </w:p>
        </w:tc>
        <w:tc>
          <w:tcPr>
            <w:tcW w:w="1515" w:type="pct"/>
            <w:shd w:val="clear" w:color="auto" w:fill="A072FF"/>
          </w:tcPr>
          <w:p w14:paraId="0E9B2257" w14:textId="77777777" w:rsidR="0034456A" w:rsidRPr="0054016C" w:rsidRDefault="0034456A" w:rsidP="007F68F7">
            <w:pPr>
              <w:rPr>
                <w:rFonts w:ascii="Arial" w:hAnsi="Arial" w:cs="Arial"/>
                <w:color w:val="FFFFFF" w:themeColor="background1"/>
                <w:sz w:val="14"/>
                <w:szCs w:val="18"/>
              </w:rPr>
            </w:pPr>
            <w:r w:rsidRPr="0054016C">
              <w:rPr>
                <w:rFonts w:ascii="Arial" w:hAnsi="Arial" w:cs="Arial"/>
                <w:color w:val="FFFFFF" w:themeColor="background1"/>
                <w:sz w:val="14"/>
                <w:szCs w:val="18"/>
              </w:rPr>
              <w:t>Services covered, as per the CSDR Annex</w:t>
            </w:r>
          </w:p>
        </w:tc>
        <w:tc>
          <w:tcPr>
            <w:tcW w:w="1011" w:type="pct"/>
            <w:shd w:val="clear" w:color="auto" w:fill="A072FF"/>
          </w:tcPr>
          <w:p w14:paraId="70812803" w14:textId="77777777" w:rsidR="0034456A" w:rsidRPr="0054016C" w:rsidRDefault="0034456A" w:rsidP="007F68F7">
            <w:pPr>
              <w:pStyle w:val="Default"/>
              <w:rPr>
                <w:color w:val="FFFFFF" w:themeColor="background1"/>
                <w:sz w:val="14"/>
                <w:szCs w:val="18"/>
              </w:rPr>
            </w:pPr>
            <w:r w:rsidRPr="0054016C">
              <w:rPr>
                <w:color w:val="FFFFFF" w:themeColor="background1"/>
                <w:sz w:val="14"/>
                <w:szCs w:val="18"/>
              </w:rPr>
              <w:t>Classes of financial instruments covered, as per Section C of Annex 1 of Directive 2014/65/EU</w:t>
            </w:r>
          </w:p>
          <w:p w14:paraId="25E8F513" w14:textId="77777777" w:rsidR="0034456A" w:rsidRPr="0054016C" w:rsidRDefault="0034456A" w:rsidP="007F68F7">
            <w:pPr>
              <w:rPr>
                <w:rFonts w:ascii="Arial" w:hAnsi="Arial" w:cs="Arial"/>
                <w:color w:val="FFFFFF" w:themeColor="background1"/>
                <w:sz w:val="14"/>
                <w:szCs w:val="18"/>
              </w:rPr>
            </w:pPr>
          </w:p>
        </w:tc>
      </w:tr>
      <w:tr w:rsidR="00590D84" w:rsidRPr="007209CE" w14:paraId="37E76C81" w14:textId="77777777" w:rsidTr="00590D84">
        <w:tc>
          <w:tcPr>
            <w:tcW w:w="302" w:type="pct"/>
            <w:shd w:val="clear" w:color="auto" w:fill="auto"/>
          </w:tcPr>
          <w:p w14:paraId="4E68E4D6" w14:textId="1257081B" w:rsidR="0034456A" w:rsidRPr="007209CE" w:rsidRDefault="0034456A" w:rsidP="007F68F7">
            <w:pPr>
              <w:rPr>
                <w:rFonts w:ascii="Arial" w:hAnsi="Arial" w:cs="Arial"/>
                <w:sz w:val="16"/>
                <w:szCs w:val="16"/>
              </w:rPr>
            </w:pPr>
            <w:r w:rsidRPr="007209CE">
              <w:rPr>
                <w:rFonts w:ascii="Arial" w:hAnsi="Arial" w:cs="Arial"/>
                <w:sz w:val="16"/>
                <w:szCs w:val="16"/>
              </w:rPr>
              <w:t>[country code]</w:t>
            </w:r>
          </w:p>
        </w:tc>
        <w:tc>
          <w:tcPr>
            <w:tcW w:w="404" w:type="pct"/>
            <w:shd w:val="clear" w:color="auto" w:fill="auto"/>
          </w:tcPr>
          <w:p w14:paraId="291FBB63" w14:textId="0A543813" w:rsidR="0034456A" w:rsidRPr="007209CE" w:rsidRDefault="0034456A" w:rsidP="007F68F7">
            <w:pPr>
              <w:rPr>
                <w:rFonts w:ascii="Arial" w:hAnsi="Arial" w:cs="Arial"/>
                <w:sz w:val="16"/>
                <w:szCs w:val="16"/>
              </w:rPr>
            </w:pPr>
          </w:p>
        </w:tc>
        <w:tc>
          <w:tcPr>
            <w:tcW w:w="354" w:type="pct"/>
            <w:shd w:val="clear" w:color="auto" w:fill="auto"/>
          </w:tcPr>
          <w:p w14:paraId="4164900B" w14:textId="5A12FB26" w:rsidR="0034456A" w:rsidRPr="007209CE" w:rsidRDefault="0034456A" w:rsidP="007F68F7">
            <w:pPr>
              <w:rPr>
                <w:rFonts w:ascii="Arial" w:hAnsi="Arial" w:cs="Arial"/>
                <w:sz w:val="16"/>
                <w:szCs w:val="16"/>
              </w:rPr>
            </w:pPr>
            <w:r w:rsidRPr="007209CE">
              <w:rPr>
                <w:rFonts w:ascii="Arial" w:hAnsi="Arial" w:cs="Arial"/>
                <w:sz w:val="16"/>
                <w:szCs w:val="16"/>
              </w:rPr>
              <w:t>[if any, commercial name</w:t>
            </w:r>
            <w:r w:rsidR="007209CE" w:rsidRPr="007209CE">
              <w:rPr>
                <w:rFonts w:ascii="Arial" w:hAnsi="Arial" w:cs="Arial"/>
                <w:sz w:val="16"/>
                <w:szCs w:val="16"/>
              </w:rPr>
              <w:t xml:space="preserve"> (legal name)]</w:t>
            </w:r>
          </w:p>
        </w:tc>
        <w:tc>
          <w:tcPr>
            <w:tcW w:w="305" w:type="pct"/>
            <w:shd w:val="clear" w:color="auto" w:fill="auto"/>
          </w:tcPr>
          <w:p w14:paraId="49F6CFFC" w14:textId="44BD72EC" w:rsidR="0034456A" w:rsidRPr="007209CE" w:rsidRDefault="0034456A" w:rsidP="007F68F7">
            <w:pPr>
              <w:rPr>
                <w:rFonts w:ascii="Arial" w:hAnsi="Arial" w:cs="Arial"/>
                <w:sz w:val="16"/>
                <w:szCs w:val="16"/>
              </w:rPr>
            </w:pPr>
          </w:p>
        </w:tc>
        <w:tc>
          <w:tcPr>
            <w:tcW w:w="402" w:type="pct"/>
            <w:shd w:val="clear" w:color="auto" w:fill="auto"/>
          </w:tcPr>
          <w:p w14:paraId="1C95D628" w14:textId="0B7C906E" w:rsidR="0034456A" w:rsidRPr="007209CE" w:rsidRDefault="0034456A" w:rsidP="007F68F7">
            <w:pPr>
              <w:rPr>
                <w:rFonts w:ascii="Arial" w:hAnsi="Arial" w:cs="Arial"/>
                <w:sz w:val="16"/>
                <w:szCs w:val="16"/>
              </w:rPr>
            </w:pPr>
          </w:p>
        </w:tc>
        <w:tc>
          <w:tcPr>
            <w:tcW w:w="708" w:type="pct"/>
            <w:shd w:val="clear" w:color="auto" w:fill="auto"/>
          </w:tcPr>
          <w:p w14:paraId="3B458DAE" w14:textId="476D79C5" w:rsidR="0034456A" w:rsidRPr="007209CE" w:rsidRDefault="0034456A" w:rsidP="007F68F7">
            <w:pPr>
              <w:rPr>
                <w:rFonts w:ascii="Arial" w:hAnsi="Arial" w:cs="Arial"/>
                <w:sz w:val="16"/>
                <w:szCs w:val="16"/>
              </w:rPr>
            </w:pPr>
            <w:r w:rsidRPr="007209CE">
              <w:rPr>
                <w:rFonts w:ascii="Arial" w:hAnsi="Arial" w:cs="Arial"/>
                <w:sz w:val="16"/>
                <w:szCs w:val="16"/>
              </w:rPr>
              <w:t>[country code]</w:t>
            </w:r>
          </w:p>
        </w:tc>
        <w:tc>
          <w:tcPr>
            <w:tcW w:w="1515" w:type="pct"/>
            <w:shd w:val="clear" w:color="auto" w:fill="auto"/>
          </w:tcPr>
          <w:p w14:paraId="63C23862" w14:textId="074A589A" w:rsidR="0034456A" w:rsidRPr="007209CE" w:rsidRDefault="0034456A" w:rsidP="007F68F7">
            <w:pPr>
              <w:pStyle w:val="Default"/>
              <w:rPr>
                <w:color w:val="auto"/>
                <w:sz w:val="16"/>
                <w:szCs w:val="16"/>
              </w:rPr>
            </w:pPr>
          </w:p>
        </w:tc>
        <w:tc>
          <w:tcPr>
            <w:tcW w:w="1011" w:type="pct"/>
            <w:shd w:val="clear" w:color="auto" w:fill="auto"/>
          </w:tcPr>
          <w:p w14:paraId="1AE4002D" w14:textId="213C780B" w:rsidR="0034456A" w:rsidRPr="007209CE" w:rsidRDefault="0034456A" w:rsidP="007F68F7">
            <w:pPr>
              <w:pStyle w:val="Default"/>
              <w:rPr>
                <w:color w:val="auto"/>
                <w:sz w:val="16"/>
                <w:szCs w:val="16"/>
              </w:rPr>
            </w:pPr>
          </w:p>
        </w:tc>
      </w:tr>
    </w:tbl>
    <w:p w14:paraId="29B6C607" w14:textId="77777777" w:rsidR="002F73BB" w:rsidRPr="00112DBA" w:rsidRDefault="002F73BB" w:rsidP="002F73BB">
      <w:pPr>
        <w:rPr>
          <w:rFonts w:ascii="Arial" w:hAnsi="Arial" w:cs="Arial"/>
          <w:b/>
        </w:rPr>
      </w:pPr>
    </w:p>
    <w:p w14:paraId="6EF281B3" w14:textId="77777777" w:rsidR="003557A9" w:rsidRPr="002F73BB" w:rsidRDefault="003557A9" w:rsidP="002F73BB"/>
    <w:sectPr w:rsidR="003557A9" w:rsidRPr="002F73BB" w:rsidSect="00F35D1E">
      <w:headerReference w:type="default" r:id="rId15"/>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4B01E64" w14:textId="77777777" w:rsidR="00D910CE" w:rsidRDefault="00D910CE" w:rsidP="001D7EB1">
      <w:pPr>
        <w:spacing w:after="0" w:line="240" w:lineRule="auto"/>
      </w:pPr>
      <w:r>
        <w:separator/>
      </w:r>
    </w:p>
  </w:endnote>
  <w:endnote w:type="continuationSeparator" w:id="0">
    <w:p w14:paraId="6DD73E7A" w14:textId="77777777" w:rsidR="00D910CE" w:rsidRDefault="00D910CE" w:rsidP="001D7EB1">
      <w:pPr>
        <w:spacing w:after="0" w:line="240" w:lineRule="auto"/>
      </w:pPr>
      <w:r>
        <w:continuationSeparator/>
      </w:r>
    </w:p>
  </w:endnote>
  <w:endnote w:type="continuationNotice" w:id="1">
    <w:p w14:paraId="03163AE1" w14:textId="77777777" w:rsidR="00D910CE" w:rsidRDefault="00D910CE">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288473921"/>
      <w:docPartObj>
        <w:docPartGallery w:val="Page Numbers (Bottom of Page)"/>
        <w:docPartUnique/>
      </w:docPartObj>
    </w:sdtPr>
    <w:sdtEndPr>
      <w:rPr>
        <w:noProof/>
      </w:rPr>
    </w:sdtEndPr>
    <w:sdtContent>
      <w:p w14:paraId="3FC3EAE0" w14:textId="48F5D164" w:rsidR="002F73BB" w:rsidRDefault="002F73BB">
        <w:pPr>
          <w:pStyle w:val="Footer"/>
          <w:jc w:val="center"/>
        </w:pPr>
        <w:r>
          <w:fldChar w:fldCharType="begin"/>
        </w:r>
        <w:r>
          <w:instrText xml:space="preserve"> PAGE   \* MERGEFORMAT </w:instrText>
        </w:r>
        <w:r>
          <w:fldChar w:fldCharType="separate"/>
        </w:r>
        <w:r w:rsidR="00C80AE0">
          <w:rPr>
            <w:noProof/>
          </w:rPr>
          <w:t>1</w:t>
        </w:r>
        <w:r>
          <w:rPr>
            <w:noProof/>
          </w:rPr>
          <w:fldChar w:fldCharType="end"/>
        </w:r>
      </w:p>
    </w:sdtContent>
  </w:sdt>
  <w:p w14:paraId="5A1660C6" w14:textId="77777777" w:rsidR="002F73BB" w:rsidRDefault="002F73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A2BC0F3" w14:textId="77777777" w:rsidR="00D910CE" w:rsidRDefault="00D910CE" w:rsidP="001D7EB1">
      <w:pPr>
        <w:spacing w:after="0" w:line="240" w:lineRule="auto"/>
      </w:pPr>
      <w:r>
        <w:separator/>
      </w:r>
    </w:p>
  </w:footnote>
  <w:footnote w:type="continuationSeparator" w:id="0">
    <w:p w14:paraId="247C4C55" w14:textId="77777777" w:rsidR="00D910CE" w:rsidRDefault="00D910CE" w:rsidP="001D7EB1">
      <w:pPr>
        <w:spacing w:after="0" w:line="240" w:lineRule="auto"/>
      </w:pPr>
      <w:r>
        <w:continuationSeparator/>
      </w:r>
    </w:p>
  </w:footnote>
  <w:footnote w:type="continuationNotice" w:id="1">
    <w:p w14:paraId="5A29F405" w14:textId="77777777" w:rsidR="00D910CE" w:rsidRDefault="00D910CE">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D7C120" w14:textId="001C6A46" w:rsidR="002F73BB" w:rsidRPr="00896377" w:rsidRDefault="004A1EB7" w:rsidP="007A35BB">
    <w:pPr>
      <w:spacing w:after="0"/>
      <w:ind w:left="10081"/>
      <w:jc w:val="right"/>
      <w:rPr>
        <w:rFonts w:ascii="Arial" w:hAnsi="Arial" w:cs="Arial"/>
        <w:sz w:val="16"/>
        <w:szCs w:val="16"/>
      </w:rPr>
    </w:pPr>
    <w:r w:rsidRPr="00896377">
      <w:rPr>
        <w:rFonts w:ascii="Arial" w:eastAsia="Times New Roman" w:hAnsi="Arial" w:cs="Times New Roman"/>
        <w:noProof/>
        <w:sz w:val="16"/>
        <w:szCs w:val="16"/>
      </w:rPr>
      <w:drawing>
        <wp:anchor distT="0" distB="0" distL="114300" distR="114300" simplePos="0" relativeHeight="251658240" behindDoc="0" locked="0" layoutInCell="1" allowOverlap="1" wp14:anchorId="30FFC248" wp14:editId="6F3E8141">
          <wp:simplePos x="0" y="0"/>
          <wp:positionH relativeFrom="page">
            <wp:posOffset>914400</wp:posOffset>
          </wp:positionH>
          <wp:positionV relativeFrom="page">
            <wp:posOffset>448945</wp:posOffset>
          </wp:positionV>
          <wp:extent cx="2209800" cy="579120"/>
          <wp:effectExtent l="0" t="0" r="0" b="0"/>
          <wp:wrapNone/>
          <wp:docPr id="1" name="Picture 1" descr="A blue text on a black background&#10;&#10;AI-generated content may be incorrec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blue text on a black background&#10;&#10;AI-generated content may be incorrect."/>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2209800" cy="579120"/>
                  </a:xfrm>
                  <a:prstGeom prst="rect">
                    <a:avLst/>
                  </a:prstGeom>
                  <a:noFill/>
                  <a:ln>
                    <a:noFill/>
                  </a:ln>
                </pic:spPr>
              </pic:pic>
            </a:graphicData>
          </a:graphic>
          <wp14:sizeRelH relativeFrom="page">
            <wp14:pctWidth>0</wp14:pctWidth>
          </wp14:sizeRelH>
          <wp14:sizeRelV relativeFrom="page">
            <wp14:pctHeight>0</wp14:pctHeight>
          </wp14:sizeRelV>
        </wp:anchor>
      </w:drawing>
    </w:r>
    <w:r w:rsidR="0079608D">
      <w:rPr>
        <w:rFonts w:ascii="Arial" w:hAnsi="Arial" w:cs="Arial"/>
        <w:sz w:val="16"/>
        <w:szCs w:val="16"/>
      </w:rPr>
      <w:t>29</w:t>
    </w:r>
    <w:r w:rsidR="00041DF0" w:rsidRPr="00896377">
      <w:rPr>
        <w:rFonts w:ascii="Arial" w:hAnsi="Arial" w:cs="Arial"/>
        <w:sz w:val="16"/>
        <w:szCs w:val="16"/>
      </w:rPr>
      <w:t xml:space="preserve"> April 2025</w:t>
    </w:r>
  </w:p>
  <w:p w14:paraId="3C8459EB" w14:textId="30B5A6FD" w:rsidR="002F73BB" w:rsidRPr="00896377" w:rsidRDefault="00771A3D" w:rsidP="00896377">
    <w:pPr>
      <w:pStyle w:val="Header"/>
      <w:jc w:val="right"/>
      <w:rPr>
        <w:sz w:val="20"/>
        <w:szCs w:val="20"/>
      </w:rPr>
    </w:pPr>
    <w:r>
      <w:rPr>
        <w:rFonts w:ascii="Arial" w:hAnsi="Arial" w:cs="Arial"/>
        <w:sz w:val="16"/>
        <w:szCs w:val="16"/>
      </w:rPr>
      <w:t>ES</w:t>
    </w:r>
    <w:r w:rsidRPr="00771A3D">
      <w:rPr>
        <w:rFonts w:ascii="Arial" w:hAnsi="Arial" w:cs="Arial"/>
        <w:sz w:val="16"/>
        <w:szCs w:val="16"/>
      </w:rPr>
      <w:t>MA70-151-564</w:t>
    </w:r>
    <w:hyperlink r:id="rId2" w:tgtFrame="_blank" w:tooltip="ESMA74-1194755578-321" w:history="1"/>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CC30633" w14:textId="77777777" w:rsidR="00A06325" w:rsidRDefault="00A06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015298"/>
    <w:multiLevelType w:val="hybridMultilevel"/>
    <w:tmpl w:val="F574F6CE"/>
    <w:lvl w:ilvl="0" w:tplc="CB96CD82">
      <w:start w:val="1"/>
      <w:numFmt w:val="lowerLetter"/>
      <w:lvlText w:val="%1)"/>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13CA66C5"/>
    <w:multiLevelType w:val="hybridMultilevel"/>
    <w:tmpl w:val="C5061F7E"/>
    <w:lvl w:ilvl="0" w:tplc="3556902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206C012B"/>
    <w:multiLevelType w:val="hybridMultilevel"/>
    <w:tmpl w:val="90B60114"/>
    <w:lvl w:ilvl="0" w:tplc="1C96227E">
      <w:start w:val="2"/>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221D6E67"/>
    <w:multiLevelType w:val="hybridMultilevel"/>
    <w:tmpl w:val="B4165C9C"/>
    <w:lvl w:ilvl="0" w:tplc="8A42A224">
      <w:start w:val="1"/>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D106F2D"/>
    <w:multiLevelType w:val="hybridMultilevel"/>
    <w:tmpl w:val="A6B04DC6"/>
    <w:lvl w:ilvl="0" w:tplc="3556902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2F82558E"/>
    <w:multiLevelType w:val="hybridMultilevel"/>
    <w:tmpl w:val="4036D546"/>
    <w:lvl w:ilvl="0" w:tplc="3556902A">
      <w:start w:val="1"/>
      <w:numFmt w:val="upperRoman"/>
      <w:lvlText w:val="%1."/>
      <w:lvlJc w:val="left"/>
      <w:pPr>
        <w:ind w:left="720" w:hanging="360"/>
      </w:pPr>
      <w:rPr>
        <w:rFonts w:hint="default"/>
      </w:rPr>
    </w:lvl>
    <w:lvl w:ilvl="1" w:tplc="3556902A">
      <w:start w:val="1"/>
      <w:numFmt w:val="upperRoman"/>
      <w:lvlText w:val="%2."/>
      <w:lvlJc w:val="left"/>
      <w:pPr>
        <w:ind w:left="1494" w:hanging="360"/>
      </w:pPr>
      <w:rPr>
        <w:rFonts w:hint="default"/>
      </w:r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6" w15:restartNumberingAfterBreak="0">
    <w:nsid w:val="331A3C6B"/>
    <w:multiLevelType w:val="hybridMultilevel"/>
    <w:tmpl w:val="C23CEB9C"/>
    <w:lvl w:ilvl="0" w:tplc="08AACD84">
      <w:start w:val="1"/>
      <w:numFmt w:val="decimal"/>
      <w:lvlText w:val="%1."/>
      <w:lvlJc w:val="right"/>
      <w:pPr>
        <w:ind w:left="720" w:hanging="43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39F82EDC"/>
    <w:multiLevelType w:val="hybridMultilevel"/>
    <w:tmpl w:val="F574F6CE"/>
    <w:lvl w:ilvl="0" w:tplc="CB96CD82">
      <w:start w:val="1"/>
      <w:numFmt w:val="lowerLetter"/>
      <w:lvlText w:val="%1)"/>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8" w15:restartNumberingAfterBreak="0">
    <w:nsid w:val="410802B6"/>
    <w:multiLevelType w:val="hybridMultilevel"/>
    <w:tmpl w:val="83BC56EC"/>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9" w15:restartNumberingAfterBreak="0">
    <w:nsid w:val="416D293A"/>
    <w:multiLevelType w:val="hybridMultilevel"/>
    <w:tmpl w:val="368AD514"/>
    <w:lvl w:ilvl="0" w:tplc="3556902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D6417EE"/>
    <w:multiLevelType w:val="hybridMultilevel"/>
    <w:tmpl w:val="513A70CE"/>
    <w:lvl w:ilvl="0" w:tplc="08090017">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E6E7E04"/>
    <w:multiLevelType w:val="hybridMultilevel"/>
    <w:tmpl w:val="14F8D60E"/>
    <w:lvl w:ilvl="0" w:tplc="2EDC2628">
      <w:start w:val="1"/>
      <w:numFmt w:val="lowerLetter"/>
      <w:lvlText w:val="(%1)"/>
      <w:lvlJc w:val="left"/>
      <w:pPr>
        <w:ind w:left="263" w:hanging="360"/>
      </w:pPr>
      <w:rPr>
        <w:rFonts w:hint="default"/>
      </w:rPr>
    </w:lvl>
    <w:lvl w:ilvl="1" w:tplc="08090019" w:tentative="1">
      <w:start w:val="1"/>
      <w:numFmt w:val="lowerLetter"/>
      <w:lvlText w:val="%2."/>
      <w:lvlJc w:val="left"/>
      <w:pPr>
        <w:ind w:left="983" w:hanging="360"/>
      </w:pPr>
    </w:lvl>
    <w:lvl w:ilvl="2" w:tplc="0809001B" w:tentative="1">
      <w:start w:val="1"/>
      <w:numFmt w:val="lowerRoman"/>
      <w:lvlText w:val="%3."/>
      <w:lvlJc w:val="right"/>
      <w:pPr>
        <w:ind w:left="1703" w:hanging="180"/>
      </w:pPr>
    </w:lvl>
    <w:lvl w:ilvl="3" w:tplc="0809000F" w:tentative="1">
      <w:start w:val="1"/>
      <w:numFmt w:val="decimal"/>
      <w:lvlText w:val="%4."/>
      <w:lvlJc w:val="left"/>
      <w:pPr>
        <w:ind w:left="2423" w:hanging="360"/>
      </w:pPr>
    </w:lvl>
    <w:lvl w:ilvl="4" w:tplc="08090019" w:tentative="1">
      <w:start w:val="1"/>
      <w:numFmt w:val="lowerLetter"/>
      <w:lvlText w:val="%5."/>
      <w:lvlJc w:val="left"/>
      <w:pPr>
        <w:ind w:left="3143" w:hanging="360"/>
      </w:pPr>
    </w:lvl>
    <w:lvl w:ilvl="5" w:tplc="0809001B" w:tentative="1">
      <w:start w:val="1"/>
      <w:numFmt w:val="lowerRoman"/>
      <w:lvlText w:val="%6."/>
      <w:lvlJc w:val="right"/>
      <w:pPr>
        <w:ind w:left="3863" w:hanging="180"/>
      </w:pPr>
    </w:lvl>
    <w:lvl w:ilvl="6" w:tplc="0809000F" w:tentative="1">
      <w:start w:val="1"/>
      <w:numFmt w:val="decimal"/>
      <w:lvlText w:val="%7."/>
      <w:lvlJc w:val="left"/>
      <w:pPr>
        <w:ind w:left="4583" w:hanging="360"/>
      </w:pPr>
    </w:lvl>
    <w:lvl w:ilvl="7" w:tplc="08090019" w:tentative="1">
      <w:start w:val="1"/>
      <w:numFmt w:val="lowerLetter"/>
      <w:lvlText w:val="%8."/>
      <w:lvlJc w:val="left"/>
      <w:pPr>
        <w:ind w:left="5303" w:hanging="360"/>
      </w:pPr>
    </w:lvl>
    <w:lvl w:ilvl="8" w:tplc="0809001B" w:tentative="1">
      <w:start w:val="1"/>
      <w:numFmt w:val="lowerRoman"/>
      <w:lvlText w:val="%9."/>
      <w:lvlJc w:val="right"/>
      <w:pPr>
        <w:ind w:left="6023" w:hanging="180"/>
      </w:pPr>
    </w:lvl>
  </w:abstractNum>
  <w:abstractNum w:abstractNumId="12" w15:restartNumberingAfterBreak="0">
    <w:nsid w:val="625F2671"/>
    <w:multiLevelType w:val="hybridMultilevel"/>
    <w:tmpl w:val="D408BA5A"/>
    <w:lvl w:ilvl="0" w:tplc="558C738A">
      <w:start w:val="1"/>
      <w:numFmt w:val="bullet"/>
      <w:lvlText w:val="-"/>
      <w:lvlJc w:val="left"/>
      <w:pPr>
        <w:ind w:left="360" w:hanging="360"/>
      </w:pPr>
      <w:rPr>
        <w:rFonts w:ascii="Calibri" w:hAnsi="Calibr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66650FFB"/>
    <w:multiLevelType w:val="hybridMultilevel"/>
    <w:tmpl w:val="95C2B0B2"/>
    <w:lvl w:ilvl="0" w:tplc="CB96CD82">
      <w:start w:val="1"/>
      <w:numFmt w:val="lowerLetter"/>
      <w:lvlText w:val="%1)"/>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4" w15:restartNumberingAfterBreak="0">
    <w:nsid w:val="66A51E10"/>
    <w:multiLevelType w:val="hybridMultilevel"/>
    <w:tmpl w:val="0D20D28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FFC6ABF"/>
    <w:multiLevelType w:val="hybridMultilevel"/>
    <w:tmpl w:val="A6B04DC6"/>
    <w:lvl w:ilvl="0" w:tplc="3556902A">
      <w:start w:val="1"/>
      <w:numFmt w:val="upp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70FC3426"/>
    <w:multiLevelType w:val="hybridMultilevel"/>
    <w:tmpl w:val="F574F6CE"/>
    <w:lvl w:ilvl="0" w:tplc="CB96CD82">
      <w:start w:val="1"/>
      <w:numFmt w:val="lowerLetter"/>
      <w:lvlText w:val="%1)"/>
      <w:lvlJc w:val="left"/>
      <w:pPr>
        <w:ind w:left="360" w:hanging="360"/>
      </w:pPr>
      <w:rPr>
        <w:rFonts w:ascii="Arial" w:eastAsiaTheme="minorHAnsi" w:hAnsi="Arial" w:cs="Aria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7" w15:restartNumberingAfterBreak="0">
    <w:nsid w:val="774551BA"/>
    <w:multiLevelType w:val="hybridMultilevel"/>
    <w:tmpl w:val="6F581638"/>
    <w:lvl w:ilvl="0" w:tplc="421CB1B2">
      <w:start w:val="1"/>
      <w:numFmt w:val="upperRoman"/>
      <w:lvlText w:val="%1."/>
      <w:lvlJc w:val="left"/>
      <w:pPr>
        <w:ind w:left="1080" w:hanging="720"/>
      </w:pPr>
      <w:rPr>
        <w:rFonts w:ascii="Arial" w:eastAsiaTheme="minorHAnsi" w:hAnsi="Arial" w:cs="Arial" w:hint="default"/>
        <w:b/>
        <w:color w:val="0563C1" w:themeColor="hyperlink"/>
        <w:u w:val="single"/>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222060820">
    <w:abstractNumId w:val="6"/>
  </w:num>
  <w:num w:numId="2" w16cid:durableId="809129003">
    <w:abstractNumId w:val="17"/>
  </w:num>
  <w:num w:numId="3" w16cid:durableId="1180121728">
    <w:abstractNumId w:val="3"/>
  </w:num>
  <w:num w:numId="4" w16cid:durableId="2074962169">
    <w:abstractNumId w:val="15"/>
  </w:num>
  <w:num w:numId="5" w16cid:durableId="2069566001">
    <w:abstractNumId w:val="9"/>
  </w:num>
  <w:num w:numId="6" w16cid:durableId="75173015">
    <w:abstractNumId w:val="0"/>
  </w:num>
  <w:num w:numId="7" w16cid:durableId="105930632">
    <w:abstractNumId w:val="1"/>
  </w:num>
  <w:num w:numId="8" w16cid:durableId="2099400744">
    <w:abstractNumId w:val="4"/>
  </w:num>
  <w:num w:numId="9" w16cid:durableId="1903055403">
    <w:abstractNumId w:val="16"/>
  </w:num>
  <w:num w:numId="10" w16cid:durableId="1479960916">
    <w:abstractNumId w:val="7"/>
  </w:num>
  <w:num w:numId="11" w16cid:durableId="609161736">
    <w:abstractNumId w:val="13"/>
  </w:num>
  <w:num w:numId="12" w16cid:durableId="852643669">
    <w:abstractNumId w:val="8"/>
  </w:num>
  <w:num w:numId="13" w16cid:durableId="1820729845">
    <w:abstractNumId w:val="5"/>
  </w:num>
  <w:num w:numId="14" w16cid:durableId="1114056129">
    <w:abstractNumId w:val="2"/>
  </w:num>
  <w:num w:numId="15" w16cid:durableId="467017293">
    <w:abstractNumId w:val="11"/>
  </w:num>
  <w:num w:numId="16" w16cid:durableId="1463647215">
    <w:abstractNumId w:val="12"/>
  </w:num>
  <w:num w:numId="17" w16cid:durableId="2062362098">
    <w:abstractNumId w:val="14"/>
  </w:num>
  <w:num w:numId="18" w16cid:durableId="2133744156">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252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35D1E"/>
    <w:rsid w:val="00021E03"/>
    <w:rsid w:val="00022B81"/>
    <w:rsid w:val="00024618"/>
    <w:rsid w:val="00030CC0"/>
    <w:rsid w:val="00031E3E"/>
    <w:rsid w:val="00031F25"/>
    <w:rsid w:val="00033510"/>
    <w:rsid w:val="00041DF0"/>
    <w:rsid w:val="0004214F"/>
    <w:rsid w:val="00074A90"/>
    <w:rsid w:val="000C6B3E"/>
    <w:rsid w:val="00112DBA"/>
    <w:rsid w:val="00114A8C"/>
    <w:rsid w:val="00146111"/>
    <w:rsid w:val="00162839"/>
    <w:rsid w:val="001636C3"/>
    <w:rsid w:val="00170BCF"/>
    <w:rsid w:val="001B56DF"/>
    <w:rsid w:val="001C2621"/>
    <w:rsid w:val="001C5FF3"/>
    <w:rsid w:val="001D7EB1"/>
    <w:rsid w:val="00236BC9"/>
    <w:rsid w:val="0023717F"/>
    <w:rsid w:val="002512CF"/>
    <w:rsid w:val="0026491C"/>
    <w:rsid w:val="00296EF8"/>
    <w:rsid w:val="002B42A1"/>
    <w:rsid w:val="002D4251"/>
    <w:rsid w:val="002E1002"/>
    <w:rsid w:val="002F4214"/>
    <w:rsid w:val="002F73BB"/>
    <w:rsid w:val="0034456A"/>
    <w:rsid w:val="003557A9"/>
    <w:rsid w:val="00355D65"/>
    <w:rsid w:val="00363BD6"/>
    <w:rsid w:val="00364836"/>
    <w:rsid w:val="00381F36"/>
    <w:rsid w:val="003828D8"/>
    <w:rsid w:val="00384151"/>
    <w:rsid w:val="00392874"/>
    <w:rsid w:val="003A604D"/>
    <w:rsid w:val="003B54A0"/>
    <w:rsid w:val="003B66C3"/>
    <w:rsid w:val="003B69F6"/>
    <w:rsid w:val="003E5D7D"/>
    <w:rsid w:val="00407028"/>
    <w:rsid w:val="00407323"/>
    <w:rsid w:val="00455954"/>
    <w:rsid w:val="00497EF9"/>
    <w:rsid w:val="004A1EB7"/>
    <w:rsid w:val="004C5B6A"/>
    <w:rsid w:val="004C7A1D"/>
    <w:rsid w:val="00505452"/>
    <w:rsid w:val="005154BC"/>
    <w:rsid w:val="0052251F"/>
    <w:rsid w:val="00550CCB"/>
    <w:rsid w:val="005757AB"/>
    <w:rsid w:val="00590D84"/>
    <w:rsid w:val="005B0E78"/>
    <w:rsid w:val="005B781D"/>
    <w:rsid w:val="005E38CE"/>
    <w:rsid w:val="005E5AA4"/>
    <w:rsid w:val="00605B44"/>
    <w:rsid w:val="00626945"/>
    <w:rsid w:val="0064388E"/>
    <w:rsid w:val="0064400E"/>
    <w:rsid w:val="00645250"/>
    <w:rsid w:val="00652632"/>
    <w:rsid w:val="0066430C"/>
    <w:rsid w:val="00674F7A"/>
    <w:rsid w:val="00694E1E"/>
    <w:rsid w:val="006A5978"/>
    <w:rsid w:val="006F0C0E"/>
    <w:rsid w:val="006F6A62"/>
    <w:rsid w:val="007156AF"/>
    <w:rsid w:val="007209CE"/>
    <w:rsid w:val="0073693E"/>
    <w:rsid w:val="00754511"/>
    <w:rsid w:val="007559A0"/>
    <w:rsid w:val="00771A3D"/>
    <w:rsid w:val="0079608D"/>
    <w:rsid w:val="007A3186"/>
    <w:rsid w:val="007A35BB"/>
    <w:rsid w:val="007D746D"/>
    <w:rsid w:val="007F6D3B"/>
    <w:rsid w:val="007F7885"/>
    <w:rsid w:val="0080171D"/>
    <w:rsid w:val="00801AF4"/>
    <w:rsid w:val="00813D9A"/>
    <w:rsid w:val="00822DC2"/>
    <w:rsid w:val="00826782"/>
    <w:rsid w:val="00831691"/>
    <w:rsid w:val="00833BBA"/>
    <w:rsid w:val="00834E4F"/>
    <w:rsid w:val="00871600"/>
    <w:rsid w:val="00896377"/>
    <w:rsid w:val="008A71B1"/>
    <w:rsid w:val="008B7433"/>
    <w:rsid w:val="008E0E50"/>
    <w:rsid w:val="008E66FF"/>
    <w:rsid w:val="008F47E1"/>
    <w:rsid w:val="008F58D1"/>
    <w:rsid w:val="00900F7C"/>
    <w:rsid w:val="00932598"/>
    <w:rsid w:val="00935710"/>
    <w:rsid w:val="009C142D"/>
    <w:rsid w:val="009C778B"/>
    <w:rsid w:val="009E691D"/>
    <w:rsid w:val="00A06325"/>
    <w:rsid w:val="00A1118A"/>
    <w:rsid w:val="00A15A0D"/>
    <w:rsid w:val="00A47700"/>
    <w:rsid w:val="00A5611D"/>
    <w:rsid w:val="00A65022"/>
    <w:rsid w:val="00A707E3"/>
    <w:rsid w:val="00A72EA0"/>
    <w:rsid w:val="00A73EDD"/>
    <w:rsid w:val="00A777AC"/>
    <w:rsid w:val="00A92D94"/>
    <w:rsid w:val="00AA10FD"/>
    <w:rsid w:val="00AE03E3"/>
    <w:rsid w:val="00B36E6E"/>
    <w:rsid w:val="00B57AE4"/>
    <w:rsid w:val="00B808D5"/>
    <w:rsid w:val="00BA07DA"/>
    <w:rsid w:val="00BB2E7F"/>
    <w:rsid w:val="00BC3DA7"/>
    <w:rsid w:val="00C02BF0"/>
    <w:rsid w:val="00C12200"/>
    <w:rsid w:val="00C80AE0"/>
    <w:rsid w:val="00C96C6D"/>
    <w:rsid w:val="00CA1D12"/>
    <w:rsid w:val="00CB0B25"/>
    <w:rsid w:val="00CD11F6"/>
    <w:rsid w:val="00CE28D2"/>
    <w:rsid w:val="00D11470"/>
    <w:rsid w:val="00D27FC3"/>
    <w:rsid w:val="00D60D99"/>
    <w:rsid w:val="00D63A30"/>
    <w:rsid w:val="00D8530D"/>
    <w:rsid w:val="00D910CE"/>
    <w:rsid w:val="00DA468C"/>
    <w:rsid w:val="00DE7706"/>
    <w:rsid w:val="00DF2954"/>
    <w:rsid w:val="00E14A93"/>
    <w:rsid w:val="00E1605C"/>
    <w:rsid w:val="00E26444"/>
    <w:rsid w:val="00E34B80"/>
    <w:rsid w:val="00E36A81"/>
    <w:rsid w:val="00E60EA7"/>
    <w:rsid w:val="00E91E27"/>
    <w:rsid w:val="00E9266C"/>
    <w:rsid w:val="00ED6C19"/>
    <w:rsid w:val="00F35D1E"/>
    <w:rsid w:val="00F41F5F"/>
    <w:rsid w:val="00F6582B"/>
    <w:rsid w:val="00F87019"/>
    <w:rsid w:val="00F90411"/>
    <w:rsid w:val="00FC3659"/>
    <w:rsid w:val="00FD4CC3"/>
    <w:rsid w:val="00FF089A"/>
    <w:rsid w:val="00FF25C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4:docId w14:val="3AC9153B"/>
  <w15:chartTrackingRefBased/>
  <w15:docId w15:val="{AE5CD74B-70ED-4FF0-8F09-2E581A5D55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31691"/>
  </w:style>
  <w:style w:type="paragraph" w:styleId="Heading1">
    <w:name w:val="heading 1"/>
    <w:basedOn w:val="Normal"/>
    <w:next w:val="Normal"/>
    <w:link w:val="Heading1Char"/>
    <w:uiPriority w:val="9"/>
    <w:qFormat/>
    <w:rsid w:val="000C6B3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semiHidden/>
    <w:unhideWhenUsed/>
    <w:qFormat/>
    <w:rsid w:val="00E9266C"/>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F35D1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aliases w:val="Paragraphe EI,Paragraphe de liste1,EC,Paragraphe de liste,Bullets"/>
    <w:basedOn w:val="Normal"/>
    <w:link w:val="ListParagraphChar"/>
    <w:uiPriority w:val="34"/>
    <w:qFormat/>
    <w:rsid w:val="00F35D1E"/>
    <w:pPr>
      <w:spacing w:after="200" w:line="276" w:lineRule="auto"/>
      <w:ind w:left="720"/>
      <w:contextualSpacing/>
    </w:pPr>
  </w:style>
  <w:style w:type="paragraph" w:styleId="Title">
    <w:name w:val="Title"/>
    <w:basedOn w:val="Normal"/>
    <w:next w:val="Normal"/>
    <w:link w:val="TitleChar"/>
    <w:uiPriority w:val="10"/>
    <w:qFormat/>
    <w:rsid w:val="000C6B3E"/>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C6B3E"/>
    <w:rPr>
      <w:rFonts w:asciiTheme="majorHAnsi" w:eastAsiaTheme="majorEastAsia" w:hAnsiTheme="majorHAnsi" w:cstheme="majorBidi"/>
      <w:spacing w:val="-10"/>
      <w:kern w:val="28"/>
      <w:sz w:val="56"/>
      <w:szCs w:val="56"/>
    </w:rPr>
  </w:style>
  <w:style w:type="paragraph" w:styleId="BalloonText">
    <w:name w:val="Balloon Text"/>
    <w:basedOn w:val="Normal"/>
    <w:link w:val="BalloonTextChar"/>
    <w:uiPriority w:val="99"/>
    <w:semiHidden/>
    <w:unhideWhenUsed/>
    <w:rsid w:val="000C6B3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C6B3E"/>
    <w:rPr>
      <w:rFonts w:ascii="Segoe UI" w:hAnsi="Segoe UI" w:cs="Segoe UI"/>
      <w:sz w:val="18"/>
      <w:szCs w:val="18"/>
    </w:rPr>
  </w:style>
  <w:style w:type="character" w:customStyle="1" w:styleId="Heading1Char">
    <w:name w:val="Heading 1 Char"/>
    <w:basedOn w:val="DefaultParagraphFont"/>
    <w:link w:val="Heading1"/>
    <w:uiPriority w:val="9"/>
    <w:rsid w:val="000C6B3E"/>
    <w:rPr>
      <w:rFonts w:asciiTheme="majorHAnsi" w:eastAsiaTheme="majorEastAsia" w:hAnsiTheme="majorHAnsi" w:cstheme="majorBidi"/>
      <w:color w:val="2E74B5" w:themeColor="accent1" w:themeShade="BF"/>
      <w:sz w:val="32"/>
      <w:szCs w:val="32"/>
    </w:rPr>
  </w:style>
  <w:style w:type="paragraph" w:styleId="TOCHeading">
    <w:name w:val="TOC Heading"/>
    <w:basedOn w:val="Heading1"/>
    <w:next w:val="Normal"/>
    <w:uiPriority w:val="39"/>
    <w:unhideWhenUsed/>
    <w:qFormat/>
    <w:rsid w:val="000C6B3E"/>
    <w:pPr>
      <w:outlineLvl w:val="9"/>
    </w:pPr>
    <w:rPr>
      <w:lang w:val="en-US"/>
    </w:rPr>
  </w:style>
  <w:style w:type="paragraph" w:styleId="TOC1">
    <w:name w:val="toc 1"/>
    <w:basedOn w:val="Normal"/>
    <w:next w:val="Normal"/>
    <w:autoRedefine/>
    <w:uiPriority w:val="39"/>
    <w:unhideWhenUsed/>
    <w:rsid w:val="000C6B3E"/>
    <w:pPr>
      <w:spacing w:after="100"/>
    </w:pPr>
  </w:style>
  <w:style w:type="character" w:styleId="Hyperlink">
    <w:name w:val="Hyperlink"/>
    <w:basedOn w:val="DefaultParagraphFont"/>
    <w:uiPriority w:val="99"/>
    <w:unhideWhenUsed/>
    <w:rsid w:val="000C6B3E"/>
    <w:rPr>
      <w:color w:val="0563C1" w:themeColor="hyperlink"/>
      <w:u w:val="single"/>
    </w:rPr>
  </w:style>
  <w:style w:type="paragraph" w:styleId="Subtitle">
    <w:name w:val="Subtitle"/>
    <w:basedOn w:val="Normal"/>
    <w:next w:val="Normal"/>
    <w:link w:val="SubtitleChar"/>
    <w:uiPriority w:val="11"/>
    <w:qFormat/>
    <w:rsid w:val="000C6B3E"/>
    <w:pPr>
      <w:numPr>
        <w:ilvl w:val="1"/>
      </w:numPr>
      <w:spacing w:after="200" w:line="276" w:lineRule="auto"/>
    </w:pPr>
    <w:rPr>
      <w:rFonts w:asciiTheme="majorHAnsi" w:eastAsiaTheme="majorEastAsia" w:hAnsiTheme="majorHAnsi" w:cstheme="majorBidi"/>
      <w:i/>
      <w:iCs/>
      <w:color w:val="5B9BD5" w:themeColor="accent1"/>
      <w:spacing w:val="15"/>
      <w:sz w:val="24"/>
      <w:szCs w:val="24"/>
    </w:rPr>
  </w:style>
  <w:style w:type="character" w:customStyle="1" w:styleId="SubtitleChar">
    <w:name w:val="Subtitle Char"/>
    <w:basedOn w:val="DefaultParagraphFont"/>
    <w:link w:val="Subtitle"/>
    <w:uiPriority w:val="11"/>
    <w:rsid w:val="000C6B3E"/>
    <w:rPr>
      <w:rFonts w:asciiTheme="majorHAnsi" w:eastAsiaTheme="majorEastAsia" w:hAnsiTheme="majorHAnsi" w:cstheme="majorBidi"/>
      <w:i/>
      <w:iCs/>
      <w:color w:val="5B9BD5" w:themeColor="accent1"/>
      <w:spacing w:val="15"/>
      <w:sz w:val="24"/>
      <w:szCs w:val="24"/>
    </w:rPr>
  </w:style>
  <w:style w:type="character" w:styleId="FollowedHyperlink">
    <w:name w:val="FollowedHyperlink"/>
    <w:basedOn w:val="DefaultParagraphFont"/>
    <w:uiPriority w:val="99"/>
    <w:semiHidden/>
    <w:unhideWhenUsed/>
    <w:rsid w:val="00E36A81"/>
    <w:rPr>
      <w:color w:val="954F72" w:themeColor="followedHyperlink"/>
      <w:u w:val="single"/>
    </w:rPr>
  </w:style>
  <w:style w:type="character" w:customStyle="1" w:styleId="field-content">
    <w:name w:val="field-content"/>
    <w:basedOn w:val="DefaultParagraphFont"/>
    <w:rsid w:val="007A3186"/>
  </w:style>
  <w:style w:type="paragraph" w:styleId="Header">
    <w:name w:val="header"/>
    <w:basedOn w:val="Normal"/>
    <w:link w:val="HeaderChar"/>
    <w:uiPriority w:val="99"/>
    <w:unhideWhenUsed/>
    <w:rsid w:val="001D7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1D7EB1"/>
  </w:style>
  <w:style w:type="paragraph" w:styleId="Footer">
    <w:name w:val="footer"/>
    <w:basedOn w:val="Normal"/>
    <w:link w:val="FooterChar"/>
    <w:uiPriority w:val="99"/>
    <w:unhideWhenUsed/>
    <w:rsid w:val="001D7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1D7EB1"/>
  </w:style>
  <w:style w:type="character" w:styleId="CommentReference">
    <w:name w:val="annotation reference"/>
    <w:basedOn w:val="DefaultParagraphFont"/>
    <w:uiPriority w:val="99"/>
    <w:unhideWhenUsed/>
    <w:rsid w:val="00024618"/>
    <w:rPr>
      <w:sz w:val="16"/>
      <w:szCs w:val="16"/>
    </w:rPr>
  </w:style>
  <w:style w:type="paragraph" w:styleId="CommentText">
    <w:name w:val="annotation text"/>
    <w:basedOn w:val="Normal"/>
    <w:link w:val="CommentTextChar"/>
    <w:uiPriority w:val="99"/>
    <w:unhideWhenUsed/>
    <w:rsid w:val="00024618"/>
    <w:pPr>
      <w:spacing w:after="250" w:line="240" w:lineRule="auto"/>
      <w:jc w:val="both"/>
    </w:pPr>
    <w:rPr>
      <w:rFonts w:eastAsiaTheme="minorEastAsia"/>
      <w:sz w:val="20"/>
      <w:szCs w:val="20"/>
    </w:rPr>
  </w:style>
  <w:style w:type="character" w:customStyle="1" w:styleId="CommentTextChar">
    <w:name w:val="Comment Text Char"/>
    <w:basedOn w:val="DefaultParagraphFont"/>
    <w:link w:val="CommentText"/>
    <w:uiPriority w:val="99"/>
    <w:rsid w:val="00024618"/>
    <w:rPr>
      <w:rFonts w:eastAsiaTheme="minorEastAsia"/>
      <w:sz w:val="20"/>
      <w:szCs w:val="20"/>
    </w:rPr>
  </w:style>
  <w:style w:type="paragraph" w:styleId="CommentSubject">
    <w:name w:val="annotation subject"/>
    <w:basedOn w:val="CommentText"/>
    <w:next w:val="CommentText"/>
    <w:link w:val="CommentSubjectChar"/>
    <w:uiPriority w:val="99"/>
    <w:semiHidden/>
    <w:unhideWhenUsed/>
    <w:rsid w:val="00D910CE"/>
    <w:pPr>
      <w:spacing w:after="160"/>
      <w:jc w:val="left"/>
    </w:pPr>
    <w:rPr>
      <w:rFonts w:eastAsiaTheme="minorHAnsi"/>
      <w:b/>
      <w:bCs/>
    </w:rPr>
  </w:style>
  <w:style w:type="character" w:customStyle="1" w:styleId="CommentSubjectChar">
    <w:name w:val="Comment Subject Char"/>
    <w:basedOn w:val="CommentTextChar"/>
    <w:link w:val="CommentSubject"/>
    <w:uiPriority w:val="99"/>
    <w:semiHidden/>
    <w:rsid w:val="00D910CE"/>
    <w:rPr>
      <w:rFonts w:eastAsiaTheme="minorEastAsia"/>
      <w:b/>
      <w:bCs/>
      <w:sz w:val="20"/>
      <w:szCs w:val="20"/>
    </w:rPr>
  </w:style>
  <w:style w:type="paragraph" w:styleId="TOC2">
    <w:name w:val="toc 2"/>
    <w:basedOn w:val="Normal"/>
    <w:next w:val="Normal"/>
    <w:autoRedefine/>
    <w:uiPriority w:val="39"/>
    <w:semiHidden/>
    <w:unhideWhenUsed/>
    <w:rsid w:val="00831691"/>
    <w:pPr>
      <w:spacing w:after="100"/>
      <w:ind w:left="220"/>
    </w:pPr>
  </w:style>
  <w:style w:type="character" w:customStyle="1" w:styleId="Heading2Char">
    <w:name w:val="Heading 2 Char"/>
    <w:basedOn w:val="DefaultParagraphFont"/>
    <w:link w:val="Heading2"/>
    <w:uiPriority w:val="9"/>
    <w:semiHidden/>
    <w:rsid w:val="00E9266C"/>
    <w:rPr>
      <w:rFonts w:asciiTheme="majorHAnsi" w:eastAsiaTheme="majorEastAsia" w:hAnsiTheme="majorHAnsi" w:cstheme="majorBidi"/>
      <w:color w:val="2E74B5" w:themeColor="accent1" w:themeShade="BF"/>
      <w:sz w:val="26"/>
      <w:szCs w:val="26"/>
    </w:rPr>
  </w:style>
  <w:style w:type="character" w:customStyle="1" w:styleId="ListParagraphChar">
    <w:name w:val="List Paragraph Char"/>
    <w:aliases w:val="Paragraphe EI Char,Paragraphe de liste1 Char,EC Char,Paragraphe de liste Char,Bullets Char"/>
    <w:basedOn w:val="DefaultParagraphFont"/>
    <w:link w:val="ListParagraph"/>
    <w:uiPriority w:val="34"/>
    <w:locked/>
    <w:rsid w:val="00E9266C"/>
  </w:style>
  <w:style w:type="paragraph" w:customStyle="1" w:styleId="Default">
    <w:name w:val="Default"/>
    <w:rsid w:val="0034456A"/>
    <w:pPr>
      <w:autoSpaceDE w:val="0"/>
      <w:autoSpaceDN w:val="0"/>
      <w:adjustRightInd w:val="0"/>
      <w:spacing w:after="0" w:line="240" w:lineRule="auto"/>
    </w:pPr>
    <w:rPr>
      <w:rFonts w:ascii="Arial" w:hAnsi="Arial" w:cs="Arial"/>
      <w:color w:val="000000"/>
      <w:sz w:val="24"/>
      <w:szCs w:val="24"/>
      <w:lang w:val="pt-PT"/>
    </w:rPr>
  </w:style>
  <w:style w:type="character" w:styleId="UnresolvedMention">
    <w:name w:val="Unresolved Mention"/>
    <w:basedOn w:val="DefaultParagraphFont"/>
    <w:uiPriority w:val="99"/>
    <w:semiHidden/>
    <w:unhideWhenUsed/>
    <w:rsid w:val="0089637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18325271">
      <w:bodyDiv w:val="1"/>
      <w:marLeft w:val="0"/>
      <w:marRight w:val="0"/>
      <w:marTop w:val="0"/>
      <w:marBottom w:val="0"/>
      <w:divBdr>
        <w:top w:val="none" w:sz="0" w:space="0" w:color="auto"/>
        <w:left w:val="none" w:sz="0" w:space="0" w:color="auto"/>
        <w:bottom w:val="none" w:sz="0" w:space="0" w:color="auto"/>
        <w:right w:val="none" w:sz="0" w:space="0" w:color="auto"/>
      </w:divBdr>
    </w:div>
    <w:div w:id="1733121280">
      <w:bodyDiv w:val="1"/>
      <w:marLeft w:val="0"/>
      <w:marRight w:val="0"/>
      <w:marTop w:val="0"/>
      <w:marBottom w:val="0"/>
      <w:divBdr>
        <w:top w:val="none" w:sz="0" w:space="0" w:color="auto"/>
        <w:left w:val="none" w:sz="0" w:space="0" w:color="auto"/>
        <w:bottom w:val="none" w:sz="0" w:space="0" w:color="auto"/>
        <w:right w:val="none" w:sz="0" w:space="0" w:color="auto"/>
      </w:divBdr>
      <w:divsChild>
        <w:div w:id="1400596233">
          <w:marLeft w:val="0"/>
          <w:marRight w:val="0"/>
          <w:marTop w:val="0"/>
          <w:marBottom w:val="0"/>
          <w:divBdr>
            <w:top w:val="none" w:sz="0" w:space="0" w:color="auto"/>
            <w:left w:val="none" w:sz="0" w:space="0" w:color="auto"/>
            <w:bottom w:val="none" w:sz="0" w:space="0" w:color="auto"/>
            <w:right w:val="none" w:sz="0" w:space="0" w:color="auto"/>
          </w:divBdr>
          <w:divsChild>
            <w:div w:id="93792358">
              <w:marLeft w:val="0"/>
              <w:marRight w:val="0"/>
              <w:marTop w:val="0"/>
              <w:marBottom w:val="0"/>
              <w:divBdr>
                <w:top w:val="none" w:sz="0" w:space="0" w:color="auto"/>
                <w:left w:val="none" w:sz="0" w:space="0" w:color="auto"/>
                <w:bottom w:val="none" w:sz="0" w:space="0" w:color="auto"/>
                <w:right w:val="none" w:sz="0" w:space="0" w:color="auto"/>
              </w:divBdr>
            </w:div>
          </w:divsChild>
        </w:div>
        <w:div w:id="200360953">
          <w:marLeft w:val="0"/>
          <w:marRight w:val="0"/>
          <w:marTop w:val="0"/>
          <w:marBottom w:val="0"/>
          <w:divBdr>
            <w:top w:val="none" w:sz="0" w:space="0" w:color="auto"/>
            <w:left w:val="none" w:sz="0" w:space="0" w:color="auto"/>
            <w:bottom w:val="none" w:sz="0" w:space="0" w:color="auto"/>
            <w:right w:val="none" w:sz="0" w:space="0" w:color="auto"/>
          </w:divBdr>
          <w:divsChild>
            <w:div w:id="2062050205">
              <w:marLeft w:val="0"/>
              <w:marRight w:val="0"/>
              <w:marTop w:val="120"/>
              <w:marBottom w:val="0"/>
              <w:divBdr>
                <w:top w:val="none" w:sz="0" w:space="0" w:color="auto"/>
                <w:left w:val="none" w:sz="0" w:space="0" w:color="auto"/>
                <w:bottom w:val="none" w:sz="0" w:space="0" w:color="auto"/>
                <w:right w:val="none" w:sz="0" w:space="0" w:color="auto"/>
              </w:divBdr>
            </w:div>
            <w:div w:id="418790941">
              <w:marLeft w:val="0"/>
              <w:marRight w:val="0"/>
              <w:marTop w:val="0"/>
              <w:marBottom w:val="0"/>
              <w:divBdr>
                <w:top w:val="none" w:sz="0" w:space="0" w:color="auto"/>
                <w:left w:val="none" w:sz="0" w:space="0" w:color="auto"/>
                <w:bottom w:val="none" w:sz="0" w:space="0" w:color="auto"/>
                <w:right w:val="none" w:sz="0" w:space="0" w:color="auto"/>
              </w:divBdr>
            </w:div>
          </w:divsChild>
        </w:div>
        <w:div w:id="848325567">
          <w:marLeft w:val="0"/>
          <w:marRight w:val="0"/>
          <w:marTop w:val="0"/>
          <w:marBottom w:val="0"/>
          <w:divBdr>
            <w:top w:val="none" w:sz="0" w:space="0" w:color="auto"/>
            <w:left w:val="none" w:sz="0" w:space="0" w:color="auto"/>
            <w:bottom w:val="none" w:sz="0" w:space="0" w:color="auto"/>
            <w:right w:val="none" w:sz="0" w:space="0" w:color="auto"/>
          </w:divBdr>
          <w:divsChild>
            <w:div w:id="861164332">
              <w:marLeft w:val="0"/>
              <w:marRight w:val="0"/>
              <w:marTop w:val="120"/>
              <w:marBottom w:val="0"/>
              <w:divBdr>
                <w:top w:val="none" w:sz="0" w:space="0" w:color="auto"/>
                <w:left w:val="none" w:sz="0" w:space="0" w:color="auto"/>
                <w:bottom w:val="none" w:sz="0" w:space="0" w:color="auto"/>
                <w:right w:val="none" w:sz="0" w:space="0" w:color="auto"/>
              </w:divBdr>
            </w:div>
            <w:div w:id="1757363899">
              <w:marLeft w:val="0"/>
              <w:marRight w:val="0"/>
              <w:marTop w:val="0"/>
              <w:marBottom w:val="0"/>
              <w:divBdr>
                <w:top w:val="none" w:sz="0" w:space="0" w:color="auto"/>
                <w:left w:val="none" w:sz="0" w:space="0" w:color="auto"/>
                <w:bottom w:val="none" w:sz="0" w:space="0" w:color="auto"/>
                <w:right w:val="none" w:sz="0" w:space="0" w:color="auto"/>
              </w:divBdr>
            </w:div>
          </w:divsChild>
        </w:div>
        <w:div w:id="807940949">
          <w:marLeft w:val="0"/>
          <w:marRight w:val="0"/>
          <w:marTop w:val="0"/>
          <w:marBottom w:val="0"/>
          <w:divBdr>
            <w:top w:val="none" w:sz="0" w:space="0" w:color="auto"/>
            <w:left w:val="none" w:sz="0" w:space="0" w:color="auto"/>
            <w:bottom w:val="none" w:sz="0" w:space="0" w:color="auto"/>
            <w:right w:val="none" w:sz="0" w:space="0" w:color="auto"/>
          </w:divBdr>
          <w:divsChild>
            <w:div w:id="546259277">
              <w:marLeft w:val="0"/>
              <w:marRight w:val="0"/>
              <w:marTop w:val="120"/>
              <w:marBottom w:val="0"/>
              <w:divBdr>
                <w:top w:val="none" w:sz="0" w:space="0" w:color="auto"/>
                <w:left w:val="none" w:sz="0" w:space="0" w:color="auto"/>
                <w:bottom w:val="none" w:sz="0" w:space="0" w:color="auto"/>
                <w:right w:val="none" w:sz="0" w:space="0" w:color="auto"/>
              </w:divBdr>
            </w:div>
            <w:div w:id="1127234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45909441">
      <w:bodyDiv w:val="1"/>
      <w:marLeft w:val="0"/>
      <w:marRight w:val="0"/>
      <w:marTop w:val="0"/>
      <w:marBottom w:val="0"/>
      <w:divBdr>
        <w:top w:val="none" w:sz="0" w:space="0" w:color="auto"/>
        <w:left w:val="none" w:sz="0" w:space="0" w:color="auto"/>
        <w:bottom w:val="none" w:sz="0" w:space="0" w:color="auto"/>
        <w:right w:val="none" w:sz="0" w:space="0" w:color="auto"/>
      </w:divBdr>
      <w:divsChild>
        <w:div w:id="1229921835">
          <w:marLeft w:val="0"/>
          <w:marRight w:val="0"/>
          <w:marTop w:val="0"/>
          <w:marBottom w:val="0"/>
          <w:divBdr>
            <w:top w:val="none" w:sz="0" w:space="0" w:color="auto"/>
            <w:left w:val="none" w:sz="0" w:space="0" w:color="auto"/>
            <w:bottom w:val="none" w:sz="0" w:space="0" w:color="auto"/>
            <w:right w:val="none" w:sz="0" w:space="0" w:color="auto"/>
          </w:divBdr>
          <w:divsChild>
            <w:div w:id="2110733942">
              <w:marLeft w:val="0"/>
              <w:marRight w:val="0"/>
              <w:marTop w:val="0"/>
              <w:marBottom w:val="0"/>
              <w:divBdr>
                <w:top w:val="none" w:sz="0" w:space="0" w:color="auto"/>
                <w:left w:val="none" w:sz="0" w:space="0" w:color="auto"/>
                <w:bottom w:val="none" w:sz="0" w:space="0" w:color="auto"/>
                <w:right w:val="none" w:sz="0" w:space="0" w:color="auto"/>
              </w:divBdr>
              <w:divsChild>
                <w:div w:id="1558393456">
                  <w:marLeft w:val="0"/>
                  <w:marRight w:val="0"/>
                  <w:marTop w:val="0"/>
                  <w:marBottom w:val="0"/>
                  <w:divBdr>
                    <w:top w:val="none" w:sz="0" w:space="0" w:color="auto"/>
                    <w:left w:val="none" w:sz="0" w:space="0" w:color="auto"/>
                    <w:bottom w:val="none" w:sz="0" w:space="0" w:color="auto"/>
                    <w:right w:val="none" w:sz="0" w:space="0" w:color="auto"/>
                  </w:divBdr>
                  <w:divsChild>
                    <w:div w:id="1271666475">
                      <w:marLeft w:val="1"/>
                      <w:marRight w:val="1"/>
                      <w:marTop w:val="0"/>
                      <w:marBottom w:val="0"/>
                      <w:divBdr>
                        <w:top w:val="none" w:sz="0" w:space="0" w:color="auto"/>
                        <w:left w:val="none" w:sz="0" w:space="0" w:color="auto"/>
                        <w:bottom w:val="none" w:sz="0" w:space="0" w:color="auto"/>
                        <w:right w:val="none" w:sz="0" w:space="0" w:color="auto"/>
                      </w:divBdr>
                      <w:divsChild>
                        <w:div w:id="38553076">
                          <w:marLeft w:val="0"/>
                          <w:marRight w:val="0"/>
                          <w:marTop w:val="0"/>
                          <w:marBottom w:val="0"/>
                          <w:divBdr>
                            <w:top w:val="none" w:sz="0" w:space="0" w:color="auto"/>
                            <w:left w:val="none" w:sz="0" w:space="0" w:color="auto"/>
                            <w:bottom w:val="none" w:sz="0" w:space="0" w:color="auto"/>
                            <w:right w:val="none" w:sz="0" w:space="0" w:color="auto"/>
                          </w:divBdr>
                          <w:divsChild>
                            <w:div w:id="92821053">
                              <w:marLeft w:val="0"/>
                              <w:marRight w:val="0"/>
                              <w:marTop w:val="0"/>
                              <w:marBottom w:val="360"/>
                              <w:divBdr>
                                <w:top w:val="none" w:sz="0" w:space="0" w:color="auto"/>
                                <w:left w:val="none" w:sz="0" w:space="0" w:color="auto"/>
                                <w:bottom w:val="none" w:sz="0" w:space="0" w:color="auto"/>
                                <w:right w:val="none" w:sz="0" w:space="0" w:color="auto"/>
                              </w:divBdr>
                              <w:divsChild>
                                <w:div w:id="546458256">
                                  <w:marLeft w:val="0"/>
                                  <w:marRight w:val="0"/>
                                  <w:marTop w:val="0"/>
                                  <w:marBottom w:val="0"/>
                                  <w:divBdr>
                                    <w:top w:val="none" w:sz="0" w:space="0" w:color="auto"/>
                                    <w:left w:val="none" w:sz="0" w:space="0" w:color="auto"/>
                                    <w:bottom w:val="none" w:sz="0" w:space="0" w:color="auto"/>
                                    <w:right w:val="none" w:sz="0" w:space="0" w:color="auto"/>
                                  </w:divBdr>
                                  <w:divsChild>
                                    <w:div w:id="212499962">
                                      <w:marLeft w:val="0"/>
                                      <w:marRight w:val="0"/>
                                      <w:marTop w:val="0"/>
                                      <w:marBottom w:val="0"/>
                                      <w:divBdr>
                                        <w:top w:val="none" w:sz="0" w:space="0" w:color="auto"/>
                                        <w:left w:val="none" w:sz="0" w:space="0" w:color="auto"/>
                                        <w:bottom w:val="none" w:sz="0" w:space="0" w:color="auto"/>
                                        <w:right w:val="none" w:sz="0" w:space="0" w:color="auto"/>
                                      </w:divBdr>
                                      <w:divsChild>
                                        <w:div w:id="985478361">
                                          <w:marLeft w:val="0"/>
                                          <w:marRight w:val="0"/>
                                          <w:marTop w:val="0"/>
                                          <w:marBottom w:val="0"/>
                                          <w:divBdr>
                                            <w:top w:val="none" w:sz="0" w:space="0" w:color="auto"/>
                                            <w:left w:val="none" w:sz="0" w:space="0" w:color="auto"/>
                                            <w:bottom w:val="none" w:sz="0" w:space="0" w:color="auto"/>
                                            <w:right w:val="none" w:sz="0" w:space="0" w:color="auto"/>
                                          </w:divBdr>
                                          <w:divsChild>
                                            <w:div w:id="841745016">
                                              <w:marLeft w:val="0"/>
                                              <w:marRight w:val="0"/>
                                              <w:marTop w:val="0"/>
                                              <w:marBottom w:val="0"/>
                                              <w:divBdr>
                                                <w:top w:val="none" w:sz="0" w:space="0" w:color="auto"/>
                                                <w:left w:val="none" w:sz="0" w:space="0" w:color="auto"/>
                                                <w:bottom w:val="none" w:sz="0" w:space="0" w:color="auto"/>
                                                <w:right w:val="none" w:sz="0" w:space="0" w:color="auto"/>
                                              </w:divBdr>
                                              <w:divsChild>
                                                <w:div w:id="4887920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787390265">
      <w:bodyDiv w:val="1"/>
      <w:marLeft w:val="0"/>
      <w:marRight w:val="0"/>
      <w:marTop w:val="0"/>
      <w:marBottom w:val="0"/>
      <w:divBdr>
        <w:top w:val="none" w:sz="0" w:space="0" w:color="auto"/>
        <w:left w:val="none" w:sz="0" w:space="0" w:color="auto"/>
        <w:bottom w:val="none" w:sz="0" w:space="0" w:color="auto"/>
        <w:right w:val="none" w:sz="0" w:space="0" w:color="auto"/>
      </w:divBdr>
      <w:divsChild>
        <w:div w:id="41905495">
          <w:marLeft w:val="0"/>
          <w:marRight w:val="0"/>
          <w:marTop w:val="0"/>
          <w:marBottom w:val="0"/>
          <w:divBdr>
            <w:top w:val="none" w:sz="0" w:space="0" w:color="auto"/>
            <w:left w:val="none" w:sz="0" w:space="0" w:color="auto"/>
            <w:bottom w:val="none" w:sz="0" w:space="0" w:color="auto"/>
            <w:right w:val="none" w:sz="0" w:space="0" w:color="auto"/>
          </w:divBdr>
          <w:divsChild>
            <w:div w:id="705104229">
              <w:marLeft w:val="0"/>
              <w:marRight w:val="0"/>
              <w:marTop w:val="0"/>
              <w:marBottom w:val="0"/>
              <w:divBdr>
                <w:top w:val="none" w:sz="0" w:space="0" w:color="auto"/>
                <w:left w:val="none" w:sz="0" w:space="0" w:color="auto"/>
                <w:bottom w:val="none" w:sz="0" w:space="0" w:color="auto"/>
                <w:right w:val="none" w:sz="0" w:space="0" w:color="auto"/>
              </w:divBdr>
            </w:div>
          </w:divsChild>
        </w:div>
        <w:div w:id="390351970">
          <w:marLeft w:val="0"/>
          <w:marRight w:val="0"/>
          <w:marTop w:val="0"/>
          <w:marBottom w:val="0"/>
          <w:divBdr>
            <w:top w:val="none" w:sz="0" w:space="0" w:color="auto"/>
            <w:left w:val="none" w:sz="0" w:space="0" w:color="auto"/>
            <w:bottom w:val="none" w:sz="0" w:space="0" w:color="auto"/>
            <w:right w:val="none" w:sz="0" w:space="0" w:color="auto"/>
          </w:divBdr>
          <w:divsChild>
            <w:div w:id="953245799">
              <w:marLeft w:val="0"/>
              <w:marRight w:val="0"/>
              <w:marTop w:val="120"/>
              <w:marBottom w:val="0"/>
              <w:divBdr>
                <w:top w:val="none" w:sz="0" w:space="0" w:color="auto"/>
                <w:left w:val="none" w:sz="0" w:space="0" w:color="auto"/>
                <w:bottom w:val="none" w:sz="0" w:space="0" w:color="auto"/>
                <w:right w:val="none" w:sz="0" w:space="0" w:color="auto"/>
              </w:divBdr>
            </w:div>
            <w:div w:id="1771394301">
              <w:marLeft w:val="0"/>
              <w:marRight w:val="0"/>
              <w:marTop w:val="0"/>
              <w:marBottom w:val="0"/>
              <w:divBdr>
                <w:top w:val="none" w:sz="0" w:space="0" w:color="auto"/>
                <w:left w:val="none" w:sz="0" w:space="0" w:color="auto"/>
                <w:bottom w:val="none" w:sz="0" w:space="0" w:color="auto"/>
                <w:right w:val="none" w:sz="0" w:space="0" w:color="auto"/>
              </w:divBdr>
            </w:div>
          </w:divsChild>
        </w:div>
        <w:div w:id="670983749">
          <w:marLeft w:val="0"/>
          <w:marRight w:val="0"/>
          <w:marTop w:val="0"/>
          <w:marBottom w:val="0"/>
          <w:divBdr>
            <w:top w:val="none" w:sz="0" w:space="0" w:color="auto"/>
            <w:left w:val="none" w:sz="0" w:space="0" w:color="auto"/>
            <w:bottom w:val="none" w:sz="0" w:space="0" w:color="auto"/>
            <w:right w:val="none" w:sz="0" w:space="0" w:color="auto"/>
          </w:divBdr>
          <w:divsChild>
            <w:div w:id="1690058563">
              <w:marLeft w:val="0"/>
              <w:marRight w:val="0"/>
              <w:marTop w:val="120"/>
              <w:marBottom w:val="0"/>
              <w:divBdr>
                <w:top w:val="none" w:sz="0" w:space="0" w:color="auto"/>
                <w:left w:val="none" w:sz="0" w:space="0" w:color="auto"/>
                <w:bottom w:val="none" w:sz="0" w:space="0" w:color="auto"/>
                <w:right w:val="none" w:sz="0" w:space="0" w:color="auto"/>
              </w:divBdr>
            </w:div>
            <w:div w:id="35085887">
              <w:marLeft w:val="0"/>
              <w:marRight w:val="0"/>
              <w:marTop w:val="0"/>
              <w:marBottom w:val="0"/>
              <w:divBdr>
                <w:top w:val="none" w:sz="0" w:space="0" w:color="auto"/>
                <w:left w:val="none" w:sz="0" w:space="0" w:color="auto"/>
                <w:bottom w:val="none" w:sz="0" w:space="0" w:color="auto"/>
                <w:right w:val="none" w:sz="0" w:space="0" w:color="auto"/>
              </w:divBdr>
            </w:div>
          </w:divsChild>
        </w:div>
        <w:div w:id="938486970">
          <w:marLeft w:val="0"/>
          <w:marRight w:val="0"/>
          <w:marTop w:val="0"/>
          <w:marBottom w:val="0"/>
          <w:divBdr>
            <w:top w:val="none" w:sz="0" w:space="0" w:color="auto"/>
            <w:left w:val="none" w:sz="0" w:space="0" w:color="auto"/>
            <w:bottom w:val="none" w:sz="0" w:space="0" w:color="auto"/>
            <w:right w:val="none" w:sz="0" w:space="0" w:color="auto"/>
          </w:divBdr>
          <w:divsChild>
            <w:div w:id="159272308">
              <w:marLeft w:val="0"/>
              <w:marRight w:val="0"/>
              <w:marTop w:val="120"/>
              <w:marBottom w:val="0"/>
              <w:divBdr>
                <w:top w:val="none" w:sz="0" w:space="0" w:color="auto"/>
                <w:left w:val="none" w:sz="0" w:space="0" w:color="auto"/>
                <w:bottom w:val="none" w:sz="0" w:space="0" w:color="auto"/>
                <w:right w:val="none" w:sz="0" w:space="0" w:color="auto"/>
              </w:divBdr>
            </w:div>
            <w:div w:id="125591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2886984">
      <w:bodyDiv w:val="1"/>
      <w:marLeft w:val="0"/>
      <w:marRight w:val="0"/>
      <w:marTop w:val="0"/>
      <w:marBottom w:val="0"/>
      <w:divBdr>
        <w:top w:val="none" w:sz="0" w:space="0" w:color="auto"/>
        <w:left w:val="none" w:sz="0" w:space="0" w:color="auto"/>
        <w:bottom w:val="none" w:sz="0" w:space="0" w:color="auto"/>
        <w:right w:val="none" w:sz="0" w:space="0" w:color="auto"/>
      </w:divBdr>
      <w:divsChild>
        <w:div w:id="2079404372">
          <w:marLeft w:val="0"/>
          <w:marRight w:val="0"/>
          <w:marTop w:val="0"/>
          <w:marBottom w:val="0"/>
          <w:divBdr>
            <w:top w:val="none" w:sz="0" w:space="0" w:color="auto"/>
            <w:left w:val="none" w:sz="0" w:space="0" w:color="auto"/>
            <w:bottom w:val="none" w:sz="0" w:space="0" w:color="auto"/>
            <w:right w:val="none" w:sz="0" w:space="0" w:color="auto"/>
          </w:divBdr>
          <w:divsChild>
            <w:div w:id="1144544953">
              <w:marLeft w:val="0"/>
              <w:marRight w:val="0"/>
              <w:marTop w:val="0"/>
              <w:marBottom w:val="0"/>
              <w:divBdr>
                <w:top w:val="none" w:sz="0" w:space="0" w:color="auto"/>
                <w:left w:val="none" w:sz="0" w:space="0" w:color="auto"/>
                <w:bottom w:val="none" w:sz="0" w:space="0" w:color="auto"/>
                <w:right w:val="none" w:sz="0" w:space="0" w:color="auto"/>
              </w:divBdr>
              <w:divsChild>
                <w:div w:id="2058360355">
                  <w:marLeft w:val="0"/>
                  <w:marRight w:val="0"/>
                  <w:marTop w:val="0"/>
                  <w:marBottom w:val="0"/>
                  <w:divBdr>
                    <w:top w:val="none" w:sz="0" w:space="0" w:color="auto"/>
                    <w:left w:val="none" w:sz="0" w:space="0" w:color="auto"/>
                    <w:bottom w:val="none" w:sz="0" w:space="0" w:color="auto"/>
                    <w:right w:val="none" w:sz="0" w:space="0" w:color="auto"/>
                  </w:divBdr>
                  <w:divsChild>
                    <w:div w:id="149759158">
                      <w:marLeft w:val="1"/>
                      <w:marRight w:val="1"/>
                      <w:marTop w:val="0"/>
                      <w:marBottom w:val="0"/>
                      <w:divBdr>
                        <w:top w:val="none" w:sz="0" w:space="0" w:color="auto"/>
                        <w:left w:val="none" w:sz="0" w:space="0" w:color="auto"/>
                        <w:bottom w:val="none" w:sz="0" w:space="0" w:color="auto"/>
                        <w:right w:val="none" w:sz="0" w:space="0" w:color="auto"/>
                      </w:divBdr>
                      <w:divsChild>
                        <w:div w:id="46344745">
                          <w:marLeft w:val="0"/>
                          <w:marRight w:val="0"/>
                          <w:marTop w:val="0"/>
                          <w:marBottom w:val="0"/>
                          <w:divBdr>
                            <w:top w:val="none" w:sz="0" w:space="0" w:color="auto"/>
                            <w:left w:val="none" w:sz="0" w:space="0" w:color="auto"/>
                            <w:bottom w:val="none" w:sz="0" w:space="0" w:color="auto"/>
                            <w:right w:val="none" w:sz="0" w:space="0" w:color="auto"/>
                          </w:divBdr>
                          <w:divsChild>
                            <w:div w:id="930627095">
                              <w:marLeft w:val="0"/>
                              <w:marRight w:val="0"/>
                              <w:marTop w:val="0"/>
                              <w:marBottom w:val="360"/>
                              <w:divBdr>
                                <w:top w:val="none" w:sz="0" w:space="0" w:color="auto"/>
                                <w:left w:val="none" w:sz="0" w:space="0" w:color="auto"/>
                                <w:bottom w:val="none" w:sz="0" w:space="0" w:color="auto"/>
                                <w:right w:val="none" w:sz="0" w:space="0" w:color="auto"/>
                              </w:divBdr>
                              <w:divsChild>
                                <w:div w:id="92437858">
                                  <w:marLeft w:val="0"/>
                                  <w:marRight w:val="0"/>
                                  <w:marTop w:val="0"/>
                                  <w:marBottom w:val="0"/>
                                  <w:divBdr>
                                    <w:top w:val="none" w:sz="0" w:space="0" w:color="auto"/>
                                    <w:left w:val="none" w:sz="0" w:space="0" w:color="auto"/>
                                    <w:bottom w:val="none" w:sz="0" w:space="0" w:color="auto"/>
                                    <w:right w:val="none" w:sz="0" w:space="0" w:color="auto"/>
                                  </w:divBdr>
                                  <w:divsChild>
                                    <w:div w:id="2145150566">
                                      <w:marLeft w:val="0"/>
                                      <w:marRight w:val="0"/>
                                      <w:marTop w:val="0"/>
                                      <w:marBottom w:val="0"/>
                                      <w:divBdr>
                                        <w:top w:val="none" w:sz="0" w:space="0" w:color="auto"/>
                                        <w:left w:val="none" w:sz="0" w:space="0" w:color="auto"/>
                                        <w:bottom w:val="none" w:sz="0" w:space="0" w:color="auto"/>
                                        <w:right w:val="none" w:sz="0" w:space="0" w:color="auto"/>
                                      </w:divBdr>
                                      <w:divsChild>
                                        <w:div w:id="1596749735">
                                          <w:marLeft w:val="0"/>
                                          <w:marRight w:val="0"/>
                                          <w:marTop w:val="0"/>
                                          <w:marBottom w:val="0"/>
                                          <w:divBdr>
                                            <w:top w:val="none" w:sz="0" w:space="0" w:color="auto"/>
                                            <w:left w:val="none" w:sz="0" w:space="0" w:color="auto"/>
                                            <w:bottom w:val="none" w:sz="0" w:space="0" w:color="auto"/>
                                            <w:right w:val="none" w:sz="0" w:space="0" w:color="auto"/>
                                          </w:divBdr>
                                          <w:divsChild>
                                            <w:div w:id="116800845">
                                              <w:marLeft w:val="0"/>
                                              <w:marRight w:val="0"/>
                                              <w:marTop w:val="0"/>
                                              <w:marBottom w:val="0"/>
                                              <w:divBdr>
                                                <w:top w:val="none" w:sz="0" w:space="0" w:color="auto"/>
                                                <w:left w:val="none" w:sz="0" w:space="0" w:color="auto"/>
                                                <w:bottom w:val="none" w:sz="0" w:space="0" w:color="auto"/>
                                                <w:right w:val="none" w:sz="0" w:space="0" w:color="auto"/>
                                              </w:divBdr>
                                              <w:divsChild>
                                                <w:div w:id="6655980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mailto:CSDR.Notifications@esma.europa.eu" TargetMode="Externa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hyperlink" Target="https://securitiesandmarketsauth.sharepoint.com/sites/sherpa-trdu/_layouts/15/DocIdRedir.aspx?ID=ESMA74-1194755578-321" TargetMode="External"/><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0fb0f98-34f9-4d57-9559-eb8efd17aa5e">
      <Value>5</Value>
      <Value>64</Value>
      <Value>24</Value>
      <Value>541</Value>
      <Value>43</Value>
    </TaxCatchAll>
    <caa5aeb1a6644849b60fbe2335e12657 xmlns="d0fb0f98-34f9-4d57-9559-eb8efd17aa5e">
      <Terms xmlns="http://schemas.microsoft.com/office/infopath/2007/PartnerControls">
        <TermInfo xmlns="http://schemas.microsoft.com/office/infopath/2007/PartnerControls">
          <TermName xmlns="http://schemas.microsoft.com/office/infopath/2007/PartnerControls">CSDR Notifications</TermName>
          <TermId xmlns="http://schemas.microsoft.com/office/infopath/2007/PartnerControls">84bb6c14-d192-4df5-b92f-8f142cb39632</TermId>
        </TermInfo>
      </Terms>
    </caa5aeb1a6644849b60fbe2335e12657>
    <j69a081f486747f6ac8a5aeed63facfd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a0c619ff-bd46-48f0-b213-6b7c03fe156d</TermId>
        </TermInfo>
      </Terms>
    </j69a081f486747f6ac8a5aeed63facfd>
    <bce29119141747ccb9ac7d87218ed4af xmlns="d0fb0f98-34f9-4d57-9559-eb8efd17aa5e">
      <Terms xmlns="http://schemas.microsoft.com/office/infopath/2007/PartnerControls">
        <TermInfo xmlns="http://schemas.microsoft.com/office/infopath/2007/PartnerControls">
          <TermName xmlns="http://schemas.microsoft.com/office/infopath/2007/PartnerControls">Post-Trading</TermName>
          <TermId xmlns="http://schemas.microsoft.com/office/infopath/2007/PartnerControls">22dee67e-8766-4361-bbd4-81c804883283</TermId>
        </TermInfo>
      </Terms>
    </bce29119141747ccb9ac7d87218ed4af>
    <a9b3b1dad23b4ba58c3f3e36a96e1d9c xmlns="d0fb0f98-34f9-4d57-9559-eb8efd17aa5e">
      <Terms xmlns="http://schemas.microsoft.com/office/infopath/2007/PartnerControls">
        <TermInfo xmlns="http://schemas.microsoft.com/office/infopath/2007/PartnerControls">
          <TermName xmlns="http://schemas.microsoft.com/office/infopath/2007/PartnerControls">Public</TermName>
          <TermId xmlns="http://schemas.microsoft.com/office/infopath/2007/PartnerControls">902c1e7c-3957-48c1-abbe-acf26525b3f2</TermId>
        </TermInfo>
      </Terms>
    </a9b3b1dad23b4ba58c3f3e36a96e1d9c>
    <MeetingDate xmlns="d0fb0f98-34f9-4d57-9559-eb8efd17aa5e" xsi:nil="true"/>
    <n644e5dfaa29486bad4a4fc019c6d2df xmlns="d0fb0f98-34f9-4d57-9559-eb8efd17aa5e">
      <Terms xmlns="http://schemas.microsoft.com/office/infopath/2007/PartnerControls"/>
    </n644e5dfaa29486bad4a4fc019c6d2df>
    <eed0a0b2ea6941718a34434e243f3d8f xmlns="d0fb0f98-34f9-4d57-9559-eb8efd17aa5e">
      <Terms xmlns="http://schemas.microsoft.com/office/infopath/2007/PartnerControls">
        <TermInfo xmlns="http://schemas.microsoft.com/office/infopath/2007/PartnerControls">
          <TermName xmlns="http://schemas.microsoft.com/office/infopath/2007/PartnerControls">Note</TermName>
          <TermId xmlns="http://schemas.microsoft.com/office/infopath/2007/PartnerControls">b9e1c92e-303a-4555-86f0-5c711c65937e</TermId>
        </TermInfo>
      </Terms>
    </eed0a0b2ea6941718a34434e243f3d8f>
    <Year xmlns="d0fb0f98-34f9-4d57-9559-eb8efd17aa5e">2017</Year>
    <_dlc_DocId xmlns="d0fb0f98-34f9-4d57-9559-eb8efd17aa5e">ESMA74-1194755578-321</_dlc_DocId>
    <_dlc_DocIdUrl xmlns="d0fb0f98-34f9-4d57-9559-eb8efd17aa5e">
      <Url>https://securitiesandmarketsauth.sharepoint.com/sites/sherpa-trdu/_layouts/15/DocIdRedir.aspx?ID=ESMA74-1194755578-321</Url>
      <Description>ESMA74-1194755578-321</Description>
    </_dlc_DocIdUrl>
  </documentManagement>
</p:properties>
</file>

<file path=customXml/item4.xml><?xml version="1.0" encoding="utf-8"?>
<ct:contentTypeSchema xmlns:ct="http://schemas.microsoft.com/office/2006/metadata/contentType" xmlns:ma="http://schemas.microsoft.com/office/2006/metadata/properties/metaAttributes" ct:_="" ma:_="" ma:contentTypeName="CSDR Operational Tasks Document" ma:contentTypeID="0x0101008D9E5D2C101BA04B85C7EB08C6516E400B00FAD0BAD91EEB0141A9153AF484DF3F53" ma:contentTypeVersion="17" ma:contentTypeDescription="" ma:contentTypeScope="" ma:versionID="16b1dffe4a035188d1b9e37e26f7e659">
  <xsd:schema xmlns:xsd="http://www.w3.org/2001/XMLSchema" xmlns:xs="http://www.w3.org/2001/XMLSchema" xmlns:p="http://schemas.microsoft.com/office/2006/metadata/properties" xmlns:ns2="d0fb0f98-34f9-4d57-9559-eb8efd17aa5e" xmlns:ns3="227a5980-6b9a-4126-a865-e4e7954c64cb" targetNamespace="http://schemas.microsoft.com/office/2006/metadata/properties" ma:root="true" ma:fieldsID="220b906489210c377f3b8c2121a966d7" ns2:_="" ns3:_="">
    <xsd:import namespace="d0fb0f98-34f9-4d57-9559-eb8efd17aa5e"/>
    <xsd:import namespace="227a5980-6b9a-4126-a865-e4e7954c64cb"/>
    <xsd:element name="properties">
      <xsd:complexType>
        <xsd:sequence>
          <xsd:element name="documentManagement">
            <xsd:complexType>
              <xsd:all>
                <xsd:element ref="ns2:Year"/>
                <xsd:element ref="ns2:MeetingDate" minOccurs="0"/>
                <xsd:element ref="ns2:TaxCatchAll" minOccurs="0"/>
                <xsd:element ref="ns2:TaxCatchAllLabel" minOccurs="0"/>
                <xsd:element ref="ns2:eed0a0b2ea6941718a34434e243f3d8f" minOccurs="0"/>
                <xsd:element ref="ns2:j69a081f486747f6ac8a5aeed63facfd" minOccurs="0"/>
                <xsd:element ref="ns2:a9b3b1dad23b4ba58c3f3e36a96e1d9c" minOccurs="0"/>
                <xsd:element ref="ns2:bce29119141747ccb9ac7d87218ed4af" minOccurs="0"/>
                <xsd:element ref="ns2:caa5aeb1a6644849b60fbe2335e12657" minOccurs="0"/>
                <xsd:element ref="ns2:n644e5dfaa29486bad4a4fc019c6d2df" minOccurs="0"/>
                <xsd:element ref="ns2:_dlc_DocId" minOccurs="0"/>
                <xsd:element ref="ns2:_dlc_DocIdUrl" minOccurs="0"/>
                <xsd:element ref="ns2:_dlc_DocIdPersistId" minOccurs="0"/>
                <xsd:element ref="ns3:MediaServiceMetadata" minOccurs="0"/>
                <xsd:element ref="ns3:MediaServiceFastMetadata" minOccurs="0"/>
                <xsd:element ref="ns3:MediaServiceSearchProperties" minOccurs="0"/>
                <xsd:element ref="ns3: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0fb0f98-34f9-4d57-9559-eb8efd17aa5e" elementFormDefault="qualified">
    <xsd:import namespace="http://schemas.microsoft.com/office/2006/documentManagement/types"/>
    <xsd:import namespace="http://schemas.microsoft.com/office/infopath/2007/PartnerControls"/>
    <xsd:element name="Year" ma:index="6" ma:displayName="Year" ma:internalName="Year" ma:readOnly="false">
      <xsd:simpleType>
        <xsd:restriction base="dms:Text">
          <xsd:maxLength value="4"/>
        </xsd:restriction>
      </xsd:simpleType>
    </xsd:element>
    <xsd:element name="MeetingDate" ma:index="8" nillable="true" ma:displayName="Meeting Date" ma:format="DateOnly" ma:internalName="MeetingDate" ma:readOnly="false">
      <xsd:simpleType>
        <xsd:restriction base="dms:DateTime"/>
      </xsd:simpleType>
    </xsd:element>
    <xsd:element name="TaxCatchAll" ma:index="9" nillable="true" ma:displayName="Taxonomy Catch All Column" ma:hidden="true" ma:list="{e4837b19-d3a4-4d5a-9115-5960f619fc9d}" ma:internalName="TaxCatchAll" ma:readOnly="false" ma:showField="CatchAllData"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TaxCatchAllLabel" ma:index="17" nillable="true" ma:displayName="Taxonomy Catch All Column1" ma:hidden="true" ma:list="{e4837b19-d3a4-4d5a-9115-5960f619fc9d}" ma:internalName="TaxCatchAllLabel" ma:readOnly="true" ma:showField="CatchAllDataLabel" ma:web="d0fb0f98-34f9-4d57-9559-eb8efd17aa5e">
      <xsd:complexType>
        <xsd:complexContent>
          <xsd:extension base="dms:MultiChoiceLookup">
            <xsd:sequence>
              <xsd:element name="Value" type="dms:Lookup" maxOccurs="unbounded" minOccurs="0" nillable="true"/>
            </xsd:sequence>
          </xsd:extension>
        </xsd:complexContent>
      </xsd:complexType>
    </xsd:element>
    <xsd:element name="eed0a0b2ea6941718a34434e243f3d8f" ma:index="18" nillable="true" ma:taxonomy="true" ma:internalName="eed0a0b2ea6941718a34434e243f3d8f" ma:taxonomyFieldName="DocumentType" ma:displayName="Document Type" ma:readOnly="false" ma:default="5;#Note|b9e1c92e-303a-4555-86f0-5c711c65937e" ma:fieldId="{eed0a0b2-ea69-4171-8a34-434e243f3d8f}" ma:sspId="d4b01e31-ead0-4f68-a8e9-2aaca35f2e62" ma:termSetId="f83a1c9a-b23f-455b-8c9e-17fb9037db30" ma:anchorId="00000000-0000-0000-0000-000000000000" ma:open="false" ma:isKeyword="false">
      <xsd:complexType>
        <xsd:sequence>
          <xsd:element ref="pc:Terms" minOccurs="0" maxOccurs="1"/>
        </xsd:sequence>
      </xsd:complexType>
    </xsd:element>
    <xsd:element name="j69a081f486747f6ac8a5aeed63facfd" ma:index="19" nillable="true" ma:taxonomy="true" ma:internalName="j69a081f486747f6ac8a5aeed63facfd" ma:taxonomyFieldName="ConfidentialityLevel" ma:displayName="Confidentiality Level" ma:readOnly="false" ma:default="6;#Regular|07f1e362-856b-423d-bea6-a14079762141" ma:fieldId="{369a081f-4867-47f6-ac8a-5aeed63facfd}" ma:sspId="d4b01e31-ead0-4f68-a8e9-2aaca35f2e62" ma:termSetId="63da149f-0364-4b58-9838-6f5855a402c0" ma:anchorId="00000000-0000-0000-0000-000000000000" ma:open="false" ma:isKeyword="false">
      <xsd:complexType>
        <xsd:sequence>
          <xsd:element ref="pc:Terms" minOccurs="0" maxOccurs="1"/>
        </xsd:sequence>
      </xsd:complexType>
    </xsd:element>
    <xsd:element name="a9b3b1dad23b4ba58c3f3e36a96e1d9c" ma:index="20" nillable="true" ma:taxonomy="true" ma:internalName="a9b3b1dad23b4ba58c3f3e36a96e1d9c" ma:taxonomyFieldName="EsmaAudience" ma:displayName="Audience" ma:readOnly="false" ma:fieldId="{a9b3b1da-d23b-4ba5-8c3f-3e36a96e1d9c}" ma:sspId="d4b01e31-ead0-4f68-a8e9-2aaca35f2e62" ma:termSetId="76343289-0524-4d6c-b317-76d8c2e49caa" ma:anchorId="00000000-0000-0000-0000-000000000000" ma:open="false" ma:isKeyword="false">
      <xsd:complexType>
        <xsd:sequence>
          <xsd:element ref="pc:Terms" minOccurs="0" maxOccurs="1"/>
        </xsd:sequence>
      </xsd:complexType>
    </xsd:element>
    <xsd:element name="bce29119141747ccb9ac7d87218ed4af" ma:index="21" nillable="true" ma:taxonomy="true" ma:internalName="bce29119141747ccb9ac7d87218ed4af" ma:taxonomyFieldName="TeamName" ma:displayName="Team Name" ma:readOnly="false" ma:fieldId="{bce29119-1417-47cc-b9ac-7d87218ed4af}" ma:sspId="d4b01e31-ead0-4f68-a8e9-2aaca35f2e62" ma:termSetId="9ab8a8dd-aa7f-4e9e-9345-c8f50d6bfad1" ma:anchorId="00000000-0000-0000-0000-000000000000" ma:open="false" ma:isKeyword="false">
      <xsd:complexType>
        <xsd:sequence>
          <xsd:element ref="pc:Terms" minOccurs="0" maxOccurs="1"/>
        </xsd:sequence>
      </xsd:complexType>
    </xsd:element>
    <xsd:element name="caa5aeb1a6644849b60fbe2335e12657" ma:index="22" nillable="true" ma:taxonomy="true" ma:internalName="caa5aeb1a6644849b60fbe2335e12657" ma:taxonomyFieldName="Topic" ma:displayName="Topic" ma:readOnly="false" ma:fieldId="{caa5aeb1-a664-4849-b60f-be2335e12657}" ma:sspId="d4b01e31-ead0-4f68-a8e9-2aaca35f2e62" ma:termSetId="abdf9367-7f67-4eb9-8114-da5745674c0b" ma:anchorId="00000000-0000-0000-0000-000000000000" ma:open="true" ma:isKeyword="false">
      <xsd:complexType>
        <xsd:sequence>
          <xsd:element ref="pc:Terms" minOccurs="0" maxOccurs="1"/>
        </xsd:sequence>
      </xsd:complexType>
    </xsd:element>
    <xsd:element name="n644e5dfaa29486bad4a4fc019c6d2df" ma:index="23" nillable="true" ma:taxonomy="true" ma:internalName="n644e5dfaa29486bad4a4fc019c6d2df" ma:taxonomyFieldName="SubTopic" ma:displayName="Sub Topic" ma:readOnly="false" ma:fieldId="{7644e5df-aa29-486b-ad4a-4fc019c6d2df}" ma:sspId="d4b01e31-ead0-4f68-a8e9-2aaca35f2e62" ma:termSetId="d39a7116-a974-4149-83b8-6e441e4f1242" ma:anchorId="00000000-0000-0000-0000-000000000000" ma:open="false" ma:isKeyword="false">
      <xsd:complexType>
        <xsd:sequence>
          <xsd:element ref="pc:Terms" minOccurs="0" maxOccurs="1"/>
        </xsd:sequence>
      </xsd:complexType>
    </xsd:element>
    <xsd:element name="_dlc_DocId" ma:index="24" nillable="true" ma:displayName="Document ID Value" ma:description="The value of the document ID assigned to this item." ma:indexed="true" ma:internalName="_dlc_DocId" ma:readOnly="true">
      <xsd:simpleType>
        <xsd:restriction base="dms:Text"/>
      </xsd:simpleType>
    </xsd:element>
    <xsd:element name="_dlc_DocIdUrl" ma:index="2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6"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227a5980-6b9a-4126-a865-e4e7954c64cb" elementFormDefault="qualified">
    <xsd:import namespace="http://schemas.microsoft.com/office/2006/documentManagement/types"/>
    <xsd:import namespace="http://schemas.microsoft.com/office/infopath/2007/PartnerControls"/>
    <xsd:element name="MediaServiceMetadata" ma:index="27" nillable="true" ma:displayName="MediaServiceMetadata" ma:hidden="true" ma:internalName="MediaServiceMetadata" ma:readOnly="true">
      <xsd:simpleType>
        <xsd:restriction base="dms:Note"/>
      </xsd:simpleType>
    </xsd:element>
    <xsd:element name="MediaServiceFastMetadata" ma:index="28" nillable="true" ma:displayName="MediaServiceFastMetadata" ma:hidden="true" ma:internalName="MediaServiceFastMetadata" ma:readOnly="true">
      <xsd:simpleType>
        <xsd:restriction base="dms:Note"/>
      </xsd:simpleType>
    </xsd:element>
    <xsd:element name="MediaServiceSearchProperties" ma:index="29" nillable="true" ma:displayName="MediaServiceSearchProperties" ma:hidden="true" ma:internalName="MediaServiceSearchProperties" ma:readOnly="true">
      <xsd:simpleType>
        <xsd:restriction base="dms:Note"/>
      </xsd:simpleType>
    </xsd:element>
    <xsd:element name="MediaServiceObjectDetectorVersions" ma:index="30" nillable="true" ma:displayName="MediaServiceObjectDetectorVersions" ma:hidden="true" ma:indexed="true" ma:internalName="MediaServiceObjectDetectorVersion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Content Type"/>
        <xsd:element ref="dc:title" minOccurs="0" maxOccurs="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6F3642FA-EECF-416E-A59B-6E2DF30F61EF}">
  <ds:schemaRefs>
    <ds:schemaRef ds:uri="http://schemas.microsoft.com/sharepoint/v3/contenttype/forms"/>
  </ds:schemaRefs>
</ds:datastoreItem>
</file>

<file path=customXml/itemProps2.xml><?xml version="1.0" encoding="utf-8"?>
<ds:datastoreItem xmlns:ds="http://schemas.openxmlformats.org/officeDocument/2006/customXml" ds:itemID="{252ED774-6D64-4FBE-ACCA-52073FA2F092}">
  <ds:schemaRefs>
    <ds:schemaRef ds:uri="http://schemas.openxmlformats.org/officeDocument/2006/bibliography"/>
  </ds:schemaRefs>
</ds:datastoreItem>
</file>

<file path=customXml/itemProps3.xml><?xml version="1.0" encoding="utf-8"?>
<ds:datastoreItem xmlns:ds="http://schemas.openxmlformats.org/officeDocument/2006/customXml" ds:itemID="{D015C971-3A24-473C-AE56-010DA2D7DC0B}">
  <ds:schemaRefs>
    <ds:schemaRef ds:uri="http://purl.org/dc/dcmitype/"/>
    <ds:schemaRef ds:uri="http://schemas.microsoft.com/office/infopath/2007/PartnerControls"/>
    <ds:schemaRef ds:uri="d0fb0f98-34f9-4d57-9559-eb8efd17aa5e"/>
    <ds:schemaRef ds:uri="http://www.w3.org/XML/1998/namespace"/>
    <ds:schemaRef ds:uri="http://purl.org/dc/elements/1.1/"/>
    <ds:schemaRef ds:uri="http://schemas.microsoft.com/office/2006/metadata/properties"/>
    <ds:schemaRef ds:uri="http://purl.org/dc/terms/"/>
    <ds:schemaRef ds:uri="http://schemas.microsoft.com/office/2006/documentManagement/types"/>
    <ds:schemaRef ds:uri="http://schemas.openxmlformats.org/package/2006/metadata/core-properties"/>
    <ds:schemaRef ds:uri="227a5980-6b9a-4126-a865-e4e7954c64cb"/>
  </ds:schemaRefs>
</ds:datastoreItem>
</file>

<file path=customXml/itemProps4.xml><?xml version="1.0" encoding="utf-8"?>
<ds:datastoreItem xmlns:ds="http://schemas.openxmlformats.org/officeDocument/2006/customXml" ds:itemID="{67241791-135B-42D5-B857-5390545CC9D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0fb0f98-34f9-4d57-9559-eb8efd17aa5e"/>
    <ds:schemaRef ds:uri="227a5980-6b9a-4126-a865-e4e7954c64c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1A010D48-D629-444D-B042-B0764251C34C}">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1313</Words>
  <Characters>7489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ESMA</Company>
  <LinksUpToDate>false</LinksUpToDate>
  <CharactersWithSpaces>8785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Karole-Anne Sauvet-Frot</dc:creator>
  <cp:keywords/>
  <dc:description/>
  <cp:lastModifiedBy>Iris Hude</cp:lastModifiedBy>
  <cp:revision>3</cp:revision>
  <dcterms:created xsi:type="dcterms:W3CDTF">2025-04-29T09:47:00Z</dcterms:created>
  <dcterms:modified xsi:type="dcterms:W3CDTF">2025-04-29T09:48:00Z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0x0101008D9E5D2C101BA04B85C7EB08C6516E400B00FAD0BAD91EEB0141A9153AF484DF3F53</vt:lpwstr>
  </property>
  <property fmtid="{D5CDD505-2E9C-101B-9397-08002B2CF9AE}" pid="3" name="_dlc_DocIdItemGuid">
    <vt:lpwstr>d6e35c9a-d4fe-43a0-b943-a6abe193de3c</vt:lpwstr>
  </property>
  <property fmtid="{D5CDD505-2E9C-101B-9397-08002B2CF9AE}" pid="4" name="EsmaAudience">
    <vt:lpwstr>64</vt:lpwstr>
  </property>
  <property fmtid="{D5CDD505-2E9C-101B-9397-08002B2CF9AE}" pid="5" name="TeamName">
    <vt:lpwstr>43</vt:lpwstr>
  </property>
  <property fmtid="{D5CDD505-2E9C-101B-9397-08002B2CF9AE}" pid="6" name="Topic">
    <vt:lpwstr>541</vt:lpwstr>
  </property>
  <property fmtid="{D5CDD505-2E9C-101B-9397-08002B2CF9AE}" pid="7" name="ConfidentialityLevel">
    <vt:lpwstr>24;#Public|a0c619ff-bd46-48f0-b213-6b7c03fe156d</vt:lpwstr>
  </property>
  <property fmtid="{D5CDD505-2E9C-101B-9397-08002B2CF9AE}" pid="8" name="DocumentType">
    <vt:lpwstr>5;#Note|b9e1c92e-303a-4555-86f0-5c711c65937e</vt:lpwstr>
  </property>
</Properties>
</file>