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597C47" w14:paraId="762FD7F3" w14:textId="77777777" w:rsidTr="008B4939">
        <w:trPr>
          <w:trHeight w:hRule="exact" w:val="964"/>
        </w:trPr>
        <w:tc>
          <w:tcPr>
            <w:tcW w:w="2325" w:type="dxa"/>
          </w:tcPr>
          <w:p w14:paraId="762FD7F1" w14:textId="103E2035" w:rsidR="008C2386" w:rsidRPr="00597C47" w:rsidRDefault="00620D7C" w:rsidP="00E9686E">
            <w:pPr>
              <w:pStyle w:val="02Date"/>
              <w:suppressAutoHyphens/>
              <w:jc w:val="both"/>
              <w:rPr>
                <w:rFonts w:ascii="Arial" w:hAnsi="Arial" w:cs="Arial"/>
              </w:rPr>
            </w:pPr>
            <w:r w:rsidRPr="00597C47">
              <w:rPr>
                <w:rFonts w:ascii="Arial" w:hAnsi="Arial" w:cs="Arial"/>
              </w:rPr>
              <w:t xml:space="preserve">Date: </w:t>
            </w:r>
            <w:r w:rsidR="00B8569D">
              <w:rPr>
                <w:rFonts w:ascii="Arial" w:hAnsi="Arial" w:cs="Arial"/>
              </w:rPr>
              <w:t>13 July 2020</w:t>
            </w:r>
            <w:bookmarkStart w:id="0" w:name="_GoBack"/>
            <w:bookmarkEnd w:id="0"/>
          </w:p>
          <w:p w14:paraId="762FD7F2" w14:textId="0B1ADD34" w:rsidR="00620D7C" w:rsidRPr="00597C47" w:rsidRDefault="00A27263" w:rsidP="00730287">
            <w:pPr>
              <w:pStyle w:val="02Date"/>
              <w:suppressAutoHyphens/>
              <w:jc w:val="both"/>
              <w:rPr>
                <w:rFonts w:ascii="Arial" w:hAnsi="Arial" w:cs="Arial"/>
                <w:lang w:val="es-ES_tradnl"/>
              </w:rPr>
            </w:pPr>
            <w:r w:rsidRPr="00A27263">
              <w:rPr>
                <w:rFonts w:ascii="Arial" w:hAnsi="Arial" w:cs="Arial"/>
                <w:lang w:val="es-ES_tradnl"/>
              </w:rPr>
              <w:t>ESMA70-151-3190</w:t>
            </w:r>
          </w:p>
        </w:tc>
      </w:tr>
    </w:tbl>
    <w:p w14:paraId="762FD7F4" w14:textId="77777777" w:rsidR="0038308A" w:rsidRPr="00597C47" w:rsidRDefault="0038308A" w:rsidP="00E9686E">
      <w:pPr>
        <w:suppressAutoHyphens/>
        <w:jc w:val="both"/>
        <w:rPr>
          <w:rFonts w:ascii="Arial" w:hAnsi="Arial" w:cs="Arial"/>
          <w:vanish/>
          <w:lang w:val="es-ES_tradnl"/>
        </w:rPr>
      </w:pPr>
    </w:p>
    <w:tbl>
      <w:tblPr>
        <w:tblW w:w="0" w:type="auto"/>
        <w:tblBorders>
          <w:insideV w:val="single" w:sz="4" w:space="0" w:color="auto"/>
        </w:tblBorders>
        <w:tblCellMar>
          <w:left w:w="0" w:type="dxa"/>
          <w:right w:w="0" w:type="dxa"/>
        </w:tblCellMar>
        <w:tblLook w:val="01E0" w:firstRow="1" w:lastRow="1" w:firstColumn="1" w:lastColumn="1" w:noHBand="0" w:noVBand="0"/>
      </w:tblPr>
      <w:tblGrid>
        <w:gridCol w:w="9412"/>
      </w:tblGrid>
      <w:tr w:rsidR="0022428A" w:rsidRPr="00597C47" w14:paraId="762FD7F6" w14:textId="77777777" w:rsidTr="008B4939">
        <w:tc>
          <w:tcPr>
            <w:tcW w:w="9412" w:type="dxa"/>
          </w:tcPr>
          <w:p w14:paraId="762FD7F5" w14:textId="63DF6FD3" w:rsidR="0022428A" w:rsidRPr="00597C47" w:rsidRDefault="004A639F" w:rsidP="00AB1E3C">
            <w:pPr>
              <w:pStyle w:val="05aTitle"/>
              <w:suppressAutoHyphens/>
              <w:jc w:val="both"/>
              <w:rPr>
                <w:rFonts w:ascii="Arial" w:hAnsi="Arial" w:cs="Arial"/>
              </w:rPr>
            </w:pPr>
            <w:r w:rsidRPr="00597C47">
              <w:rPr>
                <w:rFonts w:ascii="Arial" w:hAnsi="Arial" w:cs="Arial"/>
              </w:rPr>
              <w:t>QUESTIONS AND ANSWERS (Q&amp;A)</w:t>
            </w:r>
            <w:r w:rsidR="00FF1323" w:rsidRPr="00597C47">
              <w:rPr>
                <w:rFonts w:ascii="Arial" w:hAnsi="Arial" w:cs="Arial"/>
              </w:rPr>
              <w:t xml:space="preserve"> </w:t>
            </w:r>
            <w:r w:rsidR="004F1638" w:rsidRPr="00597C47">
              <w:rPr>
                <w:rFonts w:ascii="Arial" w:hAnsi="Arial" w:cs="Arial"/>
              </w:rPr>
              <w:t>ESMA CCP STRESS TEST</w:t>
            </w:r>
          </w:p>
        </w:tc>
      </w:tr>
    </w:tbl>
    <w:p w14:paraId="0F5512B2" w14:textId="77777777" w:rsidR="004F1638" w:rsidRPr="00597C47" w:rsidRDefault="004F1638" w:rsidP="00E00180">
      <w:pPr>
        <w:suppressAutoHyphens/>
        <w:spacing w:line="360" w:lineRule="auto"/>
        <w:jc w:val="both"/>
        <w:rPr>
          <w:rFonts w:ascii="Arial" w:hAnsi="Arial" w:cs="Arial"/>
          <w:szCs w:val="22"/>
        </w:rPr>
      </w:pPr>
    </w:p>
    <w:p w14:paraId="762FD7F9" w14:textId="039B2421" w:rsidR="003D7C81" w:rsidRPr="00597C47" w:rsidRDefault="00931770" w:rsidP="00E00180">
      <w:pPr>
        <w:suppressAutoHyphens/>
        <w:spacing w:line="360" w:lineRule="auto"/>
        <w:jc w:val="both"/>
        <w:rPr>
          <w:rFonts w:ascii="Arial" w:hAnsi="Arial" w:cs="Arial"/>
          <w:szCs w:val="22"/>
        </w:rPr>
      </w:pPr>
      <w:r w:rsidRPr="00597C47">
        <w:rPr>
          <w:rFonts w:ascii="Arial" w:hAnsi="Arial" w:cs="Arial"/>
          <w:szCs w:val="22"/>
        </w:rPr>
        <w:t xml:space="preserve">The European Securities and Markets Authority (ESMA) </w:t>
      </w:r>
      <w:r w:rsidR="00B56404" w:rsidRPr="00597C47">
        <w:rPr>
          <w:rFonts w:ascii="Arial" w:hAnsi="Arial" w:cs="Arial"/>
          <w:szCs w:val="22"/>
        </w:rPr>
        <w:t xml:space="preserve">has </w:t>
      </w:r>
      <w:r w:rsidR="00377C50" w:rsidRPr="00597C47">
        <w:rPr>
          <w:rFonts w:ascii="Arial" w:hAnsi="Arial" w:cs="Arial"/>
          <w:szCs w:val="22"/>
        </w:rPr>
        <w:t>published today</w:t>
      </w:r>
      <w:r w:rsidR="00E00180" w:rsidRPr="00597C47">
        <w:rPr>
          <w:rFonts w:ascii="Arial" w:hAnsi="Arial" w:cs="Arial"/>
          <w:szCs w:val="22"/>
        </w:rPr>
        <w:t xml:space="preserve"> </w:t>
      </w:r>
      <w:r w:rsidR="00377C50" w:rsidRPr="00597C47">
        <w:rPr>
          <w:rFonts w:ascii="Arial" w:hAnsi="Arial" w:cs="Arial"/>
          <w:szCs w:val="22"/>
        </w:rPr>
        <w:t xml:space="preserve">the results of </w:t>
      </w:r>
      <w:r w:rsidR="00E00180" w:rsidRPr="00597C47">
        <w:rPr>
          <w:rFonts w:ascii="Arial" w:hAnsi="Arial" w:cs="Arial"/>
          <w:szCs w:val="22"/>
        </w:rPr>
        <w:t xml:space="preserve">its </w:t>
      </w:r>
      <w:r w:rsidR="003D6943">
        <w:rPr>
          <w:rFonts w:ascii="Arial" w:hAnsi="Arial" w:cs="Arial"/>
          <w:szCs w:val="22"/>
        </w:rPr>
        <w:t>third</w:t>
      </w:r>
      <w:r w:rsidR="00B56404" w:rsidRPr="00597C47">
        <w:rPr>
          <w:rFonts w:ascii="Arial" w:hAnsi="Arial" w:cs="Arial"/>
          <w:szCs w:val="22"/>
        </w:rPr>
        <w:t xml:space="preserve"> EU-wide stress test exercise </w:t>
      </w:r>
      <w:r w:rsidR="002F0634" w:rsidRPr="00597C47">
        <w:rPr>
          <w:rFonts w:ascii="Arial" w:hAnsi="Arial" w:cs="Arial"/>
          <w:szCs w:val="22"/>
        </w:rPr>
        <w:t>regarding</w:t>
      </w:r>
      <w:r w:rsidR="00B56404" w:rsidRPr="00597C47">
        <w:rPr>
          <w:rFonts w:ascii="Arial" w:hAnsi="Arial" w:cs="Arial"/>
          <w:szCs w:val="22"/>
        </w:rPr>
        <w:t xml:space="preserve"> Central Counterparties (CCPs</w:t>
      </w:r>
      <w:r w:rsidR="00E00180" w:rsidRPr="00597C47">
        <w:rPr>
          <w:rFonts w:ascii="Arial" w:hAnsi="Arial" w:cs="Arial"/>
          <w:szCs w:val="22"/>
        </w:rPr>
        <w:t>)</w:t>
      </w:r>
      <w:r w:rsidR="00B56404" w:rsidRPr="00597C47">
        <w:rPr>
          <w:rFonts w:ascii="Arial" w:hAnsi="Arial" w:cs="Arial"/>
          <w:szCs w:val="22"/>
        </w:rPr>
        <w:t xml:space="preserve"> </w:t>
      </w:r>
      <w:r w:rsidR="00000E5A" w:rsidRPr="00597C47">
        <w:rPr>
          <w:rFonts w:ascii="Arial" w:hAnsi="Arial" w:cs="Arial"/>
          <w:szCs w:val="22"/>
        </w:rPr>
        <w:t xml:space="preserve">which it </w:t>
      </w:r>
      <w:r w:rsidR="00B56404" w:rsidRPr="00597C47">
        <w:rPr>
          <w:rFonts w:ascii="Arial" w:hAnsi="Arial" w:cs="Arial"/>
          <w:szCs w:val="22"/>
        </w:rPr>
        <w:t xml:space="preserve">conducted under the European Markets Infrastructure Regulation (EMIR). </w:t>
      </w:r>
      <w:r w:rsidR="004A639F" w:rsidRPr="00597C47">
        <w:rPr>
          <w:rFonts w:ascii="Arial" w:hAnsi="Arial" w:cs="Arial"/>
          <w:szCs w:val="22"/>
        </w:rPr>
        <w:t>This</w:t>
      </w:r>
      <w:r w:rsidR="00B72341" w:rsidRPr="00597C47">
        <w:rPr>
          <w:rFonts w:ascii="Arial" w:hAnsi="Arial" w:cs="Arial"/>
          <w:szCs w:val="22"/>
        </w:rPr>
        <w:t xml:space="preserve"> Question and Answers</w:t>
      </w:r>
      <w:r w:rsidR="003D7C81" w:rsidRPr="00597C47">
        <w:rPr>
          <w:rFonts w:ascii="Arial" w:hAnsi="Arial" w:cs="Arial"/>
          <w:szCs w:val="22"/>
        </w:rPr>
        <w:t xml:space="preserve"> </w:t>
      </w:r>
      <w:r w:rsidR="00B72341" w:rsidRPr="00597C47">
        <w:rPr>
          <w:rFonts w:ascii="Arial" w:hAnsi="Arial" w:cs="Arial"/>
          <w:szCs w:val="22"/>
        </w:rPr>
        <w:t>(</w:t>
      </w:r>
      <w:r w:rsidR="003D7C81" w:rsidRPr="00597C47">
        <w:rPr>
          <w:rFonts w:ascii="Arial" w:hAnsi="Arial" w:cs="Arial"/>
          <w:szCs w:val="22"/>
        </w:rPr>
        <w:t>Q&amp;A</w:t>
      </w:r>
      <w:r w:rsidR="00B72341" w:rsidRPr="00597C47">
        <w:rPr>
          <w:rFonts w:ascii="Arial" w:hAnsi="Arial" w:cs="Arial"/>
          <w:szCs w:val="22"/>
        </w:rPr>
        <w:t xml:space="preserve">) document </w:t>
      </w:r>
      <w:r w:rsidR="00703498" w:rsidRPr="00597C47">
        <w:rPr>
          <w:rFonts w:ascii="Arial" w:hAnsi="Arial" w:cs="Arial"/>
          <w:szCs w:val="22"/>
        </w:rPr>
        <w:t>summarises</w:t>
      </w:r>
      <w:r w:rsidR="003D7C81" w:rsidRPr="00597C47">
        <w:rPr>
          <w:rFonts w:ascii="Arial" w:hAnsi="Arial" w:cs="Arial"/>
          <w:szCs w:val="22"/>
        </w:rPr>
        <w:t xml:space="preserve"> the overall scope of the </w:t>
      </w:r>
      <w:r w:rsidR="00B72341" w:rsidRPr="00597C47">
        <w:rPr>
          <w:rFonts w:ascii="Arial" w:hAnsi="Arial" w:cs="Arial"/>
          <w:szCs w:val="22"/>
        </w:rPr>
        <w:t xml:space="preserve">stress </w:t>
      </w:r>
      <w:r w:rsidR="003D7C81" w:rsidRPr="00597C47">
        <w:rPr>
          <w:rFonts w:ascii="Arial" w:hAnsi="Arial" w:cs="Arial"/>
          <w:szCs w:val="22"/>
        </w:rPr>
        <w:t xml:space="preserve">test </w:t>
      </w:r>
      <w:r w:rsidR="00000E5A" w:rsidRPr="00597C47">
        <w:rPr>
          <w:rFonts w:ascii="Arial" w:hAnsi="Arial" w:cs="Arial"/>
          <w:szCs w:val="22"/>
        </w:rPr>
        <w:t>exercise</w:t>
      </w:r>
      <w:r w:rsidR="002B0A82" w:rsidRPr="00597C47">
        <w:rPr>
          <w:rFonts w:ascii="Arial" w:hAnsi="Arial" w:cs="Arial"/>
          <w:szCs w:val="22"/>
        </w:rPr>
        <w:t xml:space="preserve">, </w:t>
      </w:r>
      <w:r w:rsidR="00377C50" w:rsidRPr="00597C47">
        <w:rPr>
          <w:rFonts w:ascii="Arial" w:hAnsi="Arial" w:cs="Arial"/>
          <w:szCs w:val="22"/>
        </w:rPr>
        <w:t xml:space="preserve">the </w:t>
      </w:r>
      <w:r w:rsidR="003D7C81" w:rsidRPr="00597C47">
        <w:rPr>
          <w:rFonts w:ascii="Arial" w:hAnsi="Arial" w:cs="Arial"/>
          <w:szCs w:val="22"/>
        </w:rPr>
        <w:t xml:space="preserve">different scenarios and methodologies </w:t>
      </w:r>
      <w:r w:rsidR="00F35F63" w:rsidRPr="00597C47">
        <w:rPr>
          <w:rFonts w:ascii="Arial" w:hAnsi="Arial" w:cs="Arial"/>
          <w:szCs w:val="22"/>
        </w:rPr>
        <w:t>applied as well as how to understand the results</w:t>
      </w:r>
      <w:r w:rsidR="003D7C81" w:rsidRPr="00597C47">
        <w:rPr>
          <w:rFonts w:ascii="Arial" w:hAnsi="Arial" w:cs="Arial"/>
          <w:szCs w:val="22"/>
        </w:rPr>
        <w:t xml:space="preserve">. </w:t>
      </w:r>
    </w:p>
    <w:p w14:paraId="762FD7FA" w14:textId="77777777" w:rsidR="003D7C81" w:rsidRPr="00597C47" w:rsidRDefault="003D7C81" w:rsidP="00E00180">
      <w:pPr>
        <w:suppressAutoHyphens/>
        <w:spacing w:line="360" w:lineRule="auto"/>
        <w:jc w:val="both"/>
        <w:rPr>
          <w:rFonts w:ascii="Arial" w:hAnsi="Arial" w:cs="Arial"/>
          <w:szCs w:val="22"/>
        </w:rPr>
      </w:pPr>
    </w:p>
    <w:p w14:paraId="762FD7FB" w14:textId="77777777" w:rsidR="004A639F" w:rsidRPr="00597C47" w:rsidRDefault="004A639F" w:rsidP="00E00180">
      <w:pPr>
        <w:suppressAutoHyphens/>
        <w:spacing w:line="360" w:lineRule="auto"/>
        <w:jc w:val="both"/>
        <w:rPr>
          <w:rFonts w:ascii="Arial" w:hAnsi="Arial" w:cs="Arial"/>
          <w:b/>
          <w:szCs w:val="22"/>
        </w:rPr>
      </w:pPr>
      <w:r w:rsidRPr="00597C47">
        <w:rPr>
          <w:rFonts w:ascii="Arial" w:hAnsi="Arial" w:cs="Arial"/>
          <w:b/>
          <w:szCs w:val="22"/>
        </w:rPr>
        <w:t>Why are CCPs needed? Why is central clearing necessary?</w:t>
      </w:r>
    </w:p>
    <w:p w14:paraId="011A538E" w14:textId="40F0DDEC" w:rsidR="00703498" w:rsidRPr="00597C47" w:rsidRDefault="00000944" w:rsidP="00000944">
      <w:pPr>
        <w:suppressAutoHyphens/>
        <w:spacing w:line="360" w:lineRule="auto"/>
        <w:jc w:val="both"/>
        <w:rPr>
          <w:rFonts w:ascii="Arial" w:hAnsi="Arial" w:cs="Arial"/>
          <w:szCs w:val="22"/>
        </w:rPr>
      </w:pPr>
      <w:r w:rsidRPr="00597C47">
        <w:rPr>
          <w:rFonts w:ascii="Arial" w:hAnsi="Arial" w:cs="Arial"/>
          <w:szCs w:val="22"/>
        </w:rPr>
        <w:t>Financial market infrastructures</w:t>
      </w:r>
      <w:r w:rsidR="00703498" w:rsidRPr="00597C47">
        <w:rPr>
          <w:rFonts w:ascii="Arial" w:hAnsi="Arial" w:cs="Arial"/>
          <w:szCs w:val="22"/>
        </w:rPr>
        <w:t xml:space="preserve"> such as CCPs</w:t>
      </w:r>
      <w:r w:rsidRPr="00597C47">
        <w:rPr>
          <w:rFonts w:ascii="Arial" w:hAnsi="Arial" w:cs="Arial"/>
          <w:szCs w:val="22"/>
        </w:rPr>
        <w:t xml:space="preserve"> lie at the heart of the financial system. They help to reduce the risk of counterparties and provide </w:t>
      </w:r>
      <w:r w:rsidR="00703498" w:rsidRPr="00597C47">
        <w:rPr>
          <w:rFonts w:ascii="Arial" w:hAnsi="Arial" w:cs="Arial"/>
          <w:szCs w:val="22"/>
        </w:rPr>
        <w:t xml:space="preserve">post-trade </w:t>
      </w:r>
      <w:r w:rsidRPr="00597C47">
        <w:rPr>
          <w:rFonts w:ascii="Arial" w:hAnsi="Arial" w:cs="Arial"/>
          <w:szCs w:val="22"/>
        </w:rPr>
        <w:t xml:space="preserve">transparency. CCPs sit between the buyer and seller of a </w:t>
      </w:r>
      <w:r w:rsidR="004B4B95" w:rsidRPr="00597C47">
        <w:rPr>
          <w:rFonts w:ascii="Arial" w:hAnsi="Arial" w:cs="Arial"/>
          <w:szCs w:val="22"/>
        </w:rPr>
        <w:t>transaction</w:t>
      </w:r>
      <w:r w:rsidRPr="00597C47">
        <w:rPr>
          <w:rFonts w:ascii="Arial" w:hAnsi="Arial" w:cs="Arial"/>
          <w:szCs w:val="22"/>
        </w:rPr>
        <w:t>, leading to a less complex and centralised system of exposures. CCPs effectively guarantee the obligations under the contract agreed between the two counterparties, both of which would be participants of the CCP. If one counterparty fails, the other is protected via the default management procedures and resources of the CCP.</w:t>
      </w:r>
      <w:r w:rsidR="00703498" w:rsidRPr="00597C47">
        <w:rPr>
          <w:rFonts w:ascii="Arial" w:hAnsi="Arial" w:cs="Arial"/>
          <w:szCs w:val="22"/>
        </w:rPr>
        <w:t xml:space="preserve"> </w:t>
      </w:r>
    </w:p>
    <w:p w14:paraId="762FD800" w14:textId="77777777" w:rsidR="00377C50" w:rsidRPr="00597C47" w:rsidRDefault="00377C50" w:rsidP="00377C50">
      <w:pPr>
        <w:suppressAutoHyphens/>
        <w:spacing w:line="360" w:lineRule="auto"/>
        <w:jc w:val="both"/>
        <w:rPr>
          <w:rFonts w:ascii="Arial" w:hAnsi="Arial" w:cs="Arial"/>
          <w:b/>
          <w:szCs w:val="22"/>
        </w:rPr>
      </w:pPr>
    </w:p>
    <w:p w14:paraId="762FD801" w14:textId="77777777" w:rsidR="00377C50" w:rsidRPr="00597C47" w:rsidRDefault="00377C50" w:rsidP="00377C50">
      <w:pPr>
        <w:suppressAutoHyphens/>
        <w:spacing w:line="360" w:lineRule="auto"/>
        <w:jc w:val="both"/>
        <w:rPr>
          <w:rFonts w:ascii="Arial" w:hAnsi="Arial" w:cs="Arial"/>
          <w:b/>
          <w:szCs w:val="22"/>
        </w:rPr>
      </w:pPr>
      <w:r w:rsidRPr="00597C47">
        <w:rPr>
          <w:rFonts w:ascii="Arial" w:hAnsi="Arial" w:cs="Arial"/>
          <w:b/>
          <w:szCs w:val="22"/>
        </w:rPr>
        <w:t>Which CCPs did ESMA include in the stress exercise?</w:t>
      </w:r>
    </w:p>
    <w:p w14:paraId="4EB9BA6A" w14:textId="1B6B1715" w:rsidR="00922711" w:rsidRPr="00597C47" w:rsidRDefault="00377C50" w:rsidP="00377C50">
      <w:pPr>
        <w:suppressAutoHyphens/>
        <w:spacing w:line="360" w:lineRule="auto"/>
        <w:jc w:val="both"/>
        <w:rPr>
          <w:rFonts w:ascii="Arial" w:hAnsi="Arial" w:cs="Arial"/>
        </w:rPr>
      </w:pPr>
      <w:r w:rsidRPr="00597C47">
        <w:rPr>
          <w:rFonts w:ascii="Arial" w:hAnsi="Arial" w:cs="Arial"/>
        </w:rPr>
        <w:t>ES</w:t>
      </w:r>
      <w:r w:rsidR="00F35F63" w:rsidRPr="00597C47">
        <w:rPr>
          <w:rFonts w:ascii="Arial" w:hAnsi="Arial" w:cs="Arial"/>
        </w:rPr>
        <w:t>MA assessed the resilience of 16</w:t>
      </w:r>
      <w:r w:rsidRPr="00597C47">
        <w:rPr>
          <w:rFonts w:ascii="Arial" w:hAnsi="Arial" w:cs="Arial"/>
        </w:rPr>
        <w:t xml:space="preserve"> CCPs, including all </w:t>
      </w:r>
      <w:r w:rsidR="00B30BA6">
        <w:rPr>
          <w:rFonts w:ascii="Arial" w:hAnsi="Arial" w:cs="Arial"/>
        </w:rPr>
        <w:t xml:space="preserve">authorised EU </w:t>
      </w:r>
      <w:r w:rsidRPr="00597C47">
        <w:rPr>
          <w:rFonts w:ascii="Arial" w:hAnsi="Arial" w:cs="Arial"/>
        </w:rPr>
        <w:t xml:space="preserve">CCPs </w:t>
      </w:r>
      <w:r w:rsidR="00B30BA6">
        <w:rPr>
          <w:rFonts w:ascii="Arial" w:hAnsi="Arial" w:cs="Arial"/>
        </w:rPr>
        <w:t>and the three UK CCPs</w:t>
      </w:r>
      <w:r w:rsidRPr="00597C47">
        <w:rPr>
          <w:rFonts w:ascii="Arial" w:hAnsi="Arial" w:cs="Arial"/>
        </w:rPr>
        <w:t>.</w:t>
      </w:r>
      <w:r w:rsidR="00703498" w:rsidRPr="00597C47">
        <w:rPr>
          <w:rFonts w:ascii="Arial" w:hAnsi="Arial" w:cs="Arial"/>
        </w:rPr>
        <w:t xml:space="preserve"> Namely, these are: </w:t>
      </w:r>
    </w:p>
    <w:tbl>
      <w:tblPr>
        <w:tblStyle w:val="GridTable4-Accent11"/>
        <w:tblW w:w="8784" w:type="dxa"/>
        <w:tblLook w:val="04A0" w:firstRow="1" w:lastRow="0" w:firstColumn="1" w:lastColumn="0" w:noHBand="0" w:noVBand="1"/>
      </w:tblPr>
      <w:tblGrid>
        <w:gridCol w:w="1439"/>
        <w:gridCol w:w="7345"/>
      </w:tblGrid>
      <w:tr w:rsidR="00922711" w:rsidRPr="00597C47" w14:paraId="419BBC2F" w14:textId="77777777" w:rsidTr="00E374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84" w:type="dxa"/>
            <w:gridSpan w:val="2"/>
            <w:tcBorders>
              <w:top w:val="none" w:sz="0" w:space="0" w:color="auto"/>
              <w:left w:val="none" w:sz="0" w:space="0" w:color="auto"/>
              <w:bottom w:val="none" w:sz="0" w:space="0" w:color="auto"/>
              <w:right w:val="none" w:sz="0" w:space="0" w:color="auto"/>
            </w:tcBorders>
          </w:tcPr>
          <w:p w14:paraId="0D459618" w14:textId="77777777" w:rsidR="00922711" w:rsidRPr="00597C47" w:rsidRDefault="00922711" w:rsidP="00E37494">
            <w:pPr>
              <w:rPr>
                <w:rFonts w:ascii="Arial" w:hAnsi="Arial" w:cs="Arial"/>
              </w:rPr>
            </w:pPr>
            <w:r w:rsidRPr="00597C47">
              <w:rPr>
                <w:rFonts w:ascii="Arial" w:hAnsi="Arial" w:cs="Arial"/>
              </w:rPr>
              <w:t>CCP</w:t>
            </w:r>
          </w:p>
        </w:tc>
      </w:tr>
      <w:tr w:rsidR="00922711" w:rsidRPr="00597C47" w14:paraId="6AA6A8A8" w14:textId="77777777" w:rsidTr="00E374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9" w:type="dxa"/>
          </w:tcPr>
          <w:p w14:paraId="0E8F2A06" w14:textId="77777777" w:rsidR="00922711" w:rsidRPr="00597C47" w:rsidRDefault="00922711" w:rsidP="00E37494">
            <w:pPr>
              <w:rPr>
                <w:rFonts w:ascii="Arial" w:hAnsi="Arial" w:cs="Arial"/>
              </w:rPr>
            </w:pPr>
            <w:r w:rsidRPr="00597C47">
              <w:rPr>
                <w:rFonts w:ascii="Arial" w:hAnsi="Arial" w:cs="Arial"/>
              </w:rPr>
              <w:t>ATHX</w:t>
            </w:r>
          </w:p>
        </w:tc>
        <w:tc>
          <w:tcPr>
            <w:tcW w:w="7345" w:type="dxa"/>
          </w:tcPr>
          <w:p w14:paraId="254BDE94" w14:textId="77777777" w:rsidR="00922711" w:rsidRPr="00597C47" w:rsidRDefault="00922711" w:rsidP="00E37494">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597C47">
              <w:rPr>
                <w:rFonts w:ascii="Arial" w:eastAsia="Times New Roman" w:hAnsi="Arial" w:cs="Arial"/>
                <w:lang w:eastAsia="en-GB"/>
              </w:rPr>
              <w:t>Athens Exchange Clearing House</w:t>
            </w:r>
          </w:p>
        </w:tc>
      </w:tr>
      <w:tr w:rsidR="00922711" w:rsidRPr="00597C47" w14:paraId="24240A3F" w14:textId="77777777" w:rsidTr="00E37494">
        <w:tc>
          <w:tcPr>
            <w:cnfStyle w:val="001000000000" w:firstRow="0" w:lastRow="0" w:firstColumn="1" w:lastColumn="0" w:oddVBand="0" w:evenVBand="0" w:oddHBand="0" w:evenHBand="0" w:firstRowFirstColumn="0" w:firstRowLastColumn="0" w:lastRowFirstColumn="0" w:lastRowLastColumn="0"/>
            <w:tcW w:w="1439" w:type="dxa"/>
          </w:tcPr>
          <w:p w14:paraId="16A12D85" w14:textId="77777777" w:rsidR="00922711" w:rsidRPr="00597C47" w:rsidRDefault="00922711" w:rsidP="00E37494">
            <w:pPr>
              <w:rPr>
                <w:rFonts w:ascii="Arial" w:hAnsi="Arial" w:cs="Arial"/>
              </w:rPr>
            </w:pPr>
            <w:r w:rsidRPr="00597C47">
              <w:rPr>
                <w:rFonts w:ascii="Arial" w:hAnsi="Arial" w:cs="Arial"/>
              </w:rPr>
              <w:t>BME</w:t>
            </w:r>
          </w:p>
        </w:tc>
        <w:tc>
          <w:tcPr>
            <w:tcW w:w="7345" w:type="dxa"/>
          </w:tcPr>
          <w:p w14:paraId="405BFDCA" w14:textId="77777777" w:rsidR="00922711" w:rsidRPr="00597C47" w:rsidRDefault="00922711" w:rsidP="00E37494">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597C47">
              <w:rPr>
                <w:rFonts w:ascii="Arial" w:eastAsia="Times New Roman" w:hAnsi="Arial" w:cs="Arial"/>
                <w:lang w:eastAsia="en-GB"/>
              </w:rPr>
              <w:t>BME Clearing</w:t>
            </w:r>
          </w:p>
        </w:tc>
      </w:tr>
      <w:tr w:rsidR="00922711" w:rsidRPr="00B8569D" w14:paraId="7D55622F" w14:textId="77777777" w:rsidTr="00E374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9" w:type="dxa"/>
          </w:tcPr>
          <w:p w14:paraId="15A9E0E4" w14:textId="77777777" w:rsidR="00922711" w:rsidRPr="00597C47" w:rsidRDefault="00922711" w:rsidP="00E37494">
            <w:pPr>
              <w:rPr>
                <w:rFonts w:ascii="Arial" w:hAnsi="Arial" w:cs="Arial"/>
              </w:rPr>
            </w:pPr>
            <w:r w:rsidRPr="00597C47">
              <w:rPr>
                <w:rFonts w:ascii="Arial" w:hAnsi="Arial" w:cs="Arial"/>
              </w:rPr>
              <w:t>CCG</w:t>
            </w:r>
          </w:p>
        </w:tc>
        <w:tc>
          <w:tcPr>
            <w:tcW w:w="7345" w:type="dxa"/>
          </w:tcPr>
          <w:p w14:paraId="312541AD" w14:textId="77777777" w:rsidR="00922711" w:rsidRPr="00597C47" w:rsidRDefault="00922711" w:rsidP="00E37494">
            <w:pPr>
              <w:cnfStyle w:val="000000100000" w:firstRow="0" w:lastRow="0" w:firstColumn="0" w:lastColumn="0" w:oddVBand="0" w:evenVBand="0" w:oddHBand="1" w:evenHBand="0" w:firstRowFirstColumn="0" w:firstRowLastColumn="0" w:lastRowFirstColumn="0" w:lastRowLastColumn="0"/>
              <w:rPr>
                <w:rFonts w:ascii="Arial" w:hAnsi="Arial" w:cs="Arial"/>
                <w:lang w:val="it-IT"/>
              </w:rPr>
            </w:pPr>
            <w:proofErr w:type="spellStart"/>
            <w:r w:rsidRPr="00B8569D">
              <w:rPr>
                <w:rFonts w:ascii="Arial" w:hAnsi="Arial" w:cs="Arial"/>
                <w:lang w:val="es-ES"/>
              </w:rPr>
              <w:t>Cassa</w:t>
            </w:r>
            <w:proofErr w:type="spellEnd"/>
            <w:r w:rsidRPr="00B8569D">
              <w:rPr>
                <w:rFonts w:ascii="Arial" w:hAnsi="Arial" w:cs="Arial"/>
                <w:lang w:val="es-ES"/>
              </w:rPr>
              <w:t xml:space="preserve"> di </w:t>
            </w:r>
            <w:proofErr w:type="spellStart"/>
            <w:r w:rsidRPr="00B8569D">
              <w:rPr>
                <w:rFonts w:ascii="Arial" w:hAnsi="Arial" w:cs="Arial"/>
                <w:lang w:val="es-ES"/>
              </w:rPr>
              <w:t>Compensazione</w:t>
            </w:r>
            <w:proofErr w:type="spellEnd"/>
            <w:r w:rsidRPr="00B8569D">
              <w:rPr>
                <w:rFonts w:ascii="Arial" w:hAnsi="Arial" w:cs="Arial"/>
                <w:lang w:val="es-ES"/>
              </w:rPr>
              <w:t xml:space="preserve"> e </w:t>
            </w:r>
            <w:proofErr w:type="spellStart"/>
            <w:r w:rsidRPr="00B8569D">
              <w:rPr>
                <w:rFonts w:ascii="Arial" w:hAnsi="Arial" w:cs="Arial"/>
                <w:lang w:val="es-ES"/>
              </w:rPr>
              <w:t>Garanzia</w:t>
            </w:r>
            <w:proofErr w:type="spellEnd"/>
            <w:r w:rsidRPr="00B8569D">
              <w:rPr>
                <w:rFonts w:ascii="Arial" w:hAnsi="Arial" w:cs="Arial"/>
                <w:lang w:val="es-ES"/>
              </w:rPr>
              <w:t xml:space="preserve"> </w:t>
            </w:r>
            <w:proofErr w:type="spellStart"/>
            <w:r w:rsidRPr="00B8569D">
              <w:rPr>
                <w:rFonts w:ascii="Arial" w:hAnsi="Arial" w:cs="Arial"/>
                <w:lang w:val="es-ES"/>
              </w:rPr>
              <w:t>S.p.A</w:t>
            </w:r>
            <w:proofErr w:type="spellEnd"/>
            <w:r w:rsidRPr="00B8569D">
              <w:rPr>
                <w:rFonts w:ascii="Arial" w:hAnsi="Arial" w:cs="Arial"/>
                <w:lang w:val="es-ES"/>
              </w:rPr>
              <w:t>.</w:t>
            </w:r>
          </w:p>
        </w:tc>
      </w:tr>
      <w:tr w:rsidR="00922711" w:rsidRPr="00B8569D" w14:paraId="26D929BA" w14:textId="77777777" w:rsidTr="00E37494">
        <w:tc>
          <w:tcPr>
            <w:cnfStyle w:val="001000000000" w:firstRow="0" w:lastRow="0" w:firstColumn="1" w:lastColumn="0" w:oddVBand="0" w:evenVBand="0" w:oddHBand="0" w:evenHBand="0" w:firstRowFirstColumn="0" w:firstRowLastColumn="0" w:lastRowFirstColumn="0" w:lastRowLastColumn="0"/>
            <w:tcW w:w="1439" w:type="dxa"/>
          </w:tcPr>
          <w:p w14:paraId="4FA4AB32" w14:textId="77777777" w:rsidR="00922711" w:rsidRPr="00597C47" w:rsidRDefault="00922711" w:rsidP="00E37494">
            <w:pPr>
              <w:rPr>
                <w:rFonts w:ascii="Arial" w:hAnsi="Arial" w:cs="Arial"/>
              </w:rPr>
            </w:pPr>
            <w:r w:rsidRPr="00597C47">
              <w:rPr>
                <w:rFonts w:ascii="Arial" w:hAnsi="Arial" w:cs="Arial"/>
              </w:rPr>
              <w:t>CCPA</w:t>
            </w:r>
          </w:p>
        </w:tc>
        <w:tc>
          <w:tcPr>
            <w:tcW w:w="7345" w:type="dxa"/>
          </w:tcPr>
          <w:p w14:paraId="7B487C65" w14:textId="77777777" w:rsidR="00922711" w:rsidRPr="00597C47" w:rsidRDefault="00922711" w:rsidP="00E37494">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597C47">
              <w:rPr>
                <w:rFonts w:ascii="Arial" w:eastAsia="Times New Roman" w:hAnsi="Arial" w:cs="Arial"/>
                <w:lang w:val="de-DE" w:eastAsia="en-GB"/>
              </w:rPr>
              <w:t>CCP Austria Abwicklungsstelle für Börsengeschäfte GmbH</w:t>
            </w:r>
          </w:p>
        </w:tc>
      </w:tr>
      <w:tr w:rsidR="00922711" w:rsidRPr="00597C47" w14:paraId="20C84404" w14:textId="77777777" w:rsidTr="00E374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9" w:type="dxa"/>
          </w:tcPr>
          <w:p w14:paraId="742281EF" w14:textId="77777777" w:rsidR="00922711" w:rsidRPr="00597C47" w:rsidRDefault="00922711" w:rsidP="00E37494">
            <w:pPr>
              <w:rPr>
                <w:rFonts w:ascii="Arial" w:hAnsi="Arial" w:cs="Arial"/>
              </w:rPr>
            </w:pPr>
            <w:r w:rsidRPr="00597C47">
              <w:rPr>
                <w:rFonts w:ascii="Arial" w:hAnsi="Arial" w:cs="Arial"/>
              </w:rPr>
              <w:t>ECC</w:t>
            </w:r>
          </w:p>
        </w:tc>
        <w:tc>
          <w:tcPr>
            <w:tcW w:w="7345" w:type="dxa"/>
          </w:tcPr>
          <w:p w14:paraId="6ADFA4F5" w14:textId="77777777" w:rsidR="00922711" w:rsidRPr="00597C47" w:rsidRDefault="00922711" w:rsidP="00E37494">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597C47">
              <w:rPr>
                <w:rFonts w:ascii="Arial" w:hAnsi="Arial" w:cs="Arial"/>
                <w:lang w:val="de-DE"/>
              </w:rPr>
              <w:t>European Commodity Clearing</w:t>
            </w:r>
          </w:p>
        </w:tc>
      </w:tr>
      <w:tr w:rsidR="00922711" w:rsidRPr="00597C47" w14:paraId="1F2F7210" w14:textId="77777777" w:rsidTr="00E37494">
        <w:tc>
          <w:tcPr>
            <w:cnfStyle w:val="001000000000" w:firstRow="0" w:lastRow="0" w:firstColumn="1" w:lastColumn="0" w:oddVBand="0" w:evenVBand="0" w:oddHBand="0" w:evenHBand="0" w:firstRowFirstColumn="0" w:firstRowLastColumn="0" w:lastRowFirstColumn="0" w:lastRowLastColumn="0"/>
            <w:tcW w:w="1439" w:type="dxa"/>
          </w:tcPr>
          <w:p w14:paraId="3DE60E6B" w14:textId="77777777" w:rsidR="00922711" w:rsidRPr="00597C47" w:rsidRDefault="00922711" w:rsidP="00E37494">
            <w:pPr>
              <w:rPr>
                <w:rFonts w:ascii="Arial" w:hAnsi="Arial" w:cs="Arial"/>
              </w:rPr>
            </w:pPr>
            <w:r w:rsidRPr="00597C47">
              <w:rPr>
                <w:rFonts w:ascii="Arial" w:hAnsi="Arial" w:cs="Arial"/>
              </w:rPr>
              <w:t>ECAG</w:t>
            </w:r>
          </w:p>
        </w:tc>
        <w:tc>
          <w:tcPr>
            <w:tcW w:w="7345" w:type="dxa"/>
          </w:tcPr>
          <w:p w14:paraId="3DC3E4DB" w14:textId="77777777" w:rsidR="00922711" w:rsidRPr="00597C47" w:rsidRDefault="00922711" w:rsidP="00E37494">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597C47">
              <w:rPr>
                <w:rFonts w:ascii="Arial" w:hAnsi="Arial" w:cs="Arial"/>
                <w:lang w:val="de-DE"/>
              </w:rPr>
              <w:t>Eurex Clearing AG</w:t>
            </w:r>
          </w:p>
        </w:tc>
      </w:tr>
      <w:tr w:rsidR="00922711" w:rsidRPr="00597C47" w14:paraId="0BA4A494" w14:textId="77777777" w:rsidTr="00E374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9" w:type="dxa"/>
          </w:tcPr>
          <w:p w14:paraId="7A3794BE" w14:textId="77777777" w:rsidR="00922711" w:rsidRPr="00597C47" w:rsidRDefault="00922711" w:rsidP="00E37494">
            <w:pPr>
              <w:rPr>
                <w:rFonts w:ascii="Arial" w:hAnsi="Arial" w:cs="Arial"/>
              </w:rPr>
            </w:pPr>
            <w:r w:rsidRPr="00597C47">
              <w:rPr>
                <w:rFonts w:ascii="Arial" w:hAnsi="Arial" w:cs="Arial"/>
              </w:rPr>
              <w:t>EUROCCP</w:t>
            </w:r>
          </w:p>
        </w:tc>
        <w:tc>
          <w:tcPr>
            <w:tcW w:w="7345" w:type="dxa"/>
          </w:tcPr>
          <w:p w14:paraId="4152416C" w14:textId="77777777" w:rsidR="00922711" w:rsidRPr="00597C47" w:rsidRDefault="00922711" w:rsidP="00E37494">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597C47">
              <w:rPr>
                <w:rFonts w:ascii="Arial" w:hAnsi="Arial" w:cs="Arial"/>
              </w:rPr>
              <w:t>European Central Counterparty N.V.</w:t>
            </w:r>
          </w:p>
        </w:tc>
      </w:tr>
      <w:tr w:rsidR="00922711" w:rsidRPr="00597C47" w14:paraId="35D60DEB" w14:textId="77777777" w:rsidTr="00E37494">
        <w:tc>
          <w:tcPr>
            <w:cnfStyle w:val="001000000000" w:firstRow="0" w:lastRow="0" w:firstColumn="1" w:lastColumn="0" w:oddVBand="0" w:evenVBand="0" w:oddHBand="0" w:evenHBand="0" w:firstRowFirstColumn="0" w:firstRowLastColumn="0" w:lastRowFirstColumn="0" w:lastRowLastColumn="0"/>
            <w:tcW w:w="1439" w:type="dxa"/>
          </w:tcPr>
          <w:p w14:paraId="464A7B29" w14:textId="77777777" w:rsidR="00922711" w:rsidRPr="00597C47" w:rsidRDefault="00922711" w:rsidP="00E37494">
            <w:pPr>
              <w:rPr>
                <w:rFonts w:ascii="Arial" w:hAnsi="Arial" w:cs="Arial"/>
              </w:rPr>
            </w:pPr>
            <w:r w:rsidRPr="00597C47">
              <w:rPr>
                <w:rFonts w:ascii="Arial" w:hAnsi="Arial" w:cs="Arial"/>
              </w:rPr>
              <w:t>ICEEU</w:t>
            </w:r>
          </w:p>
        </w:tc>
        <w:tc>
          <w:tcPr>
            <w:tcW w:w="7345" w:type="dxa"/>
          </w:tcPr>
          <w:p w14:paraId="3263B2FB" w14:textId="77777777" w:rsidR="00922711" w:rsidRPr="00597C47" w:rsidRDefault="00922711" w:rsidP="00E37494">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597C47">
              <w:rPr>
                <w:rFonts w:ascii="Arial" w:hAnsi="Arial" w:cs="Arial"/>
              </w:rPr>
              <w:t>ICE Clear Europe</w:t>
            </w:r>
          </w:p>
        </w:tc>
      </w:tr>
      <w:tr w:rsidR="00922711" w:rsidRPr="00597C47" w14:paraId="6416AD29" w14:textId="77777777" w:rsidTr="00E374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9" w:type="dxa"/>
          </w:tcPr>
          <w:p w14:paraId="6FE0B5D4" w14:textId="77777777" w:rsidR="00922711" w:rsidRPr="00597C47" w:rsidRDefault="00922711" w:rsidP="00E37494">
            <w:pPr>
              <w:rPr>
                <w:rFonts w:ascii="Arial" w:hAnsi="Arial" w:cs="Arial"/>
              </w:rPr>
            </w:pPr>
            <w:r w:rsidRPr="00597C47">
              <w:rPr>
                <w:rFonts w:ascii="Arial" w:hAnsi="Arial" w:cs="Arial"/>
              </w:rPr>
              <w:t>ICENL</w:t>
            </w:r>
          </w:p>
        </w:tc>
        <w:tc>
          <w:tcPr>
            <w:tcW w:w="7345" w:type="dxa"/>
          </w:tcPr>
          <w:p w14:paraId="1AAC6E78" w14:textId="77777777" w:rsidR="00922711" w:rsidRPr="00597C47" w:rsidRDefault="00922711" w:rsidP="00E37494">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597C47">
              <w:rPr>
                <w:rFonts w:ascii="Arial" w:hAnsi="Arial" w:cs="Arial"/>
              </w:rPr>
              <w:t>ICE Clear Netherlands B.V.</w:t>
            </w:r>
          </w:p>
        </w:tc>
      </w:tr>
      <w:tr w:rsidR="00922711" w:rsidRPr="00597C47" w14:paraId="459C5ADA" w14:textId="77777777" w:rsidTr="00E37494">
        <w:tc>
          <w:tcPr>
            <w:cnfStyle w:val="001000000000" w:firstRow="0" w:lastRow="0" w:firstColumn="1" w:lastColumn="0" w:oddVBand="0" w:evenVBand="0" w:oddHBand="0" w:evenHBand="0" w:firstRowFirstColumn="0" w:firstRowLastColumn="0" w:lastRowFirstColumn="0" w:lastRowLastColumn="0"/>
            <w:tcW w:w="1439" w:type="dxa"/>
          </w:tcPr>
          <w:p w14:paraId="54FDE73E" w14:textId="77777777" w:rsidR="00922711" w:rsidRPr="00597C47" w:rsidRDefault="00922711" w:rsidP="00E37494">
            <w:pPr>
              <w:rPr>
                <w:rFonts w:ascii="Arial" w:hAnsi="Arial" w:cs="Arial"/>
              </w:rPr>
            </w:pPr>
            <w:r w:rsidRPr="00597C47">
              <w:rPr>
                <w:rFonts w:ascii="Arial" w:hAnsi="Arial" w:cs="Arial"/>
              </w:rPr>
              <w:t>KDPW</w:t>
            </w:r>
          </w:p>
        </w:tc>
        <w:tc>
          <w:tcPr>
            <w:tcW w:w="7345" w:type="dxa"/>
          </w:tcPr>
          <w:p w14:paraId="2B9D1E33" w14:textId="77777777" w:rsidR="00922711" w:rsidRPr="00597C47" w:rsidRDefault="00922711" w:rsidP="00E37494">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597C47">
              <w:rPr>
                <w:rFonts w:ascii="Arial" w:hAnsi="Arial" w:cs="Arial"/>
              </w:rPr>
              <w:t>KDPW_CCP</w:t>
            </w:r>
          </w:p>
        </w:tc>
      </w:tr>
      <w:tr w:rsidR="00922711" w:rsidRPr="00597C47" w14:paraId="5F42D7AF" w14:textId="77777777" w:rsidTr="00E374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9" w:type="dxa"/>
          </w:tcPr>
          <w:p w14:paraId="1A562C3F" w14:textId="77777777" w:rsidR="00922711" w:rsidRPr="00597C47" w:rsidRDefault="00922711" w:rsidP="00E37494">
            <w:pPr>
              <w:rPr>
                <w:rFonts w:ascii="Arial" w:hAnsi="Arial" w:cs="Arial"/>
              </w:rPr>
            </w:pPr>
            <w:r w:rsidRPr="00597C47">
              <w:rPr>
                <w:rFonts w:ascii="Arial" w:hAnsi="Arial" w:cs="Arial"/>
              </w:rPr>
              <w:t>KELER</w:t>
            </w:r>
          </w:p>
        </w:tc>
        <w:tc>
          <w:tcPr>
            <w:tcW w:w="7345" w:type="dxa"/>
          </w:tcPr>
          <w:p w14:paraId="76EC3890" w14:textId="77777777" w:rsidR="00922711" w:rsidRPr="00597C47" w:rsidRDefault="00922711" w:rsidP="00E37494">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597C47">
              <w:rPr>
                <w:rFonts w:ascii="Arial" w:hAnsi="Arial" w:cs="Arial"/>
              </w:rPr>
              <w:t>Keler CCP</w:t>
            </w:r>
          </w:p>
        </w:tc>
      </w:tr>
      <w:tr w:rsidR="00922711" w:rsidRPr="00597C47" w14:paraId="75764BB2" w14:textId="77777777" w:rsidTr="00E37494">
        <w:tc>
          <w:tcPr>
            <w:cnfStyle w:val="001000000000" w:firstRow="0" w:lastRow="0" w:firstColumn="1" w:lastColumn="0" w:oddVBand="0" w:evenVBand="0" w:oddHBand="0" w:evenHBand="0" w:firstRowFirstColumn="0" w:firstRowLastColumn="0" w:lastRowFirstColumn="0" w:lastRowLastColumn="0"/>
            <w:tcW w:w="1439" w:type="dxa"/>
          </w:tcPr>
          <w:p w14:paraId="225939A8" w14:textId="77777777" w:rsidR="00922711" w:rsidRPr="00597C47" w:rsidRDefault="00922711" w:rsidP="00E37494">
            <w:pPr>
              <w:rPr>
                <w:rFonts w:ascii="Arial" w:hAnsi="Arial" w:cs="Arial"/>
              </w:rPr>
            </w:pPr>
            <w:r w:rsidRPr="00597C47">
              <w:rPr>
                <w:rFonts w:ascii="Arial" w:hAnsi="Arial" w:cs="Arial"/>
              </w:rPr>
              <w:t>LCHSA</w:t>
            </w:r>
          </w:p>
        </w:tc>
        <w:tc>
          <w:tcPr>
            <w:tcW w:w="7345" w:type="dxa"/>
          </w:tcPr>
          <w:p w14:paraId="540596C8" w14:textId="77777777" w:rsidR="00922711" w:rsidRPr="00597C47" w:rsidRDefault="00922711" w:rsidP="00E37494">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597C47">
              <w:rPr>
                <w:rFonts w:ascii="Arial" w:hAnsi="Arial" w:cs="Arial"/>
              </w:rPr>
              <w:t>LCH.Clearnet SA</w:t>
            </w:r>
          </w:p>
        </w:tc>
      </w:tr>
      <w:tr w:rsidR="00922711" w:rsidRPr="00597C47" w14:paraId="09FEB8D9" w14:textId="77777777" w:rsidTr="00E374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9" w:type="dxa"/>
          </w:tcPr>
          <w:p w14:paraId="5642F216" w14:textId="77777777" w:rsidR="00922711" w:rsidRPr="00597C47" w:rsidRDefault="00922711" w:rsidP="00E37494">
            <w:pPr>
              <w:rPr>
                <w:rFonts w:ascii="Arial" w:hAnsi="Arial" w:cs="Arial"/>
              </w:rPr>
            </w:pPr>
            <w:r w:rsidRPr="00597C47">
              <w:rPr>
                <w:rFonts w:ascii="Arial" w:hAnsi="Arial" w:cs="Arial"/>
              </w:rPr>
              <w:t>LCHUK</w:t>
            </w:r>
          </w:p>
        </w:tc>
        <w:tc>
          <w:tcPr>
            <w:tcW w:w="7345" w:type="dxa"/>
          </w:tcPr>
          <w:p w14:paraId="614E0ABC" w14:textId="77777777" w:rsidR="00922711" w:rsidRPr="00597C47" w:rsidRDefault="00922711" w:rsidP="00E37494">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597C47">
              <w:rPr>
                <w:rFonts w:ascii="Arial" w:hAnsi="Arial" w:cs="Arial"/>
              </w:rPr>
              <w:t>LCH.Clearnet Ltd</w:t>
            </w:r>
          </w:p>
        </w:tc>
      </w:tr>
      <w:tr w:rsidR="00922711" w:rsidRPr="00597C47" w14:paraId="13D4B981" w14:textId="77777777" w:rsidTr="00E37494">
        <w:tc>
          <w:tcPr>
            <w:cnfStyle w:val="001000000000" w:firstRow="0" w:lastRow="0" w:firstColumn="1" w:lastColumn="0" w:oddVBand="0" w:evenVBand="0" w:oddHBand="0" w:evenHBand="0" w:firstRowFirstColumn="0" w:firstRowLastColumn="0" w:lastRowFirstColumn="0" w:lastRowLastColumn="0"/>
            <w:tcW w:w="1439" w:type="dxa"/>
          </w:tcPr>
          <w:p w14:paraId="0C061B8D" w14:textId="77777777" w:rsidR="00922711" w:rsidRPr="00597C47" w:rsidRDefault="00922711" w:rsidP="00E37494">
            <w:pPr>
              <w:rPr>
                <w:rFonts w:ascii="Arial" w:hAnsi="Arial" w:cs="Arial"/>
              </w:rPr>
            </w:pPr>
            <w:r w:rsidRPr="00597C47">
              <w:rPr>
                <w:rFonts w:ascii="Arial" w:hAnsi="Arial" w:cs="Arial"/>
              </w:rPr>
              <w:t>LME</w:t>
            </w:r>
          </w:p>
        </w:tc>
        <w:tc>
          <w:tcPr>
            <w:tcW w:w="7345" w:type="dxa"/>
          </w:tcPr>
          <w:p w14:paraId="615BA4F8" w14:textId="77777777" w:rsidR="00922711" w:rsidRPr="00597C47" w:rsidRDefault="00922711" w:rsidP="00E37494">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597C47">
              <w:rPr>
                <w:rFonts w:ascii="Arial" w:hAnsi="Arial" w:cs="Arial"/>
              </w:rPr>
              <w:t>LME Clear Ltd</w:t>
            </w:r>
          </w:p>
        </w:tc>
      </w:tr>
      <w:tr w:rsidR="00922711" w:rsidRPr="00597C47" w14:paraId="0390461D" w14:textId="77777777" w:rsidTr="00E374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9" w:type="dxa"/>
          </w:tcPr>
          <w:p w14:paraId="62DD438E" w14:textId="77777777" w:rsidR="00922711" w:rsidRPr="00597C47" w:rsidRDefault="00922711" w:rsidP="00E37494">
            <w:pPr>
              <w:rPr>
                <w:rFonts w:ascii="Arial" w:hAnsi="Arial" w:cs="Arial"/>
              </w:rPr>
            </w:pPr>
            <w:r w:rsidRPr="00597C47">
              <w:rPr>
                <w:rFonts w:ascii="Arial" w:hAnsi="Arial" w:cs="Arial"/>
              </w:rPr>
              <w:t>NASDAQ</w:t>
            </w:r>
          </w:p>
        </w:tc>
        <w:tc>
          <w:tcPr>
            <w:tcW w:w="7345" w:type="dxa"/>
          </w:tcPr>
          <w:p w14:paraId="5D75998B" w14:textId="77777777" w:rsidR="00922711" w:rsidRPr="00597C47" w:rsidRDefault="00922711" w:rsidP="00E37494">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597C47">
              <w:rPr>
                <w:rFonts w:ascii="Arial" w:hAnsi="Arial" w:cs="Arial"/>
              </w:rPr>
              <w:t>Nasdaq OMX Clearing AB</w:t>
            </w:r>
          </w:p>
        </w:tc>
      </w:tr>
      <w:tr w:rsidR="00922711" w:rsidRPr="00597C47" w14:paraId="1E8353C9" w14:textId="77777777" w:rsidTr="00E37494">
        <w:tc>
          <w:tcPr>
            <w:cnfStyle w:val="001000000000" w:firstRow="0" w:lastRow="0" w:firstColumn="1" w:lastColumn="0" w:oddVBand="0" w:evenVBand="0" w:oddHBand="0" w:evenHBand="0" w:firstRowFirstColumn="0" w:firstRowLastColumn="0" w:lastRowFirstColumn="0" w:lastRowLastColumn="0"/>
            <w:tcW w:w="1439" w:type="dxa"/>
          </w:tcPr>
          <w:p w14:paraId="50DE6721" w14:textId="77777777" w:rsidR="00922711" w:rsidRPr="00597C47" w:rsidRDefault="00922711" w:rsidP="00E37494">
            <w:pPr>
              <w:rPr>
                <w:rFonts w:ascii="Arial" w:hAnsi="Arial" w:cs="Arial"/>
              </w:rPr>
            </w:pPr>
            <w:r w:rsidRPr="00597C47">
              <w:rPr>
                <w:rFonts w:ascii="Arial" w:hAnsi="Arial" w:cs="Arial"/>
              </w:rPr>
              <w:t>OMI</w:t>
            </w:r>
          </w:p>
        </w:tc>
        <w:tc>
          <w:tcPr>
            <w:tcW w:w="7345" w:type="dxa"/>
          </w:tcPr>
          <w:p w14:paraId="7F273759" w14:textId="77777777" w:rsidR="00922711" w:rsidRPr="00597C47" w:rsidRDefault="00922711" w:rsidP="00E37494">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597C47">
              <w:rPr>
                <w:rFonts w:ascii="Arial" w:hAnsi="Arial" w:cs="Arial"/>
              </w:rPr>
              <w:t>OMIClear – C.C., S.A.</w:t>
            </w:r>
          </w:p>
        </w:tc>
      </w:tr>
    </w:tbl>
    <w:p w14:paraId="52D6DD59" w14:textId="77777777" w:rsidR="00B30BA6" w:rsidRDefault="00B30BA6" w:rsidP="00B30BA6">
      <w:pPr>
        <w:suppressAutoHyphens/>
        <w:spacing w:line="360" w:lineRule="auto"/>
        <w:jc w:val="both"/>
        <w:rPr>
          <w:rFonts w:ascii="Arial" w:hAnsi="Arial" w:cs="Arial"/>
          <w:b/>
        </w:rPr>
      </w:pPr>
    </w:p>
    <w:p w14:paraId="22E5C81F" w14:textId="41001B70" w:rsidR="00B30BA6" w:rsidRPr="00597C47" w:rsidRDefault="00B30BA6" w:rsidP="00B30BA6">
      <w:pPr>
        <w:suppressAutoHyphens/>
        <w:spacing w:line="360" w:lineRule="auto"/>
        <w:jc w:val="both"/>
        <w:rPr>
          <w:rFonts w:ascii="Arial" w:hAnsi="Arial" w:cs="Arial"/>
          <w:b/>
        </w:rPr>
      </w:pPr>
      <w:r>
        <w:rPr>
          <w:rFonts w:ascii="Arial" w:hAnsi="Arial" w:cs="Arial"/>
          <w:b/>
        </w:rPr>
        <w:lastRenderedPageBreak/>
        <w:t>W</w:t>
      </w:r>
      <w:r w:rsidRPr="00597C47">
        <w:rPr>
          <w:rFonts w:ascii="Arial" w:hAnsi="Arial" w:cs="Arial"/>
          <w:b/>
        </w:rPr>
        <w:t xml:space="preserve">ho uses </w:t>
      </w:r>
      <w:r>
        <w:rPr>
          <w:rFonts w:ascii="Arial" w:hAnsi="Arial" w:cs="Arial"/>
          <w:b/>
        </w:rPr>
        <w:t>CCPs</w:t>
      </w:r>
      <w:r w:rsidRPr="00597C47">
        <w:rPr>
          <w:rFonts w:ascii="Arial" w:hAnsi="Arial" w:cs="Arial"/>
          <w:b/>
        </w:rPr>
        <w:t>?</w:t>
      </w:r>
    </w:p>
    <w:p w14:paraId="643B2500" w14:textId="5882483F" w:rsidR="00B30BA6" w:rsidRPr="00597C47" w:rsidRDefault="00B30BA6" w:rsidP="00B30BA6">
      <w:pPr>
        <w:suppressAutoHyphens/>
        <w:spacing w:line="360" w:lineRule="auto"/>
        <w:jc w:val="both"/>
        <w:rPr>
          <w:rFonts w:ascii="Arial" w:hAnsi="Arial" w:cs="Arial"/>
          <w:szCs w:val="22"/>
        </w:rPr>
      </w:pPr>
      <w:r w:rsidRPr="00597C47">
        <w:rPr>
          <w:rFonts w:ascii="Arial" w:hAnsi="Arial" w:cs="Arial"/>
        </w:rPr>
        <w:t xml:space="preserve">The CCPs </w:t>
      </w:r>
      <w:r>
        <w:rPr>
          <w:rFonts w:ascii="Arial" w:hAnsi="Arial" w:cs="Arial"/>
        </w:rPr>
        <w:t xml:space="preserve">included in the exercise </w:t>
      </w:r>
      <w:r w:rsidRPr="00597C47">
        <w:rPr>
          <w:rFonts w:ascii="Arial" w:hAnsi="Arial" w:cs="Arial"/>
        </w:rPr>
        <w:t xml:space="preserve">have </w:t>
      </w:r>
      <w:r>
        <w:rPr>
          <w:rFonts w:ascii="Arial" w:hAnsi="Arial" w:cs="Arial"/>
        </w:rPr>
        <w:t>close to</w:t>
      </w:r>
      <w:r w:rsidRPr="00597C47">
        <w:rPr>
          <w:rFonts w:ascii="Arial" w:hAnsi="Arial" w:cs="Arial"/>
        </w:rPr>
        <w:t xml:space="preserve"> </w:t>
      </w:r>
      <w:r>
        <w:rPr>
          <w:rFonts w:ascii="Arial" w:hAnsi="Arial" w:cs="Arial"/>
        </w:rPr>
        <w:t>800</w:t>
      </w:r>
      <w:r w:rsidRPr="00597C47">
        <w:rPr>
          <w:rFonts w:ascii="Arial" w:hAnsi="Arial" w:cs="Arial"/>
        </w:rPr>
        <w:t xml:space="preserve"> Clearing Members (CMs), which can also include multiple entities belonging to one group structure. </w:t>
      </w:r>
      <w:r w:rsidRPr="00597C47">
        <w:rPr>
          <w:rFonts w:ascii="Arial" w:hAnsi="Arial" w:cs="Arial"/>
          <w:szCs w:val="22"/>
        </w:rPr>
        <w:t xml:space="preserve">CCPs are mostly used by financial counterparties such as banks and investment firms. </w:t>
      </w:r>
    </w:p>
    <w:p w14:paraId="762FD803" w14:textId="77777777" w:rsidR="005C0CA3" w:rsidRPr="00597C47" w:rsidRDefault="005C0CA3" w:rsidP="00E00180">
      <w:pPr>
        <w:suppressAutoHyphens/>
        <w:spacing w:line="360" w:lineRule="auto"/>
        <w:jc w:val="both"/>
        <w:rPr>
          <w:rFonts w:ascii="Arial" w:hAnsi="Arial" w:cs="Arial"/>
          <w:b/>
          <w:szCs w:val="22"/>
        </w:rPr>
      </w:pPr>
    </w:p>
    <w:p w14:paraId="762FD804" w14:textId="558D6D88" w:rsidR="004A639F" w:rsidRPr="00597C47" w:rsidRDefault="004A639F" w:rsidP="004A639F">
      <w:pPr>
        <w:suppressAutoHyphens/>
        <w:spacing w:line="360" w:lineRule="auto"/>
        <w:jc w:val="both"/>
        <w:rPr>
          <w:rFonts w:ascii="Arial" w:hAnsi="Arial" w:cs="Arial"/>
          <w:b/>
          <w:szCs w:val="22"/>
        </w:rPr>
      </w:pPr>
      <w:r w:rsidRPr="00597C47">
        <w:rPr>
          <w:rFonts w:ascii="Arial" w:hAnsi="Arial" w:cs="Arial"/>
          <w:b/>
          <w:szCs w:val="22"/>
        </w:rPr>
        <w:t>Why is ESMA conducting thes</w:t>
      </w:r>
      <w:r w:rsidR="005C0CA3" w:rsidRPr="00597C47">
        <w:rPr>
          <w:rFonts w:ascii="Arial" w:hAnsi="Arial" w:cs="Arial"/>
          <w:b/>
          <w:szCs w:val="22"/>
        </w:rPr>
        <w:t xml:space="preserve">e tests? </w:t>
      </w:r>
      <w:r w:rsidR="00376E1A" w:rsidRPr="00597C47">
        <w:rPr>
          <w:rFonts w:ascii="Arial" w:hAnsi="Arial" w:cs="Arial"/>
          <w:b/>
          <w:szCs w:val="22"/>
        </w:rPr>
        <w:t>Why a</w:t>
      </w:r>
      <w:r w:rsidR="005C0CA3" w:rsidRPr="00597C47">
        <w:rPr>
          <w:rFonts w:ascii="Arial" w:hAnsi="Arial" w:cs="Arial"/>
          <w:b/>
          <w:szCs w:val="22"/>
        </w:rPr>
        <w:t>re CCPs risky?</w:t>
      </w:r>
      <w:r w:rsidRPr="00597C47">
        <w:rPr>
          <w:rFonts w:ascii="Arial" w:hAnsi="Arial" w:cs="Arial"/>
          <w:b/>
          <w:szCs w:val="22"/>
        </w:rPr>
        <w:t xml:space="preserve"> </w:t>
      </w:r>
    </w:p>
    <w:p w14:paraId="762FD805" w14:textId="56B2BD99" w:rsidR="00CE45D0" w:rsidRPr="00597C47" w:rsidRDefault="00CE45D0" w:rsidP="005C0CA3">
      <w:pPr>
        <w:suppressAutoHyphens/>
        <w:spacing w:line="360" w:lineRule="auto"/>
        <w:jc w:val="both"/>
        <w:rPr>
          <w:rFonts w:ascii="Arial" w:hAnsi="Arial" w:cs="Arial"/>
          <w:szCs w:val="22"/>
        </w:rPr>
      </w:pPr>
      <w:r w:rsidRPr="00597C47">
        <w:rPr>
          <w:rFonts w:ascii="Arial" w:hAnsi="Arial" w:cs="Arial"/>
          <w:szCs w:val="22"/>
        </w:rPr>
        <w:t xml:space="preserve">CCPs are connected to financial firms and the markets, both locally and globally, which makes them exposed </w:t>
      </w:r>
      <w:r w:rsidR="002964A7" w:rsidRPr="00597C47">
        <w:rPr>
          <w:rFonts w:ascii="Arial" w:hAnsi="Arial" w:cs="Arial"/>
          <w:szCs w:val="22"/>
        </w:rPr>
        <w:t>to and a potential source of</w:t>
      </w:r>
      <w:r w:rsidRPr="00597C47">
        <w:rPr>
          <w:rFonts w:ascii="Arial" w:hAnsi="Arial" w:cs="Arial"/>
          <w:szCs w:val="22"/>
        </w:rPr>
        <w:t xml:space="preserve"> systemic risk. Given the systemic importance of CCPs, assessing their resilience is important to ensure sound and safe market infrastructures. Stress testing CCP</w:t>
      </w:r>
      <w:r w:rsidR="003E5E52">
        <w:rPr>
          <w:rFonts w:ascii="Arial" w:hAnsi="Arial" w:cs="Arial"/>
          <w:szCs w:val="22"/>
        </w:rPr>
        <w:t>s</w:t>
      </w:r>
      <w:r w:rsidRPr="00597C47">
        <w:rPr>
          <w:rFonts w:ascii="Arial" w:hAnsi="Arial" w:cs="Arial"/>
          <w:szCs w:val="22"/>
        </w:rPr>
        <w:t>’ default waterfall</w:t>
      </w:r>
      <w:r w:rsidR="00922711" w:rsidRPr="00597C47">
        <w:rPr>
          <w:rFonts w:ascii="Arial" w:hAnsi="Arial" w:cs="Arial"/>
          <w:szCs w:val="22"/>
        </w:rPr>
        <w:t>s,</w:t>
      </w:r>
      <w:r w:rsidRPr="00597C47">
        <w:rPr>
          <w:rFonts w:ascii="Arial" w:hAnsi="Arial" w:cs="Arial"/>
          <w:szCs w:val="22"/>
        </w:rPr>
        <w:t xml:space="preserve"> both individually and EU-wide</w:t>
      </w:r>
      <w:r w:rsidR="00922711" w:rsidRPr="00597C47">
        <w:rPr>
          <w:rFonts w:ascii="Arial" w:hAnsi="Arial" w:cs="Arial"/>
          <w:szCs w:val="22"/>
        </w:rPr>
        <w:t>,</w:t>
      </w:r>
      <w:r w:rsidRPr="00597C47">
        <w:rPr>
          <w:rFonts w:ascii="Arial" w:hAnsi="Arial" w:cs="Arial"/>
          <w:szCs w:val="22"/>
        </w:rPr>
        <w:t xml:space="preserve"> is an important supervisory tool to ensure the sector is safe and resilient to member defaults and market shocks.</w:t>
      </w:r>
    </w:p>
    <w:p w14:paraId="762FD806" w14:textId="5E132991" w:rsidR="00AB1E3C" w:rsidRPr="00597C47" w:rsidRDefault="00AB1E3C" w:rsidP="00AB1E3C">
      <w:pPr>
        <w:suppressAutoHyphens/>
        <w:spacing w:line="360" w:lineRule="auto"/>
        <w:jc w:val="both"/>
        <w:rPr>
          <w:rFonts w:ascii="Arial" w:hAnsi="Arial" w:cs="Arial"/>
          <w:b/>
          <w:szCs w:val="22"/>
        </w:rPr>
      </w:pPr>
    </w:p>
    <w:p w14:paraId="202E8714" w14:textId="33E1566F" w:rsidR="00F35F63" w:rsidRPr="00597C47" w:rsidRDefault="00376E1A" w:rsidP="00AB1E3C">
      <w:pPr>
        <w:suppressAutoHyphens/>
        <w:spacing w:line="360" w:lineRule="auto"/>
        <w:jc w:val="both"/>
        <w:rPr>
          <w:rFonts w:ascii="Arial" w:hAnsi="Arial" w:cs="Arial"/>
          <w:b/>
          <w:szCs w:val="22"/>
        </w:rPr>
      </w:pPr>
      <w:r w:rsidRPr="00597C47">
        <w:rPr>
          <w:rFonts w:ascii="Arial" w:hAnsi="Arial" w:cs="Arial"/>
          <w:b/>
          <w:szCs w:val="22"/>
        </w:rPr>
        <w:t>Are ESMA’s CCP stress tests similar to the ones of</w:t>
      </w:r>
      <w:r w:rsidR="00F35F63" w:rsidRPr="00597C47">
        <w:rPr>
          <w:rFonts w:ascii="Arial" w:hAnsi="Arial" w:cs="Arial"/>
          <w:b/>
          <w:szCs w:val="22"/>
        </w:rPr>
        <w:t xml:space="preserve"> EBA</w:t>
      </w:r>
      <w:r w:rsidRPr="00597C47">
        <w:rPr>
          <w:rFonts w:ascii="Arial" w:hAnsi="Arial" w:cs="Arial"/>
          <w:b/>
          <w:szCs w:val="22"/>
        </w:rPr>
        <w:t xml:space="preserve"> and</w:t>
      </w:r>
      <w:r w:rsidR="00F35F63" w:rsidRPr="00597C47">
        <w:rPr>
          <w:rFonts w:ascii="Arial" w:hAnsi="Arial" w:cs="Arial"/>
          <w:b/>
          <w:szCs w:val="22"/>
        </w:rPr>
        <w:t xml:space="preserve"> EIOPA</w:t>
      </w:r>
      <w:r w:rsidRPr="00597C47">
        <w:rPr>
          <w:rFonts w:ascii="Arial" w:hAnsi="Arial" w:cs="Arial"/>
          <w:b/>
          <w:szCs w:val="22"/>
        </w:rPr>
        <w:t>?</w:t>
      </w:r>
    </w:p>
    <w:p w14:paraId="314829D5" w14:textId="36BFB510" w:rsidR="00F35F63" w:rsidRPr="00597C47" w:rsidRDefault="00376E1A" w:rsidP="00AB1E3C">
      <w:pPr>
        <w:suppressAutoHyphens/>
        <w:spacing w:line="360" w:lineRule="auto"/>
        <w:jc w:val="both"/>
        <w:rPr>
          <w:rFonts w:ascii="Arial" w:hAnsi="Arial" w:cs="Arial"/>
          <w:b/>
          <w:szCs w:val="22"/>
        </w:rPr>
      </w:pPr>
      <w:r w:rsidRPr="00597C47">
        <w:rPr>
          <w:rFonts w:ascii="Arial" w:hAnsi="Arial" w:cs="Arial"/>
          <w:szCs w:val="22"/>
        </w:rPr>
        <w:t xml:space="preserve">The common aim of such tests in general is to assess the resilience of financial institutions to adverse market developments, as well as to contribute to the overall assessment of systemic risk in the EU financial system. Even if the overall aim of the stress tests </w:t>
      </w:r>
      <w:r w:rsidR="007441E1">
        <w:rPr>
          <w:rFonts w:ascii="Arial" w:hAnsi="Arial" w:cs="Arial"/>
          <w:szCs w:val="22"/>
        </w:rPr>
        <w:t>is</w:t>
      </w:r>
      <w:r w:rsidR="007441E1" w:rsidRPr="00597C47">
        <w:rPr>
          <w:rFonts w:ascii="Arial" w:hAnsi="Arial" w:cs="Arial"/>
          <w:szCs w:val="22"/>
        </w:rPr>
        <w:t xml:space="preserve"> </w:t>
      </w:r>
      <w:r w:rsidRPr="00597C47">
        <w:rPr>
          <w:rFonts w:ascii="Arial" w:hAnsi="Arial" w:cs="Arial"/>
          <w:szCs w:val="22"/>
        </w:rPr>
        <w:t>the same, there a</w:t>
      </w:r>
      <w:r w:rsidR="007441E1">
        <w:rPr>
          <w:rFonts w:ascii="Arial" w:hAnsi="Arial" w:cs="Arial"/>
          <w:szCs w:val="22"/>
        </w:rPr>
        <w:t>re</w:t>
      </w:r>
      <w:r w:rsidRPr="00597C47">
        <w:rPr>
          <w:rFonts w:ascii="Arial" w:hAnsi="Arial" w:cs="Arial"/>
          <w:szCs w:val="22"/>
        </w:rPr>
        <w:t xml:space="preserve"> differences between the three stress tests exercises due </w:t>
      </w:r>
      <w:r w:rsidR="007441E1">
        <w:rPr>
          <w:rFonts w:ascii="Arial" w:hAnsi="Arial" w:cs="Arial"/>
          <w:szCs w:val="22"/>
        </w:rPr>
        <w:t xml:space="preserve">to </w:t>
      </w:r>
      <w:r w:rsidR="0022273B">
        <w:rPr>
          <w:rFonts w:ascii="Arial" w:hAnsi="Arial" w:cs="Arial"/>
          <w:szCs w:val="22"/>
        </w:rPr>
        <w:t xml:space="preserve">the </w:t>
      </w:r>
      <w:r w:rsidRPr="00597C47">
        <w:rPr>
          <w:rFonts w:ascii="Arial" w:hAnsi="Arial" w:cs="Arial"/>
          <w:szCs w:val="22"/>
        </w:rPr>
        <w:t>types of businesses</w:t>
      </w:r>
      <w:r w:rsidR="00341807">
        <w:rPr>
          <w:rFonts w:ascii="Arial" w:hAnsi="Arial" w:cs="Arial"/>
          <w:szCs w:val="22"/>
        </w:rPr>
        <w:t xml:space="preserve"> and different risks faced by </w:t>
      </w:r>
      <w:r w:rsidRPr="00597C47">
        <w:rPr>
          <w:rFonts w:ascii="Arial" w:hAnsi="Arial" w:cs="Arial"/>
          <w:szCs w:val="22"/>
        </w:rPr>
        <w:t xml:space="preserve">CCPs </w:t>
      </w:r>
      <w:r w:rsidR="00341807">
        <w:rPr>
          <w:rFonts w:ascii="Arial" w:hAnsi="Arial" w:cs="Arial"/>
          <w:szCs w:val="22"/>
        </w:rPr>
        <w:t xml:space="preserve">compared to </w:t>
      </w:r>
      <w:r w:rsidRPr="00597C47">
        <w:rPr>
          <w:rFonts w:ascii="Arial" w:hAnsi="Arial" w:cs="Arial"/>
          <w:szCs w:val="22"/>
        </w:rPr>
        <w:t xml:space="preserve">banks </w:t>
      </w:r>
      <w:r w:rsidR="00341807">
        <w:rPr>
          <w:rFonts w:ascii="Arial" w:hAnsi="Arial" w:cs="Arial"/>
          <w:szCs w:val="22"/>
        </w:rPr>
        <w:t>or</w:t>
      </w:r>
      <w:r w:rsidRPr="00597C47">
        <w:rPr>
          <w:rFonts w:ascii="Arial" w:hAnsi="Arial" w:cs="Arial"/>
          <w:szCs w:val="22"/>
        </w:rPr>
        <w:t xml:space="preserve"> pensions funds.</w:t>
      </w:r>
      <w:r w:rsidRPr="00597C47">
        <w:rPr>
          <w:rFonts w:ascii="Arial" w:hAnsi="Arial" w:cs="Arial"/>
          <w:color w:val="303A40"/>
          <w:sz w:val="18"/>
          <w:szCs w:val="18"/>
        </w:rPr>
        <w:t xml:space="preserve"> </w:t>
      </w:r>
    </w:p>
    <w:p w14:paraId="11451121" w14:textId="77777777" w:rsidR="00F35F63" w:rsidRPr="00597C47" w:rsidRDefault="00F35F63" w:rsidP="00AB1E3C">
      <w:pPr>
        <w:suppressAutoHyphens/>
        <w:spacing w:line="360" w:lineRule="auto"/>
        <w:jc w:val="both"/>
        <w:rPr>
          <w:rFonts w:ascii="Arial" w:hAnsi="Arial" w:cs="Arial"/>
          <w:b/>
          <w:szCs w:val="22"/>
        </w:rPr>
      </w:pPr>
    </w:p>
    <w:p w14:paraId="762FD807" w14:textId="58B887AB" w:rsidR="00AB1E3C" w:rsidRPr="00597C47" w:rsidRDefault="00AB1E3C" w:rsidP="00AB1E3C">
      <w:pPr>
        <w:suppressAutoHyphens/>
        <w:spacing w:line="360" w:lineRule="auto"/>
        <w:jc w:val="both"/>
        <w:rPr>
          <w:rFonts w:ascii="Arial" w:hAnsi="Arial" w:cs="Arial"/>
          <w:b/>
          <w:szCs w:val="22"/>
        </w:rPr>
      </w:pPr>
      <w:r w:rsidRPr="00597C47">
        <w:rPr>
          <w:rFonts w:ascii="Arial" w:hAnsi="Arial" w:cs="Arial"/>
          <w:b/>
          <w:szCs w:val="22"/>
        </w:rPr>
        <w:t>Why is ESMA testing CCPs</w:t>
      </w:r>
      <w:r w:rsidR="00376E1A" w:rsidRPr="00597C47">
        <w:rPr>
          <w:rFonts w:ascii="Arial" w:hAnsi="Arial" w:cs="Arial"/>
          <w:b/>
          <w:szCs w:val="22"/>
        </w:rPr>
        <w:t>’ resilience</w:t>
      </w:r>
      <w:r w:rsidRPr="00597C47">
        <w:rPr>
          <w:rFonts w:ascii="Arial" w:hAnsi="Arial" w:cs="Arial"/>
          <w:b/>
          <w:szCs w:val="22"/>
        </w:rPr>
        <w:t xml:space="preserve"> now? Is ESMA concerned about specific issues?</w:t>
      </w:r>
    </w:p>
    <w:p w14:paraId="762FD808" w14:textId="5131D223" w:rsidR="00AB1E3C" w:rsidRPr="00597C47" w:rsidRDefault="00376E1A" w:rsidP="00AB1E3C">
      <w:pPr>
        <w:suppressAutoHyphens/>
        <w:spacing w:line="360" w:lineRule="auto"/>
        <w:jc w:val="both"/>
        <w:rPr>
          <w:rFonts w:ascii="Arial" w:hAnsi="Arial" w:cs="Arial"/>
          <w:szCs w:val="22"/>
        </w:rPr>
      </w:pPr>
      <w:r w:rsidRPr="00597C47">
        <w:rPr>
          <w:rFonts w:ascii="Arial" w:hAnsi="Arial" w:cs="Arial"/>
          <w:szCs w:val="22"/>
        </w:rPr>
        <w:t>EMIR requires ESMA to run annual</w:t>
      </w:r>
      <w:r w:rsidR="00AB1E3C" w:rsidRPr="00597C47">
        <w:rPr>
          <w:rFonts w:ascii="Arial" w:hAnsi="Arial" w:cs="Arial"/>
          <w:szCs w:val="22"/>
        </w:rPr>
        <w:t xml:space="preserve"> EU-wide </w:t>
      </w:r>
      <w:r w:rsidR="00377C50" w:rsidRPr="00597C47">
        <w:rPr>
          <w:rFonts w:ascii="Arial" w:hAnsi="Arial" w:cs="Arial"/>
          <w:szCs w:val="22"/>
        </w:rPr>
        <w:t>test</w:t>
      </w:r>
      <w:r w:rsidRPr="00597C47">
        <w:rPr>
          <w:rFonts w:ascii="Arial" w:hAnsi="Arial" w:cs="Arial"/>
          <w:szCs w:val="22"/>
        </w:rPr>
        <w:t>s</w:t>
      </w:r>
      <w:r w:rsidR="00AB1E3C" w:rsidRPr="00597C47">
        <w:rPr>
          <w:rFonts w:ascii="Arial" w:hAnsi="Arial" w:cs="Arial"/>
          <w:szCs w:val="22"/>
        </w:rPr>
        <w:t xml:space="preserve"> </w:t>
      </w:r>
      <w:r w:rsidRPr="00597C47">
        <w:rPr>
          <w:rFonts w:ascii="Arial" w:hAnsi="Arial" w:cs="Arial"/>
          <w:szCs w:val="22"/>
        </w:rPr>
        <w:t>in order to asses</w:t>
      </w:r>
      <w:r w:rsidR="00C61090">
        <w:rPr>
          <w:rFonts w:ascii="Arial" w:hAnsi="Arial" w:cs="Arial"/>
          <w:szCs w:val="22"/>
        </w:rPr>
        <w:t>s</w:t>
      </w:r>
      <w:r w:rsidRPr="00597C47">
        <w:rPr>
          <w:rFonts w:ascii="Arial" w:hAnsi="Arial" w:cs="Arial"/>
          <w:szCs w:val="22"/>
        </w:rPr>
        <w:t xml:space="preserve"> the</w:t>
      </w:r>
      <w:r w:rsidR="00AB1E3C" w:rsidRPr="00597C47">
        <w:rPr>
          <w:rFonts w:ascii="Arial" w:hAnsi="Arial" w:cs="Arial"/>
          <w:szCs w:val="22"/>
        </w:rPr>
        <w:t xml:space="preserve"> resilience of CCPs to adverse market developments</w:t>
      </w:r>
      <w:r w:rsidR="00377C50" w:rsidRPr="00597C47">
        <w:rPr>
          <w:rFonts w:ascii="Arial" w:hAnsi="Arial" w:cs="Arial"/>
          <w:szCs w:val="22"/>
        </w:rPr>
        <w:t>.</w:t>
      </w:r>
      <w:r w:rsidR="00AB1E3C" w:rsidRPr="00597C47">
        <w:rPr>
          <w:rFonts w:ascii="Arial" w:hAnsi="Arial" w:cs="Arial"/>
          <w:szCs w:val="22"/>
        </w:rPr>
        <w:t xml:space="preserve"> </w:t>
      </w:r>
      <w:r w:rsidR="00377C50" w:rsidRPr="00597C47">
        <w:rPr>
          <w:rFonts w:ascii="Arial" w:hAnsi="Arial" w:cs="Arial"/>
          <w:szCs w:val="22"/>
        </w:rPr>
        <w:t>T</w:t>
      </w:r>
      <w:r w:rsidR="00AB1E3C" w:rsidRPr="00597C47">
        <w:rPr>
          <w:rFonts w:ascii="Arial" w:hAnsi="Arial" w:cs="Arial"/>
          <w:szCs w:val="22"/>
        </w:rPr>
        <w:t xml:space="preserve">his is the </w:t>
      </w:r>
      <w:r w:rsidR="009B7F63">
        <w:rPr>
          <w:rFonts w:ascii="Arial" w:hAnsi="Arial" w:cs="Arial"/>
          <w:szCs w:val="22"/>
        </w:rPr>
        <w:t>third</w:t>
      </w:r>
      <w:r w:rsidR="009B7F63" w:rsidRPr="00597C47">
        <w:rPr>
          <w:rFonts w:ascii="Arial" w:hAnsi="Arial" w:cs="Arial"/>
          <w:szCs w:val="22"/>
        </w:rPr>
        <w:t xml:space="preserve"> </w:t>
      </w:r>
      <w:r w:rsidRPr="00597C47">
        <w:rPr>
          <w:rFonts w:ascii="Arial" w:hAnsi="Arial" w:cs="Arial"/>
          <w:szCs w:val="22"/>
        </w:rPr>
        <w:t>EU-wide CCP stress test executed by ESMA.</w:t>
      </w:r>
    </w:p>
    <w:p w14:paraId="762FD809" w14:textId="77777777" w:rsidR="00CE45D0" w:rsidRPr="00597C47" w:rsidRDefault="00CE45D0" w:rsidP="005C0CA3">
      <w:pPr>
        <w:suppressAutoHyphens/>
        <w:spacing w:line="360" w:lineRule="auto"/>
        <w:jc w:val="both"/>
        <w:rPr>
          <w:rFonts w:ascii="Arial" w:hAnsi="Arial" w:cs="Arial"/>
          <w:szCs w:val="22"/>
        </w:rPr>
      </w:pPr>
    </w:p>
    <w:p w14:paraId="762FD80A" w14:textId="77777777" w:rsidR="00AB1E3C" w:rsidRPr="00597C47" w:rsidRDefault="00AB1E3C" w:rsidP="00AB1E3C">
      <w:pPr>
        <w:suppressAutoHyphens/>
        <w:spacing w:line="360" w:lineRule="auto"/>
        <w:jc w:val="both"/>
        <w:rPr>
          <w:rFonts w:ascii="Arial" w:hAnsi="Arial" w:cs="Arial"/>
          <w:b/>
          <w:szCs w:val="22"/>
        </w:rPr>
      </w:pPr>
      <w:r w:rsidRPr="00597C47">
        <w:rPr>
          <w:rFonts w:ascii="Arial" w:hAnsi="Arial" w:cs="Arial"/>
          <w:b/>
          <w:szCs w:val="22"/>
        </w:rPr>
        <w:t>When was the exercise conducted exactly, based on what data?</w:t>
      </w:r>
    </w:p>
    <w:p w14:paraId="25CD87A4" w14:textId="7C2604F2" w:rsidR="00376E1A" w:rsidRPr="00597C47" w:rsidRDefault="00376E1A" w:rsidP="00AB1E3C">
      <w:pPr>
        <w:suppressAutoHyphens/>
        <w:spacing w:line="360" w:lineRule="auto"/>
        <w:jc w:val="both"/>
        <w:rPr>
          <w:rFonts w:ascii="Arial" w:hAnsi="Arial" w:cs="Arial"/>
          <w:lang w:val="en"/>
        </w:rPr>
      </w:pPr>
      <w:r w:rsidRPr="00597C47">
        <w:rPr>
          <w:rFonts w:ascii="Arial" w:hAnsi="Arial" w:cs="Arial"/>
          <w:szCs w:val="22"/>
        </w:rPr>
        <w:t>ESMA ran the exercise in different stages in</w:t>
      </w:r>
      <w:r w:rsidR="00AB1E3C" w:rsidRPr="00597C47">
        <w:rPr>
          <w:rFonts w:ascii="Arial" w:hAnsi="Arial" w:cs="Arial"/>
          <w:szCs w:val="22"/>
        </w:rPr>
        <w:t xml:space="preserve"> </w:t>
      </w:r>
      <w:r w:rsidR="009B7F63">
        <w:rPr>
          <w:rFonts w:ascii="Arial" w:hAnsi="Arial" w:cs="Arial"/>
          <w:szCs w:val="22"/>
        </w:rPr>
        <w:t>2019</w:t>
      </w:r>
      <w:r w:rsidR="00A04171">
        <w:rPr>
          <w:rFonts w:ascii="Arial" w:hAnsi="Arial" w:cs="Arial"/>
          <w:szCs w:val="22"/>
        </w:rPr>
        <w:t>,</w:t>
      </w:r>
      <w:r w:rsidR="00AB1E3C" w:rsidRPr="00597C47">
        <w:rPr>
          <w:rFonts w:ascii="Arial" w:hAnsi="Arial" w:cs="Arial"/>
          <w:szCs w:val="22"/>
        </w:rPr>
        <w:t xml:space="preserve"> </w:t>
      </w:r>
      <w:r w:rsidRPr="00597C47">
        <w:rPr>
          <w:rFonts w:ascii="Arial" w:hAnsi="Arial" w:cs="Arial"/>
          <w:szCs w:val="22"/>
        </w:rPr>
        <w:t>assessing</w:t>
      </w:r>
      <w:r w:rsidR="00AB1E3C" w:rsidRPr="00597C47">
        <w:rPr>
          <w:rFonts w:ascii="Arial" w:hAnsi="Arial" w:cs="Arial"/>
          <w:szCs w:val="22"/>
        </w:rPr>
        <w:t xml:space="preserve"> the actual exposures of </w:t>
      </w:r>
      <w:r w:rsidR="00A04171">
        <w:rPr>
          <w:rFonts w:ascii="Arial" w:hAnsi="Arial" w:cs="Arial"/>
          <w:szCs w:val="22"/>
        </w:rPr>
        <w:t xml:space="preserve">EU </w:t>
      </w:r>
      <w:r w:rsidR="00AB1E3C" w:rsidRPr="00597C47">
        <w:rPr>
          <w:rFonts w:ascii="Arial" w:hAnsi="Arial" w:cs="Arial"/>
          <w:szCs w:val="22"/>
        </w:rPr>
        <w:t xml:space="preserve">CCPs using data provided by the CCPs </w:t>
      </w:r>
      <w:r w:rsidRPr="00597C47">
        <w:rPr>
          <w:rFonts w:ascii="Arial" w:hAnsi="Arial" w:cs="Arial"/>
          <w:szCs w:val="22"/>
        </w:rPr>
        <w:t>for</w:t>
      </w:r>
      <w:r w:rsidR="00AB1E3C" w:rsidRPr="00597C47">
        <w:rPr>
          <w:rFonts w:ascii="Arial" w:hAnsi="Arial" w:cs="Arial"/>
          <w:szCs w:val="22"/>
        </w:rPr>
        <w:t xml:space="preserve"> </w:t>
      </w:r>
      <w:r w:rsidR="009B7F63">
        <w:rPr>
          <w:rFonts w:ascii="Arial" w:hAnsi="Arial" w:cs="Arial"/>
          <w:szCs w:val="22"/>
        </w:rPr>
        <w:t xml:space="preserve">two </w:t>
      </w:r>
      <w:r w:rsidR="0022273B">
        <w:rPr>
          <w:rFonts w:ascii="Arial" w:hAnsi="Arial" w:cs="Arial"/>
          <w:szCs w:val="22"/>
        </w:rPr>
        <w:t>reference date</w:t>
      </w:r>
      <w:r w:rsidR="009B7F63">
        <w:rPr>
          <w:rFonts w:ascii="Arial" w:hAnsi="Arial" w:cs="Arial"/>
          <w:szCs w:val="22"/>
        </w:rPr>
        <w:t>s</w:t>
      </w:r>
      <w:r w:rsidR="0022273B">
        <w:rPr>
          <w:rFonts w:ascii="Arial" w:hAnsi="Arial" w:cs="Arial"/>
          <w:szCs w:val="22"/>
        </w:rPr>
        <w:t xml:space="preserve"> in </w:t>
      </w:r>
      <w:r w:rsidR="009B7F63">
        <w:rPr>
          <w:rFonts w:ascii="Arial" w:hAnsi="Arial" w:cs="Arial"/>
          <w:szCs w:val="22"/>
        </w:rPr>
        <w:t>Dec 2018 and March 2019</w:t>
      </w:r>
      <w:r w:rsidR="00AB1E3C" w:rsidRPr="00597C47">
        <w:rPr>
          <w:rFonts w:ascii="Arial" w:hAnsi="Arial" w:cs="Arial"/>
          <w:szCs w:val="22"/>
        </w:rPr>
        <w:t>.</w:t>
      </w:r>
      <w:r w:rsidRPr="00597C47">
        <w:rPr>
          <w:rFonts w:ascii="Arial" w:hAnsi="Arial" w:cs="Arial"/>
          <w:szCs w:val="22"/>
        </w:rPr>
        <w:t xml:space="preserve"> Following the</w:t>
      </w:r>
      <w:r w:rsidR="00341807">
        <w:rPr>
          <w:rFonts w:ascii="Arial" w:hAnsi="Arial" w:cs="Arial"/>
          <w:szCs w:val="22"/>
        </w:rPr>
        <w:t xml:space="preserve"> definition of the </w:t>
      </w:r>
      <w:hyperlink r:id="rId12" w:history="1">
        <w:r w:rsidR="00341807" w:rsidRPr="005F2D86">
          <w:rPr>
            <w:rStyle w:val="Hyperlink"/>
            <w:rFonts w:ascii="Arial" w:hAnsi="Arial" w:cs="Arial"/>
            <w:szCs w:val="22"/>
          </w:rPr>
          <w:t>framework</w:t>
        </w:r>
      </w:hyperlink>
      <w:r w:rsidR="005F2D86">
        <w:rPr>
          <w:rStyle w:val="FootnoteReference"/>
          <w:rFonts w:ascii="Arial" w:hAnsi="Arial" w:cs="Arial"/>
          <w:szCs w:val="22"/>
        </w:rPr>
        <w:footnoteReference w:id="2"/>
      </w:r>
      <w:r w:rsidR="00341807">
        <w:rPr>
          <w:rFonts w:ascii="Arial" w:hAnsi="Arial" w:cs="Arial"/>
          <w:szCs w:val="22"/>
        </w:rPr>
        <w:t xml:space="preserve"> for conducting the exercise</w:t>
      </w:r>
      <w:r w:rsidRPr="00597C47">
        <w:rPr>
          <w:rFonts w:ascii="Arial" w:hAnsi="Arial" w:cs="Arial"/>
          <w:szCs w:val="22"/>
        </w:rPr>
        <w:t xml:space="preserve">, </w:t>
      </w:r>
      <w:r w:rsidRPr="00597C47">
        <w:rPr>
          <w:rFonts w:ascii="Arial" w:hAnsi="Arial" w:cs="Arial"/>
          <w:lang w:val="en"/>
        </w:rPr>
        <w:t>CCPs provided</w:t>
      </w:r>
      <w:r w:rsidR="00250846">
        <w:rPr>
          <w:rFonts w:ascii="Arial" w:hAnsi="Arial" w:cs="Arial"/>
          <w:lang w:val="en"/>
        </w:rPr>
        <w:t xml:space="preserve"> in</w:t>
      </w:r>
      <w:r w:rsidR="00A04171" w:rsidRPr="00597C47">
        <w:rPr>
          <w:rFonts w:ascii="Arial" w:hAnsi="Arial" w:cs="Arial"/>
          <w:lang w:val="en"/>
        </w:rPr>
        <w:t xml:space="preserve"> </w:t>
      </w:r>
      <w:r w:rsidR="00250846">
        <w:rPr>
          <w:rFonts w:ascii="Arial" w:hAnsi="Arial" w:cs="Arial"/>
          <w:lang w:val="en"/>
        </w:rPr>
        <w:t xml:space="preserve">Q2 </w:t>
      </w:r>
      <w:r w:rsidR="00A04171">
        <w:rPr>
          <w:rFonts w:ascii="Arial" w:hAnsi="Arial" w:cs="Arial"/>
          <w:lang w:val="en"/>
        </w:rPr>
        <w:t>201</w:t>
      </w:r>
      <w:r w:rsidR="009B7F63">
        <w:rPr>
          <w:rFonts w:ascii="Arial" w:hAnsi="Arial" w:cs="Arial"/>
          <w:lang w:val="en"/>
        </w:rPr>
        <w:t>9</w:t>
      </w:r>
      <w:r w:rsidR="00C27B53">
        <w:rPr>
          <w:rFonts w:ascii="Arial" w:hAnsi="Arial" w:cs="Arial"/>
          <w:lang w:val="en"/>
        </w:rPr>
        <w:t xml:space="preserve"> the data for the stress test.</w:t>
      </w:r>
      <w:r w:rsidRPr="00597C47">
        <w:rPr>
          <w:rFonts w:ascii="Arial" w:hAnsi="Arial" w:cs="Arial"/>
          <w:lang w:val="en"/>
        </w:rPr>
        <w:t xml:space="preserve"> </w:t>
      </w:r>
      <w:r w:rsidR="005945BD" w:rsidRPr="00597C47">
        <w:rPr>
          <w:rFonts w:ascii="Arial" w:hAnsi="Arial" w:cs="Arial"/>
          <w:szCs w:val="22"/>
        </w:rPr>
        <w:t>National Competent Authorities (NCAs)</w:t>
      </w:r>
      <w:r w:rsidR="00C27B53">
        <w:rPr>
          <w:rFonts w:ascii="Arial" w:hAnsi="Arial" w:cs="Arial"/>
          <w:szCs w:val="22"/>
        </w:rPr>
        <w:t xml:space="preserve"> initially</w:t>
      </w:r>
      <w:r w:rsidR="005945BD" w:rsidRPr="00597C47">
        <w:rPr>
          <w:rFonts w:ascii="Arial" w:hAnsi="Arial" w:cs="Arial"/>
          <w:szCs w:val="22"/>
        </w:rPr>
        <w:t xml:space="preserve"> </w:t>
      </w:r>
      <w:r w:rsidRPr="00597C47">
        <w:rPr>
          <w:rFonts w:ascii="Arial" w:hAnsi="Arial" w:cs="Arial"/>
          <w:lang w:val="en"/>
        </w:rPr>
        <w:t xml:space="preserve">and </w:t>
      </w:r>
      <w:r w:rsidR="0022273B">
        <w:rPr>
          <w:rFonts w:ascii="Arial" w:hAnsi="Arial" w:cs="Arial"/>
          <w:lang w:val="en"/>
        </w:rPr>
        <w:t xml:space="preserve">then </w:t>
      </w:r>
      <w:r w:rsidR="00C27B53">
        <w:rPr>
          <w:rFonts w:ascii="Arial" w:hAnsi="Arial" w:cs="Arial"/>
          <w:lang w:val="en"/>
        </w:rPr>
        <w:t>E</w:t>
      </w:r>
      <w:r w:rsidRPr="00597C47">
        <w:rPr>
          <w:rFonts w:ascii="Arial" w:hAnsi="Arial" w:cs="Arial"/>
          <w:lang w:val="en"/>
        </w:rPr>
        <w:t>SMA</w:t>
      </w:r>
      <w:r w:rsidR="00C27B53">
        <w:rPr>
          <w:rFonts w:ascii="Arial" w:hAnsi="Arial" w:cs="Arial"/>
          <w:lang w:val="en"/>
        </w:rPr>
        <w:t xml:space="preserve"> validated the data</w:t>
      </w:r>
      <w:r w:rsidRPr="00597C47">
        <w:rPr>
          <w:rFonts w:ascii="Arial" w:hAnsi="Arial" w:cs="Arial"/>
          <w:lang w:val="en"/>
        </w:rPr>
        <w:t xml:space="preserve"> before calculating the different stress scenarios.</w:t>
      </w:r>
    </w:p>
    <w:p w14:paraId="762FD80B" w14:textId="7C64AA7C" w:rsidR="00AB1E3C" w:rsidRDefault="00376E1A" w:rsidP="00AB1E3C">
      <w:pPr>
        <w:suppressAutoHyphens/>
        <w:spacing w:line="360" w:lineRule="auto"/>
        <w:jc w:val="both"/>
        <w:rPr>
          <w:rFonts w:ascii="Arial" w:hAnsi="Arial" w:cs="Arial"/>
          <w:lang w:val="en"/>
        </w:rPr>
      </w:pPr>
      <w:r w:rsidRPr="00597C47">
        <w:rPr>
          <w:rFonts w:ascii="Arial" w:hAnsi="Arial" w:cs="Arial"/>
          <w:lang w:val="en"/>
        </w:rPr>
        <w:t xml:space="preserve"> </w:t>
      </w:r>
    </w:p>
    <w:p w14:paraId="3CED5D05" w14:textId="77777777" w:rsidR="00943888" w:rsidRPr="00597C47" w:rsidRDefault="00943888" w:rsidP="00AB1E3C">
      <w:pPr>
        <w:suppressAutoHyphens/>
        <w:spacing w:line="360" w:lineRule="auto"/>
        <w:jc w:val="both"/>
        <w:rPr>
          <w:rFonts w:ascii="Arial" w:hAnsi="Arial" w:cs="Arial"/>
          <w:szCs w:val="22"/>
        </w:rPr>
      </w:pPr>
    </w:p>
    <w:p w14:paraId="762FD80D" w14:textId="392BA29C" w:rsidR="004A639F" w:rsidRPr="00597C47" w:rsidRDefault="004A639F" w:rsidP="004A639F">
      <w:pPr>
        <w:suppressAutoHyphens/>
        <w:spacing w:line="360" w:lineRule="auto"/>
        <w:jc w:val="both"/>
        <w:rPr>
          <w:rFonts w:ascii="Arial" w:hAnsi="Arial" w:cs="Arial"/>
          <w:b/>
          <w:szCs w:val="22"/>
        </w:rPr>
      </w:pPr>
      <w:r w:rsidRPr="00597C47">
        <w:rPr>
          <w:rFonts w:ascii="Arial" w:hAnsi="Arial" w:cs="Arial"/>
          <w:b/>
          <w:szCs w:val="22"/>
        </w:rPr>
        <w:lastRenderedPageBreak/>
        <w:t xml:space="preserve">What </w:t>
      </w:r>
      <w:r w:rsidR="00376E1A" w:rsidRPr="00597C47">
        <w:rPr>
          <w:rFonts w:ascii="Arial" w:hAnsi="Arial" w:cs="Arial"/>
          <w:b/>
          <w:szCs w:val="22"/>
        </w:rPr>
        <w:t>exactly did ESMA test</w:t>
      </w:r>
      <w:r w:rsidRPr="00597C47">
        <w:rPr>
          <w:rFonts w:ascii="Arial" w:hAnsi="Arial" w:cs="Arial"/>
          <w:b/>
          <w:szCs w:val="22"/>
        </w:rPr>
        <w:t xml:space="preserve">? </w:t>
      </w:r>
    </w:p>
    <w:p w14:paraId="3490CDC2" w14:textId="2B6B98F3" w:rsidR="00CD2F06" w:rsidRPr="00597C47" w:rsidRDefault="00953154" w:rsidP="004A639F">
      <w:pPr>
        <w:suppressAutoHyphens/>
        <w:spacing w:line="360" w:lineRule="auto"/>
        <w:jc w:val="both"/>
        <w:rPr>
          <w:rFonts w:ascii="Arial" w:hAnsi="Arial" w:cs="Arial"/>
          <w:szCs w:val="22"/>
        </w:rPr>
      </w:pPr>
      <w:r w:rsidRPr="00597C47">
        <w:rPr>
          <w:rFonts w:ascii="Arial" w:hAnsi="Arial" w:cs="Arial"/>
          <w:szCs w:val="22"/>
        </w:rPr>
        <w:t>ESMA</w:t>
      </w:r>
      <w:r w:rsidR="00A3529D">
        <w:rPr>
          <w:rFonts w:ascii="Arial" w:hAnsi="Arial" w:cs="Arial"/>
          <w:szCs w:val="22"/>
        </w:rPr>
        <w:t xml:space="preserve"> </w:t>
      </w:r>
      <w:r w:rsidRPr="00597C47">
        <w:rPr>
          <w:rFonts w:ascii="Arial" w:hAnsi="Arial" w:cs="Arial"/>
          <w:szCs w:val="22"/>
        </w:rPr>
        <w:t>tested the resilience of 1</w:t>
      </w:r>
      <w:r w:rsidR="005945BD" w:rsidRPr="00597C47">
        <w:rPr>
          <w:rFonts w:ascii="Arial" w:hAnsi="Arial" w:cs="Arial"/>
          <w:szCs w:val="22"/>
        </w:rPr>
        <w:t xml:space="preserve">6 </w:t>
      </w:r>
      <w:r w:rsidRPr="00597C47">
        <w:rPr>
          <w:rFonts w:ascii="Arial" w:hAnsi="Arial" w:cs="Arial"/>
          <w:szCs w:val="22"/>
        </w:rPr>
        <w:t xml:space="preserve">European CCPs by exposing them to </w:t>
      </w:r>
      <w:r w:rsidR="0023516B" w:rsidRPr="00597C47">
        <w:rPr>
          <w:rFonts w:ascii="Arial" w:hAnsi="Arial" w:cs="Arial"/>
          <w:szCs w:val="22"/>
        </w:rPr>
        <w:t>adverse market conditions</w:t>
      </w:r>
      <w:r w:rsidRPr="00597C47">
        <w:rPr>
          <w:rFonts w:ascii="Arial" w:hAnsi="Arial" w:cs="Arial"/>
          <w:szCs w:val="22"/>
        </w:rPr>
        <w:t>.</w:t>
      </w:r>
      <w:r w:rsidR="009624B6" w:rsidRPr="00597C47">
        <w:rPr>
          <w:rFonts w:ascii="Arial" w:hAnsi="Arial" w:cs="Arial"/>
        </w:rPr>
        <w:t xml:space="preserve"> </w:t>
      </w:r>
      <w:r w:rsidR="009624B6" w:rsidRPr="00597C47">
        <w:rPr>
          <w:rFonts w:ascii="Arial" w:hAnsi="Arial" w:cs="Arial"/>
          <w:szCs w:val="22"/>
        </w:rPr>
        <w:t xml:space="preserve">ESMA’s stress test </w:t>
      </w:r>
      <w:r w:rsidR="00476476">
        <w:rPr>
          <w:rFonts w:ascii="Arial" w:hAnsi="Arial" w:cs="Arial"/>
          <w:szCs w:val="22"/>
        </w:rPr>
        <w:t>covered</w:t>
      </w:r>
      <w:r w:rsidR="00476476" w:rsidRPr="00597C47">
        <w:rPr>
          <w:rFonts w:ascii="Arial" w:hAnsi="Arial" w:cs="Arial"/>
          <w:szCs w:val="22"/>
        </w:rPr>
        <w:t xml:space="preserve"> </w:t>
      </w:r>
      <w:r w:rsidR="009624B6" w:rsidRPr="00597C47">
        <w:rPr>
          <w:rFonts w:ascii="Arial" w:hAnsi="Arial" w:cs="Arial"/>
          <w:szCs w:val="22"/>
        </w:rPr>
        <w:t xml:space="preserve">the </w:t>
      </w:r>
      <w:r w:rsidR="009624B6" w:rsidRPr="006C501E">
        <w:rPr>
          <w:rFonts w:ascii="Arial" w:hAnsi="Arial" w:cs="Arial"/>
          <w:i/>
          <w:szCs w:val="22"/>
        </w:rPr>
        <w:t>counterparty credit risk</w:t>
      </w:r>
      <w:r w:rsidR="005945BD" w:rsidRPr="00597C47">
        <w:rPr>
          <w:rFonts w:ascii="Arial" w:hAnsi="Arial" w:cs="Arial"/>
          <w:szCs w:val="22"/>
        </w:rPr>
        <w:t>,</w:t>
      </w:r>
      <w:r w:rsidR="009624B6" w:rsidRPr="00597C47">
        <w:rPr>
          <w:rFonts w:ascii="Arial" w:hAnsi="Arial" w:cs="Arial"/>
          <w:szCs w:val="22"/>
        </w:rPr>
        <w:t xml:space="preserve"> which CCPs may face </w:t>
      </w:r>
      <w:r w:rsidR="005945BD" w:rsidRPr="00597C47">
        <w:rPr>
          <w:rFonts w:ascii="Arial" w:hAnsi="Arial" w:cs="Arial"/>
          <w:szCs w:val="22"/>
        </w:rPr>
        <w:t>because</w:t>
      </w:r>
      <w:r w:rsidR="009624B6" w:rsidRPr="00597C47">
        <w:rPr>
          <w:rFonts w:ascii="Arial" w:hAnsi="Arial" w:cs="Arial"/>
          <w:szCs w:val="22"/>
        </w:rPr>
        <w:t xml:space="preserve"> of multiple CMs defaults and simultaneous market price shocks</w:t>
      </w:r>
      <w:r w:rsidR="005945BD" w:rsidRPr="00597C47">
        <w:rPr>
          <w:rFonts w:ascii="Arial" w:hAnsi="Arial" w:cs="Arial"/>
          <w:szCs w:val="22"/>
        </w:rPr>
        <w:t xml:space="preserve">, </w:t>
      </w:r>
      <w:r w:rsidR="00476476">
        <w:rPr>
          <w:rFonts w:ascii="Arial" w:hAnsi="Arial" w:cs="Arial"/>
          <w:szCs w:val="22"/>
        </w:rPr>
        <w:t xml:space="preserve">the </w:t>
      </w:r>
      <w:r w:rsidR="005945BD" w:rsidRPr="006C501E">
        <w:rPr>
          <w:rFonts w:ascii="Arial" w:hAnsi="Arial" w:cs="Arial"/>
          <w:i/>
          <w:szCs w:val="22"/>
        </w:rPr>
        <w:t>liquidity risk</w:t>
      </w:r>
      <w:r w:rsidR="006C501E" w:rsidRPr="006C501E">
        <w:rPr>
          <w:rFonts w:ascii="Arial" w:hAnsi="Arial" w:cs="Arial"/>
          <w:i/>
          <w:szCs w:val="22"/>
        </w:rPr>
        <w:t>,</w:t>
      </w:r>
      <w:r w:rsidR="005945BD" w:rsidRPr="00597C47">
        <w:rPr>
          <w:rFonts w:ascii="Arial" w:hAnsi="Arial" w:cs="Arial"/>
          <w:szCs w:val="22"/>
        </w:rPr>
        <w:t xml:space="preserve"> </w:t>
      </w:r>
      <w:r w:rsidR="00476476">
        <w:rPr>
          <w:rFonts w:ascii="Arial" w:hAnsi="Arial" w:cs="Arial"/>
          <w:szCs w:val="22"/>
        </w:rPr>
        <w:t>which may materialize if</w:t>
      </w:r>
      <w:r w:rsidR="00476476" w:rsidRPr="00597C47">
        <w:rPr>
          <w:rFonts w:ascii="Arial" w:hAnsi="Arial" w:cs="Arial"/>
          <w:szCs w:val="22"/>
        </w:rPr>
        <w:t xml:space="preserve"> </w:t>
      </w:r>
      <w:r w:rsidR="005945BD" w:rsidRPr="00597C47">
        <w:rPr>
          <w:rFonts w:ascii="Arial" w:hAnsi="Arial" w:cs="Arial"/>
          <w:szCs w:val="22"/>
        </w:rPr>
        <w:t>CCPs have insufficient liquid funds to meet their payment obligations in a timely manner</w:t>
      </w:r>
      <w:r w:rsidR="00623E21">
        <w:rPr>
          <w:rFonts w:ascii="Arial" w:hAnsi="Arial" w:cs="Arial"/>
          <w:szCs w:val="22"/>
        </w:rPr>
        <w:t xml:space="preserve"> and</w:t>
      </w:r>
      <w:r w:rsidR="00476476">
        <w:rPr>
          <w:rFonts w:ascii="Arial" w:hAnsi="Arial" w:cs="Arial"/>
          <w:szCs w:val="22"/>
        </w:rPr>
        <w:t xml:space="preserve"> the</w:t>
      </w:r>
      <w:r w:rsidR="00623E21">
        <w:rPr>
          <w:rFonts w:ascii="Arial" w:hAnsi="Arial" w:cs="Arial"/>
          <w:szCs w:val="22"/>
        </w:rPr>
        <w:t xml:space="preserve"> </w:t>
      </w:r>
      <w:r w:rsidR="00623E21" w:rsidRPr="00476476">
        <w:rPr>
          <w:rFonts w:ascii="Arial" w:hAnsi="Arial" w:cs="Arial"/>
          <w:i/>
          <w:iCs/>
          <w:szCs w:val="22"/>
        </w:rPr>
        <w:t>concentration risk</w:t>
      </w:r>
      <w:r w:rsidR="00476476">
        <w:rPr>
          <w:rFonts w:ascii="Arial" w:hAnsi="Arial" w:cs="Arial"/>
          <w:szCs w:val="22"/>
        </w:rPr>
        <w:t xml:space="preserve">, which assesses </w:t>
      </w:r>
      <w:r w:rsidR="00623E21">
        <w:rPr>
          <w:rFonts w:ascii="Arial" w:hAnsi="Arial" w:cs="Arial"/>
          <w:szCs w:val="22"/>
        </w:rPr>
        <w:t>the additional cost of liquidating</w:t>
      </w:r>
      <w:r w:rsidR="003E5603">
        <w:rPr>
          <w:rFonts w:ascii="Arial" w:hAnsi="Arial" w:cs="Arial"/>
          <w:szCs w:val="22"/>
        </w:rPr>
        <w:t xml:space="preserve"> </w:t>
      </w:r>
      <w:r w:rsidR="00476476">
        <w:rPr>
          <w:rFonts w:ascii="Arial" w:hAnsi="Arial" w:cs="Arial"/>
          <w:szCs w:val="22"/>
        </w:rPr>
        <w:t>concentrated</w:t>
      </w:r>
      <w:r w:rsidR="00623E21">
        <w:rPr>
          <w:rFonts w:ascii="Arial" w:hAnsi="Arial" w:cs="Arial"/>
          <w:szCs w:val="22"/>
        </w:rPr>
        <w:t xml:space="preserve"> positions in a short period of time</w:t>
      </w:r>
      <w:r w:rsidR="009624B6" w:rsidRPr="00597C47">
        <w:rPr>
          <w:rFonts w:ascii="Arial" w:hAnsi="Arial" w:cs="Arial"/>
          <w:szCs w:val="22"/>
        </w:rPr>
        <w:t xml:space="preserve">. The exercise was complemented with an analysis of the concentration of CCPs </w:t>
      </w:r>
      <w:r w:rsidR="008103B5">
        <w:rPr>
          <w:rFonts w:ascii="Arial" w:hAnsi="Arial" w:cs="Arial"/>
          <w:szCs w:val="22"/>
        </w:rPr>
        <w:t>clearing activity</w:t>
      </w:r>
      <w:r w:rsidR="0038073F">
        <w:rPr>
          <w:rFonts w:ascii="Arial" w:hAnsi="Arial" w:cs="Arial"/>
          <w:szCs w:val="22"/>
        </w:rPr>
        <w:t>, their interconnectedness through CMs, custodians or liquidity providers</w:t>
      </w:r>
      <w:r w:rsidR="009624B6" w:rsidRPr="00597C47">
        <w:rPr>
          <w:rFonts w:ascii="Arial" w:hAnsi="Arial" w:cs="Arial"/>
          <w:szCs w:val="22"/>
        </w:rPr>
        <w:t xml:space="preserve"> and of the potential spill-over effects to non-defaulting CMs.  </w:t>
      </w:r>
    </w:p>
    <w:p w14:paraId="6F5C8DE8" w14:textId="68441722" w:rsidR="00597C47" w:rsidRPr="00597C47" w:rsidRDefault="00593D70" w:rsidP="00597C47">
      <w:pPr>
        <w:pStyle w:val="ListParagraph"/>
        <w:spacing w:after="120" w:line="276" w:lineRule="auto"/>
        <w:ind w:left="0"/>
        <w:contextualSpacing w:val="0"/>
        <w:jc w:val="both"/>
        <w:rPr>
          <w:rFonts w:ascii="Arial" w:eastAsia="Times New Roman" w:hAnsi="Arial" w:cs="Arial"/>
          <w:lang w:eastAsia="de-DE"/>
        </w:rPr>
      </w:pPr>
      <w:r w:rsidRPr="00597C47">
        <w:rPr>
          <w:rFonts w:ascii="Arial" w:hAnsi="Arial" w:cs="Arial"/>
          <w:noProof/>
          <w:lang w:eastAsia="en-GB"/>
        </w:rPr>
        <mc:AlternateContent>
          <mc:Choice Requires="wps">
            <w:drawing>
              <wp:anchor distT="0" distB="0" distL="114300" distR="114300" simplePos="0" relativeHeight="251658242" behindDoc="1" locked="0" layoutInCell="1" allowOverlap="1" wp14:anchorId="592CB26D" wp14:editId="368B8820">
                <wp:simplePos x="0" y="0"/>
                <wp:positionH relativeFrom="margin">
                  <wp:posOffset>15766</wp:posOffset>
                </wp:positionH>
                <wp:positionV relativeFrom="paragraph">
                  <wp:posOffset>2407920</wp:posOffset>
                </wp:positionV>
                <wp:extent cx="5054600" cy="299720"/>
                <wp:effectExtent l="0" t="0" r="0" b="5080"/>
                <wp:wrapTopAndBottom/>
                <wp:docPr id="14" name="Text Box 14"/>
                <wp:cNvGraphicFramePr/>
                <a:graphic xmlns:a="http://schemas.openxmlformats.org/drawingml/2006/main">
                  <a:graphicData uri="http://schemas.microsoft.com/office/word/2010/wordprocessingShape">
                    <wps:wsp>
                      <wps:cNvSpPr txBox="1"/>
                      <wps:spPr>
                        <a:xfrm>
                          <a:off x="0" y="0"/>
                          <a:ext cx="5054600" cy="299720"/>
                        </a:xfrm>
                        <a:prstGeom prst="rect">
                          <a:avLst/>
                        </a:prstGeom>
                        <a:noFill/>
                        <a:ln w="6350">
                          <a:noFill/>
                        </a:ln>
                      </wps:spPr>
                      <wps:txbx>
                        <w:txbxContent>
                          <w:p w14:paraId="17E3AA51" w14:textId="007AAC1B" w:rsidR="00F16D2D" w:rsidRDefault="00F16D2D" w:rsidP="00597C47">
                            <w:pPr>
                              <w:pStyle w:val="Caption"/>
                            </w:pPr>
                            <w:bookmarkStart w:id="1" w:name="_Toc503362036"/>
                            <w:bookmarkStart w:id="2" w:name="_Toc503516927"/>
                            <w:bookmarkStart w:id="3" w:name="_Toc503518223"/>
                            <w:bookmarkStart w:id="4" w:name="_Toc503786041"/>
                            <w:r>
                              <w:t>Figure: Components of the Stress Test Exercise</w:t>
                            </w:r>
                            <w:bookmarkEnd w:id="1"/>
                            <w:bookmarkEnd w:id="2"/>
                            <w:bookmarkEnd w:id="3"/>
                            <w:bookmarkEnd w:id="4"/>
                          </w:p>
                          <w:p w14:paraId="1409ABA3" w14:textId="77777777" w:rsidR="00F16D2D" w:rsidRDefault="00F16D2D" w:rsidP="00597C4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2CB26D" id="_x0000_t202" coordsize="21600,21600" o:spt="202" path="m,l,21600r21600,l21600,xe">
                <v:stroke joinstyle="miter"/>
                <v:path gradientshapeok="t" o:connecttype="rect"/>
              </v:shapetype>
              <v:shape id="Text Box 14" o:spid="_x0000_s1026" type="#_x0000_t202" style="position:absolute;left:0;text-align:left;margin-left:1.25pt;margin-top:189.6pt;width:398pt;height:23.6pt;z-index:-25165823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wQCLQIAAFMEAAAOAAAAZHJzL2Uyb0RvYy54bWysVE2P2jAQvVfqf7B8LwkU6IIIK7orqkpo&#10;dyWo9mwcByIlHtc2JPTX99kBFm17qnpxxjPj+XhvJrP7tq7YUVlXks54v5dyprSkvNS7jP/YLD/d&#10;cea80LmoSKuMn5Tj9/OPH2aNmaoB7anKlWUIot20MRnfe2+mSeLkXtXC9cgoDWNBthYeV7tLcisa&#10;RK+rZJCm46QhmxtLUjkH7WNn5PMYvyiU9M9F4ZRnVcZRm4+njec2nMl8JqY7K8y+lOcyxD9UUYtS&#10;I+k11KPwgh1s+UeoupSWHBW+J6lOqChKqWIP6KafvutmvRdGxV4AjjNXmNz/Cyufji+WlTm4G3Km&#10;RQ2ONqr17Cu1DCrg0xg3hdvawNG30MP3ondQhrbbwtbhi4YY7ED6dEU3RJNQjtLRcJzCJGEbTCZf&#10;BhH+5O21sc5/U1SzIGTcgr0IqjiunEclcL24hGSalmVVRQYrzZqMjz+P0vjgasGLSuNh6KGrNUi+&#10;3bbnxraUn9CXpW4ynJHLEslXwvkXYTEKqBfj7Z9xFBUhCZ0lzvZkf/1NH/zBEKycNRitjLufB2EV&#10;Z9V3De4m/eEwzGK8DEcBB2ZvLdtbiz7UD4Tp7WORjIxi8PfVRSws1a/YgkXICpPQErkz7i/ig+8G&#10;Hlsk1WIRnTB9RviVXhsZQgc4A7Sb9lVYc8bfg7knugyhmL6jofPtiFgcPBVl5CgA3KF6xh2TG6k7&#10;b1lYjdt79Hr7F8x/AwAA//8DAFBLAwQUAAYACAAAACEAASPGIuEAAAAJAQAADwAAAGRycy9kb3du&#10;cmV2LnhtbEyPS0/DMBCE70j8B2uRuFEH00casqmqSBUSgkNLL9yceJtE+BFitw399bgnOM7OaObb&#10;fDUazU40+M5ZhMdJAoxs7VRnG4T9x+YhBeaDtEpqZwnhhzysitubXGbKne2WTrvQsFhifSYR2hD6&#10;jHNft2Skn7iebPQObjAyRDk0XA3yHMuN5iJJ5tzIzsaFVvZUtlR/7Y4G4bXcvMttJUx60eXL22Hd&#10;f+8/Z4j3d+P6GVigMfyF4Yof0aGITJU7WuWZRhCzGER4WiwFsOgvlmm8VAhTMZ8CL3L+/4PiFwAA&#10;//8DAFBLAQItABQABgAIAAAAIQC2gziS/gAAAOEBAAATAAAAAAAAAAAAAAAAAAAAAABbQ29udGVu&#10;dF9UeXBlc10ueG1sUEsBAi0AFAAGAAgAAAAhADj9If/WAAAAlAEAAAsAAAAAAAAAAAAAAAAALwEA&#10;AF9yZWxzLy5yZWxzUEsBAi0AFAAGAAgAAAAhAOTDBAItAgAAUwQAAA4AAAAAAAAAAAAAAAAALgIA&#10;AGRycy9lMm9Eb2MueG1sUEsBAi0AFAAGAAgAAAAhAAEjxiLhAAAACQEAAA8AAAAAAAAAAAAAAAAA&#10;hwQAAGRycy9kb3ducmV2LnhtbFBLBQYAAAAABAAEAPMAAACVBQAAAAA=&#10;" filled="f" stroked="f" strokeweight=".5pt">
                <v:textbox>
                  <w:txbxContent>
                    <w:p w14:paraId="17E3AA51" w14:textId="007AAC1B" w:rsidR="00F16D2D" w:rsidRDefault="00F16D2D" w:rsidP="00597C47">
                      <w:pPr>
                        <w:pStyle w:val="Caption"/>
                      </w:pPr>
                      <w:bookmarkStart w:id="4" w:name="_Toc503362036"/>
                      <w:bookmarkStart w:id="5" w:name="_Toc503516927"/>
                      <w:bookmarkStart w:id="6" w:name="_Toc503518223"/>
                      <w:bookmarkStart w:id="7" w:name="_Toc503786041"/>
                      <w:r>
                        <w:t>Figure: Components of the Stress Test Exercise</w:t>
                      </w:r>
                      <w:bookmarkEnd w:id="4"/>
                      <w:bookmarkEnd w:id="5"/>
                      <w:bookmarkEnd w:id="6"/>
                      <w:bookmarkEnd w:id="7"/>
                    </w:p>
                    <w:p w14:paraId="1409ABA3" w14:textId="77777777" w:rsidR="00F16D2D" w:rsidRDefault="00F16D2D" w:rsidP="00597C47"/>
                  </w:txbxContent>
                </v:textbox>
                <w10:wrap type="topAndBottom" anchorx="margin"/>
              </v:shape>
            </w:pict>
          </mc:Fallback>
        </mc:AlternateContent>
      </w:r>
      <w:r w:rsidR="00E74D66">
        <w:rPr>
          <w:rFonts w:ascii="Arial" w:eastAsia="Times New Roman" w:hAnsi="Arial" w:cs="Arial"/>
          <w:noProof/>
          <w:lang w:eastAsia="de-DE"/>
        </w:rPr>
        <w:drawing>
          <wp:anchor distT="0" distB="0" distL="114300" distR="114300" simplePos="0" relativeHeight="251658246" behindDoc="0" locked="0" layoutInCell="1" allowOverlap="1" wp14:anchorId="55B0D08B" wp14:editId="00DEEF50">
            <wp:simplePos x="0" y="0"/>
            <wp:positionH relativeFrom="column">
              <wp:posOffset>44866</wp:posOffset>
            </wp:positionH>
            <wp:positionV relativeFrom="paragraph">
              <wp:posOffset>257175</wp:posOffset>
            </wp:positionV>
            <wp:extent cx="2219325" cy="2084705"/>
            <wp:effectExtent l="0" t="0" r="9525"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19325" cy="2084705"/>
                    </a:xfrm>
                    <a:prstGeom prst="rect">
                      <a:avLst/>
                    </a:prstGeom>
                    <a:noFill/>
                  </pic:spPr>
                </pic:pic>
              </a:graphicData>
            </a:graphic>
          </wp:anchor>
        </w:drawing>
      </w:r>
      <w:r w:rsidR="00597C47" w:rsidRPr="00597C47">
        <w:rPr>
          <w:rFonts w:ascii="Arial" w:hAnsi="Arial" w:cs="Arial"/>
        </w:rPr>
        <w:t>T</w:t>
      </w:r>
      <w:r w:rsidR="00597C47" w:rsidRPr="00597C47">
        <w:rPr>
          <w:rFonts w:ascii="Arial" w:eastAsia="Times New Roman" w:hAnsi="Arial" w:cs="Arial"/>
          <w:lang w:eastAsia="de-DE"/>
        </w:rPr>
        <w:t>he stress test exercise has the following four components:</w:t>
      </w:r>
    </w:p>
    <w:p w14:paraId="3CADFD65" w14:textId="561A4824" w:rsidR="00E74D66" w:rsidRPr="00597C47" w:rsidRDefault="00E74D66" w:rsidP="00597C47">
      <w:pPr>
        <w:pStyle w:val="ListParagraph"/>
        <w:spacing w:after="120" w:line="276" w:lineRule="auto"/>
        <w:ind w:left="0"/>
        <w:contextualSpacing w:val="0"/>
        <w:jc w:val="both"/>
        <w:rPr>
          <w:rFonts w:ascii="Arial" w:eastAsia="Times New Roman" w:hAnsi="Arial" w:cs="Arial"/>
          <w:lang w:eastAsia="de-DE"/>
        </w:rPr>
      </w:pPr>
    </w:p>
    <w:p w14:paraId="4CBD02CE" w14:textId="58349B24" w:rsidR="00597C47" w:rsidRPr="00597C47" w:rsidRDefault="00597C47" w:rsidP="005F073F">
      <w:pPr>
        <w:pStyle w:val="ListParagraph"/>
        <w:numPr>
          <w:ilvl w:val="1"/>
          <w:numId w:val="47"/>
        </w:numPr>
        <w:spacing w:after="120" w:line="276" w:lineRule="auto"/>
        <w:ind w:left="360"/>
        <w:contextualSpacing w:val="0"/>
        <w:jc w:val="both"/>
        <w:rPr>
          <w:rFonts w:ascii="Arial" w:hAnsi="Arial" w:cs="Arial"/>
        </w:rPr>
      </w:pPr>
      <w:r w:rsidRPr="00597C47">
        <w:rPr>
          <w:rFonts w:ascii="Arial" w:hAnsi="Arial" w:cs="Arial"/>
          <w:b/>
        </w:rPr>
        <w:t>Credit Stress</w:t>
      </w:r>
      <w:r w:rsidRPr="00597C47">
        <w:rPr>
          <w:rFonts w:ascii="Arial" w:hAnsi="Arial" w:cs="Arial"/>
        </w:rPr>
        <w:t xml:space="preserve">: Assess the sufficiency of CCPs’ resources to absorb losses under a combination of market price shocks and </w:t>
      </w:r>
      <w:r w:rsidR="006C501E">
        <w:rPr>
          <w:rFonts w:ascii="Arial" w:hAnsi="Arial" w:cs="Arial"/>
        </w:rPr>
        <w:t>CM</w:t>
      </w:r>
      <w:r w:rsidRPr="00597C47">
        <w:rPr>
          <w:rFonts w:ascii="Arial" w:hAnsi="Arial" w:cs="Arial"/>
        </w:rPr>
        <w:t xml:space="preserve"> default scenarios.</w:t>
      </w:r>
    </w:p>
    <w:p w14:paraId="0A2166B1" w14:textId="3E271A60" w:rsidR="00597C47" w:rsidRPr="00597C47" w:rsidRDefault="00597C47" w:rsidP="005F073F">
      <w:pPr>
        <w:pStyle w:val="ListParagraph"/>
        <w:numPr>
          <w:ilvl w:val="1"/>
          <w:numId w:val="47"/>
        </w:numPr>
        <w:spacing w:after="120" w:line="276" w:lineRule="auto"/>
        <w:ind w:left="360"/>
        <w:contextualSpacing w:val="0"/>
        <w:jc w:val="both"/>
        <w:rPr>
          <w:rFonts w:ascii="Arial" w:hAnsi="Arial" w:cs="Arial"/>
        </w:rPr>
      </w:pPr>
      <w:r w:rsidRPr="00597C47">
        <w:rPr>
          <w:rFonts w:ascii="Arial" w:hAnsi="Arial" w:cs="Arial"/>
          <w:b/>
        </w:rPr>
        <w:t>Liquidity Stress</w:t>
      </w:r>
      <w:r w:rsidRPr="00597C47">
        <w:rPr>
          <w:rFonts w:ascii="Arial" w:hAnsi="Arial" w:cs="Arial"/>
        </w:rPr>
        <w:t>: Assess the sufficiency of CCPs’ liquid resources under a combination of market price shocks, member/liquidity provider default scenarios and additional liquidity stress assumptions.</w:t>
      </w:r>
    </w:p>
    <w:p w14:paraId="62A5300C" w14:textId="7314988D" w:rsidR="00593D70" w:rsidRPr="00597C47" w:rsidRDefault="00593D70" w:rsidP="005F073F">
      <w:pPr>
        <w:pStyle w:val="ListParagraph"/>
        <w:numPr>
          <w:ilvl w:val="1"/>
          <w:numId w:val="47"/>
        </w:numPr>
        <w:spacing w:after="120" w:line="276" w:lineRule="auto"/>
        <w:ind w:left="360"/>
        <w:contextualSpacing w:val="0"/>
        <w:jc w:val="both"/>
        <w:rPr>
          <w:rFonts w:ascii="Arial" w:hAnsi="Arial" w:cs="Arial"/>
        </w:rPr>
      </w:pPr>
      <w:r w:rsidRPr="00125056">
        <w:rPr>
          <w:rFonts w:ascii="Arial" w:hAnsi="Arial" w:cs="Arial"/>
          <w:b/>
          <w:bCs/>
        </w:rPr>
        <w:t>Concentration risk</w:t>
      </w:r>
      <w:r w:rsidRPr="00593D70">
        <w:rPr>
          <w:rFonts w:ascii="Arial" w:hAnsi="Arial" w:cs="Arial"/>
        </w:rPr>
        <w:t>: Assess the impact of liquidation costs derived from concentrated positions</w:t>
      </w:r>
    </w:p>
    <w:p w14:paraId="3E6D3D36" w14:textId="77777777" w:rsidR="00597C47" w:rsidRPr="00597C47" w:rsidRDefault="00597C47" w:rsidP="005F073F">
      <w:pPr>
        <w:pStyle w:val="ListParagraph"/>
        <w:numPr>
          <w:ilvl w:val="1"/>
          <w:numId w:val="47"/>
        </w:numPr>
        <w:spacing w:after="120" w:line="276" w:lineRule="auto"/>
        <w:ind w:left="360"/>
        <w:contextualSpacing w:val="0"/>
        <w:jc w:val="both"/>
        <w:rPr>
          <w:rFonts w:ascii="Arial" w:hAnsi="Arial" w:cs="Arial"/>
        </w:rPr>
      </w:pPr>
      <w:r w:rsidRPr="00597C47">
        <w:rPr>
          <w:rFonts w:ascii="Arial" w:hAnsi="Arial" w:cs="Arial"/>
          <w:b/>
        </w:rPr>
        <w:t>Reverse Credit Stress</w:t>
      </w:r>
      <w:r w:rsidRPr="00597C47">
        <w:rPr>
          <w:rFonts w:ascii="Arial" w:hAnsi="Arial" w:cs="Arial"/>
        </w:rPr>
        <w:t>: Increase the number of defaulting entities and level of shocks to identify at which point resources are exhausted.</w:t>
      </w:r>
    </w:p>
    <w:p w14:paraId="7FD22132" w14:textId="77777777" w:rsidR="00597C47" w:rsidRPr="009311D5" w:rsidRDefault="00597C47" w:rsidP="005F073F">
      <w:pPr>
        <w:pStyle w:val="ListParagraph"/>
        <w:numPr>
          <w:ilvl w:val="1"/>
          <w:numId w:val="47"/>
        </w:numPr>
        <w:spacing w:after="120" w:line="276" w:lineRule="auto"/>
        <w:ind w:left="360"/>
        <w:contextualSpacing w:val="0"/>
        <w:jc w:val="both"/>
        <w:rPr>
          <w:rFonts w:ascii="Arial" w:hAnsi="Arial" w:cs="Arial"/>
          <w:b/>
        </w:rPr>
      </w:pPr>
      <w:r w:rsidRPr="009311D5">
        <w:rPr>
          <w:rFonts w:ascii="Arial" w:hAnsi="Arial" w:cs="Arial"/>
          <w:b/>
        </w:rPr>
        <w:t>Additional Analysis</w:t>
      </w:r>
    </w:p>
    <w:p w14:paraId="2A4086A9" w14:textId="77777777" w:rsidR="00593D70" w:rsidRPr="00593D70" w:rsidRDefault="00593D70" w:rsidP="00125056">
      <w:pPr>
        <w:pStyle w:val="ListParagraph"/>
        <w:numPr>
          <w:ilvl w:val="2"/>
          <w:numId w:val="48"/>
        </w:numPr>
        <w:spacing w:after="120" w:line="276" w:lineRule="auto"/>
        <w:ind w:left="1080"/>
        <w:jc w:val="both"/>
        <w:rPr>
          <w:rFonts w:ascii="Arial" w:hAnsi="Arial" w:cs="Arial"/>
          <w:b/>
        </w:rPr>
      </w:pPr>
      <w:r w:rsidRPr="00593D70">
        <w:rPr>
          <w:rFonts w:ascii="Arial" w:hAnsi="Arial" w:cs="Arial"/>
          <w:b/>
        </w:rPr>
        <w:t xml:space="preserve">CM knock on analysis: </w:t>
      </w:r>
      <w:r w:rsidRPr="00125056">
        <w:rPr>
          <w:rFonts w:ascii="Arial" w:hAnsi="Arial" w:cs="Arial"/>
          <w:bCs/>
        </w:rPr>
        <w:t>Assess the impact of the loss sharing mechanism of CCPs (default fund contributions and power of assessments) on non-defaulting clearing members.</w:t>
      </w:r>
    </w:p>
    <w:p w14:paraId="087ABC11" w14:textId="77777777" w:rsidR="00593D70" w:rsidRPr="00593D70" w:rsidRDefault="00593D70" w:rsidP="00125056">
      <w:pPr>
        <w:pStyle w:val="ListParagraph"/>
        <w:numPr>
          <w:ilvl w:val="2"/>
          <w:numId w:val="48"/>
        </w:numPr>
        <w:spacing w:after="120" w:line="276" w:lineRule="auto"/>
        <w:ind w:left="1080"/>
        <w:jc w:val="both"/>
        <w:rPr>
          <w:rFonts w:ascii="Arial" w:hAnsi="Arial" w:cs="Arial"/>
          <w:b/>
        </w:rPr>
      </w:pPr>
      <w:r w:rsidRPr="00593D70">
        <w:rPr>
          <w:rFonts w:ascii="Arial" w:hAnsi="Arial" w:cs="Arial"/>
          <w:b/>
        </w:rPr>
        <w:lastRenderedPageBreak/>
        <w:t xml:space="preserve">HHI concentration analysis: </w:t>
      </w:r>
      <w:r w:rsidRPr="00125056">
        <w:rPr>
          <w:rFonts w:ascii="Arial" w:hAnsi="Arial" w:cs="Arial"/>
          <w:bCs/>
        </w:rPr>
        <w:t>Assess the degree of concentration of CCPs’ credit and liquidity exposures using the HHI Index.</w:t>
      </w:r>
    </w:p>
    <w:p w14:paraId="678D9444" w14:textId="77777777" w:rsidR="00593D70" w:rsidRPr="00593D70" w:rsidRDefault="00593D70" w:rsidP="00125056">
      <w:pPr>
        <w:pStyle w:val="ListParagraph"/>
        <w:numPr>
          <w:ilvl w:val="2"/>
          <w:numId w:val="48"/>
        </w:numPr>
        <w:spacing w:after="120" w:line="276" w:lineRule="auto"/>
        <w:ind w:left="1080"/>
        <w:jc w:val="both"/>
        <w:rPr>
          <w:rFonts w:ascii="Arial" w:hAnsi="Arial" w:cs="Arial"/>
          <w:b/>
        </w:rPr>
      </w:pPr>
      <w:r w:rsidRPr="00593D70">
        <w:rPr>
          <w:rFonts w:ascii="Arial" w:hAnsi="Arial" w:cs="Arial"/>
          <w:b/>
        </w:rPr>
        <w:t xml:space="preserve">Inter-connectedness: </w:t>
      </w:r>
      <w:r w:rsidRPr="00125056">
        <w:rPr>
          <w:rFonts w:ascii="Arial" w:hAnsi="Arial" w:cs="Arial"/>
          <w:bCs/>
        </w:rPr>
        <w:t>Assess the degree of inter-connectedness of CCPs through common clearing members, custodians or liquidity providers.</w:t>
      </w:r>
    </w:p>
    <w:p w14:paraId="30B7D7EF" w14:textId="77777777" w:rsidR="00597C47" w:rsidRPr="00597C47" w:rsidRDefault="00597C47" w:rsidP="00CD2F06">
      <w:pPr>
        <w:suppressAutoHyphens/>
        <w:spacing w:line="360" w:lineRule="auto"/>
        <w:jc w:val="both"/>
        <w:rPr>
          <w:rFonts w:ascii="Arial" w:hAnsi="Arial" w:cs="Arial"/>
          <w:szCs w:val="22"/>
        </w:rPr>
      </w:pPr>
    </w:p>
    <w:p w14:paraId="53A5B7BE" w14:textId="77777777" w:rsidR="00CD2F06" w:rsidRPr="00597C47" w:rsidRDefault="00CD2F06" w:rsidP="00CD2F06">
      <w:pPr>
        <w:suppressAutoHyphens/>
        <w:spacing w:line="360" w:lineRule="auto"/>
        <w:jc w:val="both"/>
        <w:rPr>
          <w:rFonts w:ascii="Arial" w:hAnsi="Arial" w:cs="Arial"/>
          <w:i/>
          <w:szCs w:val="22"/>
        </w:rPr>
      </w:pPr>
      <w:r w:rsidRPr="00597C47">
        <w:rPr>
          <w:rFonts w:ascii="Arial" w:hAnsi="Arial" w:cs="Arial"/>
          <w:i/>
          <w:szCs w:val="22"/>
        </w:rPr>
        <w:t>Clearing member default scenarios</w:t>
      </w:r>
    </w:p>
    <w:p w14:paraId="33EF8C62" w14:textId="4647E511" w:rsidR="009311D5" w:rsidRDefault="00CD2F06" w:rsidP="009311D5">
      <w:pPr>
        <w:suppressAutoHyphens/>
        <w:spacing w:line="360" w:lineRule="auto"/>
        <w:jc w:val="both"/>
        <w:rPr>
          <w:rFonts w:ascii="Arial" w:hAnsi="Arial" w:cs="Arial"/>
          <w:szCs w:val="22"/>
        </w:rPr>
      </w:pPr>
      <w:r w:rsidRPr="00597C47">
        <w:rPr>
          <w:rFonts w:ascii="Arial" w:hAnsi="Arial" w:cs="Arial"/>
          <w:szCs w:val="22"/>
        </w:rPr>
        <w:t xml:space="preserve">ESMA’s stress test exposed CCPs to </w:t>
      </w:r>
      <w:r w:rsidR="008103B5">
        <w:rPr>
          <w:rFonts w:ascii="Arial" w:hAnsi="Arial" w:cs="Arial"/>
          <w:szCs w:val="22"/>
        </w:rPr>
        <w:t>two</w:t>
      </w:r>
      <w:r w:rsidR="00415F90" w:rsidRPr="00597C47">
        <w:rPr>
          <w:rFonts w:ascii="Arial" w:hAnsi="Arial" w:cs="Arial"/>
          <w:szCs w:val="22"/>
        </w:rPr>
        <w:t xml:space="preserve"> </w:t>
      </w:r>
      <w:r w:rsidRPr="00597C47">
        <w:rPr>
          <w:rFonts w:ascii="Arial" w:hAnsi="Arial" w:cs="Arial"/>
          <w:szCs w:val="22"/>
        </w:rPr>
        <w:t xml:space="preserve">different </w:t>
      </w:r>
      <w:r w:rsidR="006C501E">
        <w:rPr>
          <w:rFonts w:ascii="Arial" w:hAnsi="Arial" w:cs="Arial"/>
          <w:szCs w:val="22"/>
        </w:rPr>
        <w:t xml:space="preserve">CM </w:t>
      </w:r>
      <w:r w:rsidRPr="00597C47">
        <w:rPr>
          <w:rFonts w:ascii="Arial" w:hAnsi="Arial" w:cs="Arial"/>
          <w:szCs w:val="22"/>
        </w:rPr>
        <w:t>default scenarios, which include</w:t>
      </w:r>
      <w:r w:rsidR="009311D5">
        <w:rPr>
          <w:rFonts w:ascii="Arial" w:hAnsi="Arial" w:cs="Arial"/>
          <w:szCs w:val="22"/>
        </w:rPr>
        <w:t>:</w:t>
      </w:r>
    </w:p>
    <w:p w14:paraId="580364CF" w14:textId="2DD3B42A" w:rsidR="00415F90" w:rsidRPr="009311D5" w:rsidRDefault="00A24449" w:rsidP="00415F90">
      <w:pPr>
        <w:pStyle w:val="ListParagraph"/>
        <w:numPr>
          <w:ilvl w:val="0"/>
          <w:numId w:val="50"/>
        </w:numPr>
        <w:suppressAutoHyphens/>
        <w:spacing w:line="360" w:lineRule="auto"/>
        <w:jc w:val="both"/>
        <w:rPr>
          <w:rFonts w:ascii="Arial" w:hAnsi="Arial" w:cs="Arial"/>
        </w:rPr>
      </w:pPr>
      <w:r>
        <w:rPr>
          <w:rFonts w:ascii="Arial" w:hAnsi="Arial" w:cs="Arial"/>
        </w:rPr>
        <w:t>T</w:t>
      </w:r>
      <w:r w:rsidR="00415F90" w:rsidRPr="009311D5">
        <w:rPr>
          <w:rFonts w:ascii="Arial" w:hAnsi="Arial" w:cs="Arial"/>
        </w:rPr>
        <w:t>he default of the two groups of CMs EU-wide with the largest aggregate exposures to EU CCPs (</w:t>
      </w:r>
      <w:r w:rsidR="008103B5" w:rsidRPr="009311D5">
        <w:rPr>
          <w:rFonts w:ascii="Arial" w:hAnsi="Arial" w:cs="Arial"/>
          <w:b/>
        </w:rPr>
        <w:t>Cover-2 groups</w:t>
      </w:r>
      <w:r w:rsidR="008103B5">
        <w:rPr>
          <w:rFonts w:ascii="Arial" w:hAnsi="Arial" w:cs="Arial"/>
          <w:b/>
        </w:rPr>
        <w:t xml:space="preserve"> EU Wide</w:t>
      </w:r>
      <w:r w:rsidR="00125056" w:rsidRPr="009311D5">
        <w:rPr>
          <w:rFonts w:ascii="Arial" w:hAnsi="Arial" w:cs="Arial"/>
        </w:rPr>
        <w:t xml:space="preserve">), </w:t>
      </w:r>
      <w:r w:rsidR="00125056">
        <w:rPr>
          <w:rFonts w:ascii="Arial" w:hAnsi="Arial" w:cs="Arial"/>
        </w:rPr>
        <w:t>which</w:t>
      </w:r>
      <w:r>
        <w:rPr>
          <w:rFonts w:ascii="Arial" w:hAnsi="Arial" w:cs="Arial"/>
        </w:rPr>
        <w:t xml:space="preserve"> is designed to collectively test the resilience of CCPs as a system of financial infrastructures.</w:t>
      </w:r>
    </w:p>
    <w:p w14:paraId="2A512F50" w14:textId="2892411A" w:rsidR="009311D5" w:rsidRPr="009311D5" w:rsidRDefault="00A24449" w:rsidP="009311D5">
      <w:pPr>
        <w:pStyle w:val="ListParagraph"/>
        <w:numPr>
          <w:ilvl w:val="0"/>
          <w:numId w:val="50"/>
        </w:numPr>
        <w:suppressAutoHyphens/>
        <w:spacing w:line="360" w:lineRule="auto"/>
        <w:jc w:val="both"/>
        <w:rPr>
          <w:rFonts w:ascii="Arial" w:hAnsi="Arial" w:cs="Arial"/>
        </w:rPr>
      </w:pPr>
      <w:r>
        <w:rPr>
          <w:rFonts w:ascii="Arial" w:hAnsi="Arial" w:cs="Arial"/>
        </w:rPr>
        <w:t>T</w:t>
      </w:r>
      <w:r w:rsidR="009311D5" w:rsidRPr="009311D5">
        <w:rPr>
          <w:rFonts w:ascii="Arial" w:hAnsi="Arial" w:cs="Arial"/>
        </w:rPr>
        <w:t>he default of the top-2 groups of CM</w:t>
      </w:r>
      <w:r w:rsidR="00415F90">
        <w:rPr>
          <w:rFonts w:ascii="Arial" w:hAnsi="Arial" w:cs="Arial"/>
        </w:rPr>
        <w:t>s</w:t>
      </w:r>
      <w:r w:rsidR="009311D5" w:rsidRPr="009311D5">
        <w:rPr>
          <w:rFonts w:ascii="Arial" w:hAnsi="Arial" w:cs="Arial"/>
        </w:rPr>
        <w:t xml:space="preserve"> for each CCP (</w:t>
      </w:r>
      <w:r w:rsidR="009311D5" w:rsidRPr="009311D5">
        <w:rPr>
          <w:rFonts w:ascii="Arial" w:hAnsi="Arial" w:cs="Arial"/>
          <w:b/>
        </w:rPr>
        <w:t>Cover-2 groups per CCP</w:t>
      </w:r>
      <w:r w:rsidR="009311D5" w:rsidRPr="009311D5">
        <w:rPr>
          <w:rFonts w:ascii="Arial" w:hAnsi="Arial" w:cs="Arial"/>
        </w:rPr>
        <w:t>)</w:t>
      </w:r>
      <w:r>
        <w:rPr>
          <w:rFonts w:ascii="Arial" w:hAnsi="Arial" w:cs="Arial"/>
        </w:rPr>
        <w:t>, which is designed to test the resilience of each CCP independently.</w:t>
      </w:r>
    </w:p>
    <w:p w14:paraId="79B9B661" w14:textId="400F0D74" w:rsidR="005F2D86" w:rsidRDefault="005F2D86" w:rsidP="00CD2F06">
      <w:pPr>
        <w:suppressAutoHyphens/>
        <w:spacing w:line="360" w:lineRule="auto"/>
        <w:jc w:val="both"/>
        <w:rPr>
          <w:rFonts w:ascii="Arial" w:hAnsi="Arial" w:cs="Arial"/>
          <w:szCs w:val="22"/>
        </w:rPr>
      </w:pPr>
    </w:p>
    <w:p w14:paraId="25ADC980" w14:textId="77777777" w:rsidR="00CD2F06" w:rsidRPr="00597C47" w:rsidRDefault="00CD2F06" w:rsidP="00CD2F06">
      <w:pPr>
        <w:suppressAutoHyphens/>
        <w:spacing w:line="360" w:lineRule="auto"/>
        <w:jc w:val="both"/>
        <w:rPr>
          <w:rFonts w:ascii="Arial" w:hAnsi="Arial" w:cs="Arial"/>
          <w:i/>
          <w:szCs w:val="22"/>
        </w:rPr>
      </w:pPr>
      <w:r w:rsidRPr="00597C47">
        <w:rPr>
          <w:rFonts w:ascii="Arial" w:hAnsi="Arial" w:cs="Arial"/>
          <w:i/>
          <w:szCs w:val="22"/>
        </w:rPr>
        <w:t>Market price shock scenarios</w:t>
      </w:r>
    </w:p>
    <w:p w14:paraId="171804F3" w14:textId="595688BB" w:rsidR="00CD2F06" w:rsidRPr="00597C47" w:rsidRDefault="00CD2F06" w:rsidP="00CD2F06">
      <w:pPr>
        <w:suppressAutoHyphens/>
        <w:spacing w:line="360" w:lineRule="auto"/>
        <w:jc w:val="both"/>
        <w:rPr>
          <w:rFonts w:ascii="Arial" w:hAnsi="Arial" w:cs="Arial"/>
          <w:szCs w:val="22"/>
        </w:rPr>
      </w:pPr>
      <w:r w:rsidRPr="00597C47">
        <w:rPr>
          <w:rFonts w:ascii="Arial" w:hAnsi="Arial" w:cs="Arial"/>
          <w:szCs w:val="22"/>
        </w:rPr>
        <w:t>ESMA’s stress tests applied extreme market price shocks to CCPs</w:t>
      </w:r>
      <w:r w:rsidR="00337CA7">
        <w:rPr>
          <w:rFonts w:ascii="Arial" w:hAnsi="Arial" w:cs="Arial"/>
          <w:szCs w:val="22"/>
        </w:rPr>
        <w:t xml:space="preserve"> using </w:t>
      </w:r>
      <w:r w:rsidR="00B20A2E">
        <w:rPr>
          <w:rFonts w:ascii="Arial" w:hAnsi="Arial" w:cs="Arial"/>
          <w:szCs w:val="22"/>
        </w:rPr>
        <w:t xml:space="preserve">one </w:t>
      </w:r>
      <w:r w:rsidR="00EA049F">
        <w:rPr>
          <w:rFonts w:ascii="Arial" w:hAnsi="Arial" w:cs="Arial"/>
          <w:szCs w:val="22"/>
        </w:rPr>
        <w:t xml:space="preserve">common </w:t>
      </w:r>
      <w:r w:rsidR="00337CA7">
        <w:rPr>
          <w:rFonts w:ascii="Arial" w:hAnsi="Arial" w:cs="Arial"/>
          <w:szCs w:val="22"/>
        </w:rPr>
        <w:t xml:space="preserve">market stress scenario. </w:t>
      </w:r>
      <w:proofErr w:type="gramStart"/>
      <w:r w:rsidR="00B20A2E">
        <w:rPr>
          <w:rFonts w:ascii="Arial" w:hAnsi="Arial" w:cs="Arial"/>
          <w:szCs w:val="22"/>
        </w:rPr>
        <w:t>Similarly</w:t>
      </w:r>
      <w:proofErr w:type="gramEnd"/>
      <w:r w:rsidR="00B20A2E">
        <w:rPr>
          <w:rFonts w:ascii="Arial" w:hAnsi="Arial" w:cs="Arial"/>
          <w:szCs w:val="22"/>
        </w:rPr>
        <w:t xml:space="preserve"> to the second exercise, t</w:t>
      </w:r>
      <w:r w:rsidR="00337CA7" w:rsidRPr="00337CA7">
        <w:rPr>
          <w:rFonts w:ascii="Arial" w:hAnsi="Arial" w:cs="Arial"/>
          <w:szCs w:val="22"/>
        </w:rPr>
        <w:t>he stress results are not based on the CCPs’ own scenarios</w:t>
      </w:r>
      <w:r w:rsidR="00337CA7">
        <w:rPr>
          <w:rFonts w:ascii="Arial" w:hAnsi="Arial" w:cs="Arial"/>
          <w:szCs w:val="22"/>
        </w:rPr>
        <w:t xml:space="preserve">. </w:t>
      </w:r>
      <w:r w:rsidR="00337CA7" w:rsidRPr="00337CA7">
        <w:rPr>
          <w:rFonts w:ascii="Arial" w:hAnsi="Arial" w:cs="Arial"/>
          <w:szCs w:val="22"/>
        </w:rPr>
        <w:t xml:space="preserve">The stress results are based on a pre-defined and internally consistent market stress scenario </w:t>
      </w:r>
      <w:r w:rsidR="00337CA7">
        <w:rPr>
          <w:rFonts w:ascii="Arial" w:hAnsi="Arial" w:cs="Arial"/>
          <w:szCs w:val="22"/>
        </w:rPr>
        <w:t>provided by ESRB for the purpose of this exercise.</w:t>
      </w:r>
      <w:r w:rsidR="00337CA7" w:rsidRPr="00337CA7">
        <w:rPr>
          <w:rFonts w:ascii="Arial" w:hAnsi="Arial" w:cs="Arial"/>
          <w:szCs w:val="22"/>
        </w:rPr>
        <w:t xml:space="preserve"> </w:t>
      </w:r>
      <w:r w:rsidR="00337CA7">
        <w:rPr>
          <w:rFonts w:ascii="Arial" w:hAnsi="Arial" w:cs="Arial"/>
          <w:szCs w:val="22"/>
        </w:rPr>
        <w:t xml:space="preserve">The scenario </w:t>
      </w:r>
      <w:r w:rsidR="00B20A2E">
        <w:rPr>
          <w:rFonts w:ascii="Arial" w:hAnsi="Arial" w:cs="Arial"/>
          <w:szCs w:val="22"/>
        </w:rPr>
        <w:t>is</w:t>
      </w:r>
      <w:r w:rsidR="00337CA7">
        <w:rPr>
          <w:rFonts w:ascii="Arial" w:hAnsi="Arial" w:cs="Arial"/>
          <w:szCs w:val="22"/>
        </w:rPr>
        <w:t xml:space="preserve"> </w:t>
      </w:r>
      <w:r w:rsidR="00337CA7" w:rsidRPr="00337CA7">
        <w:rPr>
          <w:rFonts w:ascii="Arial" w:hAnsi="Arial" w:cs="Arial"/>
          <w:szCs w:val="22"/>
        </w:rPr>
        <w:t>common across all CCPs</w:t>
      </w:r>
      <w:r w:rsidR="00337CA7">
        <w:rPr>
          <w:rFonts w:ascii="Arial" w:hAnsi="Arial" w:cs="Arial"/>
          <w:szCs w:val="22"/>
        </w:rPr>
        <w:t xml:space="preserve"> and </w:t>
      </w:r>
      <w:r w:rsidR="00B20A2E">
        <w:rPr>
          <w:rFonts w:ascii="Arial" w:hAnsi="Arial" w:cs="Arial"/>
          <w:szCs w:val="22"/>
        </w:rPr>
        <w:t xml:space="preserve">is </w:t>
      </w:r>
      <w:r w:rsidR="00337CA7" w:rsidRPr="00337CA7">
        <w:rPr>
          <w:rFonts w:ascii="Arial" w:hAnsi="Arial" w:cs="Arial"/>
          <w:szCs w:val="22"/>
        </w:rPr>
        <w:t xml:space="preserve">used </w:t>
      </w:r>
      <w:r w:rsidR="00337CA7">
        <w:rPr>
          <w:rFonts w:ascii="Arial" w:hAnsi="Arial" w:cs="Arial"/>
          <w:szCs w:val="22"/>
        </w:rPr>
        <w:t xml:space="preserve">both </w:t>
      </w:r>
      <w:r w:rsidR="00337CA7" w:rsidRPr="00337CA7">
        <w:rPr>
          <w:rFonts w:ascii="Arial" w:hAnsi="Arial" w:cs="Arial"/>
          <w:szCs w:val="22"/>
        </w:rPr>
        <w:t>for credit and liquidity stress tests.</w:t>
      </w:r>
      <w:r w:rsidR="00337CA7">
        <w:rPr>
          <w:rFonts w:ascii="Arial" w:hAnsi="Arial" w:cs="Arial"/>
          <w:szCs w:val="22"/>
        </w:rPr>
        <w:t xml:space="preserve"> </w:t>
      </w:r>
    </w:p>
    <w:p w14:paraId="0F82A2C4" w14:textId="77777777" w:rsidR="00CD2F06" w:rsidRPr="00597C47" w:rsidRDefault="00CD2F06" w:rsidP="00CD2F06">
      <w:pPr>
        <w:suppressAutoHyphens/>
        <w:spacing w:line="360" w:lineRule="auto"/>
        <w:jc w:val="both"/>
        <w:rPr>
          <w:rFonts w:ascii="Arial" w:hAnsi="Arial" w:cs="Arial"/>
          <w:szCs w:val="22"/>
        </w:rPr>
      </w:pPr>
    </w:p>
    <w:p w14:paraId="7DE37ABE" w14:textId="77777777" w:rsidR="00597C47" w:rsidRPr="00597C47" w:rsidRDefault="00597C47" w:rsidP="00597C47">
      <w:pPr>
        <w:suppressAutoHyphens/>
        <w:spacing w:line="360" w:lineRule="auto"/>
        <w:jc w:val="both"/>
        <w:rPr>
          <w:rFonts w:ascii="Arial" w:hAnsi="Arial" w:cs="Arial"/>
          <w:b/>
          <w:szCs w:val="22"/>
        </w:rPr>
      </w:pPr>
      <w:r w:rsidRPr="00597C47">
        <w:rPr>
          <w:rFonts w:ascii="Arial" w:hAnsi="Arial" w:cs="Arial"/>
          <w:b/>
          <w:szCs w:val="22"/>
        </w:rPr>
        <w:t xml:space="preserve">Why is ESMA testing for simultaneous CMs defaults and market price shocks? </w:t>
      </w:r>
    </w:p>
    <w:p w14:paraId="3964DE60" w14:textId="27B7E351" w:rsidR="00E23A85" w:rsidRDefault="00E23A85" w:rsidP="00597C47">
      <w:pPr>
        <w:suppressAutoHyphens/>
        <w:spacing w:line="360" w:lineRule="auto"/>
        <w:jc w:val="both"/>
        <w:rPr>
          <w:rFonts w:ascii="Arial" w:hAnsi="Arial" w:cs="Arial"/>
          <w:szCs w:val="22"/>
        </w:rPr>
      </w:pPr>
      <w:r w:rsidRPr="00E23A85">
        <w:rPr>
          <w:rFonts w:ascii="Arial" w:hAnsi="Arial" w:cs="Arial"/>
          <w:szCs w:val="22"/>
        </w:rPr>
        <w:t xml:space="preserve">From a credit risk perspective, a combination of </w:t>
      </w:r>
      <w:r w:rsidR="00703914">
        <w:rPr>
          <w:rFonts w:ascii="Arial" w:hAnsi="Arial" w:cs="Arial"/>
          <w:szCs w:val="22"/>
        </w:rPr>
        <w:t>CM</w:t>
      </w:r>
      <w:r w:rsidRPr="00E23A85">
        <w:rPr>
          <w:rFonts w:ascii="Arial" w:hAnsi="Arial" w:cs="Arial"/>
          <w:szCs w:val="22"/>
        </w:rPr>
        <w:t xml:space="preserve"> defaults and simultaneous severe shifts of risk factor prices is needed to put a CCP at risk. If </w:t>
      </w:r>
      <w:r w:rsidR="00703914">
        <w:rPr>
          <w:rFonts w:ascii="Arial" w:hAnsi="Arial" w:cs="Arial"/>
          <w:szCs w:val="22"/>
        </w:rPr>
        <w:t>CMs</w:t>
      </w:r>
      <w:r w:rsidRPr="00E23A85">
        <w:rPr>
          <w:rFonts w:ascii="Arial" w:hAnsi="Arial" w:cs="Arial"/>
          <w:szCs w:val="22"/>
        </w:rPr>
        <w:t xml:space="preserve"> continue to post margin and meet their obligations, periods of extreme market volatility in isolation will not pose a specific market risk to a CCP. Similarly, defaults of </w:t>
      </w:r>
      <w:r w:rsidR="00703914">
        <w:rPr>
          <w:rFonts w:ascii="Arial" w:hAnsi="Arial" w:cs="Arial"/>
          <w:szCs w:val="22"/>
        </w:rPr>
        <w:t>CMs</w:t>
      </w:r>
      <w:r w:rsidRPr="00E23A85">
        <w:rPr>
          <w:rFonts w:ascii="Arial" w:hAnsi="Arial" w:cs="Arial"/>
          <w:szCs w:val="22"/>
        </w:rPr>
        <w:t xml:space="preserve"> without simultaneous adverse market shocks should not put a CCP at risk. </w:t>
      </w:r>
      <w:r w:rsidR="00703914">
        <w:rPr>
          <w:rFonts w:ascii="Arial" w:hAnsi="Arial" w:cs="Arial"/>
          <w:szCs w:val="22"/>
        </w:rPr>
        <w:t>CMs</w:t>
      </w:r>
      <w:r w:rsidRPr="00E23A85">
        <w:rPr>
          <w:rFonts w:ascii="Arial" w:hAnsi="Arial" w:cs="Arial"/>
          <w:szCs w:val="22"/>
        </w:rPr>
        <w:t xml:space="preserve"> post margins and </w:t>
      </w:r>
      <w:r w:rsidR="00703914">
        <w:rPr>
          <w:rFonts w:ascii="Arial" w:hAnsi="Arial" w:cs="Arial"/>
          <w:szCs w:val="22"/>
        </w:rPr>
        <w:t xml:space="preserve">provide </w:t>
      </w:r>
      <w:r w:rsidRPr="00E23A85">
        <w:rPr>
          <w:rFonts w:ascii="Arial" w:hAnsi="Arial" w:cs="Arial"/>
          <w:szCs w:val="22"/>
        </w:rPr>
        <w:t xml:space="preserve">default fund contributions </w:t>
      </w:r>
      <w:r w:rsidR="00703914">
        <w:rPr>
          <w:rFonts w:ascii="Arial" w:hAnsi="Arial" w:cs="Arial"/>
          <w:szCs w:val="22"/>
        </w:rPr>
        <w:t xml:space="preserve">which taken together provide </w:t>
      </w:r>
      <w:r w:rsidRPr="00E23A85">
        <w:rPr>
          <w:rFonts w:ascii="Arial" w:hAnsi="Arial" w:cs="Arial"/>
          <w:szCs w:val="22"/>
        </w:rPr>
        <w:t xml:space="preserve"> a very high confidence level</w:t>
      </w:r>
      <w:r w:rsidR="00C078B6">
        <w:rPr>
          <w:rFonts w:ascii="Arial" w:hAnsi="Arial" w:cs="Arial"/>
          <w:szCs w:val="22"/>
        </w:rPr>
        <w:t>. This should make sure that</w:t>
      </w:r>
      <w:r w:rsidRPr="00E23A85">
        <w:rPr>
          <w:rFonts w:ascii="Arial" w:hAnsi="Arial" w:cs="Arial"/>
          <w:szCs w:val="22"/>
        </w:rPr>
        <w:t xml:space="preserve"> CCPs </w:t>
      </w:r>
      <w:r w:rsidR="00703914">
        <w:rPr>
          <w:rFonts w:ascii="Arial" w:hAnsi="Arial" w:cs="Arial"/>
          <w:szCs w:val="22"/>
        </w:rPr>
        <w:t xml:space="preserve">have </w:t>
      </w:r>
      <w:r w:rsidRPr="00E23A85">
        <w:rPr>
          <w:rFonts w:ascii="Arial" w:hAnsi="Arial" w:cs="Arial"/>
          <w:szCs w:val="22"/>
        </w:rPr>
        <w:t xml:space="preserve">sufficient resources to manage a default of a </w:t>
      </w:r>
      <w:r w:rsidR="00703914">
        <w:rPr>
          <w:rFonts w:ascii="Arial" w:hAnsi="Arial" w:cs="Arial"/>
          <w:szCs w:val="22"/>
        </w:rPr>
        <w:t>CM</w:t>
      </w:r>
      <w:r w:rsidRPr="00E23A85">
        <w:rPr>
          <w:rFonts w:ascii="Arial" w:hAnsi="Arial" w:cs="Arial"/>
          <w:szCs w:val="22"/>
        </w:rPr>
        <w:t xml:space="preserve"> in normal market conditions</w:t>
      </w:r>
      <w:r w:rsidR="00703914">
        <w:rPr>
          <w:rFonts w:ascii="Arial" w:hAnsi="Arial" w:cs="Arial"/>
          <w:szCs w:val="22"/>
        </w:rPr>
        <w:t xml:space="preserve"> </w:t>
      </w:r>
      <w:r w:rsidRPr="00E23A85">
        <w:rPr>
          <w:rFonts w:ascii="Arial" w:hAnsi="Arial" w:cs="Arial"/>
          <w:szCs w:val="22"/>
        </w:rPr>
        <w:t xml:space="preserve">and close out the resulting open positions in a stable market before suffering a loss. Therefore, under normal market conditions, the CCPs will have the resources to withstand multiple defaults. Hence, from a credit risk perspective and with the exception of investment risks, only simultaneous defaults and extreme, adverse shifts of market prices could pose potential risk to a CCP. </w:t>
      </w:r>
    </w:p>
    <w:p w14:paraId="762FD80F" w14:textId="791659F6" w:rsidR="0034212B" w:rsidRDefault="0034212B" w:rsidP="004A639F">
      <w:pPr>
        <w:suppressAutoHyphens/>
        <w:spacing w:line="360" w:lineRule="auto"/>
        <w:jc w:val="both"/>
        <w:rPr>
          <w:rFonts w:ascii="Arial" w:hAnsi="Arial" w:cs="Arial"/>
          <w:b/>
          <w:szCs w:val="22"/>
        </w:rPr>
      </w:pPr>
    </w:p>
    <w:p w14:paraId="698627B4" w14:textId="77777777" w:rsidR="00943888" w:rsidRPr="00597C47" w:rsidRDefault="00943888" w:rsidP="004A639F">
      <w:pPr>
        <w:suppressAutoHyphens/>
        <w:spacing w:line="360" w:lineRule="auto"/>
        <w:jc w:val="both"/>
        <w:rPr>
          <w:rFonts w:ascii="Arial" w:hAnsi="Arial" w:cs="Arial"/>
          <w:b/>
          <w:szCs w:val="22"/>
        </w:rPr>
      </w:pPr>
    </w:p>
    <w:p w14:paraId="762FD810" w14:textId="77777777" w:rsidR="00FA6132" w:rsidRPr="00597C47" w:rsidRDefault="00FA6132" w:rsidP="00FA6132">
      <w:pPr>
        <w:suppressAutoHyphens/>
        <w:spacing w:line="360" w:lineRule="auto"/>
        <w:jc w:val="both"/>
        <w:rPr>
          <w:rFonts w:ascii="Arial" w:hAnsi="Arial" w:cs="Arial"/>
          <w:b/>
          <w:szCs w:val="22"/>
        </w:rPr>
      </w:pPr>
      <w:r w:rsidRPr="00597C47">
        <w:rPr>
          <w:rFonts w:ascii="Arial" w:hAnsi="Arial" w:cs="Arial"/>
          <w:b/>
          <w:szCs w:val="22"/>
        </w:rPr>
        <w:lastRenderedPageBreak/>
        <w:t xml:space="preserve">What is </w:t>
      </w:r>
      <w:r w:rsidR="0099097B" w:rsidRPr="00597C47">
        <w:rPr>
          <w:rFonts w:ascii="Arial" w:hAnsi="Arial" w:cs="Arial"/>
          <w:b/>
          <w:szCs w:val="22"/>
        </w:rPr>
        <w:t xml:space="preserve">counterparty </w:t>
      </w:r>
      <w:r w:rsidRPr="00597C47">
        <w:rPr>
          <w:rFonts w:ascii="Arial" w:hAnsi="Arial" w:cs="Arial"/>
          <w:b/>
          <w:szCs w:val="22"/>
        </w:rPr>
        <w:t xml:space="preserve">credit risk? </w:t>
      </w:r>
    </w:p>
    <w:p w14:paraId="762FD811" w14:textId="542C7084" w:rsidR="00FA6132" w:rsidRDefault="00FA6132" w:rsidP="00FA6132">
      <w:pPr>
        <w:suppressAutoHyphens/>
        <w:spacing w:line="360" w:lineRule="auto"/>
        <w:jc w:val="both"/>
        <w:rPr>
          <w:rFonts w:ascii="Arial" w:hAnsi="Arial" w:cs="Arial"/>
          <w:szCs w:val="22"/>
        </w:rPr>
      </w:pPr>
      <w:r w:rsidRPr="00597C47">
        <w:rPr>
          <w:rFonts w:ascii="Arial" w:hAnsi="Arial" w:cs="Arial"/>
          <w:szCs w:val="22"/>
        </w:rPr>
        <w:t xml:space="preserve">A key risk attached to financial market transactions is counterparty credit risk — the risk that one party to a contract defaults and cannot meet its obligations under the contract. This can lead to a loss for the counterparty on the other side of the contract. If those losses are severe enough, they may cause the affected </w:t>
      </w:r>
      <w:proofErr w:type="gramStart"/>
      <w:r w:rsidRPr="00597C47">
        <w:rPr>
          <w:rFonts w:ascii="Arial" w:hAnsi="Arial" w:cs="Arial"/>
          <w:szCs w:val="22"/>
        </w:rPr>
        <w:t>parties</w:t>
      </w:r>
      <w:proofErr w:type="gramEnd"/>
      <w:r w:rsidRPr="00597C47">
        <w:rPr>
          <w:rFonts w:ascii="Arial" w:hAnsi="Arial" w:cs="Arial"/>
          <w:szCs w:val="22"/>
        </w:rPr>
        <w:t xml:space="preserve"> financial distress</w:t>
      </w:r>
      <w:r w:rsidR="00FA7393">
        <w:rPr>
          <w:rFonts w:ascii="Arial" w:hAnsi="Arial" w:cs="Arial"/>
          <w:szCs w:val="22"/>
        </w:rPr>
        <w:t xml:space="preserve">, </w:t>
      </w:r>
      <w:r w:rsidRPr="00597C47">
        <w:rPr>
          <w:rFonts w:ascii="Arial" w:hAnsi="Arial" w:cs="Arial"/>
          <w:szCs w:val="22"/>
        </w:rPr>
        <w:t>which, in turn, can have a knock-on effect for their creditors.</w:t>
      </w:r>
      <w:r w:rsidR="00FA7393" w:rsidRPr="00FA7393">
        <w:t xml:space="preserve"> </w:t>
      </w:r>
      <w:r w:rsidR="00FA7393">
        <w:rPr>
          <w:rFonts w:ascii="Arial" w:hAnsi="Arial" w:cs="Arial"/>
          <w:szCs w:val="22"/>
        </w:rPr>
        <w:t>CCPs</w:t>
      </w:r>
      <w:r w:rsidR="00FA7393" w:rsidRPr="00FA7393">
        <w:rPr>
          <w:rFonts w:ascii="Arial" w:hAnsi="Arial" w:cs="Arial"/>
          <w:szCs w:val="22"/>
        </w:rPr>
        <w:t xml:space="preserve"> were setup to reduce </w:t>
      </w:r>
      <w:r w:rsidR="00FA7393">
        <w:rPr>
          <w:rFonts w:ascii="Arial" w:hAnsi="Arial" w:cs="Arial"/>
          <w:szCs w:val="22"/>
        </w:rPr>
        <w:t>the counterparty credit</w:t>
      </w:r>
      <w:r w:rsidR="00FA7393" w:rsidRPr="00FA7393">
        <w:rPr>
          <w:rFonts w:ascii="Arial" w:hAnsi="Arial" w:cs="Arial"/>
          <w:szCs w:val="22"/>
        </w:rPr>
        <w:t xml:space="preserve"> risk stemming from bilateral relationships.</w:t>
      </w:r>
      <w:r w:rsidRPr="00597C47">
        <w:rPr>
          <w:rFonts w:ascii="Arial" w:hAnsi="Arial" w:cs="Arial"/>
          <w:szCs w:val="22"/>
        </w:rPr>
        <w:t xml:space="preserve"> </w:t>
      </w:r>
      <w:r w:rsidR="00703914">
        <w:rPr>
          <w:rFonts w:ascii="Arial" w:hAnsi="Arial" w:cs="Arial"/>
          <w:szCs w:val="22"/>
        </w:rPr>
        <w:t>But CCPs themselves</w:t>
      </w:r>
      <w:r w:rsidR="00FA7393" w:rsidRPr="00597C47">
        <w:rPr>
          <w:rFonts w:ascii="Arial" w:hAnsi="Arial" w:cs="Arial"/>
          <w:szCs w:val="22"/>
        </w:rPr>
        <w:t xml:space="preserve"> </w:t>
      </w:r>
      <w:r w:rsidRPr="00597C47">
        <w:rPr>
          <w:rFonts w:ascii="Arial" w:hAnsi="Arial" w:cs="Arial"/>
          <w:szCs w:val="22"/>
        </w:rPr>
        <w:t xml:space="preserve">are </w:t>
      </w:r>
      <w:r w:rsidR="00FA7393">
        <w:rPr>
          <w:rFonts w:ascii="Arial" w:hAnsi="Arial" w:cs="Arial"/>
          <w:szCs w:val="22"/>
        </w:rPr>
        <w:t xml:space="preserve">also </w:t>
      </w:r>
      <w:r w:rsidRPr="00597C47">
        <w:rPr>
          <w:rFonts w:ascii="Arial" w:hAnsi="Arial" w:cs="Arial"/>
          <w:szCs w:val="22"/>
        </w:rPr>
        <w:t>exposed to this risk</w:t>
      </w:r>
      <w:r w:rsidR="00FA7393">
        <w:rPr>
          <w:rFonts w:ascii="Arial" w:hAnsi="Arial" w:cs="Arial"/>
          <w:szCs w:val="22"/>
        </w:rPr>
        <w:t>,</w:t>
      </w:r>
      <w:r w:rsidRPr="00597C47">
        <w:rPr>
          <w:rFonts w:ascii="Arial" w:hAnsi="Arial" w:cs="Arial"/>
          <w:szCs w:val="22"/>
        </w:rPr>
        <w:t xml:space="preserve"> as they become </w:t>
      </w:r>
      <w:r w:rsidR="00703914">
        <w:rPr>
          <w:rFonts w:ascii="Arial" w:hAnsi="Arial" w:cs="Arial"/>
          <w:szCs w:val="22"/>
        </w:rPr>
        <w:t xml:space="preserve">– </w:t>
      </w:r>
      <w:r w:rsidRPr="00597C47">
        <w:rPr>
          <w:rFonts w:ascii="Arial" w:hAnsi="Arial" w:cs="Arial"/>
          <w:szCs w:val="22"/>
        </w:rPr>
        <w:t>with respect to a cleared transaction</w:t>
      </w:r>
      <w:r w:rsidR="00703914">
        <w:rPr>
          <w:rFonts w:ascii="Arial" w:hAnsi="Arial" w:cs="Arial"/>
          <w:szCs w:val="22"/>
        </w:rPr>
        <w:t xml:space="preserve"> –</w:t>
      </w:r>
      <w:r w:rsidRPr="00597C47">
        <w:rPr>
          <w:rFonts w:ascii="Arial" w:hAnsi="Arial" w:cs="Arial"/>
          <w:szCs w:val="22"/>
        </w:rPr>
        <w:t xml:space="preserve"> the counterparty of two CMs and are therefore exposed to risks arising from the default of one</w:t>
      </w:r>
      <w:r w:rsidR="005945BD" w:rsidRPr="00597C47">
        <w:rPr>
          <w:rFonts w:ascii="Arial" w:hAnsi="Arial" w:cs="Arial"/>
          <w:szCs w:val="22"/>
        </w:rPr>
        <w:t>, or multiple,</w:t>
      </w:r>
      <w:r w:rsidRPr="00597C47">
        <w:rPr>
          <w:rFonts w:ascii="Arial" w:hAnsi="Arial" w:cs="Arial"/>
          <w:szCs w:val="22"/>
        </w:rPr>
        <w:t xml:space="preserve"> of its c</w:t>
      </w:r>
      <w:r w:rsidR="00703914">
        <w:rPr>
          <w:rFonts w:ascii="Arial" w:hAnsi="Arial" w:cs="Arial"/>
          <w:szCs w:val="22"/>
        </w:rPr>
        <w:t>ounterparties.</w:t>
      </w:r>
    </w:p>
    <w:p w14:paraId="788F8FC0" w14:textId="77777777" w:rsidR="00397FBA" w:rsidRDefault="00397FBA" w:rsidP="00FA6132">
      <w:pPr>
        <w:suppressAutoHyphens/>
        <w:spacing w:line="360" w:lineRule="auto"/>
        <w:jc w:val="both"/>
        <w:rPr>
          <w:rFonts w:ascii="Arial" w:hAnsi="Arial" w:cs="Arial"/>
          <w:szCs w:val="22"/>
        </w:rPr>
      </w:pPr>
    </w:p>
    <w:p w14:paraId="168DBBDE" w14:textId="002310DC" w:rsidR="00397FBA" w:rsidRDefault="00397FBA" w:rsidP="00FA6132">
      <w:pPr>
        <w:suppressAutoHyphens/>
        <w:spacing w:line="360" w:lineRule="auto"/>
        <w:jc w:val="both"/>
        <w:rPr>
          <w:rFonts w:ascii="Arial" w:hAnsi="Arial" w:cs="Arial"/>
          <w:szCs w:val="22"/>
        </w:rPr>
      </w:pPr>
      <w:r w:rsidRPr="00397FBA">
        <w:rPr>
          <w:rFonts w:ascii="Arial" w:hAnsi="Arial" w:cs="Arial"/>
          <w:noProof/>
          <w:szCs w:val="22"/>
          <w:lang w:eastAsia="en-GB"/>
        </w:rPr>
        <w:drawing>
          <wp:anchor distT="0" distB="0" distL="114300" distR="114300" simplePos="0" relativeHeight="251658243" behindDoc="1" locked="0" layoutInCell="1" allowOverlap="1" wp14:anchorId="332D3A1B" wp14:editId="0F0FB4ED">
            <wp:simplePos x="0" y="0"/>
            <wp:positionH relativeFrom="margin">
              <wp:posOffset>219710</wp:posOffset>
            </wp:positionH>
            <wp:positionV relativeFrom="paragraph">
              <wp:posOffset>8255</wp:posOffset>
            </wp:positionV>
            <wp:extent cx="2262505" cy="1073785"/>
            <wp:effectExtent l="0" t="0" r="4445" b="0"/>
            <wp:wrapTight wrapText="bothSides">
              <wp:wrapPolygon edited="1">
                <wp:start x="-2132" y="0"/>
                <wp:lineTo x="-1827" y="29631"/>
                <wp:lineTo x="21600" y="28990"/>
                <wp:lineTo x="21461" y="0"/>
                <wp:lineTo x="-2132"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62505" cy="10737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F2AF5D7" w14:textId="6E5F8C6F" w:rsidR="00397FBA" w:rsidRPr="00597C47" w:rsidRDefault="00397FBA" w:rsidP="00FA6132">
      <w:pPr>
        <w:suppressAutoHyphens/>
        <w:spacing w:line="360" w:lineRule="auto"/>
        <w:jc w:val="both"/>
        <w:rPr>
          <w:rFonts w:ascii="Arial" w:hAnsi="Arial" w:cs="Arial"/>
          <w:szCs w:val="22"/>
        </w:rPr>
      </w:pPr>
    </w:p>
    <w:p w14:paraId="762FD812" w14:textId="2F7C9346" w:rsidR="00FA6132" w:rsidRDefault="00FA6132" w:rsidP="00FA6132">
      <w:pPr>
        <w:suppressAutoHyphens/>
        <w:spacing w:line="360" w:lineRule="auto"/>
        <w:jc w:val="both"/>
        <w:rPr>
          <w:rFonts w:ascii="Arial" w:hAnsi="Arial" w:cs="Arial"/>
          <w:szCs w:val="22"/>
        </w:rPr>
      </w:pPr>
    </w:p>
    <w:p w14:paraId="4CEE31CC" w14:textId="24418F54" w:rsidR="00397FBA" w:rsidRDefault="00397FBA" w:rsidP="00FA6132">
      <w:pPr>
        <w:suppressAutoHyphens/>
        <w:spacing w:line="360" w:lineRule="auto"/>
        <w:jc w:val="both"/>
        <w:rPr>
          <w:rFonts w:ascii="Arial" w:hAnsi="Arial" w:cs="Arial"/>
          <w:szCs w:val="22"/>
        </w:rPr>
      </w:pPr>
    </w:p>
    <w:p w14:paraId="0CF88B0A" w14:textId="6CB9B376" w:rsidR="00397FBA" w:rsidRDefault="00397FBA" w:rsidP="00FA6132">
      <w:pPr>
        <w:suppressAutoHyphens/>
        <w:spacing w:line="360" w:lineRule="auto"/>
        <w:jc w:val="both"/>
        <w:rPr>
          <w:rFonts w:ascii="Arial" w:hAnsi="Arial" w:cs="Arial"/>
          <w:szCs w:val="22"/>
        </w:rPr>
      </w:pPr>
    </w:p>
    <w:p w14:paraId="17989E43" w14:textId="4E031662" w:rsidR="00397FBA" w:rsidRPr="00597C47" w:rsidRDefault="00703914" w:rsidP="00FA6132">
      <w:pPr>
        <w:suppressAutoHyphens/>
        <w:spacing w:line="360" w:lineRule="auto"/>
        <w:jc w:val="both"/>
        <w:rPr>
          <w:rFonts w:ascii="Arial" w:hAnsi="Arial" w:cs="Arial"/>
          <w:szCs w:val="22"/>
        </w:rPr>
      </w:pPr>
      <w:r w:rsidRPr="00597C47">
        <w:rPr>
          <w:rFonts w:ascii="Arial" w:hAnsi="Arial" w:cs="Arial"/>
          <w:noProof/>
          <w:szCs w:val="22"/>
          <w:lang w:eastAsia="en-GB"/>
        </w:rPr>
        <mc:AlternateContent>
          <mc:Choice Requires="wps">
            <w:drawing>
              <wp:anchor distT="0" distB="0" distL="114300" distR="114300" simplePos="0" relativeHeight="251658245" behindDoc="1" locked="0" layoutInCell="1" allowOverlap="1" wp14:anchorId="677E868A" wp14:editId="2F6D9490">
                <wp:simplePos x="0" y="0"/>
                <wp:positionH relativeFrom="column">
                  <wp:posOffset>195580</wp:posOffset>
                </wp:positionH>
                <wp:positionV relativeFrom="paragraph">
                  <wp:posOffset>9525</wp:posOffset>
                </wp:positionV>
                <wp:extent cx="2296160" cy="435610"/>
                <wp:effectExtent l="0" t="0" r="8890" b="2540"/>
                <wp:wrapTight wrapText="bothSides">
                  <wp:wrapPolygon edited="0">
                    <wp:start x="0" y="0"/>
                    <wp:lineTo x="0" y="20781"/>
                    <wp:lineTo x="21504" y="20781"/>
                    <wp:lineTo x="21504" y="0"/>
                    <wp:lineTo x="0" y="0"/>
                  </wp:wrapPolygon>
                </wp:wrapTight>
                <wp:docPr id="6" name="Text Box 6"/>
                <wp:cNvGraphicFramePr/>
                <a:graphic xmlns:a="http://schemas.openxmlformats.org/drawingml/2006/main">
                  <a:graphicData uri="http://schemas.microsoft.com/office/word/2010/wordprocessingShape">
                    <wps:wsp>
                      <wps:cNvSpPr txBox="1"/>
                      <wps:spPr>
                        <a:xfrm>
                          <a:off x="0" y="0"/>
                          <a:ext cx="2296160" cy="435610"/>
                        </a:xfrm>
                        <a:prstGeom prst="rect">
                          <a:avLst/>
                        </a:prstGeom>
                        <a:noFill/>
                        <a:ln>
                          <a:noFill/>
                        </a:ln>
                      </wps:spPr>
                      <wps:txbx>
                        <w:txbxContent>
                          <w:p w14:paraId="71FB3A93" w14:textId="09D1B938" w:rsidR="00F16D2D" w:rsidRPr="006613DE" w:rsidRDefault="00F16D2D" w:rsidP="00ED251C">
                            <w:pPr>
                              <w:pStyle w:val="Caption"/>
                              <w:jc w:val="left"/>
                            </w:pPr>
                            <w:r>
                              <w:t>Figure: ELEMENTS OF COUNTERPARTY CREDIT RISK</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77E868A" id="Text Box 6" o:spid="_x0000_s1027" type="#_x0000_t202" style="position:absolute;left:0;text-align:left;margin-left:15.4pt;margin-top:.75pt;width:180.8pt;height:34.3pt;z-index:-25165823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RaHQIAAD8EAAAOAAAAZHJzL2Uyb0RvYy54bWysU01v2zAMvQ/YfxB0X5xkm7EacYqsRYYB&#10;QVsgGXpWZCk2YIkapcTOfv0oOU63bqdhF5omKX48Pi5ue9Oyk0LfgC35bDLlTFkJVWMPJf+2W7/7&#10;xJkPwlaiBatKflae3y7fvll0rlBzqKGtFDJKYn3RuZLXIbgiy7yslRF+Ak5ZcmpAIwL94iGrUHSU&#10;3bTZfDrNsw6wcghSeU/W+8HJlym/1kqGR629CqwtOfUWksQk91Fmy4UoDihc3chLG+IfujCisVT0&#10;mupeBMGO2PyRyjQSwYMOEwkmA60bqdIMNM1s+mqabS2cSrMQON5dYfL/L618OD0ha6qS55xZYWhF&#10;O9UH9hl6lkd0OucLCto6Cgs9mWnLo92TMQ7dazTxS+Mw8hPO5yu2MZkk43x+k89ycknyfXj/MZ8l&#10;8LOX1w59+KLAsKiUHGl3CVJx2vhAnVDoGBKLWVg3bZv219rfDBQYLVlsfWgxaqHf92nQa/t7qM40&#10;FcLACu/kuqHSG+HDk0CiAXVL1A6PJHQLXcnhonFWA/74mz3G03bIy1lHtCq5/34UqDhrv1raW+Tg&#10;qOCo7EfFHs0dEFNndDROJpUeYGhHVSOYZ2L8KlYhl7CSapU8jOpdGMhNFyPVapWCiGlOhI3dOhlT&#10;R6wikLv+WaC7oB1oTw8wEk4Ur0AfYgeUV8cAukkbibgOKF7gJpamRV0uKp7Br/8p6uXulz8BAAD/&#10;/wMAUEsDBBQABgAIAAAAIQDx2eYd3QAAAAcBAAAPAAAAZHJzL2Rvd25yZXYueG1sTM7BTsMwDAbg&#10;OxLvEBmJG0u2wWCl6TQhOCEhunLgmDZeG61xSpNt5e0xJzjav/X7yzeT78UJx+gCaZjPFAikJlhH&#10;rYaP6uXmAURMhqzpA6GGb4ywKS4vcpPZcKYST7vUCi6hmBkNXUpDJmVsOvQmzsKAxNk+jN4kHsdW&#10;2tGcudz3cqHUSnrjiD90ZsCnDpvD7ug1bD+pfHZfb/V7uS9dVa0Vva4OWl9fTdtHEAmn9HcMv3ym&#10;Q8GmOhzJRtFrWCqWJ97fgeB4uV7cgqg13Ks5yCKX//3FDwAAAP//AwBQSwECLQAUAAYACAAAACEA&#10;toM4kv4AAADhAQAAEwAAAAAAAAAAAAAAAAAAAAAAW0NvbnRlbnRfVHlwZXNdLnhtbFBLAQItABQA&#10;BgAIAAAAIQA4/SH/1gAAAJQBAAALAAAAAAAAAAAAAAAAAC8BAABfcmVscy8ucmVsc1BLAQItABQA&#10;BgAIAAAAIQDrY+RaHQIAAD8EAAAOAAAAAAAAAAAAAAAAAC4CAABkcnMvZTJvRG9jLnhtbFBLAQIt&#10;ABQABgAIAAAAIQDx2eYd3QAAAAcBAAAPAAAAAAAAAAAAAAAAAHcEAABkcnMvZG93bnJldi54bWxQ&#10;SwUGAAAAAAQABADzAAAAgQUAAAAA&#10;" filled="f" stroked="f">
                <v:textbox inset="0,0,0,0">
                  <w:txbxContent>
                    <w:p w14:paraId="71FB3A93" w14:textId="09D1B938" w:rsidR="00F16D2D" w:rsidRPr="006613DE" w:rsidRDefault="00F16D2D" w:rsidP="00ED251C">
                      <w:pPr>
                        <w:pStyle w:val="Caption"/>
                        <w:jc w:val="left"/>
                      </w:pPr>
                      <w:r>
                        <w:t>Figure: ELEMENTS OF COUNTERPARTY CREDIT RISK</w:t>
                      </w:r>
                    </w:p>
                  </w:txbxContent>
                </v:textbox>
                <w10:wrap type="tight"/>
              </v:shape>
            </w:pict>
          </mc:Fallback>
        </mc:AlternateContent>
      </w:r>
    </w:p>
    <w:p w14:paraId="478A6765" w14:textId="77777777" w:rsidR="00577F0B" w:rsidRDefault="00577F0B" w:rsidP="00FA6132">
      <w:pPr>
        <w:suppressAutoHyphens/>
        <w:spacing w:line="360" w:lineRule="auto"/>
        <w:jc w:val="both"/>
        <w:rPr>
          <w:rFonts w:ascii="Arial" w:hAnsi="Arial" w:cs="Arial"/>
          <w:b/>
          <w:szCs w:val="22"/>
        </w:rPr>
      </w:pPr>
    </w:p>
    <w:p w14:paraId="762FD813" w14:textId="3934366E" w:rsidR="00FA6132" w:rsidRPr="00597C47" w:rsidRDefault="00FA6132" w:rsidP="00FA6132">
      <w:pPr>
        <w:suppressAutoHyphens/>
        <w:spacing w:line="360" w:lineRule="auto"/>
        <w:jc w:val="both"/>
        <w:rPr>
          <w:rFonts w:ascii="Arial" w:hAnsi="Arial" w:cs="Arial"/>
          <w:szCs w:val="22"/>
        </w:rPr>
      </w:pPr>
      <w:r w:rsidRPr="00597C47">
        <w:rPr>
          <w:rFonts w:ascii="Arial" w:hAnsi="Arial" w:cs="Arial"/>
          <w:b/>
          <w:szCs w:val="22"/>
        </w:rPr>
        <w:t xml:space="preserve">Is </w:t>
      </w:r>
      <w:r w:rsidR="0099097B" w:rsidRPr="00597C47">
        <w:rPr>
          <w:rFonts w:ascii="Arial" w:hAnsi="Arial" w:cs="Arial"/>
          <w:b/>
          <w:szCs w:val="22"/>
        </w:rPr>
        <w:t xml:space="preserve">counterparty </w:t>
      </w:r>
      <w:r w:rsidRPr="00597C47">
        <w:rPr>
          <w:rFonts w:ascii="Arial" w:hAnsi="Arial" w:cs="Arial"/>
          <w:b/>
          <w:szCs w:val="22"/>
        </w:rPr>
        <w:t>credit risk the only risk that CCPs face?</w:t>
      </w:r>
    </w:p>
    <w:p w14:paraId="762FD814" w14:textId="2FAB55F3" w:rsidR="00FA6132" w:rsidRPr="00597C47" w:rsidRDefault="00FA6132" w:rsidP="00FA6132">
      <w:pPr>
        <w:suppressAutoHyphens/>
        <w:spacing w:line="360" w:lineRule="auto"/>
        <w:jc w:val="both"/>
        <w:rPr>
          <w:rFonts w:ascii="Arial" w:hAnsi="Arial" w:cs="Arial"/>
          <w:szCs w:val="22"/>
        </w:rPr>
      </w:pPr>
      <w:r w:rsidRPr="00597C47">
        <w:rPr>
          <w:rFonts w:ascii="Arial" w:hAnsi="Arial" w:cs="Arial"/>
          <w:szCs w:val="22"/>
        </w:rPr>
        <w:t>No. CCPs are also subject to other types of risks, such as liquidity, investment (credit &amp; market) and operational risks that could in isolation</w:t>
      </w:r>
      <w:r w:rsidR="00CC1EA8">
        <w:rPr>
          <w:rFonts w:ascii="Arial" w:hAnsi="Arial" w:cs="Arial"/>
          <w:szCs w:val="22"/>
        </w:rPr>
        <w:t>,</w:t>
      </w:r>
      <w:r w:rsidRPr="00597C47">
        <w:rPr>
          <w:rFonts w:ascii="Arial" w:hAnsi="Arial" w:cs="Arial"/>
          <w:szCs w:val="22"/>
        </w:rPr>
        <w:t xml:space="preserve"> or </w:t>
      </w:r>
      <w:r w:rsidR="00CC1EA8">
        <w:rPr>
          <w:rFonts w:ascii="Arial" w:hAnsi="Arial" w:cs="Arial"/>
          <w:szCs w:val="22"/>
        </w:rPr>
        <w:t>combined</w:t>
      </w:r>
      <w:r w:rsidRPr="00597C47">
        <w:rPr>
          <w:rFonts w:ascii="Arial" w:hAnsi="Arial" w:cs="Arial"/>
          <w:szCs w:val="22"/>
        </w:rPr>
        <w:t xml:space="preserve"> with counterparty credit risk</w:t>
      </w:r>
      <w:r w:rsidR="00CC1EA8">
        <w:rPr>
          <w:rFonts w:ascii="Arial" w:hAnsi="Arial" w:cs="Arial"/>
          <w:szCs w:val="22"/>
        </w:rPr>
        <w:t>,</w:t>
      </w:r>
      <w:r w:rsidRPr="00597C47">
        <w:rPr>
          <w:rFonts w:ascii="Arial" w:hAnsi="Arial" w:cs="Arial"/>
          <w:szCs w:val="22"/>
        </w:rPr>
        <w:t xml:space="preserve"> challenge their resilience. </w:t>
      </w:r>
    </w:p>
    <w:p w14:paraId="1A9B067A" w14:textId="77777777" w:rsidR="00597C47" w:rsidRPr="00597C47" w:rsidRDefault="00597C47" w:rsidP="00FA6132">
      <w:pPr>
        <w:suppressAutoHyphens/>
        <w:spacing w:line="360" w:lineRule="auto"/>
        <w:jc w:val="both"/>
        <w:rPr>
          <w:rFonts w:ascii="Arial" w:hAnsi="Arial" w:cs="Arial"/>
          <w:szCs w:val="22"/>
        </w:rPr>
      </w:pPr>
    </w:p>
    <w:p w14:paraId="0157C4A4" w14:textId="450E7F3A" w:rsidR="005945BD" w:rsidRPr="00597C47" w:rsidRDefault="00CD2F06" w:rsidP="006455B3">
      <w:pPr>
        <w:suppressAutoHyphens/>
        <w:spacing w:line="360" w:lineRule="auto"/>
        <w:jc w:val="both"/>
        <w:rPr>
          <w:rFonts w:ascii="Arial" w:hAnsi="Arial" w:cs="Arial"/>
          <w:b/>
          <w:szCs w:val="22"/>
        </w:rPr>
      </w:pPr>
      <w:r w:rsidRPr="00597C47">
        <w:rPr>
          <w:rFonts w:ascii="Arial" w:hAnsi="Arial" w:cs="Arial"/>
          <w:b/>
          <w:szCs w:val="22"/>
        </w:rPr>
        <w:t>What is liquidity risk in this context?</w:t>
      </w:r>
    </w:p>
    <w:p w14:paraId="35EF5E17" w14:textId="5C895D07" w:rsidR="00CD2F06" w:rsidRPr="00597C47" w:rsidRDefault="00B82900" w:rsidP="00CD2F06">
      <w:pPr>
        <w:suppressAutoHyphens/>
        <w:spacing w:line="360" w:lineRule="auto"/>
        <w:jc w:val="both"/>
        <w:rPr>
          <w:rFonts w:ascii="Arial" w:hAnsi="Arial" w:cs="Arial"/>
          <w:szCs w:val="22"/>
        </w:rPr>
      </w:pPr>
      <w:r w:rsidRPr="00597C47">
        <w:rPr>
          <w:rFonts w:ascii="Arial" w:hAnsi="Arial" w:cs="Arial"/>
          <w:noProof/>
          <w:szCs w:val="22"/>
          <w:lang w:eastAsia="en-GB"/>
        </w:rPr>
        <w:drawing>
          <wp:anchor distT="0" distB="0" distL="114300" distR="114300" simplePos="0" relativeHeight="251658241" behindDoc="0" locked="0" layoutInCell="1" allowOverlap="1" wp14:anchorId="55762578" wp14:editId="43A1F181">
            <wp:simplePos x="0" y="0"/>
            <wp:positionH relativeFrom="margin">
              <wp:posOffset>3276600</wp:posOffset>
            </wp:positionH>
            <wp:positionV relativeFrom="paragraph">
              <wp:posOffset>485140</wp:posOffset>
            </wp:positionV>
            <wp:extent cx="2663825" cy="971550"/>
            <wp:effectExtent l="0" t="0" r="3175"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663825" cy="9715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97FBA" w:rsidRPr="00597C47">
        <w:rPr>
          <w:rFonts w:ascii="Arial" w:hAnsi="Arial" w:cs="Arial"/>
          <w:noProof/>
          <w:szCs w:val="22"/>
          <w:lang w:eastAsia="en-GB"/>
        </w:rPr>
        <mc:AlternateContent>
          <mc:Choice Requires="wps">
            <w:drawing>
              <wp:anchor distT="0" distB="0" distL="114300" distR="114300" simplePos="0" relativeHeight="251658244" behindDoc="1" locked="0" layoutInCell="1" allowOverlap="1" wp14:anchorId="1DEB478C" wp14:editId="5C1C175E">
                <wp:simplePos x="0" y="0"/>
                <wp:positionH relativeFrom="column">
                  <wp:posOffset>3324225</wp:posOffset>
                </wp:positionH>
                <wp:positionV relativeFrom="paragraph">
                  <wp:posOffset>1501140</wp:posOffset>
                </wp:positionV>
                <wp:extent cx="2296160" cy="435610"/>
                <wp:effectExtent l="0" t="0" r="8890" b="2540"/>
                <wp:wrapTight wrapText="bothSides">
                  <wp:wrapPolygon edited="0">
                    <wp:start x="0" y="0"/>
                    <wp:lineTo x="0" y="20781"/>
                    <wp:lineTo x="21504" y="20781"/>
                    <wp:lineTo x="21504" y="0"/>
                    <wp:lineTo x="0" y="0"/>
                  </wp:wrapPolygon>
                </wp:wrapTight>
                <wp:docPr id="23" name="Text Box 23"/>
                <wp:cNvGraphicFramePr/>
                <a:graphic xmlns:a="http://schemas.openxmlformats.org/drawingml/2006/main">
                  <a:graphicData uri="http://schemas.microsoft.com/office/word/2010/wordprocessingShape">
                    <wps:wsp>
                      <wps:cNvSpPr txBox="1"/>
                      <wps:spPr>
                        <a:xfrm>
                          <a:off x="0" y="0"/>
                          <a:ext cx="2296160" cy="435610"/>
                        </a:xfrm>
                        <a:prstGeom prst="rect">
                          <a:avLst/>
                        </a:prstGeom>
                        <a:noFill/>
                        <a:ln>
                          <a:noFill/>
                        </a:ln>
                      </wps:spPr>
                      <wps:txbx>
                        <w:txbxContent>
                          <w:p w14:paraId="66CCED83" w14:textId="77777777" w:rsidR="00F16D2D" w:rsidRPr="006613DE" w:rsidRDefault="00F16D2D" w:rsidP="00397FBA">
                            <w:pPr>
                              <w:pStyle w:val="Caption"/>
                            </w:pPr>
                            <w:bookmarkStart w:id="5" w:name="_Toc500500515"/>
                            <w:bookmarkStart w:id="6" w:name="_Toc500753748"/>
                            <w:bookmarkStart w:id="7" w:name="_Toc500760465"/>
                            <w:bookmarkStart w:id="8" w:name="_Toc500776104"/>
                            <w:bookmarkStart w:id="9" w:name="_Toc500777786"/>
                            <w:bookmarkStart w:id="10" w:name="_Toc503362039"/>
                            <w:bookmarkStart w:id="11" w:name="_Toc503516930"/>
                            <w:bookmarkStart w:id="12" w:name="_Toc503518226"/>
                            <w:bookmarkStart w:id="13" w:name="_Toc503786044"/>
                            <w:r>
                              <w:t>Figure: Liquidity Stress Test Components</w:t>
                            </w:r>
                            <w:bookmarkEnd w:id="5"/>
                            <w:bookmarkEnd w:id="6"/>
                            <w:bookmarkEnd w:id="7"/>
                            <w:bookmarkEnd w:id="8"/>
                            <w:bookmarkEnd w:id="9"/>
                            <w:bookmarkEnd w:id="10"/>
                            <w:bookmarkEnd w:id="11"/>
                            <w:bookmarkEnd w:id="12"/>
                            <w:bookmarkEnd w:id="13"/>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DEB478C" id="Text Box 23" o:spid="_x0000_s1028" type="#_x0000_t202" style="position:absolute;left:0;text-align:left;margin-left:261.75pt;margin-top:118.2pt;width:180.8pt;height:34.3pt;z-index:-2516582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QvFHgIAAEEEAAAOAAAAZHJzL2Uyb0RvYy54bWysU02P0zAQvSPxHyzfadouVBA1XZVdFSFV&#10;uyu1aM+u47SRYo+x3Sbl1/PsNF1YOCEuk8nMeD7evJnfdrphJ+V8Tabgk9GYM2UklbXZF/zbdvXu&#10;I2c+CFOKhowq+Fl5frt4+2be2lxN6UBNqRxDEuPz1hb8EILNs8zLg9LCj8gqA2dFTouAX7fPSida&#10;ZNdNNh2PZ1lLrrSOpPIe1vveyRcpf1UpGR6ryqvAmoKjt5CkS3IXZbaYi3zvhD3U8tKG+IcutKgN&#10;il5T3Ysg2NHVf6TStXTkqQojSTqjqqqlSjNgmsn41TSbg7AqzQJwvL3C5P9fWvlwenKsLgs+veHM&#10;CI0dbVUX2GfqGEzAp7U+R9jGIjB0sGPPg93DGMfuKqfjFwMx+IH0+YpuzCZhnE4/zSYzuCR8728+&#10;zCYJ/uzltXU+fFGkWVQK7rC9BKo4rX1AJwgdQmIxQ6u6adIGG/ObAYHRksXW+xajFrpd1486tL+j&#10;8oypHPW88FauapReCx+ehAMR0C3IHR4hqobagtNF4+xA7sff7DEe+4GXsxbEKrj/fhROcdZ8Ndhc&#10;ZOGguEHZDYo56jsCVyc4GyuTigcuNINaOdLP4PwyVoFLGIlaBQ+Dehd6euNmpFouUxC4ZkVYm42V&#10;MXXEKgK57Z6Fsxe0A/b0QAPlRP4K9D62R3l5DFTVaSMR1x7FC9zgaVrU5abiIfz6n6JeLn/xEwAA&#10;//8DAFBLAwQUAAYACAAAACEAAlWaUOEAAAALAQAADwAAAGRycy9kb3ducmV2LnhtbEyPQU+DQBCF&#10;7yb+h82YeLO7BSGUsjSN0ZOJkeLB4wJT2JSdRXbb4r93Pelx8r68902xW8zILjg7bUnCeiWAIbW2&#10;09RL+KhfHjJgzivq1GgJJXyjg115e1OovLNXqvBy8D0LJeRyJWHwfso5d+2ARrmVnZBCdrSzUT6c&#10;c8+7WV1DuRl5JETKjdIUFgY14dOA7elwNhL2n1Q966+35r06VrquN4Je05OU93fLfgvM4+L/YPjV&#10;D+pQBqfGnqlzbJSQRHESUAlRnD4CC0SWJWtgjYRYJAJ4WfD/P5Q/AAAA//8DAFBLAQItABQABgAI&#10;AAAAIQC2gziS/gAAAOEBAAATAAAAAAAAAAAAAAAAAAAAAABbQ29udGVudF9UeXBlc10ueG1sUEsB&#10;Ai0AFAAGAAgAAAAhADj9If/WAAAAlAEAAAsAAAAAAAAAAAAAAAAALwEAAF9yZWxzLy5yZWxzUEsB&#10;Ai0AFAAGAAgAAAAhAGglC8UeAgAAQQQAAA4AAAAAAAAAAAAAAAAALgIAAGRycy9lMm9Eb2MueG1s&#10;UEsBAi0AFAAGAAgAAAAhAAJVmlDhAAAACwEAAA8AAAAAAAAAAAAAAAAAeAQAAGRycy9kb3ducmV2&#10;LnhtbFBLBQYAAAAABAAEAPMAAACGBQAAAAA=&#10;" filled="f" stroked="f">
                <v:textbox inset="0,0,0,0">
                  <w:txbxContent>
                    <w:p w14:paraId="66CCED83" w14:textId="77777777" w:rsidR="00F16D2D" w:rsidRPr="006613DE" w:rsidRDefault="00F16D2D" w:rsidP="00397FBA">
                      <w:pPr>
                        <w:pStyle w:val="Caption"/>
                      </w:pPr>
                      <w:bookmarkStart w:id="17" w:name="_Toc500500515"/>
                      <w:bookmarkStart w:id="18" w:name="_Toc500753748"/>
                      <w:bookmarkStart w:id="19" w:name="_Toc500760465"/>
                      <w:bookmarkStart w:id="20" w:name="_Toc500776104"/>
                      <w:bookmarkStart w:id="21" w:name="_Toc500777786"/>
                      <w:bookmarkStart w:id="22" w:name="_Toc503362039"/>
                      <w:bookmarkStart w:id="23" w:name="_Toc503516930"/>
                      <w:bookmarkStart w:id="24" w:name="_Toc503518226"/>
                      <w:bookmarkStart w:id="25" w:name="_Toc503786044"/>
                      <w:r>
                        <w:t>Figure: Liquidity Stress Test Components</w:t>
                      </w:r>
                      <w:bookmarkEnd w:id="17"/>
                      <w:bookmarkEnd w:id="18"/>
                      <w:bookmarkEnd w:id="19"/>
                      <w:bookmarkEnd w:id="20"/>
                      <w:bookmarkEnd w:id="21"/>
                      <w:bookmarkEnd w:id="22"/>
                      <w:bookmarkEnd w:id="23"/>
                      <w:bookmarkEnd w:id="24"/>
                      <w:bookmarkEnd w:id="25"/>
                    </w:p>
                  </w:txbxContent>
                </v:textbox>
                <w10:wrap type="tight"/>
              </v:shape>
            </w:pict>
          </mc:Fallback>
        </mc:AlternateContent>
      </w:r>
      <w:r w:rsidR="00CD2F06" w:rsidRPr="00597C47">
        <w:rPr>
          <w:rFonts w:ascii="Arial" w:hAnsi="Arial" w:cs="Arial"/>
          <w:szCs w:val="22"/>
        </w:rPr>
        <w:t>Liquidity risk is the risk that a CCP may have insufficient liquid funds to meet its payment obligati</w:t>
      </w:r>
      <w:r w:rsidR="00CC1EA8">
        <w:rPr>
          <w:rFonts w:ascii="Arial" w:hAnsi="Arial" w:cs="Arial"/>
          <w:szCs w:val="22"/>
        </w:rPr>
        <w:t>ons in a timely manner when these</w:t>
      </w:r>
      <w:r w:rsidR="00CD2F06" w:rsidRPr="00597C47">
        <w:rPr>
          <w:rFonts w:ascii="Arial" w:hAnsi="Arial" w:cs="Arial"/>
          <w:szCs w:val="22"/>
        </w:rPr>
        <w:t xml:space="preserve"> become due over </w:t>
      </w:r>
      <w:r w:rsidR="00CC1EA8">
        <w:rPr>
          <w:rFonts w:ascii="Arial" w:hAnsi="Arial" w:cs="Arial"/>
          <w:szCs w:val="22"/>
        </w:rPr>
        <w:t>a</w:t>
      </w:r>
      <w:r w:rsidR="00CD2F06" w:rsidRPr="00597C47">
        <w:rPr>
          <w:rFonts w:ascii="Arial" w:hAnsi="Arial" w:cs="Arial"/>
          <w:szCs w:val="22"/>
        </w:rPr>
        <w:t xml:space="preserve"> relevant time horizon. It can arise due to unexpected liquidity needs and/or absence of sufficient liquidity resources.</w:t>
      </w:r>
      <w:r w:rsidR="00397FBA">
        <w:rPr>
          <w:rFonts w:ascii="Arial" w:hAnsi="Arial" w:cs="Arial"/>
          <w:szCs w:val="22"/>
        </w:rPr>
        <w:t xml:space="preserve"> </w:t>
      </w:r>
      <w:r w:rsidR="00CD2F06" w:rsidRPr="00597C47">
        <w:rPr>
          <w:rFonts w:ascii="Arial" w:hAnsi="Arial" w:cs="Arial"/>
          <w:szCs w:val="22"/>
        </w:rPr>
        <w:t>The liquidity stress test assesses the resilience of EU CCPs to market-wide and idiosyncratic liquidity stress events. It captures the systemic dimension of liquidity risk</w:t>
      </w:r>
      <w:r w:rsidR="00CC1EA8">
        <w:rPr>
          <w:rFonts w:ascii="Arial" w:hAnsi="Arial" w:cs="Arial"/>
          <w:szCs w:val="22"/>
        </w:rPr>
        <w:t>,</w:t>
      </w:r>
      <w:r w:rsidR="00CD2F06" w:rsidRPr="00597C47">
        <w:rPr>
          <w:rFonts w:ascii="Arial" w:hAnsi="Arial" w:cs="Arial"/>
          <w:szCs w:val="22"/>
        </w:rPr>
        <w:t xml:space="preserve"> in addition to the analysis of resilience of individual </w:t>
      </w:r>
      <w:proofErr w:type="gramStart"/>
      <w:r w:rsidR="00CD2F06" w:rsidRPr="00597C47">
        <w:rPr>
          <w:rFonts w:ascii="Arial" w:hAnsi="Arial" w:cs="Arial"/>
          <w:szCs w:val="22"/>
        </w:rPr>
        <w:t>CCPs</w:t>
      </w:r>
      <w:r w:rsidR="00CC1EA8">
        <w:rPr>
          <w:rFonts w:ascii="Arial" w:hAnsi="Arial" w:cs="Arial"/>
          <w:szCs w:val="22"/>
        </w:rPr>
        <w:t>,</w:t>
      </w:r>
      <w:r w:rsidR="00CD2F06" w:rsidRPr="00597C47">
        <w:rPr>
          <w:rFonts w:ascii="Arial" w:hAnsi="Arial" w:cs="Arial"/>
          <w:szCs w:val="22"/>
        </w:rPr>
        <w:t xml:space="preserve"> and</w:t>
      </w:r>
      <w:proofErr w:type="gramEnd"/>
      <w:r w:rsidR="00CD2F06" w:rsidRPr="00597C47">
        <w:rPr>
          <w:rFonts w:ascii="Arial" w:hAnsi="Arial" w:cs="Arial"/>
          <w:szCs w:val="22"/>
        </w:rPr>
        <w:t xml:space="preserve"> enables ESMA to identify potential shortcomings and issue recommendations to address those. </w:t>
      </w:r>
    </w:p>
    <w:p w14:paraId="01DF4C14" w14:textId="65E4035A" w:rsidR="00CD2F06" w:rsidRPr="00597C47" w:rsidRDefault="00CD2F06" w:rsidP="00CD2F06">
      <w:pPr>
        <w:suppressAutoHyphens/>
        <w:spacing w:line="360" w:lineRule="auto"/>
        <w:jc w:val="both"/>
        <w:rPr>
          <w:rFonts w:ascii="Arial" w:hAnsi="Arial" w:cs="Arial"/>
          <w:szCs w:val="22"/>
        </w:rPr>
      </w:pPr>
    </w:p>
    <w:p w14:paraId="7CB8B7F5" w14:textId="6E614B75" w:rsidR="00CD2F06" w:rsidRPr="00597C47" w:rsidRDefault="00CD2F06" w:rsidP="00CD2F06">
      <w:pPr>
        <w:suppressAutoHyphens/>
        <w:spacing w:line="360" w:lineRule="auto"/>
        <w:jc w:val="both"/>
        <w:rPr>
          <w:rFonts w:ascii="Arial" w:hAnsi="Arial" w:cs="Arial"/>
          <w:szCs w:val="22"/>
        </w:rPr>
      </w:pPr>
      <w:r w:rsidRPr="00597C47">
        <w:rPr>
          <w:rFonts w:ascii="Arial" w:hAnsi="Arial" w:cs="Arial"/>
          <w:szCs w:val="22"/>
        </w:rPr>
        <w:lastRenderedPageBreak/>
        <w:t xml:space="preserve">A liquidity scenario involves the combination of market shocks with the simultaneous default of market participants. The shocks are </w:t>
      </w:r>
      <w:r w:rsidR="00CC1EA8">
        <w:rPr>
          <w:rFonts w:ascii="Arial" w:hAnsi="Arial" w:cs="Arial"/>
          <w:szCs w:val="22"/>
        </w:rPr>
        <w:t xml:space="preserve">equal to those </w:t>
      </w:r>
      <w:r w:rsidRPr="00597C47">
        <w:rPr>
          <w:rFonts w:ascii="Arial" w:hAnsi="Arial" w:cs="Arial"/>
          <w:szCs w:val="22"/>
        </w:rPr>
        <w:t xml:space="preserve">applied in the context of counterparty credit risk. The default of market participants is the actual or technical insolvency of CMs and/or providers of liquidity and services with impact on the liquidity profile of an individual CCP. </w:t>
      </w:r>
    </w:p>
    <w:p w14:paraId="45FA4A92" w14:textId="658FFA21" w:rsidR="00C322A5" w:rsidRPr="00125056" w:rsidRDefault="00C322A5" w:rsidP="00387906">
      <w:pPr>
        <w:suppressAutoHyphens/>
        <w:spacing w:line="360" w:lineRule="auto"/>
        <w:jc w:val="both"/>
        <w:rPr>
          <w:rFonts w:asciiTheme="minorHAnsi" w:eastAsiaTheme="minorEastAsia" w:hAnsiTheme="minorHAnsi" w:cstheme="minorBidi"/>
          <w:sz w:val="20"/>
          <w:szCs w:val="20"/>
        </w:rPr>
      </w:pPr>
      <w:r>
        <w:rPr>
          <w:color w:val="31849B" w:themeColor="accent5" w:themeShade="BF"/>
        </w:rPr>
        <w:br/>
      </w:r>
      <w:r w:rsidRPr="00125056">
        <w:rPr>
          <w:rFonts w:ascii="Arial" w:hAnsi="Arial" w:cs="Arial"/>
          <w:b/>
          <w:szCs w:val="22"/>
        </w:rPr>
        <w:t>What is concentration risk</w:t>
      </w:r>
      <w:r w:rsidR="00440551">
        <w:rPr>
          <w:rFonts w:ascii="Arial" w:hAnsi="Arial" w:cs="Arial"/>
          <w:b/>
          <w:szCs w:val="22"/>
        </w:rPr>
        <w:t xml:space="preserve"> in this context</w:t>
      </w:r>
      <w:r w:rsidRPr="00125056">
        <w:rPr>
          <w:rFonts w:ascii="Arial" w:hAnsi="Arial" w:cs="Arial"/>
          <w:b/>
          <w:szCs w:val="22"/>
        </w:rPr>
        <w:t>?</w:t>
      </w:r>
    </w:p>
    <w:p w14:paraId="209AB877" w14:textId="77777777" w:rsidR="00387906" w:rsidRPr="00125056" w:rsidRDefault="00387906" w:rsidP="00125056">
      <w:pPr>
        <w:suppressAutoHyphens/>
        <w:spacing w:line="360" w:lineRule="auto"/>
        <w:jc w:val="both"/>
        <w:rPr>
          <w:rFonts w:ascii="Arial" w:hAnsi="Arial" w:cs="Arial"/>
        </w:rPr>
      </w:pPr>
      <w:r w:rsidRPr="00125056">
        <w:rPr>
          <w:rFonts w:ascii="Arial" w:hAnsi="Arial" w:cs="Arial"/>
          <w:szCs w:val="22"/>
        </w:rPr>
        <w:t>For the purpose of this exercise, the market illiquidity (or concentration) risk is the added cost of liquidating in the market a position (or hedging it) in a short amount of time (in practice the time allocated to the management of a default by a CCP).</w:t>
      </w:r>
    </w:p>
    <w:p w14:paraId="0668B5EB" w14:textId="6113D143" w:rsidR="00387906" w:rsidRPr="00125056" w:rsidRDefault="00387906" w:rsidP="00125056">
      <w:pPr>
        <w:suppressAutoHyphens/>
        <w:spacing w:line="360" w:lineRule="auto"/>
        <w:jc w:val="both"/>
        <w:rPr>
          <w:rFonts w:ascii="Arial" w:hAnsi="Arial" w:cs="Arial"/>
        </w:rPr>
      </w:pPr>
      <w:r w:rsidRPr="00125056">
        <w:rPr>
          <w:rFonts w:ascii="Arial" w:hAnsi="Arial" w:cs="Arial"/>
          <w:szCs w:val="22"/>
        </w:rPr>
        <w:t>As part of the credit stress scenario</w:t>
      </w:r>
      <w:r w:rsidR="007F1F8F">
        <w:rPr>
          <w:rFonts w:ascii="Arial" w:hAnsi="Arial" w:cs="Arial"/>
          <w:szCs w:val="22"/>
        </w:rPr>
        <w:t>,</w:t>
      </w:r>
      <w:r w:rsidRPr="00125056">
        <w:rPr>
          <w:rFonts w:ascii="Arial" w:hAnsi="Arial" w:cs="Arial"/>
          <w:szCs w:val="22"/>
        </w:rPr>
        <w:t xml:space="preserve"> initial market shocks apply to the mid-price of all positions regardless of their size and direction. However, it is likely that CCPs would incur costs beyond this price, depending on the size of their positions and the depth of their markets.</w:t>
      </w:r>
    </w:p>
    <w:p w14:paraId="0D186FAB" w14:textId="10E88166" w:rsidR="00387906" w:rsidRDefault="00111AA2" w:rsidP="00387906">
      <w:pPr>
        <w:suppressAutoHyphens/>
        <w:spacing w:line="360" w:lineRule="auto"/>
        <w:jc w:val="both"/>
        <w:rPr>
          <w:rFonts w:ascii="Arial" w:hAnsi="Arial" w:cs="Arial"/>
          <w:szCs w:val="22"/>
        </w:rPr>
      </w:pPr>
      <w:r w:rsidRPr="00111AA2">
        <w:rPr>
          <w:rFonts w:ascii="Arial" w:hAnsi="Arial" w:cs="Arial"/>
          <w:szCs w:val="22"/>
        </w:rPr>
        <w:t>In the context of a portfolio containing a single asset, e.g. an equity, the concept is quite straightforward. There is only so much the market can absorb in one day before the market price of the security moves in an adverse direction.</w:t>
      </w:r>
    </w:p>
    <w:p w14:paraId="423C5BCE" w14:textId="0C5B5751" w:rsidR="00387906" w:rsidRDefault="00387906" w:rsidP="006455B3">
      <w:pPr>
        <w:suppressAutoHyphens/>
        <w:spacing w:line="360" w:lineRule="auto"/>
        <w:jc w:val="both"/>
        <w:rPr>
          <w:rFonts w:ascii="Arial" w:hAnsi="Arial" w:cs="Arial"/>
          <w:b/>
          <w:szCs w:val="22"/>
        </w:rPr>
      </w:pPr>
    </w:p>
    <w:p w14:paraId="273178F2" w14:textId="71B487A5" w:rsidR="00387906" w:rsidRDefault="00387906" w:rsidP="006455B3">
      <w:pPr>
        <w:suppressAutoHyphens/>
        <w:spacing w:line="360" w:lineRule="auto"/>
        <w:jc w:val="both"/>
        <w:rPr>
          <w:rFonts w:ascii="Arial" w:hAnsi="Arial" w:cs="Arial"/>
          <w:b/>
          <w:szCs w:val="22"/>
        </w:rPr>
      </w:pPr>
      <w:r>
        <w:rPr>
          <w:rFonts w:ascii="Arial" w:hAnsi="Arial" w:cs="Arial"/>
          <w:b/>
          <w:szCs w:val="22"/>
        </w:rPr>
        <w:t>Does the exercise model the whole default management procedure?</w:t>
      </w:r>
    </w:p>
    <w:p w14:paraId="35C4AA78" w14:textId="6381867F" w:rsidR="00387906" w:rsidRDefault="00387906" w:rsidP="006455B3">
      <w:pPr>
        <w:suppressAutoHyphens/>
        <w:spacing w:line="360" w:lineRule="auto"/>
        <w:jc w:val="both"/>
        <w:rPr>
          <w:rFonts w:ascii="Arial" w:hAnsi="Arial" w:cs="Arial"/>
          <w:szCs w:val="22"/>
        </w:rPr>
      </w:pPr>
      <w:r w:rsidRPr="00B409E7">
        <w:rPr>
          <w:rFonts w:ascii="Arial" w:hAnsi="Arial" w:cs="Arial"/>
          <w:szCs w:val="22"/>
        </w:rPr>
        <w:t>This exercise does not model the whole default management procedure. More specifically, there is no attempt to factor in the impact of an auction which could lead to smaller or bigger concentration costs. Rather, we only assess the market impact of liquidating positions or setting up hedges.</w:t>
      </w:r>
    </w:p>
    <w:p w14:paraId="7B11AF98" w14:textId="708A44EA" w:rsidR="00E04B11" w:rsidRDefault="00E04B11" w:rsidP="006455B3">
      <w:pPr>
        <w:suppressAutoHyphens/>
        <w:spacing w:line="360" w:lineRule="auto"/>
        <w:jc w:val="both"/>
        <w:rPr>
          <w:rFonts w:ascii="Arial" w:hAnsi="Arial" w:cs="Arial"/>
          <w:szCs w:val="22"/>
        </w:rPr>
      </w:pPr>
    </w:p>
    <w:p w14:paraId="0382B807" w14:textId="55A075D5" w:rsidR="00E04B11" w:rsidRDefault="00E04B11" w:rsidP="006455B3">
      <w:pPr>
        <w:suppressAutoHyphens/>
        <w:spacing w:line="360" w:lineRule="auto"/>
        <w:jc w:val="both"/>
        <w:rPr>
          <w:rFonts w:ascii="Arial" w:hAnsi="Arial" w:cs="Arial"/>
          <w:b/>
          <w:bCs/>
          <w:szCs w:val="22"/>
        </w:rPr>
      </w:pPr>
      <w:r w:rsidRPr="00B409E7">
        <w:rPr>
          <w:rFonts w:ascii="Arial" w:hAnsi="Arial" w:cs="Arial"/>
          <w:b/>
          <w:bCs/>
          <w:szCs w:val="22"/>
        </w:rPr>
        <w:t>How was the concentration risk modelled?</w:t>
      </w:r>
    </w:p>
    <w:p w14:paraId="34D132A8" w14:textId="77777777" w:rsidR="00E57FD0" w:rsidRPr="00B86F9C" w:rsidRDefault="00E57FD0" w:rsidP="00E57FD0">
      <w:pPr>
        <w:suppressAutoHyphens/>
        <w:spacing w:line="360" w:lineRule="auto"/>
        <w:jc w:val="both"/>
        <w:rPr>
          <w:rFonts w:ascii="Arial" w:hAnsi="Arial" w:cs="Arial"/>
          <w:bCs/>
          <w:szCs w:val="22"/>
        </w:rPr>
      </w:pPr>
      <w:r>
        <w:rPr>
          <w:rFonts w:ascii="Arial" w:hAnsi="Arial" w:cs="Arial"/>
          <w:bCs/>
          <w:szCs w:val="22"/>
        </w:rPr>
        <w:t>T</w:t>
      </w:r>
      <w:r w:rsidRPr="00B86F9C">
        <w:rPr>
          <w:rFonts w:ascii="Arial" w:hAnsi="Arial" w:cs="Arial"/>
          <w:bCs/>
          <w:szCs w:val="22"/>
        </w:rPr>
        <w:t xml:space="preserve">he market impact (in bps) of a position is </w:t>
      </w:r>
      <w:r>
        <w:rPr>
          <w:rFonts w:ascii="Arial" w:hAnsi="Arial" w:cs="Arial"/>
          <w:bCs/>
          <w:szCs w:val="22"/>
        </w:rPr>
        <w:t xml:space="preserve">assumed to be </w:t>
      </w:r>
      <w:r w:rsidRPr="00B86F9C">
        <w:rPr>
          <w:rFonts w:ascii="Arial" w:hAnsi="Arial" w:cs="Arial"/>
          <w:bCs/>
          <w:szCs w:val="22"/>
        </w:rPr>
        <w:t>driven by its relative size</w:t>
      </w:r>
      <w:r>
        <w:rPr>
          <w:rFonts w:ascii="Arial" w:hAnsi="Arial" w:cs="Arial"/>
          <w:bCs/>
          <w:szCs w:val="22"/>
        </w:rPr>
        <w:t xml:space="preserve"> </w:t>
      </w:r>
      <w:r w:rsidRPr="00B86F9C">
        <w:rPr>
          <w:rFonts w:ascii="Arial" w:hAnsi="Arial" w:cs="Arial"/>
          <w:bCs/>
          <w:szCs w:val="22"/>
        </w:rPr>
        <w:t>and type.</w:t>
      </w:r>
      <w:r>
        <w:rPr>
          <w:rFonts w:ascii="Arial" w:hAnsi="Arial" w:cs="Arial"/>
          <w:bCs/>
          <w:szCs w:val="22"/>
        </w:rPr>
        <w:t xml:space="preserve"> </w:t>
      </w:r>
    </w:p>
    <w:p w14:paraId="7F217E25" w14:textId="55B40FBE" w:rsidR="00E57FD0" w:rsidRDefault="00E57FD0" w:rsidP="00E57FD0">
      <w:pPr>
        <w:suppressAutoHyphens/>
        <w:spacing w:line="360" w:lineRule="auto"/>
        <w:jc w:val="both"/>
        <w:rPr>
          <w:rFonts w:ascii="Arial" w:hAnsi="Arial" w:cs="Arial"/>
          <w:bCs/>
          <w:szCs w:val="22"/>
        </w:rPr>
      </w:pPr>
      <w:r>
        <w:rPr>
          <w:rFonts w:ascii="Arial" w:hAnsi="Arial" w:cs="Arial"/>
          <w:bCs/>
          <w:szCs w:val="22"/>
        </w:rPr>
        <w:t>T</w:t>
      </w:r>
      <w:r w:rsidRPr="00B86F9C">
        <w:rPr>
          <w:rFonts w:ascii="Arial" w:hAnsi="Arial" w:cs="Arial"/>
          <w:bCs/>
          <w:szCs w:val="22"/>
        </w:rPr>
        <w:t>he size of each position (or of its hedge) relative to the average daily volume</w:t>
      </w:r>
      <w:r>
        <w:rPr>
          <w:rFonts w:ascii="Arial" w:hAnsi="Arial" w:cs="Arial"/>
          <w:bCs/>
          <w:szCs w:val="22"/>
        </w:rPr>
        <w:t xml:space="preserve"> of the instrument </w:t>
      </w:r>
      <w:r w:rsidRPr="00B86F9C">
        <w:rPr>
          <w:rFonts w:ascii="Arial" w:hAnsi="Arial" w:cs="Arial"/>
          <w:bCs/>
          <w:szCs w:val="22"/>
        </w:rPr>
        <w:t>(or such relevant parameter) is first computed.</w:t>
      </w:r>
      <w:r>
        <w:rPr>
          <w:rFonts w:ascii="Arial" w:hAnsi="Arial" w:cs="Arial"/>
          <w:bCs/>
          <w:szCs w:val="22"/>
        </w:rPr>
        <w:t xml:space="preserve"> The sensitivity table of the relevant sub asset class (for example, small cap equities or </w:t>
      </w:r>
      <w:proofErr w:type="spellStart"/>
      <w:r>
        <w:rPr>
          <w:rFonts w:ascii="Arial" w:hAnsi="Arial" w:cs="Arial"/>
          <w:bCs/>
          <w:szCs w:val="22"/>
        </w:rPr>
        <w:t>brent</w:t>
      </w:r>
      <w:proofErr w:type="spellEnd"/>
      <w:r>
        <w:rPr>
          <w:rFonts w:ascii="Arial" w:hAnsi="Arial" w:cs="Arial"/>
          <w:bCs/>
          <w:szCs w:val="22"/>
        </w:rPr>
        <w:t xml:space="preserve"> oil 1y-2y)</w:t>
      </w:r>
      <w:r w:rsidR="00CE753F">
        <w:rPr>
          <w:rFonts w:ascii="Arial" w:hAnsi="Arial" w:cs="Arial"/>
          <w:bCs/>
          <w:szCs w:val="22"/>
        </w:rPr>
        <w:t xml:space="preserve"> is then interpolated to get the market impact (in basis points).</w:t>
      </w:r>
    </w:p>
    <w:p w14:paraId="77CCE09C" w14:textId="09D1B2CB" w:rsidR="00CE753F" w:rsidRDefault="00CE753F" w:rsidP="00E57FD0">
      <w:pPr>
        <w:suppressAutoHyphens/>
        <w:spacing w:line="360" w:lineRule="auto"/>
        <w:jc w:val="both"/>
        <w:rPr>
          <w:rFonts w:ascii="Arial" w:hAnsi="Arial" w:cs="Arial"/>
          <w:bCs/>
          <w:szCs w:val="22"/>
        </w:rPr>
      </w:pPr>
    </w:p>
    <w:p w14:paraId="4CC4BB6F" w14:textId="2FFCC04C" w:rsidR="00CE753F" w:rsidRPr="00B409E7" w:rsidRDefault="00CE753F" w:rsidP="00E57FD0">
      <w:pPr>
        <w:suppressAutoHyphens/>
        <w:spacing w:line="360" w:lineRule="auto"/>
        <w:jc w:val="both"/>
        <w:rPr>
          <w:rFonts w:ascii="Arial" w:hAnsi="Arial" w:cs="Arial"/>
          <w:b/>
          <w:szCs w:val="22"/>
        </w:rPr>
      </w:pPr>
      <w:r w:rsidRPr="00B409E7">
        <w:rPr>
          <w:rFonts w:ascii="Arial" w:hAnsi="Arial" w:cs="Arial"/>
          <w:b/>
          <w:szCs w:val="22"/>
        </w:rPr>
        <w:t xml:space="preserve">How were the sensitivity tables </w:t>
      </w:r>
      <w:r w:rsidR="00B409E7">
        <w:rPr>
          <w:rFonts w:ascii="Arial" w:hAnsi="Arial" w:cs="Arial"/>
          <w:b/>
          <w:szCs w:val="22"/>
        </w:rPr>
        <w:t>calibrated</w:t>
      </w:r>
      <w:r w:rsidRPr="00B409E7">
        <w:rPr>
          <w:rFonts w:ascii="Arial" w:hAnsi="Arial" w:cs="Arial"/>
          <w:b/>
          <w:szCs w:val="22"/>
        </w:rPr>
        <w:t>?</w:t>
      </w:r>
    </w:p>
    <w:p w14:paraId="38BD8720" w14:textId="77777777" w:rsidR="00CE753F" w:rsidRDefault="00CE753F" w:rsidP="00CE753F">
      <w:pPr>
        <w:suppressAutoHyphens/>
        <w:spacing w:line="360" w:lineRule="auto"/>
        <w:jc w:val="both"/>
        <w:rPr>
          <w:rFonts w:ascii="Arial" w:hAnsi="Arial" w:cs="Arial"/>
          <w:bCs/>
          <w:szCs w:val="22"/>
        </w:rPr>
      </w:pPr>
      <w:r w:rsidRPr="00CE753F">
        <w:rPr>
          <w:rFonts w:ascii="Arial" w:hAnsi="Arial" w:cs="Arial"/>
          <w:bCs/>
          <w:szCs w:val="22"/>
        </w:rPr>
        <w:t xml:space="preserve">Each CCP was requested to provide sensitivity tables estimating the liquidation costs for the different asset classes it clears. Typically, for any given asset class or sub-class, the tables would give the cost (in bps or % market value) for executing trades that are x0.5, x1, x2 of the average daily volume (or average daily notional amount when relevant). </w:t>
      </w:r>
    </w:p>
    <w:p w14:paraId="78CD320B" w14:textId="750B78D7" w:rsidR="00D343FF" w:rsidRPr="00CE753F" w:rsidRDefault="00CE753F" w:rsidP="00CE753F">
      <w:pPr>
        <w:suppressAutoHyphens/>
        <w:spacing w:line="360" w:lineRule="auto"/>
        <w:jc w:val="both"/>
        <w:rPr>
          <w:rFonts w:ascii="Arial" w:hAnsi="Arial" w:cs="Arial"/>
          <w:bCs/>
          <w:szCs w:val="22"/>
        </w:rPr>
      </w:pPr>
      <w:r w:rsidRPr="00CE753F">
        <w:rPr>
          <w:rFonts w:ascii="Arial" w:hAnsi="Arial" w:cs="Arial"/>
          <w:bCs/>
          <w:szCs w:val="22"/>
        </w:rPr>
        <w:lastRenderedPageBreak/>
        <w:t>From all the contributions received, we then built EU-wide sensitivity tables for each asset class</w:t>
      </w:r>
      <w:r>
        <w:rPr>
          <w:rFonts w:ascii="Arial" w:hAnsi="Arial" w:cs="Arial"/>
          <w:bCs/>
          <w:szCs w:val="22"/>
        </w:rPr>
        <w:t xml:space="preserve"> using the median contribution as baseline.</w:t>
      </w:r>
    </w:p>
    <w:p w14:paraId="004C6F3A" w14:textId="6390A712" w:rsidR="00502BCF" w:rsidRDefault="00502BCF" w:rsidP="00CE753F">
      <w:pPr>
        <w:suppressAutoHyphens/>
        <w:spacing w:line="360" w:lineRule="auto"/>
        <w:jc w:val="both"/>
        <w:rPr>
          <w:rFonts w:ascii="Arial" w:hAnsi="Arial" w:cs="Arial"/>
          <w:b/>
          <w:szCs w:val="22"/>
        </w:rPr>
      </w:pPr>
      <w:r w:rsidRPr="00B409E7">
        <w:rPr>
          <w:rFonts w:ascii="Arial" w:hAnsi="Arial" w:cs="Arial"/>
          <w:b/>
          <w:szCs w:val="22"/>
        </w:rPr>
        <w:t>How do the credit and concentration component interact?</w:t>
      </w:r>
    </w:p>
    <w:p w14:paraId="6324CC84" w14:textId="0EFEE4E8" w:rsidR="00F16D2D" w:rsidRDefault="00502BCF" w:rsidP="00502BCF">
      <w:pPr>
        <w:suppressAutoHyphens/>
        <w:spacing w:line="360" w:lineRule="auto"/>
        <w:jc w:val="both"/>
        <w:rPr>
          <w:rFonts w:ascii="Arial" w:hAnsi="Arial" w:cs="Arial"/>
          <w:bCs/>
          <w:szCs w:val="22"/>
        </w:rPr>
      </w:pPr>
      <w:r>
        <w:rPr>
          <w:rFonts w:ascii="Arial" w:hAnsi="Arial" w:cs="Arial"/>
          <w:bCs/>
          <w:szCs w:val="22"/>
        </w:rPr>
        <w:t>T</w:t>
      </w:r>
      <w:r w:rsidRPr="00B86F9C">
        <w:rPr>
          <w:rFonts w:ascii="Arial" w:hAnsi="Arial" w:cs="Arial"/>
          <w:bCs/>
          <w:szCs w:val="22"/>
        </w:rPr>
        <w:t xml:space="preserve">he </w:t>
      </w:r>
      <w:r>
        <w:rPr>
          <w:rFonts w:ascii="Arial" w:hAnsi="Arial" w:cs="Arial"/>
          <w:bCs/>
          <w:szCs w:val="22"/>
        </w:rPr>
        <w:t xml:space="preserve">credit component </w:t>
      </w:r>
      <w:r w:rsidR="00CF757F">
        <w:rPr>
          <w:rFonts w:ascii="Arial" w:hAnsi="Arial" w:cs="Arial"/>
          <w:bCs/>
          <w:szCs w:val="22"/>
        </w:rPr>
        <w:t>uses</w:t>
      </w:r>
      <w:r w:rsidRPr="00B86F9C">
        <w:rPr>
          <w:rFonts w:ascii="Arial" w:hAnsi="Arial" w:cs="Arial"/>
          <w:bCs/>
          <w:szCs w:val="22"/>
        </w:rPr>
        <w:t xml:space="preserve"> the CCPs’ own </w:t>
      </w:r>
      <w:r w:rsidR="00CF757F">
        <w:rPr>
          <w:rFonts w:ascii="Arial" w:hAnsi="Arial" w:cs="Arial"/>
          <w:bCs/>
          <w:szCs w:val="22"/>
        </w:rPr>
        <w:t xml:space="preserve">PNL </w:t>
      </w:r>
      <w:r w:rsidRPr="00B86F9C">
        <w:rPr>
          <w:rFonts w:ascii="Arial" w:hAnsi="Arial" w:cs="Arial"/>
          <w:bCs/>
          <w:szCs w:val="22"/>
        </w:rPr>
        <w:t xml:space="preserve">calculation </w:t>
      </w:r>
      <w:r w:rsidR="00CF757F">
        <w:rPr>
          <w:rFonts w:ascii="Arial" w:hAnsi="Arial" w:cs="Arial"/>
          <w:bCs/>
          <w:szCs w:val="22"/>
        </w:rPr>
        <w:t>based</w:t>
      </w:r>
      <w:r w:rsidRPr="00B86F9C">
        <w:rPr>
          <w:rFonts w:ascii="Arial" w:hAnsi="Arial" w:cs="Arial"/>
          <w:bCs/>
          <w:szCs w:val="22"/>
        </w:rPr>
        <w:t xml:space="preserve"> </w:t>
      </w:r>
      <w:r w:rsidR="00CF757F">
        <w:rPr>
          <w:rFonts w:ascii="Arial" w:hAnsi="Arial" w:cs="Arial"/>
          <w:bCs/>
          <w:szCs w:val="22"/>
        </w:rPr>
        <w:t xml:space="preserve">on </w:t>
      </w:r>
      <w:r w:rsidRPr="00B86F9C">
        <w:rPr>
          <w:rFonts w:ascii="Arial" w:hAnsi="Arial" w:cs="Arial"/>
          <w:bCs/>
          <w:szCs w:val="22"/>
        </w:rPr>
        <w:t xml:space="preserve">the </w:t>
      </w:r>
      <w:r w:rsidR="00CF757F">
        <w:rPr>
          <w:rFonts w:ascii="Arial" w:hAnsi="Arial" w:cs="Arial"/>
          <w:bCs/>
          <w:szCs w:val="22"/>
        </w:rPr>
        <w:t>common</w:t>
      </w:r>
      <w:r w:rsidRPr="00B86F9C">
        <w:rPr>
          <w:rFonts w:ascii="Arial" w:hAnsi="Arial" w:cs="Arial"/>
          <w:bCs/>
          <w:szCs w:val="22"/>
        </w:rPr>
        <w:t xml:space="preserve"> market </w:t>
      </w:r>
      <w:r w:rsidR="00CF757F">
        <w:rPr>
          <w:rFonts w:ascii="Arial" w:hAnsi="Arial" w:cs="Arial"/>
          <w:bCs/>
          <w:szCs w:val="22"/>
        </w:rPr>
        <w:t xml:space="preserve">stress </w:t>
      </w:r>
      <w:r w:rsidRPr="00B86F9C">
        <w:rPr>
          <w:rFonts w:ascii="Arial" w:hAnsi="Arial" w:cs="Arial"/>
          <w:bCs/>
          <w:szCs w:val="22"/>
        </w:rPr>
        <w:t>scenario, while the concentration PNL is run by ESMA staff.</w:t>
      </w:r>
      <w:r w:rsidR="00F16D2D">
        <w:rPr>
          <w:rFonts w:ascii="Arial" w:hAnsi="Arial" w:cs="Arial"/>
          <w:bCs/>
          <w:szCs w:val="22"/>
        </w:rPr>
        <w:t xml:space="preserve"> In principle, the combined impact of the 2 components should be computed together.</w:t>
      </w:r>
    </w:p>
    <w:p w14:paraId="252FC2D2" w14:textId="578B6552" w:rsidR="00502BCF" w:rsidRDefault="00F16D2D" w:rsidP="00502BCF">
      <w:pPr>
        <w:suppressAutoHyphens/>
        <w:spacing w:line="360" w:lineRule="auto"/>
        <w:jc w:val="both"/>
        <w:rPr>
          <w:rFonts w:ascii="Arial" w:hAnsi="Arial" w:cs="Arial"/>
          <w:bCs/>
          <w:szCs w:val="22"/>
        </w:rPr>
      </w:pPr>
      <w:r>
        <w:rPr>
          <w:rFonts w:ascii="Arial" w:hAnsi="Arial" w:cs="Arial"/>
          <w:bCs/>
          <w:szCs w:val="22"/>
        </w:rPr>
        <w:t>However, i</w:t>
      </w:r>
      <w:r w:rsidR="00502BCF">
        <w:rPr>
          <w:rFonts w:ascii="Arial" w:hAnsi="Arial" w:cs="Arial"/>
          <w:bCs/>
          <w:szCs w:val="22"/>
        </w:rPr>
        <w:t xml:space="preserve">t was not possible to </w:t>
      </w:r>
      <w:r w:rsidR="00502BCF" w:rsidRPr="00B86F9C">
        <w:rPr>
          <w:rFonts w:ascii="Arial" w:hAnsi="Arial" w:cs="Arial"/>
          <w:bCs/>
          <w:szCs w:val="22"/>
        </w:rPr>
        <w:t>recompute the exercise in full</w:t>
      </w:r>
      <w:r w:rsidR="00502BCF">
        <w:rPr>
          <w:rFonts w:ascii="Arial" w:hAnsi="Arial" w:cs="Arial"/>
          <w:bCs/>
          <w:szCs w:val="22"/>
        </w:rPr>
        <w:t xml:space="preserve"> while combining the market price shock PNL and concentration PNL. To do so, </w:t>
      </w:r>
      <w:r w:rsidR="00502BCF" w:rsidRPr="00B86F9C">
        <w:rPr>
          <w:rFonts w:ascii="Arial" w:hAnsi="Arial" w:cs="Arial"/>
          <w:bCs/>
          <w:szCs w:val="22"/>
        </w:rPr>
        <w:t>ESMA staff would have needed a full transparency on the structure of accounts</w:t>
      </w:r>
      <w:r w:rsidR="002E10C7">
        <w:rPr>
          <w:rFonts w:ascii="Arial" w:hAnsi="Arial" w:cs="Arial"/>
          <w:bCs/>
          <w:szCs w:val="22"/>
        </w:rPr>
        <w:t xml:space="preserve"> and to be able to run the waterfall in full.</w:t>
      </w:r>
    </w:p>
    <w:p w14:paraId="3F663B80" w14:textId="61979406" w:rsidR="00502BCF" w:rsidRPr="00B409E7" w:rsidRDefault="00AB5E64" w:rsidP="002E10C7">
      <w:pPr>
        <w:suppressAutoHyphens/>
        <w:spacing w:line="360" w:lineRule="auto"/>
        <w:jc w:val="both"/>
        <w:rPr>
          <w:rFonts w:ascii="Arial" w:hAnsi="Arial" w:cs="Arial"/>
          <w:bCs/>
          <w:szCs w:val="22"/>
        </w:rPr>
      </w:pPr>
      <w:r>
        <w:rPr>
          <w:rFonts w:ascii="Arial" w:hAnsi="Arial" w:cs="Arial"/>
          <w:bCs/>
          <w:szCs w:val="22"/>
        </w:rPr>
        <w:t>Nevertheless</w:t>
      </w:r>
      <w:r w:rsidR="00187885">
        <w:rPr>
          <w:rFonts w:ascii="Arial" w:hAnsi="Arial" w:cs="Arial"/>
          <w:bCs/>
          <w:szCs w:val="22"/>
        </w:rPr>
        <w:t xml:space="preserve">, the exercise assessed </w:t>
      </w:r>
      <w:r w:rsidR="002E10C7">
        <w:rPr>
          <w:rFonts w:ascii="Arial" w:hAnsi="Arial" w:cs="Arial"/>
          <w:bCs/>
          <w:szCs w:val="22"/>
        </w:rPr>
        <w:t>the concentration risk and the combined credit / concentration effect against the mutualised resources under some simplifying assumptions.</w:t>
      </w:r>
    </w:p>
    <w:p w14:paraId="02A000B4" w14:textId="14CB90B7" w:rsidR="00C322A5" w:rsidRDefault="00C322A5" w:rsidP="006455B3">
      <w:pPr>
        <w:suppressAutoHyphens/>
        <w:spacing w:line="360" w:lineRule="auto"/>
        <w:jc w:val="both"/>
        <w:rPr>
          <w:rFonts w:ascii="Arial" w:hAnsi="Arial" w:cs="Arial"/>
          <w:b/>
          <w:szCs w:val="22"/>
        </w:rPr>
      </w:pPr>
    </w:p>
    <w:p w14:paraId="40D39DE2" w14:textId="77777777" w:rsidR="00252662" w:rsidRPr="00252662" w:rsidRDefault="00252662" w:rsidP="00252662">
      <w:pPr>
        <w:suppressAutoHyphens/>
        <w:spacing w:line="360" w:lineRule="auto"/>
        <w:jc w:val="both"/>
        <w:rPr>
          <w:rFonts w:ascii="Arial" w:hAnsi="Arial" w:cs="Arial"/>
          <w:b/>
          <w:szCs w:val="22"/>
        </w:rPr>
      </w:pPr>
      <w:r w:rsidRPr="00252662">
        <w:rPr>
          <w:rFonts w:ascii="Arial" w:hAnsi="Arial" w:cs="Arial"/>
          <w:b/>
          <w:szCs w:val="22"/>
        </w:rPr>
        <w:t xml:space="preserve">Would the exercise have identified the default experienced by Nasdaq in 2018? </w:t>
      </w:r>
    </w:p>
    <w:p w14:paraId="0777B61C" w14:textId="77777777" w:rsidR="00252662" w:rsidRPr="00252662" w:rsidRDefault="00252662" w:rsidP="00252662">
      <w:pPr>
        <w:suppressAutoHyphens/>
        <w:spacing w:line="360" w:lineRule="auto"/>
        <w:jc w:val="both"/>
        <w:rPr>
          <w:rFonts w:ascii="Arial" w:hAnsi="Arial" w:cs="Arial"/>
          <w:bCs/>
          <w:szCs w:val="22"/>
        </w:rPr>
      </w:pPr>
      <w:r w:rsidRPr="00252662">
        <w:rPr>
          <w:rFonts w:ascii="Arial" w:hAnsi="Arial" w:cs="Arial"/>
          <w:bCs/>
          <w:szCs w:val="22"/>
        </w:rPr>
        <w:t xml:space="preserve">Since the exercise has to be run on the basis of common methodology and criteria, it cannot be aimed to identify topical deficiencies of individual CCPs.  In particular, when modelling the scenarios and credit exposure, it is not possible to cover all possible risk factors and then all possible combinations of risk factor shocks for all CCPs.  This includes for example the change of spread between two particular markets, as it was the case in the relevant event. </w:t>
      </w:r>
    </w:p>
    <w:p w14:paraId="607B7340" w14:textId="1691FD6E" w:rsidR="00252662" w:rsidRPr="00252662" w:rsidRDefault="00252662" w:rsidP="00252662">
      <w:pPr>
        <w:suppressAutoHyphens/>
        <w:spacing w:line="360" w:lineRule="auto"/>
        <w:jc w:val="both"/>
        <w:rPr>
          <w:rFonts w:ascii="Arial" w:hAnsi="Arial" w:cs="Arial"/>
          <w:bCs/>
          <w:szCs w:val="22"/>
        </w:rPr>
      </w:pPr>
      <w:r w:rsidRPr="00252662">
        <w:rPr>
          <w:rFonts w:ascii="Arial" w:hAnsi="Arial" w:cs="Arial"/>
          <w:bCs/>
          <w:szCs w:val="22"/>
        </w:rPr>
        <w:t>Nevertheless, the new concentration component would have modelled the losses arising from the liquidation of the defaulting clearing member’s large positions, independently from the applied market scenario. Following the default of the clearing member, it was assessed that its positions were too large to be closed in the market. The illiquidity of the positions made the final losses to largely exceed the mark to market losses prior to the default. Of course, the new component is a first step towards incorporating a fully-fledged assessment of the concentration risk and is subject to limitations that are duly explained in the report.</w:t>
      </w:r>
    </w:p>
    <w:p w14:paraId="7D4C886C" w14:textId="77777777" w:rsidR="00252662" w:rsidRPr="00597C47" w:rsidRDefault="00252662" w:rsidP="006455B3">
      <w:pPr>
        <w:suppressAutoHyphens/>
        <w:spacing w:line="360" w:lineRule="auto"/>
        <w:jc w:val="both"/>
        <w:rPr>
          <w:rFonts w:ascii="Arial" w:hAnsi="Arial" w:cs="Arial"/>
          <w:b/>
          <w:szCs w:val="22"/>
        </w:rPr>
      </w:pPr>
    </w:p>
    <w:p w14:paraId="3D0F4C8E" w14:textId="6A315963" w:rsidR="00597C47" w:rsidRPr="00597C47" w:rsidRDefault="00597C47" w:rsidP="00597C47">
      <w:pPr>
        <w:suppressAutoHyphens/>
        <w:spacing w:line="360" w:lineRule="auto"/>
        <w:jc w:val="both"/>
        <w:rPr>
          <w:rFonts w:ascii="Arial" w:hAnsi="Arial" w:cs="Arial"/>
          <w:b/>
          <w:szCs w:val="22"/>
        </w:rPr>
      </w:pPr>
      <w:r w:rsidRPr="00597C47">
        <w:rPr>
          <w:rFonts w:ascii="Arial" w:hAnsi="Arial" w:cs="Arial"/>
          <w:b/>
          <w:szCs w:val="22"/>
        </w:rPr>
        <w:t>Is stress testing part of CCPs risk management?</w:t>
      </w:r>
    </w:p>
    <w:p w14:paraId="0EF8A933" w14:textId="77777777" w:rsidR="00597C47" w:rsidRPr="00597C47" w:rsidRDefault="00597C47" w:rsidP="00597C47">
      <w:pPr>
        <w:suppressAutoHyphens/>
        <w:spacing w:line="360" w:lineRule="auto"/>
        <w:jc w:val="both"/>
        <w:rPr>
          <w:rFonts w:ascii="Arial" w:hAnsi="Arial" w:cs="Arial"/>
          <w:szCs w:val="22"/>
        </w:rPr>
      </w:pPr>
      <w:r w:rsidRPr="00597C47">
        <w:rPr>
          <w:rFonts w:ascii="Arial" w:hAnsi="Arial" w:cs="Arial"/>
          <w:szCs w:val="22"/>
        </w:rPr>
        <w:t>Yes. CCPs are required to conduct daily stress tests as part of their on-going risk management.</w:t>
      </w:r>
    </w:p>
    <w:p w14:paraId="747FB32F" w14:textId="77777777" w:rsidR="00597C47" w:rsidRPr="00597C47" w:rsidRDefault="00597C47" w:rsidP="00597C47">
      <w:pPr>
        <w:suppressAutoHyphens/>
        <w:spacing w:line="360" w:lineRule="auto"/>
        <w:jc w:val="both"/>
        <w:rPr>
          <w:rFonts w:ascii="Arial" w:hAnsi="Arial" w:cs="Arial"/>
          <w:b/>
          <w:szCs w:val="22"/>
        </w:rPr>
      </w:pPr>
    </w:p>
    <w:p w14:paraId="620A11FA" w14:textId="77777777" w:rsidR="00597C47" w:rsidRPr="00597C47" w:rsidRDefault="00597C47" w:rsidP="00597C47">
      <w:pPr>
        <w:suppressAutoHyphens/>
        <w:spacing w:line="360" w:lineRule="auto"/>
        <w:jc w:val="both"/>
        <w:rPr>
          <w:rFonts w:ascii="Arial" w:hAnsi="Arial" w:cs="Arial"/>
          <w:b/>
          <w:szCs w:val="22"/>
        </w:rPr>
      </w:pPr>
      <w:r w:rsidRPr="00597C47">
        <w:rPr>
          <w:rFonts w:ascii="Arial" w:hAnsi="Arial" w:cs="Arial"/>
          <w:b/>
          <w:szCs w:val="22"/>
        </w:rPr>
        <w:t>What is the difference between a CCP stress test and the one ESMA conducted?</w:t>
      </w:r>
    </w:p>
    <w:p w14:paraId="3760800F" w14:textId="79EB4AD5" w:rsidR="00597C47" w:rsidRPr="00597C47" w:rsidRDefault="00597C47" w:rsidP="00597C47">
      <w:pPr>
        <w:suppressAutoHyphens/>
        <w:spacing w:line="360" w:lineRule="auto"/>
        <w:jc w:val="both"/>
        <w:rPr>
          <w:rFonts w:ascii="Arial" w:hAnsi="Arial" w:cs="Arial"/>
          <w:szCs w:val="22"/>
        </w:rPr>
      </w:pPr>
      <w:r w:rsidRPr="00597C47">
        <w:rPr>
          <w:rFonts w:ascii="Arial" w:hAnsi="Arial" w:cs="Arial"/>
          <w:szCs w:val="22"/>
        </w:rPr>
        <w:t xml:space="preserve">CCP stress tests mostly focus on the specific CCP and its market environment. CCPs are however inter-connected though common </w:t>
      </w:r>
      <w:r w:rsidR="00CC1EA8">
        <w:rPr>
          <w:rFonts w:ascii="Arial" w:hAnsi="Arial" w:cs="Arial"/>
          <w:szCs w:val="22"/>
        </w:rPr>
        <w:t>CMs</w:t>
      </w:r>
      <w:r w:rsidRPr="00597C47">
        <w:rPr>
          <w:rFonts w:ascii="Arial" w:hAnsi="Arial" w:cs="Arial"/>
          <w:szCs w:val="22"/>
        </w:rPr>
        <w:t xml:space="preserve">. Thus, a default of one of the top </w:t>
      </w:r>
      <w:r w:rsidR="00CC1EA8">
        <w:rPr>
          <w:rFonts w:ascii="Arial" w:hAnsi="Arial" w:cs="Arial"/>
          <w:szCs w:val="22"/>
        </w:rPr>
        <w:t>CM</w:t>
      </w:r>
      <w:r w:rsidRPr="00597C47">
        <w:rPr>
          <w:rFonts w:ascii="Arial" w:hAnsi="Arial" w:cs="Arial"/>
          <w:szCs w:val="22"/>
        </w:rPr>
        <w:t xml:space="preserve"> in one CCP could trigger a simultaneous default of one or more entities in other CCPs. Individual stress tests run by CCPs cannot reveal any systemic implications because of their reduced scope. Therefore, the </w:t>
      </w:r>
      <w:r w:rsidRPr="00597C47">
        <w:rPr>
          <w:rFonts w:ascii="Arial" w:hAnsi="Arial" w:cs="Arial"/>
          <w:szCs w:val="22"/>
        </w:rPr>
        <w:lastRenderedPageBreak/>
        <w:t xml:space="preserve">EU-wide stress test is an extremely useful tool in assessing the resilience of the system of EU CCPs. </w:t>
      </w:r>
    </w:p>
    <w:p w14:paraId="7C85E9EF" w14:textId="6C9DF376" w:rsidR="00597C47" w:rsidRPr="00597C47" w:rsidRDefault="00597C47" w:rsidP="006455B3">
      <w:pPr>
        <w:suppressAutoHyphens/>
        <w:spacing w:line="360" w:lineRule="auto"/>
        <w:jc w:val="both"/>
        <w:rPr>
          <w:rFonts w:ascii="Arial" w:hAnsi="Arial" w:cs="Arial"/>
          <w:b/>
          <w:szCs w:val="22"/>
        </w:rPr>
      </w:pPr>
    </w:p>
    <w:p w14:paraId="4E64986E" w14:textId="10AB5326" w:rsidR="0003017A" w:rsidRDefault="0003017A" w:rsidP="006455B3">
      <w:pPr>
        <w:suppressAutoHyphens/>
        <w:spacing w:line="360" w:lineRule="auto"/>
        <w:jc w:val="both"/>
        <w:rPr>
          <w:rFonts w:ascii="Arial" w:hAnsi="Arial" w:cs="Arial"/>
          <w:b/>
          <w:szCs w:val="22"/>
        </w:rPr>
      </w:pPr>
      <w:r>
        <w:rPr>
          <w:rFonts w:ascii="Arial" w:hAnsi="Arial" w:cs="Arial"/>
          <w:b/>
          <w:szCs w:val="22"/>
        </w:rPr>
        <w:t>Is the exercise assessing the compliance of CCPs with regulatory requirements?</w:t>
      </w:r>
    </w:p>
    <w:p w14:paraId="0291F3FA" w14:textId="3EACED4D" w:rsidR="0003017A" w:rsidRPr="00B409E7" w:rsidRDefault="0003017A" w:rsidP="006455B3">
      <w:pPr>
        <w:suppressAutoHyphens/>
        <w:spacing w:line="360" w:lineRule="auto"/>
        <w:jc w:val="both"/>
        <w:rPr>
          <w:rFonts w:ascii="Arial" w:hAnsi="Arial" w:cs="Arial"/>
          <w:bCs/>
          <w:szCs w:val="22"/>
        </w:rPr>
      </w:pPr>
      <w:r w:rsidRPr="00B409E7">
        <w:rPr>
          <w:rFonts w:ascii="Arial" w:hAnsi="Arial" w:cs="Arial"/>
          <w:bCs/>
          <w:szCs w:val="22"/>
        </w:rPr>
        <w:t xml:space="preserve">As with previous exercises, the objective of the EU-wide stress test exercise is to assess the resilience of EU CCPS to adverse market developments. This exercise is not aimed at assessing the compliance of the CCPs with regulatory requirements, nor at identifying any potential deficiency of the stress testing methodology of individual CCPs. Despite the fact that it is not aimed to do so, it may expose individual shortcomings, in which case ESMA will issue the necessary recommendations.  </w:t>
      </w:r>
    </w:p>
    <w:p w14:paraId="58E1E1BD" w14:textId="77777777" w:rsidR="0003017A" w:rsidRPr="00597C47" w:rsidRDefault="0003017A" w:rsidP="006455B3">
      <w:pPr>
        <w:suppressAutoHyphens/>
        <w:spacing w:line="360" w:lineRule="auto"/>
        <w:jc w:val="both"/>
        <w:rPr>
          <w:rFonts w:ascii="Arial" w:hAnsi="Arial" w:cs="Arial"/>
          <w:b/>
          <w:szCs w:val="22"/>
        </w:rPr>
      </w:pPr>
    </w:p>
    <w:p w14:paraId="762FD816" w14:textId="5F9F477A" w:rsidR="006455B3" w:rsidRPr="00597C47" w:rsidRDefault="006455B3" w:rsidP="006455B3">
      <w:pPr>
        <w:suppressAutoHyphens/>
        <w:spacing w:line="360" w:lineRule="auto"/>
        <w:jc w:val="both"/>
        <w:rPr>
          <w:rFonts w:ascii="Arial" w:hAnsi="Arial" w:cs="Arial"/>
          <w:b/>
          <w:szCs w:val="22"/>
        </w:rPr>
      </w:pPr>
      <w:r w:rsidRPr="00597C47">
        <w:rPr>
          <w:rFonts w:ascii="Arial" w:hAnsi="Arial" w:cs="Arial"/>
          <w:b/>
          <w:szCs w:val="22"/>
        </w:rPr>
        <w:t>What are the different levels of protection</w:t>
      </w:r>
      <w:r w:rsidR="005945BD" w:rsidRPr="00597C47">
        <w:rPr>
          <w:rFonts w:ascii="Arial" w:hAnsi="Arial" w:cs="Arial"/>
          <w:b/>
          <w:szCs w:val="22"/>
        </w:rPr>
        <w:t xml:space="preserve"> a CCP has in place</w:t>
      </w:r>
      <w:r w:rsidRPr="00597C47">
        <w:rPr>
          <w:rFonts w:ascii="Arial" w:hAnsi="Arial" w:cs="Arial"/>
          <w:b/>
          <w:szCs w:val="22"/>
        </w:rPr>
        <w:t>?</w:t>
      </w:r>
    </w:p>
    <w:p w14:paraId="762FD817" w14:textId="3A486DE0" w:rsidR="006455B3" w:rsidRPr="00597C47" w:rsidRDefault="006455B3" w:rsidP="006455B3">
      <w:pPr>
        <w:suppressAutoHyphens/>
        <w:spacing w:line="360" w:lineRule="auto"/>
        <w:jc w:val="both"/>
        <w:rPr>
          <w:rFonts w:ascii="Arial" w:hAnsi="Arial" w:cs="Arial"/>
          <w:szCs w:val="22"/>
        </w:rPr>
      </w:pPr>
      <w:r w:rsidRPr="00597C47">
        <w:rPr>
          <w:rFonts w:ascii="Arial" w:hAnsi="Arial" w:cs="Arial"/>
          <w:szCs w:val="22"/>
        </w:rPr>
        <w:t>CCPs have rules, arrangements and resources to ensure that they can respond</w:t>
      </w:r>
      <w:r w:rsidR="00377C50" w:rsidRPr="00597C47">
        <w:rPr>
          <w:rFonts w:ascii="Arial" w:hAnsi="Arial" w:cs="Arial"/>
          <w:szCs w:val="22"/>
        </w:rPr>
        <w:t>,</w:t>
      </w:r>
      <w:r w:rsidRPr="00597C47">
        <w:rPr>
          <w:rFonts w:ascii="Arial" w:hAnsi="Arial" w:cs="Arial"/>
          <w:szCs w:val="22"/>
        </w:rPr>
        <w:t xml:space="preserve"> in an orderly and efficient way</w:t>
      </w:r>
      <w:r w:rsidR="00377C50" w:rsidRPr="00597C47">
        <w:rPr>
          <w:rFonts w:ascii="Arial" w:hAnsi="Arial" w:cs="Arial"/>
          <w:szCs w:val="22"/>
        </w:rPr>
        <w:t>,</w:t>
      </w:r>
      <w:r w:rsidRPr="00597C47">
        <w:rPr>
          <w:rFonts w:ascii="Arial" w:hAnsi="Arial" w:cs="Arial"/>
          <w:szCs w:val="22"/>
        </w:rPr>
        <w:t xml:space="preserve"> to a </w:t>
      </w:r>
      <w:r w:rsidR="00377C50" w:rsidRPr="00597C47">
        <w:rPr>
          <w:rFonts w:ascii="Arial" w:hAnsi="Arial" w:cs="Arial"/>
          <w:szCs w:val="22"/>
        </w:rPr>
        <w:t xml:space="preserve">defaulting </w:t>
      </w:r>
      <w:r w:rsidRPr="00597C47">
        <w:rPr>
          <w:rFonts w:ascii="Arial" w:hAnsi="Arial" w:cs="Arial"/>
          <w:szCs w:val="22"/>
        </w:rPr>
        <w:t xml:space="preserve">member. For example, </w:t>
      </w:r>
      <w:r w:rsidR="00377C50" w:rsidRPr="00597C47">
        <w:rPr>
          <w:rFonts w:ascii="Arial" w:hAnsi="Arial" w:cs="Arial"/>
          <w:szCs w:val="22"/>
        </w:rPr>
        <w:t>a CCP</w:t>
      </w:r>
      <w:r w:rsidRPr="00597C47">
        <w:rPr>
          <w:rFonts w:ascii="Arial" w:hAnsi="Arial" w:cs="Arial"/>
          <w:szCs w:val="22"/>
        </w:rPr>
        <w:t xml:space="preserve"> might seek to find new counterparties to take on the positions of the defaulting member and </w:t>
      </w:r>
      <w:r w:rsidR="00377C50" w:rsidRPr="00597C47">
        <w:rPr>
          <w:rFonts w:ascii="Arial" w:hAnsi="Arial" w:cs="Arial"/>
          <w:szCs w:val="22"/>
        </w:rPr>
        <w:t>bring</w:t>
      </w:r>
      <w:r w:rsidRPr="00597C47">
        <w:rPr>
          <w:rFonts w:ascii="Arial" w:hAnsi="Arial" w:cs="Arial"/>
          <w:szCs w:val="22"/>
        </w:rPr>
        <w:t xml:space="preserve"> the CCP </w:t>
      </w:r>
      <w:r w:rsidR="00377C50" w:rsidRPr="00597C47">
        <w:rPr>
          <w:rFonts w:ascii="Arial" w:hAnsi="Arial" w:cs="Arial"/>
          <w:szCs w:val="22"/>
        </w:rPr>
        <w:t xml:space="preserve">back </w:t>
      </w:r>
      <w:r w:rsidRPr="00597C47">
        <w:rPr>
          <w:rFonts w:ascii="Arial" w:hAnsi="Arial" w:cs="Arial"/>
          <w:szCs w:val="22"/>
        </w:rPr>
        <w:t xml:space="preserve">to a matched book of contracts. This is sometimes achieved </w:t>
      </w:r>
      <w:r w:rsidR="00AB1E3C" w:rsidRPr="00597C47">
        <w:rPr>
          <w:rFonts w:ascii="Arial" w:hAnsi="Arial" w:cs="Arial"/>
          <w:szCs w:val="22"/>
        </w:rPr>
        <w:t>through an ‘auction’ of the defaulter’s position</w:t>
      </w:r>
      <w:r w:rsidRPr="00597C47">
        <w:rPr>
          <w:rFonts w:ascii="Arial" w:hAnsi="Arial" w:cs="Arial"/>
          <w:szCs w:val="22"/>
        </w:rPr>
        <w:t xml:space="preserve"> among surviving members. </w:t>
      </w:r>
    </w:p>
    <w:p w14:paraId="07ABFD40" w14:textId="3A7025D1" w:rsidR="00B93AE1" w:rsidRPr="00597C47" w:rsidRDefault="00B93AE1" w:rsidP="006455B3">
      <w:pPr>
        <w:suppressAutoHyphens/>
        <w:spacing w:line="360" w:lineRule="auto"/>
        <w:jc w:val="both"/>
        <w:rPr>
          <w:rFonts w:ascii="Arial" w:hAnsi="Arial" w:cs="Arial"/>
          <w:szCs w:val="22"/>
        </w:rPr>
      </w:pPr>
    </w:p>
    <w:p w14:paraId="762FD819" w14:textId="1FDA9D20" w:rsidR="006455B3" w:rsidRPr="00597C47" w:rsidRDefault="006455B3" w:rsidP="006455B3">
      <w:pPr>
        <w:suppressAutoHyphens/>
        <w:spacing w:line="360" w:lineRule="auto"/>
        <w:jc w:val="both"/>
        <w:rPr>
          <w:rFonts w:ascii="Arial" w:hAnsi="Arial" w:cs="Arial"/>
          <w:szCs w:val="22"/>
        </w:rPr>
      </w:pPr>
      <w:r w:rsidRPr="00597C47">
        <w:rPr>
          <w:rFonts w:ascii="Arial" w:hAnsi="Arial" w:cs="Arial"/>
          <w:szCs w:val="22"/>
        </w:rPr>
        <w:t>In terms of resources to cover its obligations, CCPs have access to financial resources provided by the defaulting party, the CCP itself and the other, non-defaulting members of the CCP. The order in which these are drawn down helps to create appropriate incentives for all parties (members and CCPs) to manage the risks they take on. These funds are collectively known as the CCP’s ‘default waterfall</w:t>
      </w:r>
      <w:r w:rsidR="00377C50" w:rsidRPr="00597C47">
        <w:rPr>
          <w:rFonts w:ascii="Arial" w:hAnsi="Arial" w:cs="Arial"/>
          <w:szCs w:val="22"/>
        </w:rPr>
        <w:t>’</w:t>
      </w:r>
      <w:r w:rsidR="00B93AE1" w:rsidRPr="00597C47">
        <w:rPr>
          <w:rFonts w:ascii="Arial" w:hAnsi="Arial" w:cs="Arial"/>
          <w:szCs w:val="22"/>
        </w:rPr>
        <w:t xml:space="preserve"> (see figure below)</w:t>
      </w:r>
      <w:r w:rsidR="00853DFB" w:rsidRPr="00597C47">
        <w:rPr>
          <w:rFonts w:ascii="Arial" w:hAnsi="Arial" w:cs="Arial"/>
          <w:szCs w:val="22"/>
        </w:rPr>
        <w:t>.</w:t>
      </w:r>
    </w:p>
    <w:p w14:paraId="568161DC" w14:textId="712AF35C" w:rsidR="00B93AE1" w:rsidRPr="00597C47" w:rsidRDefault="00B93AE1" w:rsidP="006455B3">
      <w:pPr>
        <w:suppressAutoHyphens/>
        <w:spacing w:line="360" w:lineRule="auto"/>
        <w:jc w:val="both"/>
        <w:rPr>
          <w:rFonts w:ascii="Arial" w:hAnsi="Arial" w:cs="Arial"/>
          <w:szCs w:val="22"/>
        </w:rPr>
      </w:pPr>
    </w:p>
    <w:p w14:paraId="47DA68DF" w14:textId="276950A9" w:rsidR="00B93AE1" w:rsidRPr="00597C47" w:rsidRDefault="0003017A" w:rsidP="00B93AE1">
      <w:pPr>
        <w:ind w:left="643"/>
        <w:rPr>
          <w:rFonts w:ascii="Arial" w:hAnsi="Arial" w:cs="Arial"/>
        </w:rPr>
      </w:pPr>
      <w:r>
        <w:rPr>
          <w:rFonts w:ascii="Arial" w:hAnsi="Arial" w:cs="Arial"/>
          <w:noProof/>
        </w:rPr>
        <w:drawing>
          <wp:inline distT="0" distB="0" distL="0" distR="0" wp14:anchorId="33886D0D" wp14:editId="1AF6B041">
            <wp:extent cx="5505450" cy="2316480"/>
            <wp:effectExtent l="0" t="0" r="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505450" cy="2316480"/>
                    </a:xfrm>
                    <a:prstGeom prst="rect">
                      <a:avLst/>
                    </a:prstGeom>
                    <a:noFill/>
                  </pic:spPr>
                </pic:pic>
              </a:graphicData>
            </a:graphic>
          </wp:inline>
        </w:drawing>
      </w:r>
    </w:p>
    <w:p w14:paraId="20F61AA4" w14:textId="77777777" w:rsidR="00B93AE1" w:rsidRPr="00597C47" w:rsidRDefault="00B93AE1" w:rsidP="00B93AE1">
      <w:pPr>
        <w:ind w:left="643"/>
        <w:rPr>
          <w:rFonts w:ascii="Arial" w:hAnsi="Arial" w:cs="Arial"/>
        </w:rPr>
      </w:pPr>
      <w:r w:rsidRPr="00597C47">
        <w:rPr>
          <w:rFonts w:ascii="Arial" w:hAnsi="Arial" w:cs="Arial"/>
          <w:noProof/>
          <w:lang w:eastAsia="en-GB"/>
        </w:rPr>
        <w:lastRenderedPageBreak/>
        <mc:AlternateContent>
          <mc:Choice Requires="wps">
            <w:drawing>
              <wp:anchor distT="0" distB="0" distL="114300" distR="114300" simplePos="0" relativeHeight="251658240" behindDoc="1" locked="0" layoutInCell="1" allowOverlap="1" wp14:anchorId="638D712A" wp14:editId="443B4E92">
                <wp:simplePos x="0" y="0"/>
                <wp:positionH relativeFrom="column">
                  <wp:posOffset>2092325</wp:posOffset>
                </wp:positionH>
                <wp:positionV relativeFrom="paragraph">
                  <wp:posOffset>11430</wp:posOffset>
                </wp:positionV>
                <wp:extent cx="3609340" cy="189865"/>
                <wp:effectExtent l="0" t="0" r="0" b="635"/>
                <wp:wrapTight wrapText="bothSides">
                  <wp:wrapPolygon edited="0">
                    <wp:start x="0" y="0"/>
                    <wp:lineTo x="0" y="19505"/>
                    <wp:lineTo x="21433" y="19505"/>
                    <wp:lineTo x="21433" y="0"/>
                    <wp:lineTo x="0" y="0"/>
                  </wp:wrapPolygon>
                </wp:wrapTight>
                <wp:docPr id="10" name="Text Box 10"/>
                <wp:cNvGraphicFramePr/>
                <a:graphic xmlns:a="http://schemas.openxmlformats.org/drawingml/2006/main">
                  <a:graphicData uri="http://schemas.microsoft.com/office/word/2010/wordprocessingShape">
                    <wps:wsp>
                      <wps:cNvSpPr txBox="1"/>
                      <wps:spPr>
                        <a:xfrm>
                          <a:off x="0" y="0"/>
                          <a:ext cx="3609340" cy="189865"/>
                        </a:xfrm>
                        <a:prstGeom prst="rect">
                          <a:avLst/>
                        </a:prstGeom>
                        <a:solidFill>
                          <a:prstClr val="white"/>
                        </a:solidFill>
                        <a:ln>
                          <a:noFill/>
                        </a:ln>
                      </wps:spPr>
                      <wps:txbx>
                        <w:txbxContent>
                          <w:p w14:paraId="623C8C2C" w14:textId="77777777" w:rsidR="00F16D2D" w:rsidRPr="00913008" w:rsidRDefault="00F16D2D" w:rsidP="00B93AE1">
                            <w:pPr>
                              <w:pStyle w:val="Caption"/>
                              <w:rPr>
                                <w:noProof/>
                              </w:rPr>
                            </w:pPr>
                            <w:r>
                              <w:t>Figure: CCP Default Waterfall</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38D712A" id="Text Box 10" o:spid="_x0000_s1029" type="#_x0000_t202" style="position:absolute;left:0;text-align:left;margin-left:164.75pt;margin-top:.9pt;width:284.2pt;height:14.9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iMAIAAGkEAAAOAAAAZHJzL2Uyb0RvYy54bWysVFFv2yAQfp+0/4B4X5w0W9RacaosVaZJ&#10;UVspmfpMMMRIwDEgsbNfvwPH6dbtadoLPu6OD77v7jy/74wmJ+GDAlvRyWhMibAcamUPFf22W3+4&#10;pSREZmumwYqKnkWg94v37+atK8UNNKBr4QmC2FC2rqJNjK4sisAbYVgYgRMWgxK8YRG3/lDUnrWI&#10;bnRxMx7PihZ87TxwEQJ6H/ogXWR8KQWPT1IGEYmuKL4t5tXndZ/WYjFn5cEz1yh+eQb7h1cYpixe&#10;eoV6YJGRo1d/QBnFPQSQccTBFCCl4iJzQDaT8Rs224Y5kbmgOMFdZQr/D5Y/np49UTXWDuWxzGCN&#10;dqKL5DN0BF2oT+tCiWlbh4mxQz/mDv6AzkS7k96kLxIiGEeo81XdhMbROZ2N76YfMcQxNrm9u519&#10;SjDF62nnQ/wiwJBkVNRj9bKo7LQJsU8dUtJlAbSq10rrtEmBlfbkxLDSbaOiuID/lqVtyrWQTvWA&#10;yVMkij2VZMVu32VJpgPNPdRnZO+h75/g+FrhfRsW4jPz2DDICocgPuEiNbQVhYtFSQP+x9/8KR/r&#10;iFFKWmzAiobvR+YFJfqrxQojZBwMPxj7wbBHswJkOsHxcjybeMBHPZjSg3nB2VimWzDELMe7KhoH&#10;cxX7McDZ4mK5zEnYk47Fjd06nqAHXXfdC/PuUpWI9XyEoTVZ+aY4fW6v8vIYQapcuaRrr+JFbuzn&#10;XPvL7KWB+XWfs17/EIufAAAA//8DAFBLAwQUAAYACAAAACEAf4yRx90AAAAIAQAADwAAAGRycy9k&#10;b3ducmV2LnhtbEyPwU7DMBBE70j8g7VIXBB1GkTbhDgVtHCDQ0vV8zY2SUS8jmynSf+e5QTH1RvN&#10;vinWk+3E2fjQOlIwnyUgDFVOt1QrOHy+3a9AhIiksXNkFFxMgHV5fVVgrt1IO3Pex1pwCYUcFTQx&#10;9rmUoWqMxTBzvSFmX85bjHz6WmqPI5fbTqZJspAWW+IPDfZm05jqez9YBYutH8Ydbe62h9d3/Ojr&#10;9PhyOSp1ezM9P4GIZop/YfjVZ3Uo2enkBtJBdAoe0uyRowx4AfNVtsxAnBjMlyDLQv4fUP4AAAD/&#10;/wMAUEsBAi0AFAAGAAgAAAAhALaDOJL+AAAA4QEAABMAAAAAAAAAAAAAAAAAAAAAAFtDb250ZW50&#10;X1R5cGVzXS54bWxQSwECLQAUAAYACAAAACEAOP0h/9YAAACUAQAACwAAAAAAAAAAAAAAAAAvAQAA&#10;X3JlbHMvLnJlbHNQSwECLQAUAAYACAAAACEA1C//4jACAABpBAAADgAAAAAAAAAAAAAAAAAuAgAA&#10;ZHJzL2Uyb0RvYy54bWxQSwECLQAUAAYACAAAACEAf4yRx90AAAAIAQAADwAAAAAAAAAAAAAAAACK&#10;BAAAZHJzL2Rvd25yZXYueG1sUEsFBgAAAAAEAAQA8wAAAJQFAAAAAA==&#10;" stroked="f">
                <v:textbox inset="0,0,0,0">
                  <w:txbxContent>
                    <w:p w14:paraId="623C8C2C" w14:textId="77777777" w:rsidR="00F16D2D" w:rsidRPr="00913008" w:rsidRDefault="00F16D2D" w:rsidP="00B93AE1">
                      <w:pPr>
                        <w:pStyle w:val="Caption"/>
                        <w:rPr>
                          <w:noProof/>
                        </w:rPr>
                      </w:pPr>
                      <w:r>
                        <w:t>Figure: CCP Default Waterfall</w:t>
                      </w:r>
                    </w:p>
                  </w:txbxContent>
                </v:textbox>
                <w10:wrap type="tight"/>
              </v:shape>
            </w:pict>
          </mc:Fallback>
        </mc:AlternateContent>
      </w:r>
    </w:p>
    <w:p w14:paraId="17C70F34" w14:textId="1E04E1E9" w:rsidR="00B93AE1" w:rsidRPr="00597C47" w:rsidRDefault="00B93AE1" w:rsidP="006455B3">
      <w:pPr>
        <w:suppressAutoHyphens/>
        <w:spacing w:line="360" w:lineRule="auto"/>
        <w:jc w:val="both"/>
        <w:rPr>
          <w:rFonts w:ascii="Arial" w:hAnsi="Arial" w:cs="Arial"/>
          <w:szCs w:val="22"/>
        </w:rPr>
      </w:pPr>
    </w:p>
    <w:p w14:paraId="762FD81A" w14:textId="7AC04C89" w:rsidR="00CC1EA8" w:rsidRDefault="00CC1EA8" w:rsidP="004A639F">
      <w:pPr>
        <w:suppressAutoHyphens/>
        <w:spacing w:line="360" w:lineRule="auto"/>
        <w:jc w:val="both"/>
        <w:rPr>
          <w:rFonts w:ascii="Arial" w:hAnsi="Arial" w:cs="Arial"/>
          <w:b/>
          <w:szCs w:val="22"/>
        </w:rPr>
      </w:pPr>
    </w:p>
    <w:p w14:paraId="0DF95291" w14:textId="6836158C" w:rsidR="00397FBA" w:rsidRPr="00397FBA" w:rsidRDefault="00397FBA" w:rsidP="004A639F">
      <w:pPr>
        <w:suppressAutoHyphens/>
        <w:spacing w:line="360" w:lineRule="auto"/>
        <w:jc w:val="both"/>
        <w:rPr>
          <w:rFonts w:ascii="Arial" w:hAnsi="Arial" w:cs="Arial"/>
          <w:b/>
          <w:szCs w:val="22"/>
        </w:rPr>
      </w:pPr>
      <w:r w:rsidRPr="00397FBA">
        <w:rPr>
          <w:rFonts w:ascii="Arial" w:hAnsi="Arial" w:cs="Arial"/>
          <w:b/>
          <w:szCs w:val="22"/>
        </w:rPr>
        <w:t>How does this look like for the CCPs tested?</w:t>
      </w:r>
    </w:p>
    <w:p w14:paraId="6C928421" w14:textId="60245577" w:rsidR="00AB3701" w:rsidRDefault="009311D5" w:rsidP="004A639F">
      <w:pPr>
        <w:suppressAutoHyphens/>
        <w:spacing w:line="360" w:lineRule="auto"/>
        <w:jc w:val="both"/>
        <w:rPr>
          <w:rFonts w:ascii="Arial" w:hAnsi="Arial" w:cs="Arial"/>
          <w:szCs w:val="22"/>
        </w:rPr>
      </w:pPr>
      <w:r w:rsidRPr="009311D5">
        <w:rPr>
          <w:rFonts w:ascii="Arial" w:hAnsi="Arial" w:cs="Arial"/>
          <w:szCs w:val="22"/>
        </w:rPr>
        <w:t xml:space="preserve">CCPs provided for the purpose of this exercise detailed data on their financial resources for one </w:t>
      </w:r>
      <w:r w:rsidR="00AF05A4">
        <w:rPr>
          <w:rFonts w:ascii="Arial" w:hAnsi="Arial" w:cs="Arial"/>
          <w:szCs w:val="22"/>
        </w:rPr>
        <w:t xml:space="preserve">of the two </w:t>
      </w:r>
      <w:r w:rsidRPr="009311D5">
        <w:rPr>
          <w:rFonts w:ascii="Arial" w:hAnsi="Arial" w:cs="Arial"/>
          <w:szCs w:val="22"/>
        </w:rPr>
        <w:t>reference date</w:t>
      </w:r>
      <w:r w:rsidR="00AF05A4">
        <w:rPr>
          <w:rFonts w:ascii="Arial" w:hAnsi="Arial" w:cs="Arial"/>
          <w:szCs w:val="22"/>
        </w:rPr>
        <w:t>s (March 2019)</w:t>
      </w:r>
      <w:r w:rsidRPr="009311D5">
        <w:rPr>
          <w:rFonts w:ascii="Arial" w:hAnsi="Arial" w:cs="Arial"/>
          <w:szCs w:val="22"/>
        </w:rPr>
        <w:t xml:space="preserve">. </w:t>
      </w:r>
      <w:r w:rsidR="0003017A" w:rsidRPr="0003017A">
        <w:rPr>
          <w:rFonts w:ascii="Arial" w:hAnsi="Arial" w:cs="Arial"/>
          <w:szCs w:val="22"/>
        </w:rPr>
        <w:t>The CCPs reported in total approximately 335 billion EUR of required margin, default fund contributions and other committed prefunded resources</w:t>
      </w:r>
      <w:r w:rsidR="0003017A">
        <w:rPr>
          <w:rFonts w:ascii="Arial" w:hAnsi="Arial" w:cs="Arial"/>
          <w:szCs w:val="22"/>
        </w:rPr>
        <w:t>.</w:t>
      </w:r>
      <w:r w:rsidR="0003017A" w:rsidRPr="0003017A" w:rsidDel="0003017A">
        <w:rPr>
          <w:rFonts w:ascii="Arial" w:hAnsi="Arial" w:cs="Arial"/>
          <w:szCs w:val="22"/>
        </w:rPr>
        <w:t xml:space="preserve"> </w:t>
      </w:r>
      <w:r w:rsidR="00AF05A4" w:rsidRPr="00AF05A4">
        <w:rPr>
          <w:rFonts w:ascii="Arial" w:hAnsi="Arial" w:cs="Arial"/>
          <w:szCs w:val="22"/>
        </w:rPr>
        <w:t xml:space="preserve">The amount of mutualised resources alone contributed by clearing members to the Default Funds of all CCPs in March was 28.5 billion EUR. </w:t>
      </w:r>
      <w:r w:rsidRPr="009311D5">
        <w:rPr>
          <w:rFonts w:ascii="Arial" w:hAnsi="Arial" w:cs="Arial"/>
          <w:szCs w:val="22"/>
        </w:rPr>
        <w:t xml:space="preserve"> </w:t>
      </w:r>
    </w:p>
    <w:p w14:paraId="1E2F5A62" w14:textId="02BE4B5B" w:rsidR="004463C5" w:rsidRDefault="0003017A" w:rsidP="004A639F">
      <w:pPr>
        <w:suppressAutoHyphens/>
        <w:spacing w:line="360" w:lineRule="auto"/>
        <w:jc w:val="both"/>
        <w:rPr>
          <w:rFonts w:ascii="Arial" w:hAnsi="Arial" w:cs="Arial"/>
          <w:szCs w:val="22"/>
        </w:rPr>
      </w:pPr>
      <w:r>
        <w:rPr>
          <w:rFonts w:ascii="Arial" w:hAnsi="Arial" w:cs="Arial"/>
          <w:noProof/>
          <w:szCs w:val="22"/>
        </w:rPr>
        <w:drawing>
          <wp:inline distT="0" distB="0" distL="0" distR="0" wp14:anchorId="36E9A31F" wp14:editId="0D69DD62">
            <wp:extent cx="4620895" cy="2993390"/>
            <wp:effectExtent l="0" t="0" r="825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620895" cy="2993390"/>
                    </a:xfrm>
                    <a:prstGeom prst="rect">
                      <a:avLst/>
                    </a:prstGeom>
                    <a:noFill/>
                  </pic:spPr>
                </pic:pic>
              </a:graphicData>
            </a:graphic>
          </wp:inline>
        </w:drawing>
      </w:r>
    </w:p>
    <w:p w14:paraId="52749689" w14:textId="5CFB1D7D" w:rsidR="004463C5" w:rsidRDefault="004463C5" w:rsidP="004463C5">
      <w:pPr>
        <w:pStyle w:val="Caption"/>
        <w:ind w:left="643"/>
      </w:pPr>
      <w:bookmarkStart w:id="14" w:name="_Ref500266300"/>
      <w:bookmarkStart w:id="15" w:name="_Toc500500523"/>
      <w:bookmarkStart w:id="16" w:name="_Toc500753756"/>
      <w:bookmarkStart w:id="17" w:name="_Toc500760473"/>
      <w:bookmarkStart w:id="18" w:name="_Toc500776112"/>
      <w:bookmarkStart w:id="19" w:name="_Toc500777794"/>
      <w:bookmarkStart w:id="20" w:name="_Toc503343336"/>
      <w:bookmarkStart w:id="21" w:name="_Toc503362047"/>
      <w:bookmarkStart w:id="22" w:name="_Toc503516938"/>
      <w:bookmarkStart w:id="23" w:name="_Toc503518234"/>
      <w:bookmarkStart w:id="24" w:name="_Toc503892989"/>
      <w:r>
        <w:t>Figure</w:t>
      </w:r>
      <w:bookmarkEnd w:id="14"/>
      <w:r>
        <w:t>: Default Waterfall Amounts – All CCPs</w:t>
      </w:r>
      <w:bookmarkEnd w:id="15"/>
      <w:bookmarkEnd w:id="16"/>
      <w:bookmarkEnd w:id="17"/>
      <w:bookmarkEnd w:id="18"/>
      <w:bookmarkEnd w:id="19"/>
      <w:bookmarkEnd w:id="20"/>
      <w:bookmarkEnd w:id="21"/>
      <w:bookmarkEnd w:id="22"/>
      <w:bookmarkEnd w:id="23"/>
      <w:bookmarkEnd w:id="24"/>
    </w:p>
    <w:p w14:paraId="2FC51CD0" w14:textId="77777777" w:rsidR="00816D84" w:rsidRDefault="00816D84" w:rsidP="004A639F">
      <w:pPr>
        <w:suppressAutoHyphens/>
        <w:spacing w:line="360" w:lineRule="auto"/>
        <w:jc w:val="both"/>
        <w:rPr>
          <w:rFonts w:ascii="Arial" w:hAnsi="Arial" w:cs="Arial"/>
          <w:b/>
          <w:szCs w:val="22"/>
        </w:rPr>
      </w:pPr>
      <w:bookmarkStart w:id="25" w:name="_Hlk43979473"/>
    </w:p>
    <w:p w14:paraId="762FD821" w14:textId="7F5D0CE8" w:rsidR="004A639F" w:rsidRPr="00597C47" w:rsidRDefault="009311D5" w:rsidP="004A639F">
      <w:pPr>
        <w:suppressAutoHyphens/>
        <w:spacing w:line="360" w:lineRule="auto"/>
        <w:jc w:val="both"/>
        <w:rPr>
          <w:rFonts w:ascii="Arial" w:hAnsi="Arial" w:cs="Arial"/>
          <w:b/>
          <w:szCs w:val="22"/>
        </w:rPr>
      </w:pPr>
      <w:r>
        <w:rPr>
          <w:rFonts w:ascii="Arial" w:hAnsi="Arial" w:cs="Arial"/>
          <w:b/>
          <w:szCs w:val="22"/>
        </w:rPr>
        <w:t xml:space="preserve">How do overall results look like? </w:t>
      </w:r>
    </w:p>
    <w:bookmarkEnd w:id="25"/>
    <w:p w14:paraId="2B41AC51" w14:textId="302AA75D" w:rsidR="00B52499" w:rsidRDefault="00F3546D" w:rsidP="00D84C63">
      <w:pPr>
        <w:suppressAutoHyphens/>
        <w:spacing w:before="120" w:line="360" w:lineRule="auto"/>
        <w:jc w:val="both"/>
        <w:rPr>
          <w:rFonts w:ascii="Arial" w:hAnsi="Arial" w:cs="Arial"/>
          <w:szCs w:val="22"/>
        </w:rPr>
      </w:pPr>
      <w:r>
        <w:rPr>
          <w:rFonts w:ascii="Arial" w:hAnsi="Arial" w:cs="Arial"/>
          <w:szCs w:val="22"/>
        </w:rPr>
        <w:t>In this exercise, the counterparty credit risk stress test was performed through the application of a single hypothetical scenario to two different dates</w:t>
      </w:r>
      <w:r w:rsidR="00040054">
        <w:rPr>
          <w:rFonts w:ascii="Arial" w:hAnsi="Arial" w:cs="Arial"/>
          <w:szCs w:val="22"/>
        </w:rPr>
        <w:t xml:space="preserve"> (December 2018 and March 2019)</w:t>
      </w:r>
      <w:r>
        <w:rPr>
          <w:rFonts w:ascii="Arial" w:hAnsi="Arial" w:cs="Arial"/>
          <w:szCs w:val="22"/>
        </w:rPr>
        <w:t>, with liquidity and concentration being tested only for one date</w:t>
      </w:r>
      <w:r w:rsidR="00040054">
        <w:rPr>
          <w:rFonts w:ascii="Arial" w:hAnsi="Arial" w:cs="Arial"/>
          <w:szCs w:val="22"/>
        </w:rPr>
        <w:t xml:space="preserve"> (March 2019)</w:t>
      </w:r>
      <w:r>
        <w:rPr>
          <w:rFonts w:ascii="Arial" w:hAnsi="Arial" w:cs="Arial"/>
          <w:szCs w:val="22"/>
        </w:rPr>
        <w:t>.</w:t>
      </w:r>
      <w:r w:rsidR="00B52499">
        <w:rPr>
          <w:rFonts w:ascii="Arial" w:hAnsi="Arial" w:cs="Arial"/>
          <w:szCs w:val="22"/>
        </w:rPr>
        <w:t xml:space="preserve"> </w:t>
      </w:r>
      <w:r>
        <w:rPr>
          <w:rFonts w:ascii="Arial" w:hAnsi="Arial" w:cs="Arial"/>
          <w:szCs w:val="22"/>
        </w:rPr>
        <w:t xml:space="preserve">Overall, the results show that the analysed network of CCPs is </w:t>
      </w:r>
      <w:r w:rsidR="009311D5" w:rsidRPr="009311D5">
        <w:rPr>
          <w:rFonts w:ascii="Arial" w:hAnsi="Arial" w:cs="Arial"/>
          <w:szCs w:val="22"/>
        </w:rPr>
        <w:t>overall resilient to common shocks and multiple defaults.</w:t>
      </w:r>
    </w:p>
    <w:p w14:paraId="6DF3A993" w14:textId="6F637452" w:rsidR="00F244E9" w:rsidRDefault="00B52499" w:rsidP="00B52499">
      <w:pPr>
        <w:suppressAutoHyphens/>
        <w:spacing w:before="120" w:line="360" w:lineRule="auto"/>
        <w:jc w:val="both"/>
        <w:rPr>
          <w:rFonts w:ascii="Arial" w:hAnsi="Arial" w:cs="Arial"/>
          <w:szCs w:val="22"/>
        </w:rPr>
      </w:pPr>
      <w:r>
        <w:rPr>
          <w:rFonts w:ascii="Arial" w:hAnsi="Arial" w:cs="Arial"/>
          <w:szCs w:val="22"/>
        </w:rPr>
        <w:t>T</w:t>
      </w:r>
      <w:r w:rsidR="00040054" w:rsidRPr="00040054">
        <w:rPr>
          <w:rFonts w:ascii="Arial" w:hAnsi="Arial" w:cs="Arial"/>
          <w:szCs w:val="22"/>
        </w:rPr>
        <w:t>he credit stress test highlighted differences in resilience between CCPs under the selected market stress scenario, although no systemic risk has been identified</w:t>
      </w:r>
      <w:r w:rsidR="00040054">
        <w:rPr>
          <w:rFonts w:ascii="Arial" w:hAnsi="Arial" w:cs="Arial"/>
          <w:szCs w:val="22"/>
        </w:rPr>
        <w:t>.</w:t>
      </w:r>
      <w:r w:rsidR="00040054" w:rsidRPr="00040054">
        <w:rPr>
          <w:rFonts w:ascii="Arial" w:hAnsi="Arial" w:cs="Arial"/>
          <w:szCs w:val="22"/>
        </w:rPr>
        <w:t xml:space="preserve"> For </w:t>
      </w:r>
      <w:r w:rsidR="00040054">
        <w:rPr>
          <w:rFonts w:ascii="Arial" w:hAnsi="Arial" w:cs="Arial"/>
          <w:szCs w:val="22"/>
        </w:rPr>
        <w:t>one of the two dates (</w:t>
      </w:r>
      <w:r w:rsidR="00040054" w:rsidRPr="00040054">
        <w:rPr>
          <w:rFonts w:ascii="Arial" w:hAnsi="Arial" w:cs="Arial"/>
          <w:szCs w:val="22"/>
        </w:rPr>
        <w:t xml:space="preserve">March </w:t>
      </w:r>
      <w:r w:rsidR="00040054">
        <w:rPr>
          <w:rFonts w:ascii="Arial" w:hAnsi="Arial" w:cs="Arial"/>
          <w:szCs w:val="22"/>
        </w:rPr>
        <w:t>2019)</w:t>
      </w:r>
      <w:r w:rsidR="00040054" w:rsidRPr="00040054">
        <w:rPr>
          <w:rFonts w:ascii="Arial" w:hAnsi="Arial" w:cs="Arial"/>
          <w:szCs w:val="22"/>
        </w:rPr>
        <w:t xml:space="preserve">, one CCP (LME) would exhibit a shortfall of prefunded resources. This shortfall would have to be covered with additional non-prefunded resources that the CCP has the right to </w:t>
      </w:r>
      <w:r w:rsidR="00040054" w:rsidRPr="00040054">
        <w:rPr>
          <w:rFonts w:ascii="Arial" w:hAnsi="Arial" w:cs="Arial"/>
          <w:szCs w:val="22"/>
        </w:rPr>
        <w:lastRenderedPageBreak/>
        <w:t xml:space="preserve">call from its non-defaulting members, leaving no losses uncovered. </w:t>
      </w:r>
      <w:r w:rsidRPr="00B52499">
        <w:rPr>
          <w:rFonts w:ascii="Arial" w:hAnsi="Arial" w:cs="Arial"/>
          <w:szCs w:val="22"/>
        </w:rPr>
        <w:t xml:space="preserve">For the </w:t>
      </w:r>
      <w:r>
        <w:rPr>
          <w:rFonts w:ascii="Arial" w:hAnsi="Arial" w:cs="Arial"/>
          <w:szCs w:val="22"/>
        </w:rPr>
        <w:t>other</w:t>
      </w:r>
      <w:r w:rsidRPr="00B52499">
        <w:rPr>
          <w:rFonts w:ascii="Arial" w:hAnsi="Arial" w:cs="Arial"/>
          <w:szCs w:val="22"/>
        </w:rPr>
        <w:t xml:space="preserve"> date</w:t>
      </w:r>
      <w:r>
        <w:rPr>
          <w:rFonts w:ascii="Arial" w:hAnsi="Arial" w:cs="Arial"/>
          <w:szCs w:val="22"/>
        </w:rPr>
        <w:t xml:space="preserve"> (December 2018)</w:t>
      </w:r>
      <w:r w:rsidRPr="00B52499">
        <w:rPr>
          <w:rFonts w:ascii="Arial" w:hAnsi="Arial" w:cs="Arial"/>
          <w:szCs w:val="22"/>
        </w:rPr>
        <w:t>, the cover-2 per CCP scenario does not generate a shortfall of prefunded resources at any CCP.</w:t>
      </w:r>
      <w:r>
        <w:rPr>
          <w:rFonts w:ascii="Arial" w:hAnsi="Arial" w:cs="Arial"/>
          <w:szCs w:val="22"/>
        </w:rPr>
        <w:t xml:space="preserve"> Overall,</w:t>
      </w:r>
      <w:r w:rsidRPr="00D84C63">
        <w:rPr>
          <w:rFonts w:ascii="Arial" w:hAnsi="Arial" w:cs="Arial"/>
          <w:szCs w:val="22"/>
        </w:rPr>
        <w:t xml:space="preserve"> </w:t>
      </w:r>
      <w:r w:rsidR="00F244E9">
        <w:rPr>
          <w:rFonts w:ascii="Arial" w:hAnsi="Arial" w:cs="Arial"/>
          <w:szCs w:val="22"/>
        </w:rPr>
        <w:t>f</w:t>
      </w:r>
      <w:r w:rsidRPr="00D84C63">
        <w:rPr>
          <w:rFonts w:ascii="Arial" w:hAnsi="Arial" w:cs="Arial"/>
          <w:szCs w:val="22"/>
        </w:rPr>
        <w:t xml:space="preserve">or the core </w:t>
      </w:r>
      <w:r w:rsidR="004C43D7">
        <w:rPr>
          <w:rFonts w:ascii="Arial" w:hAnsi="Arial" w:cs="Arial"/>
          <w:szCs w:val="22"/>
        </w:rPr>
        <w:t xml:space="preserve">cover-2 per CCP </w:t>
      </w:r>
      <w:r w:rsidRPr="00D84C63">
        <w:rPr>
          <w:rFonts w:ascii="Arial" w:hAnsi="Arial" w:cs="Arial"/>
          <w:szCs w:val="22"/>
        </w:rPr>
        <w:t>scenarios maximising the amount of loss beyond margin, only three out of the sixteen CCPs faced under at least one of the assumed scenarios a consumption rate that was greater than 50% of prefunded resources beyond margin. Scenarios used to maximise the % consumption of prefunded resources highlighted two smaller default funds for which the scenario would cause a high % consumption accompanied with lower amounts of losses</w:t>
      </w:r>
      <w:r w:rsidR="00F244E9">
        <w:rPr>
          <w:rFonts w:ascii="Arial" w:hAnsi="Arial" w:cs="Arial"/>
          <w:szCs w:val="22"/>
        </w:rPr>
        <w:t>.</w:t>
      </w:r>
    </w:p>
    <w:p w14:paraId="4EFE666C" w14:textId="06E295AC" w:rsidR="00BF77E9" w:rsidRPr="00D84C63" w:rsidRDefault="00BF77E9" w:rsidP="00D84C63">
      <w:pPr>
        <w:suppressAutoHyphens/>
        <w:spacing w:before="120" w:line="360" w:lineRule="auto"/>
        <w:jc w:val="both"/>
        <w:rPr>
          <w:rFonts w:ascii="Arial" w:hAnsi="Arial" w:cs="Arial"/>
          <w:szCs w:val="22"/>
        </w:rPr>
      </w:pPr>
      <w:r w:rsidRPr="00D84C63">
        <w:rPr>
          <w:rFonts w:ascii="Arial" w:hAnsi="Arial" w:cs="Arial"/>
          <w:szCs w:val="22"/>
        </w:rPr>
        <w:t xml:space="preserve">For the EU-wide cover-2 scenario, </w:t>
      </w:r>
      <w:r>
        <w:rPr>
          <w:rFonts w:ascii="Arial" w:hAnsi="Arial" w:cs="Arial"/>
          <w:szCs w:val="22"/>
        </w:rPr>
        <w:t>t</w:t>
      </w:r>
      <w:r w:rsidRPr="00D84C63">
        <w:rPr>
          <w:rFonts w:ascii="Arial" w:hAnsi="Arial" w:cs="Arial"/>
          <w:szCs w:val="22"/>
        </w:rPr>
        <w:t>he combination of defaults that led to the above highlighted shortfall would have a rather limited impact on the other CCPs, with the % consumption of prefunded resources being below 20%. When we looked for combinations of defaults that would be more impactful on an EU-wide level by hitting multiple CCPs at the same time, the results were similar. A smaller shortfall of prefunded resources for the same CCP for one of the dates and a higher consumption at other CCPs, but still in all considered scenarios a consumption of prefunded resources that was lower than 50%. Moreover, in the knock-on analysis we saw no evidence of systemic implications from second round effects to non-defaulting members via the risk-sharing mechanism of CCPs under the considered EU-wide scenarios.</w:t>
      </w:r>
    </w:p>
    <w:p w14:paraId="412DBB7A" w14:textId="77777777" w:rsidR="009311D5" w:rsidRDefault="009311D5" w:rsidP="00D84C63">
      <w:pPr>
        <w:suppressAutoHyphens/>
        <w:spacing w:before="120" w:line="360" w:lineRule="auto"/>
        <w:jc w:val="both"/>
        <w:rPr>
          <w:rFonts w:ascii="Arial" w:hAnsi="Arial" w:cs="Arial"/>
          <w:szCs w:val="22"/>
        </w:rPr>
      </w:pPr>
    </w:p>
    <w:p w14:paraId="762FD825" w14:textId="1BC47F21" w:rsidR="00E26456" w:rsidRDefault="00D343FF" w:rsidP="00D84C63">
      <w:pPr>
        <w:suppressAutoHyphens/>
        <w:spacing w:before="120" w:line="360" w:lineRule="auto"/>
        <w:jc w:val="both"/>
        <w:rPr>
          <w:rFonts w:ascii="Arial" w:hAnsi="Arial" w:cs="Arial"/>
          <w:szCs w:val="22"/>
        </w:rPr>
      </w:pPr>
      <w:r>
        <w:rPr>
          <w:rFonts w:ascii="Arial" w:hAnsi="Arial" w:cs="Arial"/>
          <w:szCs w:val="22"/>
        </w:rPr>
        <w:t>F</w:t>
      </w:r>
      <w:r w:rsidR="009311D5" w:rsidRPr="009311D5">
        <w:rPr>
          <w:rFonts w:ascii="Arial" w:hAnsi="Arial" w:cs="Arial"/>
          <w:szCs w:val="22"/>
        </w:rPr>
        <w:t xml:space="preserve">or the liquidity stress tests, the exercise did not reveal any systemic risk. CCPs use different tools to cover their liquidity needs, some are highly reliable as central bank </w:t>
      </w:r>
      <w:r w:rsidR="0092657A">
        <w:rPr>
          <w:rFonts w:ascii="Arial" w:hAnsi="Arial" w:cs="Arial"/>
          <w:szCs w:val="22"/>
        </w:rPr>
        <w:t>routine lines</w:t>
      </w:r>
      <w:r w:rsidR="009311D5" w:rsidRPr="009311D5">
        <w:rPr>
          <w:rFonts w:ascii="Arial" w:hAnsi="Arial" w:cs="Arial"/>
          <w:szCs w:val="22"/>
        </w:rPr>
        <w:t>, other less, but no particular deficiency was found in the management of liquidity risks by EU CCPs.</w:t>
      </w:r>
    </w:p>
    <w:p w14:paraId="6E93BA49" w14:textId="345E6401" w:rsidR="002B419D" w:rsidRDefault="002B419D" w:rsidP="00D84C63">
      <w:pPr>
        <w:suppressAutoHyphens/>
        <w:spacing w:before="120" w:line="360" w:lineRule="auto"/>
        <w:jc w:val="both"/>
        <w:rPr>
          <w:rFonts w:ascii="Arial" w:hAnsi="Arial" w:cs="Arial"/>
          <w:szCs w:val="22"/>
        </w:rPr>
      </w:pPr>
    </w:p>
    <w:p w14:paraId="4E58DE65" w14:textId="2B547C89" w:rsidR="002B419D" w:rsidRDefault="002B419D" w:rsidP="00D84C63">
      <w:pPr>
        <w:suppressAutoHyphens/>
        <w:spacing w:before="120" w:line="360" w:lineRule="auto"/>
        <w:jc w:val="both"/>
        <w:rPr>
          <w:rFonts w:ascii="Arial" w:hAnsi="Arial" w:cs="Arial"/>
          <w:szCs w:val="22"/>
        </w:rPr>
      </w:pPr>
      <w:r>
        <w:rPr>
          <w:rFonts w:ascii="Arial" w:hAnsi="Arial" w:cs="Arial"/>
          <w:szCs w:val="22"/>
        </w:rPr>
        <w:t xml:space="preserve">For the concentration component, this first </w:t>
      </w:r>
      <w:r w:rsidRPr="002B419D">
        <w:rPr>
          <w:rFonts w:ascii="Arial" w:hAnsi="Arial" w:cs="Arial"/>
          <w:szCs w:val="22"/>
        </w:rPr>
        <w:t>EU-wide analysis shows that concentrated positions represent a significant risk for EU CCPs. Moreover, the overall risk is clustered in one or 2 CCPs for most asset classes.</w:t>
      </w:r>
      <w:r>
        <w:rPr>
          <w:rFonts w:ascii="Arial" w:hAnsi="Arial" w:cs="Arial"/>
          <w:szCs w:val="22"/>
        </w:rPr>
        <w:t xml:space="preserve"> </w:t>
      </w:r>
      <w:r w:rsidRPr="002B419D">
        <w:rPr>
          <w:rFonts w:ascii="Arial" w:hAnsi="Arial" w:cs="Arial"/>
          <w:szCs w:val="22"/>
        </w:rPr>
        <w:t>The largest concentration risk can be found in fixed income derivatives (around 20bn EUR). Concentration in commodity derivatives and in the equity segment (securities and derivatives) is very significant as well, with around 9.5bn EUR of concentration risk.</w:t>
      </w:r>
    </w:p>
    <w:p w14:paraId="7F98E0B9" w14:textId="7D27A32A" w:rsidR="002B419D" w:rsidRPr="002B419D" w:rsidRDefault="002B419D" w:rsidP="00D84C63">
      <w:pPr>
        <w:suppressAutoHyphens/>
        <w:spacing w:before="120" w:line="360" w:lineRule="auto"/>
        <w:jc w:val="both"/>
        <w:rPr>
          <w:rFonts w:ascii="Arial" w:hAnsi="Arial" w:cs="Arial"/>
          <w:szCs w:val="22"/>
        </w:rPr>
      </w:pPr>
      <w:r w:rsidRPr="002B419D">
        <w:rPr>
          <w:rFonts w:ascii="Arial" w:hAnsi="Arial" w:cs="Arial"/>
          <w:szCs w:val="22"/>
        </w:rPr>
        <w:t>The concentration risk is factored in explicitly in a majority of CCPs through dedicated margin add-ons.</w:t>
      </w:r>
      <w:r w:rsidR="00584E43" w:rsidRPr="00584E43">
        <w:t xml:space="preserve"> </w:t>
      </w:r>
      <w:r w:rsidR="00584E43" w:rsidRPr="00584E43">
        <w:rPr>
          <w:rFonts w:ascii="Arial" w:hAnsi="Arial" w:cs="Arial"/>
          <w:szCs w:val="22"/>
        </w:rPr>
        <w:t>EU-wide, those reported concentration add-ons are much lower than market impact risk for commodity derivatives, and to a lesser extent for equity products.</w:t>
      </w:r>
    </w:p>
    <w:p w14:paraId="242F39FB" w14:textId="201E0424" w:rsidR="002B419D" w:rsidRDefault="002B419D" w:rsidP="00D84C63">
      <w:pPr>
        <w:suppressAutoHyphens/>
        <w:spacing w:before="120" w:line="360" w:lineRule="auto"/>
        <w:jc w:val="both"/>
        <w:rPr>
          <w:rFonts w:ascii="Arial" w:hAnsi="Arial" w:cs="Arial"/>
          <w:szCs w:val="22"/>
        </w:rPr>
      </w:pPr>
      <w:r w:rsidRPr="002B419D">
        <w:rPr>
          <w:rFonts w:ascii="Arial" w:hAnsi="Arial" w:cs="Arial"/>
          <w:szCs w:val="22"/>
        </w:rPr>
        <w:t>The prudential analysis of the impact of concentrated positions on mutualised resources demonstrates that default fund sizing should take the liquidation costs properly into account.</w:t>
      </w:r>
    </w:p>
    <w:p w14:paraId="7E26657A" w14:textId="57ED69F1" w:rsidR="00E67424" w:rsidRPr="009311D5" w:rsidRDefault="00E67424" w:rsidP="004A639F">
      <w:pPr>
        <w:suppressAutoHyphens/>
        <w:spacing w:line="360" w:lineRule="auto"/>
        <w:jc w:val="both"/>
        <w:rPr>
          <w:rFonts w:ascii="Arial" w:hAnsi="Arial" w:cs="Arial"/>
          <w:szCs w:val="22"/>
        </w:rPr>
      </w:pPr>
    </w:p>
    <w:p w14:paraId="293F9608" w14:textId="00D8722D" w:rsidR="00AB143E" w:rsidRDefault="0004393A" w:rsidP="00AB143E">
      <w:pPr>
        <w:pStyle w:val="05aHeadline10pt"/>
        <w:suppressAutoHyphens/>
        <w:spacing w:after="0" w:line="360" w:lineRule="auto"/>
        <w:rPr>
          <w:rFonts w:ascii="Arial" w:hAnsi="Arial" w:cs="Arial"/>
          <w:sz w:val="22"/>
          <w:szCs w:val="22"/>
        </w:rPr>
      </w:pPr>
      <w:r>
        <w:rPr>
          <w:rFonts w:ascii="Arial" w:hAnsi="Arial" w:cs="Arial"/>
          <w:sz w:val="22"/>
          <w:szCs w:val="22"/>
        </w:rPr>
        <w:t>Are any individual CCP results highlighted by</w:t>
      </w:r>
      <w:r w:rsidR="00AB143E" w:rsidRPr="00AF2BFE">
        <w:rPr>
          <w:rFonts w:ascii="Arial" w:hAnsi="Arial" w:cs="Arial"/>
          <w:sz w:val="22"/>
          <w:szCs w:val="22"/>
        </w:rPr>
        <w:t xml:space="preserve"> </w:t>
      </w:r>
      <w:r>
        <w:rPr>
          <w:rFonts w:ascii="Arial" w:hAnsi="Arial" w:cs="Arial"/>
          <w:sz w:val="22"/>
          <w:szCs w:val="22"/>
        </w:rPr>
        <w:t>the exercise</w:t>
      </w:r>
      <w:r w:rsidR="00AB143E" w:rsidRPr="00AF2BFE">
        <w:rPr>
          <w:rFonts w:ascii="Arial" w:hAnsi="Arial" w:cs="Arial"/>
          <w:sz w:val="22"/>
          <w:szCs w:val="22"/>
        </w:rPr>
        <w:t>?</w:t>
      </w:r>
      <w:r w:rsidRPr="00AF2BFE" w:rsidDel="0004393A">
        <w:rPr>
          <w:rFonts w:ascii="Arial" w:hAnsi="Arial" w:cs="Arial"/>
          <w:sz w:val="22"/>
          <w:szCs w:val="22"/>
        </w:rPr>
        <w:t xml:space="preserve"> </w:t>
      </w:r>
    </w:p>
    <w:p w14:paraId="14B86DD4" w14:textId="64DAA3E3" w:rsidR="0073312B" w:rsidRDefault="00F22692" w:rsidP="00D84C63">
      <w:pPr>
        <w:suppressAutoHyphens/>
        <w:spacing w:before="120" w:line="360" w:lineRule="auto"/>
        <w:jc w:val="both"/>
        <w:rPr>
          <w:rFonts w:ascii="Arial" w:hAnsi="Arial" w:cs="Arial"/>
          <w:szCs w:val="22"/>
        </w:rPr>
      </w:pPr>
      <w:r w:rsidRPr="00F22692">
        <w:rPr>
          <w:rFonts w:ascii="Arial" w:hAnsi="Arial" w:cs="Arial"/>
          <w:szCs w:val="22"/>
        </w:rPr>
        <w:t xml:space="preserve">The </w:t>
      </w:r>
      <w:r w:rsidR="00D46534">
        <w:rPr>
          <w:rFonts w:ascii="Arial" w:hAnsi="Arial" w:cs="Arial"/>
          <w:szCs w:val="22"/>
        </w:rPr>
        <w:t>third</w:t>
      </w:r>
      <w:r w:rsidRPr="00F22692">
        <w:rPr>
          <w:rFonts w:ascii="Arial" w:hAnsi="Arial" w:cs="Arial"/>
          <w:szCs w:val="22"/>
        </w:rPr>
        <w:t xml:space="preserve"> CCP stress test finds that EU CCPs are overall resilient, however, </w:t>
      </w:r>
      <w:r w:rsidR="00A811F7">
        <w:rPr>
          <w:rFonts w:ascii="Arial" w:hAnsi="Arial" w:cs="Arial"/>
          <w:szCs w:val="22"/>
        </w:rPr>
        <w:t>some CCP results</w:t>
      </w:r>
      <w:r w:rsidR="00D343FF">
        <w:rPr>
          <w:rFonts w:ascii="Arial" w:hAnsi="Arial" w:cs="Arial"/>
          <w:szCs w:val="22"/>
        </w:rPr>
        <w:t xml:space="preserve"> </w:t>
      </w:r>
      <w:r w:rsidR="00A811F7">
        <w:rPr>
          <w:rFonts w:ascii="Arial" w:hAnsi="Arial" w:cs="Arial"/>
          <w:szCs w:val="22"/>
        </w:rPr>
        <w:t xml:space="preserve">are </w:t>
      </w:r>
      <w:r w:rsidR="00D343FF">
        <w:rPr>
          <w:rFonts w:ascii="Arial" w:hAnsi="Arial" w:cs="Arial"/>
          <w:szCs w:val="22"/>
        </w:rPr>
        <w:t>highlighted</w:t>
      </w:r>
      <w:r w:rsidR="00A811F7">
        <w:rPr>
          <w:rFonts w:ascii="Arial" w:hAnsi="Arial" w:cs="Arial"/>
          <w:szCs w:val="22"/>
        </w:rPr>
        <w:t xml:space="preserve"> in the report</w:t>
      </w:r>
      <w:r w:rsidR="0040020F">
        <w:rPr>
          <w:rFonts w:ascii="Arial" w:hAnsi="Arial" w:cs="Arial"/>
          <w:szCs w:val="22"/>
        </w:rPr>
        <w:t xml:space="preserve">. </w:t>
      </w:r>
    </w:p>
    <w:p w14:paraId="4078B1D3" w14:textId="49C207AE" w:rsidR="0040020F" w:rsidRPr="00D84C63" w:rsidRDefault="0073312B" w:rsidP="00D84C63">
      <w:pPr>
        <w:suppressAutoHyphens/>
        <w:spacing w:before="120" w:line="360" w:lineRule="auto"/>
        <w:jc w:val="both"/>
        <w:rPr>
          <w:rFonts w:ascii="Arial" w:hAnsi="Arial" w:cs="Arial"/>
          <w:szCs w:val="22"/>
        </w:rPr>
      </w:pPr>
      <w:r>
        <w:rPr>
          <w:rFonts w:ascii="Arial" w:hAnsi="Arial" w:cs="Arial"/>
          <w:szCs w:val="22"/>
        </w:rPr>
        <w:t>For the credit component, f</w:t>
      </w:r>
      <w:r w:rsidR="00F22692" w:rsidRPr="00D84C63">
        <w:rPr>
          <w:rFonts w:ascii="Arial" w:hAnsi="Arial" w:cs="Arial"/>
          <w:szCs w:val="22"/>
        </w:rPr>
        <w:t>or</w:t>
      </w:r>
      <w:r w:rsidR="00F22692" w:rsidRPr="006A46D6">
        <w:rPr>
          <w:rFonts w:ascii="Arial" w:hAnsi="Arial" w:cs="Arial"/>
          <w:szCs w:val="22"/>
        </w:rPr>
        <w:t xml:space="preserve"> one CCP (</w:t>
      </w:r>
      <w:r w:rsidR="00A811F7" w:rsidRPr="006A46D6">
        <w:rPr>
          <w:rFonts w:ascii="Arial" w:hAnsi="Arial" w:cs="Arial"/>
          <w:szCs w:val="22"/>
        </w:rPr>
        <w:t>LME</w:t>
      </w:r>
      <w:r w:rsidR="00F22692" w:rsidRPr="006A46D6">
        <w:rPr>
          <w:rFonts w:ascii="Arial" w:hAnsi="Arial" w:cs="Arial"/>
          <w:szCs w:val="22"/>
        </w:rPr>
        <w:t xml:space="preserve">), </w:t>
      </w:r>
      <w:r w:rsidR="00A811F7" w:rsidRPr="006A46D6">
        <w:rPr>
          <w:rFonts w:ascii="Arial" w:hAnsi="Arial" w:cs="Arial"/>
          <w:szCs w:val="22"/>
        </w:rPr>
        <w:t xml:space="preserve">the results </w:t>
      </w:r>
      <w:r w:rsidR="00A811F7" w:rsidRPr="00387446">
        <w:rPr>
          <w:rFonts w:ascii="Arial" w:hAnsi="Arial" w:cs="Arial"/>
          <w:szCs w:val="22"/>
        </w:rPr>
        <w:t xml:space="preserve">flag a </w:t>
      </w:r>
      <w:r w:rsidR="0040020F" w:rsidRPr="00D84C63">
        <w:rPr>
          <w:rFonts w:ascii="Arial" w:hAnsi="Arial" w:cs="Arial"/>
          <w:szCs w:val="22"/>
        </w:rPr>
        <w:t>shortfall</w:t>
      </w:r>
      <w:r w:rsidR="00A811F7" w:rsidRPr="006A46D6">
        <w:rPr>
          <w:rFonts w:ascii="Arial" w:hAnsi="Arial" w:cs="Arial"/>
          <w:szCs w:val="22"/>
        </w:rPr>
        <w:t xml:space="preserve"> of the pre-funded resources</w:t>
      </w:r>
      <w:r w:rsidR="00D84C63">
        <w:rPr>
          <w:rFonts w:ascii="Arial" w:hAnsi="Arial" w:cs="Arial"/>
          <w:szCs w:val="22"/>
        </w:rPr>
        <w:t>,</w:t>
      </w:r>
      <w:r w:rsidR="00A811F7" w:rsidRPr="006A46D6">
        <w:rPr>
          <w:rFonts w:ascii="Arial" w:hAnsi="Arial" w:cs="Arial"/>
          <w:szCs w:val="22"/>
        </w:rPr>
        <w:t xml:space="preserve"> that would need to be covered with non-prefunded resources coming from the non-defaulting members. Given the size</w:t>
      </w:r>
      <w:r w:rsidR="00A811F7" w:rsidRPr="00387446">
        <w:rPr>
          <w:rFonts w:ascii="Arial" w:hAnsi="Arial" w:cs="Arial"/>
          <w:szCs w:val="22"/>
        </w:rPr>
        <w:t xml:space="preserve"> of the loss (266 million euro) and the size of the committ</w:t>
      </w:r>
      <w:r w:rsidR="00A811F7" w:rsidRPr="006A340B">
        <w:rPr>
          <w:rFonts w:ascii="Arial" w:hAnsi="Arial" w:cs="Arial"/>
          <w:szCs w:val="22"/>
        </w:rPr>
        <w:t>ed non-prefunded resources by the non-defaulting clearing members, there would be no losses uncovered and no systemic implications.</w:t>
      </w:r>
    </w:p>
    <w:p w14:paraId="79A031E2" w14:textId="7446948A" w:rsidR="00D343FF" w:rsidRDefault="00D343FF" w:rsidP="00D343FF">
      <w:pPr>
        <w:suppressAutoHyphens/>
        <w:spacing w:line="360" w:lineRule="auto"/>
        <w:jc w:val="both"/>
        <w:rPr>
          <w:rFonts w:ascii="Arial" w:hAnsi="Arial" w:cs="Arial"/>
        </w:rPr>
      </w:pPr>
    </w:p>
    <w:p w14:paraId="076B68BB" w14:textId="08D5EFD8" w:rsidR="00AB143E" w:rsidRPr="006A46D6" w:rsidRDefault="00F22692" w:rsidP="005E6EF4">
      <w:pPr>
        <w:suppressAutoHyphens/>
        <w:spacing w:line="360" w:lineRule="auto"/>
        <w:jc w:val="both"/>
        <w:rPr>
          <w:rFonts w:ascii="Arial" w:hAnsi="Arial" w:cs="Arial"/>
        </w:rPr>
      </w:pPr>
      <w:r w:rsidRPr="00F16D2D">
        <w:rPr>
          <w:rFonts w:ascii="Arial" w:hAnsi="Arial" w:cs="Arial"/>
        </w:rPr>
        <w:t xml:space="preserve">For the liquidity part of the stress tests, ESMA did not detect any major systemic risk concerns. CCPs use different tools to cover their liquidity needs, such as access to the </w:t>
      </w:r>
      <w:r w:rsidR="00943888" w:rsidRPr="00F16D2D">
        <w:rPr>
          <w:rFonts w:ascii="Arial" w:hAnsi="Arial" w:cs="Arial"/>
        </w:rPr>
        <w:t>short-term</w:t>
      </w:r>
      <w:r w:rsidRPr="00F16D2D">
        <w:rPr>
          <w:rFonts w:ascii="Arial" w:hAnsi="Arial" w:cs="Arial"/>
        </w:rPr>
        <w:t xml:space="preserve"> FX markets and the use of highly reliable central bank </w:t>
      </w:r>
      <w:r w:rsidR="00BF4B8D" w:rsidRPr="00D84C63">
        <w:rPr>
          <w:rFonts w:ascii="Arial" w:hAnsi="Arial" w:cs="Arial"/>
        </w:rPr>
        <w:t>routine lines</w:t>
      </w:r>
      <w:r w:rsidRPr="00F16D2D">
        <w:rPr>
          <w:rFonts w:ascii="Arial" w:hAnsi="Arial" w:cs="Arial"/>
        </w:rPr>
        <w:t xml:space="preserve"> or others, but ESMA found no particular deficiency in the management of liquidity risks by EU CCPs.</w:t>
      </w:r>
    </w:p>
    <w:p w14:paraId="1B792CE2" w14:textId="77777777" w:rsidR="00A811F7" w:rsidRDefault="00A811F7" w:rsidP="005E6EF4">
      <w:pPr>
        <w:suppressAutoHyphens/>
        <w:spacing w:line="360" w:lineRule="auto"/>
        <w:jc w:val="both"/>
        <w:rPr>
          <w:rFonts w:ascii="Arial" w:hAnsi="Arial" w:cs="Arial"/>
          <w:szCs w:val="22"/>
        </w:rPr>
      </w:pPr>
    </w:p>
    <w:p w14:paraId="6A07E98E" w14:textId="3C4D0205" w:rsidR="0099220C" w:rsidRPr="00D84C63" w:rsidRDefault="00EA6FD0" w:rsidP="00D84C63">
      <w:pPr>
        <w:suppressAutoHyphens/>
        <w:spacing w:line="360" w:lineRule="auto"/>
        <w:jc w:val="both"/>
        <w:rPr>
          <w:rFonts w:ascii="Arial" w:hAnsi="Arial" w:cs="Arial"/>
        </w:rPr>
      </w:pPr>
      <w:r w:rsidRPr="008F1841">
        <w:rPr>
          <w:rFonts w:ascii="Arial" w:hAnsi="Arial" w:cs="Arial"/>
        </w:rPr>
        <w:t xml:space="preserve">As the methodology and assumptions of the concentration component </w:t>
      </w:r>
      <w:r w:rsidR="00387446">
        <w:rPr>
          <w:rFonts w:ascii="Arial" w:hAnsi="Arial" w:cs="Arial"/>
        </w:rPr>
        <w:t>were</w:t>
      </w:r>
      <w:r w:rsidRPr="008F1841">
        <w:rPr>
          <w:rFonts w:ascii="Arial" w:hAnsi="Arial" w:cs="Arial"/>
        </w:rPr>
        <w:t xml:space="preserve"> applied for the first time. t</w:t>
      </w:r>
      <w:r w:rsidR="0099220C" w:rsidRPr="00D84C63">
        <w:rPr>
          <w:rFonts w:ascii="Arial" w:hAnsi="Arial" w:cs="Arial"/>
        </w:rPr>
        <w:t>he concentration stress test results have been presented on an anonymous basis</w:t>
      </w:r>
      <w:r w:rsidRPr="008F1841">
        <w:rPr>
          <w:rFonts w:ascii="Arial" w:hAnsi="Arial" w:cs="Arial"/>
        </w:rPr>
        <w:t>.</w:t>
      </w:r>
    </w:p>
    <w:p w14:paraId="3E9D8DC6" w14:textId="77777777" w:rsidR="00AB143E" w:rsidRPr="00AF2BFE" w:rsidRDefault="00AB143E" w:rsidP="00AB143E">
      <w:pPr>
        <w:pStyle w:val="05aHeadline10pt"/>
        <w:suppressAutoHyphens/>
        <w:spacing w:after="0" w:line="360" w:lineRule="auto"/>
        <w:rPr>
          <w:rFonts w:ascii="Arial" w:hAnsi="Arial" w:cs="Arial"/>
          <w:sz w:val="22"/>
          <w:szCs w:val="22"/>
        </w:rPr>
      </w:pPr>
    </w:p>
    <w:p w14:paraId="663CA1C0" w14:textId="184DC77A" w:rsidR="00FD6107" w:rsidRPr="00943888" w:rsidRDefault="00AB143E" w:rsidP="00943888">
      <w:pPr>
        <w:pStyle w:val="05aHeadline10pt"/>
        <w:suppressAutoHyphens/>
        <w:spacing w:after="0" w:line="360" w:lineRule="auto"/>
        <w:rPr>
          <w:rFonts w:ascii="Arial" w:hAnsi="Arial" w:cs="Arial"/>
          <w:sz w:val="22"/>
          <w:szCs w:val="22"/>
        </w:rPr>
      </w:pPr>
      <w:r w:rsidRPr="00AF2BFE">
        <w:rPr>
          <w:rFonts w:ascii="Arial" w:hAnsi="Arial" w:cs="Arial"/>
          <w:sz w:val="22"/>
          <w:szCs w:val="22"/>
        </w:rPr>
        <w:t>What are the planned next steps?</w:t>
      </w:r>
    </w:p>
    <w:p w14:paraId="762FD82B" w14:textId="218A69D3" w:rsidR="00931770" w:rsidRPr="00FD6107" w:rsidRDefault="00FD6107" w:rsidP="005E6EF4">
      <w:pPr>
        <w:suppressAutoHyphens/>
        <w:spacing w:line="360" w:lineRule="auto"/>
        <w:jc w:val="both"/>
        <w:rPr>
          <w:rFonts w:ascii="Arial" w:hAnsi="Arial" w:cs="Arial"/>
          <w:szCs w:val="22"/>
        </w:rPr>
      </w:pPr>
      <w:r w:rsidRPr="00FD6107">
        <w:rPr>
          <w:rFonts w:ascii="Arial" w:hAnsi="Arial" w:cs="Arial"/>
          <w:szCs w:val="22"/>
        </w:rPr>
        <w:t>In line with the EMIR mandate, where the assessments expose shortcomings in the resilience of one or more CCPs, ESMA will issue as a next step the necessary recommendations. ESMA is currently considering whether any recommendation is needed and what form it should take.</w:t>
      </w:r>
    </w:p>
    <w:p w14:paraId="762FD845" w14:textId="77777777" w:rsidR="008B6E4F" w:rsidRPr="00597C47" w:rsidRDefault="008B6E4F" w:rsidP="0034212B">
      <w:pPr>
        <w:suppressAutoHyphens/>
        <w:spacing w:line="360" w:lineRule="auto"/>
        <w:jc w:val="both"/>
        <w:rPr>
          <w:rFonts w:ascii="Arial" w:hAnsi="Arial" w:cs="Arial"/>
          <w:szCs w:val="22"/>
        </w:rPr>
      </w:pPr>
    </w:p>
    <w:sectPr w:rsidR="008B6E4F" w:rsidRPr="00597C47" w:rsidSect="00C413FC">
      <w:headerReference w:type="default" r:id="rId18"/>
      <w:footerReference w:type="default" r:id="rId19"/>
      <w:headerReference w:type="first" r:id="rId20"/>
      <w:footerReference w:type="first" r:id="rId21"/>
      <w:pgSz w:w="11906" w:h="16838" w:code="9"/>
      <w:pgMar w:top="2552" w:right="1247" w:bottom="1361"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14EC86" w14:textId="77777777" w:rsidR="00193723" w:rsidRDefault="00193723">
      <w:r>
        <w:separator/>
      </w:r>
    </w:p>
    <w:p w14:paraId="3FC2AF51" w14:textId="77777777" w:rsidR="00193723" w:rsidRDefault="00193723"/>
  </w:endnote>
  <w:endnote w:type="continuationSeparator" w:id="0">
    <w:p w14:paraId="0166194E" w14:textId="77777777" w:rsidR="00193723" w:rsidRDefault="00193723">
      <w:r>
        <w:continuationSeparator/>
      </w:r>
    </w:p>
    <w:p w14:paraId="44E5852D" w14:textId="77777777" w:rsidR="00193723" w:rsidRDefault="00193723"/>
  </w:endnote>
  <w:endnote w:type="continuationNotice" w:id="1">
    <w:p w14:paraId="1EC4439D" w14:textId="77777777" w:rsidR="00193723" w:rsidRDefault="001937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Footlight MT Light">
    <w:panose1 w:val="0204060206030A020304"/>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2FD859" w14:textId="3406D223" w:rsidR="00F16D2D" w:rsidRPr="005E7981" w:rsidRDefault="005E7981" w:rsidP="005E7981">
    <w:pPr>
      <w:pStyle w:val="Footer"/>
    </w:pPr>
    <w:r w:rsidRPr="005E7981">
      <w:rPr>
        <w:rFonts w:ascii="Arial" w:hAnsi="Arial" w:cs="Arial"/>
        <w:color w:val="3E3F90"/>
        <w:sz w:val="16"/>
        <w:szCs w:val="16"/>
        <w:lang w:val="fr-FR"/>
      </w:rPr>
      <w:t>ESMA • 201-203 rue de Bercy • CS 80910 • 75589 Paris Cedex 12 • France • Tel. +33 (0) 1 58 36 43 21 • www.esma.europa.eu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2FD85C" w14:textId="1C7D929E" w:rsidR="00F16D2D" w:rsidRPr="005E7981" w:rsidRDefault="005E7981" w:rsidP="005E7981">
    <w:pPr>
      <w:pStyle w:val="Footer"/>
    </w:pPr>
    <w:r w:rsidRPr="005E7981">
      <w:rPr>
        <w:rFonts w:ascii="Arial" w:hAnsi="Arial" w:cs="Arial"/>
        <w:color w:val="3E3F90"/>
        <w:sz w:val="16"/>
        <w:szCs w:val="16"/>
        <w:lang w:val="fr-FR"/>
      </w:rPr>
      <w:t>ESMA • 201-203 rue de Bercy • CS 80910 • 75589 Paris Cedex 12 • France • Tel. +33 (0) 1 58 36 43 21 • www.esma.europa.eu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82E0BC" w14:textId="77777777" w:rsidR="00193723" w:rsidRDefault="00193723">
      <w:r>
        <w:separator/>
      </w:r>
    </w:p>
    <w:p w14:paraId="44F47964" w14:textId="77777777" w:rsidR="00193723" w:rsidRDefault="00193723"/>
  </w:footnote>
  <w:footnote w:type="continuationSeparator" w:id="0">
    <w:p w14:paraId="00EDE342" w14:textId="77777777" w:rsidR="00193723" w:rsidRDefault="00193723">
      <w:r>
        <w:continuationSeparator/>
      </w:r>
    </w:p>
    <w:p w14:paraId="4134168B" w14:textId="77777777" w:rsidR="00193723" w:rsidRDefault="00193723"/>
  </w:footnote>
  <w:footnote w:type="continuationNotice" w:id="1">
    <w:p w14:paraId="08A0419C" w14:textId="77777777" w:rsidR="00193723" w:rsidRDefault="00193723"/>
  </w:footnote>
  <w:footnote w:id="2">
    <w:p w14:paraId="01630A74" w14:textId="1D3015EA" w:rsidR="00F16D2D" w:rsidRDefault="00F16D2D">
      <w:pPr>
        <w:pStyle w:val="FootnoteText"/>
        <w:rPr>
          <w:rStyle w:val="Hyperlink"/>
          <w:rFonts w:ascii="Arial" w:hAnsi="Arial" w:cs="Arial"/>
          <w:szCs w:val="22"/>
        </w:rPr>
      </w:pPr>
      <w:r>
        <w:rPr>
          <w:rStyle w:val="FootnoteReference"/>
        </w:rPr>
        <w:footnoteRef/>
      </w:r>
      <w:r>
        <w:t xml:space="preserve"> </w:t>
      </w:r>
      <w:hyperlink r:id="rId1" w:history="1">
        <w:r w:rsidRPr="0070575B">
          <w:rPr>
            <w:rStyle w:val="Hyperlink"/>
            <w:rFonts w:ascii="Arial" w:hAnsi="Arial" w:cs="Arial"/>
            <w:szCs w:val="22"/>
          </w:rPr>
          <w:t>https://www.esma.europa.eu/sites/default/files/library/esma70-151-2198_framework_for_the_2019_ccp_st_exercise.pdf</w:t>
        </w:r>
      </w:hyperlink>
    </w:p>
    <w:p w14:paraId="1D859428" w14:textId="302F7450" w:rsidR="00F16D2D" w:rsidRDefault="00F16D2D">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2FD858" w14:textId="77777777" w:rsidR="00F16D2D" w:rsidRDefault="00F16D2D">
    <w:pPr>
      <w:pStyle w:val="Header"/>
    </w:pPr>
    <w:r>
      <w:rPr>
        <w:noProof/>
        <w:lang w:eastAsia="en-GB"/>
      </w:rPr>
      <mc:AlternateContent>
        <mc:Choice Requires="wps">
          <w:drawing>
            <wp:anchor distT="0" distB="0" distL="114300" distR="114300" simplePos="0" relativeHeight="251658243" behindDoc="0" locked="0" layoutInCell="1" allowOverlap="1" wp14:anchorId="762FD85D" wp14:editId="762FD85E">
              <wp:simplePos x="0" y="0"/>
              <wp:positionH relativeFrom="page">
                <wp:posOffset>1548130</wp:posOffset>
              </wp:positionH>
              <wp:positionV relativeFrom="page">
                <wp:posOffset>612140</wp:posOffset>
              </wp:positionV>
              <wp:extent cx="0" cy="558165"/>
              <wp:effectExtent l="14605" t="12065" r="13970" b="10795"/>
              <wp:wrapNone/>
              <wp:docPr id="2"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6ED4AF" id="Line 25" o:spid="_x0000_s1026" style="position:absolute;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CM0FgIAACkEAAAOAAAAZHJzL2Uyb0RvYy54bWysU02P2yAQvVfqf0C+J/6Ik/VacVaVnfSy&#10;7Uba7Q8ggGNUDAhInKjqf++AkyjbXqqqFxhg5s2bmcfy6dQLdGTGciWrKJ0mEWKSKMrlvoq+vW0m&#10;RYSsw5JioSSrojOz0dPq44floEuWqU4JygwCEGnLQVdR55wu49iSjvXYTpVmEh5bZXrs4Gj2MTV4&#10;APRexFmSLOJBGaqNIsxauG3Gx2gV8NuWEffStpY5JKoIuLmwmrDu/BqvlrjcG6w7Ti408D+w6DGX&#10;kPQG1WCH0cHwP6B6ToyyqnVTovpYtS0nLNQA1aTJb9W8dlizUAs0x+pbm+z/gyVfj1uDOK2iLEIS&#10;9zCiZy4Zyua+NYO2JXjUcmt8ceQkX/WzIt8tkqrusNyzQPHtrCEu9RHxuxB/sBoS7IYvioIPPjgV&#10;+nRqTe8hoQPoFMZxvo2DnRwi4yWB2/m8SBeBTozLa5w21n1mqkfeqCIBnAMuPj5b53ng8uri00i1&#10;4UKEYQuJBiCbPSRJiLBKcOpfvZ81+10tDDpi0EtWzObFLFQFL/duRh0kDWgdw3R9sR3mYrQhu5Ae&#10;D0oBPhdrFMSPx+RxXayLfJJni/UkT5pm8mlT55PFJn2YN7Omrpv0p6eW5mXHKWXSs7uKM83/bviX&#10;bzLK6ibPWx/i9+ihYUD2ugfSYZZ+fKMQdoqet+Y6Y9BjcL78HS/4+zPY9z989QsAAP//AwBQSwME&#10;FAAGAAgAAAAhADODqkzeAAAACgEAAA8AAABkcnMvZG93bnJldi54bWxMj8FOwzAMhu9IvENkJG4s&#10;7VpNozSdEBKHCu3AYDunjWk7GqdKsq28PUYc4Gj70+/vLzezHcUZfRgcKUgXCQik1pmBOgXvb893&#10;axAhajJ6dIQKvjDAprq+KnVh3IVe8byLneAQCoVW0Mc4FVKGtkerw8JNSHz7cN7qyKPvpPH6wuF2&#10;lMskWUmrB+IPvZ7wqcf2c3eyCuZGJi/umG/TdI9ZfTzU28bXSt3ezI8PICLO8Q+GH31Wh4qdGnci&#10;E8SoYJlnrB4V3K9yEAz8Lhom13kGsirl/wrVNwAAAP//AwBQSwECLQAUAAYACAAAACEAtoM4kv4A&#10;AADhAQAAEwAAAAAAAAAAAAAAAAAAAAAAW0NvbnRlbnRfVHlwZXNdLnhtbFBLAQItABQABgAIAAAA&#10;IQA4/SH/1gAAAJQBAAALAAAAAAAAAAAAAAAAAC8BAABfcmVscy8ucmVsc1BLAQItABQABgAIAAAA&#10;IQBasCM0FgIAACkEAAAOAAAAAAAAAAAAAAAAAC4CAABkcnMvZTJvRG9jLnhtbFBLAQItABQABgAI&#10;AAAAIQAzg6pM3gAAAAoBAAAPAAAAAAAAAAAAAAAAAHAEAABkcnMvZG93bnJldi54bWxQSwUGAAAA&#10;AAQABADzAAAAewUAAAAA&#10;" strokecolor="#283583" strokeweight="1pt">
              <w10:wrap anchorx="page" anchory="page"/>
            </v:line>
          </w:pict>
        </mc:Fallback>
      </mc:AlternateContent>
    </w:r>
    <w:r>
      <w:rPr>
        <w:noProof/>
        <w:lang w:eastAsia="en-GB"/>
      </w:rPr>
      <w:drawing>
        <wp:anchor distT="0" distB="0" distL="114300" distR="114300" simplePos="0" relativeHeight="251658242" behindDoc="0" locked="0" layoutInCell="1" allowOverlap="1" wp14:anchorId="762FD85F" wp14:editId="762FD860">
          <wp:simplePos x="0" y="0"/>
          <wp:positionH relativeFrom="page">
            <wp:posOffset>791845</wp:posOffset>
          </wp:positionH>
          <wp:positionV relativeFrom="page">
            <wp:posOffset>612140</wp:posOffset>
          </wp:positionV>
          <wp:extent cx="561975" cy="561975"/>
          <wp:effectExtent l="0" t="0" r="9525" b="9525"/>
          <wp:wrapNone/>
          <wp:docPr id="24" name="Picture 24"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2FD85A" w14:textId="77777777" w:rsidR="00F16D2D" w:rsidRPr="00DB46C3" w:rsidRDefault="00F16D2D">
    <w:pPr>
      <w:rPr>
        <w:lang w:val="fr-FR"/>
      </w:rPr>
    </w:pPr>
  </w:p>
  <w:p w14:paraId="762FD85B" w14:textId="77777777" w:rsidR="00F16D2D" w:rsidRDefault="00F16D2D">
    <w:pPr>
      <w:pStyle w:val="Header"/>
    </w:pPr>
    <w:r>
      <w:rPr>
        <w:noProof/>
        <w:lang w:eastAsia="en-GB"/>
      </w:rPr>
      <mc:AlternateContent>
        <mc:Choice Requires="wps">
          <w:drawing>
            <wp:anchor distT="0" distB="0" distL="114300" distR="114300" simplePos="0" relativeHeight="251658241" behindDoc="0" locked="0" layoutInCell="1" allowOverlap="1" wp14:anchorId="762FD861" wp14:editId="762FD862">
              <wp:simplePos x="0" y="0"/>
              <wp:positionH relativeFrom="page">
                <wp:posOffset>5040630</wp:posOffset>
              </wp:positionH>
              <wp:positionV relativeFrom="page">
                <wp:posOffset>612140</wp:posOffset>
              </wp:positionV>
              <wp:extent cx="0" cy="899795"/>
              <wp:effectExtent l="11430" t="12065" r="7620" b="12065"/>
              <wp:wrapNone/>
              <wp:docPr id="1"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CEB36B" id="Line 20" o:spid="_x0000_s1026" style="position:absolute;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G5mFQIAACkEAAAOAAAAZHJzL2Uyb0RvYy54bWysU9uO2yAQfa/Uf0B+T3zJZR0rzqqyk76k&#10;3Ui7/QACOEbFgIDEiar+ewfiRJv2par6AgPMnDkzZ1g+nzuBTsxYrmQZpeMkQkwSRbk8lNG3t80o&#10;j5B1WFIslGRldGE2el59/LDsdcEy1SpBmUEAIm3R6zJqndNFHFvSsg7bsdJMwmOjTIcdHM0hpgb3&#10;gN6JOEuSedwrQ7VRhFkLt/X1MVoF/KZhxL00jWUOiTICbi6sJqx7v8arJS4OBuuWk4EG/gcWHeYS&#10;kt6hauwwOhr+B1THiVFWNW5MVBerpuGEhRqgmjT5rZrXFmsWaoHmWH1vk/1/sOTraWcQp6BdhCTu&#10;QKItlwxloTW9tgV4VHJnfHHkLF/1VpHvFklVtVgeWKD4dtEQl/pmxg8h/mA1JNj3XxQFH3x0KvTp&#10;3JjOQ0IH0DnIcbnLwc4Okeslgdt8sXhazAI4Lm5x2lj3makOeaOMBHAOuPi0tc7zwMXNxaeRasOF&#10;CGILiXogmz0lSYiwSnDqX72fNYd9JQw6YZiXLJ/M8smQ+MHNqKOkAa1lmK4H22EurjZkF9LjQSnA&#10;Z7CuA/FjkSzW+TqfjqbZfD2aJnU9+rSppqP5Jn2a1ZO6qur0p6eWTouWU8qkZ3cbznT6d+IP3+Q6&#10;VvfxvPchfkQPDQOytz2QDlp6+fxvssVe0cvO3DSGeQzOw9/xA//+DPb7H776BQAA//8DAFBLAwQU&#10;AAYACAAAACEA9ozhbd8AAAAKAQAADwAAAGRycy9kb3ducmV2LnhtbEyPzU7DMBCE70i8g7VI3KiT&#10;piptmk2FkDhEqAfKz9mJt0lKvI5stw1vjxEHOO7saOabYjuZQZzJ+d4yQjpLQBA3VvfcIry9Pt2t&#10;QPigWKvBMiF8kYdteX1VqFzbC7/QeR9aEUPY5wqhC2HMpfRNR0b5mR2J4+9gnVEhnq6V2qlLDDeD&#10;nCfJUhrVc2zo1EiPHTWf+5NBmGqZPNvjYpem75RVx49qV7sK8fZmetiACDSFPzP84Ed0KCNTbU+s&#10;vRgQ7tdZRA8I6+UCRDT8CjXCPFulIMtC/p9QfgMAAP//AwBQSwECLQAUAAYACAAAACEAtoM4kv4A&#10;AADhAQAAEwAAAAAAAAAAAAAAAAAAAAAAW0NvbnRlbnRfVHlwZXNdLnhtbFBLAQItABQABgAIAAAA&#10;IQA4/SH/1gAAAJQBAAALAAAAAAAAAAAAAAAAAC8BAABfcmVscy8ucmVsc1BLAQItABQABgAIAAAA&#10;IQC5gG5mFQIAACkEAAAOAAAAAAAAAAAAAAAAAC4CAABkcnMvZTJvRG9jLnhtbFBLAQItABQABgAI&#10;AAAAIQD2jOFt3wAAAAoBAAAPAAAAAAAAAAAAAAAAAG8EAABkcnMvZG93bnJldi54bWxQSwUGAAAA&#10;AAQABADzAAAAewUAAAAA&#10;" strokecolor="#283583" strokeweight="1pt">
              <w10:wrap anchorx="page" anchory="page"/>
            </v:line>
          </w:pict>
        </mc:Fallback>
      </mc:AlternateContent>
    </w:r>
    <w:r>
      <w:rPr>
        <w:noProof/>
        <w:lang w:eastAsia="en-GB"/>
      </w:rPr>
      <w:drawing>
        <wp:anchor distT="0" distB="0" distL="114300" distR="114300" simplePos="0" relativeHeight="251658240" behindDoc="0" locked="0" layoutInCell="1" allowOverlap="1" wp14:anchorId="762FD863" wp14:editId="762FD864">
          <wp:simplePos x="0" y="0"/>
          <wp:positionH relativeFrom="page">
            <wp:posOffset>791845</wp:posOffset>
          </wp:positionH>
          <wp:positionV relativeFrom="page">
            <wp:posOffset>612140</wp:posOffset>
          </wp:positionV>
          <wp:extent cx="2209800" cy="904875"/>
          <wp:effectExtent l="0" t="0" r="0" b="9525"/>
          <wp:wrapNone/>
          <wp:docPr id="19" name="Picture 19"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67239"/>
    <w:multiLevelType w:val="hybridMultilevel"/>
    <w:tmpl w:val="850ED6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905790"/>
    <w:multiLevelType w:val="hybridMultilevel"/>
    <w:tmpl w:val="1BFC0414"/>
    <w:lvl w:ilvl="0" w:tplc="69E027A6">
      <w:start w:val="1"/>
      <w:numFmt w:val="decimal"/>
      <w:lvlText w:val="%1."/>
      <w:lvlJc w:val="left"/>
      <w:pPr>
        <w:ind w:left="502" w:hanging="360"/>
      </w:pPr>
      <w:rPr>
        <w:rFonts w:hint="default"/>
      </w:rPr>
    </w:lvl>
    <w:lvl w:ilvl="1" w:tplc="08090005">
      <w:start w:val="1"/>
      <w:numFmt w:val="bullet"/>
      <w:lvlText w:val=""/>
      <w:lvlJc w:val="left"/>
      <w:pPr>
        <w:ind w:left="1080" w:hanging="360"/>
      </w:pPr>
      <w:rPr>
        <w:rFonts w:ascii="Wingdings" w:hAnsi="Wingdings" w:hint="default"/>
      </w:rPr>
    </w:lvl>
    <w:lvl w:ilvl="2" w:tplc="0813001B">
      <w:start w:val="1"/>
      <w:numFmt w:val="lowerRoman"/>
      <w:lvlText w:val="%3."/>
      <w:lvlJc w:val="right"/>
      <w:pPr>
        <w:ind w:left="1800" w:hanging="180"/>
      </w:pPr>
    </w:lvl>
    <w:lvl w:ilvl="3" w:tplc="EDE4E73E">
      <w:numFmt w:val="bullet"/>
      <w:lvlText w:val="•"/>
      <w:lvlJc w:val="left"/>
      <w:pPr>
        <w:ind w:left="2865" w:hanging="705"/>
      </w:pPr>
      <w:rPr>
        <w:rFonts w:ascii="Arial" w:eastAsia="Times New Roman" w:hAnsi="Arial" w:cs="Arial" w:hint="default"/>
      </w:r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2" w15:restartNumberingAfterBreak="0">
    <w:nsid w:val="03F62EE5"/>
    <w:multiLevelType w:val="hybridMultilevel"/>
    <w:tmpl w:val="66321E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5C50C13"/>
    <w:multiLevelType w:val="hybridMultilevel"/>
    <w:tmpl w:val="71904152"/>
    <w:lvl w:ilvl="0" w:tplc="38B848C8">
      <w:start w:val="1"/>
      <w:numFmt w:val="decimal"/>
      <w:lvlText w:val="%1."/>
      <w:lvlJc w:val="left"/>
      <w:pPr>
        <w:ind w:left="720" w:hanging="360"/>
      </w:pPr>
      <w:rPr>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0E6602D7"/>
    <w:multiLevelType w:val="multilevel"/>
    <w:tmpl w:val="344A5102"/>
    <w:lvl w:ilvl="0">
      <w:start w:val="2"/>
      <w:numFmt w:val="upperRoman"/>
      <w:lvlText w:val="%1"/>
      <w:lvlJc w:val="left"/>
      <w:pPr>
        <w:tabs>
          <w:tab w:val="num" w:pos="851"/>
        </w:tabs>
        <w:ind w:left="851" w:hanging="567"/>
      </w:pPr>
      <w:rPr>
        <w:rFonts w:ascii="Georgia" w:hAnsi="Georgia" w:hint="default"/>
        <w:b/>
        <w:i w:val="0"/>
        <w:sz w:val="20"/>
      </w:rPr>
    </w:lvl>
    <w:lvl w:ilvl="1">
      <w:start w:val="1"/>
      <w:numFmt w:val="upperRoman"/>
      <w:lvlText w:val="%1.%2"/>
      <w:lvlJc w:val="left"/>
      <w:pPr>
        <w:tabs>
          <w:tab w:val="num" w:pos="851"/>
        </w:tabs>
        <w:ind w:left="851" w:hanging="283"/>
      </w:pPr>
      <w:rPr>
        <w:rFonts w:ascii="Georgia" w:hAnsi="Georgia" w:hint="default"/>
        <w:b w:val="0"/>
        <w:i w:val="0"/>
        <w:sz w:val="20"/>
      </w:rPr>
    </w:lvl>
    <w:lvl w:ilvl="2">
      <w:start w:val="2"/>
      <w:numFmt w:val="upperRoman"/>
      <w:lvlText w:val="%3.%2"/>
      <w:lvlJc w:val="left"/>
      <w:pPr>
        <w:tabs>
          <w:tab w:val="num" w:pos="851"/>
        </w:tabs>
        <w:ind w:left="851" w:hanging="283"/>
      </w:pPr>
      <w:rPr>
        <w:rFonts w:ascii="Georgia" w:hAnsi="Georgia" w:hint="default"/>
      </w:rPr>
    </w:lvl>
    <w:lvl w:ilvl="3">
      <w:start w:val="1"/>
      <w:numFmt w:val="decimal"/>
      <w:lvlText w:val="%1.%2.%3.%4"/>
      <w:lvlJc w:val="left"/>
      <w:pPr>
        <w:tabs>
          <w:tab w:val="num" w:pos="1148"/>
        </w:tabs>
        <w:ind w:left="1148" w:hanging="864"/>
      </w:pPr>
      <w:rPr>
        <w:rFonts w:hint="default"/>
      </w:rPr>
    </w:lvl>
    <w:lvl w:ilvl="4">
      <w:start w:val="1"/>
      <w:numFmt w:val="decimal"/>
      <w:lvlText w:val="%1.%2.%3.%4.%5"/>
      <w:lvlJc w:val="left"/>
      <w:pPr>
        <w:tabs>
          <w:tab w:val="num" w:pos="1292"/>
        </w:tabs>
        <w:ind w:left="1292" w:hanging="1008"/>
      </w:pPr>
      <w:rPr>
        <w:rFonts w:hint="default"/>
      </w:rPr>
    </w:lvl>
    <w:lvl w:ilvl="5">
      <w:start w:val="1"/>
      <w:numFmt w:val="decimal"/>
      <w:lvlText w:val="%1.%2.%3.%4.%5.%6"/>
      <w:lvlJc w:val="left"/>
      <w:pPr>
        <w:tabs>
          <w:tab w:val="num" w:pos="1436"/>
        </w:tabs>
        <w:ind w:left="1436" w:hanging="1152"/>
      </w:pPr>
      <w:rPr>
        <w:rFonts w:hint="default"/>
      </w:rPr>
    </w:lvl>
    <w:lvl w:ilvl="6">
      <w:start w:val="1"/>
      <w:numFmt w:val="decimal"/>
      <w:lvlText w:val="%1.%2.%3.%4.%5.%6.%7"/>
      <w:lvlJc w:val="left"/>
      <w:pPr>
        <w:tabs>
          <w:tab w:val="num" w:pos="1580"/>
        </w:tabs>
        <w:ind w:left="1580" w:hanging="1296"/>
      </w:pPr>
      <w:rPr>
        <w:rFonts w:hint="default"/>
      </w:rPr>
    </w:lvl>
    <w:lvl w:ilvl="7">
      <w:start w:val="1"/>
      <w:numFmt w:val="decimal"/>
      <w:lvlText w:val="%1.%2.%3.%4.%5.%6.%7.%8"/>
      <w:lvlJc w:val="left"/>
      <w:pPr>
        <w:tabs>
          <w:tab w:val="num" w:pos="1724"/>
        </w:tabs>
        <w:ind w:left="1724" w:hanging="1440"/>
      </w:pPr>
      <w:rPr>
        <w:rFonts w:hint="default"/>
      </w:rPr>
    </w:lvl>
    <w:lvl w:ilvl="8">
      <w:start w:val="1"/>
      <w:numFmt w:val="decimal"/>
      <w:lvlText w:val="%1.%2.%3.%4.%5.%6.%7.%8.%9"/>
      <w:lvlJc w:val="left"/>
      <w:pPr>
        <w:tabs>
          <w:tab w:val="num" w:pos="1868"/>
        </w:tabs>
        <w:ind w:left="1868" w:hanging="1584"/>
      </w:pPr>
      <w:rPr>
        <w:rFonts w:hint="default"/>
      </w:rPr>
    </w:lvl>
  </w:abstractNum>
  <w:abstractNum w:abstractNumId="5" w15:restartNumberingAfterBreak="0">
    <w:nsid w:val="117A39DE"/>
    <w:multiLevelType w:val="hybridMultilevel"/>
    <w:tmpl w:val="9246FB4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 w15:restartNumberingAfterBreak="0">
    <w:nsid w:val="142F75E8"/>
    <w:multiLevelType w:val="multilevel"/>
    <w:tmpl w:val="52561F10"/>
    <w:lvl w:ilvl="0">
      <w:start w:val="1"/>
      <w:numFmt w:val="decimal"/>
      <w:lvlText w:val="%1."/>
      <w:lvlJc w:val="left"/>
      <w:pPr>
        <w:tabs>
          <w:tab w:val="num" w:pos="284"/>
        </w:tabs>
        <w:ind w:left="284" w:hanging="284"/>
      </w:pPr>
      <w:rPr>
        <w:rFonts w:ascii="Georgia" w:hAnsi="Georgia" w:hint="default"/>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1771792E"/>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1C8D72A7"/>
    <w:multiLevelType w:val="multilevel"/>
    <w:tmpl w:val="0407001F"/>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3960"/>
        </w:tabs>
        <w:ind w:left="2232" w:hanging="792"/>
      </w:pPr>
    </w:lvl>
    <w:lvl w:ilvl="5">
      <w:start w:val="1"/>
      <w:numFmt w:val="decimal"/>
      <w:lvlText w:val="%1.%2.%3.%4.%5.%6."/>
      <w:lvlJc w:val="left"/>
      <w:pPr>
        <w:tabs>
          <w:tab w:val="num" w:pos="4680"/>
        </w:tabs>
        <w:ind w:left="2736" w:hanging="936"/>
      </w:pPr>
    </w:lvl>
    <w:lvl w:ilvl="6">
      <w:start w:val="1"/>
      <w:numFmt w:val="decimal"/>
      <w:lvlText w:val="%1.%2.%3.%4.%5.%6.%7."/>
      <w:lvlJc w:val="left"/>
      <w:pPr>
        <w:tabs>
          <w:tab w:val="num" w:pos="540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200"/>
        </w:tabs>
        <w:ind w:left="4320" w:hanging="1440"/>
      </w:pPr>
    </w:lvl>
  </w:abstractNum>
  <w:abstractNum w:abstractNumId="9" w15:restartNumberingAfterBreak="0">
    <w:nsid w:val="1D1F6826"/>
    <w:multiLevelType w:val="hybridMultilevel"/>
    <w:tmpl w:val="99642E7E"/>
    <w:lvl w:ilvl="0" w:tplc="08090001">
      <w:start w:val="1"/>
      <w:numFmt w:val="bullet"/>
      <w:lvlText w:val=""/>
      <w:lvlJc w:val="left"/>
      <w:pPr>
        <w:ind w:left="796" w:hanging="171"/>
      </w:pPr>
      <w:rPr>
        <w:rFonts w:ascii="Symbol" w:hAnsi="Symbol" w:hint="default"/>
      </w:rPr>
    </w:lvl>
    <w:lvl w:ilvl="1" w:tplc="08130019">
      <w:start w:val="1"/>
      <w:numFmt w:val="lowerLetter"/>
      <w:lvlText w:val="%2."/>
      <w:lvlJc w:val="left"/>
      <w:pPr>
        <w:ind w:left="1422" w:hanging="360"/>
      </w:pPr>
    </w:lvl>
    <w:lvl w:ilvl="2" w:tplc="0813001B" w:tentative="1">
      <w:start w:val="1"/>
      <w:numFmt w:val="lowerRoman"/>
      <w:lvlText w:val="%3."/>
      <w:lvlJc w:val="right"/>
      <w:pPr>
        <w:ind w:left="2142" w:hanging="180"/>
      </w:pPr>
    </w:lvl>
    <w:lvl w:ilvl="3" w:tplc="0813000F" w:tentative="1">
      <w:start w:val="1"/>
      <w:numFmt w:val="decimal"/>
      <w:lvlText w:val="%4."/>
      <w:lvlJc w:val="left"/>
      <w:pPr>
        <w:ind w:left="2862" w:hanging="360"/>
      </w:pPr>
    </w:lvl>
    <w:lvl w:ilvl="4" w:tplc="08130019" w:tentative="1">
      <w:start w:val="1"/>
      <w:numFmt w:val="lowerLetter"/>
      <w:lvlText w:val="%5."/>
      <w:lvlJc w:val="left"/>
      <w:pPr>
        <w:ind w:left="3582" w:hanging="360"/>
      </w:pPr>
    </w:lvl>
    <w:lvl w:ilvl="5" w:tplc="0813001B" w:tentative="1">
      <w:start w:val="1"/>
      <w:numFmt w:val="lowerRoman"/>
      <w:lvlText w:val="%6."/>
      <w:lvlJc w:val="right"/>
      <w:pPr>
        <w:ind w:left="4302" w:hanging="180"/>
      </w:pPr>
    </w:lvl>
    <w:lvl w:ilvl="6" w:tplc="0813000F" w:tentative="1">
      <w:start w:val="1"/>
      <w:numFmt w:val="decimal"/>
      <w:lvlText w:val="%7."/>
      <w:lvlJc w:val="left"/>
      <w:pPr>
        <w:ind w:left="5022" w:hanging="360"/>
      </w:pPr>
    </w:lvl>
    <w:lvl w:ilvl="7" w:tplc="08130019" w:tentative="1">
      <w:start w:val="1"/>
      <w:numFmt w:val="lowerLetter"/>
      <w:lvlText w:val="%8."/>
      <w:lvlJc w:val="left"/>
      <w:pPr>
        <w:ind w:left="5742" w:hanging="360"/>
      </w:pPr>
    </w:lvl>
    <w:lvl w:ilvl="8" w:tplc="0813001B" w:tentative="1">
      <w:start w:val="1"/>
      <w:numFmt w:val="lowerRoman"/>
      <w:lvlText w:val="%9."/>
      <w:lvlJc w:val="right"/>
      <w:pPr>
        <w:ind w:left="6462" w:hanging="180"/>
      </w:pPr>
    </w:lvl>
  </w:abstractNum>
  <w:abstractNum w:abstractNumId="10" w15:restartNumberingAfterBreak="0">
    <w:nsid w:val="1E0D7F59"/>
    <w:multiLevelType w:val="hybridMultilevel"/>
    <w:tmpl w:val="A11ADE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15A288F"/>
    <w:multiLevelType w:val="multilevel"/>
    <w:tmpl w:val="124AF998"/>
    <w:lvl w:ilvl="0">
      <w:start w:val="2"/>
      <w:numFmt w:val="upperRoman"/>
      <w:lvlText w:val="%1."/>
      <w:lvlJc w:val="left"/>
      <w:pPr>
        <w:tabs>
          <w:tab w:val="num" w:pos="284"/>
        </w:tabs>
        <w:ind w:left="284" w:hanging="284"/>
      </w:pPr>
      <w:rPr>
        <w:rFonts w:ascii="Georgia" w:hAnsi="Georgia" w:hint="default"/>
        <w:b/>
        <w:i w:val="0"/>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2C783634"/>
    <w:multiLevelType w:val="hybridMultilevel"/>
    <w:tmpl w:val="58C86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D3E4F6E"/>
    <w:multiLevelType w:val="hybridMultilevel"/>
    <w:tmpl w:val="F894E9A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2FE21D04"/>
    <w:multiLevelType w:val="hybridMultilevel"/>
    <w:tmpl w:val="B0B6EB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28B2B4A"/>
    <w:multiLevelType w:val="hybridMultilevel"/>
    <w:tmpl w:val="CA5830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5AC35BE"/>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9" w15:restartNumberingAfterBreak="0">
    <w:nsid w:val="3C8921CC"/>
    <w:multiLevelType w:val="hybridMultilevel"/>
    <w:tmpl w:val="64EE9D7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0" w15:restartNumberingAfterBreak="0">
    <w:nsid w:val="434561D1"/>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44261A85"/>
    <w:multiLevelType w:val="hybridMultilevel"/>
    <w:tmpl w:val="5A5CEE6E"/>
    <w:lvl w:ilvl="0" w:tplc="0F768706">
      <w:start w:val="1"/>
      <w:numFmt w:val="decimal"/>
      <w:pStyle w:val="04aNumbering"/>
      <w:lvlText w:val="%1."/>
      <w:lvlJc w:val="left"/>
      <w:pPr>
        <w:tabs>
          <w:tab w:val="num" w:pos="284"/>
        </w:tabs>
        <w:ind w:left="284" w:hanging="284"/>
      </w:pPr>
      <w:rPr>
        <w:rFonts w:ascii="Georgia" w:hAnsi="Georgia" w:hint="default"/>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2" w15:restartNumberingAfterBreak="0">
    <w:nsid w:val="44B93398"/>
    <w:multiLevelType w:val="hybridMultilevel"/>
    <w:tmpl w:val="1430C40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3" w15:restartNumberingAfterBreak="0">
    <w:nsid w:val="4782007A"/>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4DD40E92"/>
    <w:multiLevelType w:val="multilevel"/>
    <w:tmpl w:val="4610389E"/>
    <w:lvl w:ilvl="0">
      <w:start w:val="1"/>
      <w:numFmt w:val="upperRoman"/>
      <w:lvlText w:val="%1."/>
      <w:lvlJc w:val="left"/>
      <w:pPr>
        <w:tabs>
          <w:tab w:val="num" w:pos="567"/>
        </w:tabs>
        <w:ind w:left="567" w:hanging="567"/>
      </w:pPr>
      <w:rPr>
        <w:rFonts w:ascii="Georgia" w:hAnsi="Georgia" w:hint="default"/>
        <w:b/>
        <w:i w:val="0"/>
        <w:sz w:val="20"/>
      </w:rPr>
    </w:lvl>
    <w:lvl w:ilvl="1">
      <w:start w:val="1"/>
      <w:numFmt w:val="upperRoman"/>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4EEE4242"/>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4F8D2D5B"/>
    <w:multiLevelType w:val="hybridMultilevel"/>
    <w:tmpl w:val="B8E602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21F3E3D"/>
    <w:multiLevelType w:val="hybridMultilevel"/>
    <w:tmpl w:val="CAD873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29B56C8"/>
    <w:multiLevelType w:val="hybridMultilevel"/>
    <w:tmpl w:val="16A4D78E"/>
    <w:lvl w:ilvl="0" w:tplc="84007E74">
      <w:start w:val="1"/>
      <w:numFmt w:val="upperLetter"/>
      <w:pStyle w:val="04cA"/>
      <w:lvlText w:val="%1."/>
      <w:lvlJc w:val="left"/>
      <w:pPr>
        <w:tabs>
          <w:tab w:val="num" w:pos="454"/>
        </w:tabs>
        <w:ind w:left="454" w:hanging="40"/>
      </w:pPr>
      <w:rPr>
        <w:rFonts w:ascii="Georgia" w:hAnsi="Georgia" w:hint="default"/>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9" w15:restartNumberingAfterBreak="0">
    <w:nsid w:val="52B4193D"/>
    <w:multiLevelType w:val="multilevel"/>
    <w:tmpl w:val="EF7ABDF6"/>
    <w:lvl w:ilvl="0">
      <w:start w:val="2"/>
      <w:numFmt w:val="upperRoman"/>
      <w:lvlText w:val="%1"/>
      <w:lvlJc w:val="left"/>
      <w:pPr>
        <w:tabs>
          <w:tab w:val="num" w:pos="567"/>
        </w:tabs>
        <w:ind w:left="567" w:hanging="567"/>
      </w:pPr>
      <w:rPr>
        <w:rFonts w:ascii="Georgia" w:hAnsi="Georgia" w:hint="default"/>
        <w:b/>
        <w:i w:val="0"/>
        <w:sz w:val="20"/>
      </w:rPr>
    </w:lvl>
    <w:lvl w:ilvl="1">
      <w:start w:val="1"/>
      <w:numFmt w:val="upperRoman"/>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53260F13"/>
    <w:multiLevelType w:val="multilevel"/>
    <w:tmpl w:val="EE106C30"/>
    <w:lvl w:ilvl="0">
      <w:start w:val="2"/>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pStyle w:val="Heading3"/>
      <w:lvlText w:val="%3.%2"/>
      <w:lvlJc w:val="left"/>
      <w:pPr>
        <w:tabs>
          <w:tab w:val="num" w:pos="567"/>
        </w:tabs>
        <w:ind w:left="567" w:hanging="283"/>
      </w:pPr>
      <w:rPr>
        <w:rFonts w:ascii="Georgia" w:hAnsi="Georgia"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1" w15:restartNumberingAfterBreak="0">
    <w:nsid w:val="54A61B5C"/>
    <w:multiLevelType w:val="multilevel"/>
    <w:tmpl w:val="EE5E4730"/>
    <w:lvl w:ilvl="0">
      <w:start w:val="2"/>
      <w:numFmt w:val="upperRoman"/>
      <w:lvlText w:val="%1"/>
      <w:lvlJc w:val="left"/>
      <w:pPr>
        <w:tabs>
          <w:tab w:val="num" w:pos="567"/>
        </w:tabs>
        <w:ind w:left="567" w:hanging="567"/>
      </w:pPr>
      <w:rPr>
        <w:rFonts w:ascii="Georgia" w:hAnsi="Georgia" w:hint="default"/>
        <w:b/>
        <w:i w:val="0"/>
        <w:sz w:val="20"/>
      </w:rPr>
    </w:lvl>
    <w:lvl w:ilvl="1">
      <w:start w:val="1"/>
      <w:numFmt w:val="upperRoman"/>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15:restartNumberingAfterBreak="0">
    <w:nsid w:val="585A3EE7"/>
    <w:multiLevelType w:val="hybridMultilevel"/>
    <w:tmpl w:val="A6626C48"/>
    <w:lvl w:ilvl="0" w:tplc="113A25D6">
      <w:start w:val="1"/>
      <w:numFmt w:val="decimal"/>
      <w:lvlText w:val="%1."/>
      <w:lvlJc w:val="left"/>
      <w:pPr>
        <w:ind w:left="360" w:hanging="360"/>
      </w:pPr>
      <w:rPr>
        <w:b w:val="0"/>
      </w:rPr>
    </w:lvl>
    <w:lvl w:ilvl="1" w:tplc="08090001">
      <w:start w:val="1"/>
      <w:numFmt w:val="bullet"/>
      <w:lvlText w:val=""/>
      <w:lvlJc w:val="left"/>
      <w:pPr>
        <w:ind w:left="1080" w:hanging="360"/>
      </w:pPr>
      <w:rPr>
        <w:rFonts w:ascii="Symbol" w:hAnsi="Symbol" w:hint="default"/>
      </w:r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33" w15:restartNumberingAfterBreak="0">
    <w:nsid w:val="5A9664A5"/>
    <w:multiLevelType w:val="hybridMultilevel"/>
    <w:tmpl w:val="DB34ECE8"/>
    <w:lvl w:ilvl="0" w:tplc="0D7CA22C">
      <w:start w:val="1"/>
      <w:numFmt w:val="decimal"/>
      <w:lvlText w:val="%1."/>
      <w:lvlJc w:val="left"/>
      <w:pPr>
        <w:ind w:left="9432"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AA41B55"/>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15:restartNumberingAfterBreak="0">
    <w:nsid w:val="5BC25BAE"/>
    <w:multiLevelType w:val="hybridMultilevel"/>
    <w:tmpl w:val="EE1EA3CE"/>
    <w:lvl w:ilvl="0" w:tplc="0E5A19AA">
      <w:start w:val="1"/>
      <w:numFmt w:val="bullet"/>
      <w:lvlText w:val="—"/>
      <w:lvlJc w:val="left"/>
      <w:pPr>
        <w:ind w:left="1440" w:hanging="360"/>
      </w:pPr>
      <w:rPr>
        <w:rFonts w:ascii="Times New Roman" w:hAnsi="Times New Roman" w:cs="Times New Roman"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15:restartNumberingAfterBreak="0">
    <w:nsid w:val="5CF45399"/>
    <w:multiLevelType w:val="hybridMultilevel"/>
    <w:tmpl w:val="DA6C25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2EB1086"/>
    <w:multiLevelType w:val="hybridMultilevel"/>
    <w:tmpl w:val="C66CB922"/>
    <w:lvl w:ilvl="0" w:tplc="E698EE2C">
      <w:start w:val="1"/>
      <w:numFmt w:val="decimal"/>
      <w:suff w:val="space"/>
      <w:lvlText w:val="%1."/>
      <w:lvlJc w:val="left"/>
      <w:pPr>
        <w:ind w:left="643"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483500B"/>
    <w:multiLevelType w:val="hybridMultilevel"/>
    <w:tmpl w:val="0C86CD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4A424D3"/>
    <w:multiLevelType w:val="multilevel"/>
    <w:tmpl w:val="EE106C30"/>
    <w:lvl w:ilvl="0">
      <w:start w:val="2"/>
      <w:numFmt w:val="upperRoman"/>
      <w:lvlText w:val="%1."/>
      <w:lvlJc w:val="left"/>
      <w:pPr>
        <w:tabs>
          <w:tab w:val="num" w:pos="567"/>
        </w:tabs>
        <w:ind w:left="567" w:hanging="567"/>
      </w:pPr>
      <w:rPr>
        <w:rFonts w:ascii="Georgia" w:hAnsi="Georgia" w:hint="default"/>
        <w:b/>
        <w:i w:val="0"/>
        <w:sz w:val="20"/>
      </w:rPr>
    </w:lvl>
    <w:lvl w:ilvl="1">
      <w:start w:val="1"/>
      <w:numFmt w:val="upperRoman"/>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15:restartNumberingAfterBreak="0">
    <w:nsid w:val="64FF4C50"/>
    <w:multiLevelType w:val="multilevel"/>
    <w:tmpl w:val="3B30F7F4"/>
    <w:lvl w:ilvl="0">
      <w:start w:val="2"/>
      <w:numFmt w:val="upperRoman"/>
      <w:lvlText w:val="%1."/>
      <w:lvlJc w:val="left"/>
      <w:pPr>
        <w:tabs>
          <w:tab w:val="num" w:pos="567"/>
        </w:tabs>
        <w:ind w:left="567" w:hanging="567"/>
      </w:pPr>
      <w:rPr>
        <w:rFonts w:ascii="Georgia" w:hAnsi="Georgia" w:hint="default"/>
        <w:b/>
        <w:i w:val="0"/>
        <w:sz w:val="20"/>
      </w:rPr>
    </w:lvl>
    <w:lvl w:ilvl="1">
      <w:start w:val="1"/>
      <w:numFmt w:val="upperRoman"/>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1" w15:restartNumberingAfterBreak="0">
    <w:nsid w:val="65CA360D"/>
    <w:multiLevelType w:val="hybridMultilevel"/>
    <w:tmpl w:val="D99CF1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690406E5"/>
    <w:multiLevelType w:val="hybridMultilevel"/>
    <w:tmpl w:val="6C80F464"/>
    <w:lvl w:ilvl="0" w:tplc="69E027A6">
      <w:start w:val="1"/>
      <w:numFmt w:val="decimal"/>
      <w:lvlText w:val="%1."/>
      <w:lvlJc w:val="left"/>
      <w:pPr>
        <w:ind w:left="502" w:hanging="360"/>
      </w:pPr>
      <w:rPr>
        <w:rFonts w:hint="default"/>
      </w:rPr>
    </w:lvl>
    <w:lvl w:ilvl="1" w:tplc="08090001">
      <w:start w:val="1"/>
      <w:numFmt w:val="bullet"/>
      <w:lvlText w:val=""/>
      <w:lvlJc w:val="left"/>
      <w:pPr>
        <w:ind w:left="1080" w:hanging="360"/>
      </w:pPr>
      <w:rPr>
        <w:rFonts w:ascii="Symbol" w:hAnsi="Symbol" w:hint="default"/>
      </w:rPr>
    </w:lvl>
    <w:lvl w:ilvl="2" w:tplc="08090005">
      <w:start w:val="1"/>
      <w:numFmt w:val="bullet"/>
      <w:lvlText w:val=""/>
      <w:lvlJc w:val="left"/>
      <w:pPr>
        <w:ind w:left="1800" w:hanging="180"/>
      </w:pPr>
      <w:rPr>
        <w:rFonts w:ascii="Wingdings" w:hAnsi="Wingdings" w:hint="default"/>
      </w:rPr>
    </w:lvl>
    <w:lvl w:ilvl="3" w:tplc="3AA65CD8">
      <w:start w:val="1"/>
      <w:numFmt w:val="decimal"/>
      <w:lvlText w:val="%4)"/>
      <w:lvlJc w:val="left"/>
      <w:pPr>
        <w:ind w:left="2520" w:hanging="360"/>
      </w:pPr>
      <w:rPr>
        <w:rFonts w:hint="default"/>
      </w:r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43" w15:restartNumberingAfterBreak="0">
    <w:nsid w:val="69720511"/>
    <w:multiLevelType w:val="hybridMultilevel"/>
    <w:tmpl w:val="6DF269FC"/>
    <w:lvl w:ilvl="0" w:tplc="63262542">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4" w15:restartNumberingAfterBreak="0">
    <w:nsid w:val="724A4C49"/>
    <w:multiLevelType w:val="hybridMultilevel"/>
    <w:tmpl w:val="84981F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3E32E01"/>
    <w:multiLevelType w:val="hybridMultilevel"/>
    <w:tmpl w:val="A952445E"/>
    <w:lvl w:ilvl="0" w:tplc="43687660">
      <w:start w:val="1"/>
      <w:numFmt w:val="decimal"/>
      <w:lvlText w:val="%1."/>
      <w:lvlJc w:val="left"/>
      <w:pPr>
        <w:ind w:left="360" w:hanging="360"/>
      </w:pPr>
      <w:rPr>
        <w:b w:val="0"/>
      </w:rPr>
    </w:lvl>
    <w:lvl w:ilvl="1" w:tplc="0809000F">
      <w:start w:val="1"/>
      <w:numFmt w:val="decimal"/>
      <w:lvlText w:val="%2."/>
      <w:lvlJc w:val="left"/>
      <w:pPr>
        <w:ind w:left="1080" w:hanging="360"/>
      </w:pPr>
      <w:rPr>
        <w:rFonts w:hint="default"/>
      </w:r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46" w15:restartNumberingAfterBreak="0">
    <w:nsid w:val="76340C32"/>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7" w15:restartNumberingAfterBreak="0">
    <w:nsid w:val="77555C13"/>
    <w:multiLevelType w:val="multilevel"/>
    <w:tmpl w:val="A1C489B6"/>
    <w:lvl w:ilvl="0">
      <w:start w:val="2"/>
      <w:numFmt w:val="upperRoman"/>
      <w:lvlText w:val="%1"/>
      <w:lvlJc w:val="left"/>
      <w:pPr>
        <w:tabs>
          <w:tab w:val="num" w:pos="567"/>
        </w:tabs>
        <w:ind w:left="567" w:hanging="567"/>
      </w:pPr>
      <w:rPr>
        <w:rFonts w:ascii="Georgia" w:hAnsi="Georgia" w:hint="default"/>
        <w:b/>
        <w:i w:val="0"/>
        <w:sz w:val="20"/>
      </w:rPr>
    </w:lvl>
    <w:lvl w:ilvl="1">
      <w:start w:val="1"/>
      <w:numFmt w:val="upperRoman"/>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8" w15:restartNumberingAfterBreak="0">
    <w:nsid w:val="784A1427"/>
    <w:multiLevelType w:val="multilevel"/>
    <w:tmpl w:val="E44E12DE"/>
    <w:lvl w:ilvl="0">
      <w:start w:val="1"/>
      <w:numFmt w:val="bullet"/>
      <w:lvlText w:val="─"/>
      <w:lvlJc w:val="left"/>
      <w:pPr>
        <w:tabs>
          <w:tab w:val="num" w:pos="284"/>
        </w:tabs>
        <w:ind w:left="284" w:hanging="284"/>
      </w:pPr>
      <w:rPr>
        <w:rFonts w:ascii="Georgia" w:hAnsi="Georgia" w:hint="default"/>
        <w:color w:val="3C584D"/>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8E54550"/>
    <w:multiLevelType w:val="hybridMultilevel"/>
    <w:tmpl w:val="0324C668"/>
    <w:lvl w:ilvl="0" w:tplc="AB4E4068">
      <w:start w:val="1"/>
      <w:numFmt w:val="decimal"/>
      <w:lvlText w:val="V.%1"/>
      <w:lvlJc w:val="left"/>
      <w:pPr>
        <w:ind w:left="0" w:firstLine="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0" w15:restartNumberingAfterBreak="0">
    <w:nsid w:val="79074B0B"/>
    <w:multiLevelType w:val="hybridMultilevel"/>
    <w:tmpl w:val="33E648C4"/>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51" w15:restartNumberingAfterBreak="0">
    <w:nsid w:val="7C757863"/>
    <w:multiLevelType w:val="hybridMultilevel"/>
    <w:tmpl w:val="7AE66E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46"/>
  </w:num>
  <w:num w:numId="3">
    <w:abstractNumId w:val="21"/>
  </w:num>
  <w:num w:numId="4">
    <w:abstractNumId w:val="11"/>
  </w:num>
  <w:num w:numId="5">
    <w:abstractNumId w:val="31"/>
  </w:num>
  <w:num w:numId="6">
    <w:abstractNumId w:val="6"/>
  </w:num>
  <w:num w:numId="7">
    <w:abstractNumId w:val="17"/>
  </w:num>
  <w:num w:numId="8">
    <w:abstractNumId w:val="20"/>
  </w:num>
  <w:num w:numId="9">
    <w:abstractNumId w:val="8"/>
  </w:num>
  <w:num w:numId="10">
    <w:abstractNumId w:val="47"/>
  </w:num>
  <w:num w:numId="11">
    <w:abstractNumId w:val="16"/>
  </w:num>
  <w:num w:numId="12">
    <w:abstractNumId w:val="25"/>
  </w:num>
  <w:num w:numId="13">
    <w:abstractNumId w:val="30"/>
  </w:num>
  <w:num w:numId="14">
    <w:abstractNumId w:val="29"/>
  </w:num>
  <w:num w:numId="15">
    <w:abstractNumId w:val="48"/>
  </w:num>
  <w:num w:numId="16">
    <w:abstractNumId w:val="34"/>
  </w:num>
  <w:num w:numId="17">
    <w:abstractNumId w:val="23"/>
  </w:num>
  <w:num w:numId="18">
    <w:abstractNumId w:val="40"/>
  </w:num>
  <w:num w:numId="19">
    <w:abstractNumId w:val="24"/>
  </w:num>
  <w:num w:numId="20">
    <w:abstractNumId w:val="39"/>
  </w:num>
  <w:num w:numId="21">
    <w:abstractNumId w:val="7"/>
  </w:num>
  <w:num w:numId="22">
    <w:abstractNumId w:val="28"/>
  </w:num>
  <w:num w:numId="23">
    <w:abstractNumId w:val="28"/>
    <w:lvlOverride w:ilvl="0">
      <w:startOverride w:val="1"/>
    </w:lvlOverride>
  </w:num>
  <w:num w:numId="24">
    <w:abstractNumId w:val="4"/>
  </w:num>
  <w:num w:numId="25">
    <w:abstractNumId w:val="3"/>
  </w:num>
  <w:num w:numId="26">
    <w:abstractNumId w:val="19"/>
  </w:num>
  <w:num w:numId="27">
    <w:abstractNumId w:val="22"/>
  </w:num>
  <w:num w:numId="28">
    <w:abstractNumId w:val="5"/>
  </w:num>
  <w:num w:numId="29">
    <w:abstractNumId w:val="5"/>
  </w:num>
  <w:num w:numId="30">
    <w:abstractNumId w:val="36"/>
  </w:num>
  <w:num w:numId="31">
    <w:abstractNumId w:val="38"/>
  </w:num>
  <w:num w:numId="32">
    <w:abstractNumId w:val="44"/>
  </w:num>
  <w:num w:numId="33">
    <w:abstractNumId w:val="50"/>
  </w:num>
  <w:num w:numId="34">
    <w:abstractNumId w:val="49"/>
  </w:num>
  <w:num w:numId="35">
    <w:abstractNumId w:val="14"/>
  </w:num>
  <w:num w:numId="36">
    <w:abstractNumId w:val="35"/>
  </w:num>
  <w:num w:numId="37">
    <w:abstractNumId w:val="0"/>
  </w:num>
  <w:num w:numId="38">
    <w:abstractNumId w:val="27"/>
  </w:num>
  <w:num w:numId="39">
    <w:abstractNumId w:val="15"/>
  </w:num>
  <w:num w:numId="40">
    <w:abstractNumId w:val="43"/>
  </w:num>
  <w:num w:numId="41">
    <w:abstractNumId w:val="45"/>
  </w:num>
  <w:num w:numId="42">
    <w:abstractNumId w:val="13"/>
  </w:num>
  <w:num w:numId="43">
    <w:abstractNumId w:val="32"/>
  </w:num>
  <w:num w:numId="44">
    <w:abstractNumId w:val="2"/>
  </w:num>
  <w:num w:numId="45">
    <w:abstractNumId w:val="9"/>
  </w:num>
  <w:num w:numId="46">
    <w:abstractNumId w:val="37"/>
  </w:num>
  <w:num w:numId="47">
    <w:abstractNumId w:val="1"/>
  </w:num>
  <w:num w:numId="48">
    <w:abstractNumId w:val="42"/>
  </w:num>
  <w:num w:numId="49">
    <w:abstractNumId w:val="41"/>
  </w:num>
  <w:num w:numId="50">
    <w:abstractNumId w:val="51"/>
  </w:num>
  <w:num w:numId="51">
    <w:abstractNumId w:val="10"/>
  </w:num>
  <w:num w:numId="52">
    <w:abstractNumId w:val="12"/>
  </w:num>
  <w:num w:numId="53">
    <w:abstractNumId w:val="26"/>
  </w:num>
  <w:num w:numId="54">
    <w:abstractNumId w:val="33"/>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s-ES_tradnl" w:vendorID="64" w:dllVersion="6" w:nlCheck="1" w:checkStyle="0"/>
  <w:activeWritingStyle w:appName="MSWord" w:lang="en-GB" w:vendorID="64" w:dllVersion="6" w:nlCheck="1" w:checkStyle="1"/>
  <w:activeWritingStyle w:appName="MSWord" w:lang="fr-FR" w:vendorID="64" w:dllVersion="6" w:nlCheck="1" w:checkStyle="0"/>
  <w:activeWritingStyle w:appName="MSWord" w:lang="en-IE" w:vendorID="64" w:dllVersion="6" w:nlCheck="1" w:checkStyle="1"/>
  <w:activeWritingStyle w:appName="MSWord" w:lang="en-US" w:vendorID="64" w:dllVersion="6" w:nlCheck="1" w:checkStyle="1"/>
  <w:activeWritingStyle w:appName="MSWord" w:lang="en-GB" w:vendorID="64" w:dllVersion="0" w:nlCheck="1" w:checkStyle="0"/>
  <w:activeWritingStyle w:appName="MSWord" w:lang="es-ES_tradnl" w:vendorID="64" w:dllVersion="0" w:nlCheck="1" w:checkStyle="0"/>
  <w:activeWritingStyle w:appName="MSWord" w:lang="fr-FR" w:vendorID="64" w:dllVersion="0" w:nlCheck="1" w:checkStyle="0"/>
  <w:activeWritingStyle w:appName="MSWord" w:lang="en-IE" w:vendorID="64" w:dllVersion="0" w:nlCheck="1" w:checkStyle="0"/>
  <w:activeWritingStyle w:appName="MSWord" w:lang="en-US" w:vendorID="64" w:dllVersion="0" w:nlCheck="1" w:checkStyle="0"/>
  <w:activeWritingStyle w:appName="MSWord" w:lang="es-ES" w:vendorID="64" w:dllVersion="0" w:nlCheck="1" w:checkStyle="0"/>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8"/>
  <w:autoHyphenation/>
  <w:hyphenationZone w:val="567"/>
  <w:characterSpacingControl w:val="doNotCompress"/>
  <w:hdrShapeDefaults>
    <o:shapedefaults v:ext="edit" spidmax="2049">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32E7"/>
    <w:rsid w:val="00000944"/>
    <w:rsid w:val="00000E5A"/>
    <w:rsid w:val="00003AEB"/>
    <w:rsid w:val="000068EC"/>
    <w:rsid w:val="000141D6"/>
    <w:rsid w:val="0001774B"/>
    <w:rsid w:val="0002038A"/>
    <w:rsid w:val="00023F7A"/>
    <w:rsid w:val="00027154"/>
    <w:rsid w:val="0003017A"/>
    <w:rsid w:val="00037A71"/>
    <w:rsid w:val="00040054"/>
    <w:rsid w:val="00040718"/>
    <w:rsid w:val="00040F09"/>
    <w:rsid w:val="000427F9"/>
    <w:rsid w:val="0004389E"/>
    <w:rsid w:val="0004393A"/>
    <w:rsid w:val="00051992"/>
    <w:rsid w:val="0005544E"/>
    <w:rsid w:val="000576D7"/>
    <w:rsid w:val="00060F72"/>
    <w:rsid w:val="000679E1"/>
    <w:rsid w:val="00070974"/>
    <w:rsid w:val="0007131E"/>
    <w:rsid w:val="00074186"/>
    <w:rsid w:val="00075B2E"/>
    <w:rsid w:val="00080976"/>
    <w:rsid w:val="0008373C"/>
    <w:rsid w:val="000878D1"/>
    <w:rsid w:val="000912E2"/>
    <w:rsid w:val="000925FF"/>
    <w:rsid w:val="000932E0"/>
    <w:rsid w:val="000A0414"/>
    <w:rsid w:val="000A0461"/>
    <w:rsid w:val="000A2127"/>
    <w:rsid w:val="000A7B53"/>
    <w:rsid w:val="000B275C"/>
    <w:rsid w:val="000C124F"/>
    <w:rsid w:val="000C2B6A"/>
    <w:rsid w:val="000F1931"/>
    <w:rsid w:val="000F7073"/>
    <w:rsid w:val="0010517C"/>
    <w:rsid w:val="00111300"/>
    <w:rsid w:val="0011167D"/>
    <w:rsid w:val="00111AA2"/>
    <w:rsid w:val="00112892"/>
    <w:rsid w:val="0011295B"/>
    <w:rsid w:val="001232A5"/>
    <w:rsid w:val="00123D39"/>
    <w:rsid w:val="00125056"/>
    <w:rsid w:val="0012566F"/>
    <w:rsid w:val="00130F41"/>
    <w:rsid w:val="00135F2B"/>
    <w:rsid w:val="00137C3E"/>
    <w:rsid w:val="001431AE"/>
    <w:rsid w:val="00143B87"/>
    <w:rsid w:val="00147930"/>
    <w:rsid w:val="00151A00"/>
    <w:rsid w:val="0016552B"/>
    <w:rsid w:val="001725A5"/>
    <w:rsid w:val="00172681"/>
    <w:rsid w:val="00173F05"/>
    <w:rsid w:val="001843B5"/>
    <w:rsid w:val="001875BE"/>
    <w:rsid w:val="00187885"/>
    <w:rsid w:val="00190B8C"/>
    <w:rsid w:val="00193723"/>
    <w:rsid w:val="00195DC1"/>
    <w:rsid w:val="001A0C2B"/>
    <w:rsid w:val="001A2686"/>
    <w:rsid w:val="001A3FC8"/>
    <w:rsid w:val="001B0363"/>
    <w:rsid w:val="001B61E4"/>
    <w:rsid w:val="001B6F2E"/>
    <w:rsid w:val="001C1A59"/>
    <w:rsid w:val="001C1F37"/>
    <w:rsid w:val="001D4550"/>
    <w:rsid w:val="001D4BB7"/>
    <w:rsid w:val="001F397E"/>
    <w:rsid w:val="001F44A4"/>
    <w:rsid w:val="002051F1"/>
    <w:rsid w:val="0021156A"/>
    <w:rsid w:val="00214FB4"/>
    <w:rsid w:val="00215D48"/>
    <w:rsid w:val="00221844"/>
    <w:rsid w:val="0022273B"/>
    <w:rsid w:val="0022428A"/>
    <w:rsid w:val="00233B08"/>
    <w:rsid w:val="00233C3B"/>
    <w:rsid w:val="0023516B"/>
    <w:rsid w:val="00240651"/>
    <w:rsid w:val="00240803"/>
    <w:rsid w:val="00244291"/>
    <w:rsid w:val="00250846"/>
    <w:rsid w:val="00252662"/>
    <w:rsid w:val="002550F1"/>
    <w:rsid w:val="00255707"/>
    <w:rsid w:val="00261D56"/>
    <w:rsid w:val="00264499"/>
    <w:rsid w:val="00265930"/>
    <w:rsid w:val="002764C5"/>
    <w:rsid w:val="00276B1D"/>
    <w:rsid w:val="0027741C"/>
    <w:rsid w:val="00280613"/>
    <w:rsid w:val="00283F51"/>
    <w:rsid w:val="00293BE7"/>
    <w:rsid w:val="002964A7"/>
    <w:rsid w:val="002A1072"/>
    <w:rsid w:val="002A46E8"/>
    <w:rsid w:val="002B0A82"/>
    <w:rsid w:val="002B3509"/>
    <w:rsid w:val="002B3E08"/>
    <w:rsid w:val="002B419D"/>
    <w:rsid w:val="002B4FAA"/>
    <w:rsid w:val="002C5B2D"/>
    <w:rsid w:val="002D502D"/>
    <w:rsid w:val="002D5AA9"/>
    <w:rsid w:val="002D6F45"/>
    <w:rsid w:val="002E10C7"/>
    <w:rsid w:val="002E1B22"/>
    <w:rsid w:val="002F0634"/>
    <w:rsid w:val="002F7BB6"/>
    <w:rsid w:val="00302C8C"/>
    <w:rsid w:val="00304A71"/>
    <w:rsid w:val="00310078"/>
    <w:rsid w:val="003116D2"/>
    <w:rsid w:val="00312675"/>
    <w:rsid w:val="00314013"/>
    <w:rsid w:val="00315746"/>
    <w:rsid w:val="00324B7F"/>
    <w:rsid w:val="00324FF8"/>
    <w:rsid w:val="0032582E"/>
    <w:rsid w:val="00325F48"/>
    <w:rsid w:val="0033171B"/>
    <w:rsid w:val="00332D8D"/>
    <w:rsid w:val="00337CA7"/>
    <w:rsid w:val="00341807"/>
    <w:rsid w:val="00341B25"/>
    <w:rsid w:val="0034212B"/>
    <w:rsid w:val="003423A4"/>
    <w:rsid w:val="003522B2"/>
    <w:rsid w:val="00354A6F"/>
    <w:rsid w:val="00355006"/>
    <w:rsid w:val="003609B6"/>
    <w:rsid w:val="00361239"/>
    <w:rsid w:val="00376367"/>
    <w:rsid w:val="00376E1A"/>
    <w:rsid w:val="003775F6"/>
    <w:rsid w:val="00377C50"/>
    <w:rsid w:val="0038073F"/>
    <w:rsid w:val="00381226"/>
    <w:rsid w:val="0038308A"/>
    <w:rsid w:val="00387446"/>
    <w:rsid w:val="00387906"/>
    <w:rsid w:val="00396178"/>
    <w:rsid w:val="00397FBA"/>
    <w:rsid w:val="003B381A"/>
    <w:rsid w:val="003B4501"/>
    <w:rsid w:val="003C462F"/>
    <w:rsid w:val="003C7C36"/>
    <w:rsid w:val="003D0DD6"/>
    <w:rsid w:val="003D1394"/>
    <w:rsid w:val="003D3551"/>
    <w:rsid w:val="003D503B"/>
    <w:rsid w:val="003D605E"/>
    <w:rsid w:val="003D608E"/>
    <w:rsid w:val="003D6943"/>
    <w:rsid w:val="003D7C81"/>
    <w:rsid w:val="003E0F84"/>
    <w:rsid w:val="003E3ACA"/>
    <w:rsid w:val="003E5603"/>
    <w:rsid w:val="003E5E52"/>
    <w:rsid w:val="003E64A1"/>
    <w:rsid w:val="003F2E45"/>
    <w:rsid w:val="0040020F"/>
    <w:rsid w:val="00403086"/>
    <w:rsid w:val="004040FF"/>
    <w:rsid w:val="004060AE"/>
    <w:rsid w:val="00410240"/>
    <w:rsid w:val="00415F90"/>
    <w:rsid w:val="00417EF7"/>
    <w:rsid w:val="004222BD"/>
    <w:rsid w:val="00422BFC"/>
    <w:rsid w:val="00424642"/>
    <w:rsid w:val="00424D51"/>
    <w:rsid w:val="00430497"/>
    <w:rsid w:val="00432A91"/>
    <w:rsid w:val="00434A74"/>
    <w:rsid w:val="00440551"/>
    <w:rsid w:val="00442187"/>
    <w:rsid w:val="00443D7C"/>
    <w:rsid w:val="004463C5"/>
    <w:rsid w:val="0045175A"/>
    <w:rsid w:val="00451ED9"/>
    <w:rsid w:val="00453F26"/>
    <w:rsid w:val="00454CA5"/>
    <w:rsid w:val="0045503F"/>
    <w:rsid w:val="0047205D"/>
    <w:rsid w:val="00475241"/>
    <w:rsid w:val="00475B8E"/>
    <w:rsid w:val="00476476"/>
    <w:rsid w:val="004765CD"/>
    <w:rsid w:val="004814BB"/>
    <w:rsid w:val="00486FE1"/>
    <w:rsid w:val="00487A91"/>
    <w:rsid w:val="004901E5"/>
    <w:rsid w:val="004903D4"/>
    <w:rsid w:val="00494737"/>
    <w:rsid w:val="00497750"/>
    <w:rsid w:val="00497B44"/>
    <w:rsid w:val="004A03F0"/>
    <w:rsid w:val="004A116E"/>
    <w:rsid w:val="004A5C3B"/>
    <w:rsid w:val="004A639F"/>
    <w:rsid w:val="004B32E7"/>
    <w:rsid w:val="004B4B95"/>
    <w:rsid w:val="004B6721"/>
    <w:rsid w:val="004B71C7"/>
    <w:rsid w:val="004C2EB8"/>
    <w:rsid w:val="004C3CF8"/>
    <w:rsid w:val="004C43D7"/>
    <w:rsid w:val="004C4623"/>
    <w:rsid w:val="004C618D"/>
    <w:rsid w:val="004C6E76"/>
    <w:rsid w:val="004C7B33"/>
    <w:rsid w:val="004F1264"/>
    <w:rsid w:val="004F1638"/>
    <w:rsid w:val="004F2D7A"/>
    <w:rsid w:val="00502BCF"/>
    <w:rsid w:val="00503A3E"/>
    <w:rsid w:val="005162C4"/>
    <w:rsid w:val="00516783"/>
    <w:rsid w:val="00517EF8"/>
    <w:rsid w:val="0052076A"/>
    <w:rsid w:val="00524363"/>
    <w:rsid w:val="005252DD"/>
    <w:rsid w:val="00535477"/>
    <w:rsid w:val="0053723A"/>
    <w:rsid w:val="00540A2A"/>
    <w:rsid w:val="00542A28"/>
    <w:rsid w:val="005441D4"/>
    <w:rsid w:val="005501A5"/>
    <w:rsid w:val="00550F4E"/>
    <w:rsid w:val="005512FF"/>
    <w:rsid w:val="00552271"/>
    <w:rsid w:val="005535D4"/>
    <w:rsid w:val="00554A05"/>
    <w:rsid w:val="005574A2"/>
    <w:rsid w:val="005765C0"/>
    <w:rsid w:val="005778DE"/>
    <w:rsid w:val="00577914"/>
    <w:rsid w:val="00577F0B"/>
    <w:rsid w:val="00580B3F"/>
    <w:rsid w:val="00584E43"/>
    <w:rsid w:val="00585EED"/>
    <w:rsid w:val="00587AA5"/>
    <w:rsid w:val="00593D70"/>
    <w:rsid w:val="005945BD"/>
    <w:rsid w:val="00594AFD"/>
    <w:rsid w:val="00597C47"/>
    <w:rsid w:val="005A3644"/>
    <w:rsid w:val="005A4F6B"/>
    <w:rsid w:val="005B6235"/>
    <w:rsid w:val="005B64CB"/>
    <w:rsid w:val="005B6AAA"/>
    <w:rsid w:val="005B7554"/>
    <w:rsid w:val="005C0CA3"/>
    <w:rsid w:val="005C1169"/>
    <w:rsid w:val="005C7826"/>
    <w:rsid w:val="005D015F"/>
    <w:rsid w:val="005D1C00"/>
    <w:rsid w:val="005D4A86"/>
    <w:rsid w:val="005E1420"/>
    <w:rsid w:val="005E195D"/>
    <w:rsid w:val="005E3AFB"/>
    <w:rsid w:val="005E55E4"/>
    <w:rsid w:val="005E6EF4"/>
    <w:rsid w:val="005E7981"/>
    <w:rsid w:val="005F073F"/>
    <w:rsid w:val="005F19F8"/>
    <w:rsid w:val="005F2D86"/>
    <w:rsid w:val="005F2F7F"/>
    <w:rsid w:val="005F60DC"/>
    <w:rsid w:val="005F6371"/>
    <w:rsid w:val="00602253"/>
    <w:rsid w:val="006023E1"/>
    <w:rsid w:val="006027E7"/>
    <w:rsid w:val="00604A64"/>
    <w:rsid w:val="0060784B"/>
    <w:rsid w:val="00610A83"/>
    <w:rsid w:val="0061263A"/>
    <w:rsid w:val="006129D4"/>
    <w:rsid w:val="00614F25"/>
    <w:rsid w:val="00620D7C"/>
    <w:rsid w:val="00623E21"/>
    <w:rsid w:val="00634B64"/>
    <w:rsid w:val="006411AC"/>
    <w:rsid w:val="0064199E"/>
    <w:rsid w:val="006455B3"/>
    <w:rsid w:val="006476F7"/>
    <w:rsid w:val="006521F3"/>
    <w:rsid w:val="006524D5"/>
    <w:rsid w:val="00652BBD"/>
    <w:rsid w:val="006558B3"/>
    <w:rsid w:val="006630CF"/>
    <w:rsid w:val="006725A0"/>
    <w:rsid w:val="00672C2F"/>
    <w:rsid w:val="00677FAD"/>
    <w:rsid w:val="0068590D"/>
    <w:rsid w:val="006911C0"/>
    <w:rsid w:val="006A2CA2"/>
    <w:rsid w:val="006A340B"/>
    <w:rsid w:val="006A46D6"/>
    <w:rsid w:val="006B2D40"/>
    <w:rsid w:val="006B50E4"/>
    <w:rsid w:val="006B6E44"/>
    <w:rsid w:val="006B7287"/>
    <w:rsid w:val="006B7F2E"/>
    <w:rsid w:val="006C501E"/>
    <w:rsid w:val="006C5E96"/>
    <w:rsid w:val="006C7892"/>
    <w:rsid w:val="006E2A23"/>
    <w:rsid w:val="006E2B86"/>
    <w:rsid w:val="006E3C72"/>
    <w:rsid w:val="006E45B4"/>
    <w:rsid w:val="006E79B1"/>
    <w:rsid w:val="00700247"/>
    <w:rsid w:val="00701051"/>
    <w:rsid w:val="00702C4D"/>
    <w:rsid w:val="00703498"/>
    <w:rsid w:val="00703870"/>
    <w:rsid w:val="00703914"/>
    <w:rsid w:val="0070575B"/>
    <w:rsid w:val="00710519"/>
    <w:rsid w:val="007133E4"/>
    <w:rsid w:val="00716774"/>
    <w:rsid w:val="00720E44"/>
    <w:rsid w:val="00724C18"/>
    <w:rsid w:val="00730287"/>
    <w:rsid w:val="00730944"/>
    <w:rsid w:val="0073312B"/>
    <w:rsid w:val="007337CF"/>
    <w:rsid w:val="00733BFB"/>
    <w:rsid w:val="007349E4"/>
    <w:rsid w:val="007441E1"/>
    <w:rsid w:val="00744D6F"/>
    <w:rsid w:val="0074726F"/>
    <w:rsid w:val="00752D4F"/>
    <w:rsid w:val="0075409F"/>
    <w:rsid w:val="00755986"/>
    <w:rsid w:val="00760B08"/>
    <w:rsid w:val="00762041"/>
    <w:rsid w:val="00766F4D"/>
    <w:rsid w:val="00774547"/>
    <w:rsid w:val="00787451"/>
    <w:rsid w:val="007879FF"/>
    <w:rsid w:val="00791EB4"/>
    <w:rsid w:val="007958B6"/>
    <w:rsid w:val="00797297"/>
    <w:rsid w:val="007A076C"/>
    <w:rsid w:val="007A7C2D"/>
    <w:rsid w:val="007B0819"/>
    <w:rsid w:val="007C2A25"/>
    <w:rsid w:val="007C49C0"/>
    <w:rsid w:val="007C7233"/>
    <w:rsid w:val="007D1FDA"/>
    <w:rsid w:val="007D2748"/>
    <w:rsid w:val="007D5EB6"/>
    <w:rsid w:val="007E2FBB"/>
    <w:rsid w:val="007E4BD2"/>
    <w:rsid w:val="007E7AA4"/>
    <w:rsid w:val="007E7F94"/>
    <w:rsid w:val="007F1F8F"/>
    <w:rsid w:val="007F32B7"/>
    <w:rsid w:val="007F365C"/>
    <w:rsid w:val="007F552E"/>
    <w:rsid w:val="007F621C"/>
    <w:rsid w:val="0080359C"/>
    <w:rsid w:val="008103B5"/>
    <w:rsid w:val="00812403"/>
    <w:rsid w:val="00812FD7"/>
    <w:rsid w:val="00816D84"/>
    <w:rsid w:val="00821747"/>
    <w:rsid w:val="00827439"/>
    <w:rsid w:val="00831077"/>
    <w:rsid w:val="0083497C"/>
    <w:rsid w:val="0084121D"/>
    <w:rsid w:val="00843D40"/>
    <w:rsid w:val="00850B68"/>
    <w:rsid w:val="00852C03"/>
    <w:rsid w:val="00853DFB"/>
    <w:rsid w:val="0085590C"/>
    <w:rsid w:val="0086016F"/>
    <w:rsid w:val="00862DEC"/>
    <w:rsid w:val="00880CC9"/>
    <w:rsid w:val="00883367"/>
    <w:rsid w:val="00884C47"/>
    <w:rsid w:val="0088759B"/>
    <w:rsid w:val="00891203"/>
    <w:rsid w:val="0089173C"/>
    <w:rsid w:val="008A2585"/>
    <w:rsid w:val="008A2BF9"/>
    <w:rsid w:val="008B39B9"/>
    <w:rsid w:val="008B3C73"/>
    <w:rsid w:val="008B4939"/>
    <w:rsid w:val="008B67DC"/>
    <w:rsid w:val="008B6E4F"/>
    <w:rsid w:val="008C2386"/>
    <w:rsid w:val="008C2A81"/>
    <w:rsid w:val="008C305B"/>
    <w:rsid w:val="008C4BDC"/>
    <w:rsid w:val="008E32FF"/>
    <w:rsid w:val="008E36C2"/>
    <w:rsid w:val="008E44BB"/>
    <w:rsid w:val="008E5C5B"/>
    <w:rsid w:val="008E6647"/>
    <w:rsid w:val="008F085A"/>
    <w:rsid w:val="008F1841"/>
    <w:rsid w:val="008F248D"/>
    <w:rsid w:val="008F4B2C"/>
    <w:rsid w:val="009021EE"/>
    <w:rsid w:val="00904008"/>
    <w:rsid w:val="00922711"/>
    <w:rsid w:val="00926274"/>
    <w:rsid w:val="009262E4"/>
    <w:rsid w:val="0092657A"/>
    <w:rsid w:val="009311D5"/>
    <w:rsid w:val="00931770"/>
    <w:rsid w:val="009371DC"/>
    <w:rsid w:val="00940239"/>
    <w:rsid w:val="00943888"/>
    <w:rsid w:val="009451EC"/>
    <w:rsid w:val="009503E5"/>
    <w:rsid w:val="00950F71"/>
    <w:rsid w:val="00952063"/>
    <w:rsid w:val="00953154"/>
    <w:rsid w:val="009560B3"/>
    <w:rsid w:val="0095745E"/>
    <w:rsid w:val="00960832"/>
    <w:rsid w:val="009624B6"/>
    <w:rsid w:val="00962CEF"/>
    <w:rsid w:val="009631DE"/>
    <w:rsid w:val="00967CE2"/>
    <w:rsid w:val="0097606C"/>
    <w:rsid w:val="00983EFA"/>
    <w:rsid w:val="00987FE9"/>
    <w:rsid w:val="0099097B"/>
    <w:rsid w:val="0099220C"/>
    <w:rsid w:val="00994621"/>
    <w:rsid w:val="009947FF"/>
    <w:rsid w:val="0099544B"/>
    <w:rsid w:val="00995564"/>
    <w:rsid w:val="009A597F"/>
    <w:rsid w:val="009B0AA2"/>
    <w:rsid w:val="009B45CF"/>
    <w:rsid w:val="009B5C1C"/>
    <w:rsid w:val="009B7E22"/>
    <w:rsid w:val="009B7F63"/>
    <w:rsid w:val="009C13BC"/>
    <w:rsid w:val="009C4D80"/>
    <w:rsid w:val="009D3221"/>
    <w:rsid w:val="009E4022"/>
    <w:rsid w:val="009E7DC3"/>
    <w:rsid w:val="009F7669"/>
    <w:rsid w:val="00A0083C"/>
    <w:rsid w:val="00A04171"/>
    <w:rsid w:val="00A04AAA"/>
    <w:rsid w:val="00A06340"/>
    <w:rsid w:val="00A1724D"/>
    <w:rsid w:val="00A173D4"/>
    <w:rsid w:val="00A243E4"/>
    <w:rsid w:val="00A24449"/>
    <w:rsid w:val="00A2683B"/>
    <w:rsid w:val="00A27263"/>
    <w:rsid w:val="00A33D24"/>
    <w:rsid w:val="00A3447E"/>
    <w:rsid w:val="00A3529D"/>
    <w:rsid w:val="00A35AAF"/>
    <w:rsid w:val="00A42C1C"/>
    <w:rsid w:val="00A4572B"/>
    <w:rsid w:val="00A46D5E"/>
    <w:rsid w:val="00A55BB1"/>
    <w:rsid w:val="00A564CD"/>
    <w:rsid w:val="00A61009"/>
    <w:rsid w:val="00A63C96"/>
    <w:rsid w:val="00A65805"/>
    <w:rsid w:val="00A75DD7"/>
    <w:rsid w:val="00A764B3"/>
    <w:rsid w:val="00A811F7"/>
    <w:rsid w:val="00A83F40"/>
    <w:rsid w:val="00A9136D"/>
    <w:rsid w:val="00A958CA"/>
    <w:rsid w:val="00AA003B"/>
    <w:rsid w:val="00AA1525"/>
    <w:rsid w:val="00AA1C1E"/>
    <w:rsid w:val="00AA6711"/>
    <w:rsid w:val="00AB143E"/>
    <w:rsid w:val="00AB1E3C"/>
    <w:rsid w:val="00AB289E"/>
    <w:rsid w:val="00AB3701"/>
    <w:rsid w:val="00AB5E64"/>
    <w:rsid w:val="00AB6B5E"/>
    <w:rsid w:val="00AC047F"/>
    <w:rsid w:val="00AC4FF8"/>
    <w:rsid w:val="00AC50C8"/>
    <w:rsid w:val="00AC704C"/>
    <w:rsid w:val="00AD0CB4"/>
    <w:rsid w:val="00AD1C65"/>
    <w:rsid w:val="00AD25B9"/>
    <w:rsid w:val="00AD506C"/>
    <w:rsid w:val="00AD63C1"/>
    <w:rsid w:val="00AE1393"/>
    <w:rsid w:val="00AE2FCF"/>
    <w:rsid w:val="00AE3BC6"/>
    <w:rsid w:val="00AE3C8C"/>
    <w:rsid w:val="00AE4202"/>
    <w:rsid w:val="00AF0021"/>
    <w:rsid w:val="00AF05A4"/>
    <w:rsid w:val="00B0277B"/>
    <w:rsid w:val="00B03556"/>
    <w:rsid w:val="00B05D1B"/>
    <w:rsid w:val="00B12945"/>
    <w:rsid w:val="00B12C1E"/>
    <w:rsid w:val="00B17DC8"/>
    <w:rsid w:val="00B20A2E"/>
    <w:rsid w:val="00B21ADC"/>
    <w:rsid w:val="00B2659C"/>
    <w:rsid w:val="00B26BD2"/>
    <w:rsid w:val="00B26FD7"/>
    <w:rsid w:val="00B270AB"/>
    <w:rsid w:val="00B30BA6"/>
    <w:rsid w:val="00B33203"/>
    <w:rsid w:val="00B33657"/>
    <w:rsid w:val="00B409E7"/>
    <w:rsid w:val="00B4401C"/>
    <w:rsid w:val="00B44802"/>
    <w:rsid w:val="00B52499"/>
    <w:rsid w:val="00B525C0"/>
    <w:rsid w:val="00B54BD9"/>
    <w:rsid w:val="00B56404"/>
    <w:rsid w:val="00B619E4"/>
    <w:rsid w:val="00B61D0B"/>
    <w:rsid w:val="00B64066"/>
    <w:rsid w:val="00B6443B"/>
    <w:rsid w:val="00B66229"/>
    <w:rsid w:val="00B71FE6"/>
    <w:rsid w:val="00B72341"/>
    <w:rsid w:val="00B73492"/>
    <w:rsid w:val="00B74977"/>
    <w:rsid w:val="00B8172C"/>
    <w:rsid w:val="00B82900"/>
    <w:rsid w:val="00B84307"/>
    <w:rsid w:val="00B8569D"/>
    <w:rsid w:val="00B91B86"/>
    <w:rsid w:val="00B927BB"/>
    <w:rsid w:val="00B93AE1"/>
    <w:rsid w:val="00B944C3"/>
    <w:rsid w:val="00B954B3"/>
    <w:rsid w:val="00B97FEF"/>
    <w:rsid w:val="00BA5828"/>
    <w:rsid w:val="00BA754A"/>
    <w:rsid w:val="00BC145D"/>
    <w:rsid w:val="00BC538B"/>
    <w:rsid w:val="00BD4A5F"/>
    <w:rsid w:val="00BE5C80"/>
    <w:rsid w:val="00BE77D3"/>
    <w:rsid w:val="00BF0138"/>
    <w:rsid w:val="00BF1B62"/>
    <w:rsid w:val="00BF2272"/>
    <w:rsid w:val="00BF4B8D"/>
    <w:rsid w:val="00BF71BB"/>
    <w:rsid w:val="00BF77E9"/>
    <w:rsid w:val="00C00012"/>
    <w:rsid w:val="00C00D2E"/>
    <w:rsid w:val="00C00E2A"/>
    <w:rsid w:val="00C0488B"/>
    <w:rsid w:val="00C05105"/>
    <w:rsid w:val="00C059E8"/>
    <w:rsid w:val="00C06DE3"/>
    <w:rsid w:val="00C078B6"/>
    <w:rsid w:val="00C11905"/>
    <w:rsid w:val="00C126E3"/>
    <w:rsid w:val="00C13ED7"/>
    <w:rsid w:val="00C2094B"/>
    <w:rsid w:val="00C274F3"/>
    <w:rsid w:val="00C27B53"/>
    <w:rsid w:val="00C316F7"/>
    <w:rsid w:val="00C31DF0"/>
    <w:rsid w:val="00C322A5"/>
    <w:rsid w:val="00C33BCF"/>
    <w:rsid w:val="00C371A5"/>
    <w:rsid w:val="00C413FC"/>
    <w:rsid w:val="00C44AA1"/>
    <w:rsid w:val="00C46630"/>
    <w:rsid w:val="00C51793"/>
    <w:rsid w:val="00C56438"/>
    <w:rsid w:val="00C6009F"/>
    <w:rsid w:val="00C60417"/>
    <w:rsid w:val="00C6046F"/>
    <w:rsid w:val="00C61090"/>
    <w:rsid w:val="00C638C2"/>
    <w:rsid w:val="00C672B0"/>
    <w:rsid w:val="00C6747B"/>
    <w:rsid w:val="00C7001A"/>
    <w:rsid w:val="00C72A6A"/>
    <w:rsid w:val="00C80717"/>
    <w:rsid w:val="00C85E52"/>
    <w:rsid w:val="00C86F96"/>
    <w:rsid w:val="00C909C6"/>
    <w:rsid w:val="00C90C1A"/>
    <w:rsid w:val="00C94D4C"/>
    <w:rsid w:val="00CA012C"/>
    <w:rsid w:val="00CA57AA"/>
    <w:rsid w:val="00CB23D8"/>
    <w:rsid w:val="00CB4320"/>
    <w:rsid w:val="00CB49A6"/>
    <w:rsid w:val="00CB56B4"/>
    <w:rsid w:val="00CC1EA8"/>
    <w:rsid w:val="00CD2F06"/>
    <w:rsid w:val="00CD4EB0"/>
    <w:rsid w:val="00CD5CD7"/>
    <w:rsid w:val="00CE0F1D"/>
    <w:rsid w:val="00CE45D0"/>
    <w:rsid w:val="00CE6FC6"/>
    <w:rsid w:val="00CE72D1"/>
    <w:rsid w:val="00CE753F"/>
    <w:rsid w:val="00CF454A"/>
    <w:rsid w:val="00CF757F"/>
    <w:rsid w:val="00D02C59"/>
    <w:rsid w:val="00D14AC5"/>
    <w:rsid w:val="00D2060B"/>
    <w:rsid w:val="00D3175A"/>
    <w:rsid w:val="00D323E4"/>
    <w:rsid w:val="00D343FF"/>
    <w:rsid w:val="00D405C9"/>
    <w:rsid w:val="00D42823"/>
    <w:rsid w:val="00D44A92"/>
    <w:rsid w:val="00D46534"/>
    <w:rsid w:val="00D47B3F"/>
    <w:rsid w:val="00D5092C"/>
    <w:rsid w:val="00D56534"/>
    <w:rsid w:val="00D578E5"/>
    <w:rsid w:val="00D6006D"/>
    <w:rsid w:val="00D61216"/>
    <w:rsid w:val="00D6283A"/>
    <w:rsid w:val="00D75603"/>
    <w:rsid w:val="00D76BF4"/>
    <w:rsid w:val="00D84C63"/>
    <w:rsid w:val="00D8550E"/>
    <w:rsid w:val="00D91010"/>
    <w:rsid w:val="00D92408"/>
    <w:rsid w:val="00DA0F9E"/>
    <w:rsid w:val="00DA2DD8"/>
    <w:rsid w:val="00DA39AD"/>
    <w:rsid w:val="00DA6917"/>
    <w:rsid w:val="00DA6926"/>
    <w:rsid w:val="00DB46C3"/>
    <w:rsid w:val="00DB5742"/>
    <w:rsid w:val="00DB6452"/>
    <w:rsid w:val="00DC45E8"/>
    <w:rsid w:val="00DC7AF1"/>
    <w:rsid w:val="00DD3026"/>
    <w:rsid w:val="00DD439C"/>
    <w:rsid w:val="00DD7C24"/>
    <w:rsid w:val="00DE11D0"/>
    <w:rsid w:val="00DE19A2"/>
    <w:rsid w:val="00DE52D7"/>
    <w:rsid w:val="00DF1465"/>
    <w:rsid w:val="00DF2C01"/>
    <w:rsid w:val="00E00180"/>
    <w:rsid w:val="00E04A24"/>
    <w:rsid w:val="00E04B11"/>
    <w:rsid w:val="00E05502"/>
    <w:rsid w:val="00E1166E"/>
    <w:rsid w:val="00E1299C"/>
    <w:rsid w:val="00E12B38"/>
    <w:rsid w:val="00E14E87"/>
    <w:rsid w:val="00E16FB5"/>
    <w:rsid w:val="00E22CFF"/>
    <w:rsid w:val="00E23A85"/>
    <w:rsid w:val="00E2585D"/>
    <w:rsid w:val="00E26456"/>
    <w:rsid w:val="00E3029F"/>
    <w:rsid w:val="00E37376"/>
    <w:rsid w:val="00E37494"/>
    <w:rsid w:val="00E41F32"/>
    <w:rsid w:val="00E4440F"/>
    <w:rsid w:val="00E44B80"/>
    <w:rsid w:val="00E526DF"/>
    <w:rsid w:val="00E54EE6"/>
    <w:rsid w:val="00E56C2C"/>
    <w:rsid w:val="00E57F8E"/>
    <w:rsid w:val="00E57FD0"/>
    <w:rsid w:val="00E65486"/>
    <w:rsid w:val="00E65736"/>
    <w:rsid w:val="00E67424"/>
    <w:rsid w:val="00E715CF"/>
    <w:rsid w:val="00E72CC6"/>
    <w:rsid w:val="00E73A4D"/>
    <w:rsid w:val="00E74D66"/>
    <w:rsid w:val="00E76BEF"/>
    <w:rsid w:val="00E77FF6"/>
    <w:rsid w:val="00E858F1"/>
    <w:rsid w:val="00E92A82"/>
    <w:rsid w:val="00E9686E"/>
    <w:rsid w:val="00EA049F"/>
    <w:rsid w:val="00EA0C0C"/>
    <w:rsid w:val="00EA13E4"/>
    <w:rsid w:val="00EA332B"/>
    <w:rsid w:val="00EA6FD0"/>
    <w:rsid w:val="00EA737B"/>
    <w:rsid w:val="00EB6A2D"/>
    <w:rsid w:val="00EC4EF3"/>
    <w:rsid w:val="00EC53B8"/>
    <w:rsid w:val="00ED0DB2"/>
    <w:rsid w:val="00ED19D7"/>
    <w:rsid w:val="00ED1FB0"/>
    <w:rsid w:val="00ED251C"/>
    <w:rsid w:val="00ED6BA4"/>
    <w:rsid w:val="00EE0DFC"/>
    <w:rsid w:val="00EE0FE2"/>
    <w:rsid w:val="00EE76F2"/>
    <w:rsid w:val="00EF0484"/>
    <w:rsid w:val="00EF0D7C"/>
    <w:rsid w:val="00EF3465"/>
    <w:rsid w:val="00EF40E2"/>
    <w:rsid w:val="00F0437F"/>
    <w:rsid w:val="00F04BCD"/>
    <w:rsid w:val="00F06211"/>
    <w:rsid w:val="00F112EA"/>
    <w:rsid w:val="00F16D2D"/>
    <w:rsid w:val="00F2081B"/>
    <w:rsid w:val="00F218AE"/>
    <w:rsid w:val="00F22692"/>
    <w:rsid w:val="00F244E9"/>
    <w:rsid w:val="00F27685"/>
    <w:rsid w:val="00F3002B"/>
    <w:rsid w:val="00F30BC9"/>
    <w:rsid w:val="00F32FF7"/>
    <w:rsid w:val="00F3546D"/>
    <w:rsid w:val="00F35F63"/>
    <w:rsid w:val="00F40CE0"/>
    <w:rsid w:val="00F43B14"/>
    <w:rsid w:val="00F45092"/>
    <w:rsid w:val="00F458EF"/>
    <w:rsid w:val="00F53755"/>
    <w:rsid w:val="00F5475B"/>
    <w:rsid w:val="00F55A3E"/>
    <w:rsid w:val="00F64A0B"/>
    <w:rsid w:val="00F7117C"/>
    <w:rsid w:val="00F81B90"/>
    <w:rsid w:val="00F84D4C"/>
    <w:rsid w:val="00F9260D"/>
    <w:rsid w:val="00F92727"/>
    <w:rsid w:val="00F94258"/>
    <w:rsid w:val="00F95EAF"/>
    <w:rsid w:val="00F977F3"/>
    <w:rsid w:val="00FA0173"/>
    <w:rsid w:val="00FA6132"/>
    <w:rsid w:val="00FA7393"/>
    <w:rsid w:val="00FB08C2"/>
    <w:rsid w:val="00FC3742"/>
    <w:rsid w:val="00FC40BC"/>
    <w:rsid w:val="00FC506C"/>
    <w:rsid w:val="00FD0A1C"/>
    <w:rsid w:val="00FD13EA"/>
    <w:rsid w:val="00FD4CA2"/>
    <w:rsid w:val="00FD5EC4"/>
    <w:rsid w:val="00FD6107"/>
    <w:rsid w:val="00FE1CE5"/>
    <w:rsid w:val="00FF13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2d4491,#283583"/>
    </o:shapedefaults>
    <o:shapelayout v:ext="edit">
      <o:idmap v:ext="edit" data="1"/>
    </o:shapelayout>
  </w:shapeDefaults>
  <w:decimalSymbol w:val="."/>
  <w:listSeparator w:val=","/>
  <w14:docId w14:val="762FD7F1"/>
  <w15:docId w15:val="{E876613B-E478-432E-9C69-6BBDF3386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1725A5"/>
    <w:rPr>
      <w:rFonts w:ascii="Georgia" w:hAnsi="Georgia"/>
      <w:sz w:val="22"/>
      <w:szCs w:val="24"/>
      <w:lang w:eastAsia="de-DE"/>
    </w:rPr>
  </w:style>
  <w:style w:type="paragraph" w:styleId="Heading1">
    <w:name w:val="heading 1"/>
    <w:basedOn w:val="Normal"/>
    <w:next w:val="Normal"/>
    <w:qFormat/>
    <w:rsid w:val="005B64CB"/>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2A46E8"/>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3609B6"/>
    <w:pPr>
      <w:keepNext/>
      <w:numPr>
        <w:ilvl w:val="2"/>
        <w:numId w:val="13"/>
      </w:numPr>
      <w:spacing w:before="240" w:after="60"/>
      <w:outlineLvl w:val="2"/>
    </w:pPr>
    <w:rPr>
      <w:rFonts w:ascii="Arial" w:hAnsi="Arial" w:cs="Arial"/>
      <w:b/>
      <w:bCs/>
      <w:sz w:val="26"/>
      <w:szCs w:val="26"/>
    </w:rPr>
  </w:style>
  <w:style w:type="paragraph" w:styleId="Heading4">
    <w:name w:val="heading 4"/>
    <w:basedOn w:val="Normal"/>
    <w:next w:val="Normal"/>
    <w:qFormat/>
    <w:rsid w:val="003609B6"/>
    <w:pPr>
      <w:keepNext/>
      <w:numPr>
        <w:ilvl w:val="3"/>
        <w:numId w:val="13"/>
      </w:numPr>
      <w:spacing w:before="240" w:after="60"/>
      <w:outlineLvl w:val="3"/>
    </w:pPr>
    <w:rPr>
      <w:rFonts w:ascii="Times New Roman" w:hAnsi="Times New Roman"/>
      <w:b/>
      <w:bCs/>
      <w:sz w:val="28"/>
      <w:szCs w:val="28"/>
    </w:rPr>
  </w:style>
  <w:style w:type="paragraph" w:styleId="Heading5">
    <w:name w:val="heading 5"/>
    <w:basedOn w:val="Normal"/>
    <w:next w:val="Normal"/>
    <w:qFormat/>
    <w:rsid w:val="003609B6"/>
    <w:pPr>
      <w:numPr>
        <w:ilvl w:val="4"/>
        <w:numId w:val="13"/>
      </w:numPr>
      <w:spacing w:before="240" w:after="60"/>
      <w:outlineLvl w:val="4"/>
    </w:pPr>
    <w:rPr>
      <w:b/>
      <w:bCs/>
      <w:i/>
      <w:iCs/>
      <w:sz w:val="26"/>
      <w:szCs w:val="26"/>
    </w:rPr>
  </w:style>
  <w:style w:type="paragraph" w:styleId="Heading6">
    <w:name w:val="heading 6"/>
    <w:basedOn w:val="Normal"/>
    <w:next w:val="Normal"/>
    <w:qFormat/>
    <w:rsid w:val="003609B6"/>
    <w:pPr>
      <w:numPr>
        <w:ilvl w:val="5"/>
        <w:numId w:val="13"/>
      </w:numPr>
      <w:spacing w:before="240" w:after="60"/>
      <w:outlineLvl w:val="5"/>
    </w:pPr>
    <w:rPr>
      <w:rFonts w:ascii="Times New Roman" w:hAnsi="Times New Roman"/>
      <w:b/>
      <w:bCs/>
      <w:szCs w:val="22"/>
    </w:rPr>
  </w:style>
  <w:style w:type="paragraph" w:styleId="Heading7">
    <w:name w:val="heading 7"/>
    <w:basedOn w:val="Normal"/>
    <w:next w:val="Normal"/>
    <w:qFormat/>
    <w:rsid w:val="003609B6"/>
    <w:pPr>
      <w:numPr>
        <w:ilvl w:val="6"/>
        <w:numId w:val="13"/>
      </w:numPr>
      <w:spacing w:before="240" w:after="60"/>
      <w:outlineLvl w:val="6"/>
    </w:pPr>
    <w:rPr>
      <w:rFonts w:ascii="Times New Roman" w:hAnsi="Times New Roman"/>
    </w:rPr>
  </w:style>
  <w:style w:type="paragraph" w:styleId="Heading8">
    <w:name w:val="heading 8"/>
    <w:basedOn w:val="Normal"/>
    <w:next w:val="Normal"/>
    <w:qFormat/>
    <w:rsid w:val="003609B6"/>
    <w:pPr>
      <w:numPr>
        <w:ilvl w:val="7"/>
        <w:numId w:val="13"/>
      </w:numPr>
      <w:spacing w:before="240" w:after="60"/>
      <w:outlineLvl w:val="7"/>
    </w:pPr>
    <w:rPr>
      <w:rFonts w:ascii="Times New Roman" w:hAnsi="Times New Roman"/>
      <w:i/>
      <w:iCs/>
    </w:rPr>
  </w:style>
  <w:style w:type="paragraph" w:styleId="Heading9">
    <w:name w:val="heading 9"/>
    <w:basedOn w:val="Normal"/>
    <w:next w:val="Normal"/>
    <w:qFormat/>
    <w:rsid w:val="003609B6"/>
    <w:pPr>
      <w:numPr>
        <w:ilvl w:val="8"/>
        <w:numId w:val="13"/>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5B64CB"/>
    <w:pPr>
      <w:tabs>
        <w:tab w:val="center" w:pos="4536"/>
        <w:tab w:val="right" w:pos="9072"/>
      </w:tabs>
    </w:pPr>
  </w:style>
  <w:style w:type="paragraph" w:styleId="Footer">
    <w:name w:val="footer"/>
    <w:basedOn w:val="Normal"/>
    <w:semiHidden/>
    <w:rsid w:val="005B64CB"/>
    <w:pPr>
      <w:tabs>
        <w:tab w:val="center" w:pos="4536"/>
        <w:tab w:val="right" w:pos="9072"/>
      </w:tabs>
    </w:pPr>
  </w:style>
  <w:style w:type="table" w:styleId="TableGrid">
    <w:name w:val="Table Grid"/>
    <w:basedOn w:val="TableNormal"/>
    <w:semiHidden/>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AE3C8C"/>
    <w:pPr>
      <w:spacing w:line="340" w:lineRule="exact"/>
    </w:pPr>
    <w:rPr>
      <w:b/>
      <w:color w:val="2D419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rPr>
      <w:sz w:val="20"/>
    </w:r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13"/>
      </w:numPr>
      <w:tabs>
        <w:tab w:val="clear" w:pos="567"/>
        <w:tab w:val="left" w:pos="284"/>
        <w:tab w:val="left" w:pos="397"/>
      </w:tabs>
      <w:spacing w:after="280" w:line="280" w:lineRule="exact"/>
      <w:ind w:left="284" w:hanging="284"/>
    </w:pPr>
    <w:rPr>
      <w:sz w:val="20"/>
    </w:rPr>
  </w:style>
  <w:style w:type="paragraph" w:customStyle="1" w:styleId="04aNumbering">
    <w:name w:val="04a_Numbering"/>
    <w:basedOn w:val="04BodyText"/>
    <w:rsid w:val="00D75603"/>
    <w:pPr>
      <w:numPr>
        <w:numId w:val="3"/>
      </w:numPr>
      <w:tabs>
        <w:tab w:val="clear" w:pos="284"/>
        <w:tab w:val="num" w:pos="567"/>
      </w:tabs>
      <w:ind w:left="567" w:hanging="454"/>
    </w:pPr>
  </w:style>
  <w:style w:type="character" w:styleId="PageNumber">
    <w:name w:val="page number"/>
    <w:basedOn w:val="DefaultParagraphFont"/>
    <w:semiHidden/>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semiHidden/>
    <w:rsid w:val="006476F7"/>
    <w:pPr>
      <w:tabs>
        <w:tab w:val="left" w:pos="510"/>
        <w:tab w:val="right" w:leader="underscore" w:pos="9412"/>
      </w:tabs>
      <w:spacing w:line="250" w:lineRule="exact"/>
    </w:pPr>
    <w:rPr>
      <w:sz w:val="20"/>
    </w:rPr>
  </w:style>
  <w:style w:type="paragraph" w:customStyle="1" w:styleId="04fBodytextblue">
    <w:name w:val="04f_Body text blue"/>
    <w:basedOn w:val="04BodyText"/>
    <w:rsid w:val="0022428A"/>
    <w:pPr>
      <w:pBdr>
        <w:top w:val="single" w:sz="4" w:space="10" w:color="283583"/>
        <w:bottom w:val="single" w:sz="4" w:space="12" w:color="283583"/>
      </w:pBdr>
    </w:pPr>
    <w:rPr>
      <w:color w:val="2D4190"/>
    </w:rPr>
  </w:style>
  <w:style w:type="character" w:styleId="Hyperlink">
    <w:name w:val="Hyperlink"/>
    <w:rsid w:val="00EA332B"/>
    <w:rPr>
      <w:color w:val="0000FF"/>
      <w:u w:val="single"/>
    </w:rPr>
  </w:style>
  <w:style w:type="paragraph" w:customStyle="1" w:styleId="04bList">
    <w:name w:val="04b_List"/>
    <w:basedOn w:val="04BodyText"/>
    <w:rsid w:val="00D75603"/>
    <w:pPr>
      <w:numPr>
        <w:numId w:val="7"/>
      </w:numPr>
      <w:ind w:left="567" w:hanging="340"/>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13"/>
      </w:numPr>
      <w:tabs>
        <w:tab w:val="left" w:pos="397"/>
        <w:tab w:val="left" w:pos="567"/>
      </w:tabs>
      <w:spacing w:after="250" w:line="250" w:lineRule="exact"/>
      <w:ind w:left="397" w:hanging="397"/>
    </w:pPr>
    <w:rPr>
      <w:rFonts w:ascii="Georgia" w:hAnsi="Georgia" w:cs="Arial"/>
      <w:bCs/>
      <w:iCs/>
      <w:lang w:eastAsia="de-DE"/>
    </w:rPr>
  </w:style>
  <w:style w:type="paragraph" w:styleId="FootnoteText">
    <w:name w:val="footnote text"/>
    <w:basedOn w:val="Normal"/>
    <w:link w:val="FootnoteTextChar"/>
    <w:rsid w:val="001725A5"/>
    <w:pPr>
      <w:spacing w:line="200" w:lineRule="exact"/>
    </w:pPr>
    <w:rPr>
      <w:sz w:val="16"/>
      <w:szCs w:val="20"/>
    </w:rPr>
  </w:style>
  <w:style w:type="character" w:styleId="FootnoteReference">
    <w:name w:val="footnote reference"/>
    <w:rsid w:val="00C274F3"/>
    <w:rPr>
      <w:vertAlign w:val="superscript"/>
    </w:rPr>
  </w:style>
  <w:style w:type="paragraph" w:styleId="TOC2">
    <w:name w:val="toc 2"/>
    <w:basedOn w:val="Normal"/>
    <w:next w:val="Normal"/>
    <w:autoRedefine/>
    <w:semiHidden/>
    <w:rsid w:val="002A46E8"/>
    <w:pPr>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link w:val="04dBodyTextboldChar"/>
    <w:rsid w:val="00C13ED7"/>
    <w:pPr>
      <w:tabs>
        <w:tab w:val="left" w:pos="414"/>
      </w:tabs>
    </w:pPr>
    <w:rPr>
      <w:b/>
    </w:rPr>
  </w:style>
  <w:style w:type="paragraph" w:customStyle="1" w:styleId="06InfoTitle">
    <w:name w:val="06_Info_Title"/>
    <w:basedOn w:val="Normal"/>
    <w:link w:val="06InfoTitleZchn"/>
    <w:rsid w:val="00AE3C8C"/>
    <w:pPr>
      <w:spacing w:after="40"/>
      <w:jc w:val="both"/>
    </w:pPr>
    <w:rPr>
      <w:b/>
      <w:color w:val="2D4190"/>
      <w:sz w:val="24"/>
    </w:rPr>
  </w:style>
  <w:style w:type="character" w:customStyle="1" w:styleId="06InfoTitleZchn">
    <w:name w:val="06_Info_Title Zchn"/>
    <w:link w:val="06InfoTitle"/>
    <w:rsid w:val="00AE3C8C"/>
    <w:rPr>
      <w:rFonts w:ascii="Georgia" w:hAnsi="Georgia"/>
      <w:b/>
      <w:color w:val="2D4190"/>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color w:val="2D4190"/>
      <w:sz w:val="16"/>
      <w:szCs w:val="24"/>
      <w:lang w:val="en-GB" w:eastAsia="de-DE" w:bidi="ar-SA"/>
    </w:rPr>
  </w:style>
  <w:style w:type="character" w:customStyle="1" w:styleId="04BodyTextChar">
    <w:name w:val="04_Body Text Char"/>
    <w:link w:val="04BodyText"/>
    <w:rsid w:val="0022428A"/>
    <w:rPr>
      <w:rFonts w:ascii="Georgia" w:hAnsi="Georgia"/>
      <w:szCs w:val="24"/>
      <w:lang w:val="en-GB" w:eastAsia="de-DE" w:bidi="ar-SA"/>
    </w:rPr>
  </w:style>
  <w:style w:type="character" w:customStyle="1" w:styleId="04dBodyTextboldChar">
    <w:name w:val="04d_Body Text bold Char"/>
    <w:link w:val="04dBodyTextbold"/>
    <w:rsid w:val="0022428A"/>
    <w:rPr>
      <w:rFonts w:ascii="Georgia" w:hAnsi="Georgia"/>
      <w:b/>
      <w:szCs w:val="24"/>
      <w:lang w:val="en-GB" w:eastAsia="de-DE" w:bidi="ar-SA"/>
    </w:rPr>
  </w:style>
  <w:style w:type="paragraph" w:customStyle="1" w:styleId="04cA">
    <w:name w:val="04c_A"/>
    <w:aliases w:val="B,C"/>
    <w:rsid w:val="00255707"/>
    <w:pPr>
      <w:numPr>
        <w:numId w:val="22"/>
      </w:numPr>
      <w:spacing w:line="276" w:lineRule="auto"/>
    </w:pPr>
    <w:rPr>
      <w:rFonts w:ascii="Georgia" w:hAnsi="Georgia"/>
      <w:szCs w:val="24"/>
      <w:lang w:eastAsia="de-DE"/>
    </w:rPr>
  </w:style>
  <w:style w:type="paragraph" w:customStyle="1" w:styleId="05Subject">
    <w:name w:val="05_Subject"/>
    <w:basedOn w:val="Normal"/>
    <w:link w:val="05SubjectChar"/>
    <w:rsid w:val="005574A2"/>
    <w:pPr>
      <w:jc w:val="both"/>
    </w:pPr>
    <w:rPr>
      <w:b/>
      <w:color w:val="2D4190"/>
      <w:sz w:val="28"/>
    </w:rPr>
  </w:style>
  <w:style w:type="character" w:customStyle="1" w:styleId="05SubjectChar">
    <w:name w:val="05_Subject Char"/>
    <w:link w:val="05Subject"/>
    <w:rsid w:val="005574A2"/>
    <w:rPr>
      <w:rFonts w:ascii="Georgia" w:hAnsi="Georgia"/>
      <w:b/>
      <w:color w:val="2D4190"/>
      <w:sz w:val="28"/>
      <w:szCs w:val="24"/>
      <w:lang w:val="en-GB" w:eastAsia="de-DE"/>
    </w:rPr>
  </w:style>
  <w:style w:type="paragraph" w:customStyle="1" w:styleId="05aHeadline10pt">
    <w:name w:val="05a_Headline 10pt"/>
    <w:basedOn w:val="Normal"/>
    <w:rsid w:val="005574A2"/>
    <w:pPr>
      <w:spacing w:after="250" w:line="300" w:lineRule="exact"/>
      <w:jc w:val="both"/>
    </w:pPr>
    <w:rPr>
      <w:b/>
      <w:sz w:val="20"/>
    </w:rPr>
  </w:style>
  <w:style w:type="paragraph" w:customStyle="1" w:styleId="04cBodytextleft">
    <w:name w:val="04c_Body text left"/>
    <w:basedOn w:val="Normal"/>
    <w:rsid w:val="005574A2"/>
    <w:pPr>
      <w:spacing w:line="276" w:lineRule="auto"/>
    </w:pPr>
    <w:rPr>
      <w:sz w:val="20"/>
    </w:rPr>
  </w:style>
  <w:style w:type="paragraph" w:customStyle="1" w:styleId="Default">
    <w:name w:val="Default"/>
    <w:rsid w:val="005574A2"/>
    <w:pPr>
      <w:autoSpaceDE w:val="0"/>
      <w:autoSpaceDN w:val="0"/>
      <w:adjustRightInd w:val="0"/>
    </w:pPr>
    <w:rPr>
      <w:rFonts w:ascii="Footlight MT Light" w:hAnsi="Footlight MT Light" w:cs="Footlight MT Light"/>
      <w:color w:val="000000"/>
      <w:sz w:val="24"/>
      <w:szCs w:val="24"/>
      <w:lang w:val="en-US" w:eastAsia="en-US"/>
    </w:rPr>
  </w:style>
  <w:style w:type="paragraph" w:styleId="ListParagraph">
    <w:name w:val="List Paragraph"/>
    <w:aliases w:val="Paragraphe EI,Paragraphe de liste1,EC,Paragraphe de liste"/>
    <w:basedOn w:val="Normal"/>
    <w:link w:val="ListParagraphChar"/>
    <w:uiPriority w:val="34"/>
    <w:qFormat/>
    <w:rsid w:val="004B32E7"/>
    <w:pPr>
      <w:ind w:left="720"/>
      <w:contextualSpacing/>
    </w:pPr>
    <w:rPr>
      <w:rFonts w:ascii="Calibri" w:eastAsiaTheme="minorHAnsi" w:hAnsi="Calibri"/>
      <w:szCs w:val="22"/>
      <w:lang w:eastAsia="en-US"/>
    </w:rPr>
  </w:style>
  <w:style w:type="character" w:styleId="CommentReference">
    <w:name w:val="annotation reference"/>
    <w:basedOn w:val="DefaultParagraphFont"/>
    <w:uiPriority w:val="99"/>
    <w:unhideWhenUsed/>
    <w:rsid w:val="004B32E7"/>
  </w:style>
  <w:style w:type="paragraph" w:styleId="BalloonText">
    <w:name w:val="Balloon Text"/>
    <w:basedOn w:val="Normal"/>
    <w:link w:val="BalloonTextChar"/>
    <w:rsid w:val="00D14AC5"/>
    <w:rPr>
      <w:rFonts w:ascii="Tahoma" w:hAnsi="Tahoma" w:cs="Tahoma"/>
      <w:sz w:val="16"/>
      <w:szCs w:val="16"/>
    </w:rPr>
  </w:style>
  <w:style w:type="character" w:customStyle="1" w:styleId="BalloonTextChar">
    <w:name w:val="Balloon Text Char"/>
    <w:basedOn w:val="DefaultParagraphFont"/>
    <w:link w:val="BalloonText"/>
    <w:rsid w:val="00D14AC5"/>
    <w:rPr>
      <w:rFonts w:ascii="Tahoma" w:hAnsi="Tahoma" w:cs="Tahoma"/>
      <w:sz w:val="16"/>
      <w:szCs w:val="16"/>
      <w:lang w:eastAsia="de-DE"/>
    </w:rPr>
  </w:style>
  <w:style w:type="paragraph" w:styleId="CommentText">
    <w:name w:val="annotation text"/>
    <w:basedOn w:val="Normal"/>
    <w:link w:val="CommentTextChar"/>
    <w:uiPriority w:val="99"/>
    <w:rsid w:val="00302C8C"/>
    <w:rPr>
      <w:sz w:val="20"/>
      <w:szCs w:val="20"/>
    </w:rPr>
  </w:style>
  <w:style w:type="character" w:customStyle="1" w:styleId="CommentTextChar">
    <w:name w:val="Comment Text Char"/>
    <w:basedOn w:val="DefaultParagraphFont"/>
    <w:link w:val="CommentText"/>
    <w:uiPriority w:val="99"/>
    <w:rsid w:val="00302C8C"/>
    <w:rPr>
      <w:rFonts w:ascii="Georgia" w:hAnsi="Georgia"/>
      <w:lang w:eastAsia="de-DE"/>
    </w:rPr>
  </w:style>
  <w:style w:type="paragraph" w:styleId="CommentSubject">
    <w:name w:val="annotation subject"/>
    <w:basedOn w:val="CommentText"/>
    <w:next w:val="CommentText"/>
    <w:link w:val="CommentSubjectChar"/>
    <w:rsid w:val="00302C8C"/>
    <w:rPr>
      <w:b/>
      <w:bCs/>
    </w:rPr>
  </w:style>
  <w:style w:type="character" w:customStyle="1" w:styleId="CommentSubjectChar">
    <w:name w:val="Comment Subject Char"/>
    <w:basedOn w:val="CommentTextChar"/>
    <w:link w:val="CommentSubject"/>
    <w:rsid w:val="00302C8C"/>
    <w:rPr>
      <w:rFonts w:ascii="Georgia" w:hAnsi="Georgia"/>
      <w:b/>
      <w:bCs/>
      <w:lang w:eastAsia="de-DE"/>
    </w:rPr>
  </w:style>
  <w:style w:type="paragraph" w:customStyle="1" w:styleId="05aHeadline2">
    <w:name w:val="05a_Headline 2"/>
    <w:basedOn w:val="Normal"/>
    <w:next w:val="04BodyText"/>
    <w:rsid w:val="00A764B3"/>
    <w:pPr>
      <w:keepNext/>
      <w:tabs>
        <w:tab w:val="left" w:pos="397"/>
        <w:tab w:val="num" w:pos="567"/>
      </w:tabs>
      <w:spacing w:after="280" w:line="280" w:lineRule="exact"/>
      <w:ind w:left="567" w:hanging="567"/>
      <w:jc w:val="both"/>
    </w:pPr>
    <w:rPr>
      <w:b/>
      <w:sz w:val="20"/>
    </w:rPr>
  </w:style>
  <w:style w:type="character" w:customStyle="1" w:styleId="FootnoteTextChar">
    <w:name w:val="Footnote Text Char"/>
    <w:basedOn w:val="DefaultParagraphFont"/>
    <w:link w:val="FootnoteText"/>
    <w:rsid w:val="003423A4"/>
    <w:rPr>
      <w:rFonts w:ascii="Georgia" w:hAnsi="Georgia"/>
      <w:sz w:val="16"/>
      <w:lang w:eastAsia="de-DE"/>
    </w:rPr>
  </w:style>
  <w:style w:type="paragraph" w:customStyle="1" w:styleId="06Headline2blue">
    <w:name w:val="06_Headline 2 blue"/>
    <w:basedOn w:val="05aHeadline2"/>
    <w:next w:val="Normal"/>
    <w:rsid w:val="00324FF8"/>
    <w:pPr>
      <w:pBdr>
        <w:top w:val="single" w:sz="4" w:space="10" w:color="283583"/>
      </w:pBdr>
      <w:tabs>
        <w:tab w:val="clear" w:pos="567"/>
        <w:tab w:val="num" w:pos="284"/>
      </w:tabs>
      <w:ind w:left="284" w:hanging="284"/>
    </w:pPr>
    <w:rPr>
      <w:color w:val="2D4190"/>
    </w:rPr>
  </w:style>
  <w:style w:type="paragraph" w:customStyle="1" w:styleId="04Bodytext0">
    <w:name w:val="04_Body text"/>
    <w:basedOn w:val="Normal"/>
    <w:rsid w:val="007337CF"/>
    <w:pPr>
      <w:spacing w:line="360" w:lineRule="auto"/>
      <w:jc w:val="both"/>
    </w:pPr>
    <w:rPr>
      <w:sz w:val="20"/>
    </w:rPr>
  </w:style>
  <w:style w:type="paragraph" w:styleId="Revision">
    <w:name w:val="Revision"/>
    <w:hidden/>
    <w:uiPriority w:val="99"/>
    <w:semiHidden/>
    <w:rsid w:val="00EA737B"/>
    <w:rPr>
      <w:rFonts w:ascii="Georgia" w:hAnsi="Georgia"/>
      <w:sz w:val="22"/>
      <w:szCs w:val="24"/>
      <w:lang w:eastAsia="de-DE"/>
    </w:rPr>
  </w:style>
  <w:style w:type="paragraph" w:styleId="NormalWeb">
    <w:name w:val="Normal (Web)"/>
    <w:basedOn w:val="Normal"/>
    <w:uiPriority w:val="99"/>
    <w:unhideWhenUsed/>
    <w:rsid w:val="00A35AAF"/>
    <w:rPr>
      <w:rFonts w:ascii="Times New Roman" w:eastAsiaTheme="minorHAnsi" w:hAnsi="Times New Roman"/>
      <w:sz w:val="24"/>
      <w:lang w:val="en-US" w:eastAsia="en-US"/>
    </w:rPr>
  </w:style>
  <w:style w:type="character" w:styleId="Strong">
    <w:name w:val="Strong"/>
    <w:basedOn w:val="DefaultParagraphFont"/>
    <w:uiPriority w:val="22"/>
    <w:qFormat/>
    <w:rsid w:val="00A35AAF"/>
    <w:rPr>
      <w:b/>
      <w:bCs/>
    </w:rPr>
  </w:style>
  <w:style w:type="table" w:customStyle="1" w:styleId="GridTable4-Accent11">
    <w:name w:val="Grid Table 4 - Accent 11"/>
    <w:basedOn w:val="TableNormal"/>
    <w:uiPriority w:val="49"/>
    <w:rsid w:val="00922711"/>
    <w:rPr>
      <w:rFonts w:asciiTheme="minorHAnsi" w:eastAsiaTheme="minorEastAsia" w:hAnsiTheme="minorHAnsi" w:cstheme="minorBidi"/>
      <w:lang w:val="nl-BE"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Caption">
    <w:name w:val="caption"/>
    <w:basedOn w:val="Normal"/>
    <w:next w:val="Normal"/>
    <w:uiPriority w:val="35"/>
    <w:unhideWhenUsed/>
    <w:qFormat/>
    <w:rsid w:val="00B93AE1"/>
    <w:pPr>
      <w:spacing w:after="250"/>
      <w:jc w:val="both"/>
    </w:pPr>
    <w:rPr>
      <w:rFonts w:asciiTheme="minorHAnsi" w:eastAsiaTheme="minorEastAsia" w:hAnsiTheme="minorHAnsi" w:cstheme="minorBidi"/>
      <w:b/>
      <w:bCs/>
      <w:smallCaps/>
      <w:color w:val="595959" w:themeColor="text1" w:themeTint="A6"/>
      <w:spacing w:val="6"/>
      <w:szCs w:val="20"/>
      <w:lang w:eastAsia="en-US"/>
    </w:rPr>
  </w:style>
  <w:style w:type="character" w:customStyle="1" w:styleId="ListParagraphChar">
    <w:name w:val="List Paragraph Char"/>
    <w:aliases w:val="Paragraphe EI Char,Paragraphe de liste1 Char,EC Char,Paragraphe de liste Char"/>
    <w:basedOn w:val="DefaultParagraphFont"/>
    <w:link w:val="ListParagraph"/>
    <w:uiPriority w:val="34"/>
    <w:rsid w:val="00B93AE1"/>
    <w:rPr>
      <w:rFonts w:ascii="Calibri" w:eastAsiaTheme="minorHAnsi" w:hAnsi="Calibri"/>
      <w:sz w:val="22"/>
      <w:szCs w:val="22"/>
      <w:lang w:eastAsia="en-US"/>
    </w:rPr>
  </w:style>
  <w:style w:type="character" w:styleId="FollowedHyperlink">
    <w:name w:val="FollowedHyperlink"/>
    <w:basedOn w:val="DefaultParagraphFont"/>
    <w:semiHidden/>
    <w:unhideWhenUsed/>
    <w:rsid w:val="00B03556"/>
    <w:rPr>
      <w:color w:val="800080" w:themeColor="followedHyperlink"/>
      <w:u w:val="single"/>
    </w:rPr>
  </w:style>
  <w:style w:type="character" w:styleId="UnresolvedMention">
    <w:name w:val="Unresolved Mention"/>
    <w:basedOn w:val="DefaultParagraphFont"/>
    <w:uiPriority w:val="99"/>
    <w:semiHidden/>
    <w:unhideWhenUsed/>
    <w:rsid w:val="00587A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723005">
      <w:bodyDiv w:val="1"/>
      <w:marLeft w:val="0"/>
      <w:marRight w:val="0"/>
      <w:marTop w:val="0"/>
      <w:marBottom w:val="0"/>
      <w:divBdr>
        <w:top w:val="none" w:sz="0" w:space="0" w:color="auto"/>
        <w:left w:val="none" w:sz="0" w:space="0" w:color="auto"/>
        <w:bottom w:val="none" w:sz="0" w:space="0" w:color="auto"/>
        <w:right w:val="none" w:sz="0" w:space="0" w:color="auto"/>
      </w:divBdr>
    </w:div>
    <w:div w:id="38172669">
      <w:bodyDiv w:val="1"/>
      <w:marLeft w:val="0"/>
      <w:marRight w:val="0"/>
      <w:marTop w:val="0"/>
      <w:marBottom w:val="0"/>
      <w:divBdr>
        <w:top w:val="none" w:sz="0" w:space="0" w:color="auto"/>
        <w:left w:val="none" w:sz="0" w:space="0" w:color="auto"/>
        <w:bottom w:val="none" w:sz="0" w:space="0" w:color="auto"/>
        <w:right w:val="none" w:sz="0" w:space="0" w:color="auto"/>
      </w:divBdr>
    </w:div>
    <w:div w:id="607742005">
      <w:bodyDiv w:val="1"/>
      <w:marLeft w:val="0"/>
      <w:marRight w:val="0"/>
      <w:marTop w:val="0"/>
      <w:marBottom w:val="0"/>
      <w:divBdr>
        <w:top w:val="none" w:sz="0" w:space="0" w:color="auto"/>
        <w:left w:val="none" w:sz="0" w:space="0" w:color="auto"/>
        <w:bottom w:val="none" w:sz="0" w:space="0" w:color="auto"/>
        <w:right w:val="none" w:sz="0" w:space="0" w:color="auto"/>
      </w:divBdr>
    </w:div>
    <w:div w:id="741025836">
      <w:bodyDiv w:val="1"/>
      <w:marLeft w:val="0"/>
      <w:marRight w:val="0"/>
      <w:marTop w:val="0"/>
      <w:marBottom w:val="0"/>
      <w:divBdr>
        <w:top w:val="none" w:sz="0" w:space="0" w:color="auto"/>
        <w:left w:val="none" w:sz="0" w:space="0" w:color="auto"/>
        <w:bottom w:val="none" w:sz="0" w:space="0" w:color="auto"/>
        <w:right w:val="none" w:sz="0" w:space="0" w:color="auto"/>
      </w:divBdr>
    </w:div>
    <w:div w:id="1744915987">
      <w:bodyDiv w:val="1"/>
      <w:marLeft w:val="0"/>
      <w:marRight w:val="0"/>
      <w:marTop w:val="0"/>
      <w:marBottom w:val="0"/>
      <w:divBdr>
        <w:top w:val="none" w:sz="0" w:space="0" w:color="auto"/>
        <w:left w:val="none" w:sz="0" w:space="0" w:color="auto"/>
        <w:bottom w:val="none" w:sz="0" w:space="0" w:color="auto"/>
        <w:right w:val="none" w:sz="0" w:space="0" w:color="auto"/>
      </w:divBdr>
    </w:div>
    <w:div w:id="1912691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https://www.esma.europa.eu/sites/default/files/library/esma70-151-2198_framework_for_the_2019_ccp_st_exercise.pdf" TargetMode="External"/><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esma.europa.eu/sites/default/files/library/esma70-151-2198_framework_for_the_2019_ccp_st_exercise.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_rels/header2.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ost-Trading Policy Document" ma:contentTypeID="0x01010001BD15C3986B91498E0AE644B715B9EE01080087D15FE546E30B45B9BBC45FA14F869C" ma:contentTypeVersion="14" ma:contentTypeDescription="" ma:contentTypeScope="" ma:versionID="6c22cca56ce01193b119cc2461a23d90">
  <xsd:schema xmlns:xsd="http://www.w3.org/2001/XMLSchema" xmlns:xs="http://www.w3.org/2001/XMLSchema" xmlns:p="http://schemas.microsoft.com/office/2006/metadata/properties" xmlns:ns2="20fbe147-bbda-4e53-b6b1-7e8bbff3fe19" xmlns:ns3="http://schemas.microsoft.com/sharepoint/v4" targetNamespace="http://schemas.microsoft.com/office/2006/metadata/properties" ma:root="true" ma:fieldsID="80fba296c37c96e7e7129886a0b5426a" ns2:_="" ns3:_="">
    <xsd:import namespace="20fbe147-bbda-4e53-b6b1-7e8bbff3fe19"/>
    <xsd:import namespace="http://schemas.microsoft.com/sharepoint/v4"/>
    <xsd:element name="properties">
      <xsd:complexType>
        <xsd:sequence>
          <xsd:element name="documentManagement">
            <xsd:complexType>
              <xsd:all>
                <xsd:element ref="ns2:_dlc_DocIdPersistId" minOccurs="0"/>
                <xsd:element ref="ns2:TaxCatchAll" minOccurs="0"/>
                <xsd:element ref="ns2:TaxCatchAllLabel" minOccurs="0"/>
                <xsd:element ref="ns2:_dlc_DocId" minOccurs="0"/>
                <xsd:element ref="ns2:_dlc_DocIdUrl" minOccurs="0"/>
                <xsd:element ref="ns2:caa5aeb1a6644849b60fbe2335e12657" minOccurs="0"/>
                <xsd:element ref="ns2:n644e5dfaa29486bad4a4fc019c6d2df" minOccurs="0"/>
                <xsd:element ref="ns2:bce29119141747ccb9ac7d87218ed4af" minOccurs="0"/>
                <xsd:element ref="ns3:IconOverlay" minOccurs="0"/>
                <xsd:element ref="ns2:eed0a0b2ea6941718a34434e243f3d8f" minOccurs="0"/>
                <xsd:element ref="ns2:j69a081f486747f6ac8a5aeed63facfd" minOccurs="0"/>
                <xsd:element ref="ns2:Year"/>
                <xsd:element ref="ns2:a9b3b1dad23b4ba58c3f3e36a96e1d9c" minOccurs="0"/>
                <xsd:element ref="ns2:Meeting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fbe147-bbda-4e53-b6b1-7e8bbff3fe19" elementFormDefault="qualified">
    <xsd:import namespace="http://schemas.microsoft.com/office/2006/documentManagement/types"/>
    <xsd:import namespace="http://schemas.microsoft.com/office/infopath/2007/PartnerControls"/>
    <xsd:element name="_dlc_DocIdPersistId" ma:index="4" nillable="true" ma:displayName="Persist ID" ma:description="Keep ID on add." ma:hidden="true" ma:internalName="_dlc_DocIdPersistId" ma:readOnly="true">
      <xsd:simpleType>
        <xsd:restriction base="dms:Boolean"/>
      </xsd:simpleType>
    </xsd:element>
    <xsd:element name="TaxCatchAll" ma:index="5" nillable="true" ma:displayName="Taxonomy Catch All Column" ma:hidden="true" ma:list="{c38c24d3-2590-4616-bee0-79d7eeedacac}" ma:internalName="TaxCatchAll" ma:showField="CatchAllData"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c38c24d3-2590-4616-bee0-79d7eeedacac}" ma:internalName="TaxCatchAllLabel" ma:readOnly="true" ma:showField="CatchAllDataLabel"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caa5aeb1a6644849b60fbe2335e12657" ma:index="12" ma:taxonomy="true" ma:internalName="caa5aeb1a6644849b60fbe2335e12657" ma:taxonomyFieldName="Topic" ma:displayName="Topic" ma:default="" ma:fieldId="{caa5aeb1-a664-4849-b60f-be2335e12657}" ma:sspId="0ac1876e-32bf-4158-94e7-cdbcd053a335" ma:termSetId="7d082429-7842-4b54-bb20-96c85011588b" ma:anchorId="00000000-0000-0000-0000-000000000000" ma:open="false" ma:isKeyword="false">
      <xsd:complexType>
        <xsd:sequence>
          <xsd:element ref="pc:Terms" minOccurs="0" maxOccurs="1"/>
        </xsd:sequence>
      </xsd:complexType>
    </xsd:element>
    <xsd:element name="n644e5dfaa29486bad4a4fc019c6d2df" ma:index="14" nillable="true" ma:taxonomy="true" ma:internalName="n644e5dfaa29486bad4a4fc019c6d2df" ma:taxonomyFieldName="SubTopic" ma:displayName="Sub Topic" ma:readOnly="false" ma:default="" ma:fieldId="{7644e5df-aa29-486b-ad4a-4fc019c6d2df}" ma:sspId="0ac1876e-32bf-4158-94e7-cdbcd053a335" ma:termSetId="a842971e-647d-4879-adf7-d46819988cd9" ma:anchorId="00000000-0000-0000-0000-000000000000" ma:open="false" ma:isKeyword="false">
      <xsd:complexType>
        <xsd:sequence>
          <xsd:element ref="pc:Terms" minOccurs="0" maxOccurs="1"/>
        </xsd:sequence>
      </xsd:complexType>
    </xsd:element>
    <xsd:element name="bce29119141747ccb9ac7d87218ed4af" ma:index="16" ma:taxonomy="true" ma:internalName="bce29119141747ccb9ac7d87218ed4af" ma:taxonomyFieldName="TeamName" ma:displayName="Team Name" ma:readOnly="false" ma:default="4;#Post-Trading|edaa1ce6-4b9b-4aac-a462-2b226ce43f53" ma:fieldId="{bce29119-1417-47cc-b9ac-7d87218ed4af}" ma:sspId="0ac1876e-32bf-4158-94e7-cdbcd053a335" ma:termSetId="9ab8a8dd-aa7f-4e9e-9345-c8f50d6bfad1" ma:anchorId="00000000-0000-0000-0000-000000000000" ma:open="false" ma:isKeyword="false">
      <xsd:complexType>
        <xsd:sequence>
          <xsd:element ref="pc:Terms" minOccurs="0" maxOccurs="1"/>
        </xsd:sequence>
      </xsd:complexType>
    </xsd:element>
    <xsd:element name="eed0a0b2ea6941718a34434e243f3d8f" ma:index="19" ma:taxonomy="true" ma:internalName="eed0a0b2ea6941718a34434e243f3d8f" ma:taxonomyFieldName="DocumentType" ma:displayName="Document Type" ma:readOnly="false" ma:default="1;#Report / Note;Note|b9e1c92e-303a-4555-86f0-5c711c65937e" ma:fieldId="{eed0a0b2-ea69-4171-8a34-434e243f3d8f}"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j69a081f486747f6ac8a5aeed63facfd" ma:index="21" ma:taxonomy="true" ma:internalName="j69a081f486747f6ac8a5aeed63facfd" ma:taxonomyFieldName="ConfidentialityLevel" ma:displayName="Confidentiality Level" ma:readOnly="false" ma:default="2;#Restricted|187aa7e6-627f-4951-b138-6ff841dc883d" ma:fieldId="{369a081f-4867-47f6-ac8a-5aeed63facfd}"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Year" ma:index="23" ma:displayName="Year" ma:description="" ma:internalName="Year" ma:readOnly="false">
      <xsd:simpleType>
        <xsd:restriction base="dms:Text">
          <xsd:maxLength value="4"/>
        </xsd:restriction>
      </xsd:simpleType>
    </xsd:element>
    <xsd:element name="a9b3b1dad23b4ba58c3f3e36a96e1d9c" ma:index="24" nillable="true" ma:taxonomy="true" ma:internalName="a9b3b1dad23b4ba58c3f3e36a96e1d9c" ma:taxonomyFieldName="EsmaAudience" ma:displayName="Audience" ma:readOnly="false" ma:default="" ma:fieldId="{a9b3b1da-d23b-4ba5-8c3f-3e36a96e1d9c}"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MeetingDate" ma:index="26" nillable="true" ma:displayName="Meeting Date" ma:description="" ma:format="DateOnly" ma:internalName="Meeting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MeetingDate xmlns="20fbe147-bbda-4e53-b6b1-7e8bbff3fe19" xsi:nil="true"/>
    <Year xmlns="20fbe147-bbda-4e53-b6b1-7e8bbff3fe19">2020</Year>
    <TaxCatchAll xmlns="20fbe147-bbda-4e53-b6b1-7e8bbff3fe19">
      <Value>14</Value>
      <Value>4</Value>
      <Value>87</Value>
      <Value>1</Value>
      <Value>7</Value>
    </TaxCatchAll>
    <_dlc_DocId xmlns="20fbe147-bbda-4e53-b6b1-7e8bbff3fe19">ESMA70-151-3190</_dlc_DocId>
    <_dlc_DocIdUrl xmlns="20fbe147-bbda-4e53-b6b1-7e8bbff3fe19">
      <Url>https://sherpa.esma.europa.eu/sites/MKT/PTR/_layouts/15/DocIdRedir.aspx?ID=ESMA70-151-3190</Url>
      <Description>ESMA70-151-3190</Description>
    </_dlc_DocIdUrl>
    <caa5aeb1a6644849b60fbe2335e12657 xmlns="20fbe147-bbda-4e53-b6b1-7e8bbff3fe19">
      <Terms xmlns="http://schemas.microsoft.com/office/infopath/2007/PartnerControls">
        <TermInfo xmlns="http://schemas.microsoft.com/office/infopath/2007/PartnerControls">
          <TermName xmlns="http://schemas.microsoft.com/office/infopath/2007/PartnerControls">CCPs</TermName>
          <TermId xmlns="http://schemas.microsoft.com/office/infopath/2007/PartnerControls">daf31898-f836-49bf-be2f-0001f6ace417</TermId>
        </TermInfo>
      </Terms>
    </caa5aeb1a6644849b60fbe2335e12657>
    <j69a081f486747f6ac8a5aeed63facfd xmlns="20fbe147-bbda-4e53-b6b1-7e8bbff3fe19">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j69a081f486747f6ac8a5aeed63facfd>
    <bce29119141747ccb9ac7d87218ed4af xmlns="20fbe147-bbda-4e53-b6b1-7e8bbff3fe19">
      <Terms xmlns="http://schemas.microsoft.com/office/infopath/2007/PartnerControls">
        <TermInfo xmlns="http://schemas.microsoft.com/office/infopath/2007/PartnerControls">
          <TermName xmlns="http://schemas.microsoft.com/office/infopath/2007/PartnerControls">Post-Trading</TermName>
          <TermId xmlns="http://schemas.microsoft.com/office/infopath/2007/PartnerControls">edaa1ce6-4b9b-4aac-a462-2b226ce43f53</TermId>
        </TermInfo>
      </Terms>
    </bce29119141747ccb9ac7d87218ed4af>
    <a9b3b1dad23b4ba58c3f3e36a96e1d9c xmlns="20fbe147-bbda-4e53-b6b1-7e8bbff3fe19">
      <Terms xmlns="http://schemas.microsoft.com/office/infopath/2007/PartnerControls"/>
    </a9b3b1dad23b4ba58c3f3e36a96e1d9c>
    <n644e5dfaa29486bad4a4fc019c6d2df xmlns="20fbe147-bbda-4e53-b6b1-7e8bbff3fe19">
      <Terms xmlns="http://schemas.microsoft.com/office/infopath/2007/PartnerControls">
        <TermInfo xmlns="http://schemas.microsoft.com/office/infopath/2007/PartnerControls">
          <TermName xmlns="http://schemas.microsoft.com/office/infopath/2007/PartnerControls">CCP Stress Tests</TermName>
          <TermId xmlns="http://schemas.microsoft.com/office/infopath/2007/PartnerControls">c9883b88-3edd-4852-abed-c92ca384f218</TermId>
        </TermInfo>
      </Terms>
    </n644e5dfaa29486bad4a4fc019c6d2df>
    <eed0a0b2ea6941718a34434e243f3d8f xmlns="20fbe147-bbda-4e53-b6b1-7e8bbff3fe19">
      <Terms xmlns="http://schemas.microsoft.com/office/infopath/2007/PartnerControls">
        <TermInfo xmlns="http://schemas.microsoft.com/office/infopath/2007/PartnerControls">
          <TermName xmlns="http://schemas.microsoft.com/office/infopath/2007/PartnerControls">Note</TermName>
          <TermId xmlns="http://schemas.microsoft.com/office/infopath/2007/PartnerControls">b9e1c92e-303a-4555-86f0-5c711c65937e</TermId>
        </TermInfo>
      </Terms>
    </eed0a0b2ea6941718a34434e243f3d8f>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A78BD3-D485-4905-9A57-3541419A59AA}">
  <ds:schemaRefs>
    <ds:schemaRef ds:uri="http://schemas.microsoft.com/sharepoint/v3/contenttype/forms"/>
  </ds:schemaRefs>
</ds:datastoreItem>
</file>

<file path=customXml/itemProps2.xml><?xml version="1.0" encoding="utf-8"?>
<ds:datastoreItem xmlns:ds="http://schemas.openxmlformats.org/officeDocument/2006/customXml" ds:itemID="{EA886DD3-012E-42D2-95D6-94898F3FC9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fbe147-bbda-4e53-b6b1-7e8bbff3fe1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040D68A-A9A5-4FFF-84A5-AB0684F87AF3}">
  <ds:schemaRefs>
    <ds:schemaRef ds:uri="http://schemas.microsoft.com/sharepoint/events"/>
  </ds:schemaRefs>
</ds:datastoreItem>
</file>

<file path=customXml/itemProps4.xml><?xml version="1.0" encoding="utf-8"?>
<ds:datastoreItem xmlns:ds="http://schemas.openxmlformats.org/officeDocument/2006/customXml" ds:itemID="{6228BF38-156F-4096-BB8C-314F78125B1F}">
  <ds:schemaRefs>
    <ds:schemaRef ds:uri="http://schemas.microsoft.com/office/2006/metadata/properties"/>
    <ds:schemaRef ds:uri="http://schemas.microsoft.com/office/infopath/2007/PartnerControls"/>
    <ds:schemaRef ds:uri="http://schemas.microsoft.com/sharepoint/v4"/>
    <ds:schemaRef ds:uri="20fbe147-bbda-4e53-b6b1-7e8bbff3fe19"/>
  </ds:schemaRefs>
</ds:datastoreItem>
</file>

<file path=customXml/itemProps5.xml><?xml version="1.0" encoding="utf-8"?>
<ds:datastoreItem xmlns:ds="http://schemas.openxmlformats.org/officeDocument/2006/customXml" ds:itemID="{441EDF85-568B-4E70-82A9-8437B25F2B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3239</Words>
  <Characters>18467</Characters>
  <Application>Microsoft Office Word</Application>
  <DocSecurity>0</DocSecurity>
  <Lines>153</Lines>
  <Paragraphs>43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20110000</vt:lpstr>
      <vt:lpstr>20110000</vt:lpstr>
    </vt:vector>
  </TitlesOfParts>
  <Company>HP</Company>
  <LinksUpToDate>false</LinksUpToDate>
  <CharactersWithSpaces>21663</CharactersWithSpaces>
  <SharedDoc>false</SharedDoc>
  <HLinks>
    <vt:vector size="12" baseType="variant">
      <vt:variant>
        <vt:i4>1441851</vt:i4>
      </vt:variant>
      <vt:variant>
        <vt:i4>6</vt:i4>
      </vt:variant>
      <vt:variant>
        <vt:i4>0</vt:i4>
      </vt:variant>
      <vt:variant>
        <vt:i4>5</vt:i4>
      </vt:variant>
      <vt:variant>
        <vt:lpwstr>mailto:david.cliffe@esma.europa.eu</vt:lpwstr>
      </vt:variant>
      <vt:variant>
        <vt:lpwstr/>
      </vt:variant>
      <vt:variant>
        <vt:i4>1048639</vt:i4>
      </vt:variant>
      <vt:variant>
        <vt:i4>3</vt:i4>
      </vt:variant>
      <vt:variant>
        <vt:i4>0</vt:i4>
      </vt:variant>
      <vt:variant>
        <vt:i4>5</vt:i4>
      </vt:variant>
      <vt:variant>
        <vt:lpwstr>mailto:reemt.seibel@esma.europa.eu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20110000</dc:title>
  <dc:creator>admoxa</dc:creator>
  <cp:lastModifiedBy>David Cliffe</cp:lastModifiedBy>
  <cp:revision>2</cp:revision>
  <cp:lastPrinted>2018-01-23T15:46:00Z</cp:lastPrinted>
  <dcterms:created xsi:type="dcterms:W3CDTF">2020-07-10T20:20:00Z</dcterms:created>
  <dcterms:modified xsi:type="dcterms:W3CDTF">2020-07-10T20:20:00Z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0x01010001BD15C3986B91498E0AE644B715B9EE01080087D15FE546E30B45B9BBC45FA14F869C</vt:lpwstr>
  </property>
  <property fmtid="{D5CDD505-2E9C-101B-9397-08002B2CF9AE}" pid="3" name="_dlc_DocIdItemGuid">
    <vt:lpwstr>ba48d912-0866-4c6c-96b8-a7469c90c30b</vt:lpwstr>
  </property>
  <property fmtid="{D5CDD505-2E9C-101B-9397-08002B2CF9AE}" pid="4" name="EsmaAudience">
    <vt:lpwstr/>
  </property>
  <property fmtid="{D5CDD505-2E9C-101B-9397-08002B2CF9AE}" pid="5" name="TeamName">
    <vt:lpwstr>4;#Post-Trading|edaa1ce6-4b9b-4aac-a462-2b226ce43f53</vt:lpwstr>
  </property>
  <property fmtid="{D5CDD505-2E9C-101B-9397-08002B2CF9AE}" pid="6" name="Topic">
    <vt:lpwstr>7;#CCPs|daf31898-f836-49bf-be2f-0001f6ace417</vt:lpwstr>
  </property>
  <property fmtid="{D5CDD505-2E9C-101B-9397-08002B2CF9AE}" pid="7" name="URL">
    <vt:lpwstr/>
  </property>
  <property fmtid="{D5CDD505-2E9C-101B-9397-08002B2CF9AE}" pid="8" name="DocumentSetDescription">
    <vt:lpwstr/>
  </property>
  <property fmtid="{D5CDD505-2E9C-101B-9397-08002B2CF9AE}" pid="9" name="ConfidentialityLevel">
    <vt:lpwstr>14;#Regular|07f1e362-856b-423d-bea6-a14079762141</vt:lpwstr>
  </property>
  <property fmtid="{D5CDD505-2E9C-101B-9397-08002B2CF9AE}" pid="10" name="DocumentType">
    <vt:lpwstr>1;#Note|b9e1c92e-303a-4555-86f0-5c711c65937e</vt:lpwstr>
  </property>
  <property fmtid="{D5CDD505-2E9C-101B-9397-08002B2CF9AE}" pid="11" name="SubTopic">
    <vt:lpwstr>87;#CCP Stress Tests|c9883b88-3edd-4852-abed-c92ca384f218</vt:lpwstr>
  </property>
</Properties>
</file>