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973058580"/>
        <w:docPartObj>
          <w:docPartGallery w:val="Cover Pages"/>
          <w:docPartUnique/>
        </w:docPartObj>
      </w:sdtPr>
      <w:sdtEndPr/>
      <w:sdtContent>
        <w:p w14:paraId="692C8C10" w14:textId="77777777"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14:paraId="1FF4F51B" w14:textId="77777777" w:rsidTr="007E7997">
            <w:trPr>
              <w:trHeight w:hRule="exact" w:val="907"/>
            </w:trPr>
            <w:tc>
              <w:tcPr>
                <w:tcW w:w="9412" w:type="dxa"/>
                <w:vAlign w:val="bottom"/>
              </w:tcPr>
              <w:p w14:paraId="6D062637" w14:textId="77777777" w:rsidR="007E7997" w:rsidRPr="005B6B12" w:rsidRDefault="00E6015A" w:rsidP="007E7997">
                <w:pPr>
                  <w:pStyle w:val="Title"/>
                </w:pPr>
                <w:r>
                  <w:t xml:space="preserve">MAR-Leitlinien </w:t>
                </w:r>
              </w:p>
            </w:tc>
          </w:tr>
          <w:tr w:rsidR="007E7997" w:rsidRPr="005B6B12" w14:paraId="1CAE1BF6" w14:textId="77777777" w:rsidTr="007E7997">
            <w:trPr>
              <w:trHeight w:hRule="exact" w:val="454"/>
            </w:trPr>
            <w:tc>
              <w:tcPr>
                <w:tcW w:w="9412" w:type="dxa"/>
                <w:tcMar>
                  <w:top w:w="142" w:type="dxa"/>
                </w:tcMar>
              </w:tcPr>
              <w:p w14:paraId="136BE0A8" w14:textId="77777777" w:rsidR="007E7997" w:rsidRDefault="000C328B" w:rsidP="007E7997">
                <w:pPr>
                  <w:pStyle w:val="Subtitle"/>
                  <w:rPr>
                    <w:rFonts w:cs="Arial"/>
                  </w:rPr>
                </w:pPr>
                <w:r>
                  <w:t>Personen, die Marktsondierungen erhalten</w:t>
                </w:r>
              </w:p>
              <w:p w14:paraId="2C964A53" w14:textId="77777777" w:rsidR="00B50534" w:rsidRPr="00B50534" w:rsidRDefault="00B50534" w:rsidP="00B50534"/>
            </w:tc>
          </w:tr>
        </w:tbl>
        <w:p w14:paraId="5E735C9F" w14:textId="77777777" w:rsidR="007E7997" w:rsidRPr="000A3D10" w:rsidRDefault="007E7997">
          <w:pPr>
            <w:spacing w:after="120" w:line="264" w:lineRule="auto"/>
            <w:sectPr w:rsidR="007E7997" w:rsidRPr="000A3D10" w:rsidSect="007E7997">
              <w:headerReference w:type="first" r:id="rId12"/>
              <w:footerReference w:type="first" r:id="rId13"/>
              <w:pgSz w:w="11906" w:h="16838"/>
              <w:pgMar w:top="1417" w:right="1417" w:bottom="1417" w:left="1417" w:header="708" w:footer="708" w:gutter="0"/>
              <w:pgNumType w:start="0"/>
              <w:cols w:space="708"/>
              <w:titlePg/>
              <w:docGrid w:linePitch="360"/>
            </w:sectPr>
          </w:pPr>
        </w:p>
        <w:p w14:paraId="0AB518B5" w14:textId="77777777" w:rsidR="007E7997" w:rsidRPr="005B6B12" w:rsidRDefault="006C4D36">
          <w:pPr>
            <w:spacing w:after="120" w:line="264" w:lineRule="auto"/>
          </w:pPr>
        </w:p>
      </w:sdtContent>
    </w:sdt>
    <w:sdt>
      <w:sdtPr>
        <w:rPr>
          <w:rFonts w:asciiTheme="minorHAnsi" w:eastAsiaTheme="minorEastAsia" w:hAnsiTheme="minorHAnsi" w:cstheme="minorBidi"/>
          <w:b w:val="0"/>
          <w:sz w:val="20"/>
          <w:szCs w:val="20"/>
        </w:rPr>
        <w:id w:val="-1101638686"/>
        <w:docPartObj>
          <w:docPartGallery w:val="Table of Contents"/>
          <w:docPartUnique/>
        </w:docPartObj>
      </w:sdtPr>
      <w:sdtEndPr>
        <w:rPr>
          <w:bCs/>
          <w:noProof/>
          <w:sz w:val="22"/>
        </w:rPr>
      </w:sdtEndPr>
      <w:sdtContent>
        <w:p w14:paraId="60817C2B" w14:textId="77777777" w:rsidR="00BC422A" w:rsidRPr="005B6B12" w:rsidRDefault="00BC422A" w:rsidP="000A3D10">
          <w:pPr>
            <w:pStyle w:val="TOCHeading"/>
            <w:numPr>
              <w:ilvl w:val="0"/>
              <w:numId w:val="0"/>
            </w:numPr>
          </w:pPr>
          <w:r>
            <w:t>Inhaltsverzeichnis</w:t>
          </w:r>
        </w:p>
        <w:p w14:paraId="087F32DD" w14:textId="6885DE5A" w:rsidR="00990CFA" w:rsidRDefault="00BC422A">
          <w:pPr>
            <w:pStyle w:val="TOC1"/>
            <w:tabs>
              <w:tab w:val="left" w:pos="440"/>
              <w:tab w:val="right" w:leader="dot" w:pos="9062"/>
            </w:tabs>
            <w:rPr>
              <w:noProof/>
              <w:szCs w:val="22"/>
              <w:lang w:val="fr-LU" w:eastAsia="fr-LU" w:bidi="ar-SA"/>
            </w:rPr>
          </w:pPr>
          <w:r w:rsidRPr="005B6B12">
            <w:fldChar w:fldCharType="begin"/>
          </w:r>
          <w:r w:rsidRPr="005B6B12">
            <w:instrText xml:space="preserve"> TOC \o "1-3" \h \z \u </w:instrText>
          </w:r>
          <w:r w:rsidRPr="005B6B12">
            <w:fldChar w:fldCharType="separate"/>
          </w:r>
          <w:hyperlink w:anchor="_Toc458693522" w:history="1">
            <w:r w:rsidR="00990CFA" w:rsidRPr="006B4B3F">
              <w:rPr>
                <w:rStyle w:val="Hyperlink"/>
                <w:noProof/>
              </w:rPr>
              <w:t>1</w:t>
            </w:r>
            <w:r w:rsidR="00990CFA">
              <w:rPr>
                <w:noProof/>
                <w:szCs w:val="22"/>
                <w:lang w:val="fr-LU" w:eastAsia="fr-LU" w:bidi="ar-SA"/>
              </w:rPr>
              <w:tab/>
            </w:r>
            <w:r w:rsidR="00990CFA" w:rsidRPr="006B4B3F">
              <w:rPr>
                <w:rStyle w:val="Hyperlink"/>
                <w:noProof/>
              </w:rPr>
              <w:t>Anwendungsbereich</w:t>
            </w:r>
            <w:r w:rsidR="00990CFA">
              <w:rPr>
                <w:noProof/>
                <w:webHidden/>
              </w:rPr>
              <w:tab/>
            </w:r>
            <w:r w:rsidR="00990CFA">
              <w:rPr>
                <w:noProof/>
                <w:webHidden/>
              </w:rPr>
              <w:fldChar w:fldCharType="begin"/>
            </w:r>
            <w:r w:rsidR="00990CFA">
              <w:rPr>
                <w:noProof/>
                <w:webHidden/>
              </w:rPr>
              <w:instrText xml:space="preserve"> PAGEREF _Toc458693522 \h </w:instrText>
            </w:r>
            <w:r w:rsidR="00990CFA">
              <w:rPr>
                <w:noProof/>
                <w:webHidden/>
              </w:rPr>
            </w:r>
            <w:r w:rsidR="00990CFA">
              <w:rPr>
                <w:noProof/>
                <w:webHidden/>
              </w:rPr>
              <w:fldChar w:fldCharType="separate"/>
            </w:r>
            <w:r w:rsidR="008450AC">
              <w:rPr>
                <w:noProof/>
                <w:webHidden/>
              </w:rPr>
              <w:t>3</w:t>
            </w:r>
            <w:r w:rsidR="00990CFA">
              <w:rPr>
                <w:noProof/>
                <w:webHidden/>
              </w:rPr>
              <w:fldChar w:fldCharType="end"/>
            </w:r>
          </w:hyperlink>
        </w:p>
        <w:p w14:paraId="12CEED14" w14:textId="2182D777" w:rsidR="00990CFA" w:rsidRDefault="006C4D36">
          <w:pPr>
            <w:pStyle w:val="TOC1"/>
            <w:tabs>
              <w:tab w:val="left" w:pos="440"/>
              <w:tab w:val="right" w:leader="dot" w:pos="9062"/>
            </w:tabs>
            <w:rPr>
              <w:noProof/>
              <w:szCs w:val="22"/>
              <w:lang w:val="fr-LU" w:eastAsia="fr-LU" w:bidi="ar-SA"/>
            </w:rPr>
          </w:pPr>
          <w:hyperlink w:anchor="_Toc458693523" w:history="1">
            <w:r w:rsidR="00990CFA" w:rsidRPr="006B4B3F">
              <w:rPr>
                <w:rStyle w:val="Hyperlink"/>
                <w:noProof/>
              </w:rPr>
              <w:t>2</w:t>
            </w:r>
            <w:r w:rsidR="00990CFA">
              <w:rPr>
                <w:noProof/>
                <w:szCs w:val="22"/>
                <w:lang w:val="fr-LU" w:eastAsia="fr-LU" w:bidi="ar-SA"/>
              </w:rPr>
              <w:tab/>
            </w:r>
            <w:r w:rsidR="00990CFA" w:rsidRPr="006B4B3F">
              <w:rPr>
                <w:rStyle w:val="Hyperlink"/>
                <w:noProof/>
              </w:rPr>
              <w:t>Rechtsrahmen, Abkürzungen und Begriffsbestimmungen</w:t>
            </w:r>
            <w:r w:rsidR="00990CFA">
              <w:rPr>
                <w:noProof/>
                <w:webHidden/>
              </w:rPr>
              <w:tab/>
            </w:r>
            <w:r w:rsidR="00990CFA">
              <w:rPr>
                <w:noProof/>
                <w:webHidden/>
              </w:rPr>
              <w:fldChar w:fldCharType="begin"/>
            </w:r>
            <w:r w:rsidR="00990CFA">
              <w:rPr>
                <w:noProof/>
                <w:webHidden/>
              </w:rPr>
              <w:instrText xml:space="preserve"> PAGEREF _Toc458693523 \h </w:instrText>
            </w:r>
            <w:r w:rsidR="00990CFA">
              <w:rPr>
                <w:noProof/>
                <w:webHidden/>
              </w:rPr>
            </w:r>
            <w:r w:rsidR="00990CFA">
              <w:rPr>
                <w:noProof/>
                <w:webHidden/>
              </w:rPr>
              <w:fldChar w:fldCharType="separate"/>
            </w:r>
            <w:r w:rsidR="008450AC">
              <w:rPr>
                <w:noProof/>
                <w:webHidden/>
              </w:rPr>
              <w:t>3</w:t>
            </w:r>
            <w:r w:rsidR="00990CFA">
              <w:rPr>
                <w:noProof/>
                <w:webHidden/>
              </w:rPr>
              <w:fldChar w:fldCharType="end"/>
            </w:r>
          </w:hyperlink>
        </w:p>
        <w:p w14:paraId="2769D2DD" w14:textId="4F2A2552" w:rsidR="00990CFA" w:rsidRDefault="006C4D36">
          <w:pPr>
            <w:pStyle w:val="TOC1"/>
            <w:tabs>
              <w:tab w:val="left" w:pos="440"/>
              <w:tab w:val="right" w:leader="dot" w:pos="9062"/>
            </w:tabs>
            <w:rPr>
              <w:noProof/>
              <w:szCs w:val="22"/>
              <w:lang w:val="fr-LU" w:eastAsia="fr-LU" w:bidi="ar-SA"/>
            </w:rPr>
          </w:pPr>
          <w:hyperlink w:anchor="_Toc458693524" w:history="1">
            <w:r w:rsidR="00990CFA" w:rsidRPr="006B4B3F">
              <w:rPr>
                <w:rStyle w:val="Hyperlink"/>
                <w:noProof/>
              </w:rPr>
              <w:t>3</w:t>
            </w:r>
            <w:r w:rsidR="00990CFA">
              <w:rPr>
                <w:noProof/>
                <w:szCs w:val="22"/>
                <w:lang w:val="fr-LU" w:eastAsia="fr-LU" w:bidi="ar-SA"/>
              </w:rPr>
              <w:tab/>
            </w:r>
            <w:r w:rsidR="00990CFA" w:rsidRPr="006B4B3F">
              <w:rPr>
                <w:rStyle w:val="Hyperlink"/>
                <w:noProof/>
              </w:rPr>
              <w:t>Zweck</w:t>
            </w:r>
            <w:r w:rsidR="00990CFA">
              <w:rPr>
                <w:noProof/>
                <w:webHidden/>
              </w:rPr>
              <w:tab/>
            </w:r>
            <w:r w:rsidR="00990CFA">
              <w:rPr>
                <w:noProof/>
                <w:webHidden/>
              </w:rPr>
              <w:fldChar w:fldCharType="begin"/>
            </w:r>
            <w:r w:rsidR="00990CFA">
              <w:rPr>
                <w:noProof/>
                <w:webHidden/>
              </w:rPr>
              <w:instrText xml:space="preserve"> PAGEREF _Toc458693524 \h </w:instrText>
            </w:r>
            <w:r w:rsidR="00990CFA">
              <w:rPr>
                <w:noProof/>
                <w:webHidden/>
              </w:rPr>
            </w:r>
            <w:r w:rsidR="00990CFA">
              <w:rPr>
                <w:noProof/>
                <w:webHidden/>
              </w:rPr>
              <w:fldChar w:fldCharType="separate"/>
            </w:r>
            <w:r w:rsidR="008450AC">
              <w:rPr>
                <w:noProof/>
                <w:webHidden/>
              </w:rPr>
              <w:t>4</w:t>
            </w:r>
            <w:r w:rsidR="00990CFA">
              <w:rPr>
                <w:noProof/>
                <w:webHidden/>
              </w:rPr>
              <w:fldChar w:fldCharType="end"/>
            </w:r>
          </w:hyperlink>
        </w:p>
        <w:p w14:paraId="21CB1D69" w14:textId="113C5B01" w:rsidR="00990CFA" w:rsidRDefault="006C4D36">
          <w:pPr>
            <w:pStyle w:val="TOC1"/>
            <w:tabs>
              <w:tab w:val="left" w:pos="440"/>
              <w:tab w:val="right" w:leader="dot" w:pos="9062"/>
            </w:tabs>
            <w:rPr>
              <w:noProof/>
              <w:szCs w:val="22"/>
              <w:lang w:val="fr-LU" w:eastAsia="fr-LU" w:bidi="ar-SA"/>
            </w:rPr>
          </w:pPr>
          <w:hyperlink w:anchor="_Toc458693525" w:history="1">
            <w:r w:rsidR="00990CFA" w:rsidRPr="006B4B3F">
              <w:rPr>
                <w:rStyle w:val="Hyperlink"/>
                <w:noProof/>
              </w:rPr>
              <w:t>4</w:t>
            </w:r>
            <w:r w:rsidR="00990CFA">
              <w:rPr>
                <w:noProof/>
                <w:szCs w:val="22"/>
                <w:lang w:val="fr-LU" w:eastAsia="fr-LU" w:bidi="ar-SA"/>
              </w:rPr>
              <w:tab/>
            </w:r>
            <w:r w:rsidR="00990CFA" w:rsidRPr="006B4B3F">
              <w:rPr>
                <w:rStyle w:val="Hyperlink"/>
                <w:noProof/>
              </w:rPr>
              <w:t>Compliance- und Mitteilungspflichten</w:t>
            </w:r>
            <w:r w:rsidR="00990CFA">
              <w:rPr>
                <w:noProof/>
                <w:webHidden/>
              </w:rPr>
              <w:tab/>
            </w:r>
            <w:r w:rsidR="00990CFA">
              <w:rPr>
                <w:noProof/>
                <w:webHidden/>
              </w:rPr>
              <w:fldChar w:fldCharType="begin"/>
            </w:r>
            <w:r w:rsidR="00990CFA">
              <w:rPr>
                <w:noProof/>
                <w:webHidden/>
              </w:rPr>
              <w:instrText xml:space="preserve"> PAGEREF _Toc458693525 \h </w:instrText>
            </w:r>
            <w:r w:rsidR="00990CFA">
              <w:rPr>
                <w:noProof/>
                <w:webHidden/>
              </w:rPr>
            </w:r>
            <w:r w:rsidR="00990CFA">
              <w:rPr>
                <w:noProof/>
                <w:webHidden/>
              </w:rPr>
              <w:fldChar w:fldCharType="separate"/>
            </w:r>
            <w:r w:rsidR="008450AC">
              <w:rPr>
                <w:noProof/>
                <w:webHidden/>
              </w:rPr>
              <w:t>4</w:t>
            </w:r>
            <w:r w:rsidR="00990CFA">
              <w:rPr>
                <w:noProof/>
                <w:webHidden/>
              </w:rPr>
              <w:fldChar w:fldCharType="end"/>
            </w:r>
          </w:hyperlink>
        </w:p>
        <w:p w14:paraId="083416AC" w14:textId="5618B553" w:rsidR="00990CFA" w:rsidRDefault="006C4D36">
          <w:pPr>
            <w:pStyle w:val="TOC2"/>
            <w:tabs>
              <w:tab w:val="left" w:pos="880"/>
              <w:tab w:val="right" w:leader="dot" w:pos="9062"/>
            </w:tabs>
            <w:rPr>
              <w:noProof/>
              <w:szCs w:val="22"/>
              <w:lang w:val="fr-LU" w:eastAsia="fr-LU" w:bidi="ar-SA"/>
            </w:rPr>
          </w:pPr>
          <w:hyperlink w:anchor="_Toc458693526" w:history="1">
            <w:r w:rsidR="00990CFA" w:rsidRPr="006B4B3F">
              <w:rPr>
                <w:rStyle w:val="Hyperlink"/>
                <w:noProof/>
              </w:rPr>
              <w:t>4.1</w:t>
            </w:r>
            <w:r w:rsidR="00990CFA">
              <w:rPr>
                <w:noProof/>
                <w:szCs w:val="22"/>
                <w:lang w:val="fr-LU" w:eastAsia="fr-LU" w:bidi="ar-SA"/>
              </w:rPr>
              <w:tab/>
            </w:r>
            <w:r w:rsidR="00990CFA" w:rsidRPr="006B4B3F">
              <w:rPr>
                <w:rStyle w:val="Hyperlink"/>
                <w:noProof/>
              </w:rPr>
              <w:t>Status der Leitlinien</w:t>
            </w:r>
            <w:r w:rsidR="00990CFA">
              <w:rPr>
                <w:noProof/>
                <w:webHidden/>
              </w:rPr>
              <w:tab/>
            </w:r>
            <w:r w:rsidR="00990CFA">
              <w:rPr>
                <w:noProof/>
                <w:webHidden/>
              </w:rPr>
              <w:fldChar w:fldCharType="begin"/>
            </w:r>
            <w:r w:rsidR="00990CFA">
              <w:rPr>
                <w:noProof/>
                <w:webHidden/>
              </w:rPr>
              <w:instrText xml:space="preserve"> PAGEREF _Toc458693526 \h </w:instrText>
            </w:r>
            <w:r w:rsidR="00990CFA">
              <w:rPr>
                <w:noProof/>
                <w:webHidden/>
              </w:rPr>
            </w:r>
            <w:r w:rsidR="00990CFA">
              <w:rPr>
                <w:noProof/>
                <w:webHidden/>
              </w:rPr>
              <w:fldChar w:fldCharType="separate"/>
            </w:r>
            <w:r w:rsidR="008450AC">
              <w:rPr>
                <w:noProof/>
                <w:webHidden/>
              </w:rPr>
              <w:t>4</w:t>
            </w:r>
            <w:r w:rsidR="00990CFA">
              <w:rPr>
                <w:noProof/>
                <w:webHidden/>
              </w:rPr>
              <w:fldChar w:fldCharType="end"/>
            </w:r>
          </w:hyperlink>
        </w:p>
        <w:p w14:paraId="51566993" w14:textId="184AAC69" w:rsidR="00990CFA" w:rsidRDefault="006C4D36">
          <w:pPr>
            <w:pStyle w:val="TOC2"/>
            <w:tabs>
              <w:tab w:val="left" w:pos="880"/>
              <w:tab w:val="right" w:leader="dot" w:pos="9062"/>
            </w:tabs>
            <w:rPr>
              <w:noProof/>
              <w:szCs w:val="22"/>
              <w:lang w:val="fr-LU" w:eastAsia="fr-LU" w:bidi="ar-SA"/>
            </w:rPr>
          </w:pPr>
          <w:hyperlink w:anchor="_Toc458693527" w:history="1">
            <w:r w:rsidR="00990CFA" w:rsidRPr="006B4B3F">
              <w:rPr>
                <w:rStyle w:val="Hyperlink"/>
                <w:noProof/>
              </w:rPr>
              <w:t>4.2</w:t>
            </w:r>
            <w:r w:rsidR="00990CFA">
              <w:rPr>
                <w:noProof/>
                <w:szCs w:val="22"/>
                <w:lang w:val="fr-LU" w:eastAsia="fr-LU" w:bidi="ar-SA"/>
              </w:rPr>
              <w:tab/>
            </w:r>
            <w:r w:rsidR="00990CFA" w:rsidRPr="006B4B3F">
              <w:rPr>
                <w:rStyle w:val="Hyperlink"/>
                <w:noProof/>
              </w:rPr>
              <w:t>Mitteilungspflichten</w:t>
            </w:r>
            <w:r w:rsidR="00990CFA">
              <w:rPr>
                <w:noProof/>
                <w:webHidden/>
              </w:rPr>
              <w:tab/>
            </w:r>
            <w:r w:rsidR="00990CFA">
              <w:rPr>
                <w:noProof/>
                <w:webHidden/>
              </w:rPr>
              <w:fldChar w:fldCharType="begin"/>
            </w:r>
            <w:r w:rsidR="00990CFA">
              <w:rPr>
                <w:noProof/>
                <w:webHidden/>
              </w:rPr>
              <w:instrText xml:space="preserve"> PAGEREF _Toc458693527 \h </w:instrText>
            </w:r>
            <w:r w:rsidR="00990CFA">
              <w:rPr>
                <w:noProof/>
                <w:webHidden/>
              </w:rPr>
            </w:r>
            <w:r w:rsidR="00990CFA">
              <w:rPr>
                <w:noProof/>
                <w:webHidden/>
              </w:rPr>
              <w:fldChar w:fldCharType="separate"/>
            </w:r>
            <w:r w:rsidR="008450AC">
              <w:rPr>
                <w:noProof/>
                <w:webHidden/>
              </w:rPr>
              <w:t>4</w:t>
            </w:r>
            <w:r w:rsidR="00990CFA">
              <w:rPr>
                <w:noProof/>
                <w:webHidden/>
              </w:rPr>
              <w:fldChar w:fldCharType="end"/>
            </w:r>
          </w:hyperlink>
        </w:p>
        <w:p w14:paraId="7B1D02DE" w14:textId="3713E777" w:rsidR="00990CFA" w:rsidRDefault="006C4D36">
          <w:pPr>
            <w:pStyle w:val="TOC1"/>
            <w:tabs>
              <w:tab w:val="left" w:pos="440"/>
              <w:tab w:val="right" w:leader="dot" w:pos="9062"/>
            </w:tabs>
            <w:rPr>
              <w:noProof/>
              <w:szCs w:val="22"/>
              <w:lang w:val="fr-LU" w:eastAsia="fr-LU" w:bidi="ar-SA"/>
            </w:rPr>
          </w:pPr>
          <w:hyperlink w:anchor="_Toc458693528" w:history="1">
            <w:r w:rsidR="00990CFA" w:rsidRPr="006B4B3F">
              <w:rPr>
                <w:rStyle w:val="Hyperlink"/>
                <w:noProof/>
              </w:rPr>
              <w:t>5</w:t>
            </w:r>
            <w:r w:rsidR="00990CFA">
              <w:rPr>
                <w:noProof/>
                <w:szCs w:val="22"/>
                <w:lang w:val="fr-LU" w:eastAsia="fr-LU" w:bidi="ar-SA"/>
              </w:rPr>
              <w:tab/>
            </w:r>
            <w:r w:rsidR="00990CFA" w:rsidRPr="006B4B3F">
              <w:rPr>
                <w:rStyle w:val="Hyperlink"/>
                <w:noProof/>
              </w:rPr>
              <w:t>Leitlinien für Personen, die Marktsondierungen erhalten</w:t>
            </w:r>
            <w:r w:rsidR="00990CFA">
              <w:rPr>
                <w:noProof/>
                <w:webHidden/>
              </w:rPr>
              <w:tab/>
            </w:r>
            <w:r w:rsidR="00990CFA">
              <w:rPr>
                <w:noProof/>
                <w:webHidden/>
              </w:rPr>
              <w:fldChar w:fldCharType="begin"/>
            </w:r>
            <w:r w:rsidR="00990CFA">
              <w:rPr>
                <w:noProof/>
                <w:webHidden/>
              </w:rPr>
              <w:instrText xml:space="preserve"> PAGEREF _Toc458693528 \h </w:instrText>
            </w:r>
            <w:r w:rsidR="00990CFA">
              <w:rPr>
                <w:noProof/>
                <w:webHidden/>
              </w:rPr>
            </w:r>
            <w:r w:rsidR="00990CFA">
              <w:rPr>
                <w:noProof/>
                <w:webHidden/>
              </w:rPr>
              <w:fldChar w:fldCharType="separate"/>
            </w:r>
            <w:r w:rsidR="008450AC">
              <w:rPr>
                <w:noProof/>
                <w:webHidden/>
              </w:rPr>
              <w:t>5</w:t>
            </w:r>
            <w:r w:rsidR="00990CFA">
              <w:rPr>
                <w:noProof/>
                <w:webHidden/>
              </w:rPr>
              <w:fldChar w:fldCharType="end"/>
            </w:r>
          </w:hyperlink>
        </w:p>
        <w:p w14:paraId="368DFAAF" w14:textId="77777777" w:rsidR="00E37625" w:rsidRDefault="00BC422A">
          <w:pPr>
            <w:pStyle w:val="TOC1"/>
            <w:tabs>
              <w:tab w:val="left" w:pos="440"/>
              <w:tab w:val="right" w:leader="dot" w:pos="9062"/>
            </w:tabs>
            <w:rPr>
              <w:noProof/>
              <w:szCs w:val="22"/>
            </w:rPr>
          </w:pPr>
          <w:r w:rsidRPr="005B6B12">
            <w:rPr>
              <w:b/>
              <w:bCs/>
              <w:noProof/>
            </w:rPr>
            <w:fldChar w:fldCharType="end"/>
          </w:r>
        </w:p>
      </w:sdtContent>
    </w:sdt>
    <w:p w14:paraId="1B3FCCEE" w14:textId="77777777" w:rsidR="00EA6A25" w:rsidRDefault="00EA6A25">
      <w:pPr>
        <w:spacing w:after="120" w:line="264" w:lineRule="auto"/>
        <w:jc w:val="left"/>
      </w:pPr>
      <w:r>
        <w:br w:type="page"/>
      </w:r>
    </w:p>
    <w:p w14:paraId="79A584CC" w14:textId="77777777" w:rsidR="003F39B1" w:rsidRDefault="00287C8F" w:rsidP="003F39B1">
      <w:pPr>
        <w:pStyle w:val="Heading1"/>
      </w:pPr>
      <w:bookmarkStart w:id="0" w:name="_Toc457835697"/>
      <w:bookmarkStart w:id="1" w:name="_Toc458693522"/>
      <w:r>
        <w:lastRenderedPageBreak/>
        <w:t>Anwendungsbereich</w:t>
      </w:r>
      <w:bookmarkEnd w:id="0"/>
      <w:bookmarkEnd w:id="1"/>
    </w:p>
    <w:p w14:paraId="5DE48B1B" w14:textId="77777777" w:rsidR="00287C8F" w:rsidRDefault="00287C8F" w:rsidP="00287C8F">
      <w:pPr>
        <w:pStyle w:val="Questionstyle"/>
      </w:pPr>
      <w:r>
        <w:t>Für wen?</w:t>
      </w:r>
    </w:p>
    <w:p w14:paraId="23B97489" w14:textId="6C960A5C" w:rsidR="00287C8F" w:rsidRDefault="00281DAF" w:rsidP="00287C8F">
      <w:pPr>
        <w:pStyle w:val="ListParagraph"/>
      </w:pPr>
      <w:r>
        <w:t>Diese Leitlinien gelten für zuständige Behörden und Personen, die Marktsondierungen erhalten.</w:t>
      </w:r>
    </w:p>
    <w:p w14:paraId="1CB86A90" w14:textId="77777777" w:rsidR="00287C8F" w:rsidRDefault="00287C8F" w:rsidP="00287C8F">
      <w:pPr>
        <w:pStyle w:val="Questionstyle"/>
      </w:pPr>
      <w:r>
        <w:t>Was?</w:t>
      </w:r>
    </w:p>
    <w:p w14:paraId="69DCD207" w14:textId="6695DC88" w:rsidR="00287C8F" w:rsidRDefault="00287C8F" w:rsidP="00287C8F">
      <w:pPr>
        <w:pStyle w:val="ListParagraph"/>
      </w:pPr>
      <w:r>
        <w:t>Diese Leitlinien gelten in Bezug auf die Faktoren, Schritte und Aufzeichnungen, die von den Personen, die Marktsondierungen erhalten, gemäß Artikel 11 Absatz 11 der Verordnung (EU) Nr. 596/2014 des Europäischen Parlaments und des Rates zu berücksichtigen und umzusetzen sind.</w:t>
      </w:r>
    </w:p>
    <w:p w14:paraId="57724DD4" w14:textId="77777777" w:rsidR="00287C8F" w:rsidRDefault="00287C8F" w:rsidP="00287C8F">
      <w:pPr>
        <w:pStyle w:val="Questionstyle"/>
      </w:pPr>
      <w:r>
        <w:t xml:space="preserve">Wann? </w:t>
      </w:r>
    </w:p>
    <w:p w14:paraId="57209E72" w14:textId="25BC40E1" w:rsidR="00287C8F" w:rsidRDefault="00287C8F" w:rsidP="00287C8F">
      <w:pPr>
        <w:pStyle w:val="ListParagraph"/>
      </w:pPr>
      <w:r>
        <w:t xml:space="preserve">Diese Leitlinien treten </w:t>
      </w:r>
      <w:r w:rsidR="00046BB4">
        <w:t>10/01/2017</w:t>
      </w:r>
      <w:bookmarkStart w:id="2" w:name="_GoBack"/>
      <w:bookmarkEnd w:id="2"/>
      <w:r>
        <w:t xml:space="preserve"> in Kraft.</w:t>
      </w:r>
    </w:p>
    <w:p w14:paraId="196B72DA" w14:textId="77777777" w:rsidR="00287C8F" w:rsidRDefault="00287C8F" w:rsidP="00287C8F"/>
    <w:p w14:paraId="4A21DD33" w14:textId="47D0586A" w:rsidR="00287C8F" w:rsidRDefault="00F7341A" w:rsidP="00287C8F">
      <w:pPr>
        <w:pStyle w:val="Heading1"/>
      </w:pPr>
      <w:bookmarkStart w:id="3" w:name="_Toc457835698"/>
      <w:bookmarkStart w:id="4" w:name="_Toc458693523"/>
      <w:r>
        <w:t>Rechtsrahmen, Abkürzungen und Begriffsbestimmungen</w:t>
      </w:r>
      <w:bookmarkEnd w:id="3"/>
      <w:bookmarkEnd w:id="4"/>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806"/>
      </w:tblGrid>
      <w:tr w:rsidR="00E37625" w:rsidRPr="00E37625" w14:paraId="0B243374" w14:textId="77777777" w:rsidTr="00E37625">
        <w:tc>
          <w:tcPr>
            <w:tcW w:w="2977" w:type="dxa"/>
          </w:tcPr>
          <w:p w14:paraId="2D77DE54" w14:textId="77777777" w:rsidR="00E37625" w:rsidRPr="00E37625" w:rsidRDefault="00E37625" w:rsidP="00F43490">
            <w:pPr>
              <w:pStyle w:val="04eBodytextleft"/>
              <w:widowControl w:val="0"/>
              <w:suppressAutoHyphens/>
              <w:jc w:val="both"/>
              <w:rPr>
                <w:rFonts w:asciiTheme="minorHAnsi" w:hAnsiTheme="minorHAnsi" w:cstheme="minorHAnsi"/>
                <w:sz w:val="22"/>
                <w:szCs w:val="22"/>
              </w:rPr>
            </w:pPr>
            <w:r>
              <w:rPr>
                <w:rFonts w:asciiTheme="minorHAnsi" w:hAnsiTheme="minorHAnsi" w:cstheme="minorHAnsi"/>
                <w:sz w:val="22"/>
              </w:rPr>
              <w:t xml:space="preserve">ESMA-Verordnung </w:t>
            </w:r>
          </w:p>
        </w:tc>
        <w:tc>
          <w:tcPr>
            <w:tcW w:w="5806" w:type="dxa"/>
          </w:tcPr>
          <w:p w14:paraId="6A990365" w14:textId="77777777" w:rsidR="00E37625" w:rsidRPr="00E37625" w:rsidRDefault="00E37625" w:rsidP="00E37625">
            <w:pPr>
              <w:pStyle w:val="04eBodytextleft"/>
              <w:widowControl w:val="0"/>
              <w:suppressAutoHyphens/>
              <w:spacing w:after="120"/>
              <w:jc w:val="both"/>
              <w:rPr>
                <w:rFonts w:asciiTheme="minorHAnsi" w:hAnsiTheme="minorHAnsi" w:cstheme="minorHAnsi"/>
                <w:sz w:val="22"/>
                <w:szCs w:val="22"/>
              </w:rPr>
            </w:pPr>
            <w:r>
              <w:rPr>
                <w:rFonts w:asciiTheme="minorHAnsi" w:hAnsiTheme="minorHAnsi" w:cstheme="minorHAnsi"/>
                <w:sz w:val="22"/>
              </w:rPr>
              <w:t>Verordnung (EU) Nr. 1095/2010 des Europäischen Parlaments und des Rates vom 24. November 2010 zur Errichtung einer Europäischen Aufsichtsbehörde (Europäische Wertpapier- und Marktaufsichtsbehörde), zur Änderung des Beschlusses Nr. 716/2009/EG und zur Aufhebung des Beschlusses 2009/77/EG der Kommission</w:t>
            </w:r>
          </w:p>
        </w:tc>
      </w:tr>
      <w:tr w:rsidR="00E37625" w:rsidRPr="00E37625" w14:paraId="333953A3" w14:textId="77777777" w:rsidTr="00E37625">
        <w:tc>
          <w:tcPr>
            <w:tcW w:w="2977" w:type="dxa"/>
          </w:tcPr>
          <w:p w14:paraId="06D6A2FD" w14:textId="77777777" w:rsidR="00E37625" w:rsidRPr="00E37625" w:rsidRDefault="00E37625" w:rsidP="00F43490">
            <w:pPr>
              <w:pStyle w:val="04eBodytextleft"/>
              <w:widowControl w:val="0"/>
              <w:suppressAutoHyphens/>
              <w:jc w:val="both"/>
              <w:rPr>
                <w:rFonts w:asciiTheme="minorHAnsi" w:hAnsiTheme="minorHAnsi" w:cstheme="minorHAnsi"/>
                <w:sz w:val="22"/>
                <w:szCs w:val="22"/>
              </w:rPr>
            </w:pPr>
            <w:r>
              <w:rPr>
                <w:rFonts w:asciiTheme="minorHAnsi" w:hAnsiTheme="minorHAnsi" w:cstheme="minorHAnsi"/>
                <w:sz w:val="22"/>
              </w:rPr>
              <w:t>MSR</w:t>
            </w:r>
          </w:p>
        </w:tc>
        <w:tc>
          <w:tcPr>
            <w:tcW w:w="5806" w:type="dxa"/>
          </w:tcPr>
          <w:p w14:paraId="73378013" w14:textId="77777777" w:rsidR="00E37625" w:rsidRPr="00E37625" w:rsidRDefault="00E37625" w:rsidP="00E37625">
            <w:pPr>
              <w:pStyle w:val="04eBodytextleft"/>
              <w:widowControl w:val="0"/>
              <w:suppressAutoHyphens/>
              <w:spacing w:after="120"/>
              <w:jc w:val="both"/>
              <w:rPr>
                <w:rFonts w:asciiTheme="minorHAnsi" w:hAnsiTheme="minorHAnsi" w:cstheme="minorHAnsi"/>
                <w:sz w:val="22"/>
                <w:szCs w:val="22"/>
              </w:rPr>
            </w:pPr>
            <w:r>
              <w:rPr>
                <w:rFonts w:asciiTheme="minorHAnsi" w:hAnsiTheme="minorHAnsi" w:cstheme="minorHAnsi"/>
                <w:sz w:val="22"/>
              </w:rPr>
              <w:t>Person, die die Marktsondierung erhält</w:t>
            </w:r>
          </w:p>
        </w:tc>
      </w:tr>
      <w:tr w:rsidR="00E37625" w:rsidRPr="00E37625" w14:paraId="44F4061B" w14:textId="77777777" w:rsidTr="00E37625">
        <w:tc>
          <w:tcPr>
            <w:tcW w:w="2977" w:type="dxa"/>
          </w:tcPr>
          <w:p w14:paraId="394A5C12" w14:textId="77777777" w:rsidR="00E37625" w:rsidRPr="00E37625" w:rsidRDefault="00E37625" w:rsidP="00F43490">
            <w:pPr>
              <w:pStyle w:val="04eBodytextleft"/>
              <w:widowControl w:val="0"/>
              <w:suppressAutoHyphens/>
              <w:jc w:val="both"/>
              <w:rPr>
                <w:rFonts w:asciiTheme="minorHAnsi" w:hAnsiTheme="minorHAnsi" w:cstheme="minorHAnsi"/>
                <w:sz w:val="22"/>
                <w:szCs w:val="22"/>
              </w:rPr>
            </w:pPr>
            <w:r>
              <w:rPr>
                <w:rFonts w:asciiTheme="minorHAnsi" w:hAnsiTheme="minorHAnsi" w:cstheme="minorHAnsi"/>
                <w:sz w:val="22"/>
              </w:rPr>
              <w:t>DMP</w:t>
            </w:r>
          </w:p>
        </w:tc>
        <w:tc>
          <w:tcPr>
            <w:tcW w:w="5806" w:type="dxa"/>
          </w:tcPr>
          <w:p w14:paraId="74BAFFCB" w14:textId="77777777" w:rsidR="00E37625" w:rsidRPr="00E37625" w:rsidRDefault="00E37625" w:rsidP="00E37625">
            <w:pPr>
              <w:pStyle w:val="04eBodytextleft"/>
              <w:widowControl w:val="0"/>
              <w:suppressAutoHyphens/>
              <w:spacing w:after="120"/>
              <w:jc w:val="both"/>
              <w:rPr>
                <w:rFonts w:asciiTheme="minorHAnsi" w:hAnsiTheme="minorHAnsi" w:cstheme="minorHAnsi"/>
                <w:sz w:val="22"/>
                <w:szCs w:val="22"/>
              </w:rPr>
            </w:pPr>
            <w:r>
              <w:rPr>
                <w:rFonts w:asciiTheme="minorHAnsi" w:hAnsiTheme="minorHAnsi" w:cstheme="minorHAnsi"/>
                <w:sz w:val="22"/>
              </w:rPr>
              <w:t>Offenlegender Marktteilnehmer</w:t>
            </w:r>
          </w:p>
        </w:tc>
      </w:tr>
      <w:tr w:rsidR="00E37625" w:rsidRPr="00E37625" w14:paraId="7A01D04F" w14:textId="77777777" w:rsidTr="00E37625">
        <w:tc>
          <w:tcPr>
            <w:tcW w:w="2977" w:type="dxa"/>
          </w:tcPr>
          <w:p w14:paraId="609B2148" w14:textId="77777777" w:rsidR="00E37625" w:rsidRPr="00E37625" w:rsidRDefault="00E37625" w:rsidP="00F43490">
            <w:pPr>
              <w:pStyle w:val="04eBodytextleft"/>
              <w:widowControl w:val="0"/>
              <w:suppressAutoHyphens/>
              <w:jc w:val="both"/>
              <w:rPr>
                <w:rFonts w:asciiTheme="minorHAnsi" w:hAnsiTheme="minorHAnsi" w:cstheme="minorHAnsi"/>
                <w:sz w:val="22"/>
                <w:szCs w:val="22"/>
              </w:rPr>
            </w:pPr>
            <w:r>
              <w:rPr>
                <w:rFonts w:asciiTheme="minorHAnsi" w:hAnsiTheme="minorHAnsi" w:cstheme="minorHAnsi"/>
                <w:sz w:val="22"/>
              </w:rPr>
              <w:t>MAR</w:t>
            </w:r>
          </w:p>
        </w:tc>
        <w:tc>
          <w:tcPr>
            <w:tcW w:w="5806" w:type="dxa"/>
          </w:tcPr>
          <w:p w14:paraId="3A58C171" w14:textId="77777777" w:rsidR="00E37625" w:rsidRPr="00E37625" w:rsidRDefault="00E37625" w:rsidP="00E37625">
            <w:pPr>
              <w:pStyle w:val="04eBodytextleft"/>
              <w:widowControl w:val="0"/>
              <w:suppressAutoHyphens/>
              <w:spacing w:after="120"/>
              <w:jc w:val="both"/>
              <w:rPr>
                <w:rFonts w:asciiTheme="minorHAnsi" w:hAnsiTheme="minorHAnsi" w:cstheme="minorHAnsi"/>
                <w:sz w:val="22"/>
                <w:szCs w:val="22"/>
              </w:rPr>
            </w:pPr>
            <w:r>
              <w:rPr>
                <w:rFonts w:asciiTheme="minorHAnsi" w:hAnsiTheme="minorHAnsi" w:cstheme="minorHAnsi"/>
                <w:sz w:val="22"/>
              </w:rPr>
              <w:t xml:space="preserve">Verordnung (EU) Nr. 596/2014 des Europäischen Parlaments und des Rates vom 16. April 2014 über Marktmissbrauch (Marktmissbrauchsverordnung) und zur Aufhebung der Richtlinie 2003/6/EG des Europäischen Parlaments und des Rates und der Richtlinien 2003/124/EG, 2003/125/EG und 2004/72/EG der Kommission </w:t>
            </w:r>
          </w:p>
        </w:tc>
      </w:tr>
      <w:tr w:rsidR="00E37625" w:rsidRPr="00E37625" w14:paraId="28E85E66" w14:textId="77777777" w:rsidTr="00E37625">
        <w:tc>
          <w:tcPr>
            <w:tcW w:w="2977" w:type="dxa"/>
          </w:tcPr>
          <w:p w14:paraId="32A152BF" w14:textId="77777777" w:rsidR="00E37625" w:rsidRPr="00E37625" w:rsidRDefault="00E37625" w:rsidP="00F43490">
            <w:pPr>
              <w:pStyle w:val="04eBodytextleft"/>
              <w:widowControl w:val="0"/>
              <w:suppressAutoHyphens/>
              <w:jc w:val="both"/>
              <w:rPr>
                <w:rFonts w:asciiTheme="minorHAnsi" w:hAnsiTheme="minorHAnsi" w:cstheme="minorHAnsi"/>
                <w:sz w:val="22"/>
                <w:szCs w:val="22"/>
              </w:rPr>
            </w:pPr>
            <w:r>
              <w:rPr>
                <w:rFonts w:asciiTheme="minorHAnsi" w:hAnsiTheme="minorHAnsi" w:cstheme="minorHAnsi"/>
                <w:sz w:val="22"/>
              </w:rPr>
              <w:t>Technische Regulierungsstandards für Marktsondierungen</w:t>
            </w:r>
          </w:p>
        </w:tc>
        <w:tc>
          <w:tcPr>
            <w:tcW w:w="5806" w:type="dxa"/>
          </w:tcPr>
          <w:p w14:paraId="71F04087" w14:textId="77777777" w:rsidR="00E37625" w:rsidRPr="00E37625" w:rsidRDefault="00E37625" w:rsidP="00990CFA">
            <w:pPr>
              <w:pStyle w:val="04eBodytextleft"/>
              <w:suppressAutoHyphens/>
              <w:spacing w:after="120"/>
              <w:jc w:val="both"/>
              <w:rPr>
                <w:rFonts w:asciiTheme="minorHAnsi" w:hAnsiTheme="minorHAnsi" w:cstheme="minorHAnsi"/>
                <w:sz w:val="22"/>
                <w:szCs w:val="22"/>
              </w:rPr>
            </w:pPr>
            <w:r>
              <w:rPr>
                <w:rFonts w:asciiTheme="minorHAnsi" w:hAnsiTheme="minorHAnsi" w:cstheme="minorHAnsi"/>
                <w:sz w:val="22"/>
              </w:rPr>
              <w:t xml:space="preserve">Delegierte Verordnung (EU) 2016/960 der Kommission vom 17. Mai 2016 zur Ergänzung der Verordnung (EU) Nr. 596/2014 des Europäischen Parlaments und des Rates durch technische Regulierungsstandards für angemessene Regelungen, Systeme und Verfahren für </w:t>
            </w:r>
            <w:r>
              <w:rPr>
                <w:rFonts w:asciiTheme="minorHAnsi" w:hAnsiTheme="minorHAnsi" w:cstheme="minorHAnsi"/>
                <w:sz w:val="22"/>
              </w:rPr>
              <w:lastRenderedPageBreak/>
              <w:t>offenlegende Marktteilnehmer bei der Durchführung von Marktsondierungen</w:t>
            </w:r>
          </w:p>
        </w:tc>
      </w:tr>
    </w:tbl>
    <w:p w14:paraId="10746125" w14:textId="77777777" w:rsidR="00E734D9" w:rsidRPr="00655CAB" w:rsidRDefault="00E734D9" w:rsidP="003B7391">
      <w:pPr>
        <w:pStyle w:val="04eBodytextleft"/>
        <w:widowControl w:val="0"/>
        <w:suppressAutoHyphens/>
        <w:ind w:left="2410" w:hanging="1843"/>
        <w:jc w:val="both"/>
        <w:rPr>
          <w:rFonts w:asciiTheme="minorHAnsi" w:hAnsiTheme="minorHAnsi" w:cstheme="minorHAnsi"/>
          <w:sz w:val="22"/>
          <w:szCs w:val="22"/>
          <w:highlight w:val="yellow"/>
        </w:rPr>
      </w:pPr>
    </w:p>
    <w:p w14:paraId="5BBF855B" w14:textId="77777777" w:rsidR="00287C8F" w:rsidRDefault="00287C8F" w:rsidP="003B7391">
      <w:pPr>
        <w:ind w:hanging="1843"/>
      </w:pPr>
    </w:p>
    <w:p w14:paraId="5D6BE7BF" w14:textId="77777777" w:rsidR="001319C7" w:rsidRPr="003C167E" w:rsidRDefault="001319C7" w:rsidP="003C167E">
      <w:pPr>
        <w:pStyle w:val="Heading1"/>
      </w:pPr>
      <w:bookmarkStart w:id="5" w:name="_Toc457835699"/>
      <w:bookmarkStart w:id="6" w:name="_Toc458693524"/>
      <w:r>
        <w:t>Zweck</w:t>
      </w:r>
      <w:bookmarkEnd w:id="5"/>
      <w:bookmarkEnd w:id="6"/>
    </w:p>
    <w:p w14:paraId="0FA6759D" w14:textId="77777777" w:rsidR="00C14E41" w:rsidRDefault="003B7391" w:rsidP="001319C7">
      <w:pPr>
        <w:pStyle w:val="ListParagraph"/>
      </w:pPr>
      <w:r>
        <w:t xml:space="preserve">Artikel 11 Absatz 11 der MAR sieht vor, dass die ESMA für die Personen, die die Marktsondierung erhalten (MSR), Leitlinien zu Folgendem herausgibt: </w:t>
      </w:r>
    </w:p>
    <w:p w14:paraId="7FFAB8BC" w14:textId="77777777" w:rsidR="00057D2D" w:rsidRDefault="00057D2D" w:rsidP="00057D2D">
      <w:pPr>
        <w:pStyle w:val="ListParagraph"/>
        <w:numPr>
          <w:ilvl w:val="0"/>
          <w:numId w:val="28"/>
        </w:numPr>
        <w:contextualSpacing/>
      </w:pPr>
      <w:r>
        <w:t xml:space="preserve">den </w:t>
      </w:r>
      <w:r>
        <w:rPr>
          <w:b/>
        </w:rPr>
        <w:t>Faktoren</w:t>
      </w:r>
      <w:r>
        <w:t>, die diese Personen berücksichtigen müssen, wenn ihnen gegenüber als Bestandteil der Marktsondierung Informationen offengelegt werden, damit sie beurteilen können, ob diese Informationen Insiderinformationen sind;</w:t>
      </w:r>
    </w:p>
    <w:p w14:paraId="508E070C" w14:textId="77777777" w:rsidR="00057D2D" w:rsidRDefault="00057D2D" w:rsidP="00057D2D">
      <w:pPr>
        <w:pStyle w:val="ListParagraph"/>
        <w:numPr>
          <w:ilvl w:val="0"/>
          <w:numId w:val="0"/>
        </w:numPr>
        <w:ind w:left="1080"/>
        <w:contextualSpacing/>
      </w:pPr>
    </w:p>
    <w:p w14:paraId="73B12FD9" w14:textId="10E40144" w:rsidR="00057D2D" w:rsidRDefault="00057D2D" w:rsidP="00057D2D">
      <w:pPr>
        <w:pStyle w:val="ListParagraph"/>
        <w:numPr>
          <w:ilvl w:val="0"/>
          <w:numId w:val="28"/>
        </w:numPr>
        <w:contextualSpacing/>
      </w:pPr>
      <w:r>
        <w:t xml:space="preserve">den </w:t>
      </w:r>
      <w:r>
        <w:rPr>
          <w:b/>
        </w:rPr>
        <w:t>Schritten</w:t>
      </w:r>
      <w:r>
        <w:t>, die diese Personen unternehmen müssen, wenn ihnen gegenüber Insiderinformationen offengelegt wurden, um die Artikel 8 und 10 der MAR einzuhalten, und</w:t>
      </w:r>
    </w:p>
    <w:p w14:paraId="6F858586" w14:textId="77777777" w:rsidR="00057D2D" w:rsidRPr="00240EE0" w:rsidRDefault="00057D2D" w:rsidP="00057D2D">
      <w:pPr>
        <w:pStyle w:val="ListParagraph"/>
        <w:numPr>
          <w:ilvl w:val="0"/>
          <w:numId w:val="0"/>
        </w:numPr>
        <w:ind w:left="1080"/>
        <w:contextualSpacing/>
      </w:pPr>
    </w:p>
    <w:p w14:paraId="706062E2" w14:textId="77777777" w:rsidR="00057D2D" w:rsidRDefault="00057D2D" w:rsidP="00057D2D">
      <w:pPr>
        <w:pStyle w:val="ListParagraph"/>
        <w:numPr>
          <w:ilvl w:val="0"/>
          <w:numId w:val="28"/>
        </w:numPr>
        <w:contextualSpacing/>
      </w:pPr>
      <w:r>
        <w:t xml:space="preserve">den </w:t>
      </w:r>
      <w:r>
        <w:rPr>
          <w:b/>
        </w:rPr>
        <w:t>Aufzeichnungen</w:t>
      </w:r>
      <w:r>
        <w:t>, die diese Personen führen sollten, um nachzuweisen, dass sie die Artikel 8 und 10 der MAR eingehalten haben.</w:t>
      </w:r>
    </w:p>
    <w:p w14:paraId="3CBE6606" w14:textId="77777777" w:rsidR="00057D2D" w:rsidRPr="00240EE0" w:rsidRDefault="00057D2D" w:rsidP="00057D2D">
      <w:pPr>
        <w:pStyle w:val="ListParagraph"/>
        <w:numPr>
          <w:ilvl w:val="0"/>
          <w:numId w:val="0"/>
        </w:numPr>
        <w:ind w:left="1080"/>
        <w:contextualSpacing/>
      </w:pPr>
    </w:p>
    <w:p w14:paraId="6F5CB9A3" w14:textId="7CA998C8" w:rsidR="003B7391" w:rsidRDefault="001319C7" w:rsidP="001319C7">
      <w:pPr>
        <w:pStyle w:val="ListParagraph"/>
      </w:pPr>
      <w:r>
        <w:t>Zweck der vorliegenden Leitlinien ist die Gewährleistung eines gemeinsamen, einheitlichen und kohärenten Ansatzes hinsichtlich der Anforderungen, denen die Personen, die Marktsondierungen erhalten, unterliegen. Diese Leitlinien sollen das allgemeine Risiko der Verbreitung von Insiderinformationen mindern, die im Verlauf der Marktsondierung übermittelt werden. Außerdem sollen den zuständigen Behörden Instrumente bereitgestellt werden, damit sie Untersuchungen bei Fällen von mutmaßlichem Marktmissbrauch wirksam durchführen können.</w:t>
      </w:r>
    </w:p>
    <w:p w14:paraId="534A8AAA" w14:textId="77777777" w:rsidR="001C543B" w:rsidRDefault="001C543B" w:rsidP="001C543B"/>
    <w:p w14:paraId="6DB67DB0" w14:textId="77777777" w:rsidR="001319C7" w:rsidRDefault="001319C7" w:rsidP="001319C7">
      <w:pPr>
        <w:pStyle w:val="Heading1"/>
      </w:pPr>
      <w:bookmarkStart w:id="7" w:name="_Toc457835700"/>
      <w:bookmarkStart w:id="8" w:name="_Toc458693525"/>
      <w:r>
        <w:t>Compliance- und Mitteilungspflichten</w:t>
      </w:r>
      <w:bookmarkEnd w:id="7"/>
      <w:bookmarkEnd w:id="8"/>
    </w:p>
    <w:p w14:paraId="0D00B24A" w14:textId="77777777" w:rsidR="001319C7" w:rsidRPr="003C167E" w:rsidRDefault="001319C7" w:rsidP="003C167E">
      <w:pPr>
        <w:pStyle w:val="Heading2"/>
      </w:pPr>
      <w:bookmarkStart w:id="9" w:name="_Toc457835701"/>
      <w:bookmarkStart w:id="10" w:name="_Toc458693526"/>
      <w:r>
        <w:t>Status der Leitlinien</w:t>
      </w:r>
      <w:bookmarkEnd w:id="9"/>
      <w:bookmarkEnd w:id="10"/>
    </w:p>
    <w:p w14:paraId="6EC48357" w14:textId="77777777" w:rsidR="001319C7" w:rsidRDefault="001319C7" w:rsidP="001319C7">
      <w:pPr>
        <w:pStyle w:val="ListParagraph"/>
      </w:pPr>
      <w:r>
        <w:t>Das vorliegende Dokument enthält Leitlinien, die gemäß Artikel 11 Absatz 11 der MAR herausgegeben werden. Die zuständigen Behörden und die Finanzmarktteilnehmer müssen alle erforderlichen Anstrengungen unternehmen, um den Leitlinien und Empfehlungen nachzukommen.</w:t>
      </w:r>
    </w:p>
    <w:p w14:paraId="03EFA53C" w14:textId="77777777" w:rsidR="001319C7" w:rsidRPr="003C167E" w:rsidRDefault="001319C7" w:rsidP="003C167E">
      <w:pPr>
        <w:pStyle w:val="Heading2"/>
      </w:pPr>
      <w:bookmarkStart w:id="11" w:name="_Toc457835702"/>
      <w:bookmarkStart w:id="12" w:name="_Toc458693527"/>
      <w:r>
        <w:t>Mitteilungspflichten</w:t>
      </w:r>
      <w:bookmarkEnd w:id="11"/>
      <w:bookmarkEnd w:id="12"/>
    </w:p>
    <w:p w14:paraId="1BA28F65" w14:textId="75B7DB16" w:rsidR="001319C7" w:rsidRDefault="001319C7" w:rsidP="001319C7">
      <w:pPr>
        <w:pStyle w:val="ListParagraph"/>
      </w:pPr>
      <w:r>
        <w:t xml:space="preserve">Die zuständigen Behörden, für die diese Leitlinien gelten, müssen der ESMA binnen zwei Monaten nach Veröffentlichung dieser Leitlinien durch die ESMA per E-Mail an die Adresse </w:t>
      </w:r>
      <w:hyperlink r:id="rId14">
        <w:r>
          <w:rPr>
            <w:rStyle w:val="Hyperlink"/>
            <w:rFonts w:ascii="Arial" w:hAnsi="Arial"/>
          </w:rPr>
          <w:t>MARguidelinesGL2@esma.europa.eu</w:t>
        </w:r>
      </w:hyperlink>
      <w:r>
        <w:t xml:space="preserve"> mitteilen, ob sie den Leitlinien nachkommen oder nachzukommen beabsichtigen; eine etwaige Ablehnung ist zu begründen. Geht innerhalb dieser Frist keine Mitteilung ein, wird davon ausgegangen, dass die zuständigen Behörden den Leitlinien nicht nachkommen. Eine entsprechende Vorlage für diese Mitteilung ist auf der ESMA-Website verfügbar. </w:t>
      </w:r>
    </w:p>
    <w:p w14:paraId="268C0416" w14:textId="20305CAF" w:rsidR="001127BF" w:rsidRDefault="001127BF" w:rsidP="001319C7">
      <w:pPr>
        <w:pStyle w:val="ListParagraph"/>
      </w:pPr>
      <w:r>
        <w:t>Personen, die Marktsondierungen erhalten, sind nicht verpflichtet, mitzuteilen, ob sie diesen Leitlinien nachkommen.</w:t>
      </w:r>
    </w:p>
    <w:p w14:paraId="7A60591F" w14:textId="77777777" w:rsidR="001127BF" w:rsidRDefault="001127BF" w:rsidP="001127BF">
      <w:pPr>
        <w:pStyle w:val="ListParagraph"/>
        <w:numPr>
          <w:ilvl w:val="0"/>
          <w:numId w:val="0"/>
        </w:numPr>
        <w:ind w:left="360"/>
      </w:pPr>
    </w:p>
    <w:p w14:paraId="7D3D6762" w14:textId="145B2A90" w:rsidR="001319C7" w:rsidRDefault="00EA6A25" w:rsidP="001319C7">
      <w:pPr>
        <w:pStyle w:val="Heading1"/>
      </w:pPr>
      <w:bookmarkStart w:id="13" w:name="_Toc457835703"/>
      <w:bookmarkStart w:id="14" w:name="_Toc458693528"/>
      <w:r>
        <w:t>Leitlinien für Personen, die Marktsondierungen erhalten</w:t>
      </w:r>
      <w:bookmarkEnd w:id="13"/>
      <w:bookmarkEnd w:id="14"/>
    </w:p>
    <w:p w14:paraId="37B423DF" w14:textId="77777777" w:rsidR="008705C5" w:rsidRPr="000039AB" w:rsidRDefault="008705C5" w:rsidP="008705C5">
      <w:pPr>
        <w:pStyle w:val="04aNumbering"/>
        <w:numPr>
          <w:ilvl w:val="0"/>
          <w:numId w:val="26"/>
        </w:numPr>
        <w:ind w:left="284" w:hanging="426"/>
        <w:rPr>
          <w:rFonts w:asciiTheme="minorHAnsi" w:hAnsiTheme="minorHAnsi" w:cstheme="minorHAnsi"/>
          <w:b/>
          <w:sz w:val="22"/>
          <w:szCs w:val="22"/>
        </w:rPr>
      </w:pPr>
      <w:r>
        <w:rPr>
          <w:rFonts w:asciiTheme="minorHAnsi" w:hAnsiTheme="minorHAnsi" w:cstheme="minorHAnsi"/>
          <w:b/>
          <w:sz w:val="22"/>
        </w:rPr>
        <w:t>Interne Verfahren und Schulung der Mitarbeiter</w:t>
      </w:r>
    </w:p>
    <w:p w14:paraId="14D0F2DD" w14:textId="77777777" w:rsidR="008705C5" w:rsidRPr="001127BF" w:rsidRDefault="008705C5" w:rsidP="001127BF">
      <w:pPr>
        <w:pStyle w:val="ListParagraph"/>
      </w:pPr>
      <w:r>
        <w:t>Personen, die Marktsondierungen erhalten (MSR), sollten interne Verfahren schaffen, umsetzen und unterhalten, die für den Umfang, die Größe und die Art ihrer Geschäftstätigkeit angemessen und verhältnismäßig sind, um:</w:t>
      </w:r>
    </w:p>
    <w:p w14:paraId="2F01BB63" w14:textId="77777777" w:rsidR="007A79AB" w:rsidRDefault="007A79AB" w:rsidP="008705C5">
      <w:pPr>
        <w:pStyle w:val="04aNumbering"/>
        <w:numPr>
          <w:ilvl w:val="0"/>
          <w:numId w:val="23"/>
        </w:numPr>
        <w:rPr>
          <w:rFonts w:asciiTheme="minorHAnsi" w:hAnsiTheme="minorHAnsi" w:cstheme="minorHAnsi"/>
          <w:sz w:val="22"/>
          <w:szCs w:val="22"/>
        </w:rPr>
      </w:pPr>
      <w:r>
        <w:rPr>
          <w:rFonts w:asciiTheme="minorHAnsi" w:hAnsiTheme="minorHAnsi" w:cstheme="minorHAnsi"/>
          <w:sz w:val="22"/>
        </w:rPr>
        <w:t>sicherzustellen, dass dem offenlegenden Marktteilnehmer die Person oder die Kontaktstelle, die die Marktsondierungen erhält, mitgeteilt wird, wenn die MSR eine diesbezügliche Person oder Kontaktstelle benennt;</w:t>
      </w:r>
    </w:p>
    <w:p w14:paraId="707E9A28" w14:textId="77777777" w:rsidR="008705C5" w:rsidRPr="00B76953" w:rsidRDefault="008705C5" w:rsidP="008705C5">
      <w:pPr>
        <w:pStyle w:val="04aNumbering"/>
        <w:numPr>
          <w:ilvl w:val="0"/>
          <w:numId w:val="23"/>
        </w:numPr>
        <w:rPr>
          <w:rFonts w:asciiTheme="minorHAnsi" w:hAnsiTheme="minorHAnsi" w:cstheme="minorHAnsi"/>
          <w:sz w:val="22"/>
          <w:szCs w:val="22"/>
        </w:rPr>
      </w:pPr>
      <w:r>
        <w:rPr>
          <w:rFonts w:asciiTheme="minorHAnsi" w:hAnsiTheme="minorHAnsi" w:cstheme="minorHAnsi"/>
          <w:sz w:val="22"/>
        </w:rPr>
        <w:t xml:space="preserve">zu gewährleisten, dass die im Verlauf der Marktsondierung erhaltenen Informationen nur über zuvor festgelegte Berichtswege und strikt nach dem Prinzip der erforderlichen Kenntnisnahme intern kommuniziert werden;  </w:t>
      </w:r>
    </w:p>
    <w:p w14:paraId="43ECDE87" w14:textId="77777777" w:rsidR="008705C5" w:rsidRPr="00B76953" w:rsidRDefault="008705C5" w:rsidP="008705C5">
      <w:pPr>
        <w:pStyle w:val="04aNumbering"/>
        <w:numPr>
          <w:ilvl w:val="0"/>
          <w:numId w:val="23"/>
        </w:numPr>
        <w:rPr>
          <w:rFonts w:asciiTheme="minorHAnsi" w:hAnsiTheme="minorHAnsi" w:cstheme="minorHAnsi"/>
          <w:sz w:val="22"/>
          <w:szCs w:val="22"/>
        </w:rPr>
      </w:pPr>
      <w:r>
        <w:rPr>
          <w:rFonts w:asciiTheme="minorHAnsi" w:hAnsiTheme="minorHAnsi" w:cstheme="minorHAnsi"/>
          <w:sz w:val="22"/>
        </w:rPr>
        <w:t>zu gewährleisten, dass die Person(en), die Funktion oder das Organ, die mit der Beurteilung betraut sind, ob die MSR infolge der Marktsondierung über Insiderinformationen verfügt, genau festgelegt sind und zu diesem Zweck ordnungsgemäß geschult wurden;</w:t>
      </w:r>
    </w:p>
    <w:p w14:paraId="7121AD64" w14:textId="77777777" w:rsidR="008705C5" w:rsidRDefault="008705C5" w:rsidP="008705C5">
      <w:pPr>
        <w:pStyle w:val="04aNumbering"/>
        <w:numPr>
          <w:ilvl w:val="0"/>
          <w:numId w:val="23"/>
        </w:numPr>
        <w:rPr>
          <w:rFonts w:asciiTheme="minorHAnsi" w:hAnsiTheme="minorHAnsi" w:cstheme="minorHAnsi"/>
          <w:sz w:val="22"/>
          <w:szCs w:val="22"/>
        </w:rPr>
      </w:pPr>
      <w:r>
        <w:rPr>
          <w:rFonts w:asciiTheme="minorHAnsi" w:hAnsiTheme="minorHAnsi" w:cstheme="minorHAnsi"/>
          <w:sz w:val="22"/>
        </w:rPr>
        <w:t>den Fluss von Insiderinformationen, von denen die MSR und ihre Mitarbeiter infolge der Marktsondierung Kenntnis erlangen, zu verwalten und zu überwachen, damit die MSR und ihre Mitarbeiter den Anforderungen der Artikel 8 und 10 der MAR nachkommen.</w:t>
      </w:r>
    </w:p>
    <w:p w14:paraId="3405D90E" w14:textId="77777777" w:rsidR="008705C5" w:rsidRPr="001127BF" w:rsidRDefault="008705C5" w:rsidP="001127BF">
      <w:pPr>
        <w:pStyle w:val="ListParagraph"/>
      </w:pPr>
      <w:r>
        <w:t>Die MSR sollte sicherstellen, dass die Mitarbeiter, welche die im Verlauf der Marktsondierung übermittelten Informationen erhalten und bearbeiten, hinsichtlich der betreffenden internen Verfahren und der Verbote nach den Artikeln 8 und 10 der MAR, die sich aus dem Besitz von Insiderinformation ergeben, ordnungsgemäß geschult werden. Die Schulung sollte für den Umfang, die Größe und die Art der Geschäftstätigkeit der MSR angemessen und verhältnismäßig sein.</w:t>
      </w:r>
    </w:p>
    <w:p w14:paraId="5F64AE26" w14:textId="77777777" w:rsidR="00777600" w:rsidRPr="000039AB" w:rsidRDefault="00777600" w:rsidP="00990CFA">
      <w:pPr>
        <w:pStyle w:val="04aNumbering"/>
        <w:keepNext/>
        <w:numPr>
          <w:ilvl w:val="0"/>
          <w:numId w:val="26"/>
        </w:numPr>
        <w:ind w:left="284" w:hanging="426"/>
        <w:rPr>
          <w:rFonts w:asciiTheme="minorHAnsi" w:hAnsiTheme="minorHAnsi" w:cstheme="minorHAnsi"/>
          <w:b/>
          <w:sz w:val="22"/>
          <w:szCs w:val="22"/>
        </w:rPr>
      </w:pPr>
      <w:r>
        <w:rPr>
          <w:rFonts w:asciiTheme="minorHAnsi" w:hAnsiTheme="minorHAnsi" w:cstheme="minorHAnsi"/>
          <w:b/>
          <w:sz w:val="22"/>
        </w:rPr>
        <w:lastRenderedPageBreak/>
        <w:t>Mitteilung des Wunsches, keine Marktsondierungen zu erhalten</w:t>
      </w:r>
    </w:p>
    <w:p w14:paraId="3479CD42" w14:textId="77777777" w:rsidR="00777600" w:rsidRPr="008B410D" w:rsidRDefault="00777600" w:rsidP="008B410D">
      <w:pPr>
        <w:pStyle w:val="ListParagraph"/>
      </w:pPr>
      <w:r>
        <w:t xml:space="preserve">Wenn die MSR von einem offenlegenden Marktteilnehmer kontaktiert wird, sollte sie den Wunsch äußern können, ob sie in Bezug auf alle potenziellen Geschäfte oder für bestimmte Arten von potenziellen Geschäften zukünftig keine Marktsondierungen erhalten möchte. </w:t>
      </w:r>
    </w:p>
    <w:p w14:paraId="3FC43491" w14:textId="77777777" w:rsidR="009260A9" w:rsidRPr="000039AB" w:rsidRDefault="009260A9" w:rsidP="009260A9">
      <w:pPr>
        <w:pStyle w:val="04aNumbering"/>
        <w:numPr>
          <w:ilvl w:val="0"/>
          <w:numId w:val="26"/>
        </w:numPr>
        <w:ind w:left="284" w:hanging="426"/>
        <w:rPr>
          <w:rFonts w:asciiTheme="minorHAnsi" w:hAnsiTheme="minorHAnsi" w:cstheme="minorHAnsi"/>
          <w:b/>
          <w:sz w:val="22"/>
          <w:szCs w:val="22"/>
        </w:rPr>
      </w:pPr>
      <w:r>
        <w:rPr>
          <w:rFonts w:asciiTheme="minorHAnsi" w:hAnsiTheme="minorHAnsi" w:cstheme="minorHAnsi"/>
          <w:b/>
          <w:sz w:val="22"/>
        </w:rPr>
        <w:t>Einschätzung der MSR, ob sie infolge der Marktsondierung im Besitz von Insiderinformationen ist und wenn sie nicht mehr im Besitz von Insiderinformationen ist</w:t>
      </w:r>
    </w:p>
    <w:p w14:paraId="6521857A" w14:textId="77777777" w:rsidR="009260A9" w:rsidRPr="008B410D" w:rsidRDefault="009260A9" w:rsidP="008B410D">
      <w:pPr>
        <w:pStyle w:val="ListParagraph"/>
      </w:pPr>
      <w:r>
        <w:t xml:space="preserve">Personen, die Marktsondierungen erhalten, sollten eine unabhängige Einschätzung vornehmen, ob sie infolge der Marktsondierung im Besitz von Insiderinformationen sind. Hierbei sollten sie als relevante Faktoren die Beurteilung des offenlegenden Marktteilnehmers sowie alle Informationen berücksichtigen, die der oder den Person(en), der Funktion oder dem Organ zur Verfügung stehen, die im Umfeld der MSR mit dieser Einschätzung betraut sind, einschließlich Informationen, die von anderen Quellen als dem offenlegenden Marktteilnehmer stammen. Bei dieser Einschätzung sollte von der oder den Person(en), der Funktion oder dem Organ kein Zugang zu Informationen hinter etwaigen von der MSR eingerichteten Informationsbarrieren verlangt werden. </w:t>
      </w:r>
    </w:p>
    <w:p w14:paraId="520A7B40" w14:textId="77777777" w:rsidR="009260A9" w:rsidRPr="008B410D" w:rsidRDefault="006253F3" w:rsidP="008B410D">
      <w:pPr>
        <w:pStyle w:val="ListParagraph"/>
      </w:pPr>
      <w:r>
        <w:t>Im Anschluss an die Mitteilung des offenlegenden Marktteilnehmers, dass die im Verlauf der Marktsondierung offengelegten Informationen keine Insiderinformationen mehr sind, sollten die Personen, die die Marktsondierung erhalten, eine unabhängige Einschätzung vornehmen, ob sie weiterhin im Besitz von Insiderinformationen sind. Hierbei sollten sie die Beurteilung des offenlegenden Marktteilnehmers sowie alle Informationen berücksichtigen, die der oder den Person(en), der Funktion oder dem Organ zur Verfügung stehen, die im Umfeld der MSR mit dieser Einschätzung betraut sind, einschließlich Informationen, die von anderen Quellen als dem offenlegenden Marktteilnehmer stammen. Bei dieser Einschätzung sollte von der oder den Person(en), der Funktion oder dem Organ kein Zugang zu Informationen hinter etwaigen von der MSR eingerichteten Informationsbarrieren verlangt werden.</w:t>
      </w:r>
    </w:p>
    <w:p w14:paraId="77272F99" w14:textId="77777777" w:rsidR="009260A9" w:rsidRPr="000039AB" w:rsidRDefault="009260A9" w:rsidP="009260A9">
      <w:pPr>
        <w:pStyle w:val="04aNumbering"/>
        <w:numPr>
          <w:ilvl w:val="0"/>
          <w:numId w:val="26"/>
        </w:numPr>
        <w:ind w:left="284" w:hanging="426"/>
        <w:rPr>
          <w:rFonts w:asciiTheme="minorHAnsi" w:hAnsiTheme="minorHAnsi" w:cstheme="minorHAnsi"/>
          <w:b/>
          <w:sz w:val="22"/>
          <w:szCs w:val="22"/>
        </w:rPr>
      </w:pPr>
      <w:r>
        <w:rPr>
          <w:rFonts w:asciiTheme="minorHAnsi" w:hAnsiTheme="minorHAnsi" w:cstheme="minorHAnsi"/>
          <w:b/>
          <w:sz w:val="22"/>
        </w:rPr>
        <w:t xml:space="preserve">Bewertung verbundener Finanzinstrumente  </w:t>
      </w:r>
    </w:p>
    <w:p w14:paraId="3559E942" w14:textId="77777777" w:rsidR="009260A9" w:rsidRPr="008B410D" w:rsidRDefault="009260A9" w:rsidP="008B410D">
      <w:pPr>
        <w:pStyle w:val="ListParagraph"/>
      </w:pPr>
      <w:r>
        <w:t>Wenn die Person, die die Marktsondierung erhält, zu der Einschätzung gelangt ist, dass sie infolge einer Marktsondierung über Insiderinformationen verfügt, sollte sie zur Einhaltung von Artikel 8 der MAR alle Emittenten und Finanzinstrumente ermitteln, auf die sich die Insiderinformationen ihrer Meinung nach beziehen.</w:t>
      </w:r>
    </w:p>
    <w:p w14:paraId="55565960" w14:textId="77777777" w:rsidR="009260A9" w:rsidRPr="000039AB" w:rsidRDefault="009260A9" w:rsidP="009260A9">
      <w:pPr>
        <w:pStyle w:val="04aNumbering"/>
        <w:numPr>
          <w:ilvl w:val="0"/>
          <w:numId w:val="26"/>
        </w:numPr>
        <w:ind w:left="284" w:hanging="426"/>
        <w:rPr>
          <w:rFonts w:asciiTheme="minorHAnsi" w:hAnsiTheme="minorHAnsi" w:cstheme="minorHAnsi"/>
          <w:b/>
          <w:sz w:val="22"/>
          <w:szCs w:val="22"/>
        </w:rPr>
      </w:pPr>
      <w:r>
        <w:rPr>
          <w:rFonts w:asciiTheme="minorHAnsi" w:hAnsiTheme="minorHAnsi" w:cstheme="minorHAnsi"/>
          <w:b/>
          <w:sz w:val="22"/>
        </w:rPr>
        <w:t>Schriftliche Protokolle oder Vermerke</w:t>
      </w:r>
    </w:p>
    <w:p w14:paraId="6CAF8DE4" w14:textId="77777777" w:rsidR="009260A9" w:rsidRPr="008B410D" w:rsidRDefault="009260A9" w:rsidP="008B410D">
      <w:pPr>
        <w:pStyle w:val="ListParagraph"/>
      </w:pPr>
      <w:r>
        <w:t xml:space="preserve">Wenn der offenlegende Marktteilnehmer im Einklang mit Artikel 6 Absatz 2 Buchstabe d der Technischen Regulierungsstandards für Marktsondierungen schriftliche Protokolle oder Vermerke zu nicht aufgezeichneten Zusammenkünften oder nicht aufgezeichneten </w:t>
      </w:r>
      <w:r>
        <w:lastRenderedPageBreak/>
        <w:t>Telefongesprächen erstellt hat, sollte die Person, die die Marktsondierung erhalten hat, binnen fünf Arbeitstagen nach Empfang:</w:t>
      </w:r>
    </w:p>
    <w:p w14:paraId="25E351C0" w14:textId="77777777" w:rsidR="009260A9" w:rsidRPr="00B76953" w:rsidRDefault="009260A9" w:rsidP="009260A9">
      <w:pPr>
        <w:pStyle w:val="04aNumbering"/>
        <w:numPr>
          <w:ilvl w:val="0"/>
          <w:numId w:val="24"/>
        </w:numPr>
        <w:rPr>
          <w:rFonts w:asciiTheme="minorHAnsi" w:hAnsiTheme="minorHAnsi" w:cstheme="minorHAnsi"/>
          <w:sz w:val="22"/>
          <w:szCs w:val="22"/>
        </w:rPr>
      </w:pPr>
      <w:r>
        <w:rPr>
          <w:rFonts w:asciiTheme="minorHAnsi" w:hAnsiTheme="minorHAnsi" w:cstheme="minorHAnsi"/>
          <w:sz w:val="22"/>
        </w:rPr>
        <w:t>diese Protokolle oder Vermerke unterzeichnen, wenn sie mit deren Inhalt einverstanden ist, oder</w:t>
      </w:r>
    </w:p>
    <w:p w14:paraId="1CC3F836" w14:textId="77777777" w:rsidR="009260A9" w:rsidRPr="00B76953" w:rsidRDefault="009260A9" w:rsidP="009260A9">
      <w:pPr>
        <w:pStyle w:val="04aNumbering"/>
        <w:numPr>
          <w:ilvl w:val="0"/>
          <w:numId w:val="24"/>
        </w:numPr>
        <w:rPr>
          <w:rFonts w:asciiTheme="minorHAnsi" w:hAnsiTheme="minorHAnsi" w:cstheme="minorHAnsi"/>
          <w:sz w:val="22"/>
          <w:szCs w:val="22"/>
        </w:rPr>
      </w:pPr>
      <w:r>
        <w:rPr>
          <w:rFonts w:asciiTheme="minorHAnsi" w:hAnsiTheme="minorHAnsi" w:cstheme="minorHAnsi"/>
          <w:sz w:val="22"/>
        </w:rPr>
        <w:t>dem offenlegenden Marktteilnehmer eine eigene ordnungsgemäß unterzeichnete Fassung dieser Protokolle oder Vermerke bereitstellen, wenn sie mit deren Inhalt nicht einverstanden ist.</w:t>
      </w:r>
    </w:p>
    <w:p w14:paraId="2515F1B5" w14:textId="77777777" w:rsidR="009260A9" w:rsidRPr="000039AB" w:rsidRDefault="009260A9" w:rsidP="009260A9">
      <w:pPr>
        <w:pStyle w:val="04aNumbering"/>
        <w:numPr>
          <w:ilvl w:val="0"/>
          <w:numId w:val="26"/>
        </w:numPr>
        <w:ind w:left="284" w:hanging="426"/>
        <w:rPr>
          <w:rFonts w:asciiTheme="minorHAnsi" w:hAnsiTheme="minorHAnsi" w:cstheme="minorHAnsi"/>
          <w:b/>
          <w:sz w:val="22"/>
          <w:szCs w:val="22"/>
        </w:rPr>
      </w:pPr>
      <w:r>
        <w:rPr>
          <w:rFonts w:asciiTheme="minorHAnsi" w:hAnsiTheme="minorHAnsi" w:cstheme="minorHAnsi"/>
          <w:b/>
          <w:sz w:val="22"/>
        </w:rPr>
        <w:t>Aufzeichnungsanforderungen</w:t>
      </w:r>
    </w:p>
    <w:p w14:paraId="55E6682C" w14:textId="77777777" w:rsidR="009260A9" w:rsidRPr="008B410D" w:rsidRDefault="009260A9" w:rsidP="008B410D">
      <w:pPr>
        <w:pStyle w:val="ListParagraph"/>
      </w:pPr>
      <w:r>
        <w:t>Personen, die die Marktsondierung erhalten, sollten Aufzeichnungen auf einem dauerhaften Datenträger führen, so dass deren Zugänglichkeit und Lesbarkeit für einen Zeitraum von mindestens fünf Jahren gewährleistet sind. Dies gilt in Bezug auf:</w:t>
      </w:r>
    </w:p>
    <w:p w14:paraId="03373B67" w14:textId="77777777" w:rsidR="003F61FB" w:rsidRDefault="003F61FB" w:rsidP="009260A9">
      <w:pPr>
        <w:pStyle w:val="04aNumbering"/>
        <w:numPr>
          <w:ilvl w:val="0"/>
          <w:numId w:val="25"/>
        </w:numPr>
        <w:rPr>
          <w:rFonts w:asciiTheme="minorHAnsi" w:hAnsiTheme="minorHAnsi" w:cstheme="minorHAnsi"/>
          <w:sz w:val="22"/>
          <w:szCs w:val="22"/>
        </w:rPr>
      </w:pPr>
      <w:r>
        <w:rPr>
          <w:rFonts w:asciiTheme="minorHAnsi" w:hAnsiTheme="minorHAnsi" w:cstheme="minorHAnsi"/>
          <w:sz w:val="22"/>
        </w:rPr>
        <w:t>die internen Verfahren gemäß Absatz 1;</w:t>
      </w:r>
    </w:p>
    <w:p w14:paraId="78EE829B" w14:textId="77777777" w:rsidR="009260A9" w:rsidRDefault="009260A9" w:rsidP="009260A9">
      <w:pPr>
        <w:pStyle w:val="04aNumbering"/>
        <w:numPr>
          <w:ilvl w:val="0"/>
          <w:numId w:val="25"/>
        </w:numPr>
        <w:rPr>
          <w:rFonts w:asciiTheme="minorHAnsi" w:hAnsiTheme="minorHAnsi" w:cstheme="minorHAnsi"/>
          <w:sz w:val="22"/>
          <w:szCs w:val="22"/>
        </w:rPr>
      </w:pPr>
      <w:r>
        <w:rPr>
          <w:rFonts w:asciiTheme="minorHAnsi" w:hAnsiTheme="minorHAnsi" w:cstheme="minorHAnsi"/>
          <w:sz w:val="22"/>
        </w:rPr>
        <w:t>die Mitteilungen gemäß Absatz 2;</w:t>
      </w:r>
    </w:p>
    <w:p w14:paraId="71156A3F" w14:textId="77777777" w:rsidR="009260A9" w:rsidRPr="008705C5" w:rsidRDefault="009260A9" w:rsidP="009260A9">
      <w:pPr>
        <w:pStyle w:val="04aNumbering"/>
        <w:numPr>
          <w:ilvl w:val="0"/>
          <w:numId w:val="25"/>
        </w:numPr>
        <w:rPr>
          <w:rFonts w:asciiTheme="minorHAnsi" w:hAnsiTheme="minorHAnsi" w:cstheme="minorHAnsi"/>
          <w:sz w:val="22"/>
          <w:szCs w:val="22"/>
        </w:rPr>
      </w:pPr>
      <w:r>
        <w:rPr>
          <w:rFonts w:asciiTheme="minorHAnsi" w:hAnsiTheme="minorHAnsi" w:cstheme="minorHAnsi"/>
          <w:sz w:val="22"/>
        </w:rPr>
        <w:t>die Einschätzungen gemäß Absatz 3 und die Gründe dafür;</w:t>
      </w:r>
    </w:p>
    <w:p w14:paraId="5D99E00E" w14:textId="77777777" w:rsidR="00BB1FE2" w:rsidRDefault="009260A9" w:rsidP="009260A9">
      <w:pPr>
        <w:pStyle w:val="04aNumbering"/>
        <w:numPr>
          <w:ilvl w:val="0"/>
          <w:numId w:val="25"/>
        </w:numPr>
        <w:rPr>
          <w:rFonts w:asciiTheme="minorHAnsi" w:hAnsiTheme="minorHAnsi" w:cstheme="minorHAnsi"/>
          <w:sz w:val="22"/>
          <w:szCs w:val="22"/>
        </w:rPr>
      </w:pPr>
      <w:r>
        <w:rPr>
          <w:rFonts w:asciiTheme="minorHAnsi" w:hAnsiTheme="minorHAnsi" w:cstheme="minorHAnsi"/>
          <w:sz w:val="22"/>
        </w:rPr>
        <w:t>die Bewertung der verbundenen Instrumente gemäß Absatz 4;</w:t>
      </w:r>
    </w:p>
    <w:p w14:paraId="73356BF3" w14:textId="77777777" w:rsidR="009260A9" w:rsidRPr="008705C5" w:rsidRDefault="00BB1FE2" w:rsidP="009260A9">
      <w:pPr>
        <w:pStyle w:val="04aNumbering"/>
        <w:numPr>
          <w:ilvl w:val="0"/>
          <w:numId w:val="25"/>
        </w:numPr>
        <w:rPr>
          <w:rFonts w:asciiTheme="minorHAnsi" w:hAnsiTheme="minorHAnsi" w:cstheme="minorHAnsi"/>
          <w:sz w:val="22"/>
          <w:szCs w:val="22"/>
        </w:rPr>
      </w:pPr>
      <w:r>
        <w:rPr>
          <w:rFonts w:asciiTheme="minorHAnsi" w:hAnsiTheme="minorHAnsi" w:cstheme="minorHAnsi"/>
          <w:sz w:val="22"/>
        </w:rPr>
        <w:t>die Personen, die für sie auf Grundlage eines Arbeitsvertrags oder anderweitig Aufgaben wahrnehmen, durch die sie Zugang zu den im Verlauf der Marktsondierungen übermittelten Informationen haben, für jede Marktsondierung in chronologischer Reihenfolge aufgeführt.</w:t>
      </w:r>
    </w:p>
    <w:sectPr w:rsidR="009260A9" w:rsidRPr="008705C5" w:rsidSect="004242B3">
      <w:headerReference w:type="default" r:id="rId15"/>
      <w:footerReference w:type="default" r:id="rId16"/>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F5FF8" w14:textId="77777777" w:rsidR="006C4D36" w:rsidRDefault="006C4D36" w:rsidP="007E7997">
      <w:pPr>
        <w:spacing w:line="240" w:lineRule="auto"/>
      </w:pPr>
      <w:r>
        <w:separator/>
      </w:r>
    </w:p>
  </w:endnote>
  <w:endnote w:type="continuationSeparator" w:id="0">
    <w:p w14:paraId="6988BE46" w14:textId="77777777" w:rsidR="006C4D36" w:rsidRDefault="006C4D36"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9743A" w14:textId="73BF1E54" w:rsidR="00366D42" w:rsidRDefault="00366D42">
    <w:pPr>
      <w:pStyle w:val="Footer"/>
    </w:pPr>
    <w:r>
      <w:ptab w:relativeTo="margin" w:alignment="center" w:leader="none"/>
    </w:r>
    <w:r>
      <w:ptab w:relativeTo="margin" w:alignment="right" w:leader="none"/>
    </w:r>
    <w:r w:rsidR="00046BB4">
      <w:rPr>
        <w:rFonts w:asciiTheme="majorHAnsi" w:hAnsiTheme="majorHAnsi"/>
        <w:color w:val="FFFFFF" w:themeColor="background1"/>
      </w:rPr>
      <w:t>1</w:t>
    </w:r>
    <w:r w:rsidR="005F6627" w:rsidRPr="005F6627">
      <w:rPr>
        <w:rFonts w:asciiTheme="majorHAnsi" w:hAnsiTheme="majorHAnsi"/>
        <w:color w:val="FFFFFF" w:themeColor="background1"/>
      </w:rPr>
      <w:t>0/1</w:t>
    </w:r>
    <w:r w:rsidR="00046BB4">
      <w:rPr>
        <w:rFonts w:asciiTheme="majorHAnsi" w:hAnsiTheme="majorHAnsi"/>
        <w:color w:val="FFFFFF" w:themeColor="background1"/>
      </w:rPr>
      <w:t>1</w:t>
    </w:r>
    <w:r w:rsidR="005F6627" w:rsidRPr="005F6627">
      <w:rPr>
        <w:rFonts w:asciiTheme="majorHAnsi" w:hAnsiTheme="majorHAnsi"/>
        <w:color w:val="FFFFFF" w:themeColor="background1"/>
      </w:rPr>
      <w:t>/2016</w:t>
    </w:r>
    <w:r w:rsidRPr="005F6627">
      <w:rPr>
        <w:rFonts w:asciiTheme="majorHAnsi" w:hAnsiTheme="majorHAnsi"/>
        <w:color w:val="FFFFFF" w:themeColor="background1"/>
      </w:rPr>
      <w:t xml:space="preserve"> | ESMA/</w:t>
    </w:r>
    <w:r w:rsidR="005F6627" w:rsidRPr="005F6627">
      <w:rPr>
        <w:rFonts w:asciiTheme="majorHAnsi" w:hAnsiTheme="majorHAnsi"/>
        <w:color w:val="FFFFFF" w:themeColor="background1"/>
      </w:rPr>
      <w:t>2016/</w:t>
    </w:r>
    <w:r w:rsidR="005F6627">
      <w:rPr>
        <w:rFonts w:asciiTheme="majorHAnsi" w:hAnsiTheme="majorHAnsi"/>
        <w:color w:val="FFFFFF" w:themeColor="background1"/>
      </w:rPr>
      <w:t xml:space="preserve">1477 DE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024557"/>
      <w:docPartObj>
        <w:docPartGallery w:val="Page Numbers (Bottom of Page)"/>
        <w:docPartUnique/>
      </w:docPartObj>
    </w:sdtPr>
    <w:sdtEndPr>
      <w:rPr>
        <w:noProof/>
      </w:rPr>
    </w:sdtEndPr>
    <w:sdtContent>
      <w:p w14:paraId="68177921" w14:textId="762217D5" w:rsidR="009C7694" w:rsidRDefault="00AC79E0" w:rsidP="00FB24ED">
        <w:pPr>
          <w:pStyle w:val="Footer"/>
          <w:jc w:val="right"/>
        </w:pPr>
        <w:r>
          <w:fldChar w:fldCharType="begin"/>
        </w:r>
        <w:r>
          <w:instrText xml:space="preserve"> PAGE   \* MERGEFORMAT </w:instrText>
        </w:r>
        <w:r>
          <w:fldChar w:fldCharType="separate"/>
        </w:r>
        <w:r w:rsidR="008450AC">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E8AE8" w14:textId="77777777" w:rsidR="006C4D36" w:rsidRDefault="006C4D36" w:rsidP="007E7997">
      <w:pPr>
        <w:spacing w:line="240" w:lineRule="auto"/>
      </w:pPr>
      <w:r>
        <w:separator/>
      </w:r>
    </w:p>
  </w:footnote>
  <w:footnote w:type="continuationSeparator" w:id="0">
    <w:p w14:paraId="49F4EF6F" w14:textId="77777777" w:rsidR="006C4D36" w:rsidRDefault="006C4D36" w:rsidP="007E79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33C8F" w14:textId="77777777" w:rsidR="009C7694" w:rsidRDefault="009C7694">
    <w:pPr>
      <w:pStyle w:val="Header"/>
    </w:pPr>
    <w:r>
      <w:rPr>
        <w:noProof/>
        <w:lang w:val="en-GB" w:eastAsia="en-GB" w:bidi="ar-SA"/>
      </w:rPr>
      <w:drawing>
        <wp:anchor distT="0" distB="0" distL="114300" distR="114300" simplePos="0" relativeHeight="251660288" behindDoc="0" locked="0" layoutInCell="1" allowOverlap="1" wp14:anchorId="12919328" wp14:editId="75C731BB">
          <wp:simplePos x="0" y="0"/>
          <wp:positionH relativeFrom="page">
            <wp:posOffset>366395</wp:posOffset>
          </wp:positionH>
          <wp:positionV relativeFrom="page">
            <wp:posOffset>372745</wp:posOffset>
          </wp:positionV>
          <wp:extent cx="2209800" cy="904875"/>
          <wp:effectExtent l="0" t="0" r="0" b="9525"/>
          <wp:wrapNone/>
          <wp:docPr id="6" name="Picture 6"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bidi="ar-SA"/>
      </w:rPr>
      <w:drawing>
        <wp:anchor distT="0" distB="0" distL="114300" distR="114300" simplePos="0" relativeHeight="251657216" behindDoc="1" locked="0" layoutInCell="1" allowOverlap="1" wp14:anchorId="75CBC8B8" wp14:editId="25E0295D">
          <wp:simplePos x="0" y="0"/>
          <wp:positionH relativeFrom="page">
            <wp:align>right</wp:align>
          </wp:positionH>
          <wp:positionV relativeFrom="page">
            <wp:align>bottom</wp:align>
          </wp:positionV>
          <wp:extent cx="7560310" cy="6800850"/>
          <wp:effectExtent l="0" t="0" r="2540" b="0"/>
          <wp:wrapNone/>
          <wp:docPr id="7" name="Picture 7"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C3DF6" w14:textId="77777777" w:rsidR="00B50534" w:rsidRDefault="00317EDF" w:rsidP="00B50534">
    <w:pPr>
      <w:pStyle w:val="Header"/>
      <w:jc w:val="right"/>
      <w:rPr>
        <w:b/>
        <w:color w:val="FF0000"/>
      </w:rPr>
    </w:pPr>
    <w:r>
      <w:rPr>
        <w:rFonts w:ascii="Arial" w:hAnsi="Arial" w:cs="Arial"/>
        <w:noProof/>
        <w:lang w:val="en-GB" w:eastAsia="en-GB" w:bidi="ar-SA"/>
      </w:rPr>
      <mc:AlternateContent>
        <mc:Choice Requires="wps">
          <w:drawing>
            <wp:anchor distT="0" distB="0" distL="114300" distR="114300" simplePos="0" relativeHeight="251672576" behindDoc="0" locked="0" layoutInCell="1" allowOverlap="1" wp14:anchorId="239FABA1" wp14:editId="3F8806F8">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xmlns:o="urn:schemas-microsoft-com:office:office" xmlns:w14="http://schemas.microsoft.com/office/word/2010/wordml" xmlns:v="urn:schemas-microsoft-com:vml" w14:anchorId="210FB549"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xmlns:w10="urn:schemas-microsoft-com:office:word" anchorx="page" anchory="page"/>
            </v:line>
          </w:pict>
        </mc:Fallback>
      </mc:AlternateContent>
    </w:r>
  </w:p>
  <w:p w14:paraId="09A1ACA9" w14:textId="41657143" w:rsidR="003F39B1" w:rsidRPr="00C3170E" w:rsidRDefault="009C7694" w:rsidP="00B50534">
    <w:pPr>
      <w:pStyle w:val="Header"/>
      <w:jc w:val="right"/>
      <w:rPr>
        <w:color w:val="2F5496" w:themeColor="accent5" w:themeShade="BF"/>
        <w:sz w:val="20"/>
      </w:rPr>
    </w:pPr>
    <w:r>
      <w:rPr>
        <w:noProof/>
        <w:color w:val="2F5496" w:themeColor="accent5" w:themeShade="BF"/>
        <w:sz w:val="20"/>
        <w:lang w:val="en-GB" w:eastAsia="en-GB" w:bidi="ar-SA"/>
      </w:rPr>
      <w:drawing>
        <wp:anchor distT="0" distB="0" distL="114300" distR="114300" simplePos="0" relativeHeight="251668480" behindDoc="0" locked="0" layoutInCell="1" allowOverlap="1" wp14:anchorId="60803CDF" wp14:editId="32AC1C9E">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1A697BE8" w14:textId="77777777" w:rsidR="00B50534" w:rsidRPr="00B50534" w:rsidRDefault="00B50534"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62D0DF2"/>
    <w:multiLevelType w:val="hybridMultilevel"/>
    <w:tmpl w:val="576AE9C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7825F7B"/>
    <w:multiLevelType w:val="hybridMultilevel"/>
    <w:tmpl w:val="40349164"/>
    <w:lvl w:ilvl="0" w:tplc="04070019">
      <w:start w:val="1"/>
      <w:numFmt w:val="lowerLetter"/>
      <w:lvlText w:val="%1."/>
      <w:lvlJc w:val="left"/>
      <w:pPr>
        <w:tabs>
          <w:tab w:val="num" w:pos="1440"/>
        </w:tabs>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DA36575"/>
    <w:multiLevelType w:val="hybridMultilevel"/>
    <w:tmpl w:val="1BDE8D7A"/>
    <w:lvl w:ilvl="0" w:tplc="B32E9A22">
      <w:start w:val="49"/>
      <w:numFmt w:val="decimal"/>
      <w:lvlText w:val="%1."/>
      <w:lvlJc w:val="left"/>
      <w:pPr>
        <w:tabs>
          <w:tab w:val="num" w:pos="284"/>
        </w:tabs>
        <w:ind w:left="284" w:hanging="284"/>
      </w:pPr>
      <w:rPr>
        <w:rFonts w:asciiTheme="minorHAnsi" w:hAnsiTheme="minorHAnsi" w:cstheme="minorHAnsi" w:hint="default"/>
        <w:sz w:val="2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F7F226E"/>
    <w:multiLevelType w:val="hybridMultilevel"/>
    <w:tmpl w:val="40349164"/>
    <w:lvl w:ilvl="0" w:tplc="04070019">
      <w:start w:val="1"/>
      <w:numFmt w:val="lowerLetter"/>
      <w:lvlText w:val="%1."/>
      <w:lvlJc w:val="left"/>
      <w:pPr>
        <w:tabs>
          <w:tab w:val="num" w:pos="1440"/>
        </w:tabs>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F71B2E"/>
    <w:multiLevelType w:val="hybridMultilevel"/>
    <w:tmpl w:val="40349164"/>
    <w:lvl w:ilvl="0" w:tplc="04070019">
      <w:start w:val="1"/>
      <w:numFmt w:val="lowerLetter"/>
      <w:lvlText w:val="%1."/>
      <w:lvlJc w:val="left"/>
      <w:pPr>
        <w:tabs>
          <w:tab w:val="num" w:pos="1440"/>
        </w:tabs>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4EA0F9F"/>
    <w:multiLevelType w:val="hybridMultilevel"/>
    <w:tmpl w:val="F7B0DEE6"/>
    <w:lvl w:ilvl="0" w:tplc="08090011">
      <w:start w:val="1"/>
      <w:numFmt w:val="decimal"/>
      <w:lvlText w:val="%1)"/>
      <w:lvlJc w:val="left"/>
      <w:pPr>
        <w:tabs>
          <w:tab w:val="num" w:pos="284"/>
        </w:tabs>
        <w:ind w:left="284" w:hanging="284"/>
      </w:pPr>
      <w:rPr>
        <w:rFonts w:hint="default"/>
        <w:sz w:val="2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453D7613"/>
    <w:multiLevelType w:val="hybridMultilevel"/>
    <w:tmpl w:val="273ECEF8"/>
    <w:lvl w:ilvl="0" w:tplc="08090011">
      <w:start w:val="1"/>
      <w:numFmt w:val="decimal"/>
      <w:lvlText w:val="%1)"/>
      <w:lvlJc w:val="left"/>
      <w:pPr>
        <w:tabs>
          <w:tab w:val="num" w:pos="284"/>
        </w:tabs>
        <w:ind w:left="284" w:hanging="284"/>
      </w:pPr>
      <w:rPr>
        <w:rFonts w:hint="default"/>
        <w:sz w:val="2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D613926"/>
    <w:multiLevelType w:val="hybridMultilevel"/>
    <w:tmpl w:val="8836F8DC"/>
    <w:lvl w:ilvl="0" w:tplc="AEF68D20">
      <w:start w:val="1"/>
      <w:numFmt w:val="decimal"/>
      <w:lvlText w:val="%1)"/>
      <w:lvlJc w:val="left"/>
      <w:pPr>
        <w:tabs>
          <w:tab w:val="num" w:pos="284"/>
        </w:tabs>
        <w:ind w:left="284" w:hanging="284"/>
      </w:pPr>
      <w:rPr>
        <w:rFonts w:hint="default"/>
        <w:sz w:val="2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2361949"/>
    <w:multiLevelType w:val="hybridMultilevel"/>
    <w:tmpl w:val="40349164"/>
    <w:lvl w:ilvl="0" w:tplc="04070019">
      <w:start w:val="1"/>
      <w:numFmt w:val="lowerLetter"/>
      <w:lvlText w:val="%1."/>
      <w:lvlJc w:val="left"/>
      <w:pPr>
        <w:tabs>
          <w:tab w:val="num" w:pos="1440"/>
        </w:tabs>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1" w15:restartNumberingAfterBreak="0">
    <w:nsid w:val="65843817"/>
    <w:multiLevelType w:val="hybridMultilevel"/>
    <w:tmpl w:val="A7E227CE"/>
    <w:lvl w:ilvl="0" w:tplc="562E839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3" w15:restartNumberingAfterBreak="0">
    <w:nsid w:val="68A37ABB"/>
    <w:multiLevelType w:val="hybridMultilevel"/>
    <w:tmpl w:val="3B102048"/>
    <w:lvl w:ilvl="0" w:tplc="E4BCB19A">
      <w:start w:val="1"/>
      <w:numFmt w:val="decimal"/>
      <w:lvlText w:val="%1)"/>
      <w:lvlJc w:val="left"/>
      <w:pPr>
        <w:tabs>
          <w:tab w:val="num" w:pos="284"/>
        </w:tabs>
        <w:ind w:left="284" w:hanging="284"/>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AD1101"/>
    <w:multiLevelType w:val="multilevel"/>
    <w:tmpl w:val="F6C450A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6"/>
  </w:num>
  <w:num w:numId="2">
    <w:abstractNumId w:val="6"/>
  </w:num>
  <w:num w:numId="3">
    <w:abstractNumId w:val="24"/>
  </w:num>
  <w:num w:numId="4">
    <w:abstractNumId w:val="7"/>
  </w:num>
  <w:num w:numId="5">
    <w:abstractNumId w:val="20"/>
  </w:num>
  <w:num w:numId="6">
    <w:abstractNumId w:val="13"/>
  </w:num>
  <w:num w:numId="7">
    <w:abstractNumId w:val="0"/>
  </w:num>
  <w:num w:numId="8">
    <w:abstractNumId w:val="8"/>
  </w:num>
  <w:num w:numId="9">
    <w:abstractNumId w:val="5"/>
  </w:num>
  <w:num w:numId="10">
    <w:abstractNumId w:val="3"/>
  </w:num>
  <w:num w:numId="11">
    <w:abstractNumId w:val="22"/>
  </w:num>
  <w:num w:numId="12">
    <w:abstractNumId w:val="9"/>
  </w:num>
  <w:num w:numId="13">
    <w:abstractNumId w:val="25"/>
  </w:num>
  <w:num w:numId="14">
    <w:abstractNumId w:val="14"/>
  </w:num>
  <w:num w:numId="15">
    <w:abstractNumId w:val="17"/>
  </w:num>
  <w:num w:numId="16">
    <w:abstractNumId w:val="2"/>
  </w:num>
  <w:num w:numId="17">
    <w:abstractNumId w:val="15"/>
  </w:num>
  <w:num w:numId="18">
    <w:abstractNumId w:val="10"/>
  </w:num>
  <w:num w:numId="19">
    <w:abstractNumId w:val="16"/>
  </w:num>
  <w:num w:numId="20">
    <w:abstractNumId w:val="18"/>
  </w:num>
  <w:num w:numId="21">
    <w:abstractNumId w:val="23"/>
  </w:num>
  <w:num w:numId="22">
    <w:abstractNumId w:val="11"/>
  </w:num>
  <w:num w:numId="23">
    <w:abstractNumId w:val="19"/>
  </w:num>
  <w:num w:numId="24">
    <w:abstractNumId w:val="4"/>
  </w:num>
  <w:num w:numId="25">
    <w:abstractNumId w:val="12"/>
  </w:num>
  <w:num w:numId="26">
    <w:abstractNumId w:val="21"/>
  </w:num>
  <w:num w:numId="27">
    <w:abstractNumId w:val="14"/>
  </w:num>
  <w:num w:numId="28">
    <w:abstractNumId w:val="1"/>
  </w:num>
  <w:num w:numId="29">
    <w:abstractNumId w:val="14"/>
  </w:num>
  <w:num w:numId="30">
    <w:abstractNumId w:val="14"/>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7A4"/>
    <w:rsid w:val="00001B69"/>
    <w:rsid w:val="00007C61"/>
    <w:rsid w:val="00010C39"/>
    <w:rsid w:val="00012D68"/>
    <w:rsid w:val="00015792"/>
    <w:rsid w:val="000169FE"/>
    <w:rsid w:val="00020300"/>
    <w:rsid w:val="000268CD"/>
    <w:rsid w:val="000372BF"/>
    <w:rsid w:val="00044C5A"/>
    <w:rsid w:val="00046BB4"/>
    <w:rsid w:val="00057D2D"/>
    <w:rsid w:val="000A3D10"/>
    <w:rsid w:val="000B5D3D"/>
    <w:rsid w:val="000C0CE0"/>
    <w:rsid w:val="000C328B"/>
    <w:rsid w:val="000D1038"/>
    <w:rsid w:val="000D60B7"/>
    <w:rsid w:val="000F2761"/>
    <w:rsid w:val="000F7140"/>
    <w:rsid w:val="001127BF"/>
    <w:rsid w:val="00120F0D"/>
    <w:rsid w:val="00130EF9"/>
    <w:rsid w:val="001319C7"/>
    <w:rsid w:val="00141CF1"/>
    <w:rsid w:val="00144AAD"/>
    <w:rsid w:val="001B2151"/>
    <w:rsid w:val="001B3CFF"/>
    <w:rsid w:val="001B4996"/>
    <w:rsid w:val="001C27CB"/>
    <w:rsid w:val="001C543B"/>
    <w:rsid w:val="001D1403"/>
    <w:rsid w:val="001F1A9F"/>
    <w:rsid w:val="001F3D9D"/>
    <w:rsid w:val="001F6974"/>
    <w:rsid w:val="0021090E"/>
    <w:rsid w:val="00216AEB"/>
    <w:rsid w:val="0022005C"/>
    <w:rsid w:val="00230ABC"/>
    <w:rsid w:val="0024474C"/>
    <w:rsid w:val="002574D1"/>
    <w:rsid w:val="002618F7"/>
    <w:rsid w:val="00281DAF"/>
    <w:rsid w:val="00287C8F"/>
    <w:rsid w:val="00290866"/>
    <w:rsid w:val="002E1C11"/>
    <w:rsid w:val="002F0788"/>
    <w:rsid w:val="002F6D3C"/>
    <w:rsid w:val="00314117"/>
    <w:rsid w:val="00317EDF"/>
    <w:rsid w:val="003279E7"/>
    <w:rsid w:val="0033324D"/>
    <w:rsid w:val="003454ED"/>
    <w:rsid w:val="00366D42"/>
    <w:rsid w:val="0037174B"/>
    <w:rsid w:val="0038331A"/>
    <w:rsid w:val="003A00ED"/>
    <w:rsid w:val="003A3D55"/>
    <w:rsid w:val="003B7391"/>
    <w:rsid w:val="003C167E"/>
    <w:rsid w:val="003C4EB5"/>
    <w:rsid w:val="003D0FF4"/>
    <w:rsid w:val="003D7BF2"/>
    <w:rsid w:val="003F39B1"/>
    <w:rsid w:val="003F61FB"/>
    <w:rsid w:val="004052BE"/>
    <w:rsid w:val="00407623"/>
    <w:rsid w:val="0041672F"/>
    <w:rsid w:val="004218B6"/>
    <w:rsid w:val="004242B3"/>
    <w:rsid w:val="004250AF"/>
    <w:rsid w:val="0043019F"/>
    <w:rsid w:val="00435FE9"/>
    <w:rsid w:val="00445696"/>
    <w:rsid w:val="004A4AAA"/>
    <w:rsid w:val="004A7D5A"/>
    <w:rsid w:val="004F2AB4"/>
    <w:rsid w:val="00520F7C"/>
    <w:rsid w:val="00526E5D"/>
    <w:rsid w:val="00565193"/>
    <w:rsid w:val="0057634F"/>
    <w:rsid w:val="005A5007"/>
    <w:rsid w:val="005B6B12"/>
    <w:rsid w:val="005C2001"/>
    <w:rsid w:val="005D2DE7"/>
    <w:rsid w:val="005E7969"/>
    <w:rsid w:val="005F6627"/>
    <w:rsid w:val="0062268A"/>
    <w:rsid w:val="006253F3"/>
    <w:rsid w:val="0063565E"/>
    <w:rsid w:val="00636E02"/>
    <w:rsid w:val="00642297"/>
    <w:rsid w:val="006425C9"/>
    <w:rsid w:val="00644A34"/>
    <w:rsid w:val="006471DA"/>
    <w:rsid w:val="00654AD2"/>
    <w:rsid w:val="00655CAB"/>
    <w:rsid w:val="00662882"/>
    <w:rsid w:val="00665A7C"/>
    <w:rsid w:val="00671363"/>
    <w:rsid w:val="00683B5F"/>
    <w:rsid w:val="00697BA0"/>
    <w:rsid w:val="006A7A10"/>
    <w:rsid w:val="006B0DA4"/>
    <w:rsid w:val="006B1B6B"/>
    <w:rsid w:val="006C4D36"/>
    <w:rsid w:val="006F3795"/>
    <w:rsid w:val="006F53E8"/>
    <w:rsid w:val="007056C3"/>
    <w:rsid w:val="00706072"/>
    <w:rsid w:val="00754B57"/>
    <w:rsid w:val="00777600"/>
    <w:rsid w:val="007878B6"/>
    <w:rsid w:val="00797E0C"/>
    <w:rsid w:val="007A5729"/>
    <w:rsid w:val="007A79AB"/>
    <w:rsid w:val="007B522D"/>
    <w:rsid w:val="007E7997"/>
    <w:rsid w:val="007F68DB"/>
    <w:rsid w:val="0080682C"/>
    <w:rsid w:val="008173E2"/>
    <w:rsid w:val="00841598"/>
    <w:rsid w:val="008450AC"/>
    <w:rsid w:val="00852299"/>
    <w:rsid w:val="00854461"/>
    <w:rsid w:val="00864463"/>
    <w:rsid w:val="008705C5"/>
    <w:rsid w:val="0089075A"/>
    <w:rsid w:val="008A0083"/>
    <w:rsid w:val="008A7246"/>
    <w:rsid w:val="008B410D"/>
    <w:rsid w:val="008C767A"/>
    <w:rsid w:val="008D5C28"/>
    <w:rsid w:val="008D6BF7"/>
    <w:rsid w:val="008E7DBA"/>
    <w:rsid w:val="008F4642"/>
    <w:rsid w:val="009156B4"/>
    <w:rsid w:val="00917EC4"/>
    <w:rsid w:val="009260A9"/>
    <w:rsid w:val="0096211D"/>
    <w:rsid w:val="00975325"/>
    <w:rsid w:val="00990CFA"/>
    <w:rsid w:val="009917AB"/>
    <w:rsid w:val="0099526D"/>
    <w:rsid w:val="009A5BD4"/>
    <w:rsid w:val="009C7694"/>
    <w:rsid w:val="009D7294"/>
    <w:rsid w:val="009D79FC"/>
    <w:rsid w:val="00A026A4"/>
    <w:rsid w:val="00A322DC"/>
    <w:rsid w:val="00A410CC"/>
    <w:rsid w:val="00A42B43"/>
    <w:rsid w:val="00A53AF0"/>
    <w:rsid w:val="00A6601B"/>
    <w:rsid w:val="00A91D91"/>
    <w:rsid w:val="00AA054E"/>
    <w:rsid w:val="00AB374C"/>
    <w:rsid w:val="00AB7542"/>
    <w:rsid w:val="00AC79E0"/>
    <w:rsid w:val="00AE36FD"/>
    <w:rsid w:val="00AE4FC7"/>
    <w:rsid w:val="00AE60CC"/>
    <w:rsid w:val="00AF4F20"/>
    <w:rsid w:val="00B00CF1"/>
    <w:rsid w:val="00B04283"/>
    <w:rsid w:val="00B062E7"/>
    <w:rsid w:val="00B15C0B"/>
    <w:rsid w:val="00B17AF3"/>
    <w:rsid w:val="00B27499"/>
    <w:rsid w:val="00B40D81"/>
    <w:rsid w:val="00B440B0"/>
    <w:rsid w:val="00B50534"/>
    <w:rsid w:val="00B52E10"/>
    <w:rsid w:val="00B655D1"/>
    <w:rsid w:val="00B91B6E"/>
    <w:rsid w:val="00BB1FE2"/>
    <w:rsid w:val="00BB449C"/>
    <w:rsid w:val="00BC2561"/>
    <w:rsid w:val="00BC422A"/>
    <w:rsid w:val="00BE225E"/>
    <w:rsid w:val="00BF25CD"/>
    <w:rsid w:val="00C0358F"/>
    <w:rsid w:val="00C0696A"/>
    <w:rsid w:val="00C14E41"/>
    <w:rsid w:val="00C3170E"/>
    <w:rsid w:val="00C9545D"/>
    <w:rsid w:val="00C978C6"/>
    <w:rsid w:val="00CB4714"/>
    <w:rsid w:val="00CB50EF"/>
    <w:rsid w:val="00CB791A"/>
    <w:rsid w:val="00CD47B2"/>
    <w:rsid w:val="00CE49F8"/>
    <w:rsid w:val="00D00B4B"/>
    <w:rsid w:val="00D22F2F"/>
    <w:rsid w:val="00D32BAD"/>
    <w:rsid w:val="00D46275"/>
    <w:rsid w:val="00D67086"/>
    <w:rsid w:val="00D71817"/>
    <w:rsid w:val="00D73338"/>
    <w:rsid w:val="00D94165"/>
    <w:rsid w:val="00D978C6"/>
    <w:rsid w:val="00DA1BD2"/>
    <w:rsid w:val="00DD4915"/>
    <w:rsid w:val="00DF1ED8"/>
    <w:rsid w:val="00DF2D8A"/>
    <w:rsid w:val="00DF3785"/>
    <w:rsid w:val="00DF777F"/>
    <w:rsid w:val="00E12F05"/>
    <w:rsid w:val="00E3456B"/>
    <w:rsid w:val="00E37625"/>
    <w:rsid w:val="00E477A4"/>
    <w:rsid w:val="00E6015A"/>
    <w:rsid w:val="00E61705"/>
    <w:rsid w:val="00E63745"/>
    <w:rsid w:val="00E734D9"/>
    <w:rsid w:val="00E90B3E"/>
    <w:rsid w:val="00EA6A25"/>
    <w:rsid w:val="00EC6BD8"/>
    <w:rsid w:val="00ED74D7"/>
    <w:rsid w:val="00F15998"/>
    <w:rsid w:val="00F226E0"/>
    <w:rsid w:val="00F37F9E"/>
    <w:rsid w:val="00F43FE2"/>
    <w:rsid w:val="00F558A7"/>
    <w:rsid w:val="00F5649A"/>
    <w:rsid w:val="00F607DB"/>
    <w:rsid w:val="00F608EE"/>
    <w:rsid w:val="00F635F5"/>
    <w:rsid w:val="00F67EBD"/>
    <w:rsid w:val="00F7341A"/>
    <w:rsid w:val="00F80FAB"/>
    <w:rsid w:val="00FA1620"/>
    <w:rsid w:val="00FB24ED"/>
    <w:rsid w:val="00FC31A7"/>
    <w:rsid w:val="00FC4358"/>
    <w:rsid w:val="00FC64A9"/>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3AAE0"/>
  <w15:docId w15:val="{DC3D5571-A187-4E24-AAD6-F6CCCF17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de-DE" w:eastAsia="de-DE" w:bidi="de-DE"/>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C8F"/>
    <w:pPr>
      <w:spacing w:after="250" w:line="276" w:lineRule="auto"/>
      <w:jc w:val="both"/>
    </w:pPr>
    <w:rPr>
      <w:sz w:val="22"/>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3C167E"/>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de-DE"/>
    </w:rPr>
  </w:style>
  <w:style w:type="character" w:customStyle="1" w:styleId="Heading2Char">
    <w:name w:val="Heading 2 Char"/>
    <w:basedOn w:val="DefaultParagraphFont"/>
    <w:link w:val="Heading2"/>
    <w:uiPriority w:val="9"/>
    <w:rsid w:val="003C167E"/>
    <w:rPr>
      <w:rFonts w:asciiTheme="majorHAnsi" w:eastAsiaTheme="majorEastAsia" w:hAnsiTheme="majorHAnsi" w:cstheme="majorBidi"/>
      <w:b/>
      <w:sz w:val="28"/>
      <w:szCs w:val="28"/>
      <w:lang w:val="de-DE"/>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de-DE"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aliases w:val="Paragraphe EI,Paragraphe de liste1,EC"/>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spacing w:after="0"/>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rPr>
  </w:style>
  <w:style w:type="character" w:customStyle="1" w:styleId="Title4Char">
    <w:name w:val="Title 4 Char"/>
    <w:basedOn w:val="Title3Char"/>
    <w:link w:val="Title4"/>
    <w:rsid w:val="003C4EB5"/>
    <w:rPr>
      <w:lang w:val="de-D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de-DE"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de-DE"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de-DE"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de-DE"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de-DE"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8F4642"/>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de-DE"/>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de-DE"/>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de-DE"/>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rPr>
  </w:style>
  <w:style w:type="paragraph" w:customStyle="1" w:styleId="02Date">
    <w:name w:val="02_Date"/>
    <w:basedOn w:val="Normal"/>
    <w:rsid w:val="00636E02"/>
    <w:pPr>
      <w:spacing w:line="220" w:lineRule="exact"/>
    </w:pPr>
    <w:rPr>
      <w:rFonts w:ascii="Georgia" w:eastAsia="Times New Roman" w:hAnsi="Georgia" w:cs="Times New Roman"/>
      <w:sz w:val="17"/>
      <w:szCs w:val="24"/>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B91B6E"/>
    <w:pPr>
      <w:contextualSpacing/>
    </w:pPr>
    <w:rPr>
      <w:b/>
    </w:rPr>
  </w:style>
  <w:style w:type="character" w:customStyle="1" w:styleId="QuestionstyleChar">
    <w:name w:val="Question style Char"/>
    <w:basedOn w:val="DefaultParagraphFont"/>
    <w:link w:val="Questionstyle"/>
    <w:rsid w:val="00B91B6E"/>
    <w:rPr>
      <w:b/>
      <w:lang w:val="de-DE"/>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de-DE"/>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de-DE"/>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autoRedefine/>
    <w:unhideWhenUsed/>
    <w:qFormat/>
    <w:rsid w:val="006F53E8"/>
    <w:pPr>
      <w:spacing w:after="0" w:line="240" w:lineRule="auto"/>
    </w:pPr>
    <w:rPr>
      <w:sz w:val="16"/>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basedOn w:val="DefaultParagraphFont"/>
    <w:link w:val="FootnoteText"/>
    <w:rsid w:val="006F53E8"/>
    <w:rPr>
      <w:sz w:val="16"/>
      <w:lang w:val="de-DE"/>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style>
  <w:style w:type="character" w:customStyle="1" w:styleId="FootnoteChar">
    <w:name w:val="Footnote Char"/>
    <w:basedOn w:val="FootnoteTextChar"/>
    <w:link w:val="Footnote"/>
    <w:rsid w:val="00B50534"/>
    <w:rPr>
      <w:sz w:val="16"/>
      <w:lang w:val="de-DE"/>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link w:val="04aNumberingChar"/>
    <w:uiPriority w:val="99"/>
    <w:rsid w:val="00287C8F"/>
    <w:pPr>
      <w:numPr>
        <w:numId w:val="14"/>
      </w:numPr>
    </w:pPr>
    <w:rPr>
      <w:rFonts w:ascii="Georgia" w:eastAsia="Times New Roman" w:hAnsi="Georgia" w:cs="Times New Roman"/>
      <w:sz w:val="20"/>
      <w:szCs w:val="24"/>
    </w:rPr>
  </w:style>
  <w:style w:type="paragraph" w:styleId="BalloonText">
    <w:name w:val="Balloon Text"/>
    <w:basedOn w:val="Normal"/>
    <w:link w:val="BalloonTextChar"/>
    <w:uiPriority w:val="99"/>
    <w:semiHidden/>
    <w:unhideWhenUsed/>
    <w:rsid w:val="003C1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de-DE"/>
    </w:rPr>
  </w:style>
  <w:style w:type="paragraph" w:customStyle="1" w:styleId="04eBodytextleft">
    <w:name w:val="04e_Body text left"/>
    <w:basedOn w:val="Normal"/>
    <w:rsid w:val="00E734D9"/>
    <w:pPr>
      <w:spacing w:after="0"/>
      <w:jc w:val="left"/>
    </w:pPr>
    <w:rPr>
      <w:rFonts w:ascii="Georgia" w:eastAsia="Times New Roman" w:hAnsi="Georgia" w:cs="Times New Roman"/>
      <w:sz w:val="20"/>
      <w:szCs w:val="24"/>
    </w:rPr>
  </w:style>
  <w:style w:type="character" w:customStyle="1" w:styleId="04aNumberingChar">
    <w:name w:val="04a_Numbering Char"/>
    <w:link w:val="04aNumbering"/>
    <w:uiPriority w:val="99"/>
    <w:locked/>
    <w:rsid w:val="009260A9"/>
    <w:rPr>
      <w:rFonts w:ascii="Georgia" w:eastAsia="Times New Roman" w:hAnsi="Georgia" w:cs="Times New Roman"/>
      <w:szCs w:val="24"/>
      <w:lang w:val="de-DE"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rsid w:val="000268CD"/>
    <w:rPr>
      <w:lang w:val="de-DE"/>
    </w:rPr>
  </w:style>
  <w:style w:type="paragraph" w:styleId="CommentSubject">
    <w:name w:val="annotation subject"/>
    <w:basedOn w:val="CommentText"/>
    <w:next w:val="CommentText"/>
    <w:link w:val="CommentSubjectChar"/>
    <w:uiPriority w:val="99"/>
    <w:semiHidden/>
    <w:unhideWhenUsed/>
    <w:rsid w:val="000268CD"/>
    <w:rPr>
      <w:b/>
      <w:bCs/>
    </w:rPr>
  </w:style>
  <w:style w:type="character" w:customStyle="1" w:styleId="CommentSubjectChar">
    <w:name w:val="Comment Subject Char"/>
    <w:basedOn w:val="CommentTextChar"/>
    <w:link w:val="CommentSubject"/>
    <w:uiPriority w:val="99"/>
    <w:semiHidden/>
    <w:rsid w:val="000268CD"/>
    <w:rPr>
      <w:b/>
      <w:bCs/>
      <w:lang w:val="de-DE"/>
    </w:rPr>
  </w:style>
  <w:style w:type="paragraph" w:customStyle="1" w:styleId="Default">
    <w:name w:val="Default"/>
    <w:rsid w:val="00001B69"/>
    <w:pPr>
      <w:autoSpaceDE w:val="0"/>
      <w:autoSpaceDN w:val="0"/>
      <w:adjustRightInd w:val="0"/>
      <w:spacing w:after="0" w:line="240" w:lineRule="auto"/>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guidelinesGL2@esma.europa.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irtori\Documents\WORK\(1)%20Market%20Abuse\2)%20Guidelines\2)%20GL2%20(market%20soundings)%20+%20GL3%20(legitimate%20interests)\2016%2005%2030%20-%20Final%20report%20MAR%20guidelines%20(market%20soundings%20-%20legitimate%20interes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Translations Document" ma:contentTypeID="0x010100959B6529F45C5E459BCBB575038C62D801050038008EA30D771A48A04B041ABBB32AF1" ma:contentTypeVersion="11" ma:contentTypeDescription="" ma:contentTypeScope="" ma:versionID="d42b39bd96e980d76d4efd00e3f56ded">
  <xsd:schema xmlns:xsd="http://www.w3.org/2001/XMLSchema" xmlns:xs="http://www.w3.org/2001/XMLSchema" xmlns:p="http://schemas.microsoft.com/office/2006/metadata/properties" xmlns:ns2="d5fd702d-1e89-46c0-96c8-34bd4ebf4d8c" targetNamespace="http://schemas.microsoft.com/office/2006/metadata/properties" ma:root="true" ma:fieldsID="9759fd940d2662f0d5714ddb1d2d3d4c" ns2:_="">
    <xsd:import namespace="d5fd702d-1e89-46c0-96c8-34bd4ebf4d8c"/>
    <xsd:element name="properties">
      <xsd:complexType>
        <xsd:sequence>
          <xsd:element name="documentManagement">
            <xsd:complexType>
              <xsd:all>
                <xsd:element ref="ns2:Year"/>
                <xsd:element ref="ns2:MeetingDate" minOccurs="0"/>
                <xsd:element ref="ns2:_dlc_DocId" minOccurs="0"/>
                <xsd:element ref="ns2:_dlc_DocIdUrl" minOccurs="0"/>
                <xsd:element ref="ns2:_dlc_DocIdPersistId" minOccurs="0"/>
                <xsd:element ref="ns2:h8d3f550eb5d4d918f2d7fb42e61e6db" minOccurs="0"/>
                <xsd:element ref="ns2:TaxCatchAll" minOccurs="0"/>
                <xsd:element ref="ns2:TaxCatchAllLabel" minOccurs="0"/>
                <xsd:element ref="ns2:ic10b34015bf4af5a817b41404ea0b81" minOccurs="0"/>
                <xsd:element ref="ns2:mc0accab9edd43dfb12536ea0cccbc48" minOccurs="0"/>
                <xsd:element ref="ns2:ed03b1d2f0c94f05a8575292de2f682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fd702d-1e89-46c0-96c8-34bd4ebf4d8c" elementFormDefault="qualified">
    <xsd:import namespace="http://schemas.microsoft.com/office/2006/documentManagement/types"/>
    <xsd:import namespace="http://schemas.microsoft.com/office/infopath/2007/PartnerControls"/>
    <xsd:element name="Year" ma:index="4" ma:displayName="Year" ma:default="2016" ma:description="" ma:internalName="Year" ma:readOnly="false">
      <xsd:simpleType>
        <xsd:restriction base="dms:Text">
          <xsd:maxLength value="4"/>
        </xsd:restriction>
      </xsd:simpleType>
    </xsd:element>
    <xsd:element name="MeetingDate" ma:index="6" nillable="true" ma:displayName="Meeting Date" ma:description="" ma:format="DateOnly" ma:internalName="MeetingDate" ma:readOnly="false">
      <xsd:simpleType>
        <xsd:restriction base="dms:DateTime"/>
      </xsd:simpleType>
    </xsd:element>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h8d3f550eb5d4d918f2d7fb42e61e6db" ma:index="10" ma:taxonomy="true" ma:internalName="h8d3f550eb5d4d918f2d7fb42e61e6db" ma:taxonomyFieldName="DocumentType" ma:displayName="Document Type" ma:readOnly="false" ma:default="" ma:fieldId="{18d3f550-eb5d-4d91-8f2d-7fb42e61e6db}"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7f3b3a39-4552-470a-b558-7db474d88527}" ma:internalName="TaxCatchAll" ma:showField="CatchAllData" ma:web="d5fd702d-1e89-46c0-96c8-34bd4ebf4d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f3b3a39-4552-470a-b558-7db474d88527}" ma:internalName="TaxCatchAllLabel" ma:readOnly="true" ma:showField="CatchAllDataLabel" ma:web="d5fd702d-1e89-46c0-96c8-34bd4ebf4d8c">
      <xsd:complexType>
        <xsd:complexContent>
          <xsd:extension base="dms:MultiChoiceLookup">
            <xsd:sequence>
              <xsd:element name="Value" type="dms:Lookup" maxOccurs="unbounded" minOccurs="0" nillable="true"/>
            </xsd:sequence>
          </xsd:extension>
        </xsd:complexContent>
      </xsd:complexType>
    </xsd:element>
    <xsd:element name="ic10b34015bf4af5a817b41404ea0b81" ma:index="14" ma:taxonomy="true" ma:internalName="ic10b34015bf4af5a817b41404ea0b81" ma:taxonomyFieldName="ConfidentialityLevel" ma:displayName="Confidentiality Level" ma:default="1;#Regular|07f1e362-856b-423d-bea6-a14079762141" ma:fieldId="{2c10b340-15bf-4af5-a817-b41404ea0b81}"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mc0accab9edd43dfb12536ea0cccbc48" ma:index="17" nillable="true" ma:taxonomy="true" ma:internalName="mc0accab9edd43dfb12536ea0cccbc48" ma:taxonomyFieldName="EsmaAudience" ma:displayName="Audience" ma:readOnly="false" ma:default="" ma:fieldId="{6c0accab-9edd-43df-b125-36ea0cccbc48}" ma:sspId="0ac1876e-32bf-4158-94e7-cdbcd053a335" ma:termSetId="ad1b482d-138b-4fee-87ae-0a84f1e7faef" ma:anchorId="00000000-0000-0000-0000-000000000000" ma:open="false" ma:isKeyword="false">
      <xsd:complexType>
        <xsd:sequence>
          <xsd:element ref="pc:Terms" minOccurs="0" maxOccurs="1"/>
        </xsd:sequence>
      </xsd:complexType>
    </xsd:element>
    <xsd:element name="ed03b1d2f0c94f05a8575292de2f6826" ma:index="21" nillable="true" ma:taxonomy="true" ma:internalName="ed03b1d2f0c94f05a8575292de2f6826" ma:taxonomyFieldName="Topic" ma:displayName="Topic" ma:readOnly="false" ma:default="" ma:fieldId="{ed03b1d2-f0c9-4f05-a857-5292de2f6826}" ma:sspId="0ac1876e-32bf-4158-94e7-cdbcd053a335" ma:termSetId="4ae8f350-0a8b-4a4b-9a6a-44cfe340cdd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03b1d2f0c94f05a8575292de2f6826 xmlns="d5fd702d-1e89-46c0-96c8-34bd4ebf4d8c">
      <Terms xmlns="http://schemas.microsoft.com/office/infopath/2007/PartnerControls">
        <TermInfo xmlns="http://schemas.microsoft.com/office/infopath/2007/PartnerControls">
          <TermName xmlns="http://schemas.microsoft.com/office/infopath/2007/PartnerControls">TRA-21-Stefano Sirtori</TermName>
          <TermId xmlns="http://schemas.microsoft.com/office/infopath/2007/PartnerControls">7f86114f-4c49-4241-a5dd-474bf645aeb1</TermId>
        </TermInfo>
      </Terms>
    </ed03b1d2f0c94f05a8575292de2f6826>
    <MeetingDate xmlns="d5fd702d-1e89-46c0-96c8-34bd4ebf4d8c" xsi:nil="true"/>
    <h8d3f550eb5d4d918f2d7fb42e61e6db xmlns="d5fd702d-1e89-46c0-96c8-34bd4ebf4d8c">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c96fde18-57b6-49e7-940f-682f491fa8d9</TermId>
        </TermInfo>
      </Terms>
    </h8d3f550eb5d4d918f2d7fb42e61e6db>
    <ic10b34015bf4af5a817b41404ea0b81 xmlns="d5fd702d-1e89-46c0-96c8-34bd4ebf4d8c">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c10b34015bf4af5a817b41404ea0b81>
    <mc0accab9edd43dfb12536ea0cccbc48 xmlns="d5fd702d-1e89-46c0-96c8-34bd4ebf4d8c">
      <Terms xmlns="http://schemas.microsoft.com/office/infopath/2007/PartnerControls"/>
    </mc0accab9edd43dfb12536ea0cccbc48>
    <Year xmlns="d5fd702d-1e89-46c0-96c8-34bd4ebf4d8c">2016</Year>
    <TaxCatchAll xmlns="d5fd702d-1e89-46c0-96c8-34bd4ebf4d8c">
      <Value>83</Value>
      <Value>75</Value>
      <Value>1</Value>
    </TaxCatchAll>
    <_dlc_DocId xmlns="d5fd702d-1e89-46c0-96c8-34bd4ebf4d8c">ESMA20-620943141-548</_dlc_DocId>
    <_dlc_DocIdUrl xmlns="d5fd702d-1e89-46c0-96c8-34bd4ebf4d8c">
      <Url>http://sherpa.esma.europa.eu/sites/CAD/_layouts/15/DocIdRedir.aspx?ID=ESMA20-620943141-548</Url>
      <Description>ESMA20-620943141-548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421E5-2299-42BC-82C2-A13CA4018461}">
  <ds:schemaRefs>
    <ds:schemaRef ds:uri="http://schemas.microsoft.com/sharepoint/events"/>
  </ds:schemaRefs>
</ds:datastoreItem>
</file>

<file path=customXml/itemProps2.xml><?xml version="1.0" encoding="utf-8"?>
<ds:datastoreItem xmlns:ds="http://schemas.openxmlformats.org/officeDocument/2006/customXml" ds:itemID="{D4EEEC41-83AD-4535-9046-E834D9AEE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fd702d-1e89-46c0-96c8-34bd4ebf4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57701E-2DF3-473B-95B2-3C7F8BE9CDC4}">
  <ds:schemaRefs>
    <ds:schemaRef ds:uri="http://schemas.microsoft.com/office/2006/metadata/properties"/>
    <ds:schemaRef ds:uri="http://schemas.microsoft.com/office/infopath/2007/PartnerControls"/>
    <ds:schemaRef ds:uri="d5fd702d-1e89-46c0-96c8-34bd4ebf4d8c"/>
  </ds:schemaRefs>
</ds:datastoreItem>
</file>

<file path=customXml/itemProps4.xml><?xml version="1.0" encoding="utf-8"?>
<ds:datastoreItem xmlns:ds="http://schemas.openxmlformats.org/officeDocument/2006/customXml" ds:itemID="{940947E9-D244-4274-844A-B8133CF5784F}">
  <ds:schemaRefs>
    <ds:schemaRef ds:uri="http://schemas.microsoft.com/sharepoint/v3/contenttype/forms"/>
  </ds:schemaRefs>
</ds:datastoreItem>
</file>

<file path=customXml/itemProps5.xml><?xml version="1.0" encoding="utf-8"?>
<ds:datastoreItem xmlns:ds="http://schemas.openxmlformats.org/officeDocument/2006/customXml" ds:itemID="{77124959-CB53-408F-9ECF-96DFFFD0A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 05 30 - Final report MAR guidelines (market soundings - legitimate interests)</Template>
  <TotalTime>6</TotalTime>
  <Pages>1</Pages>
  <Words>1531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Sirtori</dc:creator>
  <cp:lastModifiedBy>Emilie Brakha</cp:lastModifiedBy>
  <cp:revision>11</cp:revision>
  <cp:lastPrinted>2016-11-10T13:58:00Z</cp:lastPrinted>
  <dcterms:created xsi:type="dcterms:W3CDTF">2016-08-01T15:25:00Z</dcterms:created>
  <dcterms:modified xsi:type="dcterms:W3CDTF">2016-11-10T13:58:00Z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0x010100959B6529F45C5E459BCBB575038C62D801050038008EA30D771A48A04B041ABBB32AF1</vt:lpwstr>
  </property>
  <property fmtid="{D5CDD505-2E9C-101B-9397-08002B2CF9AE}" pid="3" name="_dlc_DocIdItemGuid">
    <vt:lpwstr>a4a106b2-315d-41e6-a101-11b170c63422</vt:lpwstr>
  </property>
  <property fmtid="{D5CDD505-2E9C-101B-9397-08002B2CF9AE}" pid="4" name="EsmaAudience">
    <vt:lpwstr/>
  </property>
  <property fmtid="{D5CDD505-2E9C-101B-9397-08002B2CF9AE}" pid="5" name="Topic">
    <vt:lpwstr>83;#TRA-21-Stefano Sirtori|7f86114f-4c49-4241-a5dd-474bf645aeb1</vt:lpwstr>
  </property>
  <property fmtid="{D5CDD505-2E9C-101B-9397-08002B2CF9AE}" pid="6" name="DocumentType">
    <vt:lpwstr>75;#Guidelines|c96fde18-57b6-49e7-940f-682f491fa8d9</vt:lpwstr>
  </property>
  <property fmtid="{D5CDD505-2E9C-101B-9397-08002B2CF9AE}" pid="7" name="ConfidentialityLevel">
    <vt:lpwstr>1;#Regular|07f1e362-856b-423d-bea6-a14079762141</vt:lpwstr>
  </property>
</Properties>
</file>