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8505" w:bottomFromText="1134" w:vertAnchor="page" w:horzAnchor="page" w:tblpX="8506" w:tblpY="1051"/>
        <w:tblOverlap w:val="never"/>
        <w:tblW w:w="0" w:type="auto"/>
        <w:tblLayout w:type="fixed"/>
        <w:tblCellMar>
          <w:left w:w="0" w:type="dxa"/>
          <w:right w:w="0" w:type="dxa"/>
        </w:tblCellMar>
        <w:tblLook w:val="01E0" w:firstRow="1" w:lastRow="1" w:firstColumn="1" w:lastColumn="1" w:noHBand="0" w:noVBand="0"/>
      </w:tblPr>
      <w:tblGrid>
        <w:gridCol w:w="2670"/>
      </w:tblGrid>
      <w:tr w:rsidR="0004270A" w14:paraId="77A6F114" w14:textId="77777777" w:rsidTr="0004270A">
        <w:trPr>
          <w:trHeight w:hRule="exact" w:val="1149"/>
        </w:trPr>
        <w:tc>
          <w:tcPr>
            <w:tcW w:w="2670" w:type="dxa"/>
          </w:tcPr>
          <w:p w14:paraId="77A6F112" w14:textId="77777777" w:rsidR="0004270A" w:rsidRPr="0004270A" w:rsidRDefault="0004270A" w:rsidP="0004270A">
            <w:pPr>
              <w:pStyle w:val="02Date"/>
              <w:widowControl w:val="0"/>
              <w:suppressAutoHyphens/>
              <w:spacing w:after="0" w:line="276" w:lineRule="auto"/>
              <w:rPr>
                <w:rFonts w:asciiTheme="minorHAnsi" w:hAnsiTheme="minorHAnsi" w:cstheme="minorHAnsi"/>
              </w:rPr>
            </w:pPr>
            <w:bookmarkStart w:id="0" w:name="_Toc398449265"/>
            <w:r w:rsidRPr="0004270A">
              <w:rPr>
                <w:rFonts w:asciiTheme="minorHAnsi" w:hAnsiTheme="minorHAnsi" w:cstheme="minorHAnsi"/>
              </w:rPr>
              <w:t xml:space="preserve">Date: </w:t>
            </w:r>
            <w:r w:rsidR="009961FD">
              <w:rPr>
                <w:rFonts w:asciiTheme="minorHAnsi" w:hAnsiTheme="minorHAnsi" w:cstheme="minorHAnsi"/>
              </w:rPr>
              <w:t>11</w:t>
            </w:r>
            <w:r w:rsidR="005220CF">
              <w:rPr>
                <w:rFonts w:asciiTheme="minorHAnsi" w:hAnsiTheme="minorHAnsi" w:cstheme="minorHAnsi"/>
              </w:rPr>
              <w:t xml:space="preserve"> </w:t>
            </w:r>
            <w:r w:rsidR="00813A81">
              <w:rPr>
                <w:rFonts w:asciiTheme="minorHAnsi" w:hAnsiTheme="minorHAnsi" w:cstheme="minorHAnsi"/>
              </w:rPr>
              <w:t>October</w:t>
            </w:r>
            <w:r w:rsidR="009961FD">
              <w:rPr>
                <w:rFonts w:asciiTheme="minorHAnsi" w:hAnsiTheme="minorHAnsi" w:cstheme="minorHAnsi"/>
              </w:rPr>
              <w:t xml:space="preserve"> 2016</w:t>
            </w:r>
          </w:p>
          <w:p w14:paraId="77A6F113" w14:textId="4C59FCB0" w:rsidR="0004270A" w:rsidRDefault="00AE0DF9" w:rsidP="009961FD">
            <w:pPr>
              <w:pStyle w:val="02Date"/>
              <w:widowControl w:val="0"/>
              <w:suppressAutoHyphens/>
              <w:spacing w:after="0" w:line="276" w:lineRule="auto"/>
            </w:pPr>
            <w:r>
              <w:rPr>
                <w:rFonts w:asciiTheme="minorHAnsi" w:hAnsiTheme="minorHAnsi" w:cstheme="minorHAnsi"/>
              </w:rPr>
              <w:t>ESMA</w:t>
            </w:r>
            <w:r w:rsidR="009961FD">
              <w:rPr>
                <w:rFonts w:asciiTheme="minorHAnsi" w:hAnsiTheme="minorHAnsi" w:cstheme="minorHAnsi"/>
              </w:rPr>
              <w:t>/2016</w:t>
            </w:r>
            <w:r w:rsidR="0004270A" w:rsidRPr="0004270A">
              <w:rPr>
                <w:rFonts w:asciiTheme="minorHAnsi" w:hAnsiTheme="minorHAnsi" w:cstheme="minorHAnsi"/>
              </w:rPr>
              <w:t>/</w:t>
            </w:r>
            <w:r w:rsidR="00301A15">
              <w:rPr>
                <w:rFonts w:asciiTheme="minorHAnsi" w:hAnsiTheme="minorHAnsi" w:cstheme="minorHAnsi"/>
              </w:rPr>
              <w:t>1459</w:t>
            </w:r>
          </w:p>
        </w:tc>
      </w:tr>
    </w:tbl>
    <w:p w14:paraId="77A6F115" w14:textId="4426AB48" w:rsidR="00325EA3" w:rsidRPr="00FF15C2" w:rsidRDefault="00813A81" w:rsidP="00FF15C2">
      <w:pPr>
        <w:pStyle w:val="Title"/>
      </w:pPr>
      <w:r w:rsidRPr="00813A81">
        <w:t>ESMA</w:t>
      </w:r>
      <w:r w:rsidR="00301A15">
        <w:t>’s</w:t>
      </w:r>
      <w:r w:rsidRPr="00813A81">
        <w:t xml:space="preserve"> advice on the application of the AIFMD passport to non-EU AIFMs and AIFs of </w:t>
      </w:r>
      <w:r w:rsidR="009961FD">
        <w:t>18 July 2016 (amended 12 September 2016)</w:t>
      </w:r>
    </w:p>
    <w:bookmarkEnd w:id="0"/>
    <w:p w14:paraId="77A6F116" w14:textId="77777777" w:rsidR="005220CF" w:rsidRDefault="005220CF" w:rsidP="00FF15C2">
      <w:pPr>
        <w:pStyle w:val="Subtitle"/>
      </w:pPr>
      <w:r>
        <w:t>Economic and Monetary Affairs Committee</w:t>
      </w:r>
    </w:p>
    <w:p w14:paraId="77A6F117" w14:textId="77777777" w:rsidR="00FF15C2" w:rsidRDefault="005220CF" w:rsidP="00FF15C2">
      <w:pPr>
        <w:pStyle w:val="Subtitle"/>
      </w:pPr>
      <w:r>
        <w:t>European Parliament</w:t>
      </w:r>
      <w:r w:rsidR="00FF15C2" w:rsidRPr="00FF15C2">
        <w:t xml:space="preserve"> </w:t>
      </w:r>
    </w:p>
    <w:p w14:paraId="77A6F118" w14:textId="77777777" w:rsidR="00FF15C2" w:rsidRDefault="00FF15C2" w:rsidP="00FF15C2">
      <w:pPr>
        <w:pStyle w:val="Subtitle"/>
      </w:pPr>
    </w:p>
    <w:p w14:paraId="77A6F119" w14:textId="77777777" w:rsidR="00FF15C2" w:rsidRDefault="00FF15C2" w:rsidP="00FF15C2">
      <w:pPr>
        <w:pStyle w:val="Subtitle"/>
      </w:pPr>
    </w:p>
    <w:p w14:paraId="77A6F11A" w14:textId="77777777" w:rsidR="0004270A" w:rsidRDefault="005220CF" w:rsidP="00FF15C2">
      <w:pPr>
        <w:pStyle w:val="Subtitle"/>
      </w:pPr>
      <w:r>
        <w:t>Steven Maijoor</w:t>
      </w:r>
    </w:p>
    <w:p w14:paraId="77A6F11B" w14:textId="77777777" w:rsidR="005220CF" w:rsidRDefault="005220CF" w:rsidP="00AE0DF9">
      <w:pPr>
        <w:pStyle w:val="Subtitle"/>
        <w:tabs>
          <w:tab w:val="left" w:pos="6027"/>
        </w:tabs>
      </w:pPr>
      <w:r>
        <w:t>Chair</w:t>
      </w:r>
    </w:p>
    <w:p w14:paraId="77A6F11C" w14:textId="77777777" w:rsidR="00FF15C2" w:rsidRDefault="005220CF" w:rsidP="00EB31F6">
      <w:pPr>
        <w:pStyle w:val="Subtitle"/>
        <w:tabs>
          <w:tab w:val="left" w:pos="5810"/>
          <w:tab w:val="left" w:pos="6027"/>
        </w:tabs>
      </w:pPr>
      <w:r>
        <w:t>European Securities and Markets Authority</w:t>
      </w:r>
      <w:r w:rsidR="00AE0DF9">
        <w:tab/>
      </w:r>
      <w:r w:rsidR="00EB31F6">
        <w:tab/>
      </w:r>
    </w:p>
    <w:p w14:paraId="77A6F11D" w14:textId="77777777" w:rsidR="005220CF" w:rsidRPr="009F78D6" w:rsidRDefault="005220CF" w:rsidP="005220CF">
      <w:pPr>
        <w:pStyle w:val="NormalWeb"/>
        <w:spacing w:before="240" w:after="0" w:line="360" w:lineRule="auto"/>
        <w:jc w:val="both"/>
        <w:rPr>
          <w:rFonts w:ascii="Arial" w:hAnsi="Arial" w:cs="Arial"/>
          <w:sz w:val="28"/>
          <w:szCs w:val="28"/>
        </w:rPr>
      </w:pPr>
      <w:r w:rsidRPr="009F78D6">
        <w:rPr>
          <w:rFonts w:ascii="Arial" w:hAnsi="Arial" w:cs="Arial"/>
          <w:sz w:val="28"/>
          <w:szCs w:val="28"/>
        </w:rPr>
        <w:t>Dear Members of the European Parliament,</w:t>
      </w:r>
    </w:p>
    <w:p w14:paraId="77A6F11E" w14:textId="77777777" w:rsidR="005220CF" w:rsidRDefault="005220CF" w:rsidP="005220CF">
      <w:pPr>
        <w:pStyle w:val="NormalWeb"/>
        <w:spacing w:before="240" w:after="0" w:line="360" w:lineRule="auto"/>
        <w:jc w:val="both"/>
        <w:rPr>
          <w:rFonts w:ascii="Arial" w:hAnsi="Arial" w:cs="Arial"/>
          <w:sz w:val="28"/>
          <w:szCs w:val="28"/>
        </w:rPr>
      </w:pPr>
      <w:r w:rsidRPr="009F78D6">
        <w:rPr>
          <w:rFonts w:ascii="Arial" w:hAnsi="Arial" w:cs="Arial"/>
          <w:sz w:val="28"/>
          <w:szCs w:val="28"/>
        </w:rPr>
        <w:t>Ladies and gentlemen,</w:t>
      </w:r>
    </w:p>
    <w:p w14:paraId="77A6F11F" w14:textId="77777777" w:rsidR="005220CF" w:rsidRDefault="005220CF" w:rsidP="005220CF">
      <w:pPr>
        <w:pStyle w:val="NormalWeb"/>
        <w:spacing w:before="240" w:after="0" w:line="360" w:lineRule="auto"/>
        <w:jc w:val="both"/>
        <w:rPr>
          <w:rFonts w:ascii="Arial" w:hAnsi="Arial" w:cs="Arial"/>
          <w:sz w:val="28"/>
          <w:szCs w:val="28"/>
        </w:rPr>
      </w:pPr>
      <w:r w:rsidRPr="009F78D6">
        <w:rPr>
          <w:rFonts w:ascii="Arial" w:hAnsi="Arial" w:cs="Arial"/>
          <w:sz w:val="28"/>
          <w:szCs w:val="28"/>
        </w:rPr>
        <w:t xml:space="preserve">I am </w:t>
      </w:r>
      <w:r>
        <w:rPr>
          <w:rFonts w:ascii="Arial" w:hAnsi="Arial" w:cs="Arial"/>
          <w:sz w:val="28"/>
          <w:szCs w:val="28"/>
        </w:rPr>
        <w:t>pleas</w:t>
      </w:r>
      <w:r w:rsidRPr="009F78D6">
        <w:rPr>
          <w:rFonts w:ascii="Arial" w:hAnsi="Arial" w:cs="Arial"/>
          <w:sz w:val="28"/>
          <w:szCs w:val="28"/>
        </w:rPr>
        <w:t xml:space="preserve">ed to have been invited by </w:t>
      </w:r>
      <w:bookmarkStart w:id="1" w:name="_GoBack"/>
      <w:bookmarkEnd w:id="1"/>
      <w:r w:rsidRPr="009F78D6">
        <w:rPr>
          <w:rFonts w:ascii="Arial" w:hAnsi="Arial" w:cs="Arial"/>
          <w:sz w:val="28"/>
          <w:szCs w:val="28"/>
        </w:rPr>
        <w:t xml:space="preserve">the Chair and Members of ECON to </w:t>
      </w:r>
      <w:r w:rsidR="0065353A">
        <w:rPr>
          <w:rFonts w:ascii="Arial" w:hAnsi="Arial" w:cs="Arial"/>
          <w:sz w:val="28"/>
          <w:szCs w:val="28"/>
        </w:rPr>
        <w:t xml:space="preserve">speak to you about ESMA’s work </w:t>
      </w:r>
      <w:r w:rsidR="00835B83">
        <w:rPr>
          <w:rFonts w:ascii="Arial" w:hAnsi="Arial" w:cs="Arial"/>
          <w:sz w:val="28"/>
          <w:szCs w:val="28"/>
        </w:rPr>
        <w:t xml:space="preserve">in relation to the </w:t>
      </w:r>
      <w:r w:rsidR="0065353A">
        <w:rPr>
          <w:rFonts w:ascii="Arial" w:hAnsi="Arial" w:cs="Arial"/>
          <w:sz w:val="28"/>
          <w:szCs w:val="28"/>
        </w:rPr>
        <w:t>passport</w:t>
      </w:r>
      <w:r w:rsidR="007656C4">
        <w:rPr>
          <w:rFonts w:ascii="Arial" w:hAnsi="Arial" w:cs="Arial"/>
          <w:sz w:val="28"/>
          <w:szCs w:val="28"/>
        </w:rPr>
        <w:t xml:space="preserve"> under the Alternative Investment Fund Managers Directive (AIFMD)</w:t>
      </w:r>
      <w:r w:rsidR="0065353A">
        <w:rPr>
          <w:rFonts w:ascii="Arial" w:hAnsi="Arial" w:cs="Arial"/>
          <w:sz w:val="28"/>
          <w:szCs w:val="28"/>
        </w:rPr>
        <w:t xml:space="preserve">. </w:t>
      </w:r>
      <w:r w:rsidR="007656C4">
        <w:rPr>
          <w:rFonts w:ascii="Arial" w:hAnsi="Arial" w:cs="Arial"/>
          <w:sz w:val="28"/>
          <w:szCs w:val="28"/>
        </w:rPr>
        <w:t xml:space="preserve">In my remarks </w:t>
      </w:r>
      <w:r w:rsidR="0008142E">
        <w:rPr>
          <w:rFonts w:ascii="Arial" w:hAnsi="Arial" w:cs="Arial"/>
          <w:sz w:val="28"/>
          <w:szCs w:val="28"/>
        </w:rPr>
        <w:t xml:space="preserve">I will </w:t>
      </w:r>
      <w:r w:rsidR="007656C4">
        <w:rPr>
          <w:rFonts w:ascii="Arial" w:hAnsi="Arial" w:cs="Arial"/>
          <w:sz w:val="28"/>
          <w:szCs w:val="28"/>
        </w:rPr>
        <w:t>discuss the advice on whether to extend the passport to non-EU countries.</w:t>
      </w:r>
      <w:r w:rsidR="0008142E">
        <w:rPr>
          <w:rFonts w:ascii="Arial" w:hAnsi="Arial" w:cs="Arial"/>
          <w:sz w:val="28"/>
          <w:szCs w:val="28"/>
        </w:rPr>
        <w:t xml:space="preserve"> I will </w:t>
      </w:r>
      <w:r w:rsidR="009961FD">
        <w:rPr>
          <w:rFonts w:ascii="Arial" w:hAnsi="Arial" w:cs="Arial"/>
          <w:sz w:val="28"/>
          <w:szCs w:val="28"/>
        </w:rPr>
        <w:t>also</w:t>
      </w:r>
      <w:r w:rsidR="00785650">
        <w:rPr>
          <w:rFonts w:ascii="Arial" w:hAnsi="Arial" w:cs="Arial"/>
          <w:sz w:val="28"/>
          <w:szCs w:val="28"/>
        </w:rPr>
        <w:t xml:space="preserve"> provid</w:t>
      </w:r>
      <w:r w:rsidR="009961FD">
        <w:rPr>
          <w:rFonts w:ascii="Arial" w:hAnsi="Arial" w:cs="Arial"/>
          <w:sz w:val="28"/>
          <w:szCs w:val="28"/>
        </w:rPr>
        <w:t>e</w:t>
      </w:r>
      <w:r w:rsidR="00785650">
        <w:rPr>
          <w:rFonts w:ascii="Arial" w:hAnsi="Arial" w:cs="Arial"/>
          <w:sz w:val="28"/>
          <w:szCs w:val="28"/>
        </w:rPr>
        <w:t xml:space="preserve"> some details on the next steps.</w:t>
      </w:r>
      <w:r w:rsidR="007656C4">
        <w:rPr>
          <w:rFonts w:ascii="Arial" w:hAnsi="Arial" w:cs="Arial"/>
          <w:sz w:val="28"/>
          <w:szCs w:val="28"/>
        </w:rPr>
        <w:t xml:space="preserve"> But before going into the details of </w:t>
      </w:r>
      <w:r w:rsidR="00785650">
        <w:rPr>
          <w:rFonts w:ascii="Arial" w:hAnsi="Arial" w:cs="Arial"/>
          <w:sz w:val="28"/>
          <w:szCs w:val="28"/>
        </w:rPr>
        <w:t>the advice</w:t>
      </w:r>
      <w:r w:rsidR="007656C4">
        <w:rPr>
          <w:rFonts w:ascii="Arial" w:hAnsi="Arial" w:cs="Arial"/>
          <w:sz w:val="28"/>
          <w:szCs w:val="28"/>
        </w:rPr>
        <w:t xml:space="preserve">, allow me to recall </w:t>
      </w:r>
      <w:r w:rsidR="00912DDC">
        <w:rPr>
          <w:rFonts w:ascii="Arial" w:hAnsi="Arial" w:cs="Arial"/>
          <w:sz w:val="28"/>
          <w:szCs w:val="28"/>
        </w:rPr>
        <w:t xml:space="preserve">briefly </w:t>
      </w:r>
      <w:r w:rsidR="007656C4">
        <w:rPr>
          <w:rFonts w:ascii="Arial" w:hAnsi="Arial" w:cs="Arial"/>
          <w:sz w:val="28"/>
          <w:szCs w:val="28"/>
        </w:rPr>
        <w:t xml:space="preserve">the context in which we carried out our work. </w:t>
      </w:r>
    </w:p>
    <w:p w14:paraId="77A6F120" w14:textId="77777777" w:rsidR="007656C4" w:rsidRDefault="009961FD" w:rsidP="00244499">
      <w:pPr>
        <w:pStyle w:val="NormalWeb"/>
        <w:spacing w:before="240" w:after="0" w:line="360" w:lineRule="auto"/>
        <w:jc w:val="both"/>
        <w:rPr>
          <w:rFonts w:ascii="Arial" w:hAnsi="Arial" w:cs="Arial"/>
          <w:sz w:val="28"/>
          <w:szCs w:val="28"/>
        </w:rPr>
      </w:pPr>
      <w:r>
        <w:rPr>
          <w:rFonts w:ascii="Arial" w:hAnsi="Arial" w:cs="Arial"/>
          <w:sz w:val="28"/>
          <w:szCs w:val="28"/>
        </w:rPr>
        <w:t>Since p</w:t>
      </w:r>
      <w:r w:rsidR="007656C4">
        <w:rPr>
          <w:rFonts w:ascii="Arial" w:hAnsi="Arial" w:cs="Arial"/>
          <w:sz w:val="28"/>
          <w:szCs w:val="28"/>
        </w:rPr>
        <w:t>olitical agreement was reache</w:t>
      </w:r>
      <w:r>
        <w:rPr>
          <w:rFonts w:ascii="Arial" w:hAnsi="Arial" w:cs="Arial"/>
          <w:sz w:val="28"/>
          <w:szCs w:val="28"/>
        </w:rPr>
        <w:t>d on the AIFMD in October 201</w:t>
      </w:r>
      <w:r w:rsidR="00244499">
        <w:rPr>
          <w:rFonts w:ascii="Arial" w:hAnsi="Arial" w:cs="Arial"/>
          <w:sz w:val="28"/>
          <w:szCs w:val="28"/>
        </w:rPr>
        <w:t>0</w:t>
      </w:r>
      <w:r>
        <w:rPr>
          <w:rFonts w:ascii="Arial" w:hAnsi="Arial" w:cs="Arial"/>
          <w:sz w:val="28"/>
          <w:szCs w:val="28"/>
        </w:rPr>
        <w:t xml:space="preserve">, </w:t>
      </w:r>
      <w:r w:rsidR="00546AF3">
        <w:rPr>
          <w:rFonts w:ascii="Arial" w:hAnsi="Arial" w:cs="Arial"/>
          <w:sz w:val="28"/>
          <w:szCs w:val="28"/>
        </w:rPr>
        <w:t xml:space="preserve">we treated the advice </w:t>
      </w:r>
      <w:r>
        <w:rPr>
          <w:rFonts w:ascii="Arial" w:hAnsi="Arial" w:cs="Arial"/>
          <w:sz w:val="28"/>
          <w:szCs w:val="28"/>
        </w:rPr>
        <w:t xml:space="preserve">on whether to extend the passport to non-EU countries </w:t>
      </w:r>
      <w:r w:rsidR="00546AF3">
        <w:rPr>
          <w:rFonts w:ascii="Arial" w:hAnsi="Arial" w:cs="Arial"/>
          <w:sz w:val="28"/>
          <w:szCs w:val="28"/>
        </w:rPr>
        <w:t xml:space="preserve">as a high priority and began the preparatory work as soon as possible. </w:t>
      </w:r>
    </w:p>
    <w:p w14:paraId="77A6F121" w14:textId="32E78ED3" w:rsidR="004B57CE" w:rsidRDefault="009961FD" w:rsidP="0008142E">
      <w:pPr>
        <w:pStyle w:val="NormalWeb"/>
        <w:spacing w:before="240" w:after="0" w:line="360" w:lineRule="auto"/>
        <w:jc w:val="both"/>
        <w:rPr>
          <w:rFonts w:ascii="Arial" w:hAnsi="Arial" w:cs="Arial"/>
          <w:sz w:val="28"/>
          <w:szCs w:val="28"/>
        </w:rPr>
      </w:pPr>
      <w:r>
        <w:rPr>
          <w:rFonts w:ascii="Arial" w:hAnsi="Arial" w:cs="Arial"/>
          <w:sz w:val="28"/>
          <w:szCs w:val="28"/>
        </w:rPr>
        <w:t>I</w:t>
      </w:r>
      <w:r w:rsidR="00785650">
        <w:rPr>
          <w:rFonts w:ascii="Arial" w:hAnsi="Arial" w:cs="Arial"/>
          <w:sz w:val="28"/>
          <w:szCs w:val="28"/>
        </w:rPr>
        <w:t xml:space="preserve">t is important to recall that we decided to assess non-EU countries individually rather than as a single block. We did so because we felt that </w:t>
      </w:r>
      <w:r w:rsidR="00785650">
        <w:rPr>
          <w:rFonts w:ascii="Arial" w:hAnsi="Arial" w:cs="Arial"/>
          <w:sz w:val="28"/>
          <w:szCs w:val="28"/>
        </w:rPr>
        <w:lastRenderedPageBreak/>
        <w:t>was the only way in which to carry out a proper assessment of the various criteria set out in the AIFMD</w:t>
      </w:r>
      <w:r w:rsidR="00912DDC">
        <w:rPr>
          <w:rFonts w:ascii="Arial" w:hAnsi="Arial" w:cs="Arial"/>
          <w:sz w:val="28"/>
          <w:szCs w:val="28"/>
        </w:rPr>
        <w:t xml:space="preserve">. In particular, we considered it important to make a </w:t>
      </w:r>
      <w:r w:rsidR="004B57CE" w:rsidRPr="004B57CE">
        <w:rPr>
          <w:rFonts w:ascii="Arial" w:hAnsi="Arial" w:cs="Arial"/>
          <w:sz w:val="28"/>
          <w:szCs w:val="28"/>
        </w:rPr>
        <w:t>distinction between the very different situations of non-EU countries in terms of</w:t>
      </w:r>
      <w:r w:rsidR="004B57CE">
        <w:rPr>
          <w:rFonts w:ascii="Arial" w:hAnsi="Arial" w:cs="Arial"/>
          <w:sz w:val="28"/>
          <w:szCs w:val="28"/>
        </w:rPr>
        <w:t xml:space="preserve"> such factors as</w:t>
      </w:r>
      <w:r w:rsidR="004B57CE" w:rsidRPr="004B57CE">
        <w:rPr>
          <w:rFonts w:ascii="Arial" w:hAnsi="Arial" w:cs="Arial"/>
          <w:sz w:val="28"/>
          <w:szCs w:val="28"/>
        </w:rPr>
        <w:t xml:space="preserve"> the demand for the passport, the access to the market</w:t>
      </w:r>
      <w:r w:rsidR="006F043A">
        <w:rPr>
          <w:rFonts w:ascii="Arial" w:hAnsi="Arial" w:cs="Arial"/>
          <w:sz w:val="28"/>
          <w:szCs w:val="28"/>
        </w:rPr>
        <w:t>s</w:t>
      </w:r>
      <w:r w:rsidR="004B57CE" w:rsidRPr="004B57CE">
        <w:rPr>
          <w:rFonts w:ascii="Arial" w:hAnsi="Arial" w:cs="Arial"/>
          <w:sz w:val="28"/>
          <w:szCs w:val="28"/>
        </w:rPr>
        <w:t xml:space="preserve"> of these non-EU countries for EU funds and managers, and their regulatory framework as compared to the AIFMD.</w:t>
      </w:r>
      <w:r w:rsidR="004B57CE">
        <w:rPr>
          <w:rFonts w:ascii="Arial" w:hAnsi="Arial" w:cs="Arial"/>
          <w:sz w:val="28"/>
          <w:szCs w:val="28"/>
        </w:rPr>
        <w:t xml:space="preserve"> </w:t>
      </w:r>
    </w:p>
    <w:p w14:paraId="77A6F122" w14:textId="77777777" w:rsidR="006F28F0" w:rsidRDefault="004B57CE" w:rsidP="0008142E">
      <w:pPr>
        <w:pStyle w:val="NormalWeb"/>
        <w:spacing w:before="240" w:after="0" w:line="360" w:lineRule="auto"/>
        <w:jc w:val="both"/>
        <w:rPr>
          <w:rFonts w:ascii="Arial" w:hAnsi="Arial" w:cs="Arial"/>
          <w:sz w:val="28"/>
          <w:szCs w:val="28"/>
        </w:rPr>
      </w:pPr>
      <w:r>
        <w:rPr>
          <w:rFonts w:ascii="Arial" w:hAnsi="Arial" w:cs="Arial"/>
          <w:sz w:val="28"/>
          <w:szCs w:val="28"/>
        </w:rPr>
        <w:t xml:space="preserve">Having made the decision to look at each non-EU country individually, we </w:t>
      </w:r>
      <w:r w:rsidR="00912DDC">
        <w:rPr>
          <w:rFonts w:ascii="Arial" w:hAnsi="Arial" w:cs="Arial"/>
          <w:sz w:val="28"/>
          <w:szCs w:val="28"/>
        </w:rPr>
        <w:t xml:space="preserve">then </w:t>
      </w:r>
      <w:r>
        <w:rPr>
          <w:rFonts w:ascii="Arial" w:hAnsi="Arial" w:cs="Arial"/>
          <w:sz w:val="28"/>
          <w:szCs w:val="28"/>
        </w:rPr>
        <w:t>developed a comprehensive assessment methodology that took as a basis the criteria in the AIFMD</w:t>
      </w:r>
      <w:r w:rsidR="006F28F0">
        <w:rPr>
          <w:rFonts w:ascii="Arial" w:hAnsi="Arial" w:cs="Arial"/>
          <w:sz w:val="28"/>
          <w:szCs w:val="28"/>
        </w:rPr>
        <w:t xml:space="preserve">, namely </w:t>
      </w:r>
      <w:r w:rsidR="006F28F0" w:rsidRPr="006F28F0">
        <w:rPr>
          <w:rFonts w:ascii="Arial" w:hAnsi="Arial" w:cs="Arial"/>
          <w:sz w:val="28"/>
          <w:szCs w:val="28"/>
        </w:rPr>
        <w:t xml:space="preserve">i) investor protection, ii) market disruption, iii) competition and iv) </w:t>
      </w:r>
      <w:r w:rsidR="006F28F0">
        <w:rPr>
          <w:rFonts w:ascii="Arial" w:hAnsi="Arial" w:cs="Arial"/>
          <w:sz w:val="28"/>
          <w:szCs w:val="28"/>
        </w:rPr>
        <w:t>the monitoring of systemic risk</w:t>
      </w:r>
      <w:r>
        <w:rPr>
          <w:rFonts w:ascii="Arial" w:hAnsi="Arial" w:cs="Arial"/>
          <w:sz w:val="28"/>
          <w:szCs w:val="28"/>
        </w:rPr>
        <w:t>.</w:t>
      </w:r>
      <w:r w:rsidR="00912DDC">
        <w:rPr>
          <w:rFonts w:ascii="Arial" w:hAnsi="Arial" w:cs="Arial"/>
          <w:sz w:val="28"/>
          <w:szCs w:val="28"/>
        </w:rPr>
        <w:t xml:space="preserve"> The Directive itself provides that, w</w:t>
      </w:r>
      <w:r w:rsidR="006F28F0">
        <w:rPr>
          <w:rFonts w:ascii="Arial" w:hAnsi="Arial" w:cs="Arial"/>
          <w:sz w:val="28"/>
          <w:szCs w:val="28"/>
        </w:rPr>
        <w:t xml:space="preserve">here ESMA considers that there are no significant obstacles in relation to these four elements, ESMA should issue positive advice. </w:t>
      </w:r>
      <w:r w:rsidR="00CC0BD1" w:rsidRPr="00CC0BD1">
        <w:rPr>
          <w:rFonts w:ascii="Arial" w:hAnsi="Arial" w:cs="Arial"/>
          <w:sz w:val="28"/>
          <w:szCs w:val="28"/>
        </w:rPr>
        <w:t xml:space="preserve">It is important to mention that ESMA only assessed these jurisdictions from a regulatory </w:t>
      </w:r>
      <w:r w:rsidR="007A7696">
        <w:rPr>
          <w:rFonts w:ascii="Arial" w:hAnsi="Arial" w:cs="Arial"/>
          <w:sz w:val="28"/>
          <w:szCs w:val="28"/>
        </w:rPr>
        <w:t xml:space="preserve">and supervisory </w:t>
      </w:r>
      <w:r w:rsidR="00CC0BD1" w:rsidRPr="00CC0BD1">
        <w:rPr>
          <w:rFonts w:ascii="Arial" w:hAnsi="Arial" w:cs="Arial"/>
          <w:sz w:val="28"/>
          <w:szCs w:val="28"/>
        </w:rPr>
        <w:t xml:space="preserve">standpoint since </w:t>
      </w:r>
      <w:r w:rsidR="007A7696">
        <w:rPr>
          <w:rFonts w:ascii="Arial" w:hAnsi="Arial" w:cs="Arial"/>
          <w:sz w:val="28"/>
          <w:szCs w:val="28"/>
        </w:rPr>
        <w:t xml:space="preserve">those are </w:t>
      </w:r>
      <w:r w:rsidR="00CC0BD1" w:rsidRPr="00CC0BD1">
        <w:rPr>
          <w:rFonts w:ascii="Arial" w:hAnsi="Arial" w:cs="Arial"/>
          <w:sz w:val="28"/>
          <w:szCs w:val="28"/>
        </w:rPr>
        <w:t>clearly our area</w:t>
      </w:r>
      <w:r w:rsidR="007A7696">
        <w:rPr>
          <w:rFonts w:ascii="Arial" w:hAnsi="Arial" w:cs="Arial"/>
          <w:sz w:val="28"/>
          <w:szCs w:val="28"/>
        </w:rPr>
        <w:t>s</w:t>
      </w:r>
      <w:r w:rsidR="00CC0BD1" w:rsidRPr="00CC0BD1">
        <w:rPr>
          <w:rFonts w:ascii="Arial" w:hAnsi="Arial" w:cs="Arial"/>
          <w:sz w:val="28"/>
          <w:szCs w:val="28"/>
        </w:rPr>
        <w:t xml:space="preserve"> of responsibility and expertise. We noted in our advice that other issues, such as fiscal matters or anti-money laundering rules, might be relevant to the decision on whether to extend the passport, but we did not consider ourselves as the appropriate body to look into those aspects</w:t>
      </w:r>
      <w:r w:rsidR="008C76B0">
        <w:rPr>
          <w:rFonts w:ascii="Arial" w:hAnsi="Arial" w:cs="Arial"/>
          <w:sz w:val="28"/>
          <w:szCs w:val="28"/>
        </w:rPr>
        <w:t xml:space="preserve">.  </w:t>
      </w:r>
    </w:p>
    <w:p w14:paraId="77A6F123" w14:textId="527479C6" w:rsidR="00785650" w:rsidRDefault="009961FD" w:rsidP="0008142E">
      <w:pPr>
        <w:pStyle w:val="NormalWeb"/>
        <w:spacing w:before="240" w:after="0" w:line="360" w:lineRule="auto"/>
        <w:jc w:val="both"/>
        <w:rPr>
          <w:rFonts w:ascii="Arial" w:hAnsi="Arial" w:cs="Arial"/>
          <w:sz w:val="28"/>
          <w:szCs w:val="28"/>
        </w:rPr>
      </w:pPr>
      <w:r>
        <w:rPr>
          <w:rFonts w:ascii="Arial" w:hAnsi="Arial" w:cs="Arial"/>
          <w:sz w:val="28"/>
          <w:szCs w:val="28"/>
        </w:rPr>
        <w:t xml:space="preserve">This led to the publication of the first advice in July 2015. </w:t>
      </w:r>
      <w:r w:rsidR="00887BB5">
        <w:rPr>
          <w:rFonts w:ascii="Arial" w:hAnsi="Arial" w:cs="Arial"/>
          <w:sz w:val="28"/>
          <w:szCs w:val="28"/>
        </w:rPr>
        <w:t xml:space="preserve">In </w:t>
      </w:r>
      <w:r w:rsidR="007A7696">
        <w:rPr>
          <w:rFonts w:ascii="Arial" w:hAnsi="Arial" w:cs="Arial"/>
          <w:sz w:val="28"/>
          <w:szCs w:val="28"/>
        </w:rPr>
        <w:t xml:space="preserve">that </w:t>
      </w:r>
      <w:r w:rsidR="00887BB5">
        <w:rPr>
          <w:rFonts w:ascii="Arial" w:hAnsi="Arial" w:cs="Arial"/>
          <w:sz w:val="28"/>
          <w:szCs w:val="28"/>
        </w:rPr>
        <w:t>advice</w:t>
      </w:r>
      <w:r>
        <w:rPr>
          <w:rFonts w:ascii="Arial" w:hAnsi="Arial" w:cs="Arial"/>
          <w:sz w:val="28"/>
          <w:szCs w:val="28"/>
        </w:rPr>
        <w:t xml:space="preserve"> w</w:t>
      </w:r>
      <w:r w:rsidR="004B57CE">
        <w:rPr>
          <w:rFonts w:ascii="Arial" w:hAnsi="Arial" w:cs="Arial"/>
          <w:sz w:val="28"/>
          <w:szCs w:val="28"/>
        </w:rPr>
        <w:t xml:space="preserve">e </w:t>
      </w:r>
      <w:r w:rsidR="007A7696">
        <w:rPr>
          <w:rFonts w:ascii="Arial" w:hAnsi="Arial" w:cs="Arial"/>
          <w:sz w:val="28"/>
          <w:szCs w:val="28"/>
        </w:rPr>
        <w:t xml:space="preserve">assessed </w:t>
      </w:r>
      <w:r w:rsidR="004B57CE">
        <w:rPr>
          <w:rFonts w:ascii="Arial" w:hAnsi="Arial" w:cs="Arial"/>
          <w:sz w:val="28"/>
          <w:szCs w:val="28"/>
        </w:rPr>
        <w:t xml:space="preserve">six non-EU countries: </w:t>
      </w:r>
      <w:r w:rsidR="004B57CE" w:rsidRPr="004B57CE">
        <w:rPr>
          <w:rFonts w:ascii="Arial" w:hAnsi="Arial" w:cs="Arial"/>
          <w:sz w:val="28"/>
          <w:szCs w:val="28"/>
        </w:rPr>
        <w:t>Guernsey, Hong Kong, Jersey, Switzerland, Singapore and the United States.</w:t>
      </w:r>
      <w:r w:rsidR="00785650">
        <w:rPr>
          <w:rFonts w:ascii="Arial" w:hAnsi="Arial" w:cs="Arial"/>
          <w:sz w:val="28"/>
          <w:szCs w:val="28"/>
        </w:rPr>
        <w:t xml:space="preserve"> </w:t>
      </w:r>
      <w:r w:rsidR="004B57CE">
        <w:rPr>
          <w:rFonts w:ascii="Arial" w:hAnsi="Arial" w:cs="Arial"/>
          <w:sz w:val="28"/>
          <w:szCs w:val="28"/>
        </w:rPr>
        <w:t xml:space="preserve">It must be said that there is no perfect way to select non-EU countries but we made our selection of jurisdictions </w:t>
      </w:r>
      <w:r w:rsidR="004B57CE" w:rsidRPr="004B57CE">
        <w:rPr>
          <w:rFonts w:ascii="Arial" w:hAnsi="Arial" w:cs="Arial"/>
          <w:sz w:val="28"/>
          <w:szCs w:val="28"/>
        </w:rPr>
        <w:t xml:space="preserve">taking into account a number of factors including the amount of activity already being carried out by entities from these countries under the </w:t>
      </w:r>
      <w:r w:rsidR="006F043A">
        <w:rPr>
          <w:rFonts w:ascii="Arial" w:hAnsi="Arial" w:cs="Arial"/>
          <w:sz w:val="28"/>
          <w:szCs w:val="28"/>
        </w:rPr>
        <w:t>national private placement regimes (</w:t>
      </w:r>
      <w:r w:rsidR="004B57CE" w:rsidRPr="004B57CE">
        <w:rPr>
          <w:rFonts w:ascii="Arial" w:hAnsi="Arial" w:cs="Arial"/>
          <w:sz w:val="28"/>
          <w:szCs w:val="28"/>
        </w:rPr>
        <w:t>NPPRs</w:t>
      </w:r>
      <w:r w:rsidR="006F043A">
        <w:rPr>
          <w:rFonts w:ascii="Arial" w:hAnsi="Arial" w:cs="Arial"/>
          <w:sz w:val="28"/>
          <w:szCs w:val="28"/>
        </w:rPr>
        <w:t>)</w:t>
      </w:r>
      <w:r w:rsidR="004B57CE" w:rsidRPr="004B57CE">
        <w:rPr>
          <w:rFonts w:ascii="Arial" w:hAnsi="Arial" w:cs="Arial"/>
          <w:sz w:val="28"/>
          <w:szCs w:val="28"/>
        </w:rPr>
        <w:t xml:space="preserve">, the existing knowledge </w:t>
      </w:r>
      <w:r w:rsidR="004B57CE" w:rsidRPr="004B57CE">
        <w:rPr>
          <w:rFonts w:ascii="Arial" w:hAnsi="Arial" w:cs="Arial"/>
          <w:sz w:val="28"/>
          <w:szCs w:val="28"/>
        </w:rPr>
        <w:lastRenderedPageBreak/>
        <w:t xml:space="preserve">and experience of EU NCAs with respect to their counterparts in these jurisdictions and the efforts made by stakeholders from these countries to engage with the </w:t>
      </w:r>
      <w:r w:rsidR="006F043A">
        <w:rPr>
          <w:rFonts w:ascii="Arial" w:hAnsi="Arial" w:cs="Arial"/>
          <w:sz w:val="28"/>
          <w:szCs w:val="28"/>
        </w:rPr>
        <w:t xml:space="preserve">assessment </w:t>
      </w:r>
      <w:r w:rsidR="004B57CE" w:rsidRPr="004B57CE">
        <w:rPr>
          <w:rFonts w:ascii="Arial" w:hAnsi="Arial" w:cs="Arial"/>
          <w:sz w:val="28"/>
          <w:szCs w:val="28"/>
        </w:rPr>
        <w:t>process.</w:t>
      </w:r>
    </w:p>
    <w:p w14:paraId="77A6F124" w14:textId="346CDE72" w:rsidR="009344BB" w:rsidRDefault="009961FD" w:rsidP="005220CF">
      <w:pPr>
        <w:pStyle w:val="NormalWeb"/>
        <w:spacing w:before="240" w:after="0" w:line="360" w:lineRule="auto"/>
        <w:jc w:val="both"/>
        <w:rPr>
          <w:rFonts w:ascii="Arial" w:hAnsi="Arial" w:cs="Arial"/>
          <w:sz w:val="28"/>
          <w:szCs w:val="28"/>
        </w:rPr>
      </w:pPr>
      <w:r>
        <w:rPr>
          <w:rFonts w:ascii="Arial" w:hAnsi="Arial" w:cs="Arial"/>
          <w:sz w:val="28"/>
          <w:szCs w:val="28"/>
        </w:rPr>
        <w:t>This first</w:t>
      </w:r>
      <w:r w:rsidR="004B57CE">
        <w:rPr>
          <w:rFonts w:ascii="Arial" w:hAnsi="Arial" w:cs="Arial"/>
          <w:sz w:val="28"/>
          <w:szCs w:val="28"/>
        </w:rPr>
        <w:t xml:space="preserve"> advice was </w:t>
      </w:r>
      <w:r w:rsidR="006F28F0">
        <w:rPr>
          <w:rFonts w:ascii="Arial" w:hAnsi="Arial" w:cs="Arial"/>
          <w:sz w:val="28"/>
          <w:szCs w:val="28"/>
        </w:rPr>
        <w:t xml:space="preserve">positive with respect to </w:t>
      </w:r>
      <w:r w:rsidR="006F28F0" w:rsidRPr="006F28F0">
        <w:rPr>
          <w:rFonts w:ascii="Arial" w:hAnsi="Arial" w:cs="Arial"/>
          <w:sz w:val="28"/>
          <w:szCs w:val="28"/>
        </w:rPr>
        <w:t>the extension of the passport to Guernsey and Jersey</w:t>
      </w:r>
      <w:r w:rsidR="006F043A">
        <w:rPr>
          <w:rFonts w:ascii="Arial" w:hAnsi="Arial" w:cs="Arial"/>
          <w:sz w:val="28"/>
          <w:szCs w:val="28"/>
        </w:rPr>
        <w:t xml:space="preserve">. </w:t>
      </w:r>
      <w:r w:rsidR="006F28F0" w:rsidRPr="006F28F0">
        <w:rPr>
          <w:rFonts w:ascii="Arial" w:hAnsi="Arial" w:cs="Arial"/>
          <w:sz w:val="28"/>
          <w:szCs w:val="28"/>
        </w:rPr>
        <w:t xml:space="preserve">Switzerland </w:t>
      </w:r>
      <w:r w:rsidR="006F043A">
        <w:rPr>
          <w:rFonts w:ascii="Arial" w:hAnsi="Arial" w:cs="Arial"/>
          <w:sz w:val="28"/>
          <w:szCs w:val="28"/>
        </w:rPr>
        <w:t>was also assessed positively subject to some legislative changes in relation to the national regulator’s enforcement powers (those changes have since been made).</w:t>
      </w:r>
      <w:r w:rsidR="006F28F0" w:rsidRPr="006F28F0">
        <w:rPr>
          <w:rFonts w:ascii="Arial" w:hAnsi="Arial" w:cs="Arial"/>
          <w:sz w:val="28"/>
          <w:szCs w:val="28"/>
        </w:rPr>
        <w:t xml:space="preserve"> </w:t>
      </w:r>
      <w:r w:rsidR="006F28F0">
        <w:rPr>
          <w:rFonts w:ascii="Arial" w:hAnsi="Arial" w:cs="Arial"/>
          <w:sz w:val="28"/>
          <w:szCs w:val="28"/>
        </w:rPr>
        <w:t xml:space="preserve">We did not reach a </w:t>
      </w:r>
      <w:r w:rsidR="006F28F0" w:rsidRPr="006F28F0">
        <w:rPr>
          <w:rFonts w:ascii="Arial" w:hAnsi="Arial" w:cs="Arial"/>
          <w:sz w:val="28"/>
          <w:szCs w:val="28"/>
        </w:rPr>
        <w:t xml:space="preserve">definitive view on the other three jurisdictions due to concerns related to competition, regulatory issues and a lack of sufficient evidence to </w:t>
      </w:r>
      <w:r w:rsidR="00912DDC">
        <w:rPr>
          <w:rFonts w:ascii="Arial" w:hAnsi="Arial" w:cs="Arial"/>
          <w:sz w:val="28"/>
          <w:szCs w:val="28"/>
        </w:rPr>
        <w:t>carry out a proper</w:t>
      </w:r>
      <w:r w:rsidR="006F28F0" w:rsidRPr="006F28F0">
        <w:rPr>
          <w:rFonts w:ascii="Arial" w:hAnsi="Arial" w:cs="Arial"/>
          <w:sz w:val="28"/>
          <w:szCs w:val="28"/>
        </w:rPr>
        <w:t xml:space="preserve"> assess</w:t>
      </w:r>
      <w:r w:rsidR="00912DDC">
        <w:rPr>
          <w:rFonts w:ascii="Arial" w:hAnsi="Arial" w:cs="Arial"/>
          <w:sz w:val="28"/>
          <w:szCs w:val="28"/>
        </w:rPr>
        <w:t>ment of</w:t>
      </w:r>
      <w:r w:rsidR="006F28F0" w:rsidRPr="006F28F0">
        <w:rPr>
          <w:rFonts w:ascii="Arial" w:hAnsi="Arial" w:cs="Arial"/>
          <w:sz w:val="28"/>
          <w:szCs w:val="28"/>
        </w:rPr>
        <w:t xml:space="preserve"> the relevant criteria.</w:t>
      </w:r>
      <w:r w:rsidR="006F28F0">
        <w:rPr>
          <w:rFonts w:ascii="Arial" w:hAnsi="Arial" w:cs="Arial"/>
          <w:sz w:val="28"/>
          <w:szCs w:val="28"/>
        </w:rPr>
        <w:t xml:space="preserve"> </w:t>
      </w:r>
    </w:p>
    <w:p w14:paraId="77A6F125" w14:textId="0B8B1A1D" w:rsidR="009344BB" w:rsidRDefault="009961FD" w:rsidP="005220CF">
      <w:pPr>
        <w:pStyle w:val="NormalWeb"/>
        <w:spacing w:before="240" w:after="0" w:line="360" w:lineRule="auto"/>
        <w:jc w:val="both"/>
        <w:rPr>
          <w:rFonts w:ascii="Arial" w:hAnsi="Arial" w:cs="Arial"/>
          <w:sz w:val="28"/>
          <w:szCs w:val="28"/>
        </w:rPr>
      </w:pPr>
      <w:r>
        <w:rPr>
          <w:rFonts w:ascii="Arial" w:hAnsi="Arial" w:cs="Arial"/>
          <w:sz w:val="28"/>
          <w:szCs w:val="28"/>
        </w:rPr>
        <w:t>W</w:t>
      </w:r>
      <w:r w:rsidR="009344BB" w:rsidRPr="00BF445D">
        <w:rPr>
          <w:rFonts w:ascii="Arial" w:hAnsi="Arial" w:cs="Arial"/>
          <w:sz w:val="28"/>
          <w:szCs w:val="28"/>
        </w:rPr>
        <w:t xml:space="preserve">e also highlighted in </w:t>
      </w:r>
      <w:r w:rsidR="007654F1">
        <w:rPr>
          <w:rFonts w:ascii="Arial" w:hAnsi="Arial" w:cs="Arial"/>
          <w:sz w:val="28"/>
          <w:szCs w:val="28"/>
        </w:rPr>
        <w:t>this first</w:t>
      </w:r>
      <w:r w:rsidR="009344BB" w:rsidRPr="00BF445D">
        <w:rPr>
          <w:rFonts w:ascii="Arial" w:hAnsi="Arial" w:cs="Arial"/>
          <w:sz w:val="28"/>
          <w:szCs w:val="28"/>
        </w:rPr>
        <w:t xml:space="preserve"> advice that the EU institutions may wish to </w:t>
      </w:r>
      <w:r w:rsidR="00A66CDA">
        <w:rPr>
          <w:rFonts w:ascii="Arial" w:hAnsi="Arial" w:cs="Arial"/>
          <w:sz w:val="28"/>
          <w:szCs w:val="28"/>
        </w:rPr>
        <w:t xml:space="preserve">postpone the decision to trigger </w:t>
      </w:r>
      <w:r w:rsidR="009344BB" w:rsidRPr="00BF445D">
        <w:rPr>
          <w:rFonts w:ascii="Arial" w:hAnsi="Arial" w:cs="Arial"/>
          <w:sz w:val="28"/>
          <w:szCs w:val="28"/>
        </w:rPr>
        <w:t>the relevant legislative procedures</w:t>
      </w:r>
      <w:r w:rsidR="00A66CDA">
        <w:rPr>
          <w:rFonts w:ascii="Arial" w:hAnsi="Arial" w:cs="Arial"/>
          <w:sz w:val="28"/>
          <w:szCs w:val="28"/>
        </w:rPr>
        <w:t xml:space="preserve"> until such time as </w:t>
      </w:r>
      <w:r w:rsidR="00A66CDA" w:rsidRPr="00BF445D">
        <w:rPr>
          <w:rFonts w:ascii="Arial" w:hAnsi="Arial" w:cs="Arial"/>
          <w:sz w:val="28"/>
          <w:szCs w:val="28"/>
        </w:rPr>
        <w:t>ESMA has delivered positive advice on a larger number of non-EU countries</w:t>
      </w:r>
      <w:r w:rsidR="006F043A">
        <w:rPr>
          <w:rFonts w:ascii="Arial" w:hAnsi="Arial" w:cs="Arial"/>
          <w:sz w:val="28"/>
          <w:szCs w:val="28"/>
        </w:rPr>
        <w:t xml:space="preserve">. This would allow account to be taken of other factors, such as </w:t>
      </w:r>
      <w:r w:rsidR="009344BB" w:rsidRPr="00BF445D">
        <w:rPr>
          <w:rFonts w:ascii="Arial" w:hAnsi="Arial" w:cs="Arial"/>
          <w:sz w:val="28"/>
          <w:szCs w:val="28"/>
        </w:rPr>
        <w:t xml:space="preserve">the potential impact on the market </w:t>
      </w:r>
      <w:r w:rsidR="006F043A">
        <w:rPr>
          <w:rFonts w:ascii="Arial" w:hAnsi="Arial" w:cs="Arial"/>
          <w:sz w:val="28"/>
          <w:szCs w:val="28"/>
        </w:rPr>
        <w:t xml:space="preserve">of the </w:t>
      </w:r>
      <w:r w:rsidR="009344BB" w:rsidRPr="00BF445D">
        <w:rPr>
          <w:rFonts w:ascii="Arial" w:hAnsi="Arial" w:cs="Arial"/>
          <w:sz w:val="28"/>
          <w:szCs w:val="28"/>
        </w:rPr>
        <w:t>decision to extend the passport.</w:t>
      </w:r>
    </w:p>
    <w:p w14:paraId="77A6F126" w14:textId="77777777" w:rsidR="007654F1" w:rsidRDefault="007654F1" w:rsidP="005220CF">
      <w:pPr>
        <w:pStyle w:val="NormalWeb"/>
        <w:spacing w:before="240" w:after="0" w:line="360" w:lineRule="auto"/>
        <w:jc w:val="both"/>
        <w:rPr>
          <w:rFonts w:ascii="Arial" w:hAnsi="Arial" w:cs="Arial"/>
          <w:sz w:val="28"/>
          <w:szCs w:val="28"/>
        </w:rPr>
      </w:pPr>
      <w:r>
        <w:rPr>
          <w:rFonts w:ascii="Arial" w:hAnsi="Arial" w:cs="Arial"/>
          <w:sz w:val="28"/>
          <w:szCs w:val="28"/>
        </w:rPr>
        <w:t xml:space="preserve">In December 2015, we received a letter from the European Commission </w:t>
      </w:r>
      <w:r w:rsidR="00887BB5">
        <w:rPr>
          <w:rFonts w:ascii="Arial" w:hAnsi="Arial" w:cs="Arial"/>
          <w:sz w:val="28"/>
          <w:szCs w:val="28"/>
        </w:rPr>
        <w:t>asking</w:t>
      </w:r>
      <w:r>
        <w:rPr>
          <w:rFonts w:ascii="Arial" w:hAnsi="Arial" w:cs="Arial"/>
          <w:sz w:val="28"/>
          <w:szCs w:val="28"/>
        </w:rPr>
        <w:t xml:space="preserve"> us to investigate further two specific topics, namely the effectiveness of enforcement in non-EU jurisdictions </w:t>
      </w:r>
      <w:r w:rsidR="00EB14DA">
        <w:rPr>
          <w:rFonts w:ascii="Arial" w:hAnsi="Arial" w:cs="Arial"/>
          <w:sz w:val="28"/>
          <w:szCs w:val="28"/>
        </w:rPr>
        <w:t>and</w:t>
      </w:r>
      <w:r>
        <w:rPr>
          <w:rFonts w:ascii="Arial" w:hAnsi="Arial" w:cs="Arial"/>
          <w:sz w:val="28"/>
          <w:szCs w:val="28"/>
        </w:rPr>
        <w:t xml:space="preserve"> a preliminary assessment of the expected inflow of funds into the EU from the relevant non-EU jurisdictions in case the AIFMD passport would be extended to these jurisdictions. This letter also included a list of 6 additional non-EU jurisdictions </w:t>
      </w:r>
      <w:r w:rsidR="007A7696">
        <w:rPr>
          <w:rFonts w:ascii="Arial" w:hAnsi="Arial" w:cs="Arial"/>
          <w:sz w:val="28"/>
          <w:szCs w:val="28"/>
        </w:rPr>
        <w:t xml:space="preserve">to be </w:t>
      </w:r>
      <w:r>
        <w:rPr>
          <w:rFonts w:ascii="Arial" w:hAnsi="Arial" w:cs="Arial"/>
          <w:sz w:val="28"/>
          <w:szCs w:val="28"/>
        </w:rPr>
        <w:t>assess</w:t>
      </w:r>
      <w:r w:rsidR="007A7696">
        <w:rPr>
          <w:rFonts w:ascii="Arial" w:hAnsi="Arial" w:cs="Arial"/>
          <w:sz w:val="28"/>
          <w:szCs w:val="28"/>
        </w:rPr>
        <w:t>ed</w:t>
      </w:r>
      <w:r>
        <w:rPr>
          <w:rFonts w:ascii="Arial" w:hAnsi="Arial" w:cs="Arial"/>
          <w:sz w:val="28"/>
          <w:szCs w:val="28"/>
        </w:rPr>
        <w:t xml:space="preserve">: Australia, Bermuda, Canada, Cayman Islands, Isle of </w:t>
      </w:r>
      <w:r w:rsidR="007A7696">
        <w:rPr>
          <w:rFonts w:ascii="Arial" w:hAnsi="Arial" w:cs="Arial"/>
          <w:sz w:val="28"/>
          <w:szCs w:val="28"/>
        </w:rPr>
        <w:t>M</w:t>
      </w:r>
      <w:r>
        <w:rPr>
          <w:rFonts w:ascii="Arial" w:hAnsi="Arial" w:cs="Arial"/>
          <w:sz w:val="28"/>
          <w:szCs w:val="28"/>
        </w:rPr>
        <w:t xml:space="preserve">an and Japan. </w:t>
      </w:r>
    </w:p>
    <w:p w14:paraId="77A6F127" w14:textId="77777777" w:rsidR="007654F1" w:rsidRDefault="007654F1" w:rsidP="007654F1">
      <w:pPr>
        <w:pStyle w:val="NormalWeb"/>
        <w:spacing w:before="240" w:after="0" w:line="360" w:lineRule="auto"/>
        <w:jc w:val="both"/>
        <w:rPr>
          <w:rFonts w:ascii="Arial" w:hAnsi="Arial" w:cs="Arial"/>
          <w:sz w:val="28"/>
          <w:szCs w:val="28"/>
        </w:rPr>
      </w:pPr>
      <w:r>
        <w:rPr>
          <w:rFonts w:ascii="Arial" w:hAnsi="Arial" w:cs="Arial"/>
          <w:sz w:val="28"/>
          <w:szCs w:val="28"/>
        </w:rPr>
        <w:lastRenderedPageBreak/>
        <w:t xml:space="preserve">Consequently, ESMA published its second advice on the </w:t>
      </w:r>
      <w:r w:rsidRPr="006F28F0">
        <w:rPr>
          <w:rFonts w:ascii="Arial" w:hAnsi="Arial" w:cs="Arial"/>
          <w:sz w:val="28"/>
          <w:szCs w:val="28"/>
        </w:rPr>
        <w:t xml:space="preserve">extension of the </w:t>
      </w:r>
      <w:r>
        <w:rPr>
          <w:rFonts w:ascii="Arial" w:hAnsi="Arial" w:cs="Arial"/>
          <w:sz w:val="28"/>
          <w:szCs w:val="28"/>
        </w:rPr>
        <w:t xml:space="preserve">AIFMD </w:t>
      </w:r>
      <w:r w:rsidRPr="006F28F0">
        <w:rPr>
          <w:rFonts w:ascii="Arial" w:hAnsi="Arial" w:cs="Arial"/>
          <w:sz w:val="28"/>
          <w:szCs w:val="28"/>
        </w:rPr>
        <w:t>passport</w:t>
      </w:r>
      <w:r>
        <w:rPr>
          <w:rFonts w:ascii="Arial" w:hAnsi="Arial" w:cs="Arial"/>
          <w:sz w:val="28"/>
          <w:szCs w:val="28"/>
        </w:rPr>
        <w:t xml:space="preserve"> on 18 July this year. </w:t>
      </w:r>
      <w:r w:rsidR="00EB14DA">
        <w:rPr>
          <w:rFonts w:ascii="Arial" w:hAnsi="Arial" w:cs="Arial"/>
          <w:sz w:val="28"/>
          <w:szCs w:val="28"/>
        </w:rPr>
        <w:t xml:space="preserve">In this second advice </w:t>
      </w:r>
      <w:r>
        <w:rPr>
          <w:rFonts w:ascii="Arial" w:hAnsi="Arial" w:cs="Arial"/>
          <w:sz w:val="28"/>
          <w:szCs w:val="28"/>
        </w:rPr>
        <w:t xml:space="preserve">we </w:t>
      </w:r>
      <w:r w:rsidR="007A7696">
        <w:rPr>
          <w:rFonts w:ascii="Arial" w:hAnsi="Arial" w:cs="Arial"/>
          <w:sz w:val="28"/>
          <w:szCs w:val="28"/>
        </w:rPr>
        <w:t xml:space="preserve">assessed 12 non-EU countries in total and took </w:t>
      </w:r>
      <w:r>
        <w:rPr>
          <w:rFonts w:ascii="Arial" w:hAnsi="Arial" w:cs="Arial"/>
          <w:sz w:val="28"/>
          <w:szCs w:val="28"/>
        </w:rPr>
        <w:t>into account the additional requests received from the European Commission</w:t>
      </w:r>
      <w:r w:rsidR="00993F58">
        <w:rPr>
          <w:rFonts w:ascii="Arial" w:hAnsi="Arial" w:cs="Arial"/>
          <w:sz w:val="28"/>
          <w:szCs w:val="28"/>
        </w:rPr>
        <w:t>.</w:t>
      </w:r>
    </w:p>
    <w:p w14:paraId="77A6F128" w14:textId="77777777" w:rsidR="00993F58" w:rsidRDefault="00993F58" w:rsidP="00993F58">
      <w:pPr>
        <w:pStyle w:val="NormalWeb"/>
        <w:spacing w:before="240" w:after="0" w:line="360" w:lineRule="auto"/>
        <w:jc w:val="both"/>
        <w:rPr>
          <w:rFonts w:ascii="Arial" w:hAnsi="Arial" w:cs="Arial"/>
          <w:color w:val="000000"/>
          <w:sz w:val="28"/>
          <w:szCs w:val="28"/>
        </w:rPr>
      </w:pPr>
      <w:r>
        <w:rPr>
          <w:rFonts w:ascii="Arial" w:hAnsi="Arial" w:cs="Arial"/>
          <w:sz w:val="28"/>
          <w:szCs w:val="28"/>
        </w:rPr>
        <w:t xml:space="preserve">This </w:t>
      </w:r>
      <w:r w:rsidRPr="00993F58">
        <w:rPr>
          <w:rFonts w:ascii="Arial" w:hAnsi="Arial" w:cs="Arial"/>
          <w:sz w:val="28"/>
          <w:szCs w:val="28"/>
        </w:rPr>
        <w:t xml:space="preserve">second advice was positive with respect to the extension of the passport to </w:t>
      </w:r>
      <w:r w:rsidRPr="00993F58">
        <w:rPr>
          <w:rFonts w:ascii="Arial" w:hAnsi="Arial" w:cs="Arial"/>
          <w:b/>
          <w:bCs/>
          <w:color w:val="000000"/>
          <w:sz w:val="28"/>
          <w:szCs w:val="28"/>
        </w:rPr>
        <w:t>Canada, Guernsey</w:t>
      </w:r>
      <w:r w:rsidRPr="00993F58">
        <w:rPr>
          <w:rFonts w:ascii="Arial" w:hAnsi="Arial" w:cs="Arial"/>
          <w:b/>
          <w:color w:val="000000"/>
          <w:sz w:val="28"/>
          <w:szCs w:val="28"/>
        </w:rPr>
        <w:t xml:space="preserve">, Hong Kong, </w:t>
      </w:r>
      <w:r w:rsidRPr="00993F58">
        <w:rPr>
          <w:rFonts w:ascii="Arial" w:hAnsi="Arial" w:cs="Arial"/>
          <w:b/>
          <w:bCs/>
          <w:color w:val="000000"/>
          <w:sz w:val="28"/>
          <w:szCs w:val="28"/>
        </w:rPr>
        <w:t xml:space="preserve">Japan, Jersey, Singapore </w:t>
      </w:r>
      <w:r w:rsidRPr="00993F58">
        <w:rPr>
          <w:rFonts w:ascii="Arial" w:hAnsi="Arial" w:cs="Arial"/>
          <w:b/>
          <w:color w:val="000000"/>
          <w:sz w:val="28"/>
          <w:szCs w:val="28"/>
        </w:rPr>
        <w:t xml:space="preserve">and </w:t>
      </w:r>
      <w:r w:rsidRPr="00993F58">
        <w:rPr>
          <w:rFonts w:ascii="Arial" w:hAnsi="Arial" w:cs="Arial"/>
          <w:b/>
          <w:bCs/>
          <w:color w:val="000000"/>
          <w:sz w:val="28"/>
          <w:szCs w:val="28"/>
        </w:rPr>
        <w:t>Switzerland</w:t>
      </w:r>
      <w:r>
        <w:rPr>
          <w:rFonts w:ascii="Arial" w:hAnsi="Arial" w:cs="Arial"/>
          <w:bCs/>
          <w:color w:val="000000"/>
          <w:sz w:val="28"/>
          <w:szCs w:val="28"/>
        </w:rPr>
        <w:t xml:space="preserve">. </w:t>
      </w:r>
      <w:r w:rsidRPr="00993F58">
        <w:rPr>
          <w:rFonts w:ascii="Arial" w:hAnsi="Arial" w:cs="Arial"/>
          <w:color w:val="000000"/>
          <w:sz w:val="28"/>
          <w:szCs w:val="28"/>
        </w:rPr>
        <w:t>However, ESMA note</w:t>
      </w:r>
      <w:r>
        <w:rPr>
          <w:rFonts w:ascii="Arial" w:hAnsi="Arial" w:cs="Arial"/>
          <w:color w:val="000000"/>
          <w:sz w:val="28"/>
          <w:szCs w:val="28"/>
        </w:rPr>
        <w:t>d</w:t>
      </w:r>
      <w:r w:rsidRPr="00993F58">
        <w:rPr>
          <w:rFonts w:ascii="Arial" w:hAnsi="Arial" w:cs="Arial"/>
          <w:color w:val="000000"/>
          <w:sz w:val="28"/>
          <w:szCs w:val="28"/>
        </w:rPr>
        <w:t xml:space="preserve"> that both Hong Kong and Singapore operate regimes that facilitate the access of UCITS from only certain EU Member States to retail investors in their territories</w:t>
      </w:r>
      <w:r>
        <w:rPr>
          <w:rFonts w:ascii="Arial" w:hAnsi="Arial" w:cs="Arial"/>
          <w:color w:val="000000"/>
          <w:sz w:val="28"/>
          <w:szCs w:val="28"/>
        </w:rPr>
        <w:t>.</w:t>
      </w:r>
    </w:p>
    <w:p w14:paraId="77A6F129" w14:textId="77777777" w:rsidR="00993F58" w:rsidRDefault="00993F58" w:rsidP="00993F58">
      <w:pPr>
        <w:pStyle w:val="NormalWeb"/>
        <w:spacing w:before="240" w:after="0" w:line="360" w:lineRule="auto"/>
        <w:jc w:val="both"/>
        <w:rPr>
          <w:rFonts w:ascii="Arial" w:hAnsi="Arial" w:cs="Arial"/>
          <w:color w:val="000000"/>
          <w:sz w:val="28"/>
          <w:szCs w:val="28"/>
        </w:rPr>
      </w:pPr>
      <w:r>
        <w:rPr>
          <w:rFonts w:ascii="Arial" w:hAnsi="Arial" w:cs="Arial"/>
          <w:color w:val="000000"/>
          <w:sz w:val="28"/>
          <w:szCs w:val="28"/>
        </w:rPr>
        <w:t xml:space="preserve">With respect to </w:t>
      </w:r>
      <w:r w:rsidRPr="00993F58">
        <w:rPr>
          <w:rFonts w:ascii="Arial" w:hAnsi="Arial" w:cs="Arial"/>
          <w:b/>
          <w:color w:val="000000"/>
          <w:sz w:val="28"/>
          <w:szCs w:val="28"/>
        </w:rPr>
        <w:t>Australia</w:t>
      </w:r>
      <w:r>
        <w:rPr>
          <w:rFonts w:ascii="Arial" w:hAnsi="Arial" w:cs="Arial"/>
          <w:color w:val="000000"/>
          <w:sz w:val="28"/>
          <w:szCs w:val="28"/>
        </w:rPr>
        <w:t xml:space="preserve">, ESMA noted that </w:t>
      </w:r>
      <w:r w:rsidRPr="00993F58">
        <w:rPr>
          <w:rFonts w:ascii="Arial" w:hAnsi="Arial" w:cs="Arial"/>
          <w:color w:val="000000"/>
          <w:sz w:val="28"/>
          <w:szCs w:val="28"/>
        </w:rPr>
        <w:t xml:space="preserve">there are no significant obstacles regarding market disruption and obstacles to competition impeding the application of the AIFMD passport, provided the Australian Securities and Investment </w:t>
      </w:r>
      <w:r w:rsidR="007A7696" w:rsidRPr="00993F58">
        <w:rPr>
          <w:rFonts w:ascii="Arial" w:hAnsi="Arial" w:cs="Arial"/>
          <w:color w:val="000000"/>
          <w:sz w:val="28"/>
          <w:szCs w:val="28"/>
        </w:rPr>
        <w:t>Commi</w:t>
      </w:r>
      <w:r w:rsidR="007A7696">
        <w:rPr>
          <w:rFonts w:ascii="Arial" w:hAnsi="Arial" w:cs="Arial"/>
          <w:color w:val="000000"/>
          <w:sz w:val="28"/>
          <w:szCs w:val="28"/>
        </w:rPr>
        <w:t>ssion</w:t>
      </w:r>
      <w:r w:rsidR="007A7696" w:rsidRPr="00993F58">
        <w:rPr>
          <w:rFonts w:ascii="Arial" w:hAnsi="Arial" w:cs="Arial"/>
          <w:color w:val="000000"/>
          <w:sz w:val="28"/>
          <w:szCs w:val="28"/>
        </w:rPr>
        <w:t xml:space="preserve"> </w:t>
      </w:r>
      <w:r w:rsidRPr="00993F58">
        <w:rPr>
          <w:rFonts w:ascii="Arial" w:hAnsi="Arial" w:cs="Arial"/>
          <w:color w:val="000000"/>
          <w:sz w:val="28"/>
          <w:szCs w:val="28"/>
        </w:rPr>
        <w:t>(ASIC) extends to all EU Member States the ‘class order relief’, currently available only to some EU Member States, from some requirements of the Australian regulatory framework</w:t>
      </w:r>
      <w:r>
        <w:rPr>
          <w:rFonts w:ascii="Arial" w:hAnsi="Arial" w:cs="Arial"/>
          <w:color w:val="000000"/>
          <w:sz w:val="28"/>
          <w:szCs w:val="28"/>
        </w:rPr>
        <w:t>.</w:t>
      </w:r>
    </w:p>
    <w:p w14:paraId="77A6F12A" w14:textId="77777777" w:rsidR="00993F58" w:rsidRDefault="00993F58" w:rsidP="00993F58">
      <w:pPr>
        <w:pStyle w:val="NormalWeb"/>
        <w:spacing w:before="240" w:after="0" w:line="360" w:lineRule="auto"/>
        <w:jc w:val="both"/>
        <w:rPr>
          <w:rFonts w:ascii="Arial" w:hAnsi="Arial" w:cs="Arial"/>
          <w:color w:val="000000"/>
          <w:sz w:val="28"/>
          <w:szCs w:val="28"/>
        </w:rPr>
      </w:pPr>
      <w:r>
        <w:rPr>
          <w:rFonts w:ascii="Arial" w:hAnsi="Arial" w:cs="Arial"/>
          <w:color w:val="000000"/>
          <w:sz w:val="28"/>
          <w:szCs w:val="28"/>
        </w:rPr>
        <w:t xml:space="preserve">Regarding the </w:t>
      </w:r>
      <w:r w:rsidRPr="00993F58">
        <w:rPr>
          <w:rFonts w:ascii="Arial" w:hAnsi="Arial" w:cs="Arial"/>
          <w:b/>
          <w:color w:val="000000"/>
          <w:sz w:val="28"/>
          <w:szCs w:val="28"/>
        </w:rPr>
        <w:t>United States</w:t>
      </w:r>
      <w:r>
        <w:rPr>
          <w:rFonts w:ascii="Arial" w:hAnsi="Arial" w:cs="Arial"/>
          <w:color w:val="000000"/>
          <w:sz w:val="28"/>
          <w:szCs w:val="28"/>
        </w:rPr>
        <w:t xml:space="preserve"> (US), w</w:t>
      </w:r>
      <w:r w:rsidRPr="00993F58">
        <w:rPr>
          <w:rFonts w:ascii="Arial" w:hAnsi="Arial" w:cs="Arial"/>
          <w:color w:val="000000"/>
          <w:sz w:val="28"/>
          <w:szCs w:val="28"/>
        </w:rPr>
        <w:t>ith respect to the competition and market disruption criteria, ESMA consider</w:t>
      </w:r>
      <w:r>
        <w:rPr>
          <w:rFonts w:ascii="Arial" w:hAnsi="Arial" w:cs="Arial"/>
          <w:color w:val="000000"/>
          <w:sz w:val="28"/>
          <w:szCs w:val="28"/>
        </w:rPr>
        <w:t>ed</w:t>
      </w:r>
      <w:r w:rsidRPr="00993F58">
        <w:rPr>
          <w:rFonts w:ascii="Arial" w:hAnsi="Arial" w:cs="Arial"/>
          <w:color w:val="000000"/>
          <w:sz w:val="28"/>
          <w:szCs w:val="28"/>
        </w:rPr>
        <w:t xml:space="preserve"> there is no significant obstacle for funds marketed by managers to professional investors which do not involve any public offering. However, ESMA consider</w:t>
      </w:r>
      <w:r>
        <w:rPr>
          <w:rFonts w:ascii="Arial" w:hAnsi="Arial" w:cs="Arial"/>
          <w:color w:val="000000"/>
          <w:sz w:val="28"/>
          <w:szCs w:val="28"/>
        </w:rPr>
        <w:t>ed</w:t>
      </w:r>
      <w:r w:rsidRPr="00993F58">
        <w:rPr>
          <w:rFonts w:ascii="Arial" w:hAnsi="Arial" w:cs="Arial"/>
          <w:color w:val="000000"/>
          <w:sz w:val="28"/>
          <w:szCs w:val="28"/>
        </w:rPr>
        <w:t xml:space="preserve"> that in the case of funds marketed by managers to professional investors which do involve a public offering, a potential extension of the AIFMD passport to the US risks an un-level playing field between EU and non-EU AIFMs. The market access conditions which would apply to these US funds in the EU under an AIFMD passport would be different from, and potentially less onerous than, the market access conditions applicable to EU funds in the US and marketed by managers involving a public offering. ESMA </w:t>
      </w:r>
      <w:r w:rsidRPr="00993F58">
        <w:rPr>
          <w:rFonts w:ascii="Arial" w:hAnsi="Arial" w:cs="Arial"/>
          <w:color w:val="000000"/>
          <w:sz w:val="28"/>
          <w:szCs w:val="28"/>
        </w:rPr>
        <w:lastRenderedPageBreak/>
        <w:t>suggest</w:t>
      </w:r>
      <w:r>
        <w:rPr>
          <w:rFonts w:ascii="Arial" w:hAnsi="Arial" w:cs="Arial"/>
          <w:color w:val="000000"/>
          <w:sz w:val="28"/>
          <w:szCs w:val="28"/>
        </w:rPr>
        <w:t>ed</w:t>
      </w:r>
      <w:r w:rsidRPr="00993F58">
        <w:rPr>
          <w:rFonts w:ascii="Arial" w:hAnsi="Arial" w:cs="Arial"/>
          <w:color w:val="000000"/>
          <w:sz w:val="28"/>
          <w:szCs w:val="28"/>
        </w:rPr>
        <w:t>, therefore, that the EU institutions consider options to mitigate this risk</w:t>
      </w:r>
      <w:r>
        <w:rPr>
          <w:rFonts w:ascii="Arial" w:hAnsi="Arial" w:cs="Arial"/>
          <w:color w:val="000000"/>
          <w:sz w:val="28"/>
          <w:szCs w:val="28"/>
        </w:rPr>
        <w:t>.</w:t>
      </w:r>
      <w:r w:rsidRPr="00993F58">
        <w:rPr>
          <w:rFonts w:ascii="Arial" w:hAnsi="Arial" w:cs="Arial"/>
          <w:color w:val="000000"/>
          <w:sz w:val="28"/>
          <w:szCs w:val="28"/>
        </w:rPr>
        <w:t xml:space="preserve"> </w:t>
      </w:r>
    </w:p>
    <w:p w14:paraId="77A6F12C" w14:textId="51A1B495" w:rsidR="00993F58" w:rsidRPr="00EB14DA" w:rsidRDefault="00993F58" w:rsidP="007654F1">
      <w:pPr>
        <w:pStyle w:val="NormalWeb"/>
        <w:spacing w:before="240" w:after="0" w:line="360" w:lineRule="auto"/>
        <w:jc w:val="both"/>
        <w:rPr>
          <w:rFonts w:ascii="Arial" w:hAnsi="Arial" w:cs="Arial"/>
          <w:color w:val="000000"/>
          <w:sz w:val="28"/>
          <w:szCs w:val="28"/>
        </w:rPr>
      </w:pPr>
      <w:r w:rsidRPr="00993F58">
        <w:rPr>
          <w:rFonts w:ascii="Arial" w:hAnsi="Arial" w:cs="Arial"/>
          <w:color w:val="000000"/>
          <w:sz w:val="28"/>
          <w:szCs w:val="28"/>
        </w:rPr>
        <w:t xml:space="preserve">For </w:t>
      </w:r>
      <w:r w:rsidRPr="00993F58">
        <w:rPr>
          <w:rFonts w:ascii="Arial" w:hAnsi="Arial" w:cs="Arial"/>
          <w:b/>
          <w:bCs/>
          <w:color w:val="000000"/>
          <w:sz w:val="28"/>
          <w:szCs w:val="28"/>
        </w:rPr>
        <w:t xml:space="preserve">Bermuda </w:t>
      </w:r>
      <w:r w:rsidRPr="00993F58">
        <w:rPr>
          <w:rFonts w:ascii="Arial" w:hAnsi="Arial" w:cs="Arial"/>
          <w:color w:val="000000"/>
          <w:sz w:val="28"/>
          <w:szCs w:val="28"/>
        </w:rPr>
        <w:t xml:space="preserve">and the </w:t>
      </w:r>
      <w:r w:rsidRPr="00993F58">
        <w:rPr>
          <w:rFonts w:ascii="Arial" w:hAnsi="Arial" w:cs="Arial"/>
          <w:b/>
          <w:bCs/>
          <w:color w:val="000000"/>
          <w:sz w:val="28"/>
          <w:szCs w:val="28"/>
        </w:rPr>
        <w:t xml:space="preserve">Cayman Islands, </w:t>
      </w:r>
      <w:r w:rsidRPr="00993F58">
        <w:rPr>
          <w:rFonts w:ascii="Arial" w:hAnsi="Arial" w:cs="Arial"/>
          <w:color w:val="000000"/>
          <w:sz w:val="28"/>
          <w:szCs w:val="28"/>
        </w:rPr>
        <w:t xml:space="preserve">ESMA </w:t>
      </w:r>
      <w:r>
        <w:rPr>
          <w:rFonts w:ascii="Arial" w:hAnsi="Arial" w:cs="Arial"/>
          <w:color w:val="000000"/>
          <w:sz w:val="28"/>
          <w:szCs w:val="28"/>
        </w:rPr>
        <w:t>could not</w:t>
      </w:r>
      <w:r w:rsidRPr="00993F58">
        <w:rPr>
          <w:rFonts w:ascii="Arial" w:hAnsi="Arial" w:cs="Arial"/>
          <w:color w:val="000000"/>
          <w:sz w:val="28"/>
          <w:szCs w:val="28"/>
        </w:rPr>
        <w:t xml:space="preserve"> give definitive Advice with respect to the criteria on investor protection and effectiveness of enforcement since both countries are in the process of implementing new regulatory regimes and the assessment will need to take into account the final rules in place. For the </w:t>
      </w:r>
      <w:r w:rsidRPr="00993F58">
        <w:rPr>
          <w:rFonts w:ascii="Arial" w:hAnsi="Arial" w:cs="Arial"/>
          <w:b/>
          <w:bCs/>
          <w:color w:val="000000"/>
          <w:sz w:val="28"/>
          <w:szCs w:val="28"/>
        </w:rPr>
        <w:t xml:space="preserve">Isle of Man </w:t>
      </w:r>
      <w:r w:rsidRPr="00993F58">
        <w:rPr>
          <w:rFonts w:ascii="Arial" w:hAnsi="Arial" w:cs="Arial"/>
          <w:color w:val="000000"/>
          <w:sz w:val="28"/>
          <w:szCs w:val="28"/>
        </w:rPr>
        <w:t>ESMA f</w:t>
      </w:r>
      <w:r>
        <w:rPr>
          <w:rFonts w:ascii="Arial" w:hAnsi="Arial" w:cs="Arial"/>
          <w:color w:val="000000"/>
          <w:sz w:val="28"/>
          <w:szCs w:val="28"/>
        </w:rPr>
        <w:t>ound</w:t>
      </w:r>
      <w:r w:rsidRPr="00993F58">
        <w:rPr>
          <w:rFonts w:ascii="Arial" w:hAnsi="Arial" w:cs="Arial"/>
          <w:color w:val="000000"/>
          <w:sz w:val="28"/>
          <w:szCs w:val="28"/>
        </w:rPr>
        <w:t xml:space="preserve"> that the absence of an AIFMD-like regime ma</w:t>
      </w:r>
      <w:r w:rsidR="00A66CDA">
        <w:rPr>
          <w:rFonts w:ascii="Arial" w:hAnsi="Arial" w:cs="Arial"/>
          <w:color w:val="000000"/>
          <w:sz w:val="28"/>
          <w:szCs w:val="28"/>
        </w:rPr>
        <w:t>de</w:t>
      </w:r>
      <w:r w:rsidRPr="00993F58">
        <w:rPr>
          <w:rFonts w:ascii="Arial" w:hAnsi="Arial" w:cs="Arial"/>
          <w:color w:val="000000"/>
          <w:sz w:val="28"/>
          <w:szCs w:val="28"/>
        </w:rPr>
        <w:t xml:space="preserve"> it difficult to assess whether the investor protection criterion is met. </w:t>
      </w:r>
    </w:p>
    <w:p w14:paraId="77A6F12D" w14:textId="77777777" w:rsidR="00EB14DA" w:rsidRDefault="006F28F0" w:rsidP="005220CF">
      <w:pPr>
        <w:pStyle w:val="05aTitle"/>
        <w:spacing w:before="240" w:line="360" w:lineRule="auto"/>
        <w:jc w:val="both"/>
        <w:rPr>
          <w:rFonts w:ascii="Arial" w:hAnsi="Arial" w:cs="Arial"/>
          <w:b w:val="0"/>
          <w:szCs w:val="28"/>
        </w:rPr>
      </w:pPr>
      <w:r>
        <w:rPr>
          <w:rFonts w:ascii="Arial" w:hAnsi="Arial" w:cs="Arial"/>
          <w:b w:val="0"/>
          <w:szCs w:val="28"/>
        </w:rPr>
        <w:t xml:space="preserve">Looking ahead to the next steps, we see </w:t>
      </w:r>
      <w:r w:rsidR="00492C8B">
        <w:rPr>
          <w:rFonts w:ascii="Arial" w:hAnsi="Arial" w:cs="Arial"/>
          <w:b w:val="0"/>
          <w:szCs w:val="28"/>
        </w:rPr>
        <w:t>three</w:t>
      </w:r>
      <w:r>
        <w:rPr>
          <w:rFonts w:ascii="Arial" w:hAnsi="Arial" w:cs="Arial"/>
          <w:b w:val="0"/>
          <w:szCs w:val="28"/>
        </w:rPr>
        <w:t xml:space="preserve"> key areas on which further work by ESMA is required</w:t>
      </w:r>
      <w:r w:rsidR="00492C8B">
        <w:rPr>
          <w:rFonts w:ascii="Arial" w:hAnsi="Arial" w:cs="Arial"/>
          <w:b w:val="0"/>
          <w:szCs w:val="28"/>
        </w:rPr>
        <w:t xml:space="preserve"> in the short term</w:t>
      </w:r>
      <w:r>
        <w:rPr>
          <w:rFonts w:ascii="Arial" w:hAnsi="Arial" w:cs="Arial"/>
          <w:b w:val="0"/>
          <w:szCs w:val="28"/>
        </w:rPr>
        <w:t xml:space="preserve">. First, we will continue our assessment of </w:t>
      </w:r>
      <w:r w:rsidR="00735224">
        <w:rPr>
          <w:rFonts w:ascii="Arial" w:hAnsi="Arial" w:cs="Arial"/>
          <w:b w:val="0"/>
          <w:szCs w:val="28"/>
        </w:rPr>
        <w:t>Bermuda and Cayman Islands</w:t>
      </w:r>
      <w:r w:rsidR="00492C8B">
        <w:rPr>
          <w:rFonts w:ascii="Arial" w:hAnsi="Arial" w:cs="Arial"/>
          <w:b w:val="0"/>
          <w:szCs w:val="28"/>
        </w:rPr>
        <w:t xml:space="preserve"> with a view to reaching a definitive conclusion on whether to extend the passport to those countries</w:t>
      </w:r>
      <w:r>
        <w:rPr>
          <w:rFonts w:ascii="Arial" w:hAnsi="Arial" w:cs="Arial"/>
          <w:b w:val="0"/>
          <w:szCs w:val="28"/>
        </w:rPr>
        <w:t xml:space="preserve">. Secondly, we will start to assess a </w:t>
      </w:r>
      <w:r w:rsidR="00735224">
        <w:rPr>
          <w:rFonts w:ascii="Arial" w:hAnsi="Arial" w:cs="Arial"/>
          <w:b w:val="0"/>
          <w:szCs w:val="28"/>
        </w:rPr>
        <w:t>third</w:t>
      </w:r>
      <w:r>
        <w:rPr>
          <w:rFonts w:ascii="Arial" w:hAnsi="Arial" w:cs="Arial"/>
          <w:b w:val="0"/>
          <w:szCs w:val="28"/>
        </w:rPr>
        <w:t xml:space="preserve"> group of non-EU countries, </w:t>
      </w:r>
      <w:r w:rsidR="00735224">
        <w:rPr>
          <w:rFonts w:ascii="Arial" w:hAnsi="Arial" w:cs="Arial"/>
          <w:b w:val="0"/>
          <w:szCs w:val="28"/>
        </w:rPr>
        <w:t>when we have more clarity on the next steps envisaged by the co-legislators</w:t>
      </w:r>
      <w:r>
        <w:rPr>
          <w:rFonts w:ascii="Arial" w:hAnsi="Arial" w:cs="Arial"/>
          <w:b w:val="0"/>
          <w:szCs w:val="28"/>
        </w:rPr>
        <w:t>. Third</w:t>
      </w:r>
      <w:r w:rsidR="00492C8B">
        <w:rPr>
          <w:rFonts w:ascii="Arial" w:hAnsi="Arial" w:cs="Arial"/>
          <w:b w:val="0"/>
          <w:szCs w:val="28"/>
        </w:rPr>
        <w:t xml:space="preserve">ly, we will focus on putting in place the </w:t>
      </w:r>
      <w:r w:rsidR="00912DDC">
        <w:rPr>
          <w:rFonts w:ascii="Arial" w:hAnsi="Arial" w:cs="Arial"/>
          <w:b w:val="0"/>
          <w:szCs w:val="28"/>
        </w:rPr>
        <w:t xml:space="preserve">extensive </w:t>
      </w:r>
      <w:r w:rsidR="00492C8B">
        <w:rPr>
          <w:rFonts w:ascii="Arial" w:hAnsi="Arial" w:cs="Arial"/>
          <w:b w:val="0"/>
          <w:szCs w:val="28"/>
        </w:rPr>
        <w:t>framework foreseen by the co-legislators in case the passport is indeed extended to one or more non-EU countries. This last element includes making preparations for the significant role for ESMA in the functioning of the passport</w:t>
      </w:r>
      <w:r w:rsidR="00912DDC">
        <w:rPr>
          <w:rFonts w:ascii="Arial" w:hAnsi="Arial" w:cs="Arial"/>
          <w:b w:val="0"/>
          <w:szCs w:val="28"/>
        </w:rPr>
        <w:t>ing</w:t>
      </w:r>
      <w:r w:rsidR="00492C8B">
        <w:rPr>
          <w:rFonts w:ascii="Arial" w:hAnsi="Arial" w:cs="Arial"/>
          <w:b w:val="0"/>
          <w:szCs w:val="28"/>
        </w:rPr>
        <w:t xml:space="preserve"> system and the strengthened supervisory cooperation that will be crucial to </w:t>
      </w:r>
      <w:r w:rsidR="00912DDC">
        <w:rPr>
          <w:rFonts w:ascii="Arial" w:hAnsi="Arial" w:cs="Arial"/>
          <w:b w:val="0"/>
          <w:szCs w:val="28"/>
        </w:rPr>
        <w:t>its</w:t>
      </w:r>
      <w:r w:rsidR="00735224">
        <w:rPr>
          <w:rFonts w:ascii="Arial" w:hAnsi="Arial" w:cs="Arial"/>
          <w:b w:val="0"/>
          <w:szCs w:val="28"/>
        </w:rPr>
        <w:t xml:space="preserve"> success. </w:t>
      </w:r>
      <w:r w:rsidR="007A7696">
        <w:rPr>
          <w:rFonts w:ascii="Arial" w:hAnsi="Arial" w:cs="Arial"/>
          <w:b w:val="0"/>
          <w:szCs w:val="28"/>
        </w:rPr>
        <w:t xml:space="preserve">I feel that we are well placed to carry out this further work as it builds on the significant contribution made by </w:t>
      </w:r>
      <w:r w:rsidR="007A7696" w:rsidRPr="007A7696">
        <w:rPr>
          <w:rFonts w:ascii="Arial" w:hAnsi="Arial" w:cs="Arial"/>
          <w:b w:val="0"/>
          <w:szCs w:val="28"/>
        </w:rPr>
        <w:t xml:space="preserve">ESMA </w:t>
      </w:r>
      <w:r w:rsidR="007A7696">
        <w:rPr>
          <w:rFonts w:ascii="Arial" w:hAnsi="Arial" w:cs="Arial"/>
          <w:b w:val="0"/>
          <w:szCs w:val="28"/>
        </w:rPr>
        <w:t xml:space="preserve">in recent years </w:t>
      </w:r>
      <w:r w:rsidR="007A7696" w:rsidRPr="007A7696">
        <w:rPr>
          <w:rFonts w:ascii="Arial" w:hAnsi="Arial" w:cs="Arial"/>
          <w:b w:val="0"/>
          <w:szCs w:val="28"/>
        </w:rPr>
        <w:t xml:space="preserve">towards making the EU financial market open to institutions from non-EU jurisdictions. </w:t>
      </w:r>
    </w:p>
    <w:p w14:paraId="77A6F12E" w14:textId="77777777" w:rsidR="00492C8B" w:rsidRDefault="00735224" w:rsidP="005220CF">
      <w:pPr>
        <w:pStyle w:val="05aTitle"/>
        <w:spacing w:before="240" w:line="360" w:lineRule="auto"/>
        <w:jc w:val="both"/>
        <w:rPr>
          <w:rFonts w:ascii="Arial" w:hAnsi="Arial" w:cs="Arial"/>
          <w:b w:val="0"/>
          <w:szCs w:val="28"/>
        </w:rPr>
      </w:pPr>
      <w:r>
        <w:rPr>
          <w:rFonts w:ascii="Arial" w:hAnsi="Arial" w:cs="Arial"/>
          <w:b w:val="0"/>
          <w:szCs w:val="28"/>
        </w:rPr>
        <w:t>We also stand ready to respond to any further quer</w:t>
      </w:r>
      <w:r w:rsidR="007A7696">
        <w:rPr>
          <w:rFonts w:ascii="Arial" w:hAnsi="Arial" w:cs="Arial"/>
          <w:b w:val="0"/>
          <w:szCs w:val="28"/>
        </w:rPr>
        <w:t>ies from the co-legislators</w:t>
      </w:r>
      <w:r>
        <w:rPr>
          <w:rFonts w:ascii="Arial" w:hAnsi="Arial" w:cs="Arial"/>
          <w:b w:val="0"/>
          <w:szCs w:val="28"/>
        </w:rPr>
        <w:t xml:space="preserve"> on our </w:t>
      </w:r>
      <w:r w:rsidR="007A7696">
        <w:rPr>
          <w:rFonts w:ascii="Arial" w:hAnsi="Arial" w:cs="Arial"/>
          <w:b w:val="0"/>
          <w:szCs w:val="28"/>
        </w:rPr>
        <w:t>advice</w:t>
      </w:r>
      <w:r w:rsidR="00923B0E">
        <w:rPr>
          <w:rFonts w:ascii="Arial" w:hAnsi="Arial" w:cs="Arial"/>
          <w:b w:val="0"/>
          <w:szCs w:val="28"/>
        </w:rPr>
        <w:t>.</w:t>
      </w:r>
    </w:p>
    <w:p w14:paraId="77A6F12F" w14:textId="77777777" w:rsidR="00BB33FD" w:rsidRDefault="00BB33FD" w:rsidP="005220CF">
      <w:pPr>
        <w:pStyle w:val="05aTitle"/>
        <w:spacing w:before="240" w:line="360" w:lineRule="auto"/>
        <w:jc w:val="both"/>
        <w:rPr>
          <w:rFonts w:ascii="Arial" w:hAnsi="Arial" w:cs="Arial"/>
          <w:b w:val="0"/>
          <w:szCs w:val="28"/>
        </w:rPr>
      </w:pPr>
      <w:r>
        <w:rPr>
          <w:rFonts w:ascii="Arial" w:hAnsi="Arial" w:cs="Arial"/>
          <w:b w:val="0"/>
          <w:szCs w:val="28"/>
        </w:rPr>
        <w:lastRenderedPageBreak/>
        <w:t xml:space="preserve">I </w:t>
      </w:r>
      <w:r w:rsidR="00492C8B">
        <w:rPr>
          <w:rFonts w:ascii="Arial" w:hAnsi="Arial" w:cs="Arial"/>
          <w:b w:val="0"/>
          <w:szCs w:val="28"/>
        </w:rPr>
        <w:t xml:space="preserve">hope that these introductory remarks have been helpful and I look </w:t>
      </w:r>
      <w:r>
        <w:rPr>
          <w:rFonts w:ascii="Arial" w:hAnsi="Arial" w:cs="Arial"/>
          <w:b w:val="0"/>
          <w:szCs w:val="28"/>
        </w:rPr>
        <w:t xml:space="preserve">forward to hearing your views on our </w:t>
      </w:r>
      <w:r w:rsidR="0008142E">
        <w:rPr>
          <w:rFonts w:ascii="Arial" w:hAnsi="Arial" w:cs="Arial"/>
          <w:b w:val="0"/>
          <w:szCs w:val="28"/>
        </w:rPr>
        <w:t>advice on the AIFMD passport</w:t>
      </w:r>
      <w:r>
        <w:rPr>
          <w:rFonts w:ascii="Arial" w:hAnsi="Arial" w:cs="Arial"/>
          <w:b w:val="0"/>
          <w:szCs w:val="28"/>
        </w:rPr>
        <w:t xml:space="preserve">. </w:t>
      </w:r>
    </w:p>
    <w:p w14:paraId="77A6F130" w14:textId="77777777" w:rsidR="005220CF" w:rsidRPr="009F78D6" w:rsidRDefault="005220CF" w:rsidP="005220CF">
      <w:pPr>
        <w:pStyle w:val="05aTitle"/>
        <w:spacing w:before="240" w:line="360" w:lineRule="auto"/>
        <w:jc w:val="both"/>
        <w:rPr>
          <w:rFonts w:ascii="Arial" w:hAnsi="Arial" w:cs="Arial"/>
          <w:b w:val="0"/>
          <w:szCs w:val="28"/>
        </w:rPr>
      </w:pPr>
      <w:r>
        <w:rPr>
          <w:rFonts w:ascii="Arial" w:hAnsi="Arial" w:cs="Arial"/>
          <w:b w:val="0"/>
          <w:szCs w:val="28"/>
        </w:rPr>
        <w:t>Thank you for your attention.</w:t>
      </w:r>
    </w:p>
    <w:p w14:paraId="77A6F131" w14:textId="77777777" w:rsidR="00333D8C" w:rsidRDefault="00333D8C" w:rsidP="00AE0DF9"/>
    <w:p w14:paraId="77A6F132" w14:textId="77777777" w:rsidR="00333D8C" w:rsidRDefault="00333D8C">
      <w:pPr>
        <w:spacing w:after="120" w:line="264" w:lineRule="auto"/>
        <w:jc w:val="left"/>
      </w:pPr>
    </w:p>
    <w:p w14:paraId="77A6F133" w14:textId="77777777" w:rsidR="00333D8C" w:rsidRPr="00FF15C2" w:rsidRDefault="00333D8C" w:rsidP="00AE0DF9">
      <w:pPr>
        <w:rPr>
          <w:rFonts w:eastAsiaTheme="majorEastAsia"/>
          <w:b/>
        </w:rPr>
      </w:pPr>
    </w:p>
    <w:sectPr w:rsidR="00333D8C" w:rsidRPr="00FF15C2" w:rsidSect="00325EA3">
      <w:headerReference w:type="default" r:id="rId12"/>
      <w:footerReference w:type="default" r:id="rId13"/>
      <w:headerReference w:type="firs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AC08C" w14:textId="77777777" w:rsidR="005C69D4" w:rsidRDefault="005C69D4" w:rsidP="007E7997">
      <w:pPr>
        <w:spacing w:line="240" w:lineRule="auto"/>
      </w:pPr>
      <w:r>
        <w:separator/>
      </w:r>
    </w:p>
  </w:endnote>
  <w:endnote w:type="continuationSeparator" w:id="0">
    <w:p w14:paraId="241969F1" w14:textId="77777777" w:rsidR="005C69D4" w:rsidRDefault="005C69D4" w:rsidP="007E7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54469"/>
      <w:docPartObj>
        <w:docPartGallery w:val="Page Numbers (Bottom of Page)"/>
        <w:docPartUnique/>
      </w:docPartObj>
    </w:sdtPr>
    <w:sdtEndPr>
      <w:rPr>
        <w:noProof/>
      </w:rPr>
    </w:sdtEndPr>
    <w:sdtContent>
      <w:p w14:paraId="77A6F13B" w14:textId="2B863215" w:rsidR="00333D8C" w:rsidRDefault="00333D8C">
        <w:pPr>
          <w:pStyle w:val="Footer"/>
          <w:jc w:val="right"/>
        </w:pPr>
        <w:r>
          <w:fldChar w:fldCharType="begin"/>
        </w:r>
        <w:r>
          <w:instrText xml:space="preserve"> PAGE   \* MERGEFORMAT </w:instrText>
        </w:r>
        <w:r>
          <w:fldChar w:fldCharType="separate"/>
        </w:r>
        <w:r w:rsidR="001151CE">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F13E" w14:textId="77777777" w:rsidR="00325EA3" w:rsidRPr="00333D8C" w:rsidRDefault="00FF15C2" w:rsidP="00FF15C2">
    <w:pPr>
      <w:pStyle w:val="Footer"/>
      <w:jc w:val="center"/>
      <w:rPr>
        <w:sz w:val="16"/>
        <w:szCs w:val="16"/>
        <w:lang w:val="fr-FR"/>
      </w:rPr>
    </w:pPr>
    <w:r w:rsidRPr="00FF15C2">
      <w:rPr>
        <w:color w:val="3E3F90"/>
        <w:sz w:val="16"/>
        <w:szCs w:val="16"/>
        <w:lang w:val="fr-FR"/>
      </w:rPr>
      <w:t xml:space="preserve">ESMA • CS 60747 – 103 rue de Grenelle • 75345 Paris Cedex 07 • France • Tel. </w:t>
    </w:r>
    <w:r w:rsidRPr="00333D8C">
      <w:rPr>
        <w:color w:val="3E3F90"/>
        <w:sz w:val="16"/>
        <w:szCs w:val="16"/>
        <w:lang w:val="fr-FR"/>
      </w:rPr>
      <w:t>+33 (0) 1 58 36 43 21 • www.esma.europa.eu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332C6" w14:textId="77777777" w:rsidR="005C69D4" w:rsidRDefault="005C69D4" w:rsidP="007E7997">
      <w:pPr>
        <w:spacing w:line="240" w:lineRule="auto"/>
      </w:pPr>
      <w:r>
        <w:separator/>
      </w:r>
    </w:p>
  </w:footnote>
  <w:footnote w:type="continuationSeparator" w:id="0">
    <w:p w14:paraId="2440B445" w14:textId="77777777" w:rsidR="005C69D4" w:rsidRDefault="005C69D4" w:rsidP="007E79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F138" w14:textId="3EFA10E1" w:rsidR="00B50534" w:rsidRDefault="00E33FBF" w:rsidP="00325EA3">
    <w:pPr>
      <w:pStyle w:val="Header"/>
      <w:tabs>
        <w:tab w:val="left" w:pos="2688"/>
      </w:tabs>
      <w:jc w:val="left"/>
      <w:rPr>
        <w:b/>
        <w:color w:val="FF0000"/>
      </w:rPr>
    </w:pPr>
    <w:r>
      <w:rPr>
        <w:noProof/>
        <w:lang w:eastAsia="en-GB"/>
      </w:rPr>
      <mc:AlternateContent>
        <mc:Choice Requires="wps">
          <w:drawing>
            <wp:anchor distT="0" distB="0" distL="114300" distR="114300" simplePos="0" relativeHeight="251658752" behindDoc="0" locked="0" layoutInCell="1" allowOverlap="1" wp14:anchorId="77A6F13F" wp14:editId="77A6F140">
              <wp:simplePos x="0" y="0"/>
              <wp:positionH relativeFrom="page">
                <wp:posOffset>1595120</wp:posOffset>
              </wp:positionH>
              <wp:positionV relativeFrom="page">
                <wp:posOffset>451485</wp:posOffset>
              </wp:positionV>
              <wp:extent cx="0" cy="558165"/>
              <wp:effectExtent l="0" t="0" r="19050" b="3238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E6D08" id="Line 3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6pt,35.55pt" to="125.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" strokecolor="#2f5496 [2408]" strokeweight="1pt">
              <w10:wrap anchorx="page" anchory="page"/>
            </v:line>
          </w:pict>
        </mc:Fallback>
      </mc:AlternateContent>
    </w:r>
    <w:r w:rsidR="00325EA3">
      <w:rPr>
        <w:b/>
        <w:color w:val="FF0000"/>
      </w:rPr>
      <w:tab/>
    </w:r>
    <w:r w:rsidR="00325EA3">
      <w:rPr>
        <w:b/>
        <w:color w:val="FF0000"/>
      </w:rPr>
      <w:tab/>
    </w:r>
    <w:r w:rsidR="00325EA3">
      <w:rPr>
        <w:b/>
        <w:color w:val="FF0000"/>
      </w:rPr>
      <w:tab/>
    </w:r>
    <w:r w:rsidR="00325EA3" w:rsidRPr="00B50534">
      <w:rPr>
        <w:b/>
        <w:noProof/>
        <w:color w:val="FF0000"/>
        <w:lang w:eastAsia="en-GB"/>
      </w:rPr>
      <w:drawing>
        <wp:anchor distT="0" distB="0" distL="114300" distR="114300" simplePos="0" relativeHeight="251657728" behindDoc="0" locked="0" layoutInCell="1" allowOverlap="1" wp14:anchorId="77A6F141" wp14:editId="77A6F142">
          <wp:simplePos x="0" y="0"/>
          <wp:positionH relativeFrom="page">
            <wp:posOffset>899795</wp:posOffset>
          </wp:positionH>
          <wp:positionV relativeFrom="page">
            <wp:posOffset>448945</wp:posOffset>
          </wp:positionV>
          <wp:extent cx="561975" cy="561975"/>
          <wp:effectExtent l="0" t="0" r="9525" b="9525"/>
          <wp:wrapNone/>
          <wp:docPr id="11" name="Picture 11"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77A6F139" w14:textId="77777777" w:rsidR="00B50534" w:rsidRDefault="00B50534" w:rsidP="00B50534">
    <w:pPr>
      <w:pStyle w:val="Header"/>
      <w:jc w:val="right"/>
      <w:rPr>
        <w:b/>
        <w:color w:val="FF0000"/>
      </w:rPr>
    </w:pPr>
  </w:p>
  <w:p w14:paraId="77A6F13A" w14:textId="77777777" w:rsidR="00325EA3" w:rsidRPr="00B50534" w:rsidRDefault="00325EA3" w:rsidP="00B50534">
    <w:pPr>
      <w:pStyle w:val="Header"/>
      <w:jc w:val="right"/>
      <w:rPr>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F13C" w14:textId="551F3340" w:rsidR="00325EA3" w:rsidRDefault="00325EA3" w:rsidP="00325EA3">
    <w:pPr>
      <w:pStyle w:val="Header"/>
      <w:jc w:val="right"/>
    </w:pPr>
    <w:r w:rsidRPr="00325EA3">
      <w:rPr>
        <w:noProof/>
        <w:color w:val="FF0000"/>
        <w:lang w:eastAsia="en-GB"/>
      </w:rPr>
      <mc:AlternateContent>
        <mc:Choice Requires="wps">
          <w:drawing>
            <wp:anchor distT="0" distB="0" distL="114300" distR="114300" simplePos="0" relativeHeight="251656704" behindDoc="0" locked="0" layoutInCell="1" allowOverlap="1" wp14:anchorId="77A6F143" wp14:editId="77A6F144">
              <wp:simplePos x="0" y="0"/>
              <wp:positionH relativeFrom="page">
                <wp:posOffset>5227955</wp:posOffset>
              </wp:positionH>
              <wp:positionV relativeFrom="page">
                <wp:posOffset>476250</wp:posOffset>
              </wp:positionV>
              <wp:extent cx="0" cy="899795"/>
              <wp:effectExtent l="11430" t="12065" r="7620" b="1206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2E0FD" id="Line 2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65pt,37.5pt" to="411.65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" strokecolor="#283583" strokeweight="1pt">
              <w10:wrap anchorx="page" anchory="page"/>
            </v:line>
          </w:pict>
        </mc:Fallback>
      </mc:AlternateContent>
    </w:r>
  </w:p>
  <w:p w14:paraId="77A6F13D" w14:textId="77777777" w:rsidR="00325EA3" w:rsidRDefault="00325EA3">
    <w:pPr>
      <w:pStyle w:val="Header"/>
    </w:pPr>
    <w:r>
      <w:rPr>
        <w:noProof/>
        <w:lang w:eastAsia="en-GB"/>
      </w:rPr>
      <w:drawing>
        <wp:anchor distT="0" distB="0" distL="114300" distR="114300" simplePos="0" relativeHeight="251655680" behindDoc="0" locked="0" layoutInCell="1" allowOverlap="1" wp14:anchorId="77A6F145" wp14:editId="77A6F146">
          <wp:simplePos x="0" y="0"/>
          <wp:positionH relativeFrom="page">
            <wp:posOffset>899795</wp:posOffset>
          </wp:positionH>
          <wp:positionV relativeFrom="page">
            <wp:posOffset>448945</wp:posOffset>
          </wp:positionV>
          <wp:extent cx="2209800" cy="904875"/>
          <wp:effectExtent l="0" t="0" r="0" b="9525"/>
          <wp:wrapNone/>
          <wp:docPr id="8" name="Picture 8"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0CA525D"/>
    <w:multiLevelType w:val="hybridMultilevel"/>
    <w:tmpl w:val="ED8CD476"/>
    <w:lvl w:ilvl="0" w:tplc="9EA8224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E864A7C"/>
    <w:multiLevelType w:val="hybridMultilevel"/>
    <w:tmpl w:val="D40428C2"/>
    <w:lvl w:ilvl="0" w:tplc="0E287C5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1DB2FEB"/>
    <w:multiLevelType w:val="hybridMultilevel"/>
    <w:tmpl w:val="0908E264"/>
    <w:lvl w:ilvl="0" w:tplc="C27C9E0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69720511"/>
    <w:multiLevelType w:val="hybridMultilevel"/>
    <w:tmpl w:val="6DF269FC"/>
    <w:lvl w:ilvl="0" w:tplc="63262542">
      <w:start w:val="1"/>
      <w:numFmt w:val="decimal"/>
      <w:pStyle w:val="ListParagraph"/>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BAD1101"/>
    <w:multiLevelType w:val="multilevel"/>
    <w:tmpl w:val="BF04B5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3E32E01"/>
    <w:multiLevelType w:val="hybridMultilevel"/>
    <w:tmpl w:val="5AD62782"/>
    <w:lvl w:ilvl="0" w:tplc="113A25D6">
      <w:start w:val="1"/>
      <w:numFmt w:val="decimal"/>
      <w:lvlText w:val="%1."/>
      <w:lvlJc w:val="left"/>
      <w:pPr>
        <w:ind w:left="360" w:hanging="360"/>
      </w:pPr>
      <w:rPr>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4"/>
  </w:num>
  <w:num w:numId="2">
    <w:abstractNumId w:val="4"/>
  </w:num>
  <w:num w:numId="3">
    <w:abstractNumId w:val="12"/>
  </w:num>
  <w:num w:numId="4">
    <w:abstractNumId w:val="5"/>
  </w:num>
  <w:num w:numId="5">
    <w:abstractNumId w:val="10"/>
  </w:num>
  <w:num w:numId="6">
    <w:abstractNumId w:val="9"/>
  </w:num>
  <w:num w:numId="7">
    <w:abstractNumId w:val="0"/>
  </w:num>
  <w:num w:numId="8">
    <w:abstractNumId w:val="6"/>
  </w:num>
  <w:num w:numId="9">
    <w:abstractNumId w:val="3"/>
  </w:num>
  <w:num w:numId="10">
    <w:abstractNumId w:val="2"/>
  </w:num>
  <w:num w:numId="11">
    <w:abstractNumId w:val="7"/>
  </w:num>
  <w:num w:numId="12">
    <w:abstractNumId w:val="8"/>
  </w:num>
  <w:num w:numId="13">
    <w:abstractNumId w:val="11"/>
  </w:num>
  <w:num w:numId="14">
    <w:abstractNumId w:val="1"/>
  </w:num>
  <w:num w:numId="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CF"/>
    <w:rsid w:val="00012D68"/>
    <w:rsid w:val="00020300"/>
    <w:rsid w:val="000372BF"/>
    <w:rsid w:val="0004270A"/>
    <w:rsid w:val="00044C5A"/>
    <w:rsid w:val="0006495D"/>
    <w:rsid w:val="0008142E"/>
    <w:rsid w:val="00093CD9"/>
    <w:rsid w:val="000B2911"/>
    <w:rsid w:val="000B5D3D"/>
    <w:rsid w:val="000D1038"/>
    <w:rsid w:val="000F34E7"/>
    <w:rsid w:val="001151CE"/>
    <w:rsid w:val="00130EF9"/>
    <w:rsid w:val="00144AAD"/>
    <w:rsid w:val="001B2151"/>
    <w:rsid w:val="001B4996"/>
    <w:rsid w:val="001F1EF3"/>
    <w:rsid w:val="002079AF"/>
    <w:rsid w:val="00243BB4"/>
    <w:rsid w:val="00244499"/>
    <w:rsid w:val="002574D1"/>
    <w:rsid w:val="002E1C11"/>
    <w:rsid w:val="00301A15"/>
    <w:rsid w:val="00325EA3"/>
    <w:rsid w:val="003279E7"/>
    <w:rsid w:val="0033324D"/>
    <w:rsid w:val="00333D8C"/>
    <w:rsid w:val="003454ED"/>
    <w:rsid w:val="003C4EB5"/>
    <w:rsid w:val="003F39B1"/>
    <w:rsid w:val="00435FE9"/>
    <w:rsid w:val="00445696"/>
    <w:rsid w:val="004513AD"/>
    <w:rsid w:val="00456BB8"/>
    <w:rsid w:val="00472A6A"/>
    <w:rsid w:val="00492C8B"/>
    <w:rsid w:val="004B57CE"/>
    <w:rsid w:val="004B78C9"/>
    <w:rsid w:val="004E2FC7"/>
    <w:rsid w:val="005220CF"/>
    <w:rsid w:val="00526E5D"/>
    <w:rsid w:val="00546AF3"/>
    <w:rsid w:val="00565193"/>
    <w:rsid w:val="005B6B12"/>
    <w:rsid w:val="005C69D4"/>
    <w:rsid w:val="0063565E"/>
    <w:rsid w:val="00636E02"/>
    <w:rsid w:val="00642297"/>
    <w:rsid w:val="00644A34"/>
    <w:rsid w:val="0065353A"/>
    <w:rsid w:val="00662882"/>
    <w:rsid w:val="00665A7C"/>
    <w:rsid w:val="00671363"/>
    <w:rsid w:val="00682E7E"/>
    <w:rsid w:val="006A7A10"/>
    <w:rsid w:val="006B0DA4"/>
    <w:rsid w:val="006B1B6B"/>
    <w:rsid w:val="006F043A"/>
    <w:rsid w:val="006F28F0"/>
    <w:rsid w:val="006F53E8"/>
    <w:rsid w:val="00735224"/>
    <w:rsid w:val="00760673"/>
    <w:rsid w:val="007654F1"/>
    <w:rsid w:val="007656C4"/>
    <w:rsid w:val="00785650"/>
    <w:rsid w:val="00797E0C"/>
    <w:rsid w:val="007A7696"/>
    <w:rsid w:val="007C2959"/>
    <w:rsid w:val="007E7997"/>
    <w:rsid w:val="00801554"/>
    <w:rsid w:val="00813A81"/>
    <w:rsid w:val="00835B83"/>
    <w:rsid w:val="008418DF"/>
    <w:rsid w:val="00887BB5"/>
    <w:rsid w:val="00896765"/>
    <w:rsid w:val="00896A44"/>
    <w:rsid w:val="008A5544"/>
    <w:rsid w:val="008C767A"/>
    <w:rsid w:val="008C76B0"/>
    <w:rsid w:val="008D5C28"/>
    <w:rsid w:val="00912DDC"/>
    <w:rsid w:val="00923B0E"/>
    <w:rsid w:val="009344BB"/>
    <w:rsid w:val="00993F58"/>
    <w:rsid w:val="0099526D"/>
    <w:rsid w:val="009961FD"/>
    <w:rsid w:val="009C7694"/>
    <w:rsid w:val="009D7294"/>
    <w:rsid w:val="00A026A4"/>
    <w:rsid w:val="00A2498C"/>
    <w:rsid w:val="00A410CC"/>
    <w:rsid w:val="00A66CDA"/>
    <w:rsid w:val="00A7232A"/>
    <w:rsid w:val="00A91D91"/>
    <w:rsid w:val="00AA054E"/>
    <w:rsid w:val="00AB7542"/>
    <w:rsid w:val="00AE0DF9"/>
    <w:rsid w:val="00AE1AF7"/>
    <w:rsid w:val="00AE26D3"/>
    <w:rsid w:val="00AE4FC7"/>
    <w:rsid w:val="00B04283"/>
    <w:rsid w:val="00B17AF3"/>
    <w:rsid w:val="00B2470A"/>
    <w:rsid w:val="00B27499"/>
    <w:rsid w:val="00B40D81"/>
    <w:rsid w:val="00B42606"/>
    <w:rsid w:val="00B4395A"/>
    <w:rsid w:val="00B50534"/>
    <w:rsid w:val="00B52E10"/>
    <w:rsid w:val="00B655D1"/>
    <w:rsid w:val="00B91B6E"/>
    <w:rsid w:val="00BB33FD"/>
    <w:rsid w:val="00BB449C"/>
    <w:rsid w:val="00BC2561"/>
    <w:rsid w:val="00BC422A"/>
    <w:rsid w:val="00BE225E"/>
    <w:rsid w:val="00BF25CD"/>
    <w:rsid w:val="00BF445D"/>
    <w:rsid w:val="00C0696A"/>
    <w:rsid w:val="00C07107"/>
    <w:rsid w:val="00C27F62"/>
    <w:rsid w:val="00C81FF2"/>
    <w:rsid w:val="00CB50EF"/>
    <w:rsid w:val="00CB791A"/>
    <w:rsid w:val="00CC0BD1"/>
    <w:rsid w:val="00CD47B2"/>
    <w:rsid w:val="00CE49F8"/>
    <w:rsid w:val="00D12EDE"/>
    <w:rsid w:val="00D22F2F"/>
    <w:rsid w:val="00D73338"/>
    <w:rsid w:val="00DF3785"/>
    <w:rsid w:val="00E16073"/>
    <w:rsid w:val="00E33FBF"/>
    <w:rsid w:val="00E3456B"/>
    <w:rsid w:val="00E8756B"/>
    <w:rsid w:val="00EB14DA"/>
    <w:rsid w:val="00EB31F6"/>
    <w:rsid w:val="00EC6BD8"/>
    <w:rsid w:val="00ED74D7"/>
    <w:rsid w:val="00ED7F67"/>
    <w:rsid w:val="00F226E0"/>
    <w:rsid w:val="00F4283B"/>
    <w:rsid w:val="00F67278"/>
    <w:rsid w:val="00F67EBD"/>
    <w:rsid w:val="00F80FAB"/>
    <w:rsid w:val="00FA2028"/>
    <w:rsid w:val="00FB3073"/>
    <w:rsid w:val="00FF15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6F112"/>
  <w15:docId w15:val="{397E9AE4-8AA9-4C46-8FDB-B4CC2F0F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7E"/>
    <w:pPr>
      <w:spacing w:after="250" w:line="276" w:lineRule="auto"/>
      <w:jc w:val="both"/>
    </w:pPr>
    <w:rPr>
      <w:sz w:val="22"/>
      <w:lang w:val="en-GB"/>
    </w:rPr>
  </w:style>
  <w:style w:type="paragraph" w:styleId="Heading1">
    <w:name w:val="heading 1"/>
    <w:basedOn w:val="Normal"/>
    <w:next w:val="Normal"/>
    <w:link w:val="Heading1Char"/>
    <w:uiPriority w:val="9"/>
    <w:qFormat/>
    <w:rsid w:val="00325EA3"/>
    <w:pPr>
      <w:keepNext/>
      <w:keepLines/>
      <w:numPr>
        <w:numId w:val="3"/>
      </w:numPr>
      <w:spacing w:before="320"/>
      <w:ind w:left="431" w:hanging="431"/>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E33FBF"/>
    <w:pPr>
      <w:keepNext/>
      <w:keepLines/>
      <w:numPr>
        <w:ilvl w:val="1"/>
        <w:numId w:val="3"/>
      </w:numPr>
      <w:spacing w:before="320"/>
      <w:ind w:left="578" w:hanging="578"/>
      <w:outlineLvl w:val="1"/>
    </w:pPr>
    <w:rPr>
      <w:rFonts w:asciiTheme="majorHAnsi" w:eastAsiaTheme="majorEastAsia" w:hAnsiTheme="majorHAnsi" w:cstheme="majorBidi"/>
      <w:szCs w:val="28"/>
    </w:rPr>
  </w:style>
  <w:style w:type="paragraph" w:styleId="Heading3">
    <w:name w:val="heading 3"/>
    <w:basedOn w:val="Normal"/>
    <w:next w:val="Normal"/>
    <w:link w:val="Heading3Char"/>
    <w:uiPriority w:val="9"/>
    <w:unhideWhenUsed/>
    <w:qFormat/>
    <w:rsid w:val="00E33FBF"/>
    <w:pPr>
      <w:keepNext/>
      <w:keepLines/>
      <w:numPr>
        <w:ilvl w:val="2"/>
        <w:numId w:val="3"/>
      </w:numPr>
      <w:spacing w:before="32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E33FBF"/>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E33FBF"/>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E33FBF"/>
    <w:rPr>
      <w:rFonts w:asciiTheme="majorHAnsi" w:eastAsiaTheme="majorEastAsia" w:hAnsiTheme="majorHAnsi" w:cstheme="majorBidi"/>
      <w:szCs w:val="22"/>
      <w:lang w:val="en-GB"/>
    </w:rPr>
  </w:style>
  <w:style w:type="character" w:customStyle="1" w:styleId="Heading3Char">
    <w:name w:val="Heading 3 Char"/>
    <w:basedOn w:val="DefaultParagraphFont"/>
    <w:link w:val="Heading3"/>
    <w:uiPriority w:val="9"/>
    <w:rsid w:val="00E33FBF"/>
    <w:rPr>
      <w:rFonts w:asciiTheme="majorHAnsi" w:eastAsiaTheme="majorEastAsia" w:hAnsiTheme="majorHAnsi" w:cstheme="majorBidi"/>
      <w:szCs w:val="24"/>
      <w:lang w:val="en-GB"/>
    </w:rPr>
  </w:style>
  <w:style w:type="character" w:customStyle="1" w:styleId="Heading1Char">
    <w:name w:val="Heading 1 Char"/>
    <w:basedOn w:val="DefaultParagraphFont"/>
    <w:link w:val="Heading1"/>
    <w:uiPriority w:val="9"/>
    <w:rsid w:val="00325EA3"/>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E33FBF"/>
    <w:rPr>
      <w:rFonts w:asciiTheme="majorHAnsi" w:eastAsiaTheme="majorEastAsia" w:hAnsiTheme="majorHAnsi" w:cstheme="majorBidi"/>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hAnsiTheme="majorHAnsi"/>
      <w:b/>
      <w:sz w:val="28"/>
    </w:rPr>
  </w:style>
  <w:style w:type="paragraph" w:styleId="ListParagraph">
    <w:name w:val="List Paragraph"/>
    <w:basedOn w:val="Normal"/>
    <w:autoRedefine/>
    <w:uiPriority w:val="34"/>
    <w:qFormat/>
    <w:rsid w:val="00AE1AF7"/>
    <w:pPr>
      <w:numPr>
        <w:numId w:val="13"/>
      </w:numPr>
    </w:pPr>
    <w:rPr>
      <w:rFonts w:eastAsiaTheme="majorEastAsia"/>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style>
  <w:style w:type="paragraph" w:customStyle="1" w:styleId="Title2">
    <w:name w:val="Title 2"/>
    <w:basedOn w:val="Title1"/>
    <w:link w:val="Title2Char"/>
    <w:autoRedefine/>
    <w:rsid w:val="002574D1"/>
    <w:pPr>
      <w:numPr>
        <w:ilvl w:val="1"/>
        <w:numId w:val="1"/>
      </w:numPr>
      <w:spacing w:after="0"/>
      <w:ind w:left="0" w:firstLine="0"/>
    </w:pPr>
  </w:style>
  <w:style w:type="character" w:customStyle="1" w:styleId="Title2Char">
    <w:name w:val="Title 2 Char"/>
    <w:basedOn w:val="Title1Char"/>
    <w:link w:val="Title2"/>
    <w:rsid w:val="002574D1"/>
    <w:rPr>
      <w:rFonts w:asciiTheme="majorHAnsi" w:hAnsiTheme="majorHAnsi"/>
      <w:b/>
      <w:sz w:val="28"/>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E33FBF"/>
    <w:rPr>
      <w:rFonts w:asciiTheme="majorHAnsi" w:eastAsiaTheme="majorEastAsia" w:hAnsiTheme="majorHAnsi" w:cstheme="majorBidi"/>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rPr>
  </w:style>
  <w:style w:type="paragraph" w:styleId="Title">
    <w:name w:val="Title"/>
    <w:basedOn w:val="Normal"/>
    <w:next w:val="Normal"/>
    <w:link w:val="TitleChar"/>
    <w:uiPriority w:val="10"/>
    <w:qFormat/>
    <w:rsid w:val="00FF15C2"/>
    <w:pPr>
      <w:contextualSpacing/>
      <w:jc w:val="left"/>
    </w:pPr>
    <w:rPr>
      <w:rFonts w:asciiTheme="majorHAnsi" w:eastAsiaTheme="majorEastAsia" w:hAnsiTheme="majorHAnsi" w:cstheme="majorBidi"/>
      <w:b/>
      <w:color w:val="2F5496" w:themeColor="accent5" w:themeShade="BF"/>
      <w:spacing w:val="-10"/>
      <w:sz w:val="32"/>
      <w:szCs w:val="56"/>
    </w:rPr>
  </w:style>
  <w:style w:type="character" w:customStyle="1" w:styleId="TitleChar">
    <w:name w:val="Title Char"/>
    <w:basedOn w:val="DefaultParagraphFont"/>
    <w:link w:val="Title"/>
    <w:uiPriority w:val="10"/>
    <w:rsid w:val="00FF15C2"/>
    <w:rPr>
      <w:rFonts w:asciiTheme="majorHAnsi" w:eastAsiaTheme="majorEastAsia" w:hAnsiTheme="majorHAnsi" w:cstheme="majorBidi"/>
      <w:b/>
      <w:color w:val="2F5496" w:themeColor="accent5" w:themeShade="BF"/>
      <w:spacing w:val="-10"/>
      <w:sz w:val="32"/>
      <w:szCs w:val="56"/>
      <w:lang w:val="en-GB"/>
    </w:rPr>
  </w:style>
  <w:style w:type="paragraph" w:styleId="Subtitle">
    <w:name w:val="Subtitle"/>
    <w:basedOn w:val="Normal"/>
    <w:next w:val="Normal"/>
    <w:link w:val="SubtitleChar"/>
    <w:uiPriority w:val="11"/>
    <w:qFormat/>
    <w:rsid w:val="00FF15C2"/>
    <w:pPr>
      <w:numPr>
        <w:ilvl w:val="1"/>
      </w:numPr>
      <w:contextualSpacing/>
    </w:pPr>
    <w:rPr>
      <w:rFonts w:asciiTheme="majorHAnsi" w:eastAsiaTheme="majorEastAsia" w:hAnsiTheme="majorHAnsi" w:cstheme="majorBidi"/>
      <w:color w:val="2F5496" w:themeColor="accent5" w:themeShade="BF"/>
      <w:sz w:val="28"/>
      <w:szCs w:val="24"/>
    </w:rPr>
  </w:style>
  <w:style w:type="character" w:customStyle="1" w:styleId="SubtitleChar">
    <w:name w:val="Subtitle Char"/>
    <w:basedOn w:val="DefaultParagraphFont"/>
    <w:link w:val="Subtitle"/>
    <w:uiPriority w:val="11"/>
    <w:rsid w:val="00FF15C2"/>
    <w:rPr>
      <w:rFonts w:asciiTheme="majorHAnsi" w:eastAsiaTheme="majorEastAsia" w:hAnsiTheme="majorHAnsi" w:cstheme="majorBidi"/>
      <w:color w:val="2F5496" w:themeColor="accent5" w:themeShade="BF"/>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F4283B"/>
    <w:rPr>
      <w:rFonts w:asciiTheme="majorHAnsi" w:hAnsiTheme="majorHAnsi"/>
      <w:b/>
      <w:bCs/>
      <w:sz w:val="20"/>
    </w:rPr>
  </w:style>
  <w:style w:type="character" w:styleId="Emphasis">
    <w:name w:val="Emphasis"/>
    <w:basedOn w:val="DefaultParagraphFont"/>
    <w:uiPriority w:val="20"/>
    <w:qFormat/>
    <w:rsid w:val="00AE1AF7"/>
    <w:rPr>
      <w:rFonts w:asciiTheme="majorHAnsi" w:hAnsiTheme="majorHAnsi"/>
      <w:i/>
      <w:iCs/>
      <w:sz w:val="20"/>
    </w:rPr>
  </w:style>
  <w:style w:type="paragraph" w:styleId="Quote">
    <w:name w:val="Quote"/>
    <w:basedOn w:val="Normal"/>
    <w:next w:val="Normal"/>
    <w:link w:val="QuoteChar"/>
    <w:uiPriority w:val="29"/>
    <w:qFormat/>
    <w:rsid w:val="00C27F62"/>
    <w:pPr>
      <w:spacing w:before="160"/>
      <w:ind w:left="720" w:right="720"/>
    </w:pPr>
    <w:rPr>
      <w:iCs/>
      <w:color w:val="2F5496" w:themeColor="accent5" w:themeShade="BF"/>
    </w:rPr>
  </w:style>
  <w:style w:type="character" w:customStyle="1" w:styleId="QuoteChar">
    <w:name w:val="Quote Char"/>
    <w:basedOn w:val="DefaultParagraphFont"/>
    <w:link w:val="Quote"/>
    <w:uiPriority w:val="29"/>
    <w:rsid w:val="00C27F62"/>
    <w:rPr>
      <w:iCs/>
      <w:color w:val="2F5496" w:themeColor="accent5" w:themeShade="BF"/>
      <w:sz w:val="22"/>
      <w:lang w:val="en-GB"/>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054E"/>
    <w:rPr>
      <w:i/>
      <w:iCs/>
      <w:color w:val="404040"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qFormat/>
    <w:rsid w:val="00B91B6E"/>
    <w:pPr>
      <w:contextualSpacing/>
    </w:pPr>
    <w:rPr>
      <w:b/>
    </w:rPr>
  </w:style>
  <w:style w:type="character" w:customStyle="1" w:styleId="QuestionstyleChar">
    <w:name w:val="Question style Char"/>
    <w:basedOn w:val="DefaultParagraphFont"/>
    <w:link w:val="Questionstyle"/>
    <w:rsid w:val="00B91B6E"/>
    <w:rPr>
      <w:b/>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pPr>
      <w:spacing w:after="0" w:line="240" w:lineRule="auto"/>
    </w:pPr>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basedOn w:val="DefaultParagraphFont"/>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paragraph" w:customStyle="1" w:styleId="06aInfoTitle">
    <w:name w:val="06a_Info_Title"/>
    <w:basedOn w:val="Normal"/>
    <w:link w:val="06aInfoTitleZchn"/>
    <w:rsid w:val="00325EA3"/>
    <w:pPr>
      <w:spacing w:after="40" w:line="240" w:lineRule="auto"/>
    </w:pPr>
    <w:rPr>
      <w:rFonts w:ascii="Georgia" w:eastAsia="Times New Roman" w:hAnsi="Georgia" w:cs="Times New Roman"/>
      <w:b/>
      <w:sz w:val="16"/>
      <w:szCs w:val="24"/>
      <w:lang w:eastAsia="de-DE"/>
    </w:rPr>
  </w:style>
  <w:style w:type="character" w:customStyle="1" w:styleId="06aInfoTitleZchn">
    <w:name w:val="06a_Info_Title Zchn"/>
    <w:basedOn w:val="DefaultParagraphFont"/>
    <w:link w:val="06aInfoTitle"/>
    <w:rsid w:val="00325EA3"/>
    <w:rPr>
      <w:rFonts w:ascii="Georgia" w:eastAsia="Times New Roman" w:hAnsi="Georgia" w:cs="Times New Roman"/>
      <w:b/>
      <w:sz w:val="16"/>
      <w:szCs w:val="24"/>
      <w:lang w:val="en-GB" w:eastAsia="de-DE"/>
    </w:rPr>
  </w:style>
  <w:style w:type="paragraph" w:customStyle="1" w:styleId="04cBodytextleft">
    <w:name w:val="04c_Body text left"/>
    <w:basedOn w:val="Normal"/>
    <w:rsid w:val="00C07107"/>
    <w:pPr>
      <w:spacing w:after="0"/>
      <w:jc w:val="left"/>
    </w:pPr>
    <w:rPr>
      <w:rFonts w:ascii="Georgia" w:eastAsia="Times New Roman" w:hAnsi="Georgia" w:cs="Times New Roman"/>
      <w:szCs w:val="24"/>
      <w:lang w:eastAsia="de-DE"/>
    </w:rPr>
  </w:style>
  <w:style w:type="paragraph" w:customStyle="1" w:styleId="Default">
    <w:name w:val="Default"/>
    <w:rsid w:val="00C07107"/>
    <w:pPr>
      <w:autoSpaceDE w:val="0"/>
      <w:autoSpaceDN w:val="0"/>
      <w:adjustRightInd w:val="0"/>
      <w:spacing w:after="0" w:line="240" w:lineRule="auto"/>
    </w:pPr>
    <w:rPr>
      <w:rFonts w:ascii="Footlight MT Light" w:eastAsia="Times New Roman" w:hAnsi="Footlight MT Light" w:cs="Footlight MT Light"/>
      <w:color w:val="000000"/>
      <w:sz w:val="24"/>
      <w:szCs w:val="24"/>
      <w:lang w:val="en-US"/>
    </w:rPr>
  </w:style>
  <w:style w:type="paragraph" w:customStyle="1" w:styleId="05aTitle">
    <w:name w:val="05a_Title"/>
    <w:basedOn w:val="Normal"/>
    <w:rsid w:val="005220CF"/>
    <w:pPr>
      <w:spacing w:after="0" w:line="340" w:lineRule="exact"/>
      <w:jc w:val="left"/>
    </w:pPr>
    <w:rPr>
      <w:rFonts w:ascii="Georgia" w:eastAsia="Times New Roman" w:hAnsi="Georgia" w:cs="Times New Roman"/>
      <w:b/>
      <w:color w:val="000000"/>
      <w:sz w:val="28"/>
      <w:szCs w:val="24"/>
      <w:lang w:eastAsia="de-DE"/>
    </w:rPr>
  </w:style>
  <w:style w:type="paragraph" w:styleId="NormalWeb">
    <w:name w:val="Normal (Web)"/>
    <w:basedOn w:val="Normal"/>
    <w:uiPriority w:val="99"/>
    <w:unhideWhenUsed/>
    <w:rsid w:val="005220CF"/>
    <w:pPr>
      <w:spacing w:before="360" w:after="360" w:line="240" w:lineRule="auto"/>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220CF"/>
    <w:rPr>
      <w:sz w:val="16"/>
      <w:szCs w:val="16"/>
    </w:rPr>
  </w:style>
  <w:style w:type="paragraph" w:styleId="CommentText">
    <w:name w:val="annotation text"/>
    <w:basedOn w:val="Normal"/>
    <w:link w:val="CommentTextChar"/>
    <w:uiPriority w:val="99"/>
    <w:semiHidden/>
    <w:unhideWhenUsed/>
    <w:rsid w:val="005220CF"/>
    <w:pPr>
      <w:spacing w:after="0" w:line="240" w:lineRule="auto"/>
      <w:jc w:val="left"/>
    </w:pPr>
    <w:rPr>
      <w:rFonts w:ascii="Georgia" w:eastAsia="Times New Roman" w:hAnsi="Georgia" w:cs="Times New Roman"/>
      <w:sz w:val="20"/>
      <w:lang w:eastAsia="de-DE"/>
    </w:rPr>
  </w:style>
  <w:style w:type="character" w:customStyle="1" w:styleId="CommentTextChar">
    <w:name w:val="Comment Text Char"/>
    <w:basedOn w:val="DefaultParagraphFont"/>
    <w:link w:val="CommentText"/>
    <w:uiPriority w:val="99"/>
    <w:semiHidden/>
    <w:rsid w:val="005220CF"/>
    <w:rPr>
      <w:rFonts w:ascii="Georgia" w:eastAsia="Times New Roman" w:hAnsi="Georgia" w:cs="Times New Roman"/>
      <w:lang w:val="en-GB" w:eastAsia="de-DE"/>
    </w:rPr>
  </w:style>
  <w:style w:type="paragraph" w:styleId="BalloonText">
    <w:name w:val="Balloon Text"/>
    <w:basedOn w:val="Normal"/>
    <w:link w:val="BalloonTextChar"/>
    <w:uiPriority w:val="99"/>
    <w:semiHidden/>
    <w:unhideWhenUsed/>
    <w:rsid w:val="0052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CF"/>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4E2FC7"/>
    <w:pPr>
      <w:spacing w:after="250"/>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4E2FC7"/>
    <w:rPr>
      <w:rFonts w:ascii="Georgia" w:eastAsia="Times New Roman" w:hAnsi="Georgia" w:cs="Times New Roman"/>
      <w:b/>
      <w:bCs/>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35188">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8714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IFMD Document" ma:contentTypeID="0x010100DD70E92362DEE14191597B20A60D97FF020100EAED84F3BB5D9547989078044E42ED65" ma:contentTypeVersion="168" ma:contentTypeDescription="" ma:contentTypeScope="" ma:versionID="ef870b40f721872f30b8990851a9af12">
  <xsd:schema xmlns:xsd="http://www.w3.org/2001/XMLSchema" xmlns:xs="http://www.w3.org/2001/XMLSchema" xmlns:p="http://schemas.microsoft.com/office/2006/metadata/properties" xmlns:ns2="35c8e399-07b8-49e4-91bf-01a20105d4df" targetNamespace="http://schemas.microsoft.com/office/2006/metadata/properties" ma:root="true" ma:fieldsID="890a513e770a0edafe77685b2d36b394" ns2:_="">
    <xsd:import namespace="35c8e399-07b8-49e4-91bf-01a20105d4df"/>
    <xsd:element name="properties">
      <xsd:complexType>
        <xsd:sequence>
          <xsd:element name="documentManagement">
            <xsd:complexType>
              <xsd:all>
                <xsd:element ref="ns2:Year"/>
                <xsd:element ref="ns2:MeetingDate" minOccurs="0"/>
                <xsd:element ref="ns2:_dlc_DocIdUrl" minOccurs="0"/>
                <xsd:element ref="ns2:TaxCatchAllLabel" minOccurs="0"/>
                <xsd:element ref="ns2:_dlc_DocIdPersistId" minOccurs="0"/>
                <xsd:element ref="ns2:TaxCatchAll" minOccurs="0"/>
                <xsd:element ref="ns2:kdd529b9a5cb416096d62dbd0e6e5583" minOccurs="0"/>
                <xsd:element ref="ns2:oa4fe03ffd8943c1880fe290404e8de7" minOccurs="0"/>
                <xsd:element ref="ns2:o129a376828d47fdaef4d5f5d93fd079" minOccurs="0"/>
                <xsd:element ref="ns2:k9db3a09612944c49e649e0ff38a506b" minOccurs="0"/>
                <xsd:element ref="ns2:_dlc_DocId" minOccurs="0"/>
                <xsd:element ref="ns2:le43fdf786354491b6a92d49b491b10f" minOccurs="0"/>
                <xsd:element ref="ns2:i273e4c9de95495b82bee898e1d119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fault="2016" ma:description="" ma:internalName="Year">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10"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kdd529b9a5cb416096d62dbd0e6e5583" ma:index="14"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oa4fe03ffd8943c1880fe290404e8de7" ma:index="16"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9db3a09612944c49e649e0ff38a506b" ma:index="19" nillable="true" ma:taxonomy="true" ma:internalName="k9db3a09612944c49e649e0ff38a506b" ma:taxonomyFieldName="EsmaAudience" ma:displayName="Audience" ma:readOnly="false" ma:default="" ma:fieldId="{49db3a09-6129-44c4-9e64-9e0ff38a506b}" ma:sspId="0ac1876e-32bf-4158-94e7-cdbcd053a335" ma:termSetId="aba5f419-893e-492b-8ec7-921f5fc9e58a"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le43fdf786354491b6a92d49b491b10f" ma:index="23" nillable="true" ma:taxonomy="true" ma:internalName="le43fdf786354491b6a92d49b491b10f" ma:taxonomyFieldName="TeamTopic" ma:displayName="Team Topic" ma:default="39;#AIFMD|f2960fc6-3634-417f-bcec-215a90e7dd4c" ma:fieldId="{5e43fdf7-8635-4491-b6a9-2d49b491b10f}" ma:taxonomyMulti="true" ma:sspId="0ac1876e-32bf-4158-94e7-cdbcd053a335" ma:termSetId="659d163a-41f8-4a11-98d0-47db219aa0e4" ma:anchorId="00000000-0000-0000-0000-000000000000" ma:open="false" ma:isKeyword="false">
      <xsd:complexType>
        <xsd:sequence>
          <xsd:element ref="pc:Terms" minOccurs="0" maxOccurs="1"/>
        </xsd:sequence>
      </xsd:complexType>
    </xsd:element>
    <xsd:element name="i273e4c9de95495b82bee898e1d119e4" ma:index="25" nillable="true" ma:taxonomy="true" ma:internalName="i273e4c9de95495b82bee898e1d119e4" ma:taxonomyFieldName="Topic" ma:displayName="Topic" ma:default="" ma:fieldId="{2273e4c9-de95-495b-82be-e898e1d119e4}" ma:sspId="0ac1876e-32bf-4158-94e7-cdbcd053a335" ma:termSetId="8d630a01-2268-4676-af71-a8ae1c70c9d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35c8e399-07b8-49e4-91bf-01a20105d4df">2016</Year>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_dlc_DocId xmlns="35c8e399-07b8-49e4-91bf-01a20105d4df">ESMA34-32-306</_dlc_DocId>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Third Countries</TermName>
          <TermId xmlns="http://schemas.microsoft.com/office/infopath/2007/PartnerControls">3749398d-a265-41da-903f-7c90f6885c30</TermId>
        </TermInfo>
      </Terms>
    </i273e4c9de95495b82bee898e1d119e4>
    <TaxCatchAll xmlns="35c8e399-07b8-49e4-91bf-01a20105d4df">
      <Value>15</Value>
      <Value>81</Value>
      <Value>123</Value>
      <Value>75</Value>
      <Value>39</Value>
      <Value>38</Value>
    </TaxCatchAll>
    <_dlc_DocIdUrl xmlns="35c8e399-07b8-49e4-91bf-01a20105d4df">
      <Url>http://sherpa.esma.europa.eu/sites/INIIVM/_layouts/15/DocIdRedir.aspx?ID=ESMA34-32-306</Url>
      <Description>ESMA34-32-306</Description>
    </_dlc_DocIdUrl>
    <MeetingDate xmlns="35c8e399-07b8-49e4-91bf-01a20105d4df">2016-10-10T22:00:00+00:00</MeetingDate>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Speech</TermName>
          <TermId xmlns="http://schemas.microsoft.com/office/infopath/2007/PartnerControls">3f5e7eea-b065-4aba-992a-e88b2db1564d</TermId>
        </TermInfo>
      </Terms>
    </oa4fe03ffd8943c1880fe290404e8de7>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EU Institutions</TermName>
          <TermId xmlns="http://schemas.microsoft.com/office/infopath/2007/PartnerControls">582a0a57-dd0e-438f-a564-193a755ee3da</TermId>
        </TermInfo>
      </Terms>
    </k9db3a09612944c49e649e0ff38a506b>
    <le43fdf786354491b6a92d49b491b10f xmlns="35c8e399-07b8-49e4-91bf-01a20105d4df">
      <Terms xmlns="http://schemas.microsoft.com/office/infopath/2007/PartnerControls">
        <TermInfo xmlns="http://schemas.microsoft.com/office/infopath/2007/PartnerControls">
          <TermName xmlns="http://schemas.microsoft.com/office/infopath/2007/PartnerControls">AIFMD</TermName>
          <TermId xmlns="http://schemas.microsoft.com/office/infopath/2007/PartnerControls">f2960fc6-3634-417f-bcec-215a90e7dd4c</TermId>
        </TermInfo>
      </Terms>
    </le43fdf786354491b6a92d49b491b10f>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D12EF-9F01-40BA-8E9D-560534C8E8C3}">
  <ds:schemaRefs>
    <ds:schemaRef ds:uri="http://schemas.microsoft.com/sharepoint/v3/contenttype/forms"/>
  </ds:schemaRefs>
</ds:datastoreItem>
</file>

<file path=customXml/itemProps2.xml><?xml version="1.0" encoding="utf-8"?>
<ds:datastoreItem xmlns:ds="http://schemas.openxmlformats.org/officeDocument/2006/customXml" ds:itemID="{55F31F8A-262F-433B-80F6-6E474C168947}">
  <ds:schemaRefs>
    <ds:schemaRef ds:uri="http://schemas.microsoft.com/sharepoint/events"/>
  </ds:schemaRefs>
</ds:datastoreItem>
</file>

<file path=customXml/itemProps3.xml><?xml version="1.0" encoding="utf-8"?>
<ds:datastoreItem xmlns:ds="http://schemas.openxmlformats.org/officeDocument/2006/customXml" ds:itemID="{C53282AA-80E5-4AC6-8D5F-F06EE68E7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33348-7E86-42B9-AC9F-511FE3740388}">
  <ds:schemaRefs>
    <ds:schemaRef ds:uri="http://schemas.microsoft.com/office/2006/metadata/properties"/>
    <ds:schemaRef ds:uri="http://schemas.microsoft.com/office/infopath/2007/PartnerControls"/>
    <ds:schemaRef ds:uri="35c8e399-07b8-49e4-91bf-01a20105d4df"/>
  </ds:schemaRefs>
</ds:datastoreItem>
</file>

<file path=customXml/itemProps5.xml><?xml version="1.0" encoding="utf-8"?>
<ds:datastoreItem xmlns:ds="http://schemas.openxmlformats.org/officeDocument/2006/customXml" ds:itemID="{AB48ED78-C365-4B26-98B0-C3CBC808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Cliffe</dc:creator>
  <cp:lastModifiedBy>Catherine Sutcliffe</cp:lastModifiedBy>
  <cp:revision>2</cp:revision>
  <cp:lastPrinted>2015-10-12T10:22:00Z</cp:lastPrinted>
  <dcterms:created xsi:type="dcterms:W3CDTF">2016-10-11T11:11:00Z</dcterms:created>
  <dcterms:modified xsi:type="dcterms:W3CDTF">2016-10-11T11:11:00Z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Name">
    <vt:lpwstr>38;#Investment Management|9630b78b-e81c-4ffd-baef-5f8b4aeb7ac5</vt:lpwstr>
  </property>
  <property fmtid="{D5CDD505-2E9C-101B-9397-08002B2CF9AE}" pid="3" name="ContentTypeId">
    <vt:lpwstr>0x010100DD70E92362DEE14191597B20A60D97FF020100EAED84F3BB5D9547989078044E42ED65</vt:lpwstr>
  </property>
  <property fmtid="{D5CDD505-2E9C-101B-9397-08002B2CF9AE}" pid="4" name="ConfidentialityLevel">
    <vt:lpwstr>15;#Regular|07f1e362-856b-423d-bea6-a14079762141</vt:lpwstr>
  </property>
  <property fmtid="{D5CDD505-2E9C-101B-9397-08002B2CF9AE}" pid="5" name="_dlc_DocIdItemGuid">
    <vt:lpwstr>6456baf1-d6f6-4cc6-b827-ba9479f2ba9c</vt:lpwstr>
  </property>
  <property fmtid="{D5CDD505-2E9C-101B-9397-08002B2CF9AE}" pid="6" name="TeamTopic">
    <vt:lpwstr>39;#AIFMD|f2960fc6-3634-417f-bcec-215a90e7dd4c</vt:lpwstr>
  </property>
  <property fmtid="{D5CDD505-2E9C-101B-9397-08002B2CF9AE}" pid="7" name="EsmaAudience">
    <vt:lpwstr>75;#EU Institutions|582a0a57-dd0e-438f-a564-193a755ee3da</vt:lpwstr>
  </property>
  <property fmtid="{D5CDD505-2E9C-101B-9397-08002B2CF9AE}" pid="8" name="Topic">
    <vt:lpwstr>81;#Third Countries|3749398d-a265-41da-903f-7c90f6885c30</vt:lpwstr>
  </property>
  <property fmtid="{D5CDD505-2E9C-101B-9397-08002B2CF9AE}" pid="9" name="DocumentType">
    <vt:lpwstr>123;#Speech|3f5e7eea-b065-4aba-992a-e88b2db1564d</vt:lpwstr>
  </property>
</Properties>
</file>