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393" w:rsidRPr="00F71F17" w:rsidRDefault="00F71F17" w:rsidP="002861CD">
      <w:pPr>
        <w:framePr w:w="5293" w:h="1453" w:hRule="exact" w:hSpace="288" w:wrap="around" w:vAnchor="page" w:hAnchor="page" w:x="1303" w:y="2791" w:anchorLock="1"/>
        <w:rPr>
          <w:rFonts w:ascii="Arial" w:hAnsi="Arial" w:cs="Arial"/>
        </w:rPr>
      </w:pPr>
      <w:r w:rsidRPr="00F71F17">
        <w:rPr>
          <w:rFonts w:ascii="Arial" w:hAnsi="Arial" w:cs="Arial"/>
        </w:rPr>
        <w:t>ESMA</w:t>
      </w:r>
    </w:p>
    <w:p w:rsidR="00F71F17" w:rsidRDefault="00F71F17" w:rsidP="002861CD">
      <w:pPr>
        <w:framePr w:w="5293" w:h="1453" w:hRule="exact" w:hSpace="288" w:wrap="around" w:vAnchor="page" w:hAnchor="page" w:x="1303" w:y="2791" w:anchorLock="1"/>
        <w:rPr>
          <w:rFonts w:ascii="Arial" w:hAnsi="Arial" w:cs="Arial"/>
        </w:rPr>
      </w:pPr>
      <w:r w:rsidRPr="00F71F17">
        <w:rPr>
          <w:rFonts w:ascii="Arial" w:hAnsi="Arial" w:cs="Arial"/>
        </w:rPr>
        <w:t xml:space="preserve">103 rue de </w:t>
      </w:r>
      <w:r>
        <w:rPr>
          <w:rFonts w:ascii="Arial" w:hAnsi="Arial" w:cs="Arial"/>
        </w:rPr>
        <w:t>Grenelle</w:t>
      </w:r>
    </w:p>
    <w:p w:rsidR="00F71F17" w:rsidRDefault="00F71F17" w:rsidP="002861CD">
      <w:pPr>
        <w:framePr w:w="5293" w:h="1453" w:hRule="exact" w:hSpace="288" w:wrap="around" w:vAnchor="page" w:hAnchor="page" w:x="1303" w:y="2791" w:anchorLock="1"/>
        <w:rPr>
          <w:rFonts w:ascii="Arial" w:hAnsi="Arial" w:cs="Arial"/>
        </w:rPr>
      </w:pPr>
      <w:r>
        <w:rPr>
          <w:rFonts w:ascii="Arial" w:hAnsi="Arial" w:cs="Arial"/>
        </w:rPr>
        <w:t>75007 Paris</w:t>
      </w:r>
    </w:p>
    <w:p w:rsidR="00F71F17" w:rsidRPr="00F71F17" w:rsidRDefault="00F71F17" w:rsidP="002861CD">
      <w:pPr>
        <w:framePr w:w="5293" w:h="1453" w:hRule="exact" w:hSpace="288" w:wrap="around" w:vAnchor="page" w:hAnchor="page" w:x="1303" w:y="2791" w:anchorLock="1"/>
        <w:rPr>
          <w:rFonts w:ascii="Arial" w:hAnsi="Arial" w:cs="Arial"/>
        </w:rPr>
      </w:pPr>
      <w:r>
        <w:rPr>
          <w:rFonts w:ascii="Arial" w:hAnsi="Arial" w:cs="Arial"/>
        </w:rPr>
        <w:t>France</w:t>
      </w:r>
    </w:p>
    <w:p w:rsidR="007E55F6" w:rsidRDefault="007E55F6" w:rsidP="002861CD">
      <w:pPr>
        <w:framePr w:w="5293" w:h="1453" w:hRule="exact" w:hSpace="288" w:wrap="around" w:vAnchor="page" w:hAnchor="page" w:x="1303" w:y="2791" w:anchorLock="1"/>
        <w:rPr>
          <w:rFonts w:ascii="Gill Sans" w:hAnsi="Gill Sans"/>
        </w:rPr>
      </w:pPr>
    </w:p>
    <w:p w:rsidR="007E55F6" w:rsidRPr="005D300E" w:rsidRDefault="007E55F6">
      <w:pPr>
        <w:pStyle w:val="Header"/>
        <w:ind w:left="2268"/>
        <w:rPr>
          <w:rFonts w:ascii="Arial" w:hAnsi="Arial" w:cs="Arial"/>
          <w:sz w:val="48"/>
          <w:szCs w:val="48"/>
        </w:rPr>
      </w:pPr>
      <w:r w:rsidRPr="005D300E">
        <w:rPr>
          <w:rFonts w:ascii="Arial" w:hAnsi="Arial" w:cs="Arial"/>
          <w:sz w:val="48"/>
          <w:szCs w:val="48"/>
        </w:rPr>
        <w:t>Financial Supervision Commission</w:t>
      </w:r>
    </w:p>
    <w:p w:rsidR="007E55F6" w:rsidRPr="005D300E" w:rsidRDefault="007E55F6" w:rsidP="005D300E">
      <w:pPr>
        <w:pStyle w:val="Header"/>
        <w:ind w:firstLine="2268"/>
        <w:rPr>
          <w:rFonts w:ascii="Arial" w:hAnsi="Arial" w:cs="Arial"/>
          <w:sz w:val="22"/>
        </w:rPr>
      </w:pPr>
      <w:r w:rsidRPr="005D300E">
        <w:rPr>
          <w:rFonts w:ascii="Arial" w:hAnsi="Arial" w:cs="Arial"/>
          <w:sz w:val="22"/>
        </w:rPr>
        <w:t>P.O. Box 58, Finch Hill House, Bucks Road, Douglas, Isle of Man, IM99 IDT</w:t>
      </w:r>
    </w:p>
    <w:p w:rsidR="007E55F6" w:rsidRDefault="007E55F6">
      <w:pPr>
        <w:pStyle w:val="Header"/>
      </w:pPr>
    </w:p>
    <w:p w:rsidR="007E55F6" w:rsidRDefault="007E55F6">
      <w:pPr>
        <w:jc w:val="both"/>
        <w:rPr>
          <w:rFonts w:ascii="Gill Sans" w:hAnsi="Gill Sans" w:cs="Tahoma"/>
        </w:rPr>
      </w:pPr>
    </w:p>
    <w:p w:rsidR="007E55F6" w:rsidRDefault="007E55F6">
      <w:pPr>
        <w:pStyle w:val="LetterText"/>
        <w:rPr>
          <w:rFonts w:ascii="Gill Sans" w:hAnsi="Gill Sans" w:cs="Tahoma"/>
        </w:rPr>
      </w:pPr>
    </w:p>
    <w:p w:rsidR="007E55F6" w:rsidRDefault="00882ECF">
      <w:pPr>
        <w:jc w:val="both"/>
        <w:rPr>
          <w:rFonts w:ascii="Gill Sans" w:hAnsi="Gill Sans" w:cs="Tahoma"/>
        </w:rPr>
      </w:pPr>
      <w:r w:rsidRPr="00882ECF">
        <w:rPr>
          <w:rFonts w:ascii="Gill Sans" w:hAnsi="Gill Sans" w:cs="Tahoma"/>
          <w:noProof/>
          <w:sz w:val="20"/>
          <w:lang w:val="en-US"/>
        </w:rPr>
        <w:pict>
          <v:shapetype id="_x0000_t202" coordsize="21600,21600" o:spt="202" path="m,l,21600r21600,l21600,xe">
            <v:stroke joinstyle="miter"/>
            <v:path gradientshapeok="t" o:connecttype="rect"/>
          </v:shapetype>
          <v:shape id="_x0000_s2052" type="#_x0000_t202" style="position:absolute;left:0;text-align:left;margin-left:363.85pt;margin-top:8.4pt;width:150pt;height:102.6pt;z-index:251657728" strokecolor="white">
            <v:textbox style="mso-next-textbox:#_x0000_s2052">
              <w:txbxContent>
                <w:p w:rsidR="00953288" w:rsidRPr="005D300E" w:rsidRDefault="00953288">
                  <w:pPr>
                    <w:tabs>
                      <w:tab w:val="left" w:pos="990"/>
                    </w:tabs>
                    <w:rPr>
                      <w:rFonts w:ascii="Arial" w:hAnsi="Arial" w:cs="Arial"/>
                      <w:sz w:val="16"/>
                    </w:rPr>
                  </w:pPr>
                  <w:r w:rsidRPr="005D300E">
                    <w:rPr>
                      <w:rFonts w:ascii="Arial" w:hAnsi="Arial" w:cs="Arial"/>
                      <w:b/>
                      <w:bCs/>
                      <w:sz w:val="16"/>
                    </w:rPr>
                    <w:t>Contact:</w:t>
                  </w:r>
                  <w:r w:rsidRPr="005D300E">
                    <w:rPr>
                      <w:rFonts w:ascii="Arial" w:hAnsi="Arial" w:cs="Arial"/>
                      <w:b/>
                      <w:bCs/>
                      <w:sz w:val="16"/>
                    </w:rPr>
                    <w:tab/>
                  </w:r>
                  <w:r w:rsidR="00DB75E3">
                    <w:rPr>
                      <w:rFonts w:ascii="Arial" w:hAnsi="Arial" w:cs="Arial"/>
                      <w:b/>
                      <w:bCs/>
                      <w:sz w:val="16"/>
                    </w:rPr>
                    <w:t>Shirley Corlett</w:t>
                  </w:r>
                </w:p>
                <w:p w:rsidR="00953288" w:rsidRPr="005D300E" w:rsidRDefault="00953288">
                  <w:pPr>
                    <w:tabs>
                      <w:tab w:val="left" w:pos="990"/>
                    </w:tabs>
                    <w:rPr>
                      <w:rFonts w:ascii="Arial" w:hAnsi="Arial" w:cs="Arial"/>
                      <w:bCs/>
                      <w:sz w:val="16"/>
                    </w:rPr>
                  </w:pPr>
                  <w:proofErr w:type="gramStart"/>
                  <w:r w:rsidRPr="005D300E">
                    <w:rPr>
                      <w:rFonts w:ascii="Arial" w:hAnsi="Arial" w:cs="Arial"/>
                      <w:b/>
                      <w:bCs/>
                      <w:sz w:val="16"/>
                    </w:rPr>
                    <w:t>Your</w:t>
                  </w:r>
                  <w:proofErr w:type="gramEnd"/>
                  <w:r w:rsidRPr="005D300E">
                    <w:rPr>
                      <w:rFonts w:ascii="Arial" w:hAnsi="Arial" w:cs="Arial"/>
                      <w:b/>
                      <w:bCs/>
                      <w:sz w:val="16"/>
                    </w:rPr>
                    <w:t xml:space="preserve"> Ref: </w:t>
                  </w:r>
                  <w:r w:rsidRPr="005D300E">
                    <w:rPr>
                      <w:rFonts w:ascii="Arial" w:hAnsi="Arial" w:cs="Arial"/>
                      <w:b/>
                      <w:bCs/>
                      <w:sz w:val="16"/>
                    </w:rPr>
                    <w:tab/>
                  </w:r>
                </w:p>
                <w:p w:rsidR="00953288" w:rsidRPr="005D300E" w:rsidRDefault="00953288">
                  <w:pPr>
                    <w:tabs>
                      <w:tab w:val="left" w:pos="990"/>
                    </w:tabs>
                    <w:rPr>
                      <w:rFonts w:ascii="Arial" w:hAnsi="Arial" w:cs="Arial"/>
                      <w:sz w:val="20"/>
                    </w:rPr>
                  </w:pPr>
                  <w:r w:rsidRPr="005D300E">
                    <w:rPr>
                      <w:rFonts w:ascii="Arial" w:hAnsi="Arial" w:cs="Arial"/>
                      <w:b/>
                      <w:bCs/>
                      <w:sz w:val="16"/>
                    </w:rPr>
                    <w:t>Date:</w:t>
                  </w:r>
                  <w:r>
                    <w:rPr>
                      <w:rFonts w:ascii="Arial" w:hAnsi="Arial" w:cs="Arial"/>
                      <w:sz w:val="16"/>
                    </w:rPr>
                    <w:tab/>
                  </w:r>
                  <w:r w:rsidR="00DB75E3">
                    <w:rPr>
                      <w:rFonts w:ascii="Arial" w:hAnsi="Arial" w:cs="Arial"/>
                      <w:sz w:val="16"/>
                    </w:rPr>
                    <w:t>30</w:t>
                  </w:r>
                  <w:r>
                    <w:rPr>
                      <w:rFonts w:ascii="Arial" w:hAnsi="Arial" w:cs="Arial"/>
                      <w:sz w:val="16"/>
                    </w:rPr>
                    <w:t xml:space="preserve"> January 2013</w:t>
                  </w:r>
                  <w:r w:rsidRPr="005D300E">
                    <w:rPr>
                      <w:rFonts w:ascii="Arial" w:hAnsi="Arial" w:cs="Arial"/>
                      <w:sz w:val="20"/>
                    </w:rPr>
                    <w:tab/>
                  </w:r>
                </w:p>
                <w:p w:rsidR="00953288" w:rsidRPr="005D300E" w:rsidRDefault="00953288">
                  <w:pPr>
                    <w:tabs>
                      <w:tab w:val="left" w:pos="1418"/>
                      <w:tab w:val="left" w:pos="1985"/>
                    </w:tabs>
                    <w:rPr>
                      <w:rFonts w:ascii="Arial" w:hAnsi="Arial" w:cs="Arial"/>
                      <w:sz w:val="20"/>
                    </w:rPr>
                  </w:pPr>
                </w:p>
                <w:p w:rsidR="00953288" w:rsidRDefault="00953288">
                  <w:pPr>
                    <w:tabs>
                      <w:tab w:val="left" w:pos="990"/>
                    </w:tabs>
                    <w:rPr>
                      <w:rFonts w:ascii="Gill Sans" w:hAnsi="Gill Sans"/>
                      <w:b/>
                      <w:bCs/>
                      <w:sz w:val="16"/>
                    </w:rPr>
                  </w:pPr>
                </w:p>
              </w:txbxContent>
            </v:textbox>
          </v:shape>
        </w:pict>
      </w:r>
    </w:p>
    <w:p w:rsidR="007E55F6" w:rsidRDefault="007E55F6">
      <w:pPr>
        <w:jc w:val="both"/>
        <w:rPr>
          <w:rFonts w:ascii="Gill Sans" w:hAnsi="Gill Sans" w:cs="Tahoma"/>
          <w:sz w:val="20"/>
        </w:rPr>
      </w:pPr>
      <w:r>
        <w:rPr>
          <w:rFonts w:ascii="Gill Sans" w:hAnsi="Gill Sans" w:cs="Tahoma"/>
        </w:rPr>
        <w:tab/>
      </w:r>
      <w:r>
        <w:rPr>
          <w:rFonts w:ascii="Gill Sans" w:hAnsi="Gill Sans" w:cs="Tahoma"/>
        </w:rPr>
        <w:tab/>
      </w:r>
      <w:r>
        <w:rPr>
          <w:rFonts w:ascii="Gill Sans" w:hAnsi="Gill Sans" w:cs="Tahoma"/>
        </w:rPr>
        <w:tab/>
      </w:r>
    </w:p>
    <w:p w:rsidR="007E55F6" w:rsidRDefault="007E55F6">
      <w:pPr>
        <w:pStyle w:val="LetterText"/>
        <w:rPr>
          <w:rFonts w:ascii="Gill Sans" w:hAnsi="Gill Sans" w:cs="Tahoma"/>
        </w:rPr>
      </w:pPr>
    </w:p>
    <w:p w:rsidR="007E55F6" w:rsidRDefault="007E55F6">
      <w:pPr>
        <w:jc w:val="both"/>
        <w:rPr>
          <w:rFonts w:ascii="Gill Sans" w:hAnsi="Gill Sans" w:cs="Tahoma"/>
        </w:rPr>
      </w:pPr>
    </w:p>
    <w:p w:rsidR="007E55F6" w:rsidRDefault="007E55F6">
      <w:pPr>
        <w:jc w:val="both"/>
        <w:rPr>
          <w:rFonts w:ascii="Gill Sans" w:hAnsi="Gill Sans" w:cs="Tahoma"/>
        </w:rPr>
      </w:pPr>
    </w:p>
    <w:p w:rsidR="007E55F6" w:rsidRDefault="007E55F6">
      <w:pPr>
        <w:jc w:val="both"/>
        <w:rPr>
          <w:rFonts w:ascii="Gill Sans" w:hAnsi="Gill Sans" w:cs="Tahoma"/>
        </w:rPr>
      </w:pPr>
    </w:p>
    <w:p w:rsidR="007E55F6" w:rsidRDefault="007E55F6">
      <w:pPr>
        <w:pStyle w:val="LetterText"/>
        <w:rPr>
          <w:rFonts w:ascii="Gill Sans" w:hAnsi="Gill Sans" w:cs="Tahoma"/>
        </w:rPr>
      </w:pPr>
    </w:p>
    <w:p w:rsidR="007E55F6" w:rsidRDefault="007E55F6">
      <w:pPr>
        <w:pStyle w:val="LetterText"/>
        <w:rPr>
          <w:rFonts w:ascii="Gill Sans" w:hAnsi="Gill Sans" w:cs="Tahoma"/>
        </w:rPr>
      </w:pPr>
    </w:p>
    <w:p w:rsidR="006C01BC" w:rsidRPr="00F71F17" w:rsidRDefault="00F71F17" w:rsidP="00F71F17">
      <w:pPr>
        <w:pStyle w:val="LetterText"/>
        <w:ind w:left="426"/>
        <w:rPr>
          <w:rFonts w:ascii="Arial" w:hAnsi="Arial" w:cs="Arial"/>
        </w:rPr>
      </w:pPr>
      <w:r w:rsidRPr="00F71F17">
        <w:rPr>
          <w:rFonts w:ascii="Arial" w:hAnsi="Arial" w:cs="Arial"/>
        </w:rPr>
        <w:t>Dear Sirs</w:t>
      </w:r>
    </w:p>
    <w:p w:rsidR="007E55F6" w:rsidRDefault="007E55F6" w:rsidP="006C01BC">
      <w:pPr>
        <w:tabs>
          <w:tab w:val="left" w:pos="567"/>
        </w:tabs>
        <w:ind w:left="567"/>
        <w:jc w:val="both"/>
        <w:rPr>
          <w:rFonts w:ascii="Gill Sans" w:hAnsi="Gill Sans" w:cs="Tahoma"/>
        </w:rPr>
      </w:pPr>
    </w:p>
    <w:p w:rsidR="00F71F17" w:rsidRDefault="00F71F17" w:rsidP="00F71F17">
      <w:pPr>
        <w:tabs>
          <w:tab w:val="left" w:pos="426"/>
        </w:tabs>
        <w:ind w:left="426"/>
        <w:jc w:val="both"/>
        <w:rPr>
          <w:rFonts w:ascii="Arial" w:hAnsi="Arial" w:cs="Arial"/>
          <w:b/>
        </w:rPr>
      </w:pPr>
      <w:r>
        <w:rPr>
          <w:rFonts w:ascii="Arial" w:hAnsi="Arial" w:cs="Arial"/>
          <w:b/>
        </w:rPr>
        <w:t>Response to c</w:t>
      </w:r>
      <w:r w:rsidRPr="00F71F17">
        <w:rPr>
          <w:rFonts w:ascii="Arial" w:hAnsi="Arial" w:cs="Arial"/>
          <w:b/>
        </w:rPr>
        <w:t>onsu</w:t>
      </w:r>
      <w:r>
        <w:rPr>
          <w:rFonts w:ascii="Arial" w:hAnsi="Arial" w:cs="Arial"/>
          <w:b/>
        </w:rPr>
        <w:t xml:space="preserve">ltation on </w:t>
      </w:r>
      <w:r w:rsidR="001572FA">
        <w:rPr>
          <w:rFonts w:ascii="Arial" w:hAnsi="Arial" w:cs="Arial"/>
          <w:b/>
        </w:rPr>
        <w:t xml:space="preserve">guidelines on </w:t>
      </w:r>
      <w:r>
        <w:rPr>
          <w:rFonts w:ascii="Arial" w:hAnsi="Arial" w:cs="Arial"/>
          <w:b/>
        </w:rPr>
        <w:t xml:space="preserve">key concepts of the </w:t>
      </w:r>
      <w:r w:rsidR="001572FA">
        <w:rPr>
          <w:rFonts w:ascii="Arial" w:hAnsi="Arial" w:cs="Arial"/>
          <w:b/>
        </w:rPr>
        <w:t>AIFMD</w:t>
      </w:r>
      <w:r w:rsidR="00B728CF">
        <w:rPr>
          <w:rFonts w:ascii="Arial" w:hAnsi="Arial" w:cs="Arial"/>
          <w:b/>
        </w:rPr>
        <w:t xml:space="preserve"> and draft regulatory technical standards on types of AIFMs</w:t>
      </w:r>
    </w:p>
    <w:p w:rsidR="001572FA" w:rsidRDefault="001572FA" w:rsidP="00F71F17">
      <w:pPr>
        <w:tabs>
          <w:tab w:val="left" w:pos="426"/>
        </w:tabs>
        <w:ind w:left="426"/>
        <w:jc w:val="both"/>
        <w:rPr>
          <w:rFonts w:ascii="Arial" w:hAnsi="Arial" w:cs="Arial"/>
          <w:b/>
        </w:rPr>
      </w:pPr>
    </w:p>
    <w:p w:rsidR="00F71F17" w:rsidRDefault="00F71F17" w:rsidP="00F71F17">
      <w:pPr>
        <w:ind w:left="426"/>
        <w:rPr>
          <w:rFonts w:ascii="Arial" w:hAnsi="Arial" w:cs="Arial"/>
          <w:szCs w:val="24"/>
        </w:rPr>
      </w:pPr>
      <w:r w:rsidRPr="00F71F17">
        <w:rPr>
          <w:rFonts w:ascii="Arial" w:hAnsi="Arial" w:cs="Arial"/>
          <w:szCs w:val="24"/>
        </w:rPr>
        <w:t>The Financial Supervision Commission (“the Commission”) is pleased to have an opportunity to comment on the above consultation</w:t>
      </w:r>
      <w:r w:rsidR="00B728CF">
        <w:rPr>
          <w:rFonts w:ascii="Arial" w:hAnsi="Arial" w:cs="Arial"/>
          <w:szCs w:val="24"/>
        </w:rPr>
        <w:t>s</w:t>
      </w:r>
      <w:r w:rsidRPr="00F71F17">
        <w:rPr>
          <w:rFonts w:ascii="Arial" w:hAnsi="Arial" w:cs="Arial"/>
          <w:szCs w:val="24"/>
        </w:rPr>
        <w:t xml:space="preserve">.  </w:t>
      </w:r>
      <w:r w:rsidR="00443F7D">
        <w:rPr>
          <w:rFonts w:ascii="Arial" w:hAnsi="Arial" w:cs="Arial"/>
          <w:szCs w:val="24"/>
        </w:rPr>
        <w:t>In addition to responding to the specific questions, the Commission has a number of further comments</w:t>
      </w:r>
      <w:r w:rsidR="00132F12">
        <w:rPr>
          <w:rFonts w:ascii="Arial" w:hAnsi="Arial" w:cs="Arial"/>
          <w:szCs w:val="24"/>
        </w:rPr>
        <w:t xml:space="preserve"> on the discussion paper</w:t>
      </w:r>
      <w:r w:rsidR="00B728CF">
        <w:rPr>
          <w:rFonts w:ascii="Arial" w:hAnsi="Arial" w:cs="Arial"/>
          <w:szCs w:val="24"/>
        </w:rPr>
        <w:t>s</w:t>
      </w:r>
      <w:r w:rsidR="00443F7D">
        <w:rPr>
          <w:rFonts w:ascii="Arial" w:hAnsi="Arial" w:cs="Arial"/>
          <w:szCs w:val="24"/>
        </w:rPr>
        <w:t xml:space="preserve"> which it details below.</w:t>
      </w:r>
    </w:p>
    <w:p w:rsidR="00443F7D" w:rsidRDefault="00443F7D" w:rsidP="00F71F17">
      <w:pPr>
        <w:ind w:left="426"/>
        <w:rPr>
          <w:rFonts w:ascii="Arial" w:hAnsi="Arial" w:cs="Arial"/>
          <w:szCs w:val="24"/>
        </w:rPr>
      </w:pPr>
    </w:p>
    <w:p w:rsidR="00B728CF" w:rsidRDefault="00B728CF" w:rsidP="00F71F17">
      <w:pPr>
        <w:ind w:left="426"/>
        <w:rPr>
          <w:rFonts w:ascii="Arial" w:hAnsi="Arial" w:cs="Arial"/>
          <w:szCs w:val="24"/>
        </w:rPr>
      </w:pPr>
      <w:r>
        <w:rPr>
          <w:rFonts w:ascii="Arial" w:hAnsi="Arial" w:cs="Arial"/>
          <w:b/>
        </w:rPr>
        <w:t>Guidelines on key concepts of the AIFMD</w:t>
      </w:r>
    </w:p>
    <w:p w:rsidR="00B728CF" w:rsidRDefault="00B728CF" w:rsidP="00F71F17">
      <w:pPr>
        <w:ind w:left="426"/>
        <w:rPr>
          <w:rFonts w:ascii="Arial" w:hAnsi="Arial" w:cs="Arial"/>
          <w:szCs w:val="24"/>
        </w:rPr>
      </w:pPr>
    </w:p>
    <w:p w:rsidR="00443F7D" w:rsidRPr="00825C89" w:rsidRDefault="00443F7D" w:rsidP="00825C89">
      <w:pPr>
        <w:pStyle w:val="ListParagraph"/>
        <w:numPr>
          <w:ilvl w:val="0"/>
          <w:numId w:val="6"/>
        </w:numPr>
        <w:overflowPunct/>
        <w:textAlignment w:val="auto"/>
        <w:rPr>
          <w:rFonts w:ascii="Arial" w:hAnsi="Arial" w:cs="Arial"/>
          <w:b/>
          <w:bCs/>
          <w:szCs w:val="24"/>
          <w:lang w:eastAsia="en-GB"/>
        </w:rPr>
      </w:pPr>
      <w:r w:rsidRPr="00825C89">
        <w:rPr>
          <w:rFonts w:ascii="Arial" w:hAnsi="Arial" w:cs="Arial"/>
          <w:b/>
          <w:bCs/>
          <w:szCs w:val="24"/>
          <w:lang w:eastAsia="en-GB"/>
        </w:rPr>
        <w:t xml:space="preserve"> </w:t>
      </w:r>
      <w:r w:rsidR="001572FA" w:rsidRPr="00825C89">
        <w:rPr>
          <w:rFonts w:ascii="Arial" w:hAnsi="Arial" w:cs="Arial"/>
          <w:b/>
          <w:bCs/>
          <w:szCs w:val="24"/>
          <w:lang w:eastAsia="en-GB"/>
        </w:rPr>
        <w:t>Raising Capital</w:t>
      </w:r>
    </w:p>
    <w:p w:rsidR="00D24361" w:rsidRPr="00443F7D" w:rsidRDefault="00D24361" w:rsidP="00443F7D">
      <w:pPr>
        <w:overflowPunct/>
        <w:ind w:left="993" w:hanging="567"/>
        <w:textAlignment w:val="auto"/>
        <w:rPr>
          <w:rFonts w:ascii="Arial" w:hAnsi="Arial" w:cs="Arial"/>
          <w:b/>
          <w:bCs/>
          <w:szCs w:val="24"/>
          <w:lang w:eastAsia="en-GB"/>
        </w:rPr>
      </w:pPr>
    </w:p>
    <w:p w:rsidR="00443F7D" w:rsidRDefault="00641B53" w:rsidP="00D24361">
      <w:pPr>
        <w:numPr>
          <w:ilvl w:val="0"/>
          <w:numId w:val="3"/>
        </w:numPr>
        <w:overflowPunct/>
        <w:ind w:left="1134" w:hanging="708"/>
        <w:textAlignment w:val="auto"/>
        <w:rPr>
          <w:rFonts w:ascii="Arial" w:hAnsi="Arial" w:cs="Arial"/>
          <w:bCs/>
          <w:i/>
          <w:szCs w:val="24"/>
          <w:lang w:eastAsia="en-GB"/>
        </w:rPr>
      </w:pPr>
      <w:r>
        <w:rPr>
          <w:rFonts w:ascii="Arial" w:hAnsi="Arial" w:cs="Arial"/>
          <w:bCs/>
          <w:i/>
          <w:szCs w:val="24"/>
          <w:lang w:eastAsia="en-GB"/>
        </w:rPr>
        <w:t>What are your views on the notion of “raising capital”?  Do you agree with the proposal set out above?  If not, please provide explanations and possibly an alternative solution.</w:t>
      </w:r>
    </w:p>
    <w:p w:rsidR="00CA7AA3" w:rsidRDefault="00CA7AA3" w:rsidP="00CA7AA3">
      <w:pPr>
        <w:overflowPunct/>
        <w:ind w:left="1134"/>
        <w:textAlignment w:val="auto"/>
        <w:rPr>
          <w:rFonts w:ascii="Arial" w:hAnsi="Arial" w:cs="Arial"/>
          <w:bCs/>
          <w:i/>
          <w:szCs w:val="24"/>
          <w:lang w:eastAsia="en-GB"/>
        </w:rPr>
      </w:pPr>
    </w:p>
    <w:p w:rsidR="00CA7AA3" w:rsidRDefault="00641B53" w:rsidP="00CA7AA3">
      <w:pPr>
        <w:overflowPunct/>
        <w:ind w:left="1134"/>
        <w:textAlignment w:val="auto"/>
        <w:rPr>
          <w:rFonts w:ascii="Arial" w:hAnsi="Arial" w:cs="Arial"/>
          <w:bCs/>
          <w:szCs w:val="24"/>
          <w:lang w:eastAsia="en-GB"/>
        </w:rPr>
      </w:pPr>
      <w:r>
        <w:rPr>
          <w:rFonts w:ascii="Arial" w:hAnsi="Arial" w:cs="Arial"/>
          <w:bCs/>
          <w:szCs w:val="24"/>
          <w:lang w:eastAsia="en-GB"/>
        </w:rPr>
        <w:t>In paragraph 13, t</w:t>
      </w:r>
      <w:r w:rsidR="00CA7AA3" w:rsidRPr="00CA7AA3">
        <w:rPr>
          <w:rFonts w:ascii="Arial" w:hAnsi="Arial" w:cs="Arial"/>
          <w:bCs/>
          <w:szCs w:val="24"/>
          <w:lang w:eastAsia="en-GB"/>
        </w:rPr>
        <w:t>he Commission</w:t>
      </w:r>
      <w:r w:rsidR="00CA7AA3">
        <w:rPr>
          <w:rFonts w:ascii="Arial" w:hAnsi="Arial" w:cs="Arial"/>
          <w:bCs/>
          <w:szCs w:val="24"/>
          <w:lang w:eastAsia="en-GB"/>
        </w:rPr>
        <w:t xml:space="preserve"> </w:t>
      </w:r>
      <w:r>
        <w:rPr>
          <w:rFonts w:ascii="Arial" w:hAnsi="Arial" w:cs="Arial"/>
          <w:bCs/>
          <w:szCs w:val="24"/>
          <w:lang w:eastAsia="en-GB"/>
        </w:rPr>
        <w:t xml:space="preserve">notes that raising capital “implies taking active steps by way of business to procure the commitment of third party (i.e. external) capital”.  There is no definition of “procure” and therefore </w:t>
      </w:r>
      <w:r w:rsidR="00825C89">
        <w:rPr>
          <w:rFonts w:ascii="Arial" w:hAnsi="Arial" w:cs="Arial"/>
          <w:bCs/>
          <w:szCs w:val="24"/>
          <w:lang w:eastAsia="en-GB"/>
        </w:rPr>
        <w:t>the Commission believes it would be beneficial</w:t>
      </w:r>
      <w:r>
        <w:rPr>
          <w:rFonts w:ascii="Arial" w:hAnsi="Arial" w:cs="Arial"/>
          <w:bCs/>
          <w:szCs w:val="24"/>
          <w:lang w:eastAsia="en-GB"/>
        </w:rPr>
        <w:t xml:space="preserve"> to clarify whether this would also include accepting unsolicited or voluntary capital from investors</w:t>
      </w:r>
      <w:r w:rsidR="001D5B18">
        <w:rPr>
          <w:rFonts w:ascii="Arial" w:hAnsi="Arial" w:cs="Arial"/>
          <w:bCs/>
          <w:szCs w:val="24"/>
          <w:lang w:eastAsia="en-GB"/>
        </w:rPr>
        <w:t>.</w:t>
      </w:r>
      <w:r>
        <w:rPr>
          <w:rFonts w:ascii="Arial" w:hAnsi="Arial" w:cs="Arial"/>
          <w:bCs/>
          <w:szCs w:val="24"/>
          <w:lang w:eastAsia="en-GB"/>
        </w:rPr>
        <w:t xml:space="preserve">  The term “procure” is also used in paragraph 15 and, given our earlier comment, the Commission wonders whether “acquire” or “accept” may be more appropriate.</w:t>
      </w:r>
    </w:p>
    <w:p w:rsidR="00641B53" w:rsidRDefault="00641B53" w:rsidP="00CA7AA3">
      <w:pPr>
        <w:overflowPunct/>
        <w:ind w:left="1134"/>
        <w:textAlignment w:val="auto"/>
        <w:rPr>
          <w:rFonts w:ascii="Arial" w:hAnsi="Arial" w:cs="Arial"/>
          <w:bCs/>
          <w:szCs w:val="24"/>
          <w:lang w:eastAsia="en-GB"/>
        </w:rPr>
      </w:pPr>
    </w:p>
    <w:p w:rsidR="00641B53" w:rsidRDefault="00641B53" w:rsidP="00CA7AA3">
      <w:pPr>
        <w:overflowPunct/>
        <w:ind w:left="1134"/>
        <w:textAlignment w:val="auto"/>
        <w:rPr>
          <w:rFonts w:ascii="Arial" w:hAnsi="Arial" w:cs="Arial"/>
          <w:bCs/>
          <w:szCs w:val="24"/>
          <w:lang w:eastAsia="en-GB"/>
        </w:rPr>
      </w:pPr>
      <w:r>
        <w:rPr>
          <w:rFonts w:ascii="Arial" w:hAnsi="Arial" w:cs="Arial"/>
          <w:bCs/>
          <w:szCs w:val="24"/>
          <w:lang w:eastAsia="en-GB"/>
        </w:rPr>
        <w:t xml:space="preserve">Also in paragraph 15, there is reference to “a member of the governing body of the undertaking or the legal person managing that undertaking”.  The Commission believes that this should refer to “a member of the governing body of the undertaking or </w:t>
      </w:r>
      <w:r>
        <w:rPr>
          <w:rFonts w:ascii="Arial" w:hAnsi="Arial" w:cs="Arial"/>
          <w:b/>
          <w:bCs/>
          <w:i/>
          <w:szCs w:val="24"/>
          <w:lang w:eastAsia="en-GB"/>
        </w:rPr>
        <w:t xml:space="preserve">a member of </w:t>
      </w:r>
      <w:r>
        <w:rPr>
          <w:rFonts w:ascii="Arial" w:hAnsi="Arial" w:cs="Arial"/>
          <w:bCs/>
          <w:szCs w:val="24"/>
          <w:lang w:eastAsia="en-GB"/>
        </w:rPr>
        <w:t xml:space="preserve">the legal person managing that undertaking”.  </w:t>
      </w:r>
    </w:p>
    <w:p w:rsidR="00641B53" w:rsidRDefault="00641B53" w:rsidP="00CA7AA3">
      <w:pPr>
        <w:overflowPunct/>
        <w:ind w:left="1134"/>
        <w:textAlignment w:val="auto"/>
        <w:rPr>
          <w:rFonts w:ascii="Arial" w:hAnsi="Arial" w:cs="Arial"/>
          <w:bCs/>
          <w:szCs w:val="24"/>
          <w:lang w:eastAsia="en-GB"/>
        </w:rPr>
      </w:pPr>
    </w:p>
    <w:p w:rsidR="00641B53" w:rsidRDefault="00641B53" w:rsidP="00CA7AA3">
      <w:pPr>
        <w:overflowPunct/>
        <w:ind w:left="1134"/>
        <w:textAlignment w:val="auto"/>
        <w:rPr>
          <w:rFonts w:ascii="Arial" w:hAnsi="Arial" w:cs="Arial"/>
          <w:bCs/>
          <w:szCs w:val="24"/>
          <w:lang w:eastAsia="en-GB"/>
        </w:rPr>
      </w:pPr>
      <w:r>
        <w:rPr>
          <w:rFonts w:ascii="Arial" w:hAnsi="Arial" w:cs="Arial"/>
          <w:bCs/>
          <w:szCs w:val="24"/>
          <w:lang w:eastAsia="en-GB"/>
        </w:rPr>
        <w:t xml:space="preserve">In paragraph 16, raising capital also includes “capital provided by the legal person managing the undertaking or any of its affiliates”.  </w:t>
      </w:r>
      <w:r w:rsidR="00825C89">
        <w:rPr>
          <w:rFonts w:ascii="Arial" w:hAnsi="Arial" w:cs="Arial"/>
          <w:bCs/>
          <w:szCs w:val="24"/>
          <w:lang w:eastAsia="en-GB"/>
        </w:rPr>
        <w:t xml:space="preserve">This appears to be in conflict with paragraph 15 which states that in order for an undertaking raising capital, it should procure the transfer or commitment of capital which is </w:t>
      </w:r>
      <w:r w:rsidR="00825C89">
        <w:rPr>
          <w:rFonts w:ascii="Arial" w:hAnsi="Arial" w:cs="Arial"/>
          <w:b/>
          <w:bCs/>
          <w:szCs w:val="24"/>
          <w:lang w:eastAsia="en-GB"/>
        </w:rPr>
        <w:t xml:space="preserve">not </w:t>
      </w:r>
      <w:r w:rsidR="00825C89">
        <w:rPr>
          <w:rFonts w:ascii="Arial" w:hAnsi="Arial" w:cs="Arial"/>
          <w:bCs/>
          <w:szCs w:val="24"/>
          <w:lang w:eastAsia="en-GB"/>
        </w:rPr>
        <w:t>provided by the legal person managing the undertaking.</w:t>
      </w:r>
      <w:r>
        <w:rPr>
          <w:rFonts w:ascii="Arial" w:hAnsi="Arial" w:cs="Arial"/>
          <w:bCs/>
          <w:szCs w:val="24"/>
          <w:lang w:eastAsia="en-GB"/>
        </w:rPr>
        <w:t xml:space="preserve"> </w:t>
      </w:r>
    </w:p>
    <w:p w:rsidR="00CE2800" w:rsidRPr="00CA7AA3" w:rsidRDefault="00CE2800" w:rsidP="00CA7AA3">
      <w:pPr>
        <w:overflowPunct/>
        <w:ind w:left="1134"/>
        <w:textAlignment w:val="auto"/>
        <w:rPr>
          <w:rFonts w:ascii="Arial" w:hAnsi="Arial" w:cs="Arial"/>
          <w:bCs/>
          <w:szCs w:val="24"/>
          <w:lang w:eastAsia="en-GB"/>
        </w:rPr>
      </w:pPr>
    </w:p>
    <w:p w:rsidR="002861CD" w:rsidRDefault="002861CD" w:rsidP="00D24361">
      <w:pPr>
        <w:overflowPunct/>
        <w:ind w:left="1134" w:hanging="708"/>
        <w:textAlignment w:val="auto"/>
        <w:rPr>
          <w:rFonts w:ascii="Arial" w:hAnsi="Arial" w:cs="Arial"/>
          <w:b/>
          <w:bCs/>
          <w:szCs w:val="24"/>
          <w:lang w:eastAsia="en-GB"/>
        </w:rPr>
      </w:pPr>
    </w:p>
    <w:p w:rsidR="00825C89" w:rsidRDefault="00825C89" w:rsidP="00D24361">
      <w:pPr>
        <w:overflowPunct/>
        <w:ind w:left="1134" w:hanging="708"/>
        <w:textAlignment w:val="auto"/>
        <w:rPr>
          <w:rFonts w:ascii="Arial" w:hAnsi="Arial" w:cs="Arial"/>
          <w:b/>
          <w:bCs/>
          <w:szCs w:val="24"/>
          <w:lang w:eastAsia="en-GB"/>
        </w:rPr>
      </w:pPr>
      <w:r>
        <w:rPr>
          <w:rFonts w:ascii="Arial" w:hAnsi="Arial" w:cs="Arial"/>
          <w:b/>
          <w:bCs/>
          <w:szCs w:val="24"/>
          <w:lang w:eastAsia="en-GB"/>
        </w:rPr>
        <w:lastRenderedPageBreak/>
        <w:t>2.</w:t>
      </w:r>
      <w:r>
        <w:rPr>
          <w:rFonts w:ascii="Arial" w:hAnsi="Arial" w:cs="Arial"/>
          <w:b/>
          <w:bCs/>
          <w:szCs w:val="24"/>
          <w:lang w:eastAsia="en-GB"/>
        </w:rPr>
        <w:tab/>
        <w:t>Collective Investment Undertaking</w:t>
      </w:r>
    </w:p>
    <w:p w:rsidR="00825C89" w:rsidRDefault="00825C89" w:rsidP="00D24361">
      <w:pPr>
        <w:overflowPunct/>
        <w:ind w:left="1134" w:hanging="708"/>
        <w:textAlignment w:val="auto"/>
        <w:rPr>
          <w:rFonts w:ascii="Arial" w:hAnsi="Arial" w:cs="Arial"/>
          <w:b/>
          <w:bCs/>
          <w:szCs w:val="24"/>
          <w:lang w:eastAsia="en-GB"/>
        </w:rPr>
      </w:pPr>
    </w:p>
    <w:p w:rsidR="00825C89" w:rsidRDefault="00825C89" w:rsidP="00D24361">
      <w:pPr>
        <w:overflowPunct/>
        <w:ind w:left="1134" w:hanging="708"/>
        <w:textAlignment w:val="auto"/>
        <w:rPr>
          <w:rFonts w:ascii="Arial" w:hAnsi="Arial" w:cs="Arial"/>
          <w:bCs/>
          <w:i/>
          <w:szCs w:val="24"/>
          <w:lang w:eastAsia="en-GB"/>
        </w:rPr>
      </w:pPr>
      <w:r>
        <w:rPr>
          <w:rFonts w:ascii="Arial" w:hAnsi="Arial" w:cs="Arial"/>
          <w:bCs/>
          <w:i/>
          <w:szCs w:val="24"/>
          <w:lang w:eastAsia="en-GB"/>
        </w:rPr>
        <w:t>9.</w:t>
      </w:r>
      <w:r>
        <w:rPr>
          <w:rFonts w:ascii="Arial" w:hAnsi="Arial" w:cs="Arial"/>
          <w:bCs/>
          <w:i/>
          <w:szCs w:val="24"/>
          <w:lang w:eastAsia="en-GB"/>
        </w:rPr>
        <w:tab/>
        <w:t>Which are in your view the key characteristics defining an ordinary company with general commercial purpose?</w:t>
      </w:r>
    </w:p>
    <w:p w:rsidR="00825C89" w:rsidRDefault="00825C89" w:rsidP="00D24361">
      <w:pPr>
        <w:overflowPunct/>
        <w:ind w:left="1134" w:hanging="708"/>
        <w:textAlignment w:val="auto"/>
        <w:rPr>
          <w:rFonts w:ascii="Arial" w:hAnsi="Arial" w:cs="Arial"/>
          <w:bCs/>
          <w:i/>
          <w:szCs w:val="24"/>
          <w:lang w:eastAsia="en-GB"/>
        </w:rPr>
      </w:pPr>
    </w:p>
    <w:p w:rsidR="00825C89" w:rsidRPr="00825C89" w:rsidRDefault="00825C89" w:rsidP="00D24361">
      <w:pPr>
        <w:overflowPunct/>
        <w:ind w:left="1134" w:hanging="708"/>
        <w:textAlignment w:val="auto"/>
        <w:rPr>
          <w:rFonts w:ascii="Arial" w:hAnsi="Arial" w:cs="Arial"/>
          <w:bCs/>
          <w:szCs w:val="24"/>
          <w:lang w:eastAsia="en-GB"/>
        </w:rPr>
      </w:pPr>
      <w:r>
        <w:rPr>
          <w:rFonts w:ascii="Arial" w:hAnsi="Arial" w:cs="Arial"/>
          <w:bCs/>
          <w:szCs w:val="24"/>
          <w:lang w:eastAsia="en-GB"/>
        </w:rPr>
        <w:tab/>
        <w:t xml:space="preserve">The Commission believes that there is danger in defining such an ordinary concept as this could lead to abuse by deliberately circumventing the definition.  Instead, it may be beneficial to have indicators which may assist in determining whether </w:t>
      </w:r>
      <w:r w:rsidR="005F5B35">
        <w:rPr>
          <w:rFonts w:ascii="Arial" w:hAnsi="Arial" w:cs="Arial"/>
          <w:bCs/>
          <w:szCs w:val="24"/>
          <w:lang w:eastAsia="en-GB"/>
        </w:rPr>
        <w:t>a company is an ordinary company with general commercial purpose</w:t>
      </w:r>
      <w:r w:rsidR="0097247B">
        <w:rPr>
          <w:rFonts w:ascii="Arial" w:hAnsi="Arial" w:cs="Arial"/>
          <w:bCs/>
          <w:szCs w:val="24"/>
          <w:lang w:eastAsia="en-GB"/>
        </w:rPr>
        <w:t>, but that these should not be exhaustive</w:t>
      </w:r>
      <w:r w:rsidR="005F5B35">
        <w:rPr>
          <w:rFonts w:ascii="Arial" w:hAnsi="Arial" w:cs="Arial"/>
          <w:bCs/>
          <w:szCs w:val="24"/>
          <w:lang w:eastAsia="en-GB"/>
        </w:rPr>
        <w:t>.  Such indicators could include the number and type of staff, the type of customers and the goods and services which are provided.</w:t>
      </w:r>
    </w:p>
    <w:p w:rsidR="00825C89" w:rsidRDefault="00825C89" w:rsidP="00D24361">
      <w:pPr>
        <w:overflowPunct/>
        <w:ind w:left="1134" w:hanging="708"/>
        <w:textAlignment w:val="auto"/>
        <w:rPr>
          <w:rFonts w:ascii="Arial" w:hAnsi="Arial" w:cs="Arial"/>
          <w:b/>
          <w:bCs/>
          <w:szCs w:val="24"/>
          <w:lang w:eastAsia="en-GB"/>
        </w:rPr>
      </w:pPr>
    </w:p>
    <w:p w:rsidR="00825C89" w:rsidRPr="00825C89" w:rsidRDefault="00825C89" w:rsidP="00D24361">
      <w:pPr>
        <w:overflowPunct/>
        <w:ind w:left="1134" w:hanging="708"/>
        <w:textAlignment w:val="auto"/>
        <w:rPr>
          <w:rFonts w:ascii="Arial" w:hAnsi="Arial" w:cs="Arial"/>
          <w:b/>
          <w:bCs/>
          <w:szCs w:val="24"/>
          <w:lang w:eastAsia="en-GB"/>
        </w:rPr>
      </w:pPr>
      <w:r>
        <w:rPr>
          <w:rFonts w:ascii="Arial" w:hAnsi="Arial" w:cs="Arial"/>
          <w:b/>
          <w:bCs/>
          <w:szCs w:val="24"/>
          <w:lang w:eastAsia="en-GB"/>
        </w:rPr>
        <w:t>3.</w:t>
      </w:r>
      <w:r>
        <w:rPr>
          <w:rFonts w:ascii="Arial" w:hAnsi="Arial" w:cs="Arial"/>
          <w:b/>
          <w:bCs/>
          <w:szCs w:val="24"/>
          <w:lang w:eastAsia="en-GB"/>
        </w:rPr>
        <w:tab/>
        <w:t>Number of Investors</w:t>
      </w:r>
    </w:p>
    <w:p w:rsidR="00825C89" w:rsidRDefault="00825C89" w:rsidP="00D24361">
      <w:pPr>
        <w:overflowPunct/>
        <w:ind w:left="1134" w:hanging="708"/>
        <w:textAlignment w:val="auto"/>
        <w:rPr>
          <w:rFonts w:ascii="Arial" w:hAnsi="Arial" w:cs="Arial"/>
          <w:bCs/>
          <w:i/>
          <w:szCs w:val="24"/>
          <w:lang w:eastAsia="en-GB"/>
        </w:rPr>
      </w:pPr>
    </w:p>
    <w:p w:rsidR="00443F7D" w:rsidRPr="00D24361" w:rsidRDefault="00825C89" w:rsidP="00825C89">
      <w:pPr>
        <w:overflowPunct/>
        <w:ind w:left="1134" w:hanging="708"/>
        <w:textAlignment w:val="auto"/>
        <w:rPr>
          <w:rFonts w:ascii="Arial" w:hAnsi="Arial" w:cs="Arial"/>
          <w:bCs/>
          <w:i/>
          <w:szCs w:val="24"/>
          <w:lang w:eastAsia="en-GB"/>
        </w:rPr>
      </w:pPr>
      <w:r>
        <w:rPr>
          <w:rFonts w:ascii="Arial" w:hAnsi="Arial" w:cs="Arial"/>
          <w:bCs/>
          <w:i/>
          <w:szCs w:val="24"/>
          <w:lang w:eastAsia="en-GB"/>
        </w:rPr>
        <w:t>10.</w:t>
      </w:r>
      <w:r w:rsidR="00D24361">
        <w:rPr>
          <w:rFonts w:ascii="Arial" w:hAnsi="Arial" w:cs="Arial"/>
          <w:bCs/>
          <w:i/>
          <w:szCs w:val="24"/>
          <w:lang w:eastAsia="en-GB"/>
        </w:rPr>
        <w:t xml:space="preserve">      </w:t>
      </w:r>
      <w:r w:rsidR="00443F7D" w:rsidRPr="00D24361">
        <w:rPr>
          <w:rFonts w:ascii="Arial" w:hAnsi="Arial" w:cs="Arial"/>
          <w:bCs/>
          <w:i/>
          <w:szCs w:val="24"/>
          <w:lang w:eastAsia="en-GB"/>
        </w:rPr>
        <w:t xml:space="preserve">Do you </w:t>
      </w:r>
      <w:r>
        <w:rPr>
          <w:rFonts w:ascii="Arial" w:hAnsi="Arial" w:cs="Arial"/>
          <w:bCs/>
          <w:i/>
          <w:szCs w:val="24"/>
          <w:lang w:eastAsia="en-GB"/>
        </w:rPr>
        <w:t xml:space="preserve">agree with the proposed guidance for determining whether a “number of investors” </w:t>
      </w:r>
      <w:proofErr w:type="gramStart"/>
      <w:r>
        <w:rPr>
          <w:rFonts w:ascii="Arial" w:hAnsi="Arial" w:cs="Arial"/>
          <w:bCs/>
          <w:i/>
          <w:szCs w:val="24"/>
          <w:lang w:eastAsia="en-GB"/>
        </w:rPr>
        <w:t>exists</w:t>
      </w:r>
      <w:proofErr w:type="gramEnd"/>
      <w:r>
        <w:rPr>
          <w:rFonts w:ascii="Arial" w:hAnsi="Arial" w:cs="Arial"/>
          <w:bCs/>
          <w:i/>
          <w:szCs w:val="24"/>
          <w:lang w:eastAsia="en-GB"/>
        </w:rPr>
        <w:t xml:space="preserve"> for the purposes of the definition of AIF?  If not, please explain why.</w:t>
      </w:r>
    </w:p>
    <w:p w:rsidR="00443F7D" w:rsidRDefault="00443F7D" w:rsidP="00D24361">
      <w:pPr>
        <w:pStyle w:val="ListParagraph"/>
        <w:ind w:left="1134" w:hanging="708"/>
        <w:rPr>
          <w:rFonts w:ascii="Arial" w:hAnsi="Arial" w:cs="Arial"/>
          <w:bCs/>
          <w:i/>
          <w:szCs w:val="24"/>
          <w:lang w:eastAsia="en-GB"/>
        </w:rPr>
      </w:pPr>
    </w:p>
    <w:p w:rsidR="005F5B35" w:rsidRPr="00825C89" w:rsidRDefault="005F5B35" w:rsidP="00B728CF">
      <w:pPr>
        <w:pStyle w:val="ListParagraph"/>
        <w:ind w:left="1134"/>
        <w:rPr>
          <w:rFonts w:ascii="Arial" w:hAnsi="Arial" w:cs="Arial"/>
          <w:bCs/>
          <w:szCs w:val="24"/>
          <w:lang w:eastAsia="en-GB"/>
        </w:rPr>
      </w:pPr>
      <w:r>
        <w:rPr>
          <w:rFonts w:ascii="Arial" w:hAnsi="Arial" w:cs="Arial"/>
          <w:bCs/>
          <w:szCs w:val="24"/>
          <w:lang w:eastAsia="en-GB"/>
        </w:rPr>
        <w:t xml:space="preserve">The Commission assumes that </w:t>
      </w:r>
      <w:r w:rsidR="00B728CF">
        <w:rPr>
          <w:rFonts w:ascii="Arial" w:hAnsi="Arial" w:cs="Arial"/>
          <w:bCs/>
          <w:szCs w:val="24"/>
          <w:lang w:eastAsia="en-GB"/>
        </w:rPr>
        <w:t xml:space="preserve">the references in </w:t>
      </w:r>
      <w:r>
        <w:rPr>
          <w:rFonts w:ascii="Arial" w:hAnsi="Arial" w:cs="Arial"/>
          <w:bCs/>
          <w:szCs w:val="24"/>
          <w:lang w:eastAsia="en-GB"/>
        </w:rPr>
        <w:t>paragraph 2</w:t>
      </w:r>
      <w:r w:rsidR="00B728CF">
        <w:rPr>
          <w:rFonts w:ascii="Arial" w:hAnsi="Arial" w:cs="Arial"/>
          <w:bCs/>
          <w:szCs w:val="24"/>
          <w:lang w:eastAsia="en-GB"/>
        </w:rPr>
        <w:t>8 are ESMA’s final proposals and agrees with these.</w:t>
      </w:r>
      <w:r>
        <w:rPr>
          <w:rFonts w:ascii="Arial" w:hAnsi="Arial" w:cs="Arial"/>
          <w:bCs/>
          <w:szCs w:val="24"/>
          <w:lang w:eastAsia="en-GB"/>
        </w:rPr>
        <w:t xml:space="preserve">  </w:t>
      </w:r>
    </w:p>
    <w:p w:rsidR="00825C89" w:rsidRDefault="00825C89" w:rsidP="00CA7AA3">
      <w:pPr>
        <w:pStyle w:val="ListParagraph"/>
        <w:ind w:left="1134"/>
        <w:rPr>
          <w:rFonts w:ascii="Arial" w:hAnsi="Arial" w:cs="Arial"/>
          <w:bCs/>
          <w:i/>
          <w:szCs w:val="24"/>
          <w:lang w:eastAsia="en-GB"/>
        </w:rPr>
      </w:pPr>
    </w:p>
    <w:p w:rsidR="00B728CF" w:rsidRDefault="00B728CF" w:rsidP="00B728CF">
      <w:pPr>
        <w:tabs>
          <w:tab w:val="left" w:pos="426"/>
        </w:tabs>
        <w:ind w:left="426"/>
        <w:jc w:val="both"/>
        <w:rPr>
          <w:rFonts w:ascii="Arial" w:hAnsi="Arial" w:cs="Arial"/>
          <w:b/>
        </w:rPr>
      </w:pPr>
      <w:r>
        <w:rPr>
          <w:rFonts w:ascii="Arial" w:hAnsi="Arial" w:cs="Arial"/>
          <w:b/>
        </w:rPr>
        <w:t>Draft regulatory technical standards on types of AIFMs</w:t>
      </w:r>
    </w:p>
    <w:p w:rsidR="00825C89" w:rsidRDefault="00825C89" w:rsidP="00CA7AA3">
      <w:pPr>
        <w:pStyle w:val="ListParagraph"/>
        <w:ind w:left="1134"/>
        <w:rPr>
          <w:rFonts w:ascii="Arial" w:hAnsi="Arial" w:cs="Arial"/>
          <w:bCs/>
          <w:i/>
          <w:szCs w:val="24"/>
          <w:lang w:eastAsia="en-GB"/>
        </w:rPr>
      </w:pPr>
    </w:p>
    <w:p w:rsidR="00B728CF" w:rsidRPr="00B728CF" w:rsidRDefault="00B728CF" w:rsidP="00B728CF">
      <w:pPr>
        <w:pStyle w:val="ListParagraph"/>
        <w:ind w:left="1134" w:hanging="708"/>
        <w:rPr>
          <w:rFonts w:ascii="Arial" w:hAnsi="Arial" w:cs="Arial"/>
          <w:b/>
          <w:bCs/>
          <w:i/>
          <w:szCs w:val="24"/>
          <w:lang w:eastAsia="en-GB"/>
        </w:rPr>
      </w:pPr>
      <w:r w:rsidRPr="00B728CF">
        <w:rPr>
          <w:rFonts w:ascii="Arial" w:hAnsi="Arial" w:cs="Arial"/>
          <w:b/>
          <w:bCs/>
          <w:i/>
          <w:szCs w:val="24"/>
          <w:lang w:eastAsia="en-GB"/>
        </w:rPr>
        <w:t>Annex VI – Draft regulatory technical standards</w:t>
      </w:r>
    </w:p>
    <w:p w:rsidR="00B728CF" w:rsidRDefault="00B728CF" w:rsidP="00CA7AA3">
      <w:pPr>
        <w:pStyle w:val="ListParagraph"/>
        <w:ind w:left="1134"/>
        <w:rPr>
          <w:rFonts w:ascii="Arial" w:hAnsi="Arial" w:cs="Arial"/>
          <w:bCs/>
          <w:i/>
          <w:szCs w:val="24"/>
          <w:lang w:eastAsia="en-GB"/>
        </w:rPr>
      </w:pPr>
    </w:p>
    <w:p w:rsidR="00B728CF" w:rsidRDefault="00CE2800" w:rsidP="00B728CF">
      <w:pPr>
        <w:pStyle w:val="ListParagraph"/>
        <w:ind w:left="426"/>
        <w:rPr>
          <w:rFonts w:ascii="Arial" w:hAnsi="Arial" w:cs="Arial"/>
          <w:bCs/>
          <w:szCs w:val="24"/>
          <w:lang w:eastAsia="en-GB"/>
        </w:rPr>
      </w:pPr>
      <w:r>
        <w:rPr>
          <w:rFonts w:ascii="Arial" w:hAnsi="Arial" w:cs="Arial"/>
          <w:bCs/>
          <w:szCs w:val="24"/>
          <w:lang w:eastAsia="en-GB"/>
        </w:rPr>
        <w:t>T</w:t>
      </w:r>
      <w:r w:rsidR="00B728CF">
        <w:rPr>
          <w:rFonts w:ascii="Arial" w:hAnsi="Arial" w:cs="Arial"/>
          <w:bCs/>
          <w:szCs w:val="24"/>
          <w:lang w:eastAsia="en-GB"/>
        </w:rPr>
        <w:t xml:space="preserve">he Commission believes that </w:t>
      </w:r>
      <w:r>
        <w:rPr>
          <w:rFonts w:ascii="Arial" w:hAnsi="Arial" w:cs="Arial"/>
          <w:bCs/>
          <w:szCs w:val="24"/>
          <w:lang w:eastAsia="en-GB"/>
        </w:rPr>
        <w:t>article 1</w:t>
      </w:r>
      <w:r w:rsidR="00B728CF">
        <w:rPr>
          <w:rFonts w:ascii="Arial" w:hAnsi="Arial" w:cs="Arial"/>
          <w:bCs/>
          <w:szCs w:val="24"/>
          <w:lang w:eastAsia="en-GB"/>
        </w:rPr>
        <w:t xml:space="preserve"> should read –</w:t>
      </w:r>
    </w:p>
    <w:p w:rsidR="00B728CF" w:rsidRDefault="00B728CF" w:rsidP="00B728CF">
      <w:pPr>
        <w:pStyle w:val="ListParagraph"/>
        <w:ind w:left="426"/>
        <w:rPr>
          <w:rFonts w:ascii="Arial" w:hAnsi="Arial" w:cs="Arial"/>
          <w:bCs/>
          <w:szCs w:val="24"/>
          <w:lang w:eastAsia="en-GB"/>
        </w:rPr>
      </w:pPr>
    </w:p>
    <w:p w:rsidR="00CE2800" w:rsidRDefault="00B728CF" w:rsidP="00B728CF">
      <w:pPr>
        <w:pStyle w:val="ListParagraph"/>
        <w:ind w:left="426"/>
        <w:rPr>
          <w:rFonts w:ascii="Arial" w:hAnsi="Arial" w:cs="Arial"/>
          <w:bCs/>
          <w:i/>
          <w:szCs w:val="24"/>
          <w:lang w:eastAsia="en-GB"/>
        </w:rPr>
      </w:pPr>
      <w:r>
        <w:rPr>
          <w:rFonts w:ascii="Arial" w:hAnsi="Arial" w:cs="Arial"/>
          <w:bCs/>
          <w:i/>
          <w:szCs w:val="24"/>
          <w:lang w:eastAsia="en-GB"/>
        </w:rPr>
        <w:t>“1.</w:t>
      </w:r>
      <w:r>
        <w:rPr>
          <w:rFonts w:ascii="Arial" w:hAnsi="Arial" w:cs="Arial"/>
          <w:bCs/>
          <w:i/>
          <w:szCs w:val="24"/>
          <w:lang w:eastAsia="en-GB"/>
        </w:rPr>
        <w:tab/>
      </w:r>
      <w:r>
        <w:rPr>
          <w:rFonts w:ascii="Arial" w:hAnsi="Arial" w:cs="Arial"/>
          <w:bCs/>
          <w:i/>
          <w:szCs w:val="24"/>
          <w:lang w:eastAsia="en-GB"/>
        </w:rPr>
        <w:tab/>
        <w:t xml:space="preserve">An AIFM may be either </w:t>
      </w:r>
      <w:r w:rsidRPr="00B728CF">
        <w:rPr>
          <w:rFonts w:ascii="Arial" w:hAnsi="Arial" w:cs="Arial"/>
          <w:b/>
          <w:bCs/>
          <w:i/>
          <w:szCs w:val="24"/>
          <w:u w:val="single"/>
          <w:lang w:eastAsia="en-GB"/>
        </w:rPr>
        <w:t>or both</w:t>
      </w:r>
      <w:r>
        <w:rPr>
          <w:rFonts w:ascii="Arial" w:hAnsi="Arial" w:cs="Arial"/>
          <w:bCs/>
          <w:i/>
          <w:szCs w:val="24"/>
          <w:lang w:eastAsia="en-GB"/>
        </w:rPr>
        <w:t xml:space="preserve"> of the following:” </w:t>
      </w:r>
    </w:p>
    <w:p w:rsidR="00CE2800" w:rsidRDefault="00CE2800" w:rsidP="00B728CF">
      <w:pPr>
        <w:pStyle w:val="ListParagraph"/>
        <w:ind w:left="426"/>
        <w:rPr>
          <w:rFonts w:ascii="Arial" w:hAnsi="Arial" w:cs="Arial"/>
          <w:bCs/>
          <w:i/>
          <w:szCs w:val="24"/>
          <w:lang w:eastAsia="en-GB"/>
        </w:rPr>
      </w:pPr>
    </w:p>
    <w:p w:rsidR="00B728CF" w:rsidRPr="00B728CF" w:rsidRDefault="00B728CF" w:rsidP="00B728CF">
      <w:pPr>
        <w:pStyle w:val="ListParagraph"/>
        <w:ind w:left="426"/>
        <w:rPr>
          <w:rFonts w:ascii="Arial" w:hAnsi="Arial" w:cs="Arial"/>
          <w:bCs/>
          <w:szCs w:val="24"/>
          <w:lang w:eastAsia="en-GB"/>
        </w:rPr>
      </w:pPr>
      <w:proofErr w:type="gramStart"/>
      <w:r>
        <w:rPr>
          <w:rFonts w:ascii="Arial" w:hAnsi="Arial" w:cs="Arial"/>
          <w:bCs/>
          <w:szCs w:val="24"/>
          <w:lang w:eastAsia="en-GB"/>
        </w:rPr>
        <w:t>as</w:t>
      </w:r>
      <w:proofErr w:type="gramEnd"/>
      <w:r w:rsidR="00CE2800">
        <w:rPr>
          <w:rFonts w:ascii="Arial" w:hAnsi="Arial" w:cs="Arial"/>
          <w:bCs/>
          <w:szCs w:val="24"/>
          <w:lang w:eastAsia="en-GB"/>
        </w:rPr>
        <w:t xml:space="preserve"> it is possible that</w:t>
      </w:r>
      <w:r>
        <w:rPr>
          <w:rFonts w:ascii="Arial" w:hAnsi="Arial" w:cs="Arial"/>
          <w:bCs/>
          <w:szCs w:val="24"/>
          <w:lang w:eastAsia="en-GB"/>
        </w:rPr>
        <w:t xml:space="preserve"> a</w:t>
      </w:r>
      <w:r w:rsidR="00CE2800">
        <w:rPr>
          <w:rFonts w:ascii="Arial" w:hAnsi="Arial" w:cs="Arial"/>
          <w:bCs/>
          <w:szCs w:val="24"/>
          <w:lang w:eastAsia="en-GB"/>
        </w:rPr>
        <w:t>n AIFM may be an AIFM of both an open-ended AIF and a closed-ended AIF but this is not possible as currently worded.</w:t>
      </w:r>
    </w:p>
    <w:p w:rsidR="00B728CF" w:rsidRDefault="00B728CF" w:rsidP="00B728CF">
      <w:pPr>
        <w:pStyle w:val="ListParagraph"/>
        <w:ind w:left="426"/>
        <w:rPr>
          <w:rFonts w:ascii="Arial" w:hAnsi="Arial" w:cs="Arial"/>
          <w:bCs/>
          <w:i/>
          <w:szCs w:val="24"/>
          <w:lang w:eastAsia="en-GB"/>
        </w:rPr>
      </w:pPr>
    </w:p>
    <w:p w:rsidR="00CE2800" w:rsidRDefault="00CE2800" w:rsidP="00CE2800">
      <w:pPr>
        <w:pStyle w:val="ListParagraph"/>
        <w:ind w:left="426"/>
        <w:rPr>
          <w:rFonts w:ascii="Arial" w:hAnsi="Arial" w:cs="Arial"/>
          <w:bCs/>
          <w:szCs w:val="24"/>
          <w:lang w:eastAsia="en-GB"/>
        </w:rPr>
      </w:pPr>
      <w:r>
        <w:rPr>
          <w:rFonts w:ascii="Arial" w:hAnsi="Arial" w:cs="Arial"/>
          <w:bCs/>
          <w:szCs w:val="24"/>
          <w:lang w:eastAsia="en-GB"/>
        </w:rPr>
        <w:t>The Commission believes that article 3 should read –</w:t>
      </w:r>
    </w:p>
    <w:p w:rsidR="00CE2800" w:rsidRDefault="00CE2800" w:rsidP="00CE2800">
      <w:pPr>
        <w:pStyle w:val="ListParagraph"/>
        <w:ind w:left="426"/>
        <w:rPr>
          <w:rFonts w:ascii="Arial" w:hAnsi="Arial" w:cs="Arial"/>
          <w:bCs/>
          <w:szCs w:val="24"/>
          <w:lang w:eastAsia="en-GB"/>
        </w:rPr>
      </w:pPr>
    </w:p>
    <w:p w:rsidR="00CE2800" w:rsidRDefault="00CE2800" w:rsidP="00CE2800">
      <w:pPr>
        <w:pStyle w:val="ListParagraph"/>
        <w:ind w:left="1418" w:hanging="992"/>
        <w:rPr>
          <w:rFonts w:ascii="Arial" w:hAnsi="Arial" w:cs="Arial"/>
          <w:bCs/>
          <w:i/>
          <w:szCs w:val="24"/>
          <w:lang w:eastAsia="en-GB"/>
        </w:rPr>
      </w:pPr>
      <w:r>
        <w:rPr>
          <w:rFonts w:ascii="Arial" w:hAnsi="Arial" w:cs="Arial"/>
          <w:bCs/>
          <w:i/>
          <w:szCs w:val="24"/>
          <w:lang w:eastAsia="en-GB"/>
        </w:rPr>
        <w:t>“3.</w:t>
      </w:r>
      <w:r>
        <w:rPr>
          <w:rFonts w:ascii="Arial" w:hAnsi="Arial" w:cs="Arial"/>
          <w:bCs/>
          <w:i/>
          <w:szCs w:val="24"/>
          <w:lang w:eastAsia="en-GB"/>
        </w:rPr>
        <w:tab/>
      </w:r>
      <w:r>
        <w:rPr>
          <w:rFonts w:ascii="Arial" w:hAnsi="Arial" w:cs="Arial"/>
          <w:bCs/>
          <w:i/>
          <w:szCs w:val="24"/>
          <w:lang w:eastAsia="en-GB"/>
        </w:rPr>
        <w:tab/>
        <w:t xml:space="preserve">An AIFM of closed-ended AIF(s) shall be an AIFM managing AIF(s) other than the </w:t>
      </w:r>
      <w:r>
        <w:rPr>
          <w:rFonts w:ascii="Arial" w:hAnsi="Arial" w:cs="Arial"/>
          <w:b/>
          <w:bCs/>
          <w:i/>
          <w:szCs w:val="24"/>
          <w:u w:val="single"/>
          <w:lang w:eastAsia="en-GB"/>
        </w:rPr>
        <w:t>type</w:t>
      </w:r>
      <w:r>
        <w:rPr>
          <w:rFonts w:ascii="Arial" w:hAnsi="Arial" w:cs="Arial"/>
          <w:bCs/>
          <w:i/>
          <w:szCs w:val="24"/>
          <w:lang w:eastAsia="en-GB"/>
        </w:rPr>
        <w:t xml:space="preserve"> described in paragraph 2.”</w:t>
      </w:r>
    </w:p>
    <w:p w:rsidR="00CE2800" w:rsidRDefault="00CE2800" w:rsidP="00CE2800">
      <w:pPr>
        <w:pStyle w:val="ListParagraph"/>
        <w:ind w:left="1418" w:hanging="992"/>
        <w:rPr>
          <w:rFonts w:ascii="Arial" w:hAnsi="Arial" w:cs="Arial"/>
          <w:bCs/>
          <w:i/>
          <w:szCs w:val="24"/>
          <w:lang w:eastAsia="en-GB"/>
        </w:rPr>
      </w:pPr>
    </w:p>
    <w:p w:rsidR="00CE2800" w:rsidRPr="00CE2800" w:rsidRDefault="00CE2800" w:rsidP="00CE2800">
      <w:pPr>
        <w:pStyle w:val="ListParagraph"/>
        <w:ind w:left="1418" w:hanging="992"/>
        <w:rPr>
          <w:rFonts w:ascii="Arial" w:hAnsi="Arial" w:cs="Arial"/>
          <w:bCs/>
          <w:szCs w:val="24"/>
          <w:lang w:eastAsia="en-GB"/>
        </w:rPr>
      </w:pPr>
      <w:proofErr w:type="gramStart"/>
      <w:r>
        <w:rPr>
          <w:rFonts w:ascii="Arial" w:hAnsi="Arial" w:cs="Arial"/>
          <w:bCs/>
          <w:szCs w:val="24"/>
          <w:lang w:eastAsia="en-GB"/>
        </w:rPr>
        <w:t>as</w:t>
      </w:r>
      <w:proofErr w:type="gramEnd"/>
      <w:r>
        <w:rPr>
          <w:rFonts w:ascii="Arial" w:hAnsi="Arial" w:cs="Arial"/>
          <w:bCs/>
          <w:szCs w:val="24"/>
          <w:lang w:eastAsia="en-GB"/>
        </w:rPr>
        <w:t xml:space="preserve"> the AIF described in paragraph 2 is a type of AIF.</w:t>
      </w:r>
    </w:p>
    <w:p w:rsidR="00D10356" w:rsidRDefault="00D10356" w:rsidP="00A120EA">
      <w:pPr>
        <w:tabs>
          <w:tab w:val="left" w:pos="426"/>
        </w:tabs>
        <w:ind w:left="426"/>
        <w:jc w:val="both"/>
        <w:rPr>
          <w:rFonts w:ascii="Arial" w:hAnsi="Arial" w:cs="Arial"/>
          <w:szCs w:val="24"/>
        </w:rPr>
      </w:pPr>
    </w:p>
    <w:p w:rsidR="00ED3BAE" w:rsidRDefault="00D10356" w:rsidP="00A120EA">
      <w:pPr>
        <w:tabs>
          <w:tab w:val="left" w:pos="426"/>
        </w:tabs>
        <w:ind w:left="426"/>
        <w:jc w:val="both"/>
        <w:rPr>
          <w:rFonts w:ascii="Arial" w:hAnsi="Arial" w:cs="Arial"/>
          <w:szCs w:val="24"/>
        </w:rPr>
      </w:pPr>
      <w:r>
        <w:rPr>
          <w:rFonts w:ascii="Arial" w:hAnsi="Arial" w:cs="Arial"/>
          <w:szCs w:val="24"/>
        </w:rPr>
        <w:t>We hope you find our response helpful.  Please do not hesitate to contact me for any further information.</w:t>
      </w:r>
    </w:p>
    <w:p w:rsidR="00D10356" w:rsidRDefault="00D10356" w:rsidP="00A120EA">
      <w:pPr>
        <w:tabs>
          <w:tab w:val="left" w:pos="426"/>
        </w:tabs>
        <w:ind w:left="426"/>
        <w:jc w:val="both"/>
        <w:rPr>
          <w:rFonts w:ascii="Arial" w:hAnsi="Arial" w:cs="Arial"/>
          <w:szCs w:val="24"/>
        </w:rPr>
      </w:pPr>
    </w:p>
    <w:p w:rsidR="00D10356" w:rsidRDefault="00D10356" w:rsidP="00A120EA">
      <w:pPr>
        <w:tabs>
          <w:tab w:val="left" w:pos="426"/>
        </w:tabs>
        <w:ind w:left="426"/>
        <w:jc w:val="both"/>
        <w:rPr>
          <w:rFonts w:ascii="Arial" w:hAnsi="Arial" w:cs="Arial"/>
          <w:szCs w:val="24"/>
        </w:rPr>
      </w:pPr>
      <w:r>
        <w:rPr>
          <w:rFonts w:ascii="Arial" w:hAnsi="Arial" w:cs="Arial"/>
          <w:szCs w:val="24"/>
        </w:rPr>
        <w:t>Kind regards</w:t>
      </w:r>
    </w:p>
    <w:p w:rsidR="00D10356" w:rsidRDefault="00D10356" w:rsidP="00A120EA">
      <w:pPr>
        <w:tabs>
          <w:tab w:val="left" w:pos="426"/>
        </w:tabs>
        <w:ind w:left="426"/>
        <w:jc w:val="both"/>
        <w:rPr>
          <w:rFonts w:ascii="Arial" w:hAnsi="Arial" w:cs="Arial"/>
          <w:szCs w:val="24"/>
        </w:rPr>
      </w:pPr>
    </w:p>
    <w:p w:rsidR="00D10356" w:rsidRDefault="00D10356" w:rsidP="00A120EA">
      <w:pPr>
        <w:tabs>
          <w:tab w:val="left" w:pos="426"/>
        </w:tabs>
        <w:ind w:left="426"/>
        <w:jc w:val="both"/>
        <w:rPr>
          <w:rFonts w:ascii="Arial" w:hAnsi="Arial" w:cs="Arial"/>
          <w:szCs w:val="24"/>
        </w:rPr>
      </w:pPr>
      <w:r>
        <w:rPr>
          <w:rFonts w:ascii="Arial" w:hAnsi="Arial" w:cs="Arial"/>
          <w:szCs w:val="24"/>
        </w:rPr>
        <w:t>Yours faithfully</w:t>
      </w:r>
    </w:p>
    <w:p w:rsidR="00D10356" w:rsidRDefault="00D10356" w:rsidP="00A120EA">
      <w:pPr>
        <w:tabs>
          <w:tab w:val="left" w:pos="426"/>
        </w:tabs>
        <w:ind w:left="426"/>
        <w:jc w:val="both"/>
        <w:rPr>
          <w:rFonts w:ascii="Arial" w:hAnsi="Arial" w:cs="Arial"/>
          <w:szCs w:val="24"/>
        </w:rPr>
      </w:pPr>
    </w:p>
    <w:p w:rsidR="00D10356" w:rsidRDefault="00D10356" w:rsidP="00A120EA">
      <w:pPr>
        <w:tabs>
          <w:tab w:val="left" w:pos="426"/>
        </w:tabs>
        <w:ind w:left="426"/>
        <w:jc w:val="both"/>
        <w:rPr>
          <w:rFonts w:ascii="Arial" w:hAnsi="Arial" w:cs="Arial"/>
          <w:szCs w:val="24"/>
        </w:rPr>
      </w:pPr>
    </w:p>
    <w:p w:rsidR="00D10356" w:rsidRPr="00DB75E3" w:rsidRDefault="00DB75E3" w:rsidP="00A120EA">
      <w:pPr>
        <w:tabs>
          <w:tab w:val="left" w:pos="426"/>
        </w:tabs>
        <w:ind w:left="426"/>
        <w:jc w:val="both"/>
        <w:rPr>
          <w:rFonts w:ascii="Palace Script MT" w:hAnsi="Palace Script MT" w:cs="Arial"/>
          <w:b/>
          <w:sz w:val="72"/>
          <w:szCs w:val="72"/>
        </w:rPr>
      </w:pPr>
      <w:proofErr w:type="spellStart"/>
      <w:r w:rsidRPr="00DB75E3">
        <w:rPr>
          <w:rFonts w:ascii="Palace Script MT" w:hAnsi="Palace Script MT" w:cs="Arial"/>
          <w:b/>
          <w:sz w:val="72"/>
          <w:szCs w:val="72"/>
        </w:rPr>
        <w:t>SECorlett</w:t>
      </w:r>
      <w:proofErr w:type="spellEnd"/>
    </w:p>
    <w:p w:rsidR="00D10356" w:rsidRDefault="00D10356" w:rsidP="00A120EA">
      <w:pPr>
        <w:tabs>
          <w:tab w:val="left" w:pos="426"/>
        </w:tabs>
        <w:ind w:left="426"/>
        <w:jc w:val="both"/>
        <w:rPr>
          <w:rFonts w:ascii="Arial" w:hAnsi="Arial" w:cs="Arial"/>
          <w:szCs w:val="24"/>
        </w:rPr>
      </w:pPr>
    </w:p>
    <w:p w:rsidR="00D10356" w:rsidRPr="00DB75E3" w:rsidRDefault="00DB75E3" w:rsidP="00A120EA">
      <w:pPr>
        <w:tabs>
          <w:tab w:val="left" w:pos="426"/>
        </w:tabs>
        <w:ind w:left="426"/>
        <w:jc w:val="both"/>
        <w:rPr>
          <w:rFonts w:ascii="Arial" w:hAnsi="Arial" w:cs="Arial"/>
          <w:b/>
          <w:szCs w:val="24"/>
        </w:rPr>
      </w:pPr>
      <w:r w:rsidRPr="00DB75E3">
        <w:rPr>
          <w:rFonts w:ascii="Arial" w:hAnsi="Arial" w:cs="Arial"/>
          <w:b/>
          <w:szCs w:val="24"/>
        </w:rPr>
        <w:t>Shirley E Corlett (Mrs) MSc, MCSI</w:t>
      </w:r>
    </w:p>
    <w:p w:rsidR="00D10356" w:rsidRPr="00DB75E3" w:rsidRDefault="00DB75E3" w:rsidP="00A120EA">
      <w:pPr>
        <w:tabs>
          <w:tab w:val="left" w:pos="426"/>
        </w:tabs>
        <w:ind w:left="426"/>
        <w:jc w:val="both"/>
        <w:rPr>
          <w:rFonts w:ascii="Arial" w:hAnsi="Arial" w:cs="Arial"/>
          <w:b/>
          <w:szCs w:val="24"/>
        </w:rPr>
      </w:pPr>
      <w:r w:rsidRPr="00DB75E3">
        <w:rPr>
          <w:rFonts w:ascii="Arial" w:hAnsi="Arial" w:cs="Arial"/>
          <w:b/>
          <w:szCs w:val="24"/>
        </w:rPr>
        <w:t xml:space="preserve">Deputy </w:t>
      </w:r>
      <w:r w:rsidR="00D10356" w:rsidRPr="00DB75E3">
        <w:rPr>
          <w:rFonts w:ascii="Arial" w:hAnsi="Arial" w:cs="Arial"/>
          <w:b/>
          <w:szCs w:val="24"/>
        </w:rPr>
        <w:t>Director – Policy</w:t>
      </w:r>
      <w:r w:rsidR="002861CD">
        <w:rPr>
          <w:rFonts w:ascii="Arial" w:hAnsi="Arial" w:cs="Arial"/>
          <w:b/>
          <w:szCs w:val="24"/>
        </w:rPr>
        <w:t xml:space="preserve">, </w:t>
      </w:r>
      <w:r w:rsidR="00D10356" w:rsidRPr="00DB75E3">
        <w:rPr>
          <w:rFonts w:ascii="Arial" w:hAnsi="Arial" w:cs="Arial"/>
          <w:b/>
          <w:szCs w:val="24"/>
        </w:rPr>
        <w:t>Policy and Legal Division</w:t>
      </w:r>
    </w:p>
    <w:sectPr w:rsidR="00D10356" w:rsidRPr="00DB75E3" w:rsidSect="007E55F6">
      <w:footerReference w:type="default" r:id="rId12"/>
      <w:pgSz w:w="11909" w:h="16834" w:code="9"/>
      <w:pgMar w:top="864" w:right="864" w:bottom="1253" w:left="864" w:header="709" w:footer="0" w:gutter="0"/>
      <w:paperSrc w:first="1271" w:other="1273"/>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288" w:rsidRDefault="00953288">
      <w:r>
        <w:separator/>
      </w:r>
    </w:p>
  </w:endnote>
  <w:endnote w:type="continuationSeparator" w:id="0">
    <w:p w:rsidR="00953288" w:rsidRDefault="009532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w:altName w:val="Gill Sans MT"/>
    <w:charset w:val="00"/>
    <w:family w:val="swiss"/>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101" w:type="dxa"/>
      <w:tblLook w:val="04A0"/>
    </w:tblPr>
    <w:tblGrid>
      <w:gridCol w:w="3402"/>
      <w:gridCol w:w="1275"/>
      <w:gridCol w:w="3828"/>
    </w:tblGrid>
    <w:tr w:rsidR="002861CD" w:rsidTr="002861CD">
      <w:trPr>
        <w:cantSplit/>
      </w:trPr>
      <w:tc>
        <w:tcPr>
          <w:tcW w:w="8505" w:type="dxa"/>
          <w:gridSpan w:val="3"/>
          <w:hideMark/>
        </w:tcPr>
        <w:p w:rsidR="002861CD" w:rsidRDefault="002861CD">
          <w:pPr>
            <w:pStyle w:val="Footer"/>
            <w:tabs>
              <w:tab w:val="left" w:pos="1985"/>
              <w:tab w:val="left" w:pos="6521"/>
            </w:tabs>
            <w:jc w:val="center"/>
            <w:rPr>
              <w:rFonts w:ascii="Gill Sans" w:hAnsi="Gill Sans"/>
              <w:b/>
              <w:bCs/>
              <w:smallCaps/>
              <w:spacing w:val="40"/>
              <w:sz w:val="16"/>
            </w:rPr>
          </w:pPr>
          <w:r>
            <w:rPr>
              <w:rFonts w:ascii="Gill Sans" w:hAnsi="Gill Sans"/>
              <w:b/>
              <w:bCs/>
              <w:smallCaps/>
              <w:spacing w:val="40"/>
              <w:sz w:val="16"/>
            </w:rPr>
            <w:t>POLICY AND LEGAL DIVISION</w:t>
          </w:r>
        </w:p>
      </w:tc>
    </w:tr>
    <w:tr w:rsidR="002861CD" w:rsidTr="002861CD">
      <w:tc>
        <w:tcPr>
          <w:tcW w:w="3402" w:type="dxa"/>
        </w:tcPr>
        <w:p w:rsidR="002861CD" w:rsidRDefault="002861CD">
          <w:pPr>
            <w:pStyle w:val="Footer"/>
            <w:tabs>
              <w:tab w:val="left" w:pos="1985"/>
              <w:tab w:val="left" w:pos="6521"/>
            </w:tabs>
            <w:rPr>
              <w:rFonts w:ascii="Gill Sans" w:hAnsi="Gill Sans"/>
              <w:sz w:val="16"/>
            </w:rPr>
          </w:pPr>
        </w:p>
      </w:tc>
      <w:tc>
        <w:tcPr>
          <w:tcW w:w="1275" w:type="dxa"/>
        </w:tcPr>
        <w:p w:rsidR="002861CD" w:rsidRDefault="002861CD">
          <w:pPr>
            <w:pStyle w:val="Footer"/>
            <w:tabs>
              <w:tab w:val="left" w:pos="1985"/>
              <w:tab w:val="left" w:pos="6521"/>
            </w:tabs>
            <w:jc w:val="center"/>
            <w:rPr>
              <w:rFonts w:ascii="Gill Sans" w:hAnsi="Gill Sans"/>
              <w:sz w:val="16"/>
            </w:rPr>
          </w:pPr>
        </w:p>
      </w:tc>
      <w:tc>
        <w:tcPr>
          <w:tcW w:w="3828" w:type="dxa"/>
        </w:tcPr>
        <w:p w:rsidR="002861CD" w:rsidRDefault="002861CD">
          <w:pPr>
            <w:pStyle w:val="Footer"/>
            <w:tabs>
              <w:tab w:val="left" w:pos="1985"/>
              <w:tab w:val="left" w:pos="6521"/>
            </w:tabs>
            <w:rPr>
              <w:rFonts w:ascii="Gill Sans" w:hAnsi="Gill Sans"/>
              <w:sz w:val="16"/>
            </w:rPr>
          </w:pPr>
        </w:p>
      </w:tc>
    </w:tr>
    <w:tr w:rsidR="002861CD" w:rsidTr="002861CD">
      <w:tc>
        <w:tcPr>
          <w:tcW w:w="3402" w:type="dxa"/>
          <w:hideMark/>
        </w:tcPr>
        <w:p w:rsidR="002861CD" w:rsidRDefault="002861CD">
          <w:pPr>
            <w:pStyle w:val="Footer"/>
            <w:tabs>
              <w:tab w:val="left" w:pos="1985"/>
              <w:tab w:val="left" w:pos="6521"/>
            </w:tabs>
            <w:rPr>
              <w:rFonts w:ascii="Gill Sans" w:hAnsi="Gill Sans"/>
              <w:sz w:val="16"/>
            </w:rPr>
          </w:pPr>
          <w:r>
            <w:rPr>
              <w:rFonts w:ascii="Gill Sans" w:hAnsi="Gill Sans"/>
              <w:sz w:val="16"/>
            </w:rPr>
            <w:t xml:space="preserve">                     Telephone:   +44 (0) 1624 689300</w:t>
          </w:r>
        </w:p>
      </w:tc>
      <w:tc>
        <w:tcPr>
          <w:tcW w:w="1275" w:type="dxa"/>
          <w:hideMark/>
        </w:tcPr>
        <w:p w:rsidR="002861CD" w:rsidRDefault="002861CD">
          <w:pPr>
            <w:pStyle w:val="Footer"/>
            <w:tabs>
              <w:tab w:val="left" w:pos="1985"/>
              <w:tab w:val="left" w:pos="6521"/>
            </w:tabs>
            <w:jc w:val="center"/>
            <w:rPr>
              <w:rFonts w:ascii="Gill Sans" w:hAnsi="Gill Sans"/>
              <w:sz w:val="16"/>
            </w:rPr>
          </w:pPr>
          <w:r>
            <w:rPr>
              <w:rFonts w:ascii="Gill Sans" w:hAnsi="Gill Sans"/>
              <w:sz w:val="16"/>
            </w:rPr>
            <w:sym w:font="Wingdings" w:char="0077"/>
          </w:r>
        </w:p>
      </w:tc>
      <w:tc>
        <w:tcPr>
          <w:tcW w:w="3828" w:type="dxa"/>
          <w:hideMark/>
        </w:tcPr>
        <w:p w:rsidR="002861CD" w:rsidRDefault="002861CD">
          <w:pPr>
            <w:pStyle w:val="Footer"/>
            <w:tabs>
              <w:tab w:val="left" w:pos="1985"/>
              <w:tab w:val="left" w:pos="6521"/>
            </w:tabs>
            <w:rPr>
              <w:rFonts w:ascii="Gill Sans" w:hAnsi="Gill Sans"/>
              <w:sz w:val="16"/>
            </w:rPr>
          </w:pPr>
          <w:r>
            <w:rPr>
              <w:rFonts w:ascii="Gill Sans" w:hAnsi="Gill Sans"/>
              <w:sz w:val="16"/>
            </w:rPr>
            <w:t>Facsimile:   +44 (0) 1624 689398</w:t>
          </w:r>
        </w:p>
      </w:tc>
    </w:tr>
    <w:tr w:rsidR="002861CD" w:rsidTr="002861CD">
      <w:tc>
        <w:tcPr>
          <w:tcW w:w="3402" w:type="dxa"/>
          <w:hideMark/>
        </w:tcPr>
        <w:p w:rsidR="002861CD" w:rsidRDefault="002861CD" w:rsidP="002861CD">
          <w:pPr>
            <w:pStyle w:val="Footer"/>
            <w:tabs>
              <w:tab w:val="left" w:pos="1985"/>
              <w:tab w:val="left" w:pos="6521"/>
            </w:tabs>
            <w:rPr>
              <w:rFonts w:ascii="Gill Sans" w:hAnsi="Gill Sans"/>
              <w:sz w:val="16"/>
            </w:rPr>
          </w:pPr>
          <w:r>
            <w:rPr>
              <w:rFonts w:ascii="Gill Sans" w:hAnsi="Gill Sans"/>
              <w:sz w:val="16"/>
            </w:rPr>
            <w:t xml:space="preserve">                     Direct Line:  +44 (0) 1624 689323</w:t>
          </w:r>
        </w:p>
      </w:tc>
      <w:tc>
        <w:tcPr>
          <w:tcW w:w="1275" w:type="dxa"/>
          <w:hideMark/>
        </w:tcPr>
        <w:p w:rsidR="002861CD" w:rsidRDefault="002861CD">
          <w:pPr>
            <w:pStyle w:val="Footer"/>
            <w:tabs>
              <w:tab w:val="left" w:pos="1985"/>
              <w:tab w:val="left" w:pos="6521"/>
            </w:tabs>
            <w:jc w:val="center"/>
            <w:rPr>
              <w:rFonts w:ascii="Gill Sans" w:hAnsi="Gill Sans"/>
              <w:sz w:val="16"/>
            </w:rPr>
          </w:pPr>
          <w:r>
            <w:rPr>
              <w:rFonts w:ascii="Gill Sans" w:hAnsi="Gill Sans"/>
              <w:sz w:val="16"/>
            </w:rPr>
            <w:sym w:font="Wingdings" w:char="0077"/>
          </w:r>
        </w:p>
      </w:tc>
      <w:tc>
        <w:tcPr>
          <w:tcW w:w="3828" w:type="dxa"/>
          <w:hideMark/>
        </w:tcPr>
        <w:p w:rsidR="002861CD" w:rsidRDefault="002861CD" w:rsidP="002861CD">
          <w:pPr>
            <w:pStyle w:val="Footer"/>
            <w:tabs>
              <w:tab w:val="left" w:pos="702"/>
              <w:tab w:val="left" w:pos="1309"/>
              <w:tab w:val="left" w:pos="1985"/>
              <w:tab w:val="left" w:pos="6521"/>
            </w:tabs>
            <w:rPr>
              <w:rFonts w:ascii="Gill Sans" w:hAnsi="Gill Sans"/>
              <w:sz w:val="16"/>
            </w:rPr>
          </w:pPr>
          <w:r>
            <w:rPr>
              <w:rFonts w:ascii="Gill Sans" w:hAnsi="Gill Sans"/>
              <w:sz w:val="16"/>
            </w:rPr>
            <w:t>E-mail:       shirley.corlett@fsc.gov.im</w:t>
          </w:r>
        </w:p>
      </w:tc>
    </w:tr>
    <w:tr w:rsidR="002861CD" w:rsidTr="002861CD">
      <w:trPr>
        <w:cantSplit/>
      </w:trPr>
      <w:tc>
        <w:tcPr>
          <w:tcW w:w="8505" w:type="dxa"/>
          <w:gridSpan w:val="3"/>
        </w:tcPr>
        <w:p w:rsidR="002861CD" w:rsidRDefault="002861CD">
          <w:pPr>
            <w:pStyle w:val="Footer"/>
            <w:tabs>
              <w:tab w:val="left" w:pos="1985"/>
              <w:tab w:val="left" w:pos="6521"/>
            </w:tabs>
            <w:jc w:val="center"/>
            <w:rPr>
              <w:rFonts w:ascii="Gill Sans" w:hAnsi="Gill Sans"/>
              <w:sz w:val="16"/>
            </w:rPr>
          </w:pPr>
        </w:p>
        <w:p w:rsidR="002861CD" w:rsidRDefault="002861CD">
          <w:pPr>
            <w:pStyle w:val="Footer"/>
            <w:tabs>
              <w:tab w:val="left" w:pos="1985"/>
              <w:tab w:val="left" w:pos="6521"/>
            </w:tabs>
            <w:jc w:val="center"/>
            <w:rPr>
              <w:rFonts w:ascii="Gill Sans" w:hAnsi="Gill Sans"/>
              <w:sz w:val="16"/>
            </w:rPr>
          </w:pPr>
          <w:r>
            <w:rPr>
              <w:rFonts w:ascii="Gill Sans" w:hAnsi="Gill Sans"/>
              <w:sz w:val="16"/>
            </w:rPr>
            <w:t>Website:  http://www.fsc.gov.im</w:t>
          </w:r>
        </w:p>
      </w:tc>
    </w:tr>
    <w:tr w:rsidR="002861CD" w:rsidTr="002861CD">
      <w:trPr>
        <w:cantSplit/>
      </w:trPr>
      <w:tc>
        <w:tcPr>
          <w:tcW w:w="8505" w:type="dxa"/>
          <w:gridSpan w:val="3"/>
        </w:tcPr>
        <w:p w:rsidR="002861CD" w:rsidRDefault="002861CD">
          <w:pPr>
            <w:pStyle w:val="Footer"/>
            <w:tabs>
              <w:tab w:val="left" w:pos="1985"/>
              <w:tab w:val="left" w:pos="6521"/>
            </w:tabs>
            <w:jc w:val="center"/>
            <w:rPr>
              <w:rFonts w:ascii="Gill Sans" w:hAnsi="Gill Sans"/>
              <w:sz w:val="16"/>
            </w:rPr>
          </w:pPr>
        </w:p>
      </w:tc>
    </w:tr>
  </w:tbl>
  <w:p w:rsidR="00953288" w:rsidRDefault="00953288">
    <w:pPr>
      <w:pStyle w:val="Footer"/>
      <w:tabs>
        <w:tab w:val="left" w:pos="1985"/>
        <w:tab w:val="left" w:pos="652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288" w:rsidRDefault="00953288">
      <w:r>
        <w:separator/>
      </w:r>
    </w:p>
  </w:footnote>
  <w:footnote w:type="continuationSeparator" w:id="0">
    <w:p w:rsidR="00953288" w:rsidRDefault="009532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D5C79"/>
    <w:multiLevelType w:val="hybridMultilevel"/>
    <w:tmpl w:val="51ACAF98"/>
    <w:lvl w:ilvl="0" w:tplc="4A80792E">
      <w:start w:val="3"/>
      <w:numFmt w:val="decimal"/>
      <w:lvlText w:val="%1."/>
      <w:lvlJc w:val="left"/>
      <w:pPr>
        <w:ind w:left="1374" w:hanging="360"/>
      </w:pPr>
      <w:rPr>
        <w:rFonts w:hint="default"/>
      </w:rPr>
    </w:lvl>
    <w:lvl w:ilvl="1" w:tplc="08090019" w:tentative="1">
      <w:start w:val="1"/>
      <w:numFmt w:val="lowerLetter"/>
      <w:lvlText w:val="%2."/>
      <w:lvlJc w:val="left"/>
      <w:pPr>
        <w:ind w:left="2094" w:hanging="360"/>
      </w:pPr>
    </w:lvl>
    <w:lvl w:ilvl="2" w:tplc="0809001B" w:tentative="1">
      <w:start w:val="1"/>
      <w:numFmt w:val="lowerRoman"/>
      <w:lvlText w:val="%3."/>
      <w:lvlJc w:val="right"/>
      <w:pPr>
        <w:ind w:left="2814" w:hanging="180"/>
      </w:pPr>
    </w:lvl>
    <w:lvl w:ilvl="3" w:tplc="0809000F" w:tentative="1">
      <w:start w:val="1"/>
      <w:numFmt w:val="decimal"/>
      <w:lvlText w:val="%4."/>
      <w:lvlJc w:val="left"/>
      <w:pPr>
        <w:ind w:left="3534" w:hanging="360"/>
      </w:pPr>
    </w:lvl>
    <w:lvl w:ilvl="4" w:tplc="08090019" w:tentative="1">
      <w:start w:val="1"/>
      <w:numFmt w:val="lowerLetter"/>
      <w:lvlText w:val="%5."/>
      <w:lvlJc w:val="left"/>
      <w:pPr>
        <w:ind w:left="4254" w:hanging="360"/>
      </w:pPr>
    </w:lvl>
    <w:lvl w:ilvl="5" w:tplc="0809001B" w:tentative="1">
      <w:start w:val="1"/>
      <w:numFmt w:val="lowerRoman"/>
      <w:lvlText w:val="%6."/>
      <w:lvlJc w:val="right"/>
      <w:pPr>
        <w:ind w:left="4974" w:hanging="180"/>
      </w:pPr>
    </w:lvl>
    <w:lvl w:ilvl="6" w:tplc="0809000F" w:tentative="1">
      <w:start w:val="1"/>
      <w:numFmt w:val="decimal"/>
      <w:lvlText w:val="%7."/>
      <w:lvlJc w:val="left"/>
      <w:pPr>
        <w:ind w:left="5694" w:hanging="360"/>
      </w:pPr>
    </w:lvl>
    <w:lvl w:ilvl="7" w:tplc="08090019" w:tentative="1">
      <w:start w:val="1"/>
      <w:numFmt w:val="lowerLetter"/>
      <w:lvlText w:val="%8."/>
      <w:lvlJc w:val="left"/>
      <w:pPr>
        <w:ind w:left="6414" w:hanging="360"/>
      </w:pPr>
    </w:lvl>
    <w:lvl w:ilvl="8" w:tplc="0809001B" w:tentative="1">
      <w:start w:val="1"/>
      <w:numFmt w:val="lowerRoman"/>
      <w:lvlText w:val="%9."/>
      <w:lvlJc w:val="right"/>
      <w:pPr>
        <w:ind w:left="7134" w:hanging="180"/>
      </w:pPr>
    </w:lvl>
  </w:abstractNum>
  <w:abstractNum w:abstractNumId="1">
    <w:nsid w:val="2C76556D"/>
    <w:multiLevelType w:val="hybridMultilevel"/>
    <w:tmpl w:val="F69C4DF0"/>
    <w:lvl w:ilvl="0" w:tplc="A5563CA8">
      <w:start w:val="1"/>
      <w:numFmt w:val="decimal"/>
      <w:lvlText w:val="%1."/>
      <w:lvlJc w:val="left"/>
      <w:pPr>
        <w:ind w:left="137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455AD3"/>
    <w:multiLevelType w:val="hybridMultilevel"/>
    <w:tmpl w:val="31A840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415C1F38"/>
    <w:multiLevelType w:val="hybridMultilevel"/>
    <w:tmpl w:val="9B488172"/>
    <w:lvl w:ilvl="0" w:tplc="7402D082">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595726AC"/>
    <w:multiLevelType w:val="hybridMultilevel"/>
    <w:tmpl w:val="C088A8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612D3DF1"/>
    <w:multiLevelType w:val="hybridMultilevel"/>
    <w:tmpl w:val="72882C9C"/>
    <w:lvl w:ilvl="0" w:tplc="A5563CA8">
      <w:start w:val="1"/>
      <w:numFmt w:val="decimal"/>
      <w:lvlText w:val="%1."/>
      <w:lvlJc w:val="left"/>
      <w:pPr>
        <w:ind w:left="1374" w:hanging="360"/>
      </w:pPr>
      <w:rPr>
        <w:rFonts w:hint="default"/>
      </w:rPr>
    </w:lvl>
    <w:lvl w:ilvl="1" w:tplc="08090019">
      <w:start w:val="1"/>
      <w:numFmt w:val="lowerLetter"/>
      <w:lvlText w:val="%2."/>
      <w:lvlJc w:val="left"/>
      <w:pPr>
        <w:ind w:left="2094" w:hanging="360"/>
      </w:pPr>
    </w:lvl>
    <w:lvl w:ilvl="2" w:tplc="0809001B" w:tentative="1">
      <w:start w:val="1"/>
      <w:numFmt w:val="lowerRoman"/>
      <w:lvlText w:val="%3."/>
      <w:lvlJc w:val="right"/>
      <w:pPr>
        <w:ind w:left="2814" w:hanging="180"/>
      </w:pPr>
    </w:lvl>
    <w:lvl w:ilvl="3" w:tplc="0809000F" w:tentative="1">
      <w:start w:val="1"/>
      <w:numFmt w:val="decimal"/>
      <w:lvlText w:val="%4."/>
      <w:lvlJc w:val="left"/>
      <w:pPr>
        <w:ind w:left="3534" w:hanging="360"/>
      </w:pPr>
    </w:lvl>
    <w:lvl w:ilvl="4" w:tplc="08090019" w:tentative="1">
      <w:start w:val="1"/>
      <w:numFmt w:val="lowerLetter"/>
      <w:lvlText w:val="%5."/>
      <w:lvlJc w:val="left"/>
      <w:pPr>
        <w:ind w:left="4254" w:hanging="360"/>
      </w:pPr>
    </w:lvl>
    <w:lvl w:ilvl="5" w:tplc="0809001B" w:tentative="1">
      <w:start w:val="1"/>
      <w:numFmt w:val="lowerRoman"/>
      <w:lvlText w:val="%6."/>
      <w:lvlJc w:val="right"/>
      <w:pPr>
        <w:ind w:left="4974" w:hanging="180"/>
      </w:pPr>
    </w:lvl>
    <w:lvl w:ilvl="6" w:tplc="0809000F" w:tentative="1">
      <w:start w:val="1"/>
      <w:numFmt w:val="decimal"/>
      <w:lvlText w:val="%7."/>
      <w:lvlJc w:val="left"/>
      <w:pPr>
        <w:ind w:left="5694" w:hanging="360"/>
      </w:pPr>
    </w:lvl>
    <w:lvl w:ilvl="7" w:tplc="08090019" w:tentative="1">
      <w:start w:val="1"/>
      <w:numFmt w:val="lowerLetter"/>
      <w:lvlText w:val="%8."/>
      <w:lvlJc w:val="left"/>
      <w:pPr>
        <w:ind w:left="6414" w:hanging="360"/>
      </w:pPr>
    </w:lvl>
    <w:lvl w:ilvl="8" w:tplc="0809001B" w:tentative="1">
      <w:start w:val="1"/>
      <w:numFmt w:val="lowerRoman"/>
      <w:lvlText w:val="%9."/>
      <w:lvlJc w:val="right"/>
      <w:pPr>
        <w:ind w:left="7134" w:hanging="180"/>
      </w:pPr>
    </w:lvl>
  </w:abstractNum>
  <w:abstractNum w:abstractNumId="6">
    <w:nsid w:val="7A392EA9"/>
    <w:multiLevelType w:val="hybridMultilevel"/>
    <w:tmpl w:val="7564E3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mailMerge>
    <w:mainDocumentType w:val="formLetters"/>
    <w:linkToQuery/>
    <w:dataType w:val="textFile"/>
    <w:connectString w:val=""/>
    <w:query w:val="SELECT * FROM C:\windows\TEMP\OMM12.doc"/>
    <w:odso/>
  </w:mailMerge>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4">
      <o:colormenu v:ext="edit" strokecolor="white"/>
    </o:shapedefaults>
  </w:hdrShapeDefaults>
  <w:footnotePr>
    <w:footnote w:id="-1"/>
    <w:footnote w:id="0"/>
  </w:footnotePr>
  <w:endnotePr>
    <w:endnote w:id="-1"/>
    <w:endnote w:id="0"/>
  </w:endnotePr>
  <w:compat>
    <w:spaceForUL/>
    <w:balanceSingleByteDoubleByteWidth/>
    <w:doNotLeaveBackslashAlone/>
    <w:ulTrailSpace/>
    <w:doNotExpandShiftReturn/>
  </w:compat>
  <w:rsids>
    <w:rsidRoot w:val="008D3AA6"/>
    <w:rsid w:val="000240C4"/>
    <w:rsid w:val="000A4F90"/>
    <w:rsid w:val="000A6C99"/>
    <w:rsid w:val="00107308"/>
    <w:rsid w:val="00132F12"/>
    <w:rsid w:val="001572FA"/>
    <w:rsid w:val="001D5B18"/>
    <w:rsid w:val="001F494C"/>
    <w:rsid w:val="002861CD"/>
    <w:rsid w:val="002C0C0D"/>
    <w:rsid w:val="002C13E6"/>
    <w:rsid w:val="00375091"/>
    <w:rsid w:val="00434910"/>
    <w:rsid w:val="00443F7D"/>
    <w:rsid w:val="00510B2D"/>
    <w:rsid w:val="0058223A"/>
    <w:rsid w:val="005B1504"/>
    <w:rsid w:val="005D300E"/>
    <w:rsid w:val="005F5B35"/>
    <w:rsid w:val="00641B53"/>
    <w:rsid w:val="00672AB8"/>
    <w:rsid w:val="006854C0"/>
    <w:rsid w:val="006B2393"/>
    <w:rsid w:val="006B35FF"/>
    <w:rsid w:val="006C01BC"/>
    <w:rsid w:val="007159ED"/>
    <w:rsid w:val="007770B2"/>
    <w:rsid w:val="0079641C"/>
    <w:rsid w:val="007C38D5"/>
    <w:rsid w:val="007E55F6"/>
    <w:rsid w:val="00825C89"/>
    <w:rsid w:val="008441DF"/>
    <w:rsid w:val="00882ECF"/>
    <w:rsid w:val="00896AA1"/>
    <w:rsid w:val="008D01F4"/>
    <w:rsid w:val="008D3AA6"/>
    <w:rsid w:val="00911D45"/>
    <w:rsid w:val="00953288"/>
    <w:rsid w:val="0097247B"/>
    <w:rsid w:val="00995672"/>
    <w:rsid w:val="00A120EA"/>
    <w:rsid w:val="00A134F2"/>
    <w:rsid w:val="00A32FA2"/>
    <w:rsid w:val="00A3484F"/>
    <w:rsid w:val="00A77C4D"/>
    <w:rsid w:val="00A8221A"/>
    <w:rsid w:val="00AA156E"/>
    <w:rsid w:val="00AC0BD1"/>
    <w:rsid w:val="00B728CF"/>
    <w:rsid w:val="00B73C96"/>
    <w:rsid w:val="00BC6DB7"/>
    <w:rsid w:val="00BD375D"/>
    <w:rsid w:val="00CA7AA3"/>
    <w:rsid w:val="00CE2800"/>
    <w:rsid w:val="00D10356"/>
    <w:rsid w:val="00D24361"/>
    <w:rsid w:val="00D37CEA"/>
    <w:rsid w:val="00DB75E3"/>
    <w:rsid w:val="00DE3512"/>
    <w:rsid w:val="00E41CD5"/>
    <w:rsid w:val="00E42710"/>
    <w:rsid w:val="00ED3BAE"/>
    <w:rsid w:val="00F152FF"/>
    <w:rsid w:val="00F37027"/>
    <w:rsid w:val="00F71F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enu v:ext="edit" stroke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2AB8"/>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2AB8"/>
    <w:pPr>
      <w:tabs>
        <w:tab w:val="center" w:pos="4153"/>
        <w:tab w:val="right" w:pos="8306"/>
      </w:tabs>
    </w:pPr>
  </w:style>
  <w:style w:type="paragraph" w:styleId="Footer">
    <w:name w:val="footer"/>
    <w:basedOn w:val="Normal"/>
    <w:link w:val="FooterChar"/>
    <w:rsid w:val="00672AB8"/>
    <w:pPr>
      <w:tabs>
        <w:tab w:val="center" w:pos="4153"/>
        <w:tab w:val="right" w:pos="8306"/>
      </w:tabs>
    </w:pPr>
  </w:style>
  <w:style w:type="paragraph" w:customStyle="1" w:styleId="LetterText">
    <w:name w:val="Letter Text"/>
    <w:basedOn w:val="Normal"/>
    <w:rsid w:val="00672AB8"/>
    <w:pPr>
      <w:jc w:val="both"/>
    </w:pPr>
  </w:style>
  <w:style w:type="paragraph" w:styleId="Caption">
    <w:name w:val="caption"/>
    <w:basedOn w:val="Normal"/>
    <w:next w:val="Normal"/>
    <w:qFormat/>
    <w:rsid w:val="00672AB8"/>
    <w:pPr>
      <w:framePr w:w="5937" w:h="2285" w:hRule="exact" w:hSpace="288" w:wrap="around" w:vAnchor="page" w:hAnchor="page" w:x="859" w:y="2585" w:anchorLock="1"/>
    </w:pPr>
    <w:rPr>
      <w:rFonts w:ascii="Verdana" w:hAnsi="Verdana"/>
      <w:b/>
      <w:bCs/>
    </w:rPr>
  </w:style>
  <w:style w:type="paragraph" w:styleId="ListParagraph">
    <w:name w:val="List Paragraph"/>
    <w:basedOn w:val="Normal"/>
    <w:uiPriority w:val="34"/>
    <w:qFormat/>
    <w:rsid w:val="00443F7D"/>
    <w:pPr>
      <w:ind w:left="720"/>
    </w:pPr>
  </w:style>
  <w:style w:type="table" w:styleId="TableGrid">
    <w:name w:val="Table Grid"/>
    <w:basedOn w:val="TableNormal"/>
    <w:rsid w:val="00132F12"/>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B728CF"/>
    <w:rPr>
      <w:sz w:val="16"/>
      <w:szCs w:val="16"/>
    </w:rPr>
  </w:style>
  <w:style w:type="paragraph" w:styleId="CommentText">
    <w:name w:val="annotation text"/>
    <w:basedOn w:val="Normal"/>
    <w:link w:val="CommentTextChar"/>
    <w:rsid w:val="00B728CF"/>
    <w:rPr>
      <w:sz w:val="20"/>
    </w:rPr>
  </w:style>
  <w:style w:type="character" w:customStyle="1" w:styleId="CommentTextChar">
    <w:name w:val="Comment Text Char"/>
    <w:basedOn w:val="DefaultParagraphFont"/>
    <w:link w:val="CommentText"/>
    <w:rsid w:val="00B728CF"/>
    <w:rPr>
      <w:lang w:eastAsia="en-US"/>
    </w:rPr>
  </w:style>
  <w:style w:type="paragraph" w:styleId="CommentSubject">
    <w:name w:val="annotation subject"/>
    <w:basedOn w:val="CommentText"/>
    <w:next w:val="CommentText"/>
    <w:link w:val="CommentSubjectChar"/>
    <w:rsid w:val="00B728CF"/>
    <w:rPr>
      <w:b/>
      <w:bCs/>
    </w:rPr>
  </w:style>
  <w:style w:type="character" w:customStyle="1" w:styleId="CommentSubjectChar">
    <w:name w:val="Comment Subject Char"/>
    <w:basedOn w:val="CommentTextChar"/>
    <w:link w:val="CommentSubject"/>
    <w:rsid w:val="00B728CF"/>
    <w:rPr>
      <w:b/>
      <w:bCs/>
    </w:rPr>
  </w:style>
  <w:style w:type="paragraph" w:styleId="BalloonText">
    <w:name w:val="Balloon Text"/>
    <w:basedOn w:val="Normal"/>
    <w:link w:val="BalloonTextChar"/>
    <w:rsid w:val="00B728CF"/>
    <w:rPr>
      <w:rFonts w:ascii="Tahoma" w:hAnsi="Tahoma" w:cs="Tahoma"/>
      <w:sz w:val="16"/>
      <w:szCs w:val="16"/>
    </w:rPr>
  </w:style>
  <w:style w:type="character" w:customStyle="1" w:styleId="BalloonTextChar">
    <w:name w:val="Balloon Text Char"/>
    <w:basedOn w:val="DefaultParagraphFont"/>
    <w:link w:val="BalloonText"/>
    <w:rsid w:val="00B728CF"/>
    <w:rPr>
      <w:rFonts w:ascii="Tahoma" w:hAnsi="Tahoma" w:cs="Tahoma"/>
      <w:sz w:val="16"/>
      <w:szCs w:val="16"/>
      <w:lang w:eastAsia="en-US"/>
    </w:rPr>
  </w:style>
  <w:style w:type="character" w:customStyle="1" w:styleId="FooterChar">
    <w:name w:val="Footer Char"/>
    <w:basedOn w:val="DefaultParagraphFont"/>
    <w:link w:val="Footer"/>
    <w:rsid w:val="002861CD"/>
    <w:rPr>
      <w:sz w:val="24"/>
      <w:lang w:eastAsia="en-US"/>
    </w:rPr>
  </w:style>
</w:styles>
</file>

<file path=word/webSettings.xml><?xml version="1.0" encoding="utf-8"?>
<w:webSettings xmlns:r="http://schemas.openxmlformats.org/officeDocument/2006/relationships" xmlns:w="http://schemas.openxmlformats.org/wordprocessingml/2006/main">
  <w:divs>
    <w:div w:id="716589002">
      <w:bodyDiv w:val="1"/>
      <w:marLeft w:val="0"/>
      <w:marRight w:val="0"/>
      <w:marTop w:val="0"/>
      <w:marBottom w:val="0"/>
      <w:divBdr>
        <w:top w:val="none" w:sz="0" w:space="0" w:color="auto"/>
        <w:left w:val="none" w:sz="0" w:space="0" w:color="auto"/>
        <w:bottom w:val="none" w:sz="0" w:space="0" w:color="auto"/>
        <w:right w:val="none" w:sz="0" w:space="0" w:color="auto"/>
      </w:divBdr>
    </w:div>
    <w:div w:id="94149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FSC_x0020_Project_x0020_Ref xmlns="18071b9a-3dc3-4c41-b116-4b73ffa5066e" xsi:nil="true"/>
    <Document_x0020_Description xmlns="ad37486b-a60d-4b51-a192-f59f680e9251">Consultation response to ESMA re AIFMD 28.01.13</Document_x0020_Description>
    <Document_x0020_Owner xmlns="ad37486b-a60d-4b51-a192-f59f680e9251">
      <UserInfo>
        <DisplayName>Corlett, Shirley</DisplayName>
        <AccountId>29</AccountId>
        <AccountType/>
      </UserInfo>
    </Document_x0020_Owner>
    <Date xmlns="18071b9a-3dc3-4c41-b116-4b73ffa5066e">2012-03-21T00:00:00+00:00</Date>
    <FSC_x0020_Divisions xmlns="18071b9a-3dc3-4c41-b116-4b73ffa5066e">Policy &amp; Legal</FSC_x0020_Divisions>
  </documentManagement>
</p:properties>
</file>

<file path=customXml/item5.xml><?xml version="1.0" encoding="utf-8"?>
<ct:contentTypeSchema xmlns:ct="http://schemas.microsoft.com/office/2006/metadata/contentType" xmlns:ma="http://schemas.microsoft.com/office/2006/metadata/properties/metaAttributes" ct:_="" ma:_="" ma:contentTypeName="FSC Consultation" ma:contentTypeID="0x010100F40A5BA6B03D224EB29D6CD42BE1634903EC2600B78E4B8C13AFB94189BC9EFC2E206EC4" ma:contentTypeVersion="27" ma:contentTypeDescription="" ma:contentTypeScope="" ma:versionID="9f6224cccb05868a9cf7884829e7d29c">
  <xsd:schema xmlns:xsd="http://www.w3.org/2001/XMLSchema" xmlns:p="http://schemas.microsoft.com/office/2006/metadata/properties" xmlns:ns2="ad37486b-a60d-4b51-a192-f59f680e9251" xmlns:ns3="18071b9a-3dc3-4c41-b116-4b73ffa5066e" targetNamespace="http://schemas.microsoft.com/office/2006/metadata/properties" ma:root="true" ma:fieldsID="9ca05655bbf8de5d1dfa4f8705cfd118" ns2:_="" ns3:_="">
    <xsd:import namespace="ad37486b-a60d-4b51-a192-f59f680e9251"/>
    <xsd:import namespace="18071b9a-3dc3-4c41-b116-4b73ffa5066e"/>
    <xsd:element name="properties">
      <xsd:complexType>
        <xsd:sequence>
          <xsd:element name="documentManagement">
            <xsd:complexType>
              <xsd:all>
                <xsd:element ref="ns2:Document_x0020_Description" minOccurs="0"/>
                <xsd:element ref="ns2:Document_x0020_Owner" minOccurs="0"/>
                <xsd:element ref="ns3:Date" minOccurs="0"/>
                <xsd:element ref="ns3:FSC_x0020_Divisions" minOccurs="0"/>
                <xsd:element ref="ns3:FSC_x0020_Project_x0020_Ref" minOccurs="0"/>
              </xsd:all>
            </xsd:complexType>
          </xsd:element>
        </xsd:sequence>
      </xsd:complexType>
    </xsd:element>
  </xsd:schema>
  <xsd:schema xmlns:xsd="http://www.w3.org/2001/XMLSchema" xmlns:dms="http://schemas.microsoft.com/office/2006/documentManagement/types" targetNamespace="ad37486b-a60d-4b51-a192-f59f680e9251" elementFormDefault="qualified">
    <xsd:import namespace="http://schemas.microsoft.com/office/2006/documentManagement/types"/>
    <xsd:element name="Document_x0020_Description" ma:index="8" nillable="true" ma:displayName="Document Description" ma:internalName="Document_x0020_Description">
      <xsd:simpleType>
        <xsd:restriction base="dms:Note"/>
      </xsd:simpleType>
    </xsd:element>
    <xsd:element name="Document_x0020_Owner" ma:index="9" nillable="true" ma:displayName="Document Owner" ma:list="UserInfo"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18071b9a-3dc3-4c41-b116-4b73ffa5066e" elementFormDefault="qualified">
    <xsd:import namespace="http://schemas.microsoft.com/office/2006/documentManagement/types"/>
    <xsd:element name="Date" ma:index="10" nillable="true" ma:displayName="Date" ma:format="DateOnly" ma:internalName="Date">
      <xsd:simpleType>
        <xsd:restriction base="dms:DateTime"/>
      </xsd:simpleType>
    </xsd:element>
    <xsd:element name="FSC_x0020_Divisions" ma:index="11" nillable="true" ma:displayName="FSC Divisions" ma:format="Dropdown" ma:internalName="FSC_x0020_Divisions">
      <xsd:simpleType>
        <xsd:restriction base="dms:Choice">
          <xsd:enumeration value="Authorisations"/>
          <xsd:enumeration value="CEO"/>
          <xsd:enumeration value="Enforcement"/>
          <xsd:enumeration value="Finance"/>
          <xsd:enumeration value="HR"/>
          <xsd:enumeration value="IT"/>
          <xsd:enumeration value="Operations"/>
          <xsd:enumeration value="Policy &amp; Legal"/>
          <xsd:enumeration value="Project Teams"/>
          <xsd:enumeration value="Supervision"/>
        </xsd:restriction>
      </xsd:simpleType>
    </xsd:element>
    <xsd:element name="FSC_x0020_Project_x0020_Ref" ma:index="12" nillable="true" ma:displayName="FSC Project Ref" ma:format="Dropdown" ma:internalName="FSC_x0020_Project_x0020_Ref">
      <xsd:simpleType>
        <xsd:restriction base="dms:Choice">
          <xsd:enumeration value="PRJ001"/>
          <xsd:enumeration value="PRJ002"/>
          <xsd:enumeration value="PRJ003"/>
          <xsd:enumeration value="PRJ004"/>
          <xsd:enumeration value="PRJ005"/>
          <xsd:enumeration value="PRJ006"/>
          <xsd:enumeration value="PRJ007"/>
          <xsd:enumeration value="PRJ008"/>
          <xsd:enumeration value="PRJ009"/>
          <xsd:enumeration value="PRJ010"/>
          <xsd:enumeration value="PRJ011"/>
          <xsd:enumeration value="PRJ012"/>
          <xsd:enumeration value="PRJ013"/>
          <xsd:enumeration value="PRJ014"/>
          <xsd:enumeration value="PRJ015"/>
          <xsd:enumeration value="PRJ016"/>
          <xsd:enumeration value="PRJ017"/>
          <xsd:enumeration value="PRJ018"/>
          <xsd:enumeration value="PRJ019"/>
          <xsd:enumeration value="PRJ020"/>
          <xsd:enumeration value="PRJ021"/>
          <xsd:enumeration value="PRJ022"/>
          <xsd:enumeration value="PRJ023"/>
          <xsd:enumeration value="PRJ024"/>
          <xsd:enumeration value="PRJ025"/>
          <xsd:enumeration value="PRJ026"/>
          <xsd:enumeration value="PRJ027"/>
          <xsd:enumeration value="PRJ028"/>
          <xsd:enumeration value="PRJ029"/>
          <xsd:enumeration value="PRJ0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F76EC5D-96B0-40A4-B239-3C5F00F99A8C}">
  <ds:schemaRefs>
    <ds:schemaRef ds:uri="http://schemas.microsoft.com/office/2006/metadata/customXsn"/>
  </ds:schemaRefs>
</ds:datastoreItem>
</file>

<file path=customXml/itemProps2.xml><?xml version="1.0" encoding="utf-8"?>
<ds:datastoreItem xmlns:ds="http://schemas.openxmlformats.org/officeDocument/2006/customXml" ds:itemID="{4274750A-E5F9-4EFE-B896-5658774D8F7A}">
  <ds:schemaRefs>
    <ds:schemaRef ds:uri="http://schemas.microsoft.com/office/2006/metadata/longProperties"/>
  </ds:schemaRefs>
</ds:datastoreItem>
</file>

<file path=customXml/itemProps3.xml><?xml version="1.0" encoding="utf-8"?>
<ds:datastoreItem xmlns:ds="http://schemas.openxmlformats.org/officeDocument/2006/customXml" ds:itemID="{7E1BAB79-BC91-43C5-B3A5-5B60D77FCDA4}">
  <ds:schemaRefs>
    <ds:schemaRef ds:uri="http://schemas.microsoft.com/sharepoint/v3/contenttype/forms"/>
  </ds:schemaRefs>
</ds:datastoreItem>
</file>

<file path=customXml/itemProps4.xml><?xml version="1.0" encoding="utf-8"?>
<ds:datastoreItem xmlns:ds="http://schemas.openxmlformats.org/officeDocument/2006/customXml" ds:itemID="{9B6EBC9A-1139-42D9-966B-ED0CC0DD717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ad37486b-a60d-4b51-a192-f59f680e9251"/>
    <ds:schemaRef ds:uri="18071b9a-3dc3-4c41-b116-4b73ffa5066e"/>
    <ds:schemaRef ds:uri="http://schemas.openxmlformats.org/package/2006/metadata/core-properties"/>
  </ds:schemaRefs>
</ds:datastoreItem>
</file>

<file path=customXml/itemProps5.xml><?xml version="1.0" encoding="utf-8"?>
<ds:datastoreItem xmlns:ds="http://schemas.openxmlformats.org/officeDocument/2006/customXml" ds:itemID="{D9798C1C-CE69-4BD9-9509-F0A016797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7486b-a60d-4b51-a192-f59f680e9251"/>
    <ds:schemaRef ds:uri="18071b9a-3dc3-4c41-b116-4b73ffa5066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606</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FSC Letter to ESMA re AIFMD consultation</vt:lpstr>
    </vt:vector>
  </TitlesOfParts>
  <Company>Isle of Man Government</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 Letter to ESMA re AIFMD consultation</dc:title>
  <dc:subject>AIFMD</dc:subject>
  <dc:creator>fssuscor</dc:creator>
  <cp:lastModifiedBy>fssuscor</cp:lastModifiedBy>
  <cp:revision>3</cp:revision>
  <cp:lastPrinted>2011-01-19T11:49:00Z</cp:lastPrinted>
  <dcterms:created xsi:type="dcterms:W3CDTF">2013-01-30T15:51:00Z</dcterms:created>
  <dcterms:modified xsi:type="dcterms:W3CDTF">2013-01-30T15:59:00Z</dcterms:modified>
  <cp:contentType>FSC Consultation</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escription">
    <vt:lpwstr>&lt;div&gt;&lt;/div&gt;</vt:lpwstr>
  </property>
  <property fmtid="{D5CDD505-2E9C-101B-9397-08002B2CF9AE}" pid="3" name="ContentType">
    <vt:lpwstr>FSC Letter</vt:lpwstr>
  </property>
  <property fmtid="{D5CDD505-2E9C-101B-9397-08002B2CF9AE}" pid="4" name="ContentTypeId">
    <vt:lpwstr>0x010100F40A5BA6B03D224EB29D6CD42BE1634903EC2600B78E4B8C13AFB94189BC9EFC2E206EC4</vt:lpwstr>
  </property>
  <property fmtid="{D5CDD505-2E9C-101B-9397-08002B2CF9AE}" pid="5" name="FSC Project Ref">
    <vt:lpwstr/>
  </property>
  <property fmtid="{D5CDD505-2E9C-101B-9397-08002B2CF9AE}" pid="6" name="Document Owner">
    <vt:lpwstr/>
  </property>
  <property fmtid="{D5CDD505-2E9C-101B-9397-08002B2CF9AE}" pid="7" name="Date">
    <vt:lpwstr/>
  </property>
</Properties>
</file>