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Default="00620D7C" w:rsidP="002777CA">
            <w:pPr>
              <w:pStyle w:val="02Date"/>
            </w:pPr>
            <w:r w:rsidRPr="00222D9B">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bookmarkStart w:id="1" w:name="_GoBack"/>
      <w:bookmarkEnd w:id="1"/>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2" w:name="_Toc335141334"/>
      <w:r w:rsidRPr="001C31C3">
        <w:t>Publication of responses</w:t>
      </w:r>
      <w:bookmarkEnd w:id="2"/>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3" w:name="_Toc335141335"/>
      <w:r w:rsidRPr="001C31C3">
        <w:t>Data protection</w:t>
      </w:r>
      <w:bookmarkEnd w:id="3"/>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Heading1"/>
        <w:numPr>
          <w:ilvl w:val="0"/>
          <w:numId w:val="0"/>
        </w:numPr>
      </w:pPr>
      <w:r>
        <w:t>General information about respondent</w:t>
      </w:r>
    </w:p>
    <w:tbl>
      <w:tblPr>
        <w:tblStyle w:val="TableGrid"/>
        <w:tblW w:w="0" w:type="auto"/>
        <w:tblLook w:val="04A0"/>
      </w:tblPr>
      <w:tblGrid>
        <w:gridCol w:w="3510"/>
        <w:gridCol w:w="6118"/>
      </w:tblGrid>
      <w:tr w:rsidR="00F45029" w:rsidTr="00602968">
        <w:tc>
          <w:tcPr>
            <w:tcW w:w="3510" w:type="dxa"/>
          </w:tcPr>
          <w:p w:rsidR="00F45029" w:rsidRDefault="00F45029" w:rsidP="00602968">
            <w:r>
              <w:t>Are you representing an association?</w:t>
            </w:r>
          </w:p>
        </w:tc>
        <w:tc>
          <w:tcPr>
            <w:tcW w:w="6118" w:type="dxa"/>
          </w:tcPr>
          <w:p w:rsidR="00F45029" w:rsidRDefault="0024721D" w:rsidP="00602968">
            <w:sdt>
              <w:sdtPr>
                <w:alias w:val="Association"/>
                <w:tag w:val="Association"/>
                <w:id w:val="-1769143793"/>
                <w:placeholder>
                  <w:docPart w:val="3B73C2B6D27B46D9B117EDC939FB0C8D"/>
                </w:placeholder>
                <w:comboBox>
                  <w:listItem w:displayText="Yes" w:value="Yes"/>
                  <w:listItem w:displayText="No" w:value="No"/>
                </w:comboBox>
              </w:sdtPr>
              <w:sdtContent>
                <w:permStart w:id="0" w:edGrp="everyone"/>
                <w:r w:rsidR="00602968">
                  <w:t>No</w:t>
                </w:r>
                <w:permEnd w:id="0"/>
              </w:sdtContent>
            </w:sdt>
          </w:p>
        </w:tc>
      </w:tr>
      <w:tr w:rsidR="00F45029" w:rsidTr="00602968">
        <w:tc>
          <w:tcPr>
            <w:tcW w:w="3510" w:type="dxa"/>
          </w:tcPr>
          <w:p w:rsidR="00F45029" w:rsidRDefault="00F45029" w:rsidP="00602968">
            <w:r>
              <w:t>Activity:</w:t>
            </w:r>
          </w:p>
        </w:tc>
        <w:tc>
          <w:tcPr>
            <w:tcW w:w="6118" w:type="dxa"/>
          </w:tcPr>
          <w:p w:rsidR="00F45029" w:rsidRDefault="0024721D" w:rsidP="00602968">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 w:edGrp="everyone"/>
                <w:r w:rsidR="00602968">
                  <w:t>Central Counterparty</w:t>
                </w:r>
                <w:permEnd w:id="1"/>
              </w:sdtContent>
            </w:sdt>
          </w:p>
        </w:tc>
      </w:tr>
      <w:tr w:rsidR="00F45029" w:rsidTr="00602968">
        <w:tc>
          <w:tcPr>
            <w:tcW w:w="3510" w:type="dxa"/>
          </w:tcPr>
          <w:p w:rsidR="00F45029" w:rsidRDefault="00F45029" w:rsidP="00602968">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F45029" w:rsidRDefault="00602968" w:rsidP="00602968">
                <w:r>
                  <w:t>Europe</w:t>
                </w:r>
              </w:p>
            </w:tc>
            <w:permEnd w:id="2" w:displacedByCustomXml="next"/>
          </w:sdtContent>
        </w:sdt>
      </w:tr>
    </w:tbl>
    <w:p w:rsidR="00CC1C71" w:rsidRDefault="00CC1C71" w:rsidP="00CC1C71"/>
    <w:p w:rsidR="00C7564E" w:rsidRDefault="00C7564E">
      <w:pPr>
        <w:rPr>
          <w:rFonts w:cs="Arial"/>
          <w:b/>
          <w:bCs/>
          <w:kern w:val="32"/>
          <w:sz w:val="24"/>
          <w:szCs w:val="32"/>
        </w:rPr>
      </w:pPr>
      <w:bookmarkStart w:id="4" w:name="_Toc392599420"/>
      <w:bookmarkStart w:id="5" w:name="_Toc390701574"/>
      <w:bookmarkStart w:id="6" w:name="_Toc398140744"/>
      <w:r>
        <w:br w:type="page"/>
      </w:r>
    </w:p>
    <w:p w:rsidR="00C7564E" w:rsidRDefault="00C7564E" w:rsidP="00C7564E">
      <w:pPr>
        <w:pStyle w:val="Heading1"/>
        <w:numPr>
          <w:ilvl w:val="0"/>
          <w:numId w:val="0"/>
        </w:numPr>
      </w:pPr>
      <w:r w:rsidRPr="004C2CD3">
        <w:t>Introduction</w:t>
      </w:r>
      <w:bookmarkEnd w:id="4"/>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602968" w:rsidRDefault="00602968" w:rsidP="00602968">
      <w:pPr>
        <w:rPr>
          <w:b/>
        </w:rPr>
      </w:pPr>
      <w:permStart w:id="3" w:edGrp="everyone"/>
      <w:r w:rsidRPr="005D60C0">
        <w:rPr>
          <w:b/>
        </w:rPr>
        <w:t>LCH.Clearnet Group</w:t>
      </w:r>
    </w:p>
    <w:p w:rsidR="00602968" w:rsidRPr="005D60C0" w:rsidRDefault="00602968" w:rsidP="00602968">
      <w:pPr>
        <w:rPr>
          <w:b/>
        </w:rPr>
      </w:pPr>
    </w:p>
    <w:p w:rsidR="00602968" w:rsidRDefault="00602968" w:rsidP="00602968">
      <w:r>
        <w:t>The LCH.Clearnet Group is the leading multi-asset class and multi-national clearinghouse, serving major international exchanges and platforms as well as a range of OTC markets. It clears a broad range of asset classes including securities, exchange-traded derivatives, commodities, energy, freight, foreign exchange derivatives, interest rate swaps, credit default swaps, and euro and sterling denominated bonds and repos.</w:t>
      </w:r>
    </w:p>
    <w:p w:rsidR="00602968" w:rsidRDefault="00602968" w:rsidP="00602968"/>
    <w:p w:rsidR="00602968" w:rsidRDefault="00602968" w:rsidP="00602968">
      <w:r>
        <w:t>The LCH.Clearnet Group consists of three operating subsidiaries: LCH Clearnet Ltd, LCH.Clearnet SA and LCH.Clearnet LLC.</w:t>
      </w:r>
    </w:p>
    <w:p w:rsidR="00602968" w:rsidRDefault="00602968" w:rsidP="00602968">
      <w:pPr>
        <w:pStyle w:val="ListParagraph"/>
        <w:numPr>
          <w:ilvl w:val="0"/>
          <w:numId w:val="37"/>
        </w:numPr>
      </w:pPr>
      <w:r>
        <w:t>LCH.Clearnet Ltd is authorised by the Bank of England as a central counterparty to offer services and activities in the Union in accordance with the European Markets Infrastructure Regulation (EMIR). It is registered as a Derivatives Clearing Organization (DCO) with the Commodity Futures Trading Commission (CFTC) in the USA. It is also licenced/recognised by the Ontario Securities Commission, the Autorité des Marchés Financiers of Québec and the Australian Securities &amp; Investments Commi</w:t>
      </w:r>
      <w:r>
        <w:t>s</w:t>
      </w:r>
      <w:r>
        <w:t>sion.</w:t>
      </w:r>
    </w:p>
    <w:p w:rsidR="00602968" w:rsidRDefault="00602968" w:rsidP="00602968">
      <w:pPr>
        <w:pStyle w:val="ListParagraph"/>
        <w:numPr>
          <w:ilvl w:val="0"/>
          <w:numId w:val="37"/>
        </w:numPr>
      </w:pPr>
      <w:r>
        <w:t xml:space="preserve">LCH.Clearnet SA is authorised by the French Authorities (L'Authorité des Marchés Financiers, </w:t>
      </w:r>
      <w:proofErr w:type="spellStart"/>
      <w:r>
        <w:t>l'Autorité</w:t>
      </w:r>
      <w:proofErr w:type="spellEnd"/>
      <w:r>
        <w:t xml:space="preserve"> de </w:t>
      </w:r>
      <w:proofErr w:type="spellStart"/>
      <w:r>
        <w:t>Contrôle</w:t>
      </w:r>
      <w:proofErr w:type="spellEnd"/>
      <w:r>
        <w:t xml:space="preserve"> </w:t>
      </w:r>
      <w:proofErr w:type="spellStart"/>
      <w:r>
        <w:t>Prudentiel</w:t>
      </w:r>
      <w:proofErr w:type="spellEnd"/>
      <w:r>
        <w:t xml:space="preserve"> </w:t>
      </w:r>
      <w:proofErr w:type="gramStart"/>
      <w:r>
        <w:t>et</w:t>
      </w:r>
      <w:proofErr w:type="gramEnd"/>
      <w:r>
        <w:t xml:space="preserve"> de </w:t>
      </w:r>
      <w:proofErr w:type="spellStart"/>
      <w:r>
        <w:t>Résolution</w:t>
      </w:r>
      <w:proofErr w:type="spellEnd"/>
      <w:r>
        <w:t xml:space="preserve"> and </w:t>
      </w:r>
      <w:proofErr w:type="spellStart"/>
      <w:r>
        <w:t>Banque</w:t>
      </w:r>
      <w:proofErr w:type="spellEnd"/>
      <w:r>
        <w:t xml:space="preserve"> de France) as a central counterparty to offer services and activities in the Union in accordance with EMIR. It is also regulated as a Credit I</w:t>
      </w:r>
      <w:r>
        <w:t>n</w:t>
      </w:r>
      <w:r>
        <w:t>stitution by the French Authorities and registered as a DCO with the CFTC.</w:t>
      </w:r>
    </w:p>
    <w:p w:rsidR="00C7564E" w:rsidRDefault="00602968" w:rsidP="00C7564E">
      <w:pPr>
        <w:pStyle w:val="ListParagraph"/>
        <w:numPr>
          <w:ilvl w:val="0"/>
          <w:numId w:val="37"/>
        </w:numPr>
      </w:pPr>
      <w:r>
        <w:t>LCH.Clearnet LLC is registered as a DCO with the CFTC and permitted to clear for Ontario-based clearing members pursuant to Ontario Securities Commission Order granting exemption from Clea</w:t>
      </w:r>
      <w:r>
        <w:t>r</w:t>
      </w:r>
      <w:r>
        <w:t>ing Agency License. It has applied for recognition under EMIR as a third-country CCP.</w:t>
      </w:r>
    </w:p>
    <w:p w:rsidR="00602968" w:rsidRDefault="00602968" w:rsidP="00602968"/>
    <w:p w:rsidR="00602968" w:rsidRPr="00683362" w:rsidRDefault="00602968" w:rsidP="00602968">
      <w:pPr>
        <w:rPr>
          <w:b/>
          <w:szCs w:val="20"/>
        </w:rPr>
      </w:pPr>
      <w:r w:rsidRPr="00683362">
        <w:rPr>
          <w:b/>
          <w:szCs w:val="20"/>
        </w:rPr>
        <w:t>Overall Comments</w:t>
      </w:r>
    </w:p>
    <w:p w:rsidR="00602968" w:rsidRPr="00683362" w:rsidRDefault="00602968" w:rsidP="00602968">
      <w:pPr>
        <w:rPr>
          <w:rFonts w:cs="Arial"/>
          <w:szCs w:val="20"/>
        </w:rPr>
      </w:pPr>
    </w:p>
    <w:p w:rsidR="00602968" w:rsidRPr="00683362" w:rsidRDefault="00602968" w:rsidP="00602968">
      <w:pPr>
        <w:rPr>
          <w:rFonts w:cs="Arial"/>
          <w:szCs w:val="20"/>
        </w:rPr>
      </w:pPr>
      <w:r w:rsidRPr="00683362">
        <w:rPr>
          <w:rFonts w:cs="Arial"/>
          <w:szCs w:val="20"/>
        </w:rPr>
        <w:t>LCH.Clearnet supports the clearing obligation for NDFs and the approach taken by ESMA in assessing the class which is subje</w:t>
      </w:r>
      <w:r w:rsidR="00CD64D5">
        <w:rPr>
          <w:rFonts w:cs="Arial"/>
          <w:szCs w:val="20"/>
        </w:rPr>
        <w:t>ct to this obligation. We agree</w:t>
      </w:r>
      <w:r w:rsidRPr="00683362">
        <w:rPr>
          <w:rFonts w:cs="Arial"/>
          <w:szCs w:val="20"/>
        </w:rPr>
        <w:t xml:space="preserve"> that the analysis conducted by ESMA is of sufficient depth and accuracy and therefore believe the clearing obligation will address a significant majority of systemic risk which is associated with the NDF class.</w:t>
      </w:r>
    </w:p>
    <w:p w:rsidR="00602968" w:rsidRPr="00683362" w:rsidRDefault="00602968" w:rsidP="00602968">
      <w:pPr>
        <w:rPr>
          <w:rFonts w:cs="Arial"/>
          <w:szCs w:val="20"/>
        </w:rPr>
      </w:pPr>
    </w:p>
    <w:p w:rsidR="00503761" w:rsidRPr="00CE18EF" w:rsidRDefault="00CE18EF" w:rsidP="00CE18EF">
      <w:pPr>
        <w:rPr>
          <w:rFonts w:cs="Arial"/>
          <w:szCs w:val="20"/>
        </w:rPr>
      </w:pPr>
      <w:proofErr w:type="spellStart"/>
      <w:r w:rsidRPr="00CE18EF">
        <w:rPr>
          <w:rFonts w:cs="Arial"/>
          <w:szCs w:val="20"/>
          <w:lang w:val="de-DE"/>
        </w:rPr>
        <w:t>LCH.C</w:t>
      </w:r>
      <w:r>
        <w:rPr>
          <w:rFonts w:cs="Arial"/>
          <w:szCs w:val="20"/>
          <w:lang w:val="de-DE"/>
        </w:rPr>
        <w:t>learnet</w:t>
      </w:r>
      <w:proofErr w:type="spellEnd"/>
      <w:r w:rsidRPr="00CE18EF">
        <w:rPr>
          <w:rFonts w:cs="Arial"/>
          <w:szCs w:val="20"/>
          <w:lang w:val="de-DE"/>
        </w:rPr>
        <w:t xml:space="preserve"> </w:t>
      </w:r>
      <w:proofErr w:type="spellStart"/>
      <w:r w:rsidRPr="00CE18EF">
        <w:rPr>
          <w:rFonts w:cs="Arial"/>
          <w:szCs w:val="20"/>
          <w:lang w:val="de-DE"/>
        </w:rPr>
        <w:t>believes</w:t>
      </w:r>
      <w:proofErr w:type="spellEnd"/>
      <w:r w:rsidRPr="00CE18EF">
        <w:rPr>
          <w:rFonts w:cs="Arial"/>
          <w:szCs w:val="20"/>
          <w:lang w:val="de-DE"/>
        </w:rPr>
        <w:t xml:space="preserve"> </w:t>
      </w:r>
      <w:proofErr w:type="spellStart"/>
      <w:r w:rsidRPr="00CE18EF">
        <w:rPr>
          <w:rFonts w:cs="Arial"/>
          <w:szCs w:val="20"/>
          <w:lang w:val="de-DE"/>
        </w:rPr>
        <w:t>that</w:t>
      </w:r>
      <w:proofErr w:type="spellEnd"/>
      <w:r w:rsidRPr="00CE18EF">
        <w:rPr>
          <w:rFonts w:cs="Arial"/>
          <w:szCs w:val="20"/>
          <w:lang w:val="de-DE"/>
        </w:rPr>
        <w:t xml:space="preserve"> </w:t>
      </w:r>
      <w:proofErr w:type="spellStart"/>
      <w:r w:rsidRPr="00CE18EF">
        <w:rPr>
          <w:rFonts w:cs="Arial"/>
          <w:szCs w:val="20"/>
          <w:lang w:val="de-DE"/>
        </w:rPr>
        <w:t>the</w:t>
      </w:r>
      <w:proofErr w:type="spellEnd"/>
      <w:r w:rsidRPr="00CE18EF">
        <w:rPr>
          <w:rFonts w:cs="Arial"/>
          <w:szCs w:val="20"/>
          <w:lang w:val="de-DE"/>
        </w:rPr>
        <w:t xml:space="preserve"> </w:t>
      </w:r>
      <w:proofErr w:type="spellStart"/>
      <w:r w:rsidRPr="00CE18EF">
        <w:rPr>
          <w:rFonts w:cs="Arial"/>
          <w:szCs w:val="20"/>
          <w:lang w:val="de-DE"/>
        </w:rPr>
        <w:t>similarity</w:t>
      </w:r>
      <w:proofErr w:type="spellEnd"/>
      <w:r w:rsidRPr="00CE18EF">
        <w:rPr>
          <w:rFonts w:cs="Arial"/>
          <w:szCs w:val="20"/>
          <w:lang w:val="de-DE"/>
        </w:rPr>
        <w:t xml:space="preserve"> </w:t>
      </w:r>
      <w:proofErr w:type="spellStart"/>
      <w:r w:rsidRPr="00CE18EF">
        <w:rPr>
          <w:rFonts w:cs="Arial"/>
          <w:szCs w:val="20"/>
          <w:lang w:val="de-DE"/>
        </w:rPr>
        <w:t>between</w:t>
      </w:r>
      <w:proofErr w:type="spellEnd"/>
      <w:r w:rsidRPr="00CE18EF">
        <w:rPr>
          <w:rFonts w:cs="Arial"/>
          <w:szCs w:val="20"/>
          <w:lang w:val="de-DE"/>
        </w:rPr>
        <w:t xml:space="preserve"> </w:t>
      </w:r>
      <w:proofErr w:type="spellStart"/>
      <w:r w:rsidRPr="00CE18EF">
        <w:rPr>
          <w:rFonts w:cs="Arial"/>
          <w:szCs w:val="20"/>
          <w:lang w:val="de-DE"/>
        </w:rPr>
        <w:t>the</w:t>
      </w:r>
      <w:proofErr w:type="spellEnd"/>
      <w:r w:rsidRPr="00CE18EF">
        <w:rPr>
          <w:rFonts w:cs="Arial"/>
          <w:szCs w:val="20"/>
          <w:lang w:val="de-DE"/>
        </w:rPr>
        <w:t xml:space="preserve"> Prime Broker and CCP </w:t>
      </w:r>
      <w:proofErr w:type="spellStart"/>
      <w:r w:rsidRPr="00CE18EF">
        <w:rPr>
          <w:rFonts w:cs="Arial"/>
          <w:szCs w:val="20"/>
          <w:lang w:val="de-DE"/>
        </w:rPr>
        <w:t>models</w:t>
      </w:r>
      <w:proofErr w:type="spellEnd"/>
      <w:r w:rsidRPr="00CE18EF">
        <w:rPr>
          <w:rFonts w:cs="Arial"/>
          <w:szCs w:val="20"/>
          <w:lang w:val="de-DE"/>
        </w:rPr>
        <w:t xml:space="preserve">, </w:t>
      </w:r>
      <w:proofErr w:type="spellStart"/>
      <w:r w:rsidRPr="00CE18EF">
        <w:rPr>
          <w:rFonts w:cs="Arial"/>
          <w:szCs w:val="20"/>
          <w:lang w:val="de-DE"/>
        </w:rPr>
        <w:t>the</w:t>
      </w:r>
      <w:proofErr w:type="spellEnd"/>
      <w:r w:rsidRPr="00CE18EF">
        <w:rPr>
          <w:rFonts w:cs="Arial"/>
          <w:szCs w:val="20"/>
          <w:lang w:val="de-DE"/>
        </w:rPr>
        <w:t xml:space="preserve"> </w:t>
      </w:r>
      <w:proofErr w:type="spellStart"/>
      <w:r w:rsidRPr="00CE18EF">
        <w:rPr>
          <w:rFonts w:cs="Arial"/>
          <w:szCs w:val="20"/>
          <w:lang w:val="de-DE"/>
        </w:rPr>
        <w:t>former</w:t>
      </w:r>
      <w:proofErr w:type="spellEnd"/>
      <w:r w:rsidRPr="00CE18EF">
        <w:rPr>
          <w:rFonts w:cs="Arial"/>
          <w:szCs w:val="20"/>
          <w:lang w:val="de-DE"/>
        </w:rPr>
        <w:t xml:space="preserve"> </w:t>
      </w:r>
      <w:proofErr w:type="spellStart"/>
      <w:r w:rsidRPr="00CE18EF">
        <w:rPr>
          <w:rFonts w:cs="Arial"/>
          <w:szCs w:val="20"/>
          <w:lang w:val="de-DE"/>
        </w:rPr>
        <w:t>having</w:t>
      </w:r>
      <w:proofErr w:type="spellEnd"/>
      <w:r w:rsidRPr="00CE18EF">
        <w:rPr>
          <w:rFonts w:cs="Arial"/>
          <w:szCs w:val="20"/>
          <w:lang w:val="de-DE"/>
        </w:rPr>
        <w:t xml:space="preserve"> </w:t>
      </w:r>
      <w:proofErr w:type="spellStart"/>
      <w:r w:rsidRPr="00CE18EF">
        <w:rPr>
          <w:rFonts w:cs="Arial"/>
          <w:szCs w:val="20"/>
          <w:lang w:val="de-DE"/>
        </w:rPr>
        <w:t>been</w:t>
      </w:r>
      <w:proofErr w:type="spellEnd"/>
      <w:r w:rsidRPr="00CE18EF">
        <w:rPr>
          <w:rFonts w:cs="Arial"/>
          <w:szCs w:val="20"/>
          <w:lang w:val="de-DE"/>
        </w:rPr>
        <w:t xml:space="preserve"> in </w:t>
      </w:r>
      <w:proofErr w:type="spellStart"/>
      <w:r w:rsidRPr="00CE18EF">
        <w:rPr>
          <w:rFonts w:cs="Arial"/>
          <w:szCs w:val="20"/>
          <w:lang w:val="de-DE"/>
        </w:rPr>
        <w:t>operation</w:t>
      </w:r>
      <w:proofErr w:type="spellEnd"/>
      <w:r w:rsidRPr="00CE18EF">
        <w:rPr>
          <w:rFonts w:cs="Arial"/>
          <w:szCs w:val="20"/>
          <w:lang w:val="de-DE"/>
        </w:rPr>
        <w:t xml:space="preserve"> </w:t>
      </w:r>
      <w:proofErr w:type="spellStart"/>
      <w:r w:rsidRPr="00CE18EF">
        <w:rPr>
          <w:rFonts w:cs="Arial"/>
          <w:szCs w:val="20"/>
          <w:lang w:val="de-DE"/>
        </w:rPr>
        <w:t>for</w:t>
      </w:r>
      <w:proofErr w:type="spellEnd"/>
      <w:r w:rsidRPr="00CE18EF">
        <w:rPr>
          <w:rFonts w:cs="Arial"/>
          <w:szCs w:val="20"/>
          <w:lang w:val="de-DE"/>
        </w:rPr>
        <w:t xml:space="preserve"> </w:t>
      </w:r>
      <w:proofErr w:type="spellStart"/>
      <w:r w:rsidRPr="00CE18EF">
        <w:rPr>
          <w:rFonts w:cs="Arial"/>
          <w:szCs w:val="20"/>
          <w:lang w:val="de-DE"/>
        </w:rPr>
        <w:t>over</w:t>
      </w:r>
      <w:proofErr w:type="spellEnd"/>
      <w:r w:rsidRPr="00CE18EF">
        <w:rPr>
          <w:rFonts w:cs="Arial"/>
          <w:szCs w:val="20"/>
          <w:lang w:val="de-DE"/>
        </w:rPr>
        <w:t xml:space="preserve"> a </w:t>
      </w:r>
      <w:proofErr w:type="spellStart"/>
      <w:r w:rsidRPr="00CE18EF">
        <w:rPr>
          <w:rFonts w:cs="Arial"/>
          <w:szCs w:val="20"/>
          <w:lang w:val="de-DE"/>
        </w:rPr>
        <w:t>decade</w:t>
      </w:r>
      <w:proofErr w:type="spellEnd"/>
      <w:r w:rsidRPr="00CE18EF">
        <w:rPr>
          <w:rFonts w:cs="Arial"/>
          <w:szCs w:val="20"/>
          <w:lang w:val="de-DE"/>
        </w:rPr>
        <w:t xml:space="preserve">, will </w:t>
      </w:r>
      <w:proofErr w:type="spellStart"/>
      <w:r w:rsidRPr="00CE18EF">
        <w:rPr>
          <w:rFonts w:cs="Arial"/>
          <w:szCs w:val="20"/>
          <w:lang w:val="de-DE"/>
        </w:rPr>
        <w:t>make</w:t>
      </w:r>
      <w:proofErr w:type="spellEnd"/>
      <w:r w:rsidRPr="00CE18EF">
        <w:rPr>
          <w:rFonts w:cs="Arial"/>
          <w:szCs w:val="20"/>
          <w:lang w:val="de-DE"/>
        </w:rPr>
        <w:t xml:space="preserve"> </w:t>
      </w:r>
      <w:proofErr w:type="spellStart"/>
      <w:r w:rsidRPr="00CE18EF">
        <w:rPr>
          <w:rFonts w:cs="Arial"/>
          <w:szCs w:val="20"/>
          <w:lang w:val="de-DE"/>
        </w:rPr>
        <w:t>the</w:t>
      </w:r>
      <w:proofErr w:type="spellEnd"/>
      <w:r w:rsidRPr="00CE18EF">
        <w:rPr>
          <w:rFonts w:cs="Arial"/>
          <w:szCs w:val="20"/>
          <w:lang w:val="de-DE"/>
        </w:rPr>
        <w:t xml:space="preserve"> </w:t>
      </w:r>
      <w:proofErr w:type="spellStart"/>
      <w:r w:rsidRPr="00CE18EF">
        <w:rPr>
          <w:rFonts w:cs="Arial"/>
          <w:szCs w:val="20"/>
          <w:lang w:val="de-DE"/>
        </w:rPr>
        <w:t>transition</w:t>
      </w:r>
      <w:proofErr w:type="spellEnd"/>
      <w:r w:rsidRPr="00CE18EF">
        <w:rPr>
          <w:rFonts w:cs="Arial"/>
          <w:szCs w:val="20"/>
          <w:lang w:val="de-DE"/>
        </w:rPr>
        <w:t xml:space="preserve"> </w:t>
      </w:r>
      <w:proofErr w:type="spellStart"/>
      <w:r w:rsidRPr="00CE18EF">
        <w:rPr>
          <w:rFonts w:cs="Arial"/>
          <w:szCs w:val="20"/>
          <w:lang w:val="de-DE"/>
        </w:rPr>
        <w:t>to</w:t>
      </w:r>
      <w:proofErr w:type="spellEnd"/>
      <w:r w:rsidRPr="00CE18EF">
        <w:rPr>
          <w:rFonts w:cs="Arial"/>
          <w:szCs w:val="20"/>
          <w:lang w:val="de-DE"/>
        </w:rPr>
        <w:t xml:space="preserve"> </w:t>
      </w:r>
      <w:proofErr w:type="spellStart"/>
      <w:r w:rsidRPr="00CE18EF">
        <w:rPr>
          <w:rFonts w:cs="Arial"/>
          <w:szCs w:val="20"/>
          <w:lang w:val="de-DE"/>
        </w:rPr>
        <w:t>clearing</w:t>
      </w:r>
      <w:proofErr w:type="spellEnd"/>
      <w:r w:rsidRPr="00CE18EF">
        <w:rPr>
          <w:rFonts w:cs="Arial"/>
          <w:szCs w:val="20"/>
          <w:lang w:val="de-DE"/>
        </w:rPr>
        <w:t xml:space="preserve"> a simple </w:t>
      </w:r>
      <w:proofErr w:type="spellStart"/>
      <w:r w:rsidRPr="00CE18EF">
        <w:rPr>
          <w:rFonts w:cs="Arial"/>
          <w:szCs w:val="20"/>
          <w:lang w:val="de-DE"/>
        </w:rPr>
        <w:t>one</w:t>
      </w:r>
      <w:proofErr w:type="spellEnd"/>
      <w:r w:rsidRPr="00CE18EF">
        <w:rPr>
          <w:rFonts w:cs="Arial"/>
          <w:szCs w:val="20"/>
          <w:lang w:val="de-DE"/>
        </w:rPr>
        <w:t xml:space="preserve"> </w:t>
      </w:r>
      <w:proofErr w:type="spellStart"/>
      <w:r w:rsidRPr="00CE18EF">
        <w:rPr>
          <w:rFonts w:cs="Arial"/>
          <w:szCs w:val="20"/>
          <w:lang w:val="de-DE"/>
        </w:rPr>
        <w:t>for</w:t>
      </w:r>
      <w:proofErr w:type="spellEnd"/>
      <w:r w:rsidRPr="00CE18EF">
        <w:rPr>
          <w:rFonts w:cs="Arial"/>
          <w:szCs w:val="20"/>
          <w:lang w:val="de-DE"/>
        </w:rPr>
        <w:t xml:space="preserve"> </w:t>
      </w:r>
      <w:proofErr w:type="spellStart"/>
      <w:r w:rsidRPr="00CE18EF">
        <w:rPr>
          <w:rFonts w:cs="Arial"/>
          <w:szCs w:val="20"/>
          <w:lang w:val="de-DE"/>
        </w:rPr>
        <w:t>most</w:t>
      </w:r>
      <w:proofErr w:type="spellEnd"/>
      <w:r w:rsidRPr="00CE18EF">
        <w:rPr>
          <w:rFonts w:cs="Arial"/>
          <w:szCs w:val="20"/>
          <w:lang w:val="de-DE"/>
        </w:rPr>
        <w:t xml:space="preserve"> </w:t>
      </w:r>
      <w:proofErr w:type="spellStart"/>
      <w:r w:rsidRPr="00CE18EF">
        <w:rPr>
          <w:rFonts w:cs="Arial"/>
          <w:szCs w:val="20"/>
          <w:lang w:val="de-DE"/>
        </w:rPr>
        <w:t>market</w:t>
      </w:r>
      <w:proofErr w:type="spellEnd"/>
      <w:r w:rsidRPr="00CE18EF">
        <w:rPr>
          <w:rFonts w:cs="Arial"/>
          <w:szCs w:val="20"/>
          <w:lang w:val="de-DE"/>
        </w:rPr>
        <w:t xml:space="preserve"> </w:t>
      </w:r>
      <w:proofErr w:type="spellStart"/>
      <w:r w:rsidRPr="00CE18EF">
        <w:rPr>
          <w:rFonts w:cs="Arial"/>
          <w:szCs w:val="20"/>
          <w:lang w:val="de-DE"/>
        </w:rPr>
        <w:t>participants</w:t>
      </w:r>
      <w:proofErr w:type="spellEnd"/>
      <w:r w:rsidRPr="00CE18EF">
        <w:rPr>
          <w:rFonts w:cs="Arial"/>
          <w:szCs w:val="20"/>
          <w:lang w:val="de-DE"/>
        </w:rPr>
        <w:t xml:space="preserve">.  </w:t>
      </w:r>
      <w:r w:rsidRPr="00CE18EF">
        <w:rPr>
          <w:rFonts w:cs="Arial"/>
          <w:szCs w:val="20"/>
        </w:rPr>
        <w:t>Additionally</w:t>
      </w:r>
      <w:r w:rsidR="00503761">
        <w:rPr>
          <w:rFonts w:cs="Arial"/>
          <w:szCs w:val="20"/>
        </w:rPr>
        <w:t>,</w:t>
      </w:r>
      <w:r w:rsidRPr="00CE18EF">
        <w:rPr>
          <w:rFonts w:cs="Arial"/>
          <w:szCs w:val="20"/>
        </w:rPr>
        <w:t xml:space="preserve"> LCH.C</w:t>
      </w:r>
      <w:r>
        <w:rPr>
          <w:rFonts w:cs="Arial"/>
          <w:szCs w:val="20"/>
        </w:rPr>
        <w:t>learnet</w:t>
      </w:r>
      <w:r w:rsidR="00503761">
        <w:rPr>
          <w:rFonts w:cs="Arial"/>
          <w:szCs w:val="20"/>
        </w:rPr>
        <w:t xml:space="preserve"> sees </w:t>
      </w:r>
      <w:r w:rsidRPr="00CE18EF">
        <w:rPr>
          <w:rFonts w:cs="Arial"/>
          <w:szCs w:val="20"/>
        </w:rPr>
        <w:t>CCP model</w:t>
      </w:r>
      <w:r w:rsidR="00503761">
        <w:rPr>
          <w:rFonts w:cs="Arial"/>
          <w:szCs w:val="20"/>
        </w:rPr>
        <w:t>s</w:t>
      </w:r>
      <w:r w:rsidRPr="00CE18EF">
        <w:rPr>
          <w:rFonts w:cs="Arial"/>
          <w:szCs w:val="20"/>
        </w:rPr>
        <w:t xml:space="preserve"> bringing further benefits to the industry as a whole, specifically:</w:t>
      </w:r>
    </w:p>
    <w:p w:rsidR="00503761" w:rsidRDefault="00CE18EF" w:rsidP="00503761">
      <w:pPr>
        <w:pStyle w:val="ListParagraph"/>
        <w:numPr>
          <w:ilvl w:val="0"/>
          <w:numId w:val="38"/>
        </w:numPr>
        <w:ind w:left="426" w:hanging="142"/>
        <w:rPr>
          <w:rFonts w:cs="Arial"/>
          <w:szCs w:val="20"/>
        </w:rPr>
      </w:pPr>
      <w:r w:rsidRPr="00CE18EF">
        <w:rPr>
          <w:rFonts w:cs="Arial"/>
          <w:szCs w:val="20"/>
        </w:rPr>
        <w:t xml:space="preserve">During price disruption events the CCP adheres to existing </w:t>
      </w:r>
      <w:r w:rsidR="00ED6390">
        <w:t>Emerging Markets Trade Association</w:t>
      </w:r>
      <w:r w:rsidR="00ED6390" w:rsidRPr="00CE18EF">
        <w:rPr>
          <w:rFonts w:cs="Arial"/>
          <w:szCs w:val="20"/>
        </w:rPr>
        <w:t xml:space="preserve"> </w:t>
      </w:r>
      <w:r w:rsidR="00ED6390">
        <w:rPr>
          <w:rFonts w:cs="Arial"/>
          <w:szCs w:val="20"/>
        </w:rPr>
        <w:t>(</w:t>
      </w:r>
      <w:r w:rsidRPr="00CE18EF">
        <w:rPr>
          <w:rFonts w:cs="Arial"/>
          <w:szCs w:val="20"/>
        </w:rPr>
        <w:t>EMTA</w:t>
      </w:r>
      <w:r w:rsidR="00ED6390">
        <w:rPr>
          <w:rFonts w:cs="Arial"/>
          <w:szCs w:val="20"/>
        </w:rPr>
        <w:t>)</w:t>
      </w:r>
      <w:r w:rsidRPr="00CE18EF">
        <w:rPr>
          <w:rFonts w:cs="Arial"/>
          <w:szCs w:val="20"/>
        </w:rPr>
        <w:t xml:space="preserve"> standards but thereafter may act as the calculation agent and determine the settlement rate as articulated in the </w:t>
      </w:r>
      <w:r w:rsidR="009F232A">
        <w:rPr>
          <w:rFonts w:cs="Arial"/>
          <w:szCs w:val="20"/>
        </w:rPr>
        <w:t>CCP</w:t>
      </w:r>
      <w:r w:rsidRPr="00CE18EF">
        <w:rPr>
          <w:rFonts w:cs="Arial"/>
          <w:szCs w:val="20"/>
        </w:rPr>
        <w:t xml:space="preserve"> rulebook.  In support of this LCH.C</w:t>
      </w:r>
      <w:r w:rsidR="009F232A">
        <w:rPr>
          <w:rFonts w:cs="Arial"/>
          <w:szCs w:val="20"/>
        </w:rPr>
        <w:t>learnet</w:t>
      </w:r>
      <w:r w:rsidRPr="00CE18EF">
        <w:rPr>
          <w:rFonts w:cs="Arial"/>
          <w:szCs w:val="20"/>
        </w:rPr>
        <w:t xml:space="preserve"> is in discussion with EMTA to be a provider of the fallback rate.</w:t>
      </w:r>
    </w:p>
    <w:p w:rsidR="00226FDC" w:rsidRPr="00503761" w:rsidRDefault="00503761" w:rsidP="00503761">
      <w:pPr>
        <w:pStyle w:val="ListParagraph"/>
        <w:numPr>
          <w:ilvl w:val="0"/>
          <w:numId w:val="38"/>
        </w:numPr>
        <w:ind w:left="426" w:hanging="142"/>
        <w:rPr>
          <w:rFonts w:cs="Arial"/>
          <w:szCs w:val="20"/>
        </w:rPr>
      </w:pPr>
      <w:r>
        <w:t>When the local NDF authorities announce additional holidays unexpectedly, the ForexCle</w:t>
      </w:r>
      <w:r w:rsidR="00401C8A">
        <w:t>ar service applies the Automated</w:t>
      </w:r>
      <w:r>
        <w:t xml:space="preserve"> Date Adjustment (ADA) me</w:t>
      </w:r>
      <w:r w:rsidR="009F232A">
        <w:t>chanism ensuring that trades of</w:t>
      </w:r>
      <w:r>
        <w:t xml:space="preserve"> all members and their clients are amended to valid dates seamlessly, thereby reducing the operational risk that exists in the current bilateral management of these events.</w:t>
      </w:r>
    </w:p>
    <w:p w:rsidR="00CE18EF" w:rsidRPr="00683362" w:rsidRDefault="00CE18EF" w:rsidP="00CE18EF">
      <w:pPr>
        <w:rPr>
          <w:rFonts w:cs="Arial"/>
          <w:szCs w:val="20"/>
        </w:rPr>
      </w:pPr>
    </w:p>
    <w:p w:rsidR="00602968" w:rsidRPr="00683362" w:rsidRDefault="00837BC8" w:rsidP="00602968">
      <w:pPr>
        <w:rPr>
          <w:rFonts w:cs="Arial"/>
          <w:szCs w:val="20"/>
        </w:rPr>
      </w:pPr>
      <w:r w:rsidRPr="00683362">
        <w:rPr>
          <w:rFonts w:cs="Arial"/>
          <w:szCs w:val="20"/>
        </w:rPr>
        <w:t>LCH.Clearnet welcomes the opportunity to provide</w:t>
      </w:r>
      <w:r w:rsidR="00226FDC">
        <w:rPr>
          <w:rFonts w:cs="Arial"/>
          <w:szCs w:val="20"/>
        </w:rPr>
        <w:t xml:space="preserve"> feedback regarding the categorisation of counterpa</w:t>
      </w:r>
      <w:r w:rsidR="00226FDC">
        <w:rPr>
          <w:rFonts w:cs="Arial"/>
          <w:szCs w:val="20"/>
        </w:rPr>
        <w:t>r</w:t>
      </w:r>
      <w:r w:rsidR="00226FDC">
        <w:rPr>
          <w:rFonts w:cs="Arial"/>
          <w:szCs w:val="20"/>
        </w:rPr>
        <w:t xml:space="preserve">ties in respect to NDFs </w:t>
      </w:r>
      <w:r w:rsidRPr="00683362">
        <w:rPr>
          <w:rFonts w:cs="Arial"/>
          <w:szCs w:val="20"/>
        </w:rPr>
        <w:t>and looks forward to seeing the progression of this subject.</w:t>
      </w:r>
    </w:p>
    <w:permEnd w:id="3"/>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t>The clearing obligation procedure</w:t>
      </w:r>
      <w:bookmarkStart w:id="7" w:name="_Toc390952336"/>
      <w:bookmarkStart w:id="8" w:name="_Toc391310566"/>
      <w:bookmarkStart w:id="9" w:name="_Toc391310591"/>
      <w:bookmarkStart w:id="10" w:name="_Toc391310651"/>
      <w:bookmarkStart w:id="11" w:name="_Toc391313043"/>
      <w:bookmarkEnd w:id="5"/>
      <w:bookmarkEnd w:id="6"/>
      <w:bookmarkEnd w:id="7"/>
      <w:bookmarkEnd w:id="8"/>
      <w:bookmarkEnd w:id="9"/>
      <w:bookmarkEnd w:id="10"/>
      <w:bookmarkEnd w:id="11"/>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CC1C71" w:rsidRDefault="004A4EC4" w:rsidP="00CC1C71">
      <w:permStart w:id="4" w:edGrp="everyone"/>
      <w:r w:rsidRPr="004A4EC4">
        <w:t xml:space="preserve">We fully support the procedure as described in Section 1. LCH.Clearnet’s authorisation under EMIR in June this year triggered the bottom-up approach which resulted in this consultation paper. Further, we note ESMA’s statement that additional European CCPs, as well as third-country CCPs, are considering expanding their offering to include the NDF class. This suggests the number of CCPs clearing this class </w:t>
      </w:r>
      <w:r w:rsidR="007775F8">
        <w:t>is expected to</w:t>
      </w:r>
      <w:r w:rsidRPr="004A4EC4">
        <w:t xml:space="preserve"> increase in the near fut</w:t>
      </w:r>
      <w:r>
        <w:t>ure, fostering competition</w:t>
      </w:r>
      <w:r w:rsidRPr="004A4EC4">
        <w:t xml:space="preserve">. </w:t>
      </w:r>
      <w:permEnd w:id="4"/>
      <w:r w:rsidR="00CC1C71">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2" w:name="_Ref392685388"/>
      <w:bookmarkStart w:id="13" w:name="_Toc398140745"/>
      <w:r>
        <w:t>Structure of the non-deliverable forward derivatives classes</w:t>
      </w:r>
      <w:bookmarkEnd w:id="12"/>
      <w:bookmarkEnd w:id="13"/>
    </w:p>
    <w:p w:rsidR="00CC1C71" w:rsidRDefault="00CC1C71" w:rsidP="00CC1C71"/>
    <w:p w:rsidR="00CC1C71" w:rsidRPr="0075124D" w:rsidRDefault="00CC1C71" w:rsidP="00CC1C71">
      <w:pPr>
        <w:pStyle w:val="Heading5"/>
      </w:pPr>
      <w:r w:rsidRPr="0075124D">
        <w:t>Do you consider that the proposed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683362" w:rsidRDefault="00683362" w:rsidP="00683362">
      <w:pPr>
        <w:rPr>
          <w:rFonts w:cs="Arial"/>
          <w:szCs w:val="20"/>
        </w:rPr>
      </w:pPr>
      <w:permStart w:id="5" w:edGrp="everyone"/>
      <w:r w:rsidRPr="00683362">
        <w:rPr>
          <w:rFonts w:cs="Arial"/>
          <w:szCs w:val="20"/>
        </w:rPr>
        <w:t>LCH.Clearnet believes the proposed structure of five characteristics enables participants to easily identify which contracts are subject to the clearing obligation. We further support the compatibility of ESMA</w:t>
      </w:r>
      <w:r w:rsidR="00226FDC">
        <w:rPr>
          <w:rFonts w:cs="Arial"/>
          <w:szCs w:val="20"/>
        </w:rPr>
        <w:t>’</w:t>
      </w:r>
      <w:r w:rsidRPr="00683362">
        <w:rPr>
          <w:rFonts w:cs="Arial"/>
          <w:szCs w:val="20"/>
        </w:rPr>
        <w:t>s proposal with the taxonomy defined by the GFMA Global FX Division.</w:t>
      </w:r>
    </w:p>
    <w:p w:rsidR="00226FDC" w:rsidRPr="00683362" w:rsidRDefault="00226FDC" w:rsidP="00683362">
      <w:pPr>
        <w:rPr>
          <w:rFonts w:cs="Arial"/>
          <w:szCs w:val="20"/>
        </w:rPr>
      </w:pPr>
    </w:p>
    <w:p w:rsidR="00683362" w:rsidRPr="00683362" w:rsidRDefault="00683362" w:rsidP="00683362">
      <w:pPr>
        <w:rPr>
          <w:rFonts w:cs="Arial"/>
          <w:szCs w:val="20"/>
        </w:rPr>
      </w:pPr>
      <w:r w:rsidRPr="00683362">
        <w:rPr>
          <w:rFonts w:cs="Arial"/>
          <w:szCs w:val="20"/>
        </w:rPr>
        <w:t>LCH.Clearnet observes that the term “cash settled forwards” has become accepted market usage for those cash settled products in currencies that have no restrictions imposed by the local central bank and can be physically settled, but for which the user elect</w:t>
      </w:r>
      <w:r w:rsidR="00226FDC">
        <w:rPr>
          <w:rFonts w:cs="Arial"/>
          <w:szCs w:val="20"/>
        </w:rPr>
        <w:t>s to have financial settlement,</w:t>
      </w:r>
      <w:r w:rsidRPr="00683362">
        <w:rPr>
          <w:rFonts w:cs="Arial"/>
          <w:szCs w:val="20"/>
        </w:rPr>
        <w:t xml:space="preserve"> for example GBP/USD, EUR/USD and USD/JPY. The term NDF</w:t>
      </w:r>
      <w:r w:rsidR="00226FDC">
        <w:rPr>
          <w:rFonts w:cs="Arial"/>
          <w:szCs w:val="20"/>
        </w:rPr>
        <w:t>,</w:t>
      </w:r>
      <w:r w:rsidRPr="00683362">
        <w:rPr>
          <w:rFonts w:cs="Arial"/>
          <w:szCs w:val="20"/>
        </w:rPr>
        <w:t xml:space="preserve"> whilst having the underlying feature of cash settlement</w:t>
      </w:r>
      <w:r w:rsidR="00226FDC">
        <w:rPr>
          <w:rFonts w:cs="Arial"/>
          <w:szCs w:val="20"/>
        </w:rPr>
        <w:t>,</w:t>
      </w:r>
      <w:r w:rsidRPr="00683362">
        <w:rPr>
          <w:rFonts w:cs="Arial"/>
          <w:szCs w:val="20"/>
        </w:rPr>
        <w:t xml:space="preserve"> is used to refer to the product used for currencies, as listed in table 2 of the consultation paper, on which there are such restrictions.</w:t>
      </w:r>
    </w:p>
    <w:p w:rsidR="00226FDC" w:rsidRDefault="00226FDC" w:rsidP="00683362">
      <w:pPr>
        <w:rPr>
          <w:rFonts w:cs="Arial"/>
          <w:szCs w:val="20"/>
        </w:rPr>
      </w:pPr>
    </w:p>
    <w:p w:rsidR="00683362" w:rsidRPr="00683362" w:rsidRDefault="00683362" w:rsidP="00683362">
      <w:pPr>
        <w:rPr>
          <w:rFonts w:cs="Arial"/>
          <w:szCs w:val="20"/>
        </w:rPr>
      </w:pPr>
      <w:r w:rsidRPr="00683362">
        <w:rPr>
          <w:rFonts w:cs="Arial"/>
          <w:szCs w:val="20"/>
        </w:rPr>
        <w:t xml:space="preserve">LCH.Clearnet would like to add that the definition in paragraph 14 could be enhanced by referring to “the official fixing rate, as listed in the EMTA template for that currency” instead of </w:t>
      </w:r>
      <w:r w:rsidR="007907CE">
        <w:rPr>
          <w:rFonts w:cs="Arial"/>
          <w:szCs w:val="20"/>
        </w:rPr>
        <w:t>“the spot market exchange rate” (see reference to fixing price in paragraph 34).</w:t>
      </w:r>
    </w:p>
    <w:p w:rsidR="00CC1C71" w:rsidRDefault="00CC1C71" w:rsidP="00CC1C71"/>
    <w:permEnd w:id="5"/>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Heading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683362" w:rsidRDefault="00683362" w:rsidP="00683362">
      <w:permStart w:id="6" w:edGrp="everyone"/>
      <w:r>
        <w:t>In light of the criteria set out in Article 5(4) of EMIR, (degree of standardisation, liquidity and availability of pricing information)</w:t>
      </w:r>
      <w:r w:rsidR="007907CE">
        <w:t>,</w:t>
      </w:r>
      <w:r>
        <w:t xml:space="preserve"> LCH.Clearnet supports the analysis laid out in the paper which logically leads to the definition of the class and agree</w:t>
      </w:r>
      <w:r w:rsidR="007907CE">
        <w:t>s</w:t>
      </w:r>
      <w:r>
        <w:t xml:space="preserve"> that the obligation to clear this class would reduce a significant po</w:t>
      </w:r>
      <w:r>
        <w:t>r</w:t>
      </w:r>
      <w:r>
        <w:t xml:space="preserve">tion of systemic risk associated with NDFs. </w:t>
      </w:r>
    </w:p>
    <w:p w:rsidR="00683362" w:rsidRDefault="00683362" w:rsidP="00683362"/>
    <w:p w:rsidR="00683362" w:rsidRDefault="007907CE" w:rsidP="00683362">
      <w:r>
        <w:t>As noted by</w:t>
      </w:r>
      <w:r w:rsidR="00683362">
        <w:t xml:space="preserve"> ESMA </w:t>
      </w:r>
      <w:r>
        <w:t>in the consultation</w:t>
      </w:r>
      <w:r w:rsidR="00683362">
        <w:t>, the NDF market has experienced strong growth in the past five years. Outstanding notional and trading volumes in this class of derivative, measured in absolute terms, are significant and represent a substantial quantum of uncleared systemic risk.</w:t>
      </w:r>
    </w:p>
    <w:p w:rsidR="00683362" w:rsidRDefault="00683362" w:rsidP="00683362"/>
    <w:p w:rsidR="00683362" w:rsidRDefault="007907CE" w:rsidP="00683362">
      <w:r>
        <w:t xml:space="preserve">We believe </w:t>
      </w:r>
      <w:r w:rsidR="00683362">
        <w:t xml:space="preserve">it is important to stress that LCH.Clearnet’s ForexClear service not only allows bilaterally traded FX NDF contracts to be cleared on identical terms to those defined by the </w:t>
      </w:r>
      <w:r w:rsidR="00ED6390">
        <w:t>EMTA</w:t>
      </w:r>
      <w:r w:rsidR="00683362">
        <w:t>, b</w:t>
      </w:r>
      <w:r w:rsidR="00FB4351">
        <w:t>ut also</w:t>
      </w:r>
      <w:r w:rsidR="00683362">
        <w:t xml:space="preserve"> uses real-time price data sourced directly from market participants to ensure accurate and up-to-date pricing.</w:t>
      </w:r>
    </w:p>
    <w:p w:rsidR="00683362" w:rsidRDefault="00683362" w:rsidP="00683362"/>
    <w:p w:rsidR="00CC1C71" w:rsidRDefault="00683362" w:rsidP="00683362">
      <w:r>
        <w:t>LCH.Clearnet would welcome further clarification of the definition of maturity, particularly with regards to the 2 year tenor and the corresponding final settlement date that is covered b</w:t>
      </w:r>
      <w:r w:rsidR="007907CE">
        <w:t xml:space="preserve">y the clearing obligation.  </w:t>
      </w:r>
      <w:r>
        <w:t>LCH.Clearnet</w:t>
      </w:r>
      <w:r w:rsidR="007907CE">
        <w:t>’s</w:t>
      </w:r>
      <w:r>
        <w:t xml:space="preserve"> ForexClear service measures the 2 year max</w:t>
      </w:r>
      <w:r w:rsidR="00DC6FD8">
        <w:t>imum</w:t>
      </w:r>
      <w:r>
        <w:t xml:space="preserve"> tenor as the settlement date falling two calendar years plus two business days immediately following the Submission Date.</w:t>
      </w:r>
    </w:p>
    <w:permEnd w:id="6"/>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7913BC" w:rsidRPr="007907CE" w:rsidRDefault="007913BC" w:rsidP="007913BC">
      <w:pPr>
        <w:rPr>
          <w:rFonts w:cs="Arial"/>
          <w:szCs w:val="20"/>
        </w:rPr>
      </w:pPr>
      <w:permStart w:id="7" w:edGrp="everyone"/>
      <w:r w:rsidRPr="007907CE">
        <w:rPr>
          <w:rFonts w:cs="Arial"/>
          <w:szCs w:val="20"/>
        </w:rPr>
        <w:t>LCH.Clearnet is supportive of the 11 currency pairs selected for the clearing obligation and note</w:t>
      </w:r>
      <w:r w:rsidR="007907CE">
        <w:rPr>
          <w:rFonts w:cs="Arial"/>
          <w:szCs w:val="20"/>
        </w:rPr>
        <w:t>s</w:t>
      </w:r>
      <w:r w:rsidRPr="007907CE">
        <w:rPr>
          <w:rFonts w:cs="Arial"/>
          <w:szCs w:val="20"/>
        </w:rPr>
        <w:t xml:space="preserve"> that preceding the publication of this consultation paper, the ForexClear service added a twelfth currency pair, USD/PEN.</w:t>
      </w:r>
      <w:r w:rsidR="007907CE">
        <w:rPr>
          <w:rFonts w:cs="Arial"/>
          <w:szCs w:val="20"/>
        </w:rPr>
        <w:t xml:space="preserve"> </w:t>
      </w:r>
    </w:p>
    <w:p w:rsidR="007913BC" w:rsidRPr="007907CE" w:rsidRDefault="007913BC" w:rsidP="007913BC">
      <w:pPr>
        <w:rPr>
          <w:rFonts w:cs="Arial"/>
          <w:szCs w:val="20"/>
        </w:rPr>
      </w:pPr>
    </w:p>
    <w:p w:rsidR="00CE18EF" w:rsidRDefault="007913BC" w:rsidP="00CC1C71">
      <w:pPr>
        <w:rPr>
          <w:rFonts w:cs="Arial"/>
          <w:szCs w:val="20"/>
        </w:rPr>
      </w:pPr>
      <w:r w:rsidRPr="007907CE">
        <w:rPr>
          <w:rFonts w:cs="Arial"/>
          <w:szCs w:val="20"/>
        </w:rPr>
        <w:t xml:space="preserve">LCH.Clearnet recognises that volumes in NDF contracts are significantly lower </w:t>
      </w:r>
      <w:r w:rsidR="007907CE">
        <w:rPr>
          <w:rFonts w:cs="Arial"/>
          <w:szCs w:val="20"/>
        </w:rPr>
        <w:t xml:space="preserve">in tenors greater than 2 years </w:t>
      </w:r>
      <w:r w:rsidRPr="007907CE">
        <w:rPr>
          <w:rFonts w:cs="Arial"/>
          <w:szCs w:val="20"/>
        </w:rPr>
        <w:t>and agrees that contr</w:t>
      </w:r>
      <w:r w:rsidR="00FC2F3F">
        <w:rPr>
          <w:rFonts w:cs="Arial"/>
          <w:szCs w:val="20"/>
        </w:rPr>
        <w:t>acts with longer maturities</w:t>
      </w:r>
      <w:r w:rsidR="00FC2F3F">
        <w:t xml:space="preserve"> </w:t>
      </w:r>
      <w:r w:rsidR="007907CE">
        <w:rPr>
          <w:rFonts w:cs="Arial"/>
          <w:szCs w:val="20"/>
        </w:rPr>
        <w:t xml:space="preserve">do </w:t>
      </w:r>
      <w:r w:rsidRPr="007907CE">
        <w:rPr>
          <w:rFonts w:cs="Arial"/>
          <w:szCs w:val="20"/>
        </w:rPr>
        <w:t xml:space="preserve">carry additional risks; however this should not imply that longer tenors be excluded from the clearing obligation unless such contracts do not meet the criteria as described in section 3.2 of this consultation paper. </w:t>
      </w:r>
    </w:p>
    <w:p w:rsidR="00CE18EF" w:rsidRDefault="00CE18EF" w:rsidP="00CC1C71">
      <w:pPr>
        <w:rPr>
          <w:rFonts w:cs="Arial"/>
          <w:szCs w:val="20"/>
        </w:rPr>
      </w:pPr>
    </w:p>
    <w:p w:rsidR="00CE18EF" w:rsidRPr="00DC6FD8" w:rsidRDefault="00CE18EF" w:rsidP="00DC6FD8">
      <w:pPr>
        <w:pStyle w:val="PlainText"/>
        <w:rPr>
          <w:rFonts w:ascii="Georgia" w:hAnsi="Georgia"/>
          <w:sz w:val="20"/>
          <w:szCs w:val="20"/>
        </w:rPr>
      </w:pPr>
      <w:r w:rsidRPr="00DC6FD8">
        <w:rPr>
          <w:rFonts w:ascii="Georgia" w:hAnsi="Georgia"/>
          <w:sz w:val="20"/>
          <w:szCs w:val="20"/>
        </w:rPr>
        <w:t xml:space="preserve">Prior </w:t>
      </w:r>
      <w:proofErr w:type="spellStart"/>
      <w:r w:rsidRPr="00DC6FD8">
        <w:rPr>
          <w:rFonts w:ascii="Georgia" w:hAnsi="Georgia"/>
          <w:sz w:val="20"/>
          <w:szCs w:val="20"/>
        </w:rPr>
        <w:t>to</w:t>
      </w:r>
      <w:proofErr w:type="spellEnd"/>
      <w:r w:rsidRPr="00DC6FD8">
        <w:rPr>
          <w:rFonts w:ascii="Georgia" w:hAnsi="Georgia"/>
          <w:sz w:val="20"/>
          <w:szCs w:val="20"/>
        </w:rPr>
        <w:t xml:space="preserve"> </w:t>
      </w:r>
      <w:proofErr w:type="spellStart"/>
      <w:r w:rsidRPr="00DC6FD8">
        <w:rPr>
          <w:rFonts w:ascii="Georgia" w:hAnsi="Georgia"/>
          <w:sz w:val="20"/>
          <w:szCs w:val="20"/>
        </w:rPr>
        <w:t>launching</w:t>
      </w:r>
      <w:proofErr w:type="spellEnd"/>
      <w:r w:rsidR="00DC6FD8" w:rsidRPr="00DC6FD8">
        <w:rPr>
          <w:rFonts w:ascii="Georgia" w:hAnsi="Georgia"/>
          <w:sz w:val="20"/>
          <w:szCs w:val="20"/>
        </w:rPr>
        <w:t xml:space="preserve"> </w:t>
      </w:r>
      <w:proofErr w:type="spellStart"/>
      <w:r w:rsidR="00DC6FD8" w:rsidRPr="00DC6FD8">
        <w:rPr>
          <w:rFonts w:ascii="Georgia" w:hAnsi="Georgia"/>
          <w:sz w:val="20"/>
          <w:szCs w:val="20"/>
        </w:rPr>
        <w:t>the</w:t>
      </w:r>
      <w:proofErr w:type="spellEnd"/>
      <w:r w:rsidRPr="00DC6FD8">
        <w:rPr>
          <w:rFonts w:ascii="Georgia" w:hAnsi="Georgia"/>
          <w:sz w:val="20"/>
          <w:szCs w:val="20"/>
        </w:rPr>
        <w:t xml:space="preserve"> ForexClear </w:t>
      </w:r>
      <w:proofErr w:type="spellStart"/>
      <w:r w:rsidR="00DC6FD8" w:rsidRPr="00DC6FD8">
        <w:rPr>
          <w:rFonts w:ascii="Georgia" w:hAnsi="Georgia"/>
          <w:sz w:val="20"/>
          <w:szCs w:val="20"/>
        </w:rPr>
        <w:t>service</w:t>
      </w:r>
      <w:proofErr w:type="spellEnd"/>
      <w:r w:rsidR="003A43B1">
        <w:rPr>
          <w:rFonts w:ascii="Georgia" w:hAnsi="Georgia"/>
          <w:sz w:val="20"/>
          <w:szCs w:val="20"/>
        </w:rPr>
        <w:t>,</w:t>
      </w:r>
      <w:r w:rsidRPr="00DC6FD8">
        <w:rPr>
          <w:rFonts w:ascii="Georgia" w:hAnsi="Georgia"/>
          <w:sz w:val="20"/>
          <w:szCs w:val="20"/>
        </w:rPr>
        <w:t xml:space="preserve"> </w:t>
      </w:r>
      <w:proofErr w:type="spellStart"/>
      <w:r w:rsidRPr="00DC6FD8">
        <w:rPr>
          <w:rFonts w:ascii="Georgia" w:hAnsi="Georgia"/>
          <w:sz w:val="20"/>
          <w:szCs w:val="20"/>
        </w:rPr>
        <w:t>LCH.Clearnet</w:t>
      </w:r>
      <w:proofErr w:type="spellEnd"/>
      <w:r w:rsidRPr="00DC6FD8">
        <w:rPr>
          <w:rFonts w:ascii="Georgia" w:hAnsi="Georgia"/>
          <w:sz w:val="20"/>
          <w:szCs w:val="20"/>
        </w:rPr>
        <w:t xml:space="preserve"> </w:t>
      </w:r>
      <w:proofErr w:type="spellStart"/>
      <w:r w:rsidRPr="00DC6FD8">
        <w:rPr>
          <w:rFonts w:ascii="Georgia" w:hAnsi="Georgia"/>
          <w:sz w:val="20"/>
          <w:szCs w:val="20"/>
        </w:rPr>
        <w:t>consulted</w:t>
      </w:r>
      <w:proofErr w:type="spellEnd"/>
      <w:r w:rsidRPr="00DC6FD8">
        <w:rPr>
          <w:rFonts w:ascii="Georgia" w:hAnsi="Georgia"/>
          <w:sz w:val="20"/>
          <w:szCs w:val="20"/>
        </w:rPr>
        <w:t xml:space="preserve"> </w:t>
      </w:r>
      <w:proofErr w:type="spellStart"/>
      <w:r w:rsidRPr="00DC6FD8">
        <w:rPr>
          <w:rFonts w:ascii="Georgia" w:hAnsi="Georgia"/>
          <w:sz w:val="20"/>
          <w:szCs w:val="20"/>
        </w:rPr>
        <w:t>with</w:t>
      </w:r>
      <w:proofErr w:type="spellEnd"/>
      <w:r w:rsidRPr="00DC6FD8">
        <w:rPr>
          <w:rFonts w:ascii="Georgia" w:hAnsi="Georgia"/>
          <w:sz w:val="20"/>
          <w:szCs w:val="20"/>
        </w:rPr>
        <w:t xml:space="preserve"> </w:t>
      </w:r>
      <w:proofErr w:type="spellStart"/>
      <w:r w:rsidRPr="00DC6FD8">
        <w:rPr>
          <w:rFonts w:ascii="Georgia" w:hAnsi="Georgia"/>
          <w:sz w:val="20"/>
          <w:szCs w:val="20"/>
        </w:rPr>
        <w:t>market</w:t>
      </w:r>
      <w:proofErr w:type="spellEnd"/>
      <w:r w:rsidRPr="00DC6FD8">
        <w:rPr>
          <w:rFonts w:ascii="Georgia" w:hAnsi="Georgia"/>
          <w:sz w:val="20"/>
          <w:szCs w:val="20"/>
        </w:rPr>
        <w:t xml:space="preserve"> </w:t>
      </w:r>
      <w:proofErr w:type="spellStart"/>
      <w:r w:rsidRPr="00DC6FD8">
        <w:rPr>
          <w:rFonts w:ascii="Georgia" w:hAnsi="Georgia"/>
          <w:sz w:val="20"/>
          <w:szCs w:val="20"/>
        </w:rPr>
        <w:t>participants</w:t>
      </w:r>
      <w:proofErr w:type="spellEnd"/>
      <w:r w:rsidRPr="00DC6FD8">
        <w:rPr>
          <w:rFonts w:ascii="Georgia" w:hAnsi="Georgia"/>
          <w:sz w:val="20"/>
          <w:szCs w:val="20"/>
        </w:rPr>
        <w:t xml:space="preserve"> on </w:t>
      </w:r>
      <w:proofErr w:type="spellStart"/>
      <w:r w:rsidRPr="00DC6FD8">
        <w:rPr>
          <w:rFonts w:ascii="Georgia" w:hAnsi="Georgia"/>
          <w:sz w:val="20"/>
          <w:szCs w:val="20"/>
        </w:rPr>
        <w:t>the</w:t>
      </w:r>
      <w:proofErr w:type="spellEnd"/>
      <w:r w:rsidRPr="00DC6FD8">
        <w:rPr>
          <w:rFonts w:ascii="Georgia" w:hAnsi="Georgia"/>
          <w:sz w:val="20"/>
          <w:szCs w:val="20"/>
        </w:rPr>
        <w:t xml:space="preserve"> design </w:t>
      </w:r>
      <w:proofErr w:type="spellStart"/>
      <w:r w:rsidRPr="00DC6FD8">
        <w:rPr>
          <w:rFonts w:ascii="Georgia" w:hAnsi="Georgia"/>
          <w:sz w:val="20"/>
          <w:szCs w:val="20"/>
        </w:rPr>
        <w:t>of</w:t>
      </w:r>
      <w:proofErr w:type="spellEnd"/>
      <w:r w:rsidRPr="00DC6FD8">
        <w:rPr>
          <w:rFonts w:ascii="Georgia" w:hAnsi="Georgia"/>
          <w:sz w:val="20"/>
          <w:szCs w:val="20"/>
        </w:rPr>
        <w:t xml:space="preserve"> </w:t>
      </w:r>
      <w:proofErr w:type="spellStart"/>
      <w:r w:rsidRPr="00DC6FD8">
        <w:rPr>
          <w:rFonts w:ascii="Georgia" w:hAnsi="Georgia"/>
          <w:sz w:val="20"/>
          <w:szCs w:val="20"/>
        </w:rPr>
        <w:t>the</w:t>
      </w:r>
      <w:proofErr w:type="spellEnd"/>
      <w:r w:rsidRPr="00DC6FD8">
        <w:rPr>
          <w:rFonts w:ascii="Georgia" w:hAnsi="Georgia"/>
          <w:sz w:val="20"/>
          <w:szCs w:val="20"/>
        </w:rPr>
        <w:t xml:space="preserve"> </w:t>
      </w:r>
      <w:proofErr w:type="spellStart"/>
      <w:r w:rsidRPr="00DC6FD8">
        <w:rPr>
          <w:rFonts w:ascii="Georgia" w:hAnsi="Georgia"/>
          <w:sz w:val="20"/>
          <w:szCs w:val="20"/>
        </w:rPr>
        <w:t>service</w:t>
      </w:r>
      <w:proofErr w:type="spellEnd"/>
      <w:r w:rsidRPr="00DC6FD8">
        <w:rPr>
          <w:rFonts w:ascii="Georgia" w:hAnsi="Georgia"/>
          <w:sz w:val="20"/>
          <w:szCs w:val="20"/>
        </w:rPr>
        <w:t xml:space="preserve"> </w:t>
      </w:r>
      <w:proofErr w:type="spellStart"/>
      <w:r w:rsidRPr="00DC6FD8">
        <w:rPr>
          <w:rFonts w:ascii="Georgia" w:hAnsi="Georgia"/>
          <w:sz w:val="20"/>
          <w:szCs w:val="20"/>
        </w:rPr>
        <w:t>i</w:t>
      </w:r>
      <w:r w:rsidR="00DC6FD8" w:rsidRPr="00DC6FD8">
        <w:rPr>
          <w:rFonts w:ascii="Georgia" w:hAnsi="Georgia"/>
          <w:sz w:val="20"/>
          <w:szCs w:val="20"/>
        </w:rPr>
        <w:t>ncluding</w:t>
      </w:r>
      <w:proofErr w:type="spellEnd"/>
      <w:r w:rsidR="00DC6FD8" w:rsidRPr="00DC6FD8">
        <w:rPr>
          <w:rFonts w:ascii="Georgia" w:hAnsi="Georgia"/>
          <w:sz w:val="20"/>
          <w:szCs w:val="20"/>
        </w:rPr>
        <w:t xml:space="preserve"> </w:t>
      </w:r>
      <w:proofErr w:type="spellStart"/>
      <w:r w:rsidR="00DC6FD8" w:rsidRPr="00DC6FD8">
        <w:rPr>
          <w:rFonts w:ascii="Georgia" w:hAnsi="Georgia"/>
          <w:sz w:val="20"/>
          <w:szCs w:val="20"/>
        </w:rPr>
        <w:t>tenors</w:t>
      </w:r>
      <w:proofErr w:type="spellEnd"/>
      <w:r w:rsidR="00DC6FD8" w:rsidRPr="00DC6FD8">
        <w:rPr>
          <w:rFonts w:ascii="Georgia" w:hAnsi="Georgia"/>
          <w:sz w:val="20"/>
          <w:szCs w:val="20"/>
        </w:rPr>
        <w:t xml:space="preserve"> </w:t>
      </w:r>
      <w:proofErr w:type="spellStart"/>
      <w:r w:rsidR="00DC6FD8" w:rsidRPr="00DC6FD8">
        <w:rPr>
          <w:rFonts w:ascii="Georgia" w:hAnsi="Georgia"/>
          <w:sz w:val="20"/>
          <w:szCs w:val="20"/>
        </w:rPr>
        <w:t>up</w:t>
      </w:r>
      <w:proofErr w:type="spellEnd"/>
      <w:r w:rsidR="00DC6FD8" w:rsidRPr="00DC6FD8">
        <w:rPr>
          <w:rFonts w:ascii="Georgia" w:hAnsi="Georgia"/>
          <w:sz w:val="20"/>
          <w:szCs w:val="20"/>
        </w:rPr>
        <w:t xml:space="preserve"> </w:t>
      </w:r>
      <w:proofErr w:type="spellStart"/>
      <w:r w:rsidR="00DC6FD8" w:rsidRPr="00DC6FD8">
        <w:rPr>
          <w:rFonts w:ascii="Georgia" w:hAnsi="Georgia"/>
          <w:sz w:val="20"/>
          <w:szCs w:val="20"/>
        </w:rPr>
        <w:t>to</w:t>
      </w:r>
      <w:proofErr w:type="spellEnd"/>
      <w:r w:rsidR="00DC6FD8" w:rsidRPr="00DC6FD8">
        <w:rPr>
          <w:rFonts w:ascii="Georgia" w:hAnsi="Georgia"/>
          <w:sz w:val="20"/>
          <w:szCs w:val="20"/>
        </w:rPr>
        <w:t xml:space="preserve"> 5 </w:t>
      </w:r>
      <w:proofErr w:type="spellStart"/>
      <w:r w:rsidR="00DC6FD8" w:rsidRPr="00DC6FD8">
        <w:rPr>
          <w:rFonts w:ascii="Georgia" w:hAnsi="Georgia"/>
          <w:sz w:val="20"/>
          <w:szCs w:val="20"/>
        </w:rPr>
        <w:t>years</w:t>
      </w:r>
      <w:proofErr w:type="spellEnd"/>
      <w:r w:rsidR="00DC6FD8" w:rsidRPr="00DC6FD8">
        <w:rPr>
          <w:rFonts w:ascii="Georgia" w:hAnsi="Georgia"/>
          <w:sz w:val="20"/>
          <w:szCs w:val="20"/>
        </w:rPr>
        <w:t xml:space="preserve">. </w:t>
      </w:r>
      <w:r w:rsidRPr="00DC6FD8">
        <w:rPr>
          <w:rFonts w:ascii="Georgia" w:hAnsi="Georgia"/>
          <w:sz w:val="20"/>
          <w:szCs w:val="20"/>
        </w:rPr>
        <w:t xml:space="preserve">The </w:t>
      </w:r>
      <w:proofErr w:type="spellStart"/>
      <w:r w:rsidRPr="00DC6FD8">
        <w:rPr>
          <w:rFonts w:ascii="Georgia" w:hAnsi="Georgia"/>
          <w:sz w:val="20"/>
          <w:szCs w:val="20"/>
        </w:rPr>
        <w:t>risk</w:t>
      </w:r>
      <w:proofErr w:type="spellEnd"/>
      <w:r w:rsidRPr="00DC6FD8">
        <w:rPr>
          <w:rFonts w:ascii="Georgia" w:hAnsi="Georgia"/>
          <w:sz w:val="20"/>
          <w:szCs w:val="20"/>
        </w:rPr>
        <w:t xml:space="preserve"> and </w:t>
      </w:r>
      <w:proofErr w:type="spellStart"/>
      <w:r w:rsidRPr="00DC6FD8">
        <w:rPr>
          <w:rFonts w:ascii="Georgia" w:hAnsi="Georgia"/>
          <w:sz w:val="20"/>
          <w:szCs w:val="20"/>
        </w:rPr>
        <w:t>liquidity</w:t>
      </w:r>
      <w:proofErr w:type="spellEnd"/>
      <w:r w:rsidRPr="00DC6FD8">
        <w:rPr>
          <w:rFonts w:ascii="Georgia" w:hAnsi="Georgia"/>
          <w:sz w:val="20"/>
          <w:szCs w:val="20"/>
        </w:rPr>
        <w:t xml:space="preserve"> </w:t>
      </w:r>
      <w:proofErr w:type="spellStart"/>
      <w:r w:rsidRPr="00DC6FD8">
        <w:rPr>
          <w:rFonts w:ascii="Georgia" w:hAnsi="Georgia"/>
          <w:sz w:val="20"/>
          <w:szCs w:val="20"/>
        </w:rPr>
        <w:t>analysis</w:t>
      </w:r>
      <w:proofErr w:type="spellEnd"/>
      <w:r w:rsidRPr="00DC6FD8">
        <w:rPr>
          <w:rFonts w:ascii="Georgia" w:hAnsi="Georgia"/>
          <w:sz w:val="20"/>
          <w:szCs w:val="20"/>
        </w:rPr>
        <w:t xml:space="preserve"> </w:t>
      </w:r>
      <w:proofErr w:type="spellStart"/>
      <w:r w:rsidR="003A43B1">
        <w:rPr>
          <w:rFonts w:ascii="Georgia" w:hAnsi="Georgia"/>
          <w:sz w:val="20"/>
          <w:szCs w:val="20"/>
        </w:rPr>
        <w:t>carried</w:t>
      </w:r>
      <w:proofErr w:type="spellEnd"/>
      <w:r w:rsidR="003A43B1">
        <w:rPr>
          <w:rFonts w:ascii="Georgia" w:hAnsi="Georgia"/>
          <w:sz w:val="20"/>
          <w:szCs w:val="20"/>
        </w:rPr>
        <w:t xml:space="preserve"> out </w:t>
      </w:r>
      <w:proofErr w:type="spellStart"/>
      <w:r w:rsidR="003A43B1">
        <w:rPr>
          <w:rFonts w:ascii="Georgia" w:hAnsi="Georgia"/>
          <w:sz w:val="20"/>
          <w:szCs w:val="20"/>
        </w:rPr>
        <w:t>by</w:t>
      </w:r>
      <w:proofErr w:type="spellEnd"/>
      <w:r w:rsidR="003A43B1">
        <w:rPr>
          <w:rFonts w:ascii="Georgia" w:hAnsi="Georgia"/>
          <w:sz w:val="20"/>
          <w:szCs w:val="20"/>
        </w:rPr>
        <w:t xml:space="preserve"> </w:t>
      </w:r>
      <w:proofErr w:type="spellStart"/>
      <w:r w:rsidR="003A43B1">
        <w:rPr>
          <w:rFonts w:ascii="Georgia" w:hAnsi="Georgia"/>
          <w:sz w:val="20"/>
          <w:szCs w:val="20"/>
        </w:rPr>
        <w:t>LCH.Clearnet</w:t>
      </w:r>
      <w:proofErr w:type="spellEnd"/>
      <w:r w:rsidRPr="00DC6FD8">
        <w:rPr>
          <w:rFonts w:ascii="Georgia" w:hAnsi="Georgia"/>
          <w:sz w:val="20"/>
          <w:szCs w:val="20"/>
        </w:rPr>
        <w:t xml:space="preserve"> in order </w:t>
      </w:r>
      <w:proofErr w:type="spellStart"/>
      <w:r w:rsidRPr="00DC6FD8">
        <w:rPr>
          <w:rFonts w:ascii="Georgia" w:hAnsi="Georgia"/>
          <w:sz w:val="20"/>
          <w:szCs w:val="20"/>
        </w:rPr>
        <w:t>to</w:t>
      </w:r>
      <w:proofErr w:type="spellEnd"/>
      <w:r w:rsidRPr="00DC6FD8">
        <w:rPr>
          <w:rFonts w:ascii="Georgia" w:hAnsi="Georgia"/>
          <w:sz w:val="20"/>
          <w:szCs w:val="20"/>
        </w:rPr>
        <w:t xml:space="preserve"> </w:t>
      </w:r>
      <w:proofErr w:type="spellStart"/>
      <w:r w:rsidRPr="00DC6FD8">
        <w:rPr>
          <w:rFonts w:ascii="Georgia" w:hAnsi="Georgia"/>
          <w:sz w:val="20"/>
          <w:szCs w:val="20"/>
        </w:rPr>
        <w:t>gain</w:t>
      </w:r>
      <w:proofErr w:type="spellEnd"/>
      <w:r w:rsidRPr="00DC6FD8">
        <w:rPr>
          <w:rFonts w:ascii="Georgia" w:hAnsi="Georgia"/>
          <w:sz w:val="20"/>
          <w:szCs w:val="20"/>
        </w:rPr>
        <w:t xml:space="preserve"> </w:t>
      </w:r>
      <w:proofErr w:type="spellStart"/>
      <w:r w:rsidRPr="00DC6FD8">
        <w:rPr>
          <w:rFonts w:ascii="Georgia" w:hAnsi="Georgia"/>
          <w:sz w:val="20"/>
          <w:szCs w:val="20"/>
        </w:rPr>
        <w:t>internal</w:t>
      </w:r>
      <w:proofErr w:type="spellEnd"/>
      <w:r w:rsidRPr="00DC6FD8">
        <w:rPr>
          <w:rFonts w:ascii="Georgia" w:hAnsi="Georgia"/>
          <w:sz w:val="20"/>
          <w:szCs w:val="20"/>
        </w:rPr>
        <w:t xml:space="preserve"> and Regulatory </w:t>
      </w:r>
      <w:proofErr w:type="spellStart"/>
      <w:r w:rsidRPr="00DC6FD8">
        <w:rPr>
          <w:rFonts w:ascii="Georgia" w:hAnsi="Georgia"/>
          <w:sz w:val="20"/>
          <w:szCs w:val="20"/>
        </w:rPr>
        <w:t>approvals</w:t>
      </w:r>
      <w:proofErr w:type="spellEnd"/>
      <w:r w:rsidRPr="00DC6FD8">
        <w:rPr>
          <w:rFonts w:ascii="Georgia" w:hAnsi="Georgia"/>
          <w:sz w:val="20"/>
          <w:szCs w:val="20"/>
        </w:rPr>
        <w:t xml:space="preserve"> </w:t>
      </w:r>
      <w:proofErr w:type="spellStart"/>
      <w:r w:rsidRPr="00DC6FD8">
        <w:rPr>
          <w:rFonts w:ascii="Georgia" w:hAnsi="Georgia"/>
          <w:sz w:val="20"/>
          <w:szCs w:val="20"/>
        </w:rPr>
        <w:t>positively</w:t>
      </w:r>
      <w:proofErr w:type="spellEnd"/>
      <w:r w:rsidRPr="00DC6FD8">
        <w:rPr>
          <w:rFonts w:ascii="Georgia" w:hAnsi="Georgia"/>
          <w:sz w:val="20"/>
          <w:szCs w:val="20"/>
        </w:rPr>
        <w:t xml:space="preserve"> </w:t>
      </w:r>
      <w:proofErr w:type="spellStart"/>
      <w:r w:rsidRPr="00DC6FD8">
        <w:rPr>
          <w:rFonts w:ascii="Georgia" w:hAnsi="Georgia"/>
          <w:sz w:val="20"/>
          <w:szCs w:val="20"/>
        </w:rPr>
        <w:t>supported</w:t>
      </w:r>
      <w:proofErr w:type="spellEnd"/>
      <w:r w:rsidRPr="00DC6FD8">
        <w:rPr>
          <w:rFonts w:ascii="Georgia" w:hAnsi="Georgia"/>
          <w:sz w:val="20"/>
          <w:szCs w:val="20"/>
        </w:rPr>
        <w:t xml:space="preserve"> </w:t>
      </w:r>
      <w:proofErr w:type="spellStart"/>
      <w:r w:rsidRPr="00DC6FD8">
        <w:rPr>
          <w:rFonts w:ascii="Georgia" w:hAnsi="Georgia"/>
          <w:sz w:val="20"/>
          <w:szCs w:val="20"/>
        </w:rPr>
        <w:t>the</w:t>
      </w:r>
      <w:proofErr w:type="spellEnd"/>
      <w:r w:rsidRPr="00DC6FD8">
        <w:rPr>
          <w:rFonts w:ascii="Georgia" w:hAnsi="Georgia"/>
          <w:sz w:val="20"/>
          <w:szCs w:val="20"/>
        </w:rPr>
        <w:t xml:space="preserve"> </w:t>
      </w:r>
      <w:proofErr w:type="spellStart"/>
      <w:r w:rsidRPr="00DC6FD8">
        <w:rPr>
          <w:rFonts w:ascii="Georgia" w:hAnsi="Georgia"/>
          <w:sz w:val="20"/>
          <w:szCs w:val="20"/>
        </w:rPr>
        <w:t>inclusion</w:t>
      </w:r>
      <w:proofErr w:type="spellEnd"/>
      <w:r w:rsidRPr="00DC6FD8">
        <w:rPr>
          <w:rFonts w:ascii="Georgia" w:hAnsi="Georgia"/>
          <w:sz w:val="20"/>
          <w:szCs w:val="20"/>
        </w:rPr>
        <w:t xml:space="preserve"> </w:t>
      </w:r>
      <w:proofErr w:type="spellStart"/>
      <w:r w:rsidRPr="00DC6FD8">
        <w:rPr>
          <w:rFonts w:ascii="Georgia" w:hAnsi="Georgia"/>
          <w:sz w:val="20"/>
          <w:szCs w:val="20"/>
        </w:rPr>
        <w:t>of</w:t>
      </w:r>
      <w:proofErr w:type="spellEnd"/>
      <w:r w:rsidRPr="00DC6FD8">
        <w:rPr>
          <w:rFonts w:ascii="Georgia" w:hAnsi="Georgia"/>
          <w:sz w:val="20"/>
          <w:szCs w:val="20"/>
        </w:rPr>
        <w:t xml:space="preserve"> all </w:t>
      </w:r>
      <w:proofErr w:type="spellStart"/>
      <w:r w:rsidRPr="00DC6FD8">
        <w:rPr>
          <w:rFonts w:ascii="Georgia" w:hAnsi="Georgia"/>
          <w:sz w:val="20"/>
          <w:szCs w:val="20"/>
        </w:rPr>
        <w:t>tenors</w:t>
      </w:r>
      <w:proofErr w:type="spellEnd"/>
      <w:r w:rsidRPr="00DC6FD8">
        <w:rPr>
          <w:rFonts w:ascii="Georgia" w:hAnsi="Georgia"/>
          <w:sz w:val="20"/>
          <w:szCs w:val="20"/>
        </w:rPr>
        <w:t xml:space="preserve"> </w:t>
      </w:r>
      <w:proofErr w:type="spellStart"/>
      <w:r w:rsidRPr="00DC6FD8">
        <w:rPr>
          <w:rFonts w:ascii="Georgia" w:hAnsi="Georgia"/>
          <w:sz w:val="20"/>
          <w:szCs w:val="20"/>
        </w:rPr>
        <w:t>up</w:t>
      </w:r>
      <w:proofErr w:type="spellEnd"/>
      <w:r w:rsidRPr="00DC6FD8">
        <w:rPr>
          <w:rFonts w:ascii="Georgia" w:hAnsi="Georgia"/>
          <w:sz w:val="20"/>
          <w:szCs w:val="20"/>
        </w:rPr>
        <w:t xml:space="preserve"> </w:t>
      </w:r>
      <w:proofErr w:type="spellStart"/>
      <w:r w:rsidRPr="00DC6FD8">
        <w:rPr>
          <w:rFonts w:ascii="Georgia" w:hAnsi="Georgia"/>
          <w:sz w:val="20"/>
          <w:szCs w:val="20"/>
        </w:rPr>
        <w:t>to</w:t>
      </w:r>
      <w:proofErr w:type="spellEnd"/>
      <w:r w:rsidRPr="00DC6FD8">
        <w:rPr>
          <w:rFonts w:ascii="Georgia" w:hAnsi="Georgia"/>
          <w:sz w:val="20"/>
          <w:szCs w:val="20"/>
        </w:rPr>
        <w:t xml:space="preserve"> and </w:t>
      </w:r>
      <w:proofErr w:type="spellStart"/>
      <w:r w:rsidRPr="00DC6FD8">
        <w:rPr>
          <w:rFonts w:ascii="Georgia" w:hAnsi="Georgia"/>
          <w:sz w:val="20"/>
          <w:szCs w:val="20"/>
        </w:rPr>
        <w:t>including</w:t>
      </w:r>
      <w:proofErr w:type="spellEnd"/>
      <w:r w:rsidRPr="00DC6FD8">
        <w:rPr>
          <w:rFonts w:ascii="Georgia" w:hAnsi="Georgia"/>
          <w:sz w:val="20"/>
          <w:szCs w:val="20"/>
        </w:rPr>
        <w:t xml:space="preserve"> 2 </w:t>
      </w:r>
      <w:proofErr w:type="spellStart"/>
      <w:r w:rsidRPr="00DC6FD8">
        <w:rPr>
          <w:rFonts w:ascii="Georgia" w:hAnsi="Georgia"/>
          <w:sz w:val="20"/>
          <w:szCs w:val="20"/>
        </w:rPr>
        <w:t>years</w:t>
      </w:r>
      <w:proofErr w:type="spellEnd"/>
      <w:r w:rsidRPr="00DC6FD8">
        <w:rPr>
          <w:rFonts w:ascii="Georgia" w:hAnsi="Georgia"/>
          <w:sz w:val="20"/>
          <w:szCs w:val="20"/>
        </w:rPr>
        <w:t xml:space="preserve"> </w:t>
      </w:r>
      <w:proofErr w:type="spellStart"/>
      <w:r w:rsidRPr="00DC6FD8">
        <w:rPr>
          <w:rFonts w:ascii="Georgia" w:hAnsi="Georgia"/>
          <w:sz w:val="20"/>
          <w:szCs w:val="20"/>
        </w:rPr>
        <w:t>as</w:t>
      </w:r>
      <w:proofErr w:type="spellEnd"/>
      <w:r w:rsidRPr="00DC6FD8">
        <w:rPr>
          <w:rFonts w:ascii="Georgia" w:hAnsi="Georgia"/>
          <w:sz w:val="20"/>
          <w:szCs w:val="20"/>
        </w:rPr>
        <w:t xml:space="preserve"> </w:t>
      </w:r>
      <w:proofErr w:type="spellStart"/>
      <w:r w:rsidRPr="00DC6FD8">
        <w:rPr>
          <w:rFonts w:ascii="Georgia" w:hAnsi="Georgia"/>
          <w:sz w:val="20"/>
          <w:szCs w:val="20"/>
        </w:rPr>
        <w:t>the</w:t>
      </w:r>
      <w:proofErr w:type="spellEnd"/>
      <w:r w:rsidRPr="00DC6FD8">
        <w:rPr>
          <w:rFonts w:ascii="Georgia" w:hAnsi="Georgia"/>
          <w:sz w:val="20"/>
          <w:szCs w:val="20"/>
        </w:rPr>
        <w:t xml:space="preserve"> </w:t>
      </w:r>
      <w:proofErr w:type="spellStart"/>
      <w:r w:rsidRPr="00DC6FD8">
        <w:rPr>
          <w:rFonts w:ascii="Georgia" w:hAnsi="Georgia"/>
          <w:sz w:val="20"/>
          <w:szCs w:val="20"/>
        </w:rPr>
        <w:t>most</w:t>
      </w:r>
      <w:proofErr w:type="spellEnd"/>
      <w:r w:rsidRPr="00DC6FD8">
        <w:rPr>
          <w:rFonts w:ascii="Georgia" w:hAnsi="Georgia"/>
          <w:sz w:val="20"/>
          <w:szCs w:val="20"/>
        </w:rPr>
        <w:t xml:space="preserve"> </w:t>
      </w:r>
      <w:proofErr w:type="spellStart"/>
      <w:r w:rsidRPr="00DC6FD8">
        <w:rPr>
          <w:rFonts w:ascii="Georgia" w:hAnsi="Georgia"/>
          <w:sz w:val="20"/>
          <w:szCs w:val="20"/>
        </w:rPr>
        <w:t>effective</w:t>
      </w:r>
      <w:proofErr w:type="spellEnd"/>
      <w:r w:rsidRPr="00DC6FD8">
        <w:rPr>
          <w:rFonts w:ascii="Georgia" w:hAnsi="Georgia"/>
          <w:sz w:val="20"/>
          <w:szCs w:val="20"/>
        </w:rPr>
        <w:t xml:space="preserve"> </w:t>
      </w:r>
      <w:proofErr w:type="spellStart"/>
      <w:r w:rsidRPr="00DC6FD8">
        <w:rPr>
          <w:rFonts w:ascii="Georgia" w:hAnsi="Georgia"/>
          <w:sz w:val="20"/>
          <w:szCs w:val="20"/>
        </w:rPr>
        <w:t>risk</w:t>
      </w:r>
      <w:proofErr w:type="spellEnd"/>
      <w:r w:rsidRPr="00DC6FD8">
        <w:rPr>
          <w:rFonts w:ascii="Georgia" w:hAnsi="Georgia"/>
          <w:sz w:val="20"/>
          <w:szCs w:val="20"/>
        </w:rPr>
        <w:t xml:space="preserve"> </w:t>
      </w:r>
      <w:proofErr w:type="spellStart"/>
      <w:r w:rsidRPr="00DC6FD8">
        <w:rPr>
          <w:rFonts w:ascii="Georgia" w:hAnsi="Georgia"/>
          <w:sz w:val="20"/>
          <w:szCs w:val="20"/>
        </w:rPr>
        <w:t>management</w:t>
      </w:r>
      <w:proofErr w:type="spellEnd"/>
      <w:r w:rsidRPr="00DC6FD8">
        <w:rPr>
          <w:rFonts w:ascii="Georgia" w:hAnsi="Georgia"/>
          <w:sz w:val="20"/>
          <w:szCs w:val="20"/>
        </w:rPr>
        <w:t xml:space="preserve"> </w:t>
      </w:r>
      <w:proofErr w:type="spellStart"/>
      <w:r w:rsidRPr="00DC6FD8">
        <w:rPr>
          <w:rFonts w:ascii="Georgia" w:hAnsi="Georgia"/>
          <w:sz w:val="20"/>
          <w:szCs w:val="20"/>
        </w:rPr>
        <w:t>coverage</w:t>
      </w:r>
      <w:proofErr w:type="spellEnd"/>
      <w:r w:rsidRPr="00DC6FD8">
        <w:rPr>
          <w:rFonts w:ascii="Georgia" w:hAnsi="Georgia"/>
          <w:sz w:val="20"/>
          <w:szCs w:val="20"/>
        </w:rPr>
        <w:t xml:space="preserve"> </w:t>
      </w:r>
      <w:proofErr w:type="spellStart"/>
      <w:r w:rsidRPr="00DC6FD8">
        <w:rPr>
          <w:rFonts w:ascii="Georgia" w:hAnsi="Georgia"/>
          <w:sz w:val="20"/>
          <w:szCs w:val="20"/>
        </w:rPr>
        <w:t>for</w:t>
      </w:r>
      <w:proofErr w:type="spellEnd"/>
      <w:r w:rsidRPr="00DC6FD8">
        <w:rPr>
          <w:rFonts w:ascii="Georgia" w:hAnsi="Georgia"/>
          <w:sz w:val="20"/>
          <w:szCs w:val="20"/>
        </w:rPr>
        <w:t xml:space="preserve"> </w:t>
      </w:r>
      <w:proofErr w:type="spellStart"/>
      <w:r w:rsidRPr="00DC6FD8">
        <w:rPr>
          <w:rFonts w:ascii="Georgia" w:hAnsi="Georgia"/>
          <w:sz w:val="20"/>
          <w:szCs w:val="20"/>
        </w:rPr>
        <w:t>the</w:t>
      </w:r>
      <w:proofErr w:type="spellEnd"/>
      <w:r w:rsidRPr="00DC6FD8">
        <w:rPr>
          <w:rFonts w:ascii="Georgia" w:hAnsi="Georgia"/>
          <w:sz w:val="20"/>
          <w:szCs w:val="20"/>
        </w:rPr>
        <w:t xml:space="preserve"> </w:t>
      </w:r>
      <w:proofErr w:type="spellStart"/>
      <w:r w:rsidRPr="00DC6FD8">
        <w:rPr>
          <w:rFonts w:ascii="Georgia" w:hAnsi="Georgia"/>
          <w:sz w:val="20"/>
          <w:szCs w:val="20"/>
        </w:rPr>
        <w:t>product</w:t>
      </w:r>
      <w:proofErr w:type="spellEnd"/>
      <w:r w:rsidRPr="00DC6FD8">
        <w:rPr>
          <w:rFonts w:ascii="Georgia" w:hAnsi="Georgia"/>
          <w:sz w:val="20"/>
          <w:szCs w:val="20"/>
        </w:rPr>
        <w:t>.</w:t>
      </w:r>
      <w:r w:rsidR="00DC6FD8" w:rsidRPr="00DC6FD8">
        <w:rPr>
          <w:rFonts w:ascii="Georgia" w:hAnsi="Georgia"/>
          <w:sz w:val="20"/>
          <w:szCs w:val="20"/>
        </w:rPr>
        <w:t xml:space="preserve"> </w:t>
      </w:r>
      <w:r w:rsidR="00DC6FD8" w:rsidRPr="00DC6FD8">
        <w:rPr>
          <w:rFonts w:ascii="Georgia" w:hAnsi="Georgia" w:cs="Arial"/>
          <w:sz w:val="20"/>
          <w:szCs w:val="20"/>
        </w:rPr>
        <w:t>T</w:t>
      </w:r>
      <w:r w:rsidR="007913BC" w:rsidRPr="00DC6FD8">
        <w:rPr>
          <w:rFonts w:ascii="Georgia" w:hAnsi="Georgia" w:cs="Arial"/>
          <w:sz w:val="20"/>
          <w:szCs w:val="20"/>
        </w:rPr>
        <w:t xml:space="preserve">he 2 </w:t>
      </w:r>
      <w:proofErr w:type="spellStart"/>
      <w:r w:rsidR="007913BC" w:rsidRPr="00DC6FD8">
        <w:rPr>
          <w:rFonts w:ascii="Georgia" w:hAnsi="Georgia" w:cs="Arial"/>
          <w:sz w:val="20"/>
          <w:szCs w:val="20"/>
        </w:rPr>
        <w:t>year</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tenor</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meet</w:t>
      </w:r>
      <w:r w:rsidR="00DC6FD8" w:rsidRPr="00DC6FD8">
        <w:rPr>
          <w:rFonts w:ascii="Georgia" w:hAnsi="Georgia" w:cs="Arial"/>
          <w:sz w:val="20"/>
          <w:szCs w:val="20"/>
        </w:rPr>
        <w:t>s</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LCH.Clearnet’s</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risk</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management</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principles</w:t>
      </w:r>
      <w:proofErr w:type="spellEnd"/>
      <w:r w:rsidR="007913BC" w:rsidRPr="00DC6FD8">
        <w:rPr>
          <w:rFonts w:ascii="Georgia" w:hAnsi="Georgia" w:cs="Arial"/>
          <w:sz w:val="20"/>
          <w:szCs w:val="20"/>
        </w:rPr>
        <w:t xml:space="preserve"> and </w:t>
      </w:r>
      <w:proofErr w:type="spellStart"/>
      <w:r w:rsidR="007913BC" w:rsidRPr="00DC6FD8">
        <w:rPr>
          <w:rFonts w:ascii="Georgia" w:hAnsi="Georgia" w:cs="Arial"/>
          <w:sz w:val="20"/>
          <w:szCs w:val="20"/>
        </w:rPr>
        <w:t>fit</w:t>
      </w:r>
      <w:r w:rsidR="00DC6FD8" w:rsidRPr="00DC6FD8">
        <w:rPr>
          <w:rFonts w:ascii="Georgia" w:hAnsi="Georgia" w:cs="Arial"/>
          <w:sz w:val="20"/>
          <w:szCs w:val="20"/>
        </w:rPr>
        <w:t>s</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within</w:t>
      </w:r>
      <w:proofErr w:type="spellEnd"/>
      <w:r w:rsidR="007913BC" w:rsidRPr="00DC6FD8">
        <w:rPr>
          <w:rFonts w:ascii="Georgia" w:hAnsi="Georgia" w:cs="Arial"/>
          <w:sz w:val="20"/>
          <w:szCs w:val="20"/>
        </w:rPr>
        <w:t xml:space="preserve"> </w:t>
      </w:r>
      <w:proofErr w:type="spellStart"/>
      <w:r w:rsidR="007913BC" w:rsidRPr="00DC6FD8">
        <w:rPr>
          <w:rFonts w:ascii="Georgia" w:hAnsi="Georgia" w:cs="Arial"/>
          <w:sz w:val="20"/>
          <w:szCs w:val="20"/>
        </w:rPr>
        <w:t>th</w:t>
      </w:r>
      <w:r w:rsidR="007907CE" w:rsidRPr="00DC6FD8">
        <w:rPr>
          <w:rFonts w:ascii="Georgia" w:hAnsi="Georgia" w:cs="Arial"/>
          <w:sz w:val="20"/>
          <w:szCs w:val="20"/>
        </w:rPr>
        <w:t>e</w:t>
      </w:r>
      <w:proofErr w:type="spellEnd"/>
      <w:r w:rsidR="007907CE" w:rsidRPr="00DC6FD8">
        <w:rPr>
          <w:rFonts w:ascii="Georgia" w:hAnsi="Georgia" w:cs="Arial"/>
          <w:sz w:val="20"/>
          <w:szCs w:val="20"/>
        </w:rPr>
        <w:t xml:space="preserve"> ForexClear </w:t>
      </w:r>
      <w:proofErr w:type="spellStart"/>
      <w:r w:rsidR="007907CE" w:rsidRPr="00DC6FD8">
        <w:rPr>
          <w:rFonts w:ascii="Georgia" w:hAnsi="Georgia" w:cs="Arial"/>
          <w:sz w:val="20"/>
          <w:szCs w:val="20"/>
        </w:rPr>
        <w:t>risk</w:t>
      </w:r>
      <w:proofErr w:type="spellEnd"/>
      <w:r w:rsidR="007907CE" w:rsidRPr="00DC6FD8">
        <w:rPr>
          <w:rFonts w:ascii="Georgia" w:hAnsi="Georgia" w:cs="Arial"/>
          <w:sz w:val="20"/>
          <w:szCs w:val="20"/>
        </w:rPr>
        <w:t xml:space="preserve"> model</w:t>
      </w:r>
      <w:r w:rsidR="00DC6FD8">
        <w:rPr>
          <w:rFonts w:ascii="Georgia" w:hAnsi="Georgia" w:cs="Arial"/>
          <w:sz w:val="20"/>
          <w:szCs w:val="20"/>
        </w:rPr>
        <w:t>.</w:t>
      </w:r>
    </w:p>
    <w:permEnd w:id="7"/>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7" w:name="_Toc398140747"/>
      <w:r w:rsidRPr="00412C4C">
        <w:t xml:space="preserve">Determination of the </w:t>
      </w:r>
      <w:r>
        <w:t xml:space="preserve">dates on which the obligation applies and </w:t>
      </w:r>
      <w:r w:rsidRPr="00412C4C">
        <w:t>the categories of cou</w:t>
      </w:r>
      <w:r w:rsidRPr="00412C4C">
        <w:t>n</w:t>
      </w:r>
      <w:r w:rsidRPr="00412C4C">
        <w:t>terparties</w:t>
      </w:r>
      <w:bookmarkEnd w:id="17"/>
    </w:p>
    <w:p w:rsidR="00CC1C71" w:rsidRDefault="00CC1C71" w:rsidP="00CC1C71"/>
    <w:p w:rsidR="00CC1C71" w:rsidRPr="00284213" w:rsidRDefault="00CC1C71" w:rsidP="00CC1C71">
      <w:pPr>
        <w:pStyle w:val="Heading5"/>
      </w:pPr>
      <w:r>
        <w:t xml:space="preserve"> Do you have any comment on the analysis presented in Section </w:t>
      </w:r>
      <w:r w:rsidR="0024721D">
        <w:fldChar w:fldCharType="begin"/>
      </w:r>
      <w:r>
        <w:instrText xml:space="preserve"> REF _Ref392684359 \r \h </w:instrText>
      </w:r>
      <w:r w:rsidR="0024721D">
        <w:fldChar w:fldCharType="separate"/>
      </w:r>
      <w:r>
        <w:t>4.1</w:t>
      </w:r>
      <w:r w:rsidR="0024721D">
        <w:fldChar w:fldCharType="end"/>
      </w:r>
      <w:r>
        <w:t>?</w:t>
      </w:r>
    </w:p>
    <w:p w:rsidR="00CC1C71" w:rsidRDefault="00CC1C71" w:rsidP="00CC1C71"/>
    <w:p w:rsidR="00CC1C71" w:rsidRDefault="00CC1C71" w:rsidP="00CC1C71">
      <w:r>
        <w:t>&lt;ESMA_CO3_QUESTION_5&gt;</w:t>
      </w:r>
    </w:p>
    <w:p w:rsidR="00CC1C71" w:rsidRDefault="009C76F6" w:rsidP="00CC1C71">
      <w:permStart w:id="8" w:edGrp="everyone"/>
      <w:r w:rsidRPr="009C76F6">
        <w:t>LCH.Clearnet agrees that the analysis presented here is appropriate and we support the conclusion that the number of CCPs and the number of clearing members is sufficient to support the clearin</w:t>
      </w:r>
      <w:r>
        <w:t>g obligation in its current form.</w:t>
      </w:r>
    </w:p>
    <w:p w:rsidR="009C76F6" w:rsidRDefault="009C76F6" w:rsidP="00CC1C71"/>
    <w:p w:rsidR="009C76F6" w:rsidRDefault="00DC6FD8" w:rsidP="00CC1C71">
      <w:r>
        <w:t>We think it is</w:t>
      </w:r>
      <w:r w:rsidR="009C76F6" w:rsidRPr="009C76F6">
        <w:t xml:space="preserve"> important to no</w:t>
      </w:r>
      <w:r w:rsidR="009C76F6">
        <w:t>te that</w:t>
      </w:r>
      <w:r w:rsidR="009C76F6" w:rsidRPr="009C76F6">
        <w:t xml:space="preserve"> from a market access, default management and service usage </w:t>
      </w:r>
      <w:r w:rsidR="009C76F6" w:rsidRPr="00DC6FD8">
        <w:t>pe</w:t>
      </w:r>
      <w:r w:rsidR="009C76F6" w:rsidRPr="00DC6FD8">
        <w:t>r</w:t>
      </w:r>
      <w:r w:rsidR="009C76F6" w:rsidRPr="00DC6FD8">
        <w:t>spective whilst cleared volumes remain low</w:t>
      </w:r>
      <w:r>
        <w:t xml:space="preserve"> in respect to the potential size of the market</w:t>
      </w:r>
      <w:r w:rsidR="009C76F6" w:rsidRPr="00DC6FD8">
        <w:t xml:space="preserve">, LCH.Clearnet’s ForexClear service now has 21 clearing members of which 4 are able to offer client clearing. The reference in paragraph 100 of the paper is therefore </w:t>
      </w:r>
      <w:r w:rsidR="00534BAC" w:rsidRPr="00DC6FD8">
        <w:t>out of date</w:t>
      </w:r>
    </w:p>
    <w:permEnd w:id="8"/>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CC1C71" w:rsidRDefault="009C76F6" w:rsidP="00CC1C71">
      <w:permStart w:id="9" w:edGrp="everyone"/>
      <w:r w:rsidRPr="009C76F6">
        <w:t xml:space="preserve">LCH.Clearnet recognises </w:t>
      </w:r>
      <w:r w:rsidRPr="00DC6FD8">
        <w:t xml:space="preserve">that </w:t>
      </w:r>
      <w:r w:rsidR="00C1289E" w:rsidRPr="00DC6FD8">
        <w:t xml:space="preserve">either </w:t>
      </w:r>
      <w:r w:rsidRPr="00DC6FD8">
        <w:t xml:space="preserve">Option 1 (classification of members per asset class) </w:t>
      </w:r>
      <w:r w:rsidR="00C1289E" w:rsidRPr="00DC6FD8">
        <w:t>or</w:t>
      </w:r>
      <w:r w:rsidRPr="00DC6FD8">
        <w:t xml:space="preserve"> Option 2 (c</w:t>
      </w:r>
      <w:r w:rsidRPr="00DC6FD8">
        <w:t>u</w:t>
      </w:r>
      <w:r w:rsidRPr="00DC6FD8">
        <w:t>mulative classification of clearing members) may present challenges for market participants, however we would like to stress that LCH.Clearnet’s ForexClear service is capable of accommodating</w:t>
      </w:r>
      <w:r w:rsidRPr="009C76F6">
        <w:t xml:space="preserve"> either model</w:t>
      </w:r>
      <w:r>
        <w:t>.</w:t>
      </w:r>
    </w:p>
    <w:p w:rsidR="009C76F6" w:rsidRDefault="009C76F6" w:rsidP="00CC1C71"/>
    <w:p w:rsidR="009C76F6" w:rsidRDefault="009C76F6" w:rsidP="00CC1C71">
      <w:pPr>
        <w:rPr>
          <w:rFonts w:cs="Arial"/>
          <w:szCs w:val="20"/>
        </w:rPr>
      </w:pPr>
      <w:r w:rsidRPr="00844675">
        <w:rPr>
          <w:rFonts w:cs="Arial"/>
          <w:szCs w:val="20"/>
        </w:rPr>
        <w:t>Whilst a classification of members per asset class (Option 1) may limit the number of participants</w:t>
      </w:r>
      <w:r w:rsidR="00844675" w:rsidRPr="00844675">
        <w:rPr>
          <w:rFonts w:cs="Arial"/>
          <w:szCs w:val="20"/>
        </w:rPr>
        <w:t xml:space="preserve"> subject to the mandate in the first phase, it is still likely to address a significant proportion of the systemic risk in the market place, as would the cumulative classification; as stated in paragraph 101 of the consultation paper, members of our ForexClear service account for a significant portion of the traded volume and usually are the most relevant liquidity providers.</w:t>
      </w:r>
      <w:r w:rsidR="00666D61">
        <w:rPr>
          <w:rFonts w:cs="Arial"/>
          <w:szCs w:val="20"/>
        </w:rPr>
        <w:t xml:space="preserve"> </w:t>
      </w:r>
    </w:p>
    <w:p w:rsidR="00844675" w:rsidRDefault="00844675" w:rsidP="00CC1C71">
      <w:pPr>
        <w:rPr>
          <w:rFonts w:cs="Arial"/>
          <w:szCs w:val="20"/>
        </w:rPr>
      </w:pPr>
    </w:p>
    <w:p w:rsidR="00844675" w:rsidRDefault="00844675" w:rsidP="00CC1C71">
      <w:pPr>
        <w:rPr>
          <w:szCs w:val="20"/>
        </w:rPr>
      </w:pPr>
      <w:r w:rsidRPr="00844675">
        <w:rPr>
          <w:szCs w:val="20"/>
        </w:rPr>
        <w:t>We also agree that the cumulative model (Option 2) helps to impose standardisation and clarity for market participants</w:t>
      </w:r>
      <w:r w:rsidR="00F66AAF">
        <w:rPr>
          <w:szCs w:val="20"/>
        </w:rPr>
        <w:t xml:space="preserve">. </w:t>
      </w:r>
      <w:r>
        <w:rPr>
          <w:szCs w:val="20"/>
        </w:rPr>
        <w:t>However, i</w:t>
      </w:r>
      <w:r w:rsidRPr="00844675">
        <w:rPr>
          <w:szCs w:val="20"/>
        </w:rPr>
        <w:t xml:space="preserve">t should be noted that being a </w:t>
      </w:r>
      <w:r w:rsidR="00DC6FD8">
        <w:rPr>
          <w:szCs w:val="20"/>
        </w:rPr>
        <w:t xml:space="preserve">significant participant in IRS and </w:t>
      </w:r>
      <w:r>
        <w:rPr>
          <w:szCs w:val="20"/>
        </w:rPr>
        <w:t>CDS</w:t>
      </w:r>
      <w:r w:rsidR="00DC6FD8">
        <w:rPr>
          <w:szCs w:val="20"/>
        </w:rPr>
        <w:t xml:space="preserve"> classes</w:t>
      </w:r>
      <w:r>
        <w:rPr>
          <w:szCs w:val="20"/>
        </w:rPr>
        <w:t xml:space="preserve"> </w:t>
      </w:r>
      <w:r w:rsidR="00DC6FD8">
        <w:rPr>
          <w:szCs w:val="20"/>
        </w:rPr>
        <w:t>should</w:t>
      </w:r>
      <w:r w:rsidRPr="00844675">
        <w:rPr>
          <w:szCs w:val="20"/>
        </w:rPr>
        <w:t xml:space="preserve"> not imply having the necessary infrastructure or processes i</w:t>
      </w:r>
      <w:r>
        <w:rPr>
          <w:szCs w:val="20"/>
        </w:rPr>
        <w:t xml:space="preserve">n place to clear </w:t>
      </w:r>
      <w:r w:rsidR="00DC6FD8">
        <w:rPr>
          <w:szCs w:val="20"/>
        </w:rPr>
        <w:t>FX</w:t>
      </w:r>
      <w:r w:rsidRPr="00844675">
        <w:rPr>
          <w:szCs w:val="20"/>
        </w:rPr>
        <w:t>. More specifically</w:t>
      </w:r>
      <w:r>
        <w:rPr>
          <w:szCs w:val="20"/>
        </w:rPr>
        <w:t>, the industry is</w:t>
      </w:r>
      <w:r w:rsidRPr="00844675">
        <w:rPr>
          <w:szCs w:val="20"/>
        </w:rPr>
        <w:t xml:space="preserve"> prepared for clearing IRS and CDS classes due to the presence of a man</w:t>
      </w:r>
      <w:r>
        <w:rPr>
          <w:szCs w:val="20"/>
        </w:rPr>
        <w:t>date under the US Dodd-F</w:t>
      </w:r>
      <w:r w:rsidRPr="00844675">
        <w:rPr>
          <w:szCs w:val="20"/>
        </w:rPr>
        <w:t>rank Act</w:t>
      </w:r>
      <w:r>
        <w:rPr>
          <w:szCs w:val="20"/>
        </w:rPr>
        <w:t>, which is</w:t>
      </w:r>
      <w:r w:rsidRPr="00844675">
        <w:rPr>
          <w:szCs w:val="20"/>
        </w:rPr>
        <w:t xml:space="preserve"> currently </w:t>
      </w:r>
      <w:r>
        <w:rPr>
          <w:szCs w:val="20"/>
        </w:rPr>
        <w:t xml:space="preserve">not </w:t>
      </w:r>
      <w:r w:rsidRPr="00844675">
        <w:rPr>
          <w:szCs w:val="20"/>
        </w:rPr>
        <w:t>the case for NDFs.</w:t>
      </w:r>
    </w:p>
    <w:p w:rsidR="00844675" w:rsidRDefault="00844675" w:rsidP="00CC1C71">
      <w:pPr>
        <w:rPr>
          <w:szCs w:val="20"/>
        </w:rPr>
      </w:pPr>
    </w:p>
    <w:p w:rsidR="00844675" w:rsidRPr="00844675" w:rsidRDefault="00844675" w:rsidP="00844675">
      <w:pPr>
        <w:rPr>
          <w:szCs w:val="20"/>
        </w:rPr>
      </w:pPr>
      <w:r w:rsidRPr="00844675">
        <w:rPr>
          <w:szCs w:val="20"/>
        </w:rPr>
        <w:t>One alternative option would be to pursue a hybrid model for NDFs whereby, Category 1 w</w:t>
      </w:r>
      <w:r w:rsidR="003A43B1">
        <w:rPr>
          <w:szCs w:val="20"/>
        </w:rPr>
        <w:t>ould include clearing members of</w:t>
      </w:r>
      <w:r w:rsidRPr="00844675">
        <w:rPr>
          <w:szCs w:val="20"/>
        </w:rPr>
        <w:t xml:space="preserve"> NDFs, in addition to capturing participants of other classes wh</w:t>
      </w:r>
      <w:r>
        <w:rPr>
          <w:szCs w:val="20"/>
        </w:rPr>
        <w:t>o have significant NDF</w:t>
      </w:r>
      <w:r w:rsidR="003A43B1">
        <w:rPr>
          <w:szCs w:val="20"/>
        </w:rPr>
        <w:t>s</w:t>
      </w:r>
      <w:r>
        <w:rPr>
          <w:szCs w:val="20"/>
        </w:rPr>
        <w:t xml:space="preserve"> volumes, </w:t>
      </w:r>
      <w:r w:rsidRPr="00844675">
        <w:rPr>
          <w:szCs w:val="20"/>
        </w:rPr>
        <w:t>for example greater than EUR 8 Billion average notional for the last three months prece</w:t>
      </w:r>
      <w:r w:rsidRPr="00844675">
        <w:rPr>
          <w:szCs w:val="20"/>
        </w:rPr>
        <w:t>d</w:t>
      </w:r>
      <w:r w:rsidRPr="00844675">
        <w:rPr>
          <w:szCs w:val="20"/>
        </w:rPr>
        <w:t>ing the entry into force of the RTS. We</w:t>
      </w:r>
      <w:r>
        <w:rPr>
          <w:szCs w:val="20"/>
        </w:rPr>
        <w:t xml:space="preserve"> believe that this approach </w:t>
      </w:r>
      <w:r w:rsidRPr="00844675">
        <w:rPr>
          <w:szCs w:val="20"/>
        </w:rPr>
        <w:t>might address concerns th</w:t>
      </w:r>
      <w:r w:rsidR="00DC6FD8">
        <w:rPr>
          <w:szCs w:val="20"/>
        </w:rPr>
        <w:t>at Category 1 is not sufficient</w:t>
      </w:r>
      <w:r w:rsidRPr="00844675">
        <w:rPr>
          <w:szCs w:val="20"/>
        </w:rPr>
        <w:t xml:space="preserve"> to reduce sys</w:t>
      </w:r>
      <w:r>
        <w:rPr>
          <w:szCs w:val="20"/>
        </w:rPr>
        <w:t>temic risk at a reasonable pace,</w:t>
      </w:r>
      <w:r w:rsidRPr="00844675">
        <w:rPr>
          <w:szCs w:val="20"/>
        </w:rPr>
        <w:t xml:space="preserve"> in addition to ensuring that only those members with significant NDFs business are included</w:t>
      </w:r>
      <w:r>
        <w:rPr>
          <w:szCs w:val="20"/>
        </w:rPr>
        <w:t xml:space="preserve">. On the other hand, </w:t>
      </w:r>
      <w:r w:rsidR="00B84E96">
        <w:rPr>
          <w:szCs w:val="20"/>
        </w:rPr>
        <w:t>this option could</w:t>
      </w:r>
      <w:r w:rsidRPr="00844675">
        <w:rPr>
          <w:szCs w:val="20"/>
        </w:rPr>
        <w:t xml:space="preserve"> </w:t>
      </w:r>
      <w:r w:rsidR="00B84E96">
        <w:rPr>
          <w:szCs w:val="20"/>
        </w:rPr>
        <w:t>provide less clarity to market participants on the process to categorise a counterparty, which in turn could impact a</w:t>
      </w:r>
      <w:r w:rsidRPr="00844675">
        <w:rPr>
          <w:szCs w:val="20"/>
        </w:rPr>
        <w:t xml:space="preserve"> smooth implementation of </w:t>
      </w:r>
      <w:r w:rsidR="00B84E96">
        <w:rPr>
          <w:szCs w:val="20"/>
        </w:rPr>
        <w:t xml:space="preserve">the clearing </w:t>
      </w:r>
      <w:r w:rsidRPr="00844675">
        <w:rPr>
          <w:szCs w:val="20"/>
        </w:rPr>
        <w:t>manda</w:t>
      </w:r>
      <w:r w:rsidR="00B84E96">
        <w:rPr>
          <w:szCs w:val="20"/>
        </w:rPr>
        <w:t>te for NDFs</w:t>
      </w:r>
      <w:r w:rsidRPr="00844675">
        <w:rPr>
          <w:szCs w:val="20"/>
        </w:rPr>
        <w:t>.</w:t>
      </w:r>
    </w:p>
    <w:p w:rsidR="00844675" w:rsidRPr="00844675" w:rsidRDefault="00844675" w:rsidP="00844675">
      <w:pPr>
        <w:rPr>
          <w:szCs w:val="20"/>
        </w:rPr>
      </w:pPr>
    </w:p>
    <w:p w:rsidR="00844675" w:rsidRPr="00844675" w:rsidRDefault="00B84E96" w:rsidP="00844675">
      <w:pPr>
        <w:rPr>
          <w:szCs w:val="20"/>
        </w:rPr>
      </w:pPr>
      <w:r>
        <w:rPr>
          <w:szCs w:val="20"/>
        </w:rPr>
        <w:t>Irrespective of which category</w:t>
      </w:r>
      <w:r w:rsidR="00844675" w:rsidRPr="00844675">
        <w:rPr>
          <w:szCs w:val="20"/>
        </w:rPr>
        <w:t xml:space="preserve"> definition</w:t>
      </w:r>
      <w:r w:rsidR="003A43B1">
        <w:rPr>
          <w:szCs w:val="20"/>
        </w:rPr>
        <w:t xml:space="preserve"> is</w:t>
      </w:r>
      <w:r w:rsidR="008704FD">
        <w:rPr>
          <w:szCs w:val="20"/>
        </w:rPr>
        <w:t xml:space="preserve"> pursued, LCH.Clearnet </w:t>
      </w:r>
      <w:r w:rsidR="00DC6FD8">
        <w:rPr>
          <w:szCs w:val="20"/>
        </w:rPr>
        <w:t xml:space="preserve">would welcome ESMA’s </w:t>
      </w:r>
      <w:r w:rsidR="00844675" w:rsidRPr="00844675">
        <w:rPr>
          <w:szCs w:val="20"/>
        </w:rPr>
        <w:t>further consi</w:t>
      </w:r>
      <w:r w:rsidR="00844675" w:rsidRPr="00844675">
        <w:rPr>
          <w:szCs w:val="20"/>
        </w:rPr>
        <w:t>d</w:t>
      </w:r>
      <w:r w:rsidR="00844675" w:rsidRPr="00844675">
        <w:rPr>
          <w:szCs w:val="20"/>
        </w:rPr>
        <w:t>er</w:t>
      </w:r>
      <w:r w:rsidR="00DC6FD8">
        <w:rPr>
          <w:szCs w:val="20"/>
        </w:rPr>
        <w:t>ation in</w:t>
      </w:r>
      <w:r>
        <w:rPr>
          <w:szCs w:val="20"/>
        </w:rPr>
        <w:t xml:space="preserve"> establishing a mechanism whereby </w:t>
      </w:r>
      <w:r w:rsidR="00844675" w:rsidRPr="00844675">
        <w:rPr>
          <w:szCs w:val="20"/>
        </w:rPr>
        <w:t>the categor</w:t>
      </w:r>
      <w:r w:rsidR="008704FD">
        <w:rPr>
          <w:szCs w:val="20"/>
        </w:rPr>
        <w:t>isation of counterparties is</w:t>
      </w:r>
      <w:r w:rsidR="00844675" w:rsidRPr="00844675">
        <w:rPr>
          <w:szCs w:val="20"/>
        </w:rPr>
        <w:t xml:space="preserve"> communicated </w:t>
      </w:r>
      <w:r w:rsidR="008704FD">
        <w:rPr>
          <w:szCs w:val="20"/>
        </w:rPr>
        <w:t>acc</w:t>
      </w:r>
      <w:r w:rsidR="008704FD">
        <w:rPr>
          <w:szCs w:val="20"/>
        </w:rPr>
        <w:t>u</w:t>
      </w:r>
      <w:r w:rsidR="008704FD">
        <w:rPr>
          <w:szCs w:val="20"/>
        </w:rPr>
        <w:t xml:space="preserve">rately </w:t>
      </w:r>
      <w:r w:rsidR="00844675" w:rsidRPr="00844675">
        <w:rPr>
          <w:szCs w:val="20"/>
        </w:rPr>
        <w:t>across the market. For example</w:t>
      </w:r>
      <w:r w:rsidR="008704FD">
        <w:rPr>
          <w:szCs w:val="20"/>
        </w:rPr>
        <w:t>,</w:t>
      </w:r>
      <w:r w:rsidR="00844675" w:rsidRPr="00844675">
        <w:rPr>
          <w:szCs w:val="20"/>
        </w:rPr>
        <w:t xml:space="preserve"> under the Dodd-Frank Act the CFTC maintains a list of both Swap Dealers and Major Swap Participants on its website. We encourage ESMA to follow a similar approach.</w:t>
      </w:r>
    </w:p>
    <w:p w:rsidR="00844675" w:rsidRPr="00844675" w:rsidRDefault="00844675" w:rsidP="00844675">
      <w:pPr>
        <w:rPr>
          <w:szCs w:val="20"/>
        </w:rPr>
      </w:pPr>
    </w:p>
    <w:p w:rsidR="00844675" w:rsidRPr="00844675" w:rsidRDefault="008704FD" w:rsidP="00844675">
      <w:pPr>
        <w:rPr>
          <w:szCs w:val="20"/>
        </w:rPr>
      </w:pPr>
      <w:r>
        <w:rPr>
          <w:szCs w:val="20"/>
        </w:rPr>
        <w:t xml:space="preserve">LCH.Clearnet </w:t>
      </w:r>
      <w:r w:rsidR="00DC6FD8">
        <w:rPr>
          <w:szCs w:val="20"/>
        </w:rPr>
        <w:t xml:space="preserve">strongly </w:t>
      </w:r>
      <w:r>
        <w:rPr>
          <w:szCs w:val="20"/>
        </w:rPr>
        <w:t xml:space="preserve">believes </w:t>
      </w:r>
      <w:r w:rsidR="00DC6FD8">
        <w:rPr>
          <w:szCs w:val="20"/>
        </w:rPr>
        <w:t>that</w:t>
      </w:r>
      <w:r w:rsidR="00844675" w:rsidRPr="00844675">
        <w:rPr>
          <w:szCs w:val="20"/>
        </w:rPr>
        <w:t xml:space="preserve"> the ph</w:t>
      </w:r>
      <w:r>
        <w:rPr>
          <w:szCs w:val="20"/>
        </w:rPr>
        <w:t xml:space="preserve">ase-in periods </w:t>
      </w:r>
      <w:r w:rsidR="00DC6FD8">
        <w:rPr>
          <w:szCs w:val="20"/>
        </w:rPr>
        <w:t xml:space="preserve">should </w:t>
      </w:r>
      <w:r>
        <w:rPr>
          <w:szCs w:val="20"/>
        </w:rPr>
        <w:t xml:space="preserve">not </w:t>
      </w:r>
      <w:r w:rsidR="00DC6FD8">
        <w:rPr>
          <w:szCs w:val="20"/>
        </w:rPr>
        <w:t xml:space="preserve">be </w:t>
      </w:r>
      <w:r>
        <w:rPr>
          <w:szCs w:val="20"/>
        </w:rPr>
        <w:t xml:space="preserve">extended further than what it is proposed in the consultation, </w:t>
      </w:r>
      <w:r w:rsidR="00844675" w:rsidRPr="00844675">
        <w:rPr>
          <w:szCs w:val="20"/>
        </w:rPr>
        <w:t>as this could lead to bifurcation within the NDF market place.</w:t>
      </w:r>
    </w:p>
    <w:permEnd w:id="9"/>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8704FD" w:rsidRPr="00C052F1" w:rsidRDefault="008704FD" w:rsidP="008704FD">
      <w:pPr>
        <w:rPr>
          <w:rFonts w:cs="Arial"/>
          <w:szCs w:val="20"/>
        </w:rPr>
      </w:pPr>
      <w:permStart w:id="10" w:edGrp="everyone"/>
      <w:r w:rsidRPr="00C052F1">
        <w:rPr>
          <w:rFonts w:cs="Arial"/>
          <w:szCs w:val="20"/>
        </w:rPr>
        <w:t>LCH.Clearnet is fully ready to support clearing for the four categories outlined in the consultation, whether that be under the currently proposed dates of application or any amended dates of application. We particularly support ESMA’s decision to shorten the phase-in period for Category 4 participants in light of the elapsed time between the interest rates RTS and this consultation paper.</w:t>
      </w:r>
    </w:p>
    <w:p w:rsidR="008704FD" w:rsidRPr="00C052F1" w:rsidRDefault="008704FD" w:rsidP="008704FD">
      <w:pPr>
        <w:rPr>
          <w:rFonts w:cs="Arial"/>
          <w:szCs w:val="20"/>
        </w:rPr>
      </w:pPr>
    </w:p>
    <w:p w:rsidR="00CC1C71" w:rsidRPr="00666D61" w:rsidRDefault="008704FD" w:rsidP="00CC1C71">
      <w:pPr>
        <w:rPr>
          <w:rFonts w:cs="Arial"/>
          <w:szCs w:val="20"/>
        </w:rPr>
      </w:pPr>
      <w:r w:rsidRPr="00C052F1">
        <w:rPr>
          <w:rFonts w:cs="Arial"/>
          <w:szCs w:val="20"/>
        </w:rPr>
        <w:t xml:space="preserve">LCH.Clearnet </w:t>
      </w:r>
      <w:r w:rsidR="00A8344D">
        <w:rPr>
          <w:rFonts w:cs="Arial"/>
          <w:szCs w:val="20"/>
        </w:rPr>
        <w:t>believes</w:t>
      </w:r>
      <w:r w:rsidRPr="00C052F1">
        <w:rPr>
          <w:rFonts w:cs="Arial"/>
          <w:szCs w:val="20"/>
        </w:rPr>
        <w:t xml:space="preserve"> that </w:t>
      </w:r>
      <w:r w:rsidR="00A8344D">
        <w:rPr>
          <w:rFonts w:cs="Arial"/>
          <w:szCs w:val="20"/>
        </w:rPr>
        <w:t>d</w:t>
      </w:r>
      <w:r w:rsidRPr="00C052F1">
        <w:rPr>
          <w:rFonts w:cs="Arial"/>
          <w:szCs w:val="20"/>
        </w:rPr>
        <w:t xml:space="preserve">ue to the short nature of NDFs </w:t>
      </w:r>
      <w:r w:rsidR="00A96826" w:rsidRPr="00C052F1">
        <w:rPr>
          <w:rFonts w:cs="Arial"/>
          <w:szCs w:val="20"/>
        </w:rPr>
        <w:t>in comparison</w:t>
      </w:r>
      <w:r w:rsidRPr="00C052F1">
        <w:rPr>
          <w:rFonts w:cs="Arial"/>
          <w:szCs w:val="20"/>
        </w:rPr>
        <w:t xml:space="preserve"> to</w:t>
      </w:r>
      <w:r w:rsidR="00A96826" w:rsidRPr="00C052F1">
        <w:rPr>
          <w:rFonts w:cs="Arial"/>
          <w:szCs w:val="20"/>
        </w:rPr>
        <w:t xml:space="preserve"> other classes, (i.e.</w:t>
      </w:r>
      <w:r w:rsidR="00A8344D">
        <w:rPr>
          <w:rFonts w:cs="Arial"/>
          <w:szCs w:val="20"/>
        </w:rPr>
        <w:t xml:space="preserve"> </w:t>
      </w:r>
      <w:r w:rsidRPr="00C052F1">
        <w:rPr>
          <w:rFonts w:cs="Arial"/>
          <w:szCs w:val="20"/>
        </w:rPr>
        <w:t>IRS</w:t>
      </w:r>
      <w:r w:rsidR="00A96826" w:rsidRPr="00C052F1">
        <w:rPr>
          <w:rFonts w:cs="Arial"/>
          <w:szCs w:val="20"/>
        </w:rPr>
        <w:t>)</w:t>
      </w:r>
      <w:r w:rsidRPr="00C052F1">
        <w:rPr>
          <w:rFonts w:cs="Arial"/>
          <w:szCs w:val="20"/>
        </w:rPr>
        <w:t>, and consequently the lower frontloading requirements</w:t>
      </w:r>
      <w:r w:rsidR="00A96826" w:rsidRPr="00C052F1">
        <w:rPr>
          <w:rFonts w:cs="Arial"/>
          <w:szCs w:val="20"/>
        </w:rPr>
        <w:t>,</w:t>
      </w:r>
      <w:r w:rsidRPr="00C052F1">
        <w:rPr>
          <w:rFonts w:cs="Arial"/>
          <w:szCs w:val="20"/>
        </w:rPr>
        <w:t xml:space="preserve"> </w:t>
      </w:r>
      <w:r w:rsidR="00A96826" w:rsidRPr="00C052F1">
        <w:rPr>
          <w:rFonts w:cs="Arial"/>
          <w:szCs w:val="20"/>
        </w:rPr>
        <w:t>a more accelerated phase-in period</w:t>
      </w:r>
      <w:r w:rsidR="00A8344D">
        <w:rPr>
          <w:rFonts w:cs="Arial"/>
          <w:szCs w:val="20"/>
        </w:rPr>
        <w:t xml:space="preserve"> between counte</w:t>
      </w:r>
      <w:r w:rsidR="00A8344D">
        <w:rPr>
          <w:rFonts w:cs="Arial"/>
          <w:szCs w:val="20"/>
        </w:rPr>
        <w:t>r</w:t>
      </w:r>
      <w:r w:rsidR="00A8344D">
        <w:rPr>
          <w:rFonts w:cs="Arial"/>
          <w:szCs w:val="20"/>
        </w:rPr>
        <w:t>parties</w:t>
      </w:r>
      <w:r w:rsidR="00666D61">
        <w:rPr>
          <w:rFonts w:cs="Arial"/>
          <w:szCs w:val="20"/>
        </w:rPr>
        <w:t>,</w:t>
      </w:r>
      <w:r w:rsidR="00A8344D">
        <w:rPr>
          <w:rFonts w:cs="Arial"/>
          <w:szCs w:val="20"/>
        </w:rPr>
        <w:t xml:space="preserve"> </w:t>
      </w:r>
      <w:r w:rsidR="00537838">
        <w:rPr>
          <w:rFonts w:cs="Arial"/>
          <w:szCs w:val="20"/>
        </w:rPr>
        <w:t>compared to</w:t>
      </w:r>
      <w:r w:rsidR="00A8344D">
        <w:rPr>
          <w:rFonts w:cs="Arial"/>
          <w:szCs w:val="20"/>
        </w:rPr>
        <w:t xml:space="preserve"> that proposed by ESMA</w:t>
      </w:r>
      <w:r w:rsidR="00666D61">
        <w:rPr>
          <w:rFonts w:cs="Arial"/>
          <w:szCs w:val="20"/>
        </w:rPr>
        <w:t>,</w:t>
      </w:r>
      <w:r w:rsidR="00A8344D">
        <w:rPr>
          <w:rFonts w:cs="Arial"/>
          <w:szCs w:val="20"/>
        </w:rPr>
        <w:t xml:space="preserve"> </w:t>
      </w:r>
      <w:r w:rsidRPr="00C052F1">
        <w:rPr>
          <w:rFonts w:cs="Arial"/>
          <w:szCs w:val="20"/>
        </w:rPr>
        <w:t>cou</w:t>
      </w:r>
      <w:r w:rsidR="00A96826" w:rsidRPr="00C052F1">
        <w:rPr>
          <w:rFonts w:cs="Arial"/>
          <w:szCs w:val="20"/>
        </w:rPr>
        <w:t>ld be achieved without causing</w:t>
      </w:r>
      <w:r w:rsidRPr="00C052F1">
        <w:rPr>
          <w:rFonts w:cs="Arial"/>
          <w:szCs w:val="20"/>
        </w:rPr>
        <w:t xml:space="preserve"> disruption for market participants. Fur</w:t>
      </w:r>
      <w:r w:rsidR="00666D61">
        <w:rPr>
          <w:rFonts w:cs="Arial"/>
          <w:szCs w:val="20"/>
        </w:rPr>
        <w:t>ther</w:t>
      </w:r>
      <w:r w:rsidR="00DC6FD8">
        <w:rPr>
          <w:rFonts w:cs="Arial"/>
          <w:szCs w:val="20"/>
        </w:rPr>
        <w:t>,</w:t>
      </w:r>
      <w:r w:rsidR="00666D61">
        <w:rPr>
          <w:rFonts w:cs="Arial"/>
          <w:szCs w:val="20"/>
        </w:rPr>
        <w:t xml:space="preserve"> a shorter phase in period </w:t>
      </w:r>
      <w:r w:rsidRPr="00C052F1">
        <w:rPr>
          <w:rFonts w:cs="Arial"/>
          <w:szCs w:val="20"/>
        </w:rPr>
        <w:t xml:space="preserve">would deliver a harmonised approach to what is a truly global asset class and </w:t>
      </w:r>
      <w:r w:rsidR="00A96826" w:rsidRPr="00C052F1">
        <w:rPr>
          <w:rFonts w:cs="Arial"/>
          <w:szCs w:val="20"/>
        </w:rPr>
        <w:t>help</w:t>
      </w:r>
      <w:r w:rsidRPr="00C052F1">
        <w:rPr>
          <w:rFonts w:cs="Arial"/>
          <w:szCs w:val="20"/>
        </w:rPr>
        <w:t xml:space="preserve"> address the systemic risk present within the NDF class at a swifter pace</w:t>
      </w:r>
      <w:r w:rsidR="00666D61">
        <w:rPr>
          <w:rFonts w:cs="Arial"/>
          <w:szCs w:val="20"/>
        </w:rPr>
        <w:t>.</w:t>
      </w:r>
    </w:p>
    <w:permEnd w:id="10"/>
    <w:p w:rsidR="00CC1C71" w:rsidRDefault="00CC1C71" w:rsidP="00CC1C71">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C7564E" w:rsidRPr="00666D61" w:rsidRDefault="00A96826" w:rsidP="00C7564E">
      <w:pPr>
        <w:rPr>
          <w:rFonts w:cs="Arial"/>
          <w:szCs w:val="20"/>
        </w:rPr>
      </w:pPr>
      <w:permStart w:id="11" w:edGrp="everyone"/>
      <w:r w:rsidRPr="00C052F1">
        <w:rPr>
          <w:rFonts w:cs="Arial"/>
          <w:szCs w:val="20"/>
        </w:rPr>
        <w:t>LCH.Clearnet supports ESMA’s proposal to address the systemic risk still present in this class at the point the clearing obligation takes effect. We are also supportive of ESMA’s approach in reducing the minimum remaining maturity for this class to 3 months as it recognises the short-dated nature of NDFs, compared to other classes.</w:t>
      </w:r>
    </w:p>
    <w:permEnd w:id="11"/>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t xml:space="preserve">Annex </w:t>
      </w:r>
      <w:r w:rsidR="0024721D">
        <w:fldChar w:fldCharType="begin"/>
      </w:r>
      <w:r w:rsidR="00422E75">
        <w:instrText xml:space="preserve"> SEQ Annex \* ROMAN </w:instrText>
      </w:r>
      <w:r w:rsidR="0024721D">
        <w:fldChar w:fldCharType="separate"/>
      </w:r>
      <w:r>
        <w:rPr>
          <w:noProof/>
        </w:rPr>
        <w:t>II</w:t>
      </w:r>
      <w:r w:rsidR="0024721D">
        <w:rPr>
          <w:noProof/>
        </w:rPr>
        <w:fldChar w:fldCharType="end"/>
      </w:r>
      <w:bookmarkEnd w:id="29"/>
      <w:r w:rsidRPr="006579BC">
        <w:t xml:space="preserve"> - Draft Regulatory Technical Standards on the Clearing Oblig</w:t>
      </w:r>
      <w:r w:rsidRPr="006579BC">
        <w:t>a</w:t>
      </w:r>
      <w:r w:rsidRPr="006579BC">
        <w:t>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AC6945" w:rsidRDefault="00A96826" w:rsidP="00CC1C71">
      <w:permStart w:id="12" w:edGrp="everyone"/>
      <w:r>
        <w:t xml:space="preserve">LCH.Clearnet </w:t>
      </w:r>
      <w:r w:rsidRPr="00A96826">
        <w:t xml:space="preserve">added Peruvian Nuevo Sol </w:t>
      </w:r>
      <w:r>
        <w:t>to its</w:t>
      </w:r>
      <w:r w:rsidRPr="00A96826">
        <w:t xml:space="preserve"> ForexClear service in September 2014.</w:t>
      </w:r>
      <w:r>
        <w:t xml:space="preserve"> We are therefore particularly interested in a clarification by ESMA </w:t>
      </w:r>
      <w:r w:rsidRPr="00A96826">
        <w:t>around the process of fu</w:t>
      </w:r>
      <w:r>
        <w:t>rther additions to a</w:t>
      </w:r>
      <w:r w:rsidRPr="00A96826">
        <w:t xml:space="preserve"> class </w:t>
      </w:r>
      <w:r>
        <w:t>subject to a mandate</w:t>
      </w:r>
      <w:r w:rsidR="001E287F">
        <w:t>.</w:t>
      </w:r>
      <w:r w:rsidR="00BE2E33">
        <w:t xml:space="preserve"> </w:t>
      </w:r>
    </w:p>
    <w:p w:rsidR="00AC6945" w:rsidRDefault="00AC6945" w:rsidP="00CC1C71"/>
    <w:p w:rsidR="001E287F" w:rsidRPr="006F6638" w:rsidRDefault="007775F8" w:rsidP="00CC1C71">
      <w:r w:rsidRPr="007775F8">
        <w:t>LCH.Clearnet supports ESM</w:t>
      </w:r>
      <w:r>
        <w:t>A’s intention, as noted in the</w:t>
      </w:r>
      <w:r w:rsidRPr="007775F8">
        <w:t xml:space="preserve"> final report</w:t>
      </w:r>
      <w:r>
        <w:t xml:space="preserve"> on the RTS for IRS</w:t>
      </w:r>
      <w:r w:rsidRPr="007775F8">
        <w:t>, to define an efficient and flexible process for the establishment and removal of a specific class from the clearing oblig</w:t>
      </w:r>
      <w:r w:rsidRPr="007775F8">
        <w:t>a</w:t>
      </w:r>
      <w:r w:rsidRPr="007775F8">
        <w:t>tion</w:t>
      </w:r>
      <w:r>
        <w:t xml:space="preserve">. </w:t>
      </w:r>
      <w:r w:rsidR="00AC6945">
        <w:t xml:space="preserve">We </w:t>
      </w:r>
      <w:r w:rsidR="007376A0">
        <w:t xml:space="preserve">also </w:t>
      </w:r>
      <w:r w:rsidR="00537838">
        <w:t xml:space="preserve">expect this to be reflected </w:t>
      </w:r>
      <w:r w:rsidR="00AC6945">
        <w:t xml:space="preserve">in the final report on the RTS </w:t>
      </w:r>
      <w:r>
        <w:t>for</w:t>
      </w:r>
      <w:r w:rsidR="00AC6945">
        <w:t xml:space="preserve"> NDFs</w:t>
      </w:r>
      <w:r>
        <w:t xml:space="preserve">. </w:t>
      </w:r>
    </w:p>
    <w:p w:rsidR="001E287F" w:rsidRPr="006F6638" w:rsidRDefault="001E287F" w:rsidP="00CC1C71"/>
    <w:p w:rsidR="00CC1C71" w:rsidRDefault="001E287F" w:rsidP="00CC1C71">
      <w:r w:rsidRPr="006F6638">
        <w:t>We would also welcome a clarification to the triggers and procedures for reviewing a decision not to i</w:t>
      </w:r>
      <w:r w:rsidRPr="006F6638">
        <w:t>m</w:t>
      </w:r>
      <w:r w:rsidRPr="006F6638">
        <w:t>pose a clearing obligation on a class or sub-class of OTC derivatives</w:t>
      </w:r>
      <w:r w:rsidR="00BE2E33" w:rsidRPr="006F6638">
        <w:t>.</w:t>
      </w:r>
      <w:r>
        <w:t xml:space="preserve"> </w:t>
      </w:r>
      <w:r w:rsidR="00A96826">
        <w:t xml:space="preserve"> </w:t>
      </w:r>
      <w:permEnd w:id="12"/>
      <w:r w:rsidR="00CC1C71">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t xml:space="preserve">Annex </w:t>
      </w:r>
      <w:r w:rsidR="0024721D">
        <w:fldChar w:fldCharType="begin"/>
      </w:r>
      <w:r w:rsidR="00422E75">
        <w:instrText xml:space="preserve"> SEQ Annex \* ROMAN </w:instrText>
      </w:r>
      <w:r w:rsidR="0024721D">
        <w:fldChar w:fldCharType="separate"/>
      </w:r>
      <w:r>
        <w:rPr>
          <w:noProof/>
        </w:rPr>
        <w:t>III</w:t>
      </w:r>
      <w:r w:rsidR="0024721D">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CC1C71" w:rsidRPr="00AC6945" w:rsidRDefault="00AC6945" w:rsidP="00CC1C71">
      <w:pPr>
        <w:rPr>
          <w:rFonts w:cs="Arial"/>
          <w:szCs w:val="20"/>
        </w:rPr>
      </w:pPr>
      <w:permStart w:id="13" w:edGrp="everyone"/>
      <w:r>
        <w:rPr>
          <w:rFonts w:cs="Arial"/>
          <w:szCs w:val="20"/>
        </w:rPr>
        <w:t>W</w:t>
      </w:r>
      <w:r w:rsidR="00333CBF" w:rsidRPr="00666D61">
        <w:rPr>
          <w:rFonts w:cs="Arial"/>
          <w:szCs w:val="20"/>
        </w:rPr>
        <w:t>e believe that o</w:t>
      </w:r>
      <w:r w:rsidR="00C052F1" w:rsidRPr="00666D61">
        <w:rPr>
          <w:rFonts w:cs="Arial"/>
          <w:szCs w:val="20"/>
        </w:rPr>
        <w:t>f key consideration for market participants will be the</w:t>
      </w:r>
      <w:r w:rsidR="00333CBF" w:rsidRPr="00666D61">
        <w:rPr>
          <w:rFonts w:cs="Arial"/>
          <w:szCs w:val="20"/>
        </w:rPr>
        <w:t xml:space="preserve"> final decision on the approach to</w:t>
      </w:r>
      <w:r w:rsidR="00C052F1" w:rsidRPr="00666D61">
        <w:rPr>
          <w:rFonts w:cs="Arial"/>
          <w:szCs w:val="20"/>
        </w:rPr>
        <w:t xml:space="preserve"> defin</w:t>
      </w:r>
      <w:r w:rsidR="00333CBF" w:rsidRPr="00666D61">
        <w:rPr>
          <w:rFonts w:cs="Arial"/>
          <w:szCs w:val="20"/>
        </w:rPr>
        <w:t>e</w:t>
      </w:r>
      <w:r w:rsidR="00C052F1" w:rsidRPr="00666D61">
        <w:rPr>
          <w:rFonts w:cs="Arial"/>
          <w:szCs w:val="20"/>
        </w:rPr>
        <w:t xml:space="preserve"> the catego</w:t>
      </w:r>
      <w:r w:rsidR="00333CBF" w:rsidRPr="00666D61">
        <w:rPr>
          <w:rFonts w:cs="Arial"/>
          <w:szCs w:val="20"/>
        </w:rPr>
        <w:t xml:space="preserve">ries of counterparties. </w:t>
      </w:r>
      <w:r w:rsidR="00666D61">
        <w:rPr>
          <w:rFonts w:cs="Arial"/>
          <w:szCs w:val="20"/>
        </w:rPr>
        <w:t xml:space="preserve">Our analysis demonstrates that </w:t>
      </w:r>
      <w:r w:rsidR="007775F8">
        <w:rPr>
          <w:rFonts w:cs="Arial"/>
          <w:szCs w:val="20"/>
        </w:rPr>
        <w:t>Option 2</w:t>
      </w:r>
      <w:r w:rsidR="00A8344D" w:rsidRPr="00666D61">
        <w:rPr>
          <w:rFonts w:cs="Arial"/>
          <w:szCs w:val="20"/>
        </w:rPr>
        <w:t xml:space="preserve"> (cumulative approach)</w:t>
      </w:r>
      <w:r w:rsidR="00C052F1" w:rsidRPr="00666D61">
        <w:rPr>
          <w:rFonts w:cs="Arial"/>
          <w:szCs w:val="20"/>
        </w:rPr>
        <w:t xml:space="preserve"> could potentially require </w:t>
      </w:r>
      <w:r w:rsidR="00A8344D" w:rsidRPr="00666D61">
        <w:rPr>
          <w:rFonts w:cs="Arial"/>
          <w:szCs w:val="20"/>
        </w:rPr>
        <w:t xml:space="preserve">about </w:t>
      </w:r>
      <w:r w:rsidR="00C052F1" w:rsidRPr="00666D61">
        <w:rPr>
          <w:rFonts w:cs="Arial"/>
          <w:szCs w:val="20"/>
        </w:rPr>
        <w:t xml:space="preserve">70-80 firms to onboard as members of an authorised CCP offering </w:t>
      </w:r>
      <w:r w:rsidR="00A8344D" w:rsidRPr="00666D61">
        <w:rPr>
          <w:rFonts w:cs="Arial"/>
          <w:szCs w:val="20"/>
        </w:rPr>
        <w:t xml:space="preserve">an </w:t>
      </w:r>
      <w:r w:rsidR="00C052F1" w:rsidRPr="00666D61">
        <w:rPr>
          <w:rFonts w:cs="Arial"/>
          <w:szCs w:val="20"/>
        </w:rPr>
        <w:t xml:space="preserve">FX NDF clearing service. </w:t>
      </w:r>
    </w:p>
    <w:permEnd w:id="13"/>
    <w:p w:rsidR="00CC1C71" w:rsidRDefault="00CC1C71" w:rsidP="00CC1C71">
      <w:r>
        <w:t>&lt;ESMA_CO3_QUESTION_10&gt;</w:t>
      </w:r>
    </w:p>
    <w:p w:rsidR="00CC1C71" w:rsidRDefault="00CC1C71" w:rsidP="00CC1C71"/>
    <w:p w:rsidR="00510C18" w:rsidRDefault="00510C18" w:rsidP="00510C18"/>
    <w:sectPr w:rsidR="00510C18"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70" w:rsidRDefault="00264570">
      <w:r>
        <w:separator/>
      </w:r>
    </w:p>
    <w:p w:rsidR="00264570" w:rsidRDefault="00264570"/>
  </w:endnote>
  <w:endnote w:type="continuationSeparator" w:id="0">
    <w:p w:rsidR="00264570" w:rsidRDefault="00264570">
      <w:r>
        <w:continuationSeparator/>
      </w:r>
    </w:p>
    <w:p w:rsidR="00264570" w:rsidRDefault="00264570"/>
  </w:endnote>
  <w:endnote w:type="continuationNotice" w:id="1">
    <w:p w:rsidR="00264570" w:rsidRDefault="002645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CC1244" w:rsidRPr="00315E96" w:rsidTr="00315E96">
      <w:trPr>
        <w:trHeight w:val="284"/>
      </w:trPr>
      <w:tc>
        <w:tcPr>
          <w:tcW w:w="8460" w:type="dxa"/>
        </w:tcPr>
        <w:p w:rsidR="00CC1244" w:rsidRPr="00315E96" w:rsidRDefault="00CC1244" w:rsidP="00315E96">
          <w:pPr>
            <w:pStyle w:val="00Footer"/>
            <w:rPr>
              <w:lang w:val="fr-FR"/>
            </w:rPr>
          </w:pPr>
        </w:p>
      </w:tc>
      <w:tc>
        <w:tcPr>
          <w:tcW w:w="952" w:type="dxa"/>
        </w:tcPr>
        <w:p w:rsidR="00CC1244" w:rsidRPr="002C5B2D" w:rsidRDefault="0024721D" w:rsidP="002C5B2D">
          <w:pPr>
            <w:pStyle w:val="00aPagenumber"/>
          </w:pPr>
          <w:fldSimple w:instr=" PAGE ">
            <w:r w:rsidR="007376A0">
              <w:rPr>
                <w:noProof/>
              </w:rPr>
              <w:t>11</w:t>
            </w:r>
          </w:fldSimple>
        </w:p>
      </w:tc>
    </w:tr>
  </w:tbl>
  <w:p w:rsidR="00CC1244" w:rsidRDefault="00CC12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44" w:rsidRDefault="00CC1244" w:rsidP="00395EF9">
    <w:pPr>
      <w:pStyle w:val="Footer"/>
      <w:tabs>
        <w:tab w:val="clear" w:pos="4536"/>
        <w:tab w:val="clear" w:pos="9072"/>
        <w:tab w:val="left" w:pos="811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44" w:rsidRDefault="00CC1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70" w:rsidRDefault="00264570">
      <w:r>
        <w:separator/>
      </w:r>
    </w:p>
    <w:p w:rsidR="00264570" w:rsidRDefault="00264570"/>
  </w:footnote>
  <w:footnote w:type="continuationSeparator" w:id="0">
    <w:p w:rsidR="00264570" w:rsidRDefault="00264570">
      <w:r>
        <w:continuationSeparator/>
      </w:r>
    </w:p>
    <w:p w:rsidR="00264570" w:rsidRDefault="00264570"/>
  </w:footnote>
  <w:footnote w:type="continuationNotice" w:id="1">
    <w:p w:rsidR="00264570" w:rsidRDefault="002645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44" w:rsidRDefault="00CC1244">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24721D" w:rsidRPr="0024721D">
      <w:rPr>
        <w:noProof/>
        <w:lang w:val="en-US" w:eastAsia="en-US"/>
      </w:rPr>
      <w:pict>
        <v:line id="Line 16" o:spid="_x0000_s2049"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44" w:rsidRDefault="00CC1244"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44" w:rsidRDefault="00CC124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CC1244" w:rsidRPr="002F4496" w:rsidTr="000C06C9">
      <w:trPr>
        <w:trHeight w:val="284"/>
      </w:trPr>
      <w:tc>
        <w:tcPr>
          <w:tcW w:w="8460" w:type="dxa"/>
        </w:tcPr>
        <w:p w:rsidR="00CC1244" w:rsidRPr="000C3B6D" w:rsidRDefault="00CC1244" w:rsidP="000C06C9">
          <w:pPr>
            <w:pStyle w:val="00Footer"/>
            <w:rPr>
              <w:lang w:val="fr-FR"/>
            </w:rPr>
          </w:pPr>
        </w:p>
      </w:tc>
      <w:tc>
        <w:tcPr>
          <w:tcW w:w="952" w:type="dxa"/>
        </w:tcPr>
        <w:p w:rsidR="00CC1244" w:rsidRPr="00146B34" w:rsidRDefault="00CC1244" w:rsidP="000C06C9">
          <w:pPr>
            <w:pStyle w:val="00aPagenumber"/>
            <w:rPr>
              <w:lang w:val="fr-FR"/>
            </w:rPr>
          </w:pPr>
        </w:p>
      </w:tc>
    </w:tr>
  </w:tbl>
  <w:p w:rsidR="00CC1244" w:rsidRPr="00DB46C3" w:rsidRDefault="00CC1244">
    <w:pPr>
      <w:rPr>
        <w:lang w:val="fr-FR"/>
      </w:rPr>
    </w:pPr>
  </w:p>
  <w:p w:rsidR="00CC1244" w:rsidRPr="002F4496" w:rsidRDefault="00CC1244">
    <w:pPr>
      <w:pStyle w:val="Header"/>
      <w:rPr>
        <w:lang w:val="fr-FR"/>
      </w:rPr>
    </w:pPr>
  </w:p>
  <w:p w:rsidR="00CC1244" w:rsidRPr="002F4496" w:rsidRDefault="00CC1244" w:rsidP="000C06C9">
    <w:pPr>
      <w:pStyle w:val="Header"/>
      <w:tabs>
        <w:tab w:val="clear" w:pos="4536"/>
        <w:tab w:val="clear" w:pos="9072"/>
        <w:tab w:val="left" w:pos="8227"/>
      </w:tabs>
      <w:rPr>
        <w:lang w:val="fr-FR"/>
      </w:rPr>
    </w:pPr>
  </w:p>
  <w:p w:rsidR="00CC1244" w:rsidRPr="002F4496" w:rsidRDefault="00CC1244" w:rsidP="000C06C9">
    <w:pPr>
      <w:pStyle w:val="Header"/>
      <w:tabs>
        <w:tab w:val="clear" w:pos="4536"/>
        <w:tab w:val="clear" w:pos="9072"/>
        <w:tab w:val="left" w:pos="8227"/>
      </w:tabs>
      <w:rPr>
        <w:lang w:val="fr-FR"/>
      </w:rPr>
    </w:pPr>
  </w:p>
  <w:p w:rsidR="00CC1244" w:rsidRPr="002F4496" w:rsidRDefault="00CC1244">
    <w:pPr>
      <w:pStyle w:val="Header"/>
      <w:rPr>
        <w:lang w:val="fr-FR"/>
      </w:rPr>
    </w:pPr>
  </w:p>
  <w:p w:rsidR="00CC1244" w:rsidRPr="002F4496" w:rsidRDefault="00CC1244">
    <w:pPr>
      <w:pStyle w:val="Header"/>
      <w:rPr>
        <w:lang w:val="fr-FR"/>
      </w:rPr>
    </w:pPr>
  </w:p>
  <w:p w:rsidR="00CC1244" w:rsidRPr="002F4496" w:rsidRDefault="00CC1244">
    <w:pPr>
      <w:pStyle w:val="Header"/>
      <w:rPr>
        <w:lang w:val="fr-FR"/>
      </w:rPr>
    </w:pPr>
  </w:p>
  <w:p w:rsidR="00CC1244" w:rsidRPr="002F4496" w:rsidRDefault="00CC1244">
    <w:pPr>
      <w:pStyle w:val="Header"/>
      <w:rPr>
        <w:lang w:val="fr-FR"/>
      </w:rPr>
    </w:pPr>
  </w:p>
  <w:p w:rsidR="00CC1244" w:rsidRPr="002F4496" w:rsidRDefault="00CC1244">
    <w:pPr>
      <w:pStyle w:val="Header"/>
      <w:rPr>
        <w:highlight w:val="yellow"/>
        <w:lang w:val="fr-FR"/>
      </w:rPr>
    </w:pPr>
  </w:p>
  <w:p w:rsidR="00CC1244" w:rsidRDefault="0024721D">
    <w:pPr>
      <w:pStyle w:val="Header"/>
    </w:pPr>
    <w:r w:rsidRPr="0024721D">
      <w:rPr>
        <w:noProof/>
        <w:lang w:val="en-US" w:eastAsia="en-US"/>
      </w:rPr>
      <w:pict>
        <v:line id="Straight Connector 138" o:spid="_x0000_s2050"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CC1244">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0F33"/>
    <w:multiLevelType w:val="hybridMultilevel"/>
    <w:tmpl w:val="97ECB170"/>
    <w:lvl w:ilvl="0" w:tplc="2682CCC0">
      <w:numFmt w:val="bullet"/>
      <w:lvlText w:val="-"/>
      <w:lvlJc w:val="left"/>
      <w:pPr>
        <w:ind w:left="786" w:hanging="360"/>
      </w:pPr>
      <w:rPr>
        <w:rFonts w:ascii="Georgia" w:eastAsia="Times New Roman" w:hAnsi="Georgia"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02476D6"/>
    <w:multiLevelType w:val="hybridMultilevel"/>
    <w:tmpl w:val="65FE434C"/>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6771EDB"/>
    <w:multiLevelType w:val="hybridMultilevel"/>
    <w:tmpl w:val="C9FA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2"/>
  </w:num>
  <w:num w:numId="4">
    <w:abstractNumId w:val="24"/>
  </w:num>
  <w:num w:numId="5">
    <w:abstractNumId w:val="4"/>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3"/>
  </w:num>
  <w:num w:numId="15">
    <w:abstractNumId w:val="11"/>
  </w:num>
  <w:num w:numId="16">
    <w:abstractNumId w:val="1"/>
  </w:num>
  <w:num w:numId="17">
    <w:abstractNumId w:val="14"/>
  </w:num>
  <w:num w:numId="18">
    <w:abstractNumId w:val="15"/>
  </w:num>
  <w:num w:numId="19">
    <w:abstractNumId w:val="17"/>
  </w:num>
  <w:num w:numId="20">
    <w:abstractNumId w:val="27"/>
  </w:num>
  <w:num w:numId="21">
    <w:abstractNumId w:val="34"/>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8"/>
  </w:num>
  <w:num w:numId="29">
    <w:abstractNumId w:val="8"/>
  </w:num>
  <w:num w:numId="30">
    <w:abstractNumId w:val="5"/>
  </w:num>
  <w:num w:numId="31">
    <w:abstractNumId w:val="22"/>
  </w:num>
  <w:num w:numId="32">
    <w:abstractNumId w:val="2"/>
  </w:num>
  <w:num w:numId="33">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7"/>
  </w:num>
  <w:num w:numId="35">
    <w:abstractNumId w:val="35"/>
  </w:num>
  <w:num w:numId="36">
    <w:abstractNumId w:val="21"/>
  </w:num>
  <w:num w:numId="37">
    <w:abstractNumId w:val="32"/>
  </w:num>
  <w:num w:numId="38">
    <w:abstractNumId w:val="18"/>
  </w:num>
  <w:num w:numId="39">
    <w:abstractNumId w:val="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1"/>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C62"/>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4EF"/>
    <w:rsid w:val="0019508A"/>
    <w:rsid w:val="001960D8"/>
    <w:rsid w:val="001A1642"/>
    <w:rsid w:val="001A371B"/>
    <w:rsid w:val="001A4766"/>
    <w:rsid w:val="001A6A0D"/>
    <w:rsid w:val="001A6C51"/>
    <w:rsid w:val="001A6FAA"/>
    <w:rsid w:val="001A7D73"/>
    <w:rsid w:val="001B0363"/>
    <w:rsid w:val="001B0A8C"/>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287F"/>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24522"/>
    <w:rsid w:val="00226405"/>
    <w:rsid w:val="00226FDC"/>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4721D"/>
    <w:rsid w:val="00250898"/>
    <w:rsid w:val="00251EA9"/>
    <w:rsid w:val="00252843"/>
    <w:rsid w:val="002543F8"/>
    <w:rsid w:val="002551A4"/>
    <w:rsid w:val="002559F3"/>
    <w:rsid w:val="00256DFE"/>
    <w:rsid w:val="00261D56"/>
    <w:rsid w:val="00261FD3"/>
    <w:rsid w:val="00264077"/>
    <w:rsid w:val="00264570"/>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2A47"/>
    <w:rsid w:val="00314013"/>
    <w:rsid w:val="00314945"/>
    <w:rsid w:val="00315389"/>
    <w:rsid w:val="00315746"/>
    <w:rsid w:val="00315E96"/>
    <w:rsid w:val="00317FC8"/>
    <w:rsid w:val="003223D7"/>
    <w:rsid w:val="00323D9F"/>
    <w:rsid w:val="00324FDB"/>
    <w:rsid w:val="00325F48"/>
    <w:rsid w:val="0033194F"/>
    <w:rsid w:val="00332406"/>
    <w:rsid w:val="00332D8D"/>
    <w:rsid w:val="00333CBF"/>
    <w:rsid w:val="00336B56"/>
    <w:rsid w:val="00341B25"/>
    <w:rsid w:val="00341EC0"/>
    <w:rsid w:val="0034240C"/>
    <w:rsid w:val="00344496"/>
    <w:rsid w:val="00345968"/>
    <w:rsid w:val="00346EF4"/>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43B1"/>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4321"/>
    <w:rsid w:val="003F5261"/>
    <w:rsid w:val="003F5C06"/>
    <w:rsid w:val="00400195"/>
    <w:rsid w:val="00401C8A"/>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EC4"/>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761"/>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7E9"/>
    <w:rsid w:val="0052183D"/>
    <w:rsid w:val="00522F44"/>
    <w:rsid w:val="0052360A"/>
    <w:rsid w:val="005242BA"/>
    <w:rsid w:val="005243B8"/>
    <w:rsid w:val="005252DD"/>
    <w:rsid w:val="00530A8D"/>
    <w:rsid w:val="00531C6D"/>
    <w:rsid w:val="00532EF4"/>
    <w:rsid w:val="005347CE"/>
    <w:rsid w:val="00534BAC"/>
    <w:rsid w:val="00535477"/>
    <w:rsid w:val="00535DEA"/>
    <w:rsid w:val="00536379"/>
    <w:rsid w:val="0053723A"/>
    <w:rsid w:val="00537636"/>
    <w:rsid w:val="00537838"/>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6999"/>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4618"/>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2968"/>
    <w:rsid w:val="00605531"/>
    <w:rsid w:val="0060674A"/>
    <w:rsid w:val="00607832"/>
    <w:rsid w:val="0060784B"/>
    <w:rsid w:val="00610254"/>
    <w:rsid w:val="006105FB"/>
    <w:rsid w:val="00610D9C"/>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40B"/>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D61"/>
    <w:rsid w:val="00666F74"/>
    <w:rsid w:val="00667FEA"/>
    <w:rsid w:val="006710D2"/>
    <w:rsid w:val="00671A8B"/>
    <w:rsid w:val="00671F53"/>
    <w:rsid w:val="006725A0"/>
    <w:rsid w:val="0067555E"/>
    <w:rsid w:val="00677FAD"/>
    <w:rsid w:val="006802DE"/>
    <w:rsid w:val="0068032D"/>
    <w:rsid w:val="0068068C"/>
    <w:rsid w:val="00681115"/>
    <w:rsid w:val="00683362"/>
    <w:rsid w:val="00683920"/>
    <w:rsid w:val="00685147"/>
    <w:rsid w:val="00685653"/>
    <w:rsid w:val="0068590D"/>
    <w:rsid w:val="00685A89"/>
    <w:rsid w:val="006861B3"/>
    <w:rsid w:val="00686FA2"/>
    <w:rsid w:val="006870C5"/>
    <w:rsid w:val="00690F0E"/>
    <w:rsid w:val="006911C0"/>
    <w:rsid w:val="00691B7C"/>
    <w:rsid w:val="006930D4"/>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6F663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376A0"/>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5F8"/>
    <w:rsid w:val="007805B9"/>
    <w:rsid w:val="00780C3A"/>
    <w:rsid w:val="007834A1"/>
    <w:rsid w:val="007907CE"/>
    <w:rsid w:val="007913B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D15"/>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37BC8"/>
    <w:rsid w:val="00840477"/>
    <w:rsid w:val="0084121D"/>
    <w:rsid w:val="008419C1"/>
    <w:rsid w:val="00844515"/>
    <w:rsid w:val="0084467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04FD"/>
    <w:rsid w:val="00871F04"/>
    <w:rsid w:val="008746C1"/>
    <w:rsid w:val="00880224"/>
    <w:rsid w:val="008812B1"/>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976D7"/>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49B4"/>
    <w:rsid w:val="008E5625"/>
    <w:rsid w:val="008E5C5B"/>
    <w:rsid w:val="008E6A37"/>
    <w:rsid w:val="008F0354"/>
    <w:rsid w:val="008F085A"/>
    <w:rsid w:val="008F1462"/>
    <w:rsid w:val="008F2413"/>
    <w:rsid w:val="008F248D"/>
    <w:rsid w:val="008F25A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395"/>
    <w:rsid w:val="009B7658"/>
    <w:rsid w:val="009B7CD1"/>
    <w:rsid w:val="009B7E22"/>
    <w:rsid w:val="009B7E78"/>
    <w:rsid w:val="009B7FB4"/>
    <w:rsid w:val="009C10FE"/>
    <w:rsid w:val="009C13BC"/>
    <w:rsid w:val="009C1CA4"/>
    <w:rsid w:val="009C2532"/>
    <w:rsid w:val="009C2BA4"/>
    <w:rsid w:val="009C6091"/>
    <w:rsid w:val="009C634F"/>
    <w:rsid w:val="009C76F6"/>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232A"/>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44D"/>
    <w:rsid w:val="00A83644"/>
    <w:rsid w:val="00A83C07"/>
    <w:rsid w:val="00A83F40"/>
    <w:rsid w:val="00A84945"/>
    <w:rsid w:val="00A85543"/>
    <w:rsid w:val="00A8700C"/>
    <w:rsid w:val="00A91682"/>
    <w:rsid w:val="00A92E4A"/>
    <w:rsid w:val="00A958CA"/>
    <w:rsid w:val="00A966B6"/>
    <w:rsid w:val="00A9682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32B"/>
    <w:rsid w:val="00AC552F"/>
    <w:rsid w:val="00AC5581"/>
    <w:rsid w:val="00AC56AD"/>
    <w:rsid w:val="00AC61BE"/>
    <w:rsid w:val="00AC6945"/>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30B"/>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4E96"/>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1888"/>
    <w:rsid w:val="00BA24F8"/>
    <w:rsid w:val="00BA31AA"/>
    <w:rsid w:val="00BA45D8"/>
    <w:rsid w:val="00BA5828"/>
    <w:rsid w:val="00BA64B3"/>
    <w:rsid w:val="00BA754A"/>
    <w:rsid w:val="00BA7820"/>
    <w:rsid w:val="00BA794C"/>
    <w:rsid w:val="00BB238D"/>
    <w:rsid w:val="00BB24A5"/>
    <w:rsid w:val="00BB3090"/>
    <w:rsid w:val="00BB37CC"/>
    <w:rsid w:val="00BB48C4"/>
    <w:rsid w:val="00BB547A"/>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2E33"/>
    <w:rsid w:val="00BE425B"/>
    <w:rsid w:val="00BE51BB"/>
    <w:rsid w:val="00BE7595"/>
    <w:rsid w:val="00BE77D3"/>
    <w:rsid w:val="00BF0138"/>
    <w:rsid w:val="00BF114B"/>
    <w:rsid w:val="00BF1620"/>
    <w:rsid w:val="00BF1AC3"/>
    <w:rsid w:val="00BF373A"/>
    <w:rsid w:val="00BF3CF4"/>
    <w:rsid w:val="00BF62D2"/>
    <w:rsid w:val="00BF6D9E"/>
    <w:rsid w:val="00BF71BB"/>
    <w:rsid w:val="00BF76F7"/>
    <w:rsid w:val="00BF7C9F"/>
    <w:rsid w:val="00C00012"/>
    <w:rsid w:val="00C000A5"/>
    <w:rsid w:val="00C006B4"/>
    <w:rsid w:val="00C00938"/>
    <w:rsid w:val="00C00E2A"/>
    <w:rsid w:val="00C025B9"/>
    <w:rsid w:val="00C044B4"/>
    <w:rsid w:val="00C05105"/>
    <w:rsid w:val="00C052F1"/>
    <w:rsid w:val="00C05A5D"/>
    <w:rsid w:val="00C0654A"/>
    <w:rsid w:val="00C06DE3"/>
    <w:rsid w:val="00C06F97"/>
    <w:rsid w:val="00C10BE6"/>
    <w:rsid w:val="00C11905"/>
    <w:rsid w:val="00C1234A"/>
    <w:rsid w:val="00C12661"/>
    <w:rsid w:val="00C126E3"/>
    <w:rsid w:val="00C1289E"/>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244"/>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4D5"/>
    <w:rsid w:val="00CD6F6E"/>
    <w:rsid w:val="00CE157F"/>
    <w:rsid w:val="00CE18E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AAB"/>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6FD8"/>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390"/>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6A1"/>
    <w:rsid w:val="00F52B28"/>
    <w:rsid w:val="00F536BB"/>
    <w:rsid w:val="00F53755"/>
    <w:rsid w:val="00F53E59"/>
    <w:rsid w:val="00F5475B"/>
    <w:rsid w:val="00F574D0"/>
    <w:rsid w:val="00F6031F"/>
    <w:rsid w:val="00F61664"/>
    <w:rsid w:val="00F61B99"/>
    <w:rsid w:val="00F64C45"/>
    <w:rsid w:val="00F6502B"/>
    <w:rsid w:val="00F6612A"/>
    <w:rsid w:val="00F66724"/>
    <w:rsid w:val="00F66AAF"/>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4351"/>
    <w:rsid w:val="00FB51FD"/>
    <w:rsid w:val="00FB5667"/>
    <w:rsid w:val="00FB7A97"/>
    <w:rsid w:val="00FC1B9B"/>
    <w:rsid w:val="00FC2F3F"/>
    <w:rsid w:val="00FC318D"/>
    <w:rsid w:val="00FC36CF"/>
    <w:rsid w:val="00FC40BC"/>
    <w:rsid w:val="00FC41FC"/>
    <w:rsid w:val="00FC4F6E"/>
    <w:rsid w:val="00FC506C"/>
    <w:rsid w:val="00FC578C"/>
    <w:rsid w:val="00FC5A37"/>
    <w:rsid w:val="00FD13EA"/>
    <w:rsid w:val="00FD5EC4"/>
    <w:rsid w:val="00FD7858"/>
    <w:rsid w:val="00FD7A8D"/>
    <w:rsid w:val="00FE1330"/>
    <w:rsid w:val="00FE1B4F"/>
    <w:rsid w:val="00FE1CE5"/>
    <w:rsid w:val="00FE2832"/>
    <w:rsid w:val="00FE2D38"/>
    <w:rsid w:val="00FE3929"/>
    <w:rsid w:val="00FE7E31"/>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iPriority w:val="99"/>
    <w:unhideWhenUsed/>
    <w:rsid w:val="00AA016B"/>
    <w:rPr>
      <w:rFonts w:ascii="Consolas" w:hAnsi="Consolas"/>
      <w:sz w:val="21"/>
      <w:szCs w:val="21"/>
      <w:lang w:val="de-DE"/>
    </w:rPr>
  </w:style>
  <w:style w:type="character" w:customStyle="1" w:styleId="PlainTextChar">
    <w:name w:val="Plain Text Char"/>
    <w:link w:val="PlainText"/>
    <w:uiPriority w:val="99"/>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3612788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451314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232714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219542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5148717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9763788">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774BE9"/>
    <w:rsid w:val="002C6606"/>
    <w:rsid w:val="002D1718"/>
    <w:rsid w:val="005D3668"/>
    <w:rsid w:val="006D4869"/>
    <w:rsid w:val="00760BA1"/>
    <w:rsid w:val="00774BE9"/>
    <w:rsid w:val="008D3C96"/>
    <w:rsid w:val="00B92875"/>
    <w:rsid w:val="00D77493"/>
    <w:rsid w:val="00DC7A2D"/>
    <w:rsid w:val="00DD0103"/>
    <w:rsid w:val="00E658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709F-EE7C-4415-91B3-039C4620B036}">
  <ds:schemaRefs>
    <ds:schemaRef ds:uri="http://schemas.openxmlformats.org/officeDocument/2006/bibliography"/>
  </ds:schemaRefs>
</ds:datastoreItem>
</file>

<file path=customXml/itemProps2.xml><?xml version="1.0" encoding="utf-8"?>
<ds:datastoreItem xmlns:ds="http://schemas.openxmlformats.org/officeDocument/2006/customXml" ds:itemID="{F5713AB7-91F1-4966-BBA5-971FDA52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2644</Words>
  <Characters>15075</Characters>
  <Application>Microsoft Office Word</Application>
  <DocSecurity>8</DocSecurity>
  <Lines>125</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17684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Valentina Cirigliano</cp:lastModifiedBy>
  <cp:revision>4</cp:revision>
  <cp:lastPrinted>2014-05-08T15:06:00Z</cp:lastPrinted>
  <dcterms:created xsi:type="dcterms:W3CDTF">2014-11-06T09:37:00Z</dcterms:created>
  <dcterms:modified xsi:type="dcterms:W3CDTF">2014-11-06T09:38:00Z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