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C9" w:rsidRPr="00E127CD" w:rsidRDefault="00DB5BC9" w:rsidP="00E127CD">
      <w:pPr>
        <w:spacing w:line="240" w:lineRule="auto"/>
        <w:rPr>
          <w:rFonts w:ascii="Calibri" w:hAnsi="Calibri" w:cs="Arial"/>
        </w:rPr>
      </w:pPr>
    </w:p>
    <w:p w:rsidR="00DB5BC9" w:rsidRDefault="00DB5BC9" w:rsidP="00E127CD">
      <w:pPr>
        <w:spacing w:line="240" w:lineRule="auto"/>
        <w:rPr>
          <w:rFonts w:ascii="Calibri" w:hAnsi="Calibri" w:cs="Arial"/>
        </w:rPr>
      </w:pPr>
    </w:p>
    <w:p w:rsidR="00B91E44" w:rsidRPr="00E127CD" w:rsidRDefault="00B91E44" w:rsidP="00E127CD">
      <w:pPr>
        <w:spacing w:line="240" w:lineRule="auto"/>
        <w:rPr>
          <w:rFonts w:ascii="Calibri" w:hAnsi="Calibri" w:cs="Arial"/>
        </w:rPr>
      </w:pPr>
    </w:p>
    <w:p w:rsidR="00E05DF9" w:rsidRDefault="00E05DF9" w:rsidP="008C7DD9">
      <w:pPr>
        <w:pStyle w:val="BodyText"/>
        <w:pBdr>
          <w:top w:val="single" w:sz="4" w:space="1" w:color="auto"/>
          <w:left w:val="single" w:sz="4" w:space="4" w:color="auto"/>
          <w:bottom w:val="single" w:sz="4" w:space="18" w:color="auto"/>
          <w:right w:val="single" w:sz="4" w:space="4" w:color="auto"/>
        </w:pBdr>
        <w:jc w:val="center"/>
        <w:rPr>
          <w:rFonts w:ascii="Calibri" w:hAnsi="Calibri" w:cs="Arial"/>
          <w:sz w:val="22"/>
          <w:szCs w:val="22"/>
        </w:rPr>
      </w:pPr>
    </w:p>
    <w:p w:rsidR="00E05DF9" w:rsidRDefault="00E05DF9" w:rsidP="008C7DD9">
      <w:pPr>
        <w:pStyle w:val="BodyText"/>
        <w:pBdr>
          <w:top w:val="single" w:sz="4" w:space="1" w:color="auto"/>
          <w:left w:val="single" w:sz="4" w:space="4" w:color="auto"/>
          <w:bottom w:val="single" w:sz="4" w:space="18" w:color="auto"/>
          <w:right w:val="single" w:sz="4" w:space="4" w:color="auto"/>
        </w:pBdr>
        <w:jc w:val="center"/>
        <w:rPr>
          <w:rFonts w:ascii="Calibri" w:hAnsi="Calibri" w:cs="Arial"/>
          <w:sz w:val="22"/>
          <w:szCs w:val="22"/>
        </w:rPr>
      </w:pPr>
      <w:r w:rsidRPr="00E05DF9">
        <w:rPr>
          <w:rFonts w:ascii="Calibri" w:hAnsi="Calibri" w:cs="Arial"/>
          <w:sz w:val="22"/>
          <w:szCs w:val="22"/>
        </w:rPr>
        <w:t>AIFMD Consultation Paper - Guidelines on reporting obligations under Art. 3 and Art. 24</w:t>
      </w:r>
    </w:p>
    <w:p w:rsidR="00E05DF9" w:rsidRPr="00E05DF9" w:rsidRDefault="00E05DF9" w:rsidP="008C7DD9">
      <w:pPr>
        <w:pStyle w:val="BodyText"/>
        <w:pBdr>
          <w:top w:val="single" w:sz="4" w:space="1" w:color="auto"/>
          <w:left w:val="single" w:sz="4" w:space="4" w:color="auto"/>
          <w:bottom w:val="single" w:sz="4" w:space="18" w:color="auto"/>
          <w:right w:val="single" w:sz="4" w:space="4" w:color="auto"/>
        </w:pBdr>
        <w:jc w:val="center"/>
        <w:rPr>
          <w:rFonts w:ascii="Calibri" w:hAnsi="Calibri" w:cs="Arial"/>
          <w:sz w:val="22"/>
          <w:szCs w:val="22"/>
          <w:lang w:val="fr-FR"/>
        </w:rPr>
      </w:pPr>
      <w:r w:rsidRPr="00E05DF9">
        <w:rPr>
          <w:rFonts w:ascii="Calibri" w:hAnsi="Calibri" w:cs="Arial"/>
          <w:sz w:val="22"/>
          <w:szCs w:val="22"/>
          <w:lang w:val="fr-FR"/>
        </w:rPr>
        <w:t xml:space="preserve">KBC </w:t>
      </w:r>
      <w:proofErr w:type="spellStart"/>
      <w:r w:rsidRPr="00E05DF9">
        <w:rPr>
          <w:rFonts w:ascii="Calibri" w:hAnsi="Calibri" w:cs="Arial"/>
          <w:sz w:val="22"/>
          <w:szCs w:val="22"/>
          <w:lang w:val="fr-FR"/>
        </w:rPr>
        <w:t>Asset</w:t>
      </w:r>
      <w:proofErr w:type="spellEnd"/>
      <w:r w:rsidRPr="00E05DF9">
        <w:rPr>
          <w:rFonts w:ascii="Calibri" w:hAnsi="Calibri" w:cs="Arial"/>
          <w:sz w:val="22"/>
          <w:szCs w:val="22"/>
          <w:lang w:val="fr-FR"/>
        </w:rPr>
        <w:t xml:space="preserve"> Management N.V.</w:t>
      </w:r>
    </w:p>
    <w:p w:rsidR="00DB5BC9" w:rsidRPr="00E05DF9" w:rsidRDefault="00DB5BC9" w:rsidP="00E127CD">
      <w:pPr>
        <w:pStyle w:val="BodyText"/>
        <w:rPr>
          <w:rFonts w:ascii="Calibri" w:hAnsi="Calibri" w:cs="Arial"/>
          <w:sz w:val="22"/>
          <w:szCs w:val="22"/>
          <w:lang w:val="fr-FR"/>
        </w:rPr>
      </w:pPr>
    </w:p>
    <w:p w:rsidR="00DB5BC9" w:rsidRPr="00E05DF9" w:rsidRDefault="00DB5BC9" w:rsidP="00E127CD">
      <w:pPr>
        <w:pStyle w:val="BodyText"/>
        <w:rPr>
          <w:rFonts w:ascii="Calibri" w:hAnsi="Calibri" w:cs="Arial"/>
          <w:b w:val="0"/>
          <w:bCs/>
          <w:sz w:val="22"/>
          <w:szCs w:val="22"/>
          <w:lang w:val="fr-FR"/>
        </w:rPr>
      </w:pPr>
    </w:p>
    <w:p w:rsidR="00DB5BC9" w:rsidRPr="00E127CD" w:rsidRDefault="00117A5A" w:rsidP="00E127CD">
      <w:pPr>
        <w:pStyle w:val="BodyText"/>
        <w:rPr>
          <w:rFonts w:ascii="Calibri" w:hAnsi="Calibri" w:cs="Arial"/>
          <w:b w:val="0"/>
          <w:bCs/>
          <w:sz w:val="22"/>
          <w:szCs w:val="22"/>
        </w:rPr>
      </w:pPr>
      <w:r w:rsidRPr="00E127CD">
        <w:rPr>
          <w:rFonts w:ascii="Calibri" w:hAnsi="Calibri" w:cs="Arial"/>
          <w:b w:val="0"/>
          <w:bCs/>
          <w:sz w:val="22"/>
          <w:szCs w:val="22"/>
        </w:rPr>
        <w:t xml:space="preserve">KBC Asset Management </w:t>
      </w:r>
      <w:r w:rsidR="00DB5BC9" w:rsidRPr="00E127CD">
        <w:rPr>
          <w:rFonts w:ascii="Calibri" w:hAnsi="Calibri" w:cs="Arial"/>
          <w:b w:val="0"/>
          <w:bCs/>
          <w:sz w:val="22"/>
          <w:szCs w:val="22"/>
        </w:rPr>
        <w:t xml:space="preserve"> welcomes the possibility to re</w:t>
      </w:r>
      <w:r w:rsidRPr="00E127CD">
        <w:rPr>
          <w:rFonts w:ascii="Calibri" w:hAnsi="Calibri" w:cs="Arial"/>
          <w:b w:val="0"/>
          <w:bCs/>
          <w:sz w:val="22"/>
          <w:szCs w:val="22"/>
        </w:rPr>
        <w:t>ply to ESMA’s Discussion Paper mentioned in reference.</w:t>
      </w:r>
    </w:p>
    <w:p w:rsidR="00117A5A" w:rsidRPr="00E127CD" w:rsidRDefault="00117A5A" w:rsidP="00E127CD">
      <w:pPr>
        <w:pStyle w:val="BodyText"/>
        <w:rPr>
          <w:rFonts w:ascii="Calibri" w:hAnsi="Calibri" w:cs="Arial"/>
          <w:b w:val="0"/>
          <w:bCs/>
          <w:sz w:val="22"/>
          <w:szCs w:val="22"/>
        </w:rPr>
      </w:pPr>
    </w:p>
    <w:p w:rsidR="00117A5A" w:rsidRPr="00E127CD" w:rsidRDefault="00117A5A" w:rsidP="00E127CD">
      <w:pPr>
        <w:shd w:val="clear" w:color="auto" w:fill="FFFFFF"/>
        <w:spacing w:after="0" w:line="240" w:lineRule="auto"/>
        <w:rPr>
          <w:rFonts w:ascii="Calibri" w:eastAsia="Times New Roman" w:hAnsi="Calibri" w:cs="Arial"/>
        </w:rPr>
      </w:pPr>
      <w:r w:rsidRPr="00E127CD">
        <w:rPr>
          <w:rFonts w:ascii="Calibri" w:eastAsia="Times New Roman" w:hAnsi="Calibri" w:cs="Arial"/>
        </w:rPr>
        <w:t xml:space="preserve">KBC AM has its registered </w:t>
      </w:r>
      <w:r w:rsidRPr="00E127CD">
        <w:rPr>
          <w:rFonts w:ascii="Calibri" w:eastAsia="Times New Roman" w:hAnsi="Calibri" w:cs="Arial"/>
          <w:b/>
          <w:bCs/>
        </w:rPr>
        <w:t>head office in Brussels</w:t>
      </w:r>
      <w:r w:rsidR="008C7DD9">
        <w:rPr>
          <w:rFonts w:ascii="Calibri" w:eastAsia="Times New Roman" w:hAnsi="Calibri" w:cs="Arial"/>
        </w:rPr>
        <w:t xml:space="preserve"> but also owns a managing entities </w:t>
      </w:r>
      <w:r w:rsidRPr="00E127CD">
        <w:rPr>
          <w:rFonts w:ascii="Calibri" w:eastAsia="Times New Roman" w:hAnsi="Calibri" w:cs="Arial"/>
        </w:rPr>
        <w:t xml:space="preserve"> (100%-owned) in Luxem</w:t>
      </w:r>
      <w:r w:rsidR="008C7DD9">
        <w:rPr>
          <w:rFonts w:ascii="Calibri" w:eastAsia="Times New Roman" w:hAnsi="Calibri" w:cs="Arial"/>
        </w:rPr>
        <w:t>bourg (KBC Asset Management SA) ,  Ireland ( KBC Fund Management Ltd Dublin) and Poland (</w:t>
      </w:r>
      <w:r w:rsidR="008C7DD9" w:rsidRPr="008C7DD9">
        <w:rPr>
          <w:rFonts w:ascii="Arial" w:hAnsi="Arial" w:cs="Arial"/>
          <w:sz w:val="20"/>
          <w:szCs w:val="20"/>
        </w:rPr>
        <w:t xml:space="preserve">KBC </w:t>
      </w:r>
      <w:proofErr w:type="spellStart"/>
      <w:r w:rsidR="008C7DD9" w:rsidRPr="008C7DD9">
        <w:rPr>
          <w:rFonts w:ascii="Arial" w:hAnsi="Arial" w:cs="Arial"/>
          <w:sz w:val="20"/>
          <w:szCs w:val="20"/>
        </w:rPr>
        <w:t>Towarzystwo</w:t>
      </w:r>
      <w:proofErr w:type="spellEnd"/>
      <w:r w:rsidR="008C7DD9" w:rsidRPr="008C7DD9">
        <w:rPr>
          <w:rFonts w:ascii="Arial" w:hAnsi="Arial" w:cs="Arial"/>
          <w:sz w:val="20"/>
          <w:szCs w:val="20"/>
        </w:rPr>
        <w:t xml:space="preserve"> </w:t>
      </w:r>
      <w:proofErr w:type="spellStart"/>
      <w:r w:rsidR="008C7DD9" w:rsidRPr="008C7DD9">
        <w:rPr>
          <w:rFonts w:ascii="Arial" w:hAnsi="Arial" w:cs="Arial"/>
          <w:sz w:val="20"/>
          <w:szCs w:val="20"/>
        </w:rPr>
        <w:t>Funduszy</w:t>
      </w:r>
      <w:proofErr w:type="spellEnd"/>
      <w:r w:rsidR="008C7DD9" w:rsidRPr="008C7DD9">
        <w:rPr>
          <w:rFonts w:ascii="Arial" w:hAnsi="Arial" w:cs="Arial"/>
          <w:sz w:val="20"/>
          <w:szCs w:val="20"/>
        </w:rPr>
        <w:t xml:space="preserve"> </w:t>
      </w:r>
      <w:proofErr w:type="spellStart"/>
      <w:r w:rsidR="008C7DD9" w:rsidRPr="008C7DD9">
        <w:rPr>
          <w:rFonts w:ascii="Arial" w:hAnsi="Arial" w:cs="Arial"/>
          <w:sz w:val="20"/>
          <w:szCs w:val="20"/>
        </w:rPr>
        <w:t>Inwestycyjnych</w:t>
      </w:r>
      <w:proofErr w:type="spellEnd"/>
      <w:r w:rsidR="008C7DD9" w:rsidRPr="008C7DD9">
        <w:rPr>
          <w:rFonts w:ascii="Arial" w:hAnsi="Arial" w:cs="Arial"/>
          <w:sz w:val="20"/>
          <w:szCs w:val="20"/>
        </w:rPr>
        <w:t xml:space="preserve"> S.A.)</w:t>
      </w:r>
    </w:p>
    <w:p w:rsidR="00117A5A" w:rsidRPr="00E127CD" w:rsidRDefault="00117A5A" w:rsidP="00E127CD">
      <w:pPr>
        <w:shd w:val="clear" w:color="auto" w:fill="FFFFFF"/>
        <w:spacing w:after="0" w:line="240" w:lineRule="auto"/>
        <w:rPr>
          <w:rFonts w:ascii="Calibri" w:eastAsia="Times New Roman" w:hAnsi="Calibri" w:cs="Arial"/>
        </w:rPr>
      </w:pPr>
    </w:p>
    <w:p w:rsidR="008C7DD9" w:rsidRDefault="00117A5A" w:rsidP="00E127CD">
      <w:pPr>
        <w:shd w:val="clear" w:color="auto" w:fill="FFFFFF"/>
        <w:spacing w:after="0" w:line="240" w:lineRule="auto"/>
        <w:rPr>
          <w:rFonts w:ascii="Calibri" w:eastAsia="Times New Roman" w:hAnsi="Calibri" w:cs="Arial"/>
        </w:rPr>
      </w:pPr>
      <w:r w:rsidRPr="00E127CD">
        <w:rPr>
          <w:rFonts w:ascii="Calibri" w:eastAsia="Times New Roman" w:hAnsi="Calibri" w:cs="Arial"/>
        </w:rPr>
        <w:t xml:space="preserve">KBC AM has </w:t>
      </w:r>
      <w:r w:rsidRPr="00E127CD">
        <w:rPr>
          <w:rFonts w:ascii="Calibri" w:eastAsia="Times New Roman" w:hAnsi="Calibri" w:cs="Arial"/>
          <w:b/>
          <w:bCs/>
        </w:rPr>
        <w:t xml:space="preserve"> affiliates in its second “home market”</w:t>
      </w:r>
      <w:r w:rsidRPr="00E127CD">
        <w:rPr>
          <w:rFonts w:ascii="Calibri" w:eastAsia="Times New Roman" w:hAnsi="Calibri" w:cs="Arial"/>
        </w:rPr>
        <w:t>: CSOB Asset Management (Czech Republic, Slovakian Republic), K&amp;H Asset Management (Hungary)</w:t>
      </w:r>
      <w:r w:rsidR="008C7DD9">
        <w:rPr>
          <w:rFonts w:ascii="Calibri" w:eastAsia="Times New Roman" w:hAnsi="Calibri" w:cs="Arial"/>
        </w:rPr>
        <w:t>.</w:t>
      </w:r>
    </w:p>
    <w:p w:rsidR="00117A5A" w:rsidRDefault="00117A5A" w:rsidP="00E127CD">
      <w:pPr>
        <w:shd w:val="clear" w:color="auto" w:fill="FFFFFF"/>
        <w:spacing w:after="0" w:line="240" w:lineRule="auto"/>
        <w:rPr>
          <w:rFonts w:ascii="Calibri" w:eastAsia="Times New Roman" w:hAnsi="Calibri" w:cs="Arial"/>
        </w:rPr>
      </w:pPr>
      <w:r w:rsidRPr="00E127CD">
        <w:rPr>
          <w:rFonts w:ascii="Calibri" w:eastAsia="Times New Roman" w:hAnsi="Calibri" w:cs="Arial"/>
        </w:rPr>
        <w:t>These entities are active in the local markets in brokerage, research and fund management of local funds/mandates.</w:t>
      </w:r>
    </w:p>
    <w:p w:rsidR="008C7DD9" w:rsidRPr="00E127CD" w:rsidRDefault="008C7DD9" w:rsidP="00E127CD">
      <w:pPr>
        <w:shd w:val="clear" w:color="auto" w:fill="FFFFFF"/>
        <w:spacing w:after="0" w:line="240" w:lineRule="auto"/>
        <w:rPr>
          <w:rFonts w:ascii="Calibri" w:eastAsia="Times New Roman" w:hAnsi="Calibri" w:cs="Arial"/>
        </w:rPr>
      </w:pPr>
    </w:p>
    <w:p w:rsidR="00117A5A" w:rsidRPr="00E127CD" w:rsidRDefault="00117A5A" w:rsidP="00E127CD">
      <w:pPr>
        <w:shd w:val="clear" w:color="auto" w:fill="FFFFFF"/>
        <w:spacing w:line="240" w:lineRule="auto"/>
        <w:rPr>
          <w:rFonts w:ascii="Calibri" w:eastAsia="Times New Roman" w:hAnsi="Calibri" w:cs="Arial"/>
        </w:rPr>
      </w:pPr>
      <w:r w:rsidRPr="00E127CD">
        <w:rPr>
          <w:rFonts w:ascii="Calibri" w:eastAsia="Times New Roman" w:hAnsi="Calibri" w:cs="Arial"/>
        </w:rPr>
        <w:t>In the Asian Pacific region, KBC AM is involved in a joint venture with Union Bank of India: Union - KBC AM in Mumbai (India).</w:t>
      </w:r>
    </w:p>
    <w:p w:rsidR="00117A5A" w:rsidRPr="00E127CD" w:rsidRDefault="00117A5A" w:rsidP="00E127CD">
      <w:pPr>
        <w:shd w:val="clear" w:color="auto" w:fill="FFFFFF"/>
        <w:spacing w:after="0" w:line="240" w:lineRule="auto"/>
        <w:rPr>
          <w:rFonts w:ascii="Calibri" w:eastAsia="Times New Roman" w:hAnsi="Calibri" w:cs="Arial"/>
        </w:rPr>
      </w:pPr>
      <w:r w:rsidRPr="00E127CD">
        <w:rPr>
          <w:rFonts w:ascii="Calibri" w:eastAsia="Times New Roman" w:hAnsi="Calibri" w:cs="Arial"/>
        </w:rPr>
        <w:t xml:space="preserve">KBC Asset Management has its activities </w:t>
      </w:r>
    </w:p>
    <w:p w:rsidR="00117A5A" w:rsidRPr="00E127CD" w:rsidRDefault="00117A5A" w:rsidP="00E127CD">
      <w:pPr>
        <w:pStyle w:val="ListParagraph"/>
        <w:numPr>
          <w:ilvl w:val="0"/>
          <w:numId w:val="6"/>
        </w:numPr>
        <w:shd w:val="clear" w:color="auto" w:fill="FFFFFF"/>
        <w:contextualSpacing/>
        <w:rPr>
          <w:rFonts w:ascii="Calibri" w:hAnsi="Calibri" w:cs="Arial"/>
          <w:sz w:val="22"/>
          <w:szCs w:val="22"/>
        </w:rPr>
      </w:pPr>
      <w:r w:rsidRPr="00E127CD">
        <w:rPr>
          <w:rFonts w:ascii="Calibri" w:hAnsi="Calibri" w:cs="Arial"/>
          <w:sz w:val="22"/>
          <w:szCs w:val="22"/>
        </w:rPr>
        <w:t xml:space="preserve">over </w:t>
      </w:r>
      <w:proofErr w:type="spellStart"/>
      <w:r w:rsidRPr="00E127CD">
        <w:rPr>
          <w:rFonts w:ascii="Calibri" w:hAnsi="Calibri" w:cs="Arial"/>
          <w:sz w:val="22"/>
          <w:szCs w:val="22"/>
        </w:rPr>
        <w:t>different</w:t>
      </w:r>
      <w:proofErr w:type="spellEnd"/>
      <w:r w:rsidRPr="00E127CD">
        <w:rPr>
          <w:rFonts w:ascii="Calibri" w:hAnsi="Calibri" w:cs="Arial"/>
          <w:sz w:val="22"/>
          <w:szCs w:val="22"/>
        </w:rPr>
        <w:t xml:space="preserve"> </w:t>
      </w:r>
      <w:r w:rsidR="00E05DF9">
        <w:rPr>
          <w:rFonts w:ascii="Calibri" w:hAnsi="Calibri" w:cs="Arial"/>
          <w:sz w:val="22"/>
          <w:szCs w:val="22"/>
        </w:rPr>
        <w:t xml:space="preserve"> </w:t>
      </w:r>
      <w:proofErr w:type="spellStart"/>
      <w:r w:rsidR="00E05DF9" w:rsidRPr="00E127CD">
        <w:rPr>
          <w:rFonts w:ascii="Calibri" w:hAnsi="Calibri" w:cs="Arial"/>
          <w:sz w:val="22"/>
          <w:szCs w:val="22"/>
        </w:rPr>
        <w:t>r</w:t>
      </w:r>
      <w:r w:rsidR="00E05DF9">
        <w:rPr>
          <w:rFonts w:ascii="Calibri" w:hAnsi="Calibri" w:cs="Arial"/>
          <w:sz w:val="22"/>
          <w:szCs w:val="22"/>
        </w:rPr>
        <w:t>e</w:t>
      </w:r>
      <w:r w:rsidR="00E05DF9" w:rsidRPr="00E127CD">
        <w:rPr>
          <w:rFonts w:ascii="Calibri" w:hAnsi="Calibri" w:cs="Arial"/>
          <w:sz w:val="22"/>
          <w:szCs w:val="22"/>
        </w:rPr>
        <w:t>gions</w:t>
      </w:r>
      <w:proofErr w:type="spellEnd"/>
      <w:r w:rsidRPr="00E127CD">
        <w:rPr>
          <w:rFonts w:ascii="Calibri" w:hAnsi="Calibri" w:cs="Arial"/>
          <w:sz w:val="22"/>
          <w:szCs w:val="22"/>
        </w:rPr>
        <w:t xml:space="preserve">; </w:t>
      </w:r>
    </w:p>
    <w:p w:rsidR="00117A5A" w:rsidRPr="00E127CD" w:rsidRDefault="00117A5A" w:rsidP="00E127CD">
      <w:pPr>
        <w:pStyle w:val="ListParagraph"/>
        <w:numPr>
          <w:ilvl w:val="0"/>
          <w:numId w:val="6"/>
        </w:numPr>
        <w:shd w:val="clear" w:color="auto" w:fill="FFFFFF"/>
        <w:contextualSpacing/>
        <w:rPr>
          <w:rFonts w:ascii="Calibri" w:hAnsi="Calibri" w:cs="Arial"/>
          <w:sz w:val="22"/>
          <w:szCs w:val="22"/>
          <w:lang w:val="en-US"/>
        </w:rPr>
      </w:pPr>
      <w:r w:rsidRPr="00E127CD">
        <w:rPr>
          <w:rFonts w:ascii="Calibri" w:hAnsi="Calibri" w:cs="Arial"/>
          <w:sz w:val="22"/>
          <w:szCs w:val="22"/>
          <w:lang w:val="en-US"/>
        </w:rPr>
        <w:t xml:space="preserve">over its investment products &amp; services (to become the actual market leader in Belgium for both retail funds and institutional portfolios); </w:t>
      </w:r>
    </w:p>
    <w:p w:rsidR="00117A5A" w:rsidRPr="00E127CD" w:rsidRDefault="00117A5A" w:rsidP="00E127CD">
      <w:pPr>
        <w:pStyle w:val="ListParagraph"/>
        <w:numPr>
          <w:ilvl w:val="0"/>
          <w:numId w:val="6"/>
        </w:numPr>
        <w:shd w:val="clear" w:color="auto" w:fill="FFFFFF"/>
        <w:contextualSpacing/>
        <w:rPr>
          <w:rFonts w:ascii="Calibri" w:hAnsi="Calibri" w:cs="Arial"/>
          <w:sz w:val="22"/>
          <w:szCs w:val="22"/>
          <w:lang w:val="en-US"/>
        </w:rPr>
      </w:pPr>
      <w:r w:rsidRPr="00E127CD">
        <w:rPr>
          <w:rFonts w:ascii="Calibri" w:hAnsi="Calibri" w:cs="Arial"/>
          <w:sz w:val="22"/>
          <w:szCs w:val="22"/>
          <w:lang w:val="en-US"/>
        </w:rPr>
        <w:t xml:space="preserve">KBC AM is market leader in sustainable investment in Belgium; </w:t>
      </w:r>
    </w:p>
    <w:p w:rsidR="00C51626" w:rsidRDefault="00117A5A" w:rsidP="00E127CD">
      <w:pPr>
        <w:pStyle w:val="ListParagraph"/>
        <w:numPr>
          <w:ilvl w:val="0"/>
          <w:numId w:val="6"/>
        </w:numPr>
        <w:shd w:val="clear" w:color="auto" w:fill="FFFFFF"/>
        <w:contextualSpacing/>
        <w:rPr>
          <w:rFonts w:ascii="Calibri" w:hAnsi="Calibri" w:cs="Arial"/>
          <w:sz w:val="22"/>
          <w:szCs w:val="22"/>
          <w:lang w:val="en-US"/>
        </w:rPr>
      </w:pPr>
      <w:r w:rsidRPr="00E127CD">
        <w:rPr>
          <w:rFonts w:ascii="Calibri" w:hAnsi="Calibri" w:cs="Arial"/>
          <w:sz w:val="22"/>
          <w:szCs w:val="22"/>
          <w:lang w:val="en-US"/>
        </w:rPr>
        <w:t>KBC AM has acquired unique expertise in SRI and offers a broad range of sustainable investments.</w:t>
      </w:r>
    </w:p>
    <w:p w:rsidR="00376DA4" w:rsidRPr="00376DA4" w:rsidRDefault="00376DA4" w:rsidP="00376DA4">
      <w:pPr>
        <w:shd w:val="clear" w:color="auto" w:fill="FFFFFF"/>
        <w:ind w:left="360"/>
        <w:contextualSpacing/>
        <w:rPr>
          <w:rFonts w:ascii="Calibri" w:hAnsi="Calibri" w:cs="Arial"/>
        </w:rPr>
      </w:pPr>
    </w:p>
    <w:p w:rsidR="00376DA4" w:rsidRPr="0052443F" w:rsidRDefault="00376DA4" w:rsidP="00E127CD">
      <w:pPr>
        <w:pStyle w:val="BodyText"/>
        <w:rPr>
          <w:rFonts w:ascii="Calibri" w:hAnsi="Calibri" w:cs="Arial"/>
          <w:sz w:val="22"/>
          <w:szCs w:val="22"/>
        </w:rPr>
      </w:pPr>
    </w:p>
    <w:tbl>
      <w:tblPr>
        <w:tblStyle w:val="TableGrid"/>
        <w:tblW w:w="0" w:type="auto"/>
        <w:tblLook w:val="04A0"/>
      </w:tblPr>
      <w:tblGrid>
        <w:gridCol w:w="9288"/>
      </w:tblGrid>
      <w:tr w:rsidR="00376DA4" w:rsidTr="00376DA4">
        <w:tc>
          <w:tcPr>
            <w:tcW w:w="9288" w:type="dxa"/>
          </w:tcPr>
          <w:p w:rsidR="00376DA4" w:rsidRPr="0052443F" w:rsidRDefault="00376DA4" w:rsidP="00376DA4">
            <w:pPr>
              <w:pStyle w:val="BodyText"/>
              <w:jc w:val="center"/>
              <w:rPr>
                <w:rFonts w:ascii="Calibri" w:hAnsi="Calibri" w:cs="Arial"/>
                <w:sz w:val="22"/>
                <w:szCs w:val="22"/>
              </w:rPr>
            </w:pPr>
          </w:p>
          <w:p w:rsidR="00376DA4" w:rsidRDefault="00376DA4" w:rsidP="00376DA4">
            <w:pPr>
              <w:pStyle w:val="BodyText"/>
              <w:jc w:val="center"/>
              <w:rPr>
                <w:rFonts w:ascii="Calibri" w:hAnsi="Calibri" w:cs="Arial"/>
                <w:sz w:val="22"/>
                <w:szCs w:val="22"/>
                <w:lang w:val="nl-BE"/>
              </w:rPr>
            </w:pPr>
            <w:r>
              <w:rPr>
                <w:rFonts w:ascii="Calibri" w:hAnsi="Calibri" w:cs="Arial"/>
                <w:sz w:val="22"/>
                <w:szCs w:val="22"/>
                <w:lang w:val="nl-BE"/>
              </w:rPr>
              <w:t>QUESTION LIST</w:t>
            </w:r>
          </w:p>
          <w:p w:rsidR="00376DA4" w:rsidRDefault="00376DA4" w:rsidP="00E127CD">
            <w:pPr>
              <w:pStyle w:val="BodyText"/>
              <w:rPr>
                <w:rFonts w:ascii="Calibri" w:hAnsi="Calibri" w:cs="Arial"/>
                <w:sz w:val="22"/>
                <w:szCs w:val="22"/>
                <w:lang w:val="nl-BE"/>
              </w:rPr>
            </w:pPr>
          </w:p>
        </w:tc>
      </w:tr>
    </w:tbl>
    <w:p w:rsidR="00D01AEA" w:rsidRDefault="00D01AEA" w:rsidP="00E127CD">
      <w:pPr>
        <w:pStyle w:val="BodyText"/>
        <w:rPr>
          <w:rFonts w:ascii="Calibri" w:hAnsi="Calibri" w:cs="Arial"/>
          <w:sz w:val="22"/>
          <w:szCs w:val="22"/>
          <w:lang w:val="nl-BE"/>
        </w:rPr>
      </w:pP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Q1: Do you agree with the proposed approach for the reporting periods? If not, please state</w:t>
      </w: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the reasons for your answer.</w:t>
      </w:r>
    </w:p>
    <w:p w:rsidR="00E05DF9" w:rsidRDefault="00E05DF9" w:rsidP="00E05DF9">
      <w:pPr>
        <w:autoSpaceDE w:val="0"/>
        <w:autoSpaceDN w:val="0"/>
        <w:adjustRightInd w:val="0"/>
        <w:spacing w:after="0" w:line="240" w:lineRule="auto"/>
        <w:rPr>
          <w:rFonts w:ascii="Georgia,Bold" w:hAnsi="Georgia,Bold" w:cs="Georgia,Bold"/>
          <w:b/>
          <w:bCs/>
          <w:sz w:val="20"/>
          <w:szCs w:val="20"/>
        </w:rPr>
      </w:pPr>
    </w:p>
    <w:p w:rsidR="00E05DF9" w:rsidRPr="00E05DF9" w:rsidRDefault="00E05DF9" w:rsidP="00E05DF9">
      <w:pPr>
        <w:autoSpaceDE w:val="0"/>
        <w:autoSpaceDN w:val="0"/>
        <w:adjustRightInd w:val="0"/>
        <w:spacing w:after="0" w:line="240" w:lineRule="auto"/>
        <w:rPr>
          <w:rFonts w:ascii="Georgia,Bold" w:hAnsi="Georgia,Bold" w:cs="Georgia,Bold"/>
          <w:bCs/>
          <w:sz w:val="20"/>
          <w:szCs w:val="20"/>
        </w:rPr>
      </w:pPr>
      <w:r w:rsidRPr="00E05DF9">
        <w:rPr>
          <w:rFonts w:ascii="Georgia,Bold" w:hAnsi="Georgia,Bold" w:cs="Georgia,Bold"/>
          <w:bCs/>
          <w:sz w:val="20"/>
          <w:szCs w:val="20"/>
          <w:u w:val="single"/>
        </w:rPr>
        <w:t>No</w:t>
      </w:r>
      <w:r w:rsidRPr="00E05DF9">
        <w:rPr>
          <w:rFonts w:ascii="Georgia,Bold" w:hAnsi="Georgia,Bold" w:cs="Georgia,Bold"/>
          <w:bCs/>
          <w:sz w:val="20"/>
          <w:szCs w:val="20"/>
        </w:rPr>
        <w:t>. As there is a lot of overlap with reporting for accounting/fiscal purposes, we believe reporting in line with fiscal years (as opposed to calendar years), has 2 significant advantages :</w:t>
      </w:r>
    </w:p>
    <w:p w:rsidR="00E05DF9" w:rsidRPr="00E05DF9" w:rsidRDefault="00E05DF9" w:rsidP="00E05DF9">
      <w:pPr>
        <w:autoSpaceDE w:val="0"/>
        <w:autoSpaceDN w:val="0"/>
        <w:adjustRightInd w:val="0"/>
        <w:spacing w:after="0" w:line="240" w:lineRule="auto"/>
        <w:rPr>
          <w:rFonts w:ascii="Georgia,Bold" w:hAnsi="Georgia,Bold" w:cs="Georgia,Bold"/>
          <w:bCs/>
          <w:sz w:val="20"/>
          <w:szCs w:val="20"/>
        </w:rPr>
      </w:pPr>
      <w:r w:rsidRPr="00E05DF9">
        <w:rPr>
          <w:rFonts w:ascii="Georgia,Bold" w:hAnsi="Georgia,Bold" w:cs="Georgia,Bold"/>
          <w:bCs/>
          <w:sz w:val="20"/>
          <w:szCs w:val="20"/>
        </w:rPr>
        <w:t>(</w:t>
      </w:r>
      <w:proofErr w:type="spellStart"/>
      <w:r w:rsidRPr="00E05DF9">
        <w:rPr>
          <w:rFonts w:ascii="Georgia,Bold" w:hAnsi="Georgia,Bold" w:cs="Georgia,Bold"/>
          <w:bCs/>
          <w:sz w:val="20"/>
          <w:szCs w:val="20"/>
        </w:rPr>
        <w:t>i</w:t>
      </w:r>
      <w:proofErr w:type="spellEnd"/>
      <w:r w:rsidRPr="00E05DF9">
        <w:rPr>
          <w:rFonts w:ascii="Georgia,Bold" w:hAnsi="Georgia,Bold" w:cs="Georgia,Bold"/>
          <w:bCs/>
          <w:sz w:val="20"/>
          <w:szCs w:val="20"/>
        </w:rPr>
        <w:t>) for ESMA : the occurrence of system risk does not synchronize with calendar periods, so a more dynamic reporting frequency (instead of fixing everything at calendar end) allows ESMA to receive a quicker/continuous view on the build-up of systemic risk</w:t>
      </w:r>
    </w:p>
    <w:p w:rsidR="00E05DF9" w:rsidRPr="00E05DF9" w:rsidRDefault="00E05DF9" w:rsidP="00E05DF9">
      <w:pPr>
        <w:autoSpaceDE w:val="0"/>
        <w:autoSpaceDN w:val="0"/>
        <w:adjustRightInd w:val="0"/>
        <w:spacing w:after="0" w:line="240" w:lineRule="auto"/>
        <w:rPr>
          <w:rFonts w:ascii="Georgia,Bold" w:hAnsi="Georgia,Bold" w:cs="Georgia,Bold"/>
          <w:bCs/>
          <w:sz w:val="20"/>
          <w:szCs w:val="20"/>
        </w:rPr>
      </w:pPr>
      <w:r w:rsidRPr="00E05DF9">
        <w:rPr>
          <w:rFonts w:ascii="Georgia,Bold" w:hAnsi="Georgia,Bold" w:cs="Georgia,Bold"/>
          <w:bCs/>
          <w:sz w:val="20"/>
          <w:szCs w:val="20"/>
        </w:rPr>
        <w:t>(ii) for AIFMs : operational efficiency is fostered by aligning AIFMD-reporting with existing reporting cycles, allowing AIFMs to comply with AIFMD in a cost-efficient way</w:t>
      </w:r>
    </w:p>
    <w:p w:rsidR="00E05DF9" w:rsidRPr="00E05DF9" w:rsidRDefault="00E05DF9" w:rsidP="00E05DF9">
      <w:pPr>
        <w:autoSpaceDE w:val="0"/>
        <w:autoSpaceDN w:val="0"/>
        <w:adjustRightInd w:val="0"/>
        <w:spacing w:after="0" w:line="240" w:lineRule="auto"/>
        <w:rPr>
          <w:rFonts w:ascii="Georgia,Bold" w:hAnsi="Georgia,Bold" w:cs="Georgia,Bold"/>
          <w:bCs/>
          <w:sz w:val="20"/>
          <w:szCs w:val="20"/>
        </w:rPr>
      </w:pPr>
    </w:p>
    <w:p w:rsidR="00E05DF9" w:rsidRDefault="00E05DF9" w:rsidP="00E05DF9">
      <w:pPr>
        <w:autoSpaceDE w:val="0"/>
        <w:autoSpaceDN w:val="0"/>
        <w:adjustRightInd w:val="0"/>
        <w:spacing w:after="0" w:line="240" w:lineRule="auto"/>
        <w:rPr>
          <w:rFonts w:ascii="Georgia,Bold" w:hAnsi="Georgia,Bold" w:cs="Georgia,Bold"/>
          <w:b/>
          <w:bCs/>
          <w:sz w:val="20"/>
          <w:szCs w:val="20"/>
        </w:rPr>
      </w:pPr>
    </w:p>
    <w:p w:rsidR="00376DA4" w:rsidRDefault="00376DA4" w:rsidP="00E05DF9">
      <w:pPr>
        <w:autoSpaceDE w:val="0"/>
        <w:autoSpaceDN w:val="0"/>
        <w:adjustRightInd w:val="0"/>
        <w:spacing w:after="0" w:line="240" w:lineRule="auto"/>
        <w:rPr>
          <w:rFonts w:ascii="Georgia,Bold" w:hAnsi="Georgia,Bold" w:cs="Georgia,Bold"/>
          <w:b/>
          <w:bCs/>
          <w:sz w:val="20"/>
          <w:szCs w:val="20"/>
        </w:rPr>
      </w:pPr>
    </w:p>
    <w:p w:rsidR="00376DA4" w:rsidRDefault="00376DA4" w:rsidP="00E05DF9">
      <w:pPr>
        <w:autoSpaceDE w:val="0"/>
        <w:autoSpaceDN w:val="0"/>
        <w:adjustRightInd w:val="0"/>
        <w:spacing w:after="0" w:line="240" w:lineRule="auto"/>
        <w:rPr>
          <w:rFonts w:ascii="Georgia,Bold" w:hAnsi="Georgia,Bold" w:cs="Georgia,Bold"/>
          <w:b/>
          <w:bCs/>
          <w:sz w:val="20"/>
          <w:szCs w:val="20"/>
        </w:rPr>
      </w:pPr>
    </w:p>
    <w:p w:rsidR="00376DA4" w:rsidRDefault="00376DA4" w:rsidP="00E05DF9">
      <w:pPr>
        <w:autoSpaceDE w:val="0"/>
        <w:autoSpaceDN w:val="0"/>
        <w:adjustRightInd w:val="0"/>
        <w:spacing w:after="0" w:line="240" w:lineRule="auto"/>
        <w:rPr>
          <w:rFonts w:ascii="Georgia,Bold" w:hAnsi="Georgia,Bold" w:cs="Georgia,Bold"/>
          <w:b/>
          <w:bCs/>
          <w:sz w:val="20"/>
          <w:szCs w:val="20"/>
        </w:rPr>
      </w:pPr>
    </w:p>
    <w:p w:rsidR="00E05DF9" w:rsidRDefault="00E05DF9" w:rsidP="00E05DF9">
      <w:pPr>
        <w:autoSpaceDE w:val="0"/>
        <w:autoSpaceDN w:val="0"/>
        <w:adjustRightInd w:val="0"/>
        <w:spacing w:after="0" w:line="240" w:lineRule="auto"/>
        <w:rPr>
          <w:rFonts w:ascii="Georgia,Bold" w:hAnsi="Georgia,Bold" w:cs="Georgia,Bold"/>
          <w:b/>
          <w:bCs/>
          <w:sz w:val="20"/>
          <w:szCs w:val="20"/>
        </w:rPr>
      </w:pP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Q2:Do you agree that ESMA should provide clarification on how AIFMs should manage</w:t>
      </w: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change in reporting frequency? Do you agree with the scenario identified by ESMA and</w:t>
      </w: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the guidelines provided? If not, please state the reasons for your answer.</w:t>
      </w:r>
    </w:p>
    <w:p w:rsidR="00E05DF9" w:rsidRDefault="00E05DF9" w:rsidP="00E05DF9">
      <w:pPr>
        <w:autoSpaceDE w:val="0"/>
        <w:autoSpaceDN w:val="0"/>
        <w:adjustRightInd w:val="0"/>
        <w:spacing w:after="0" w:line="240" w:lineRule="auto"/>
        <w:rPr>
          <w:rFonts w:ascii="Georgia,Bold" w:hAnsi="Georgia,Bold" w:cs="Georgia,Bold"/>
          <w:b/>
          <w:bCs/>
          <w:sz w:val="20"/>
          <w:szCs w:val="20"/>
        </w:rPr>
      </w:pPr>
    </w:p>
    <w:p w:rsidR="00E05DF9" w:rsidRPr="00E05DF9" w:rsidRDefault="00E05DF9" w:rsidP="00E05DF9">
      <w:pPr>
        <w:autoSpaceDE w:val="0"/>
        <w:autoSpaceDN w:val="0"/>
        <w:adjustRightInd w:val="0"/>
        <w:spacing w:after="0" w:line="240" w:lineRule="auto"/>
        <w:rPr>
          <w:rFonts w:ascii="Georgia,Bold" w:hAnsi="Georgia,Bold" w:cs="Georgia,Bold"/>
          <w:bCs/>
          <w:sz w:val="20"/>
          <w:szCs w:val="20"/>
          <w:u w:val="single"/>
        </w:rPr>
      </w:pPr>
      <w:r w:rsidRPr="00E05DF9">
        <w:rPr>
          <w:rFonts w:ascii="Georgia,Bold" w:hAnsi="Georgia,Bold" w:cs="Georgia,Bold"/>
          <w:bCs/>
          <w:sz w:val="20"/>
          <w:szCs w:val="20"/>
          <w:u w:val="single"/>
        </w:rPr>
        <w:t>Yes</w:t>
      </w:r>
    </w:p>
    <w:p w:rsidR="00E05DF9" w:rsidRDefault="00E05DF9" w:rsidP="00E05DF9">
      <w:pPr>
        <w:autoSpaceDE w:val="0"/>
        <w:autoSpaceDN w:val="0"/>
        <w:adjustRightInd w:val="0"/>
        <w:spacing w:after="0" w:line="240" w:lineRule="auto"/>
        <w:rPr>
          <w:rFonts w:ascii="Georgia,Bold" w:hAnsi="Georgia,Bold" w:cs="Georgia,Bold"/>
          <w:b/>
          <w:bCs/>
          <w:sz w:val="20"/>
          <w:szCs w:val="20"/>
        </w:rPr>
      </w:pP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Q3:Do you think that ESMA should provide further clarification? If yes, please provide</w:t>
      </w: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examples.</w:t>
      </w:r>
    </w:p>
    <w:p w:rsidR="00E05DF9" w:rsidRDefault="00E05DF9" w:rsidP="00E05DF9">
      <w:pPr>
        <w:autoSpaceDE w:val="0"/>
        <w:autoSpaceDN w:val="0"/>
        <w:adjustRightInd w:val="0"/>
        <w:spacing w:after="0" w:line="240" w:lineRule="auto"/>
        <w:rPr>
          <w:rFonts w:ascii="Georgia,Bold" w:hAnsi="Georgia,Bold" w:cs="Georgia,Bold"/>
          <w:b/>
          <w:bCs/>
          <w:sz w:val="20"/>
          <w:szCs w:val="20"/>
        </w:rPr>
      </w:pPr>
    </w:p>
    <w:p w:rsidR="00E05DF9" w:rsidRDefault="00E05DF9" w:rsidP="00E05DF9">
      <w:pPr>
        <w:autoSpaceDE w:val="0"/>
        <w:autoSpaceDN w:val="0"/>
        <w:adjustRightInd w:val="0"/>
        <w:spacing w:after="0" w:line="240" w:lineRule="auto"/>
        <w:rPr>
          <w:rFonts w:ascii="Georgia,Bold" w:hAnsi="Georgia,Bold" w:cs="Georgia,Bold"/>
          <w:b/>
          <w:bCs/>
          <w:sz w:val="20"/>
          <w:szCs w:val="20"/>
        </w:rPr>
      </w:pPr>
      <w:r w:rsidRPr="00E05DF9">
        <w:rPr>
          <w:rFonts w:ascii="Georgia,Bold" w:hAnsi="Georgia,Bold" w:cs="Georgia,Bold"/>
          <w:bCs/>
          <w:sz w:val="20"/>
          <w:szCs w:val="20"/>
          <w:u w:val="single"/>
        </w:rPr>
        <w:t>No</w:t>
      </w:r>
    </w:p>
    <w:p w:rsidR="00E05DF9" w:rsidRDefault="00E05DF9" w:rsidP="00E05DF9">
      <w:pPr>
        <w:autoSpaceDE w:val="0"/>
        <w:autoSpaceDN w:val="0"/>
        <w:adjustRightInd w:val="0"/>
        <w:spacing w:after="0" w:line="240" w:lineRule="auto"/>
        <w:rPr>
          <w:rFonts w:ascii="Georgia,Bold" w:hAnsi="Georgia,Bold" w:cs="Georgia,Bold"/>
          <w:b/>
          <w:bCs/>
          <w:sz w:val="20"/>
          <w:szCs w:val="20"/>
        </w:rPr>
      </w:pP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Q4:Do you agree with the proposed approach for the reporting obligations for feeder AIFs</w:t>
      </w: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and umbrella AIFs? If not, please state the reasons for your answer.</w:t>
      </w:r>
    </w:p>
    <w:p w:rsidR="00F93917" w:rsidRDefault="00F93917" w:rsidP="00E05DF9">
      <w:pPr>
        <w:autoSpaceDE w:val="0"/>
        <w:autoSpaceDN w:val="0"/>
        <w:adjustRightInd w:val="0"/>
        <w:spacing w:after="0" w:line="240" w:lineRule="auto"/>
        <w:rPr>
          <w:rFonts w:ascii="Georgia,Bold" w:hAnsi="Georgia,Bold" w:cs="Georgia,Bold"/>
          <w:b/>
          <w:bCs/>
          <w:sz w:val="20"/>
          <w:szCs w:val="20"/>
        </w:rPr>
      </w:pPr>
    </w:p>
    <w:p w:rsidR="00F93917" w:rsidRPr="0052443F" w:rsidRDefault="00F93917" w:rsidP="00F93917">
      <w:pPr>
        <w:autoSpaceDE w:val="0"/>
        <w:autoSpaceDN w:val="0"/>
        <w:adjustRightInd w:val="0"/>
        <w:spacing w:after="0" w:line="240" w:lineRule="auto"/>
        <w:rPr>
          <w:rFonts w:ascii="Georgia,Bold" w:hAnsi="Georgia,Bold" w:cs="Georgia,Bold"/>
          <w:bCs/>
          <w:sz w:val="20"/>
          <w:szCs w:val="20"/>
          <w:u w:val="single"/>
        </w:rPr>
      </w:pPr>
      <w:r w:rsidRPr="0052443F">
        <w:rPr>
          <w:rFonts w:ascii="Georgia,Bold" w:hAnsi="Georgia,Bold" w:cs="Georgia,Bold"/>
          <w:bCs/>
          <w:sz w:val="20"/>
          <w:szCs w:val="20"/>
          <w:u w:val="single"/>
        </w:rPr>
        <w:t>Yes</w:t>
      </w:r>
    </w:p>
    <w:p w:rsidR="00F93917" w:rsidRPr="0052443F" w:rsidRDefault="00F93917" w:rsidP="00E05DF9">
      <w:pPr>
        <w:autoSpaceDE w:val="0"/>
        <w:autoSpaceDN w:val="0"/>
        <w:adjustRightInd w:val="0"/>
        <w:spacing w:after="0" w:line="240" w:lineRule="auto"/>
        <w:rPr>
          <w:rFonts w:ascii="Georgia,Bold" w:hAnsi="Georgia,Bold" w:cs="Georgia,Bold"/>
          <w:b/>
          <w:bCs/>
          <w:sz w:val="20"/>
          <w:szCs w:val="20"/>
        </w:rPr>
      </w:pPr>
    </w:p>
    <w:p w:rsidR="00F93917" w:rsidRPr="004A1923" w:rsidRDefault="00F93917" w:rsidP="00E05DF9">
      <w:pPr>
        <w:autoSpaceDE w:val="0"/>
        <w:autoSpaceDN w:val="0"/>
        <w:adjustRightInd w:val="0"/>
        <w:spacing w:after="0" w:line="240" w:lineRule="auto"/>
        <w:rPr>
          <w:rFonts w:ascii="Georgia,Bold" w:hAnsi="Georgia,Bold" w:cs="Georgia,Bold"/>
          <w:bCs/>
          <w:sz w:val="20"/>
          <w:szCs w:val="20"/>
        </w:rPr>
      </w:pPr>
      <w:r w:rsidRPr="004A1923">
        <w:rPr>
          <w:rFonts w:ascii="Georgia,Bold" w:hAnsi="Georgia,Bold" w:cs="Georgia,Bold"/>
          <w:bCs/>
          <w:sz w:val="20"/>
          <w:szCs w:val="20"/>
          <w:u w:val="single"/>
        </w:rPr>
        <w:t>Remar</w:t>
      </w:r>
      <w:r w:rsidR="004A1923" w:rsidRPr="004A1923">
        <w:rPr>
          <w:rFonts w:ascii="Georgia,Bold" w:hAnsi="Georgia,Bold" w:cs="Georgia,Bold"/>
          <w:bCs/>
          <w:sz w:val="20"/>
          <w:szCs w:val="20"/>
          <w:u w:val="single"/>
        </w:rPr>
        <w:t>k</w:t>
      </w:r>
      <w:r w:rsidRPr="004A1923">
        <w:rPr>
          <w:rFonts w:ascii="Georgia,Bold" w:hAnsi="Georgia,Bold" w:cs="Georgia,Bold"/>
          <w:bCs/>
          <w:sz w:val="20"/>
          <w:szCs w:val="20"/>
        </w:rPr>
        <w:t xml:space="preserve"> : </w:t>
      </w:r>
      <w:r w:rsidR="004A1923" w:rsidRPr="004A1923">
        <w:rPr>
          <w:rFonts w:ascii="Georgia,Bold" w:hAnsi="Georgia,Bold" w:cs="Georgia,Bold"/>
          <w:bCs/>
          <w:sz w:val="20"/>
          <w:szCs w:val="20"/>
        </w:rPr>
        <w:t>does this connect with item 4</w:t>
      </w:r>
      <w:r w:rsidR="004A1923">
        <w:rPr>
          <w:rFonts w:ascii="Georgia,Bold" w:hAnsi="Georgia,Bold" w:cs="Georgia,Bold"/>
          <w:bCs/>
          <w:sz w:val="20"/>
          <w:szCs w:val="20"/>
        </w:rPr>
        <w:t xml:space="preserve"> </w:t>
      </w:r>
      <w:r w:rsidR="004A1923" w:rsidRPr="004A1923">
        <w:rPr>
          <w:rFonts w:ascii="Georgia,Bold" w:hAnsi="Georgia,Bold" w:cs="Georgia,Bold"/>
          <w:bCs/>
          <w:sz w:val="20"/>
          <w:szCs w:val="20"/>
        </w:rPr>
        <w:t>AIF name</w:t>
      </w:r>
      <w:r w:rsidR="004A1923">
        <w:rPr>
          <w:rFonts w:ascii="Georgia,Bold" w:hAnsi="Georgia,Bold" w:cs="Georgia,Bold"/>
          <w:bCs/>
          <w:sz w:val="20"/>
          <w:szCs w:val="20"/>
        </w:rPr>
        <w:t xml:space="preserve">: </w:t>
      </w:r>
      <w:r w:rsidR="004A1923" w:rsidRPr="004A1923">
        <w:rPr>
          <w:rFonts w:ascii="Georgia,Bold" w:hAnsi="Georgia,Bold" w:cs="Georgia,Bold"/>
          <w:bCs/>
          <w:sz w:val="20"/>
          <w:szCs w:val="20"/>
        </w:rPr>
        <w:t xml:space="preserve"> Master AIF national identifier ? </w:t>
      </w:r>
    </w:p>
    <w:p w:rsidR="004A1923" w:rsidRPr="004A1923" w:rsidRDefault="004A1923" w:rsidP="00E05DF9">
      <w:pPr>
        <w:autoSpaceDE w:val="0"/>
        <w:autoSpaceDN w:val="0"/>
        <w:adjustRightInd w:val="0"/>
        <w:spacing w:after="0" w:line="240" w:lineRule="auto"/>
        <w:rPr>
          <w:rFonts w:ascii="Helv" w:hAnsi="Helv" w:cs="Helv"/>
          <w:color w:val="000000"/>
          <w:sz w:val="20"/>
          <w:szCs w:val="20"/>
        </w:rPr>
      </w:pP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Q5:Do you agree with the approach proposed by ESMA? If not, please state the reasons for</w:t>
      </w: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your answer? Do you think ESMA should provide further clarification? If yes, please</w:t>
      </w: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give examples.</w:t>
      </w:r>
    </w:p>
    <w:p w:rsidR="00E05DF9" w:rsidRDefault="00E05DF9" w:rsidP="00E05DF9">
      <w:pPr>
        <w:autoSpaceDE w:val="0"/>
        <w:autoSpaceDN w:val="0"/>
        <w:adjustRightInd w:val="0"/>
        <w:spacing w:after="0" w:line="240" w:lineRule="auto"/>
        <w:rPr>
          <w:rFonts w:ascii="Georgia,Bold" w:hAnsi="Georgia,Bold" w:cs="Georgia,Bold"/>
          <w:b/>
          <w:bCs/>
          <w:sz w:val="20"/>
          <w:szCs w:val="20"/>
        </w:rPr>
      </w:pPr>
    </w:p>
    <w:p w:rsidR="00E05DF9" w:rsidRPr="00E05DF9" w:rsidRDefault="00E05DF9" w:rsidP="00E05DF9">
      <w:pPr>
        <w:autoSpaceDE w:val="0"/>
        <w:autoSpaceDN w:val="0"/>
        <w:adjustRightInd w:val="0"/>
        <w:spacing w:after="0" w:line="240" w:lineRule="auto"/>
        <w:rPr>
          <w:rFonts w:ascii="Georgia,Bold" w:hAnsi="Georgia,Bold" w:cs="Georgia,Bold"/>
          <w:bCs/>
          <w:sz w:val="20"/>
          <w:szCs w:val="20"/>
          <w:u w:val="single"/>
        </w:rPr>
      </w:pPr>
      <w:r w:rsidRPr="00E05DF9">
        <w:rPr>
          <w:rFonts w:ascii="Georgia,Bold" w:hAnsi="Georgia,Bold" w:cs="Georgia,Bold"/>
          <w:bCs/>
          <w:sz w:val="20"/>
          <w:szCs w:val="20"/>
          <w:u w:val="single"/>
        </w:rPr>
        <w:t>Yes</w:t>
      </w:r>
    </w:p>
    <w:p w:rsidR="00E05DF9" w:rsidRDefault="00E05DF9" w:rsidP="00E05DF9">
      <w:pPr>
        <w:autoSpaceDE w:val="0"/>
        <w:autoSpaceDN w:val="0"/>
        <w:adjustRightInd w:val="0"/>
        <w:spacing w:after="0" w:line="240" w:lineRule="auto"/>
        <w:rPr>
          <w:rFonts w:ascii="Georgia,Bold" w:hAnsi="Georgia,Bold" w:cs="Georgia,Bold"/>
          <w:b/>
          <w:bCs/>
          <w:sz w:val="20"/>
          <w:szCs w:val="20"/>
        </w:rPr>
      </w:pP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Q6:Do you agree with the proposed approach for the principal markets and instruments in</w:t>
      </w: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which AIFMs are trading on behalf of the AIFs they manage? If not, what would you</w:t>
      </w: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propose as alternative approach to the identification of principal markets and instruments?</w:t>
      </w:r>
    </w:p>
    <w:p w:rsidR="00E05DF9" w:rsidRDefault="00E05DF9" w:rsidP="00E05DF9">
      <w:pPr>
        <w:autoSpaceDE w:val="0"/>
        <w:autoSpaceDN w:val="0"/>
        <w:adjustRightInd w:val="0"/>
        <w:spacing w:after="0" w:line="240" w:lineRule="auto"/>
        <w:rPr>
          <w:rFonts w:ascii="Georgia,Bold" w:hAnsi="Georgia,Bold" w:cs="Georgia,Bold"/>
          <w:b/>
          <w:bCs/>
          <w:sz w:val="20"/>
          <w:szCs w:val="20"/>
        </w:rPr>
      </w:pPr>
    </w:p>
    <w:p w:rsidR="00E05DF9" w:rsidRPr="00E05DF9" w:rsidRDefault="00E05DF9" w:rsidP="00E05DF9">
      <w:pPr>
        <w:autoSpaceDE w:val="0"/>
        <w:autoSpaceDN w:val="0"/>
        <w:adjustRightInd w:val="0"/>
        <w:spacing w:after="0" w:line="240" w:lineRule="auto"/>
        <w:rPr>
          <w:rFonts w:ascii="Georgia,Bold" w:hAnsi="Georgia,Bold" w:cs="Georgia,Bold"/>
          <w:bCs/>
          <w:sz w:val="20"/>
          <w:szCs w:val="20"/>
          <w:u w:val="single"/>
        </w:rPr>
      </w:pPr>
      <w:r w:rsidRPr="00E05DF9">
        <w:rPr>
          <w:rFonts w:ascii="Georgia,Bold" w:hAnsi="Georgia,Bold" w:cs="Georgia,Bold"/>
          <w:bCs/>
          <w:sz w:val="20"/>
          <w:szCs w:val="20"/>
          <w:u w:val="single"/>
        </w:rPr>
        <w:t>Yes</w:t>
      </w:r>
    </w:p>
    <w:p w:rsidR="00E05DF9" w:rsidRDefault="00E05DF9" w:rsidP="00E05DF9">
      <w:pPr>
        <w:autoSpaceDE w:val="0"/>
        <w:autoSpaceDN w:val="0"/>
        <w:adjustRightInd w:val="0"/>
        <w:spacing w:after="0" w:line="240" w:lineRule="auto"/>
        <w:rPr>
          <w:rFonts w:ascii="Georgia,Bold" w:hAnsi="Georgia,Bold" w:cs="Georgia,Bold"/>
          <w:b/>
          <w:bCs/>
          <w:sz w:val="20"/>
          <w:szCs w:val="20"/>
        </w:rPr>
      </w:pP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Q7: Do you agree that AIFMs should report information on high frequency trading? If not,</w:t>
      </w: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please state the reasons for your answer. If yes, do you agree that this information</w:t>
      </w: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should be expressed as a percentage of the NAV of the AIF? If not, please state the reasons</w:t>
      </w: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for your answer and identify more meaningful information that could be reported.</w:t>
      </w:r>
    </w:p>
    <w:p w:rsidR="00D873C2" w:rsidRDefault="00D873C2" w:rsidP="00E05DF9">
      <w:pPr>
        <w:autoSpaceDE w:val="0"/>
        <w:autoSpaceDN w:val="0"/>
        <w:adjustRightInd w:val="0"/>
        <w:spacing w:after="0" w:line="240" w:lineRule="auto"/>
        <w:rPr>
          <w:rFonts w:ascii="Georgia,Bold" w:hAnsi="Georgia,Bold" w:cs="Georgia,Bold"/>
          <w:b/>
          <w:bCs/>
          <w:sz w:val="20"/>
          <w:szCs w:val="20"/>
        </w:rPr>
      </w:pPr>
    </w:p>
    <w:p w:rsidR="00D873C2" w:rsidRPr="00E05DF9" w:rsidRDefault="00D873C2" w:rsidP="00D873C2">
      <w:pPr>
        <w:autoSpaceDE w:val="0"/>
        <w:autoSpaceDN w:val="0"/>
        <w:adjustRightInd w:val="0"/>
        <w:spacing w:after="0" w:line="240" w:lineRule="auto"/>
        <w:rPr>
          <w:rFonts w:ascii="Georgia,Bold" w:hAnsi="Georgia,Bold" w:cs="Georgia,Bold"/>
          <w:bCs/>
          <w:sz w:val="20"/>
          <w:szCs w:val="20"/>
          <w:u w:val="single"/>
        </w:rPr>
      </w:pPr>
      <w:r w:rsidRPr="00E05DF9">
        <w:rPr>
          <w:rFonts w:ascii="Georgia,Bold" w:hAnsi="Georgia,Bold" w:cs="Georgia,Bold"/>
          <w:bCs/>
          <w:sz w:val="20"/>
          <w:szCs w:val="20"/>
          <w:u w:val="single"/>
        </w:rPr>
        <w:t>Yes</w:t>
      </w:r>
    </w:p>
    <w:p w:rsidR="00D873C2" w:rsidRDefault="00D873C2" w:rsidP="00E05DF9">
      <w:pPr>
        <w:autoSpaceDE w:val="0"/>
        <w:autoSpaceDN w:val="0"/>
        <w:adjustRightInd w:val="0"/>
        <w:spacing w:after="0" w:line="240" w:lineRule="auto"/>
        <w:rPr>
          <w:rFonts w:ascii="Georgia,Bold" w:hAnsi="Georgia,Bold" w:cs="Georgia,Bold"/>
          <w:b/>
          <w:bCs/>
          <w:sz w:val="20"/>
          <w:szCs w:val="20"/>
        </w:rPr>
      </w:pP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Q8: Do you think that the list of investment strategies should be widened? If yes, please</w:t>
      </w: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 xml:space="preserve">provide ESMA with suggestions of </w:t>
      </w:r>
      <w:r w:rsidR="00D873C2">
        <w:rPr>
          <w:rFonts w:ascii="Georgia,Bold" w:hAnsi="Georgia,Bold" w:cs="Georgia,Bold"/>
          <w:b/>
          <w:bCs/>
          <w:sz w:val="20"/>
          <w:szCs w:val="20"/>
        </w:rPr>
        <w:t>additional investment</w:t>
      </w:r>
      <w:r>
        <w:rPr>
          <w:rFonts w:ascii="Georgia,Bold" w:hAnsi="Georgia,Bold" w:cs="Georgia,Bold"/>
          <w:b/>
          <w:bCs/>
          <w:sz w:val="20"/>
          <w:szCs w:val="20"/>
        </w:rPr>
        <w:t xml:space="preserve"> strategies</w:t>
      </w:r>
    </w:p>
    <w:p w:rsidR="00D873C2" w:rsidRDefault="00D873C2" w:rsidP="00E05DF9">
      <w:pPr>
        <w:autoSpaceDE w:val="0"/>
        <w:autoSpaceDN w:val="0"/>
        <w:adjustRightInd w:val="0"/>
        <w:spacing w:after="0" w:line="240" w:lineRule="auto"/>
        <w:rPr>
          <w:rFonts w:ascii="Georgia,Bold" w:hAnsi="Georgia,Bold" w:cs="Georgia,Bold"/>
          <w:b/>
          <w:bCs/>
          <w:sz w:val="20"/>
          <w:szCs w:val="20"/>
        </w:rPr>
      </w:pPr>
    </w:p>
    <w:p w:rsidR="00D873C2" w:rsidRPr="00E05DF9" w:rsidRDefault="00D873C2" w:rsidP="00D873C2">
      <w:pPr>
        <w:autoSpaceDE w:val="0"/>
        <w:autoSpaceDN w:val="0"/>
        <w:adjustRightInd w:val="0"/>
        <w:spacing w:after="0" w:line="240" w:lineRule="auto"/>
        <w:rPr>
          <w:rFonts w:ascii="Georgia,Bold" w:hAnsi="Georgia,Bold" w:cs="Georgia,Bold"/>
          <w:bCs/>
          <w:sz w:val="20"/>
          <w:szCs w:val="20"/>
          <w:u w:val="single"/>
        </w:rPr>
      </w:pPr>
      <w:r w:rsidRPr="00E05DF9">
        <w:rPr>
          <w:rFonts w:ascii="Georgia,Bold" w:hAnsi="Georgia,Bold" w:cs="Georgia,Bold"/>
          <w:bCs/>
          <w:sz w:val="20"/>
          <w:szCs w:val="20"/>
          <w:u w:val="single"/>
        </w:rPr>
        <w:t>Yes</w:t>
      </w:r>
    </w:p>
    <w:p w:rsidR="00D873C2" w:rsidRDefault="00D873C2" w:rsidP="00E05DF9">
      <w:pPr>
        <w:autoSpaceDE w:val="0"/>
        <w:autoSpaceDN w:val="0"/>
        <w:adjustRightInd w:val="0"/>
        <w:spacing w:after="0" w:line="240" w:lineRule="auto"/>
        <w:rPr>
          <w:rFonts w:ascii="Georgia,Bold" w:hAnsi="Georgia,Bold" w:cs="Georgia,Bold"/>
          <w:b/>
          <w:bCs/>
          <w:sz w:val="20"/>
          <w:szCs w:val="20"/>
        </w:rPr>
      </w:pPr>
    </w:p>
    <w:p w:rsidR="00D873C2" w:rsidRPr="00D873C2" w:rsidRDefault="00D873C2" w:rsidP="00D873C2">
      <w:pPr>
        <w:autoSpaceDE w:val="0"/>
        <w:autoSpaceDN w:val="0"/>
        <w:adjustRightInd w:val="0"/>
        <w:spacing w:after="0" w:line="240" w:lineRule="auto"/>
        <w:rPr>
          <w:rFonts w:ascii="Georgia,Bold" w:hAnsi="Georgia,Bold" w:cs="Georgia,Bold"/>
          <w:bCs/>
          <w:sz w:val="20"/>
          <w:szCs w:val="20"/>
        </w:rPr>
      </w:pPr>
      <w:r w:rsidRPr="00D873C2">
        <w:rPr>
          <w:rFonts w:ascii="Georgia,Bold" w:hAnsi="Georgia,Bold" w:cs="Georgia,Bold"/>
          <w:bCs/>
          <w:sz w:val="20"/>
          <w:szCs w:val="20"/>
        </w:rPr>
        <w:t>As some asset managers have a lot of traditional, long-only, liquid strategies (UCITS-like) under AIFMD, we think these traditional strategies should be mentioned explicitly:</w:t>
      </w:r>
    </w:p>
    <w:p w:rsidR="00D873C2" w:rsidRPr="00D873C2" w:rsidRDefault="00D873C2" w:rsidP="00D873C2">
      <w:pPr>
        <w:autoSpaceDE w:val="0"/>
        <w:autoSpaceDN w:val="0"/>
        <w:adjustRightInd w:val="0"/>
        <w:spacing w:after="0" w:line="240" w:lineRule="auto"/>
        <w:rPr>
          <w:rFonts w:ascii="Georgia,Bold" w:hAnsi="Georgia,Bold" w:cs="Georgia,Bold"/>
          <w:b/>
          <w:bCs/>
          <w:sz w:val="20"/>
          <w:szCs w:val="20"/>
        </w:rPr>
      </w:pPr>
      <w:r w:rsidRPr="00D873C2">
        <w:rPr>
          <w:rFonts w:ascii="Georgia,Bold" w:hAnsi="Georgia,Bold" w:cs="Georgia,Bold"/>
          <w:bCs/>
          <w:sz w:val="20"/>
          <w:szCs w:val="20"/>
        </w:rPr>
        <w:t>(</w:t>
      </w:r>
      <w:proofErr w:type="spellStart"/>
      <w:r w:rsidRPr="00D873C2">
        <w:rPr>
          <w:rFonts w:ascii="Georgia,Bold" w:hAnsi="Georgia,Bold" w:cs="Georgia,Bold"/>
          <w:bCs/>
          <w:sz w:val="20"/>
          <w:szCs w:val="20"/>
        </w:rPr>
        <w:t>i</w:t>
      </w:r>
      <w:proofErr w:type="spellEnd"/>
      <w:r w:rsidRPr="00D873C2">
        <w:rPr>
          <w:rFonts w:ascii="Georgia,Bold" w:hAnsi="Georgia,Bold" w:cs="Georgia,Bold"/>
          <w:bCs/>
          <w:sz w:val="20"/>
          <w:szCs w:val="20"/>
        </w:rPr>
        <w:t>) We suggest to add 'Fund of equity funds', 'Fund of fixed income funds', 'Fund of equity and fixed income funds' to the list of possible 'Fund of Fund Strategies', as these funds currently fall under 'Other fund of funds'</w:t>
      </w:r>
      <w:r w:rsidRPr="00D873C2">
        <w:rPr>
          <w:rFonts w:ascii="Georgia,Bold" w:hAnsi="Georgia,Bold" w:cs="Georgia,Bold"/>
          <w:b/>
          <w:bCs/>
          <w:sz w:val="20"/>
          <w:szCs w:val="20"/>
        </w:rPr>
        <w:t xml:space="preserve">. </w:t>
      </w:r>
    </w:p>
    <w:p w:rsidR="00D873C2" w:rsidRDefault="00D873C2" w:rsidP="00D873C2">
      <w:pPr>
        <w:autoSpaceDE w:val="0"/>
        <w:autoSpaceDN w:val="0"/>
        <w:adjustRightInd w:val="0"/>
        <w:spacing w:after="0" w:line="240" w:lineRule="auto"/>
        <w:rPr>
          <w:rFonts w:ascii="Georgia,Bold" w:hAnsi="Georgia,Bold" w:cs="Georgia,Bold"/>
          <w:bCs/>
          <w:sz w:val="20"/>
          <w:szCs w:val="20"/>
        </w:rPr>
      </w:pPr>
      <w:r w:rsidRPr="00D873C2">
        <w:rPr>
          <w:rFonts w:ascii="Georgia,Bold" w:hAnsi="Georgia,Bold" w:cs="Georgia,Bold"/>
          <w:bCs/>
          <w:sz w:val="20"/>
          <w:szCs w:val="20"/>
        </w:rPr>
        <w:t>(ii) We suggest to add 'Structured Fund - with capital protection' and 'Structured Fund - without capital protection' to the list of possible 'Other Strategies', as these funds currently fall under 'Other fund'.</w:t>
      </w:r>
    </w:p>
    <w:p w:rsidR="00D873C2" w:rsidRDefault="00D873C2" w:rsidP="00D873C2">
      <w:pPr>
        <w:autoSpaceDE w:val="0"/>
        <w:autoSpaceDN w:val="0"/>
        <w:adjustRightInd w:val="0"/>
        <w:spacing w:after="0" w:line="240" w:lineRule="auto"/>
        <w:rPr>
          <w:rFonts w:ascii="Georgia,Bold" w:hAnsi="Georgia,Bold" w:cs="Georgia,Bold"/>
          <w:bCs/>
          <w:sz w:val="20"/>
          <w:szCs w:val="20"/>
        </w:rPr>
      </w:pP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Q9:Do you agree that AIFMs should also calculate the geographical focus based on the total</w:t>
      </w: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value of the assets of the AIF?</w:t>
      </w:r>
    </w:p>
    <w:p w:rsidR="00D873C2" w:rsidRDefault="00D873C2" w:rsidP="00E05DF9">
      <w:pPr>
        <w:autoSpaceDE w:val="0"/>
        <w:autoSpaceDN w:val="0"/>
        <w:adjustRightInd w:val="0"/>
        <w:spacing w:after="0" w:line="240" w:lineRule="auto"/>
        <w:rPr>
          <w:rFonts w:ascii="Georgia,Bold" w:hAnsi="Georgia,Bold" w:cs="Georgia,Bold"/>
          <w:b/>
          <w:bCs/>
          <w:sz w:val="20"/>
          <w:szCs w:val="20"/>
        </w:rPr>
      </w:pPr>
    </w:p>
    <w:p w:rsidR="00D873C2" w:rsidRPr="00E05DF9" w:rsidRDefault="00D873C2" w:rsidP="00D873C2">
      <w:pPr>
        <w:autoSpaceDE w:val="0"/>
        <w:autoSpaceDN w:val="0"/>
        <w:adjustRightInd w:val="0"/>
        <w:spacing w:after="0" w:line="240" w:lineRule="auto"/>
        <w:rPr>
          <w:rFonts w:ascii="Georgia,Bold" w:hAnsi="Georgia,Bold" w:cs="Georgia,Bold"/>
          <w:bCs/>
          <w:sz w:val="20"/>
          <w:szCs w:val="20"/>
          <w:u w:val="single"/>
        </w:rPr>
      </w:pPr>
      <w:r w:rsidRPr="00E05DF9">
        <w:rPr>
          <w:rFonts w:ascii="Georgia,Bold" w:hAnsi="Georgia,Bold" w:cs="Georgia,Bold"/>
          <w:bCs/>
          <w:sz w:val="20"/>
          <w:szCs w:val="20"/>
          <w:u w:val="single"/>
        </w:rPr>
        <w:t>Yes</w:t>
      </w:r>
    </w:p>
    <w:p w:rsidR="00D873C2" w:rsidRDefault="00D873C2" w:rsidP="00E05DF9">
      <w:pPr>
        <w:autoSpaceDE w:val="0"/>
        <w:autoSpaceDN w:val="0"/>
        <w:adjustRightInd w:val="0"/>
        <w:spacing w:after="0" w:line="240" w:lineRule="auto"/>
        <w:rPr>
          <w:rFonts w:ascii="Georgia,Bold" w:hAnsi="Georgia,Bold" w:cs="Georgia,Bold"/>
          <w:b/>
          <w:bCs/>
          <w:sz w:val="20"/>
          <w:szCs w:val="20"/>
        </w:rPr>
      </w:pP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Q10: Do you agree that information on the turnover should also be expressed in number of</w:t>
      </w: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transactions? If not, please state the reasons for your answer.</w:t>
      </w:r>
    </w:p>
    <w:p w:rsidR="00D873C2" w:rsidRDefault="00D873C2" w:rsidP="00E05DF9">
      <w:pPr>
        <w:autoSpaceDE w:val="0"/>
        <w:autoSpaceDN w:val="0"/>
        <w:adjustRightInd w:val="0"/>
        <w:spacing w:after="0" w:line="240" w:lineRule="auto"/>
        <w:rPr>
          <w:rFonts w:ascii="Georgia,Bold" w:hAnsi="Georgia,Bold" w:cs="Georgia,Bold"/>
          <w:bCs/>
          <w:sz w:val="20"/>
          <w:szCs w:val="20"/>
        </w:rPr>
      </w:pPr>
    </w:p>
    <w:p w:rsidR="00D873C2" w:rsidRDefault="00D873C2" w:rsidP="00D873C2">
      <w:pPr>
        <w:autoSpaceDE w:val="0"/>
        <w:autoSpaceDN w:val="0"/>
        <w:adjustRightInd w:val="0"/>
        <w:spacing w:after="0" w:line="240" w:lineRule="auto"/>
        <w:rPr>
          <w:rFonts w:ascii="Georgia,Bold" w:hAnsi="Georgia,Bold" w:cs="Georgia,Bold"/>
          <w:b/>
          <w:bCs/>
          <w:sz w:val="20"/>
          <w:szCs w:val="20"/>
        </w:rPr>
      </w:pPr>
      <w:r w:rsidRPr="00E05DF9">
        <w:rPr>
          <w:rFonts w:ascii="Georgia,Bold" w:hAnsi="Georgia,Bold" w:cs="Georgia,Bold"/>
          <w:bCs/>
          <w:sz w:val="20"/>
          <w:szCs w:val="20"/>
          <w:u w:val="single"/>
        </w:rPr>
        <w:t>No</w:t>
      </w:r>
    </w:p>
    <w:p w:rsidR="00D873C2" w:rsidRDefault="00D873C2" w:rsidP="00E05DF9">
      <w:pPr>
        <w:autoSpaceDE w:val="0"/>
        <w:autoSpaceDN w:val="0"/>
        <w:adjustRightInd w:val="0"/>
        <w:spacing w:after="0" w:line="240" w:lineRule="auto"/>
        <w:rPr>
          <w:rFonts w:ascii="Georgia,Bold" w:hAnsi="Georgia,Bold" w:cs="Georgia,Bold"/>
          <w:bCs/>
          <w:sz w:val="20"/>
          <w:szCs w:val="20"/>
        </w:rPr>
      </w:pPr>
    </w:p>
    <w:p w:rsidR="00D873C2" w:rsidRPr="00D873C2" w:rsidRDefault="00D873C2" w:rsidP="00E05DF9">
      <w:pPr>
        <w:autoSpaceDE w:val="0"/>
        <w:autoSpaceDN w:val="0"/>
        <w:adjustRightInd w:val="0"/>
        <w:spacing w:after="0" w:line="240" w:lineRule="auto"/>
        <w:rPr>
          <w:rFonts w:ascii="Georgia,Bold" w:hAnsi="Georgia,Bold" w:cs="Georgia,Bold"/>
          <w:bCs/>
          <w:sz w:val="20"/>
          <w:szCs w:val="20"/>
        </w:rPr>
      </w:pPr>
      <w:r w:rsidRPr="00D873C2">
        <w:rPr>
          <w:rFonts w:ascii="Georgia,Bold" w:hAnsi="Georgia,Bold" w:cs="Georgia,Bold"/>
          <w:bCs/>
          <w:sz w:val="20"/>
          <w:szCs w:val="20"/>
        </w:rPr>
        <w:lastRenderedPageBreak/>
        <w:t>This information is only relevant for High Frequency Trading funds (HFTs). ESMA can request this information from them only.</w:t>
      </w:r>
    </w:p>
    <w:p w:rsidR="00D873C2" w:rsidRDefault="00D873C2" w:rsidP="00E05DF9">
      <w:pPr>
        <w:autoSpaceDE w:val="0"/>
        <w:autoSpaceDN w:val="0"/>
        <w:adjustRightInd w:val="0"/>
        <w:spacing w:after="0" w:line="240" w:lineRule="auto"/>
        <w:rPr>
          <w:rFonts w:ascii="Georgia,Bold" w:hAnsi="Georgia,Bold" w:cs="Georgia,Bold"/>
          <w:b/>
          <w:bCs/>
          <w:sz w:val="20"/>
          <w:szCs w:val="20"/>
        </w:rPr>
      </w:pP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Q11: Do you agree with the proposed list of types of transactions and the respective definitions?</w:t>
      </w: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If not, please state the reason for your answer. Can you think of any other type of</w:t>
      </w:r>
    </w:p>
    <w:p w:rsidR="00E05DF9" w:rsidRDefault="00E05DF9" w:rsidP="00E05DF9">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transactions that ESMA should add to the list?</w:t>
      </w:r>
    </w:p>
    <w:p w:rsidR="00D873C2" w:rsidRDefault="00D873C2" w:rsidP="00E05DF9">
      <w:pPr>
        <w:autoSpaceDE w:val="0"/>
        <w:autoSpaceDN w:val="0"/>
        <w:adjustRightInd w:val="0"/>
        <w:spacing w:after="0" w:line="240" w:lineRule="auto"/>
        <w:rPr>
          <w:rFonts w:ascii="Georgia,Bold" w:hAnsi="Georgia,Bold" w:cs="Georgia,Bold"/>
          <w:b/>
          <w:bCs/>
          <w:sz w:val="20"/>
          <w:szCs w:val="20"/>
        </w:rPr>
      </w:pPr>
    </w:p>
    <w:p w:rsidR="00DB5BC9" w:rsidRDefault="00D873C2" w:rsidP="00D873C2">
      <w:pPr>
        <w:autoSpaceDE w:val="0"/>
        <w:autoSpaceDN w:val="0"/>
        <w:adjustRightInd w:val="0"/>
        <w:spacing w:after="0" w:line="240" w:lineRule="auto"/>
        <w:rPr>
          <w:rFonts w:ascii="Georgia,Bold" w:hAnsi="Georgia,Bold" w:cs="Georgia,Bold"/>
          <w:bCs/>
          <w:sz w:val="20"/>
          <w:szCs w:val="20"/>
          <w:u w:val="single"/>
        </w:rPr>
      </w:pPr>
      <w:r w:rsidRPr="00D873C2">
        <w:rPr>
          <w:rFonts w:ascii="Georgia,Bold" w:hAnsi="Georgia,Bold" w:cs="Georgia,Bold"/>
          <w:bCs/>
          <w:sz w:val="20"/>
          <w:szCs w:val="20"/>
          <w:u w:val="single"/>
        </w:rPr>
        <w:t>no answer</w:t>
      </w:r>
    </w:p>
    <w:p w:rsidR="00D873C2" w:rsidRDefault="00D873C2" w:rsidP="00D873C2">
      <w:pPr>
        <w:autoSpaceDE w:val="0"/>
        <w:autoSpaceDN w:val="0"/>
        <w:adjustRightInd w:val="0"/>
        <w:spacing w:after="0" w:line="240" w:lineRule="auto"/>
        <w:rPr>
          <w:rFonts w:ascii="Georgia,Bold" w:hAnsi="Georgia,Bold" w:cs="Georgia,Bold"/>
          <w:bCs/>
          <w:sz w:val="20"/>
          <w:szCs w:val="20"/>
          <w:u w:val="single"/>
        </w:rPr>
      </w:pPr>
    </w:p>
    <w:p w:rsidR="00D873C2" w:rsidRDefault="00D873C2" w:rsidP="00D873C2">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Q12: Do you agree with the introduction of additional measures of market risks? If not,</w:t>
      </w:r>
    </w:p>
    <w:p w:rsidR="00D873C2" w:rsidRDefault="00D873C2" w:rsidP="00D873C2">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please state the reason for your answer. If yes, do you believe that ESMA should further</w:t>
      </w:r>
    </w:p>
    <w:p w:rsidR="00D873C2" w:rsidRDefault="00D873C2" w:rsidP="00D873C2">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clarify how these measures should be computed?</w:t>
      </w:r>
    </w:p>
    <w:p w:rsidR="00D873C2" w:rsidRDefault="00D873C2" w:rsidP="00D873C2">
      <w:pPr>
        <w:autoSpaceDE w:val="0"/>
        <w:autoSpaceDN w:val="0"/>
        <w:adjustRightInd w:val="0"/>
        <w:spacing w:after="0" w:line="240" w:lineRule="auto"/>
        <w:rPr>
          <w:rFonts w:ascii="Georgia,Bold" w:hAnsi="Georgia,Bold" w:cs="Georgia,Bold"/>
          <w:b/>
          <w:bCs/>
          <w:sz w:val="20"/>
          <w:szCs w:val="20"/>
        </w:rPr>
      </w:pPr>
    </w:p>
    <w:p w:rsidR="00D873C2" w:rsidRDefault="00D873C2" w:rsidP="00D873C2">
      <w:pPr>
        <w:autoSpaceDE w:val="0"/>
        <w:autoSpaceDN w:val="0"/>
        <w:adjustRightInd w:val="0"/>
        <w:spacing w:after="0" w:line="240" w:lineRule="auto"/>
        <w:rPr>
          <w:rFonts w:ascii="Georgia,Bold" w:hAnsi="Georgia,Bold" w:cs="Georgia,Bold"/>
          <w:b/>
          <w:bCs/>
          <w:sz w:val="20"/>
          <w:szCs w:val="20"/>
        </w:rPr>
      </w:pPr>
      <w:r w:rsidRPr="00E05DF9">
        <w:rPr>
          <w:rFonts w:ascii="Georgia,Bold" w:hAnsi="Georgia,Bold" w:cs="Georgia,Bold"/>
          <w:bCs/>
          <w:sz w:val="20"/>
          <w:szCs w:val="20"/>
          <w:u w:val="single"/>
        </w:rPr>
        <w:t>No</w:t>
      </w:r>
    </w:p>
    <w:p w:rsidR="00D873C2" w:rsidRDefault="00D873C2" w:rsidP="00D873C2">
      <w:pPr>
        <w:autoSpaceDE w:val="0"/>
        <w:autoSpaceDN w:val="0"/>
        <w:adjustRightInd w:val="0"/>
        <w:spacing w:after="0" w:line="240" w:lineRule="auto"/>
        <w:rPr>
          <w:rFonts w:ascii="Georgia,Bold" w:hAnsi="Georgia,Bold" w:cs="Georgia,Bold"/>
          <w:bCs/>
          <w:sz w:val="20"/>
          <w:szCs w:val="20"/>
        </w:rPr>
      </w:pPr>
    </w:p>
    <w:p w:rsidR="00D873C2" w:rsidRPr="00D873C2" w:rsidRDefault="00D873C2" w:rsidP="00D873C2">
      <w:pPr>
        <w:autoSpaceDE w:val="0"/>
        <w:autoSpaceDN w:val="0"/>
        <w:adjustRightInd w:val="0"/>
        <w:spacing w:after="0" w:line="240" w:lineRule="auto"/>
        <w:rPr>
          <w:rFonts w:ascii="Georgia,Bold" w:hAnsi="Georgia,Bold" w:cs="Georgia,Bold"/>
          <w:bCs/>
          <w:sz w:val="20"/>
          <w:szCs w:val="20"/>
        </w:rPr>
      </w:pPr>
      <w:r w:rsidRPr="00D873C2">
        <w:rPr>
          <w:rFonts w:ascii="Georgia,Bold" w:hAnsi="Georgia,Bold" w:cs="Georgia,Bold"/>
          <w:bCs/>
          <w:sz w:val="20"/>
          <w:szCs w:val="20"/>
        </w:rPr>
        <w:t xml:space="preserve">We reject the suggestion of having obligatory additional risk measures. </w:t>
      </w:r>
    </w:p>
    <w:p w:rsidR="00D873C2" w:rsidRPr="00D873C2" w:rsidRDefault="00D873C2" w:rsidP="00D873C2">
      <w:pPr>
        <w:autoSpaceDE w:val="0"/>
        <w:autoSpaceDN w:val="0"/>
        <w:adjustRightInd w:val="0"/>
        <w:spacing w:after="0" w:line="240" w:lineRule="auto"/>
        <w:rPr>
          <w:rFonts w:ascii="Georgia,Bold" w:hAnsi="Georgia,Bold" w:cs="Georgia,Bold"/>
          <w:bCs/>
          <w:sz w:val="20"/>
          <w:szCs w:val="20"/>
        </w:rPr>
      </w:pPr>
    </w:p>
    <w:p w:rsidR="00D873C2" w:rsidRPr="00D873C2" w:rsidRDefault="00D873C2" w:rsidP="00D873C2">
      <w:pPr>
        <w:autoSpaceDE w:val="0"/>
        <w:autoSpaceDN w:val="0"/>
        <w:adjustRightInd w:val="0"/>
        <w:spacing w:after="0" w:line="240" w:lineRule="auto"/>
        <w:rPr>
          <w:rFonts w:ascii="Georgia,Bold" w:hAnsi="Georgia,Bold" w:cs="Georgia,Bold"/>
          <w:bCs/>
          <w:sz w:val="20"/>
          <w:szCs w:val="20"/>
        </w:rPr>
      </w:pPr>
      <w:r w:rsidRPr="00D873C2">
        <w:rPr>
          <w:rFonts w:ascii="Georgia,Bold" w:hAnsi="Georgia,Bold" w:cs="Georgia,Bold"/>
          <w:bCs/>
          <w:sz w:val="20"/>
          <w:szCs w:val="20"/>
        </w:rPr>
        <w:t>The reason is that we do not believe in a one size fits all approach i.e. a set of risk measures that would be suitable to cover the subtleties of all investment strategies.</w:t>
      </w:r>
    </w:p>
    <w:p w:rsidR="00D873C2" w:rsidRPr="00D873C2" w:rsidRDefault="00D873C2" w:rsidP="00D873C2">
      <w:pPr>
        <w:autoSpaceDE w:val="0"/>
        <w:autoSpaceDN w:val="0"/>
        <w:adjustRightInd w:val="0"/>
        <w:spacing w:after="0" w:line="240" w:lineRule="auto"/>
        <w:rPr>
          <w:rFonts w:ascii="Georgia,Bold" w:hAnsi="Georgia,Bold" w:cs="Georgia,Bold"/>
          <w:bCs/>
          <w:sz w:val="20"/>
          <w:szCs w:val="20"/>
        </w:rPr>
      </w:pPr>
    </w:p>
    <w:p w:rsidR="00D873C2" w:rsidRPr="00D873C2" w:rsidRDefault="00D873C2" w:rsidP="00D873C2">
      <w:pPr>
        <w:autoSpaceDE w:val="0"/>
        <w:autoSpaceDN w:val="0"/>
        <w:adjustRightInd w:val="0"/>
        <w:spacing w:after="0" w:line="240" w:lineRule="auto"/>
        <w:rPr>
          <w:rFonts w:ascii="Georgia,Bold" w:hAnsi="Georgia,Bold" w:cs="Georgia,Bold"/>
          <w:bCs/>
          <w:sz w:val="20"/>
          <w:szCs w:val="20"/>
        </w:rPr>
      </w:pPr>
      <w:r w:rsidRPr="00D873C2">
        <w:rPr>
          <w:rFonts w:ascii="Georgia,Bold" w:hAnsi="Georgia,Bold" w:cs="Georgia,Bold"/>
          <w:bCs/>
          <w:sz w:val="20"/>
          <w:szCs w:val="20"/>
        </w:rPr>
        <w:t xml:space="preserve">We believe it would be a far better approach if the manager - after approval of the AIF's </w:t>
      </w:r>
      <w:proofErr w:type="spellStart"/>
      <w:r w:rsidRPr="00D873C2">
        <w:rPr>
          <w:rFonts w:ascii="Georgia,Bold" w:hAnsi="Georgia,Bold" w:cs="Georgia,Bold"/>
          <w:bCs/>
          <w:sz w:val="20"/>
          <w:szCs w:val="20"/>
        </w:rPr>
        <w:t>BoD</w:t>
      </w:r>
      <w:proofErr w:type="spellEnd"/>
      <w:r w:rsidRPr="00D873C2">
        <w:rPr>
          <w:rFonts w:ascii="Georgia,Bold" w:hAnsi="Georgia,Bold" w:cs="Georgia,Bold"/>
          <w:bCs/>
          <w:sz w:val="20"/>
          <w:szCs w:val="20"/>
        </w:rPr>
        <w:t xml:space="preserve"> - uses and monitors risk measures which he deems to be appropriate for the investment strategy at hand. The selection process of such measures as well as the monitoring by the various risk committees is to be documented in the Risk Management System to ensure transparency.</w:t>
      </w:r>
    </w:p>
    <w:p w:rsidR="00D873C2" w:rsidRPr="00D873C2" w:rsidRDefault="00D873C2" w:rsidP="00D873C2">
      <w:pPr>
        <w:autoSpaceDE w:val="0"/>
        <w:autoSpaceDN w:val="0"/>
        <w:adjustRightInd w:val="0"/>
        <w:spacing w:after="0" w:line="240" w:lineRule="auto"/>
        <w:rPr>
          <w:rFonts w:ascii="Georgia,Bold" w:hAnsi="Georgia,Bold" w:cs="Georgia,Bold"/>
          <w:bCs/>
          <w:sz w:val="20"/>
          <w:szCs w:val="20"/>
        </w:rPr>
      </w:pPr>
    </w:p>
    <w:p w:rsidR="00D873C2" w:rsidRPr="00D873C2" w:rsidRDefault="00D873C2" w:rsidP="00D873C2">
      <w:pPr>
        <w:autoSpaceDE w:val="0"/>
        <w:autoSpaceDN w:val="0"/>
        <w:adjustRightInd w:val="0"/>
        <w:spacing w:after="0" w:line="240" w:lineRule="auto"/>
        <w:rPr>
          <w:rFonts w:ascii="Georgia,Bold" w:hAnsi="Georgia,Bold" w:cs="Georgia,Bold"/>
          <w:bCs/>
          <w:sz w:val="20"/>
          <w:szCs w:val="20"/>
        </w:rPr>
      </w:pPr>
      <w:r w:rsidRPr="00D873C2">
        <w:rPr>
          <w:rFonts w:ascii="Georgia,Bold" w:hAnsi="Georgia,Bold" w:cs="Georgia,Bold"/>
          <w:bCs/>
          <w:sz w:val="20"/>
          <w:szCs w:val="20"/>
        </w:rPr>
        <w:t xml:space="preserve">In particular, the re-introduction of </w:t>
      </w:r>
      <w:proofErr w:type="spellStart"/>
      <w:r w:rsidRPr="00D873C2">
        <w:rPr>
          <w:rFonts w:ascii="Georgia,Bold" w:hAnsi="Georgia,Bold" w:cs="Georgia,Bold"/>
          <w:bCs/>
          <w:sz w:val="20"/>
          <w:szCs w:val="20"/>
        </w:rPr>
        <w:t>VaR</w:t>
      </w:r>
      <w:proofErr w:type="spellEnd"/>
      <w:r w:rsidRPr="00D873C2">
        <w:rPr>
          <w:rFonts w:ascii="Georgia,Bold" w:hAnsi="Georgia,Bold" w:cs="Georgia,Bold"/>
          <w:bCs/>
          <w:sz w:val="20"/>
          <w:szCs w:val="20"/>
        </w:rPr>
        <w:t xml:space="preserve"> is methodologically questionable. See European Commission Staff Working Document SWD(2012) 386 for an evaluation of the flaws in </w:t>
      </w:r>
      <w:proofErr w:type="spellStart"/>
      <w:r w:rsidRPr="00D873C2">
        <w:rPr>
          <w:rFonts w:ascii="Georgia,Bold" w:hAnsi="Georgia,Bold" w:cs="Georgia,Bold"/>
          <w:bCs/>
          <w:sz w:val="20"/>
          <w:szCs w:val="20"/>
        </w:rPr>
        <w:t>VaR.</w:t>
      </w:r>
      <w:proofErr w:type="spellEnd"/>
      <w:r w:rsidRPr="00D873C2">
        <w:rPr>
          <w:rFonts w:ascii="Georgia,Bold" w:hAnsi="Georgia,Bold" w:cs="Georgia,Bold"/>
          <w:bCs/>
          <w:sz w:val="20"/>
          <w:szCs w:val="20"/>
        </w:rPr>
        <w:t xml:space="preserve"> </w:t>
      </w:r>
    </w:p>
    <w:p w:rsidR="00D873C2" w:rsidRPr="00D873C2" w:rsidRDefault="00D873C2" w:rsidP="00D873C2">
      <w:pPr>
        <w:autoSpaceDE w:val="0"/>
        <w:autoSpaceDN w:val="0"/>
        <w:adjustRightInd w:val="0"/>
        <w:spacing w:after="0" w:line="240" w:lineRule="auto"/>
        <w:rPr>
          <w:rFonts w:ascii="Georgia,Bold" w:hAnsi="Georgia,Bold" w:cs="Georgia,Bold"/>
          <w:bCs/>
          <w:sz w:val="20"/>
          <w:szCs w:val="20"/>
        </w:rPr>
      </w:pPr>
    </w:p>
    <w:p w:rsidR="00D873C2" w:rsidRPr="00D873C2" w:rsidRDefault="00D873C2" w:rsidP="00D873C2">
      <w:pPr>
        <w:autoSpaceDE w:val="0"/>
        <w:autoSpaceDN w:val="0"/>
        <w:adjustRightInd w:val="0"/>
        <w:spacing w:after="0" w:line="240" w:lineRule="auto"/>
        <w:rPr>
          <w:rFonts w:ascii="Georgia,Bold" w:hAnsi="Georgia,Bold" w:cs="Georgia,Bold"/>
          <w:bCs/>
          <w:sz w:val="20"/>
          <w:szCs w:val="20"/>
        </w:rPr>
      </w:pPr>
      <w:r w:rsidRPr="00D873C2">
        <w:rPr>
          <w:rFonts w:ascii="Georgia,Bold" w:hAnsi="Georgia,Bold" w:cs="Georgia,Bold"/>
          <w:bCs/>
          <w:sz w:val="20"/>
          <w:szCs w:val="20"/>
        </w:rPr>
        <w:t>Moreover, the proposed parameters for AIFMD-</w:t>
      </w:r>
      <w:proofErr w:type="spellStart"/>
      <w:r w:rsidRPr="00D873C2">
        <w:rPr>
          <w:rFonts w:ascii="Georgia,Bold" w:hAnsi="Georgia,Bold" w:cs="Georgia,Bold"/>
          <w:bCs/>
          <w:sz w:val="20"/>
          <w:szCs w:val="20"/>
        </w:rPr>
        <w:t>VaR</w:t>
      </w:r>
      <w:proofErr w:type="spellEnd"/>
      <w:r w:rsidRPr="00D873C2">
        <w:rPr>
          <w:rFonts w:ascii="Georgia,Bold" w:hAnsi="Georgia,Bold" w:cs="Georgia,Bold"/>
          <w:bCs/>
          <w:sz w:val="20"/>
          <w:szCs w:val="20"/>
        </w:rPr>
        <w:t xml:space="preserve"> (500 days time horizon, 1-day holding period) do not align with what UCITSIV prescribes. This will lead to complete confusion on behalf of the clients, who </w:t>
      </w:r>
      <w:r w:rsidR="008112F5" w:rsidRPr="00D873C2">
        <w:rPr>
          <w:rFonts w:ascii="Georgia,Bold" w:hAnsi="Georgia,Bold" w:cs="Georgia,Bold"/>
          <w:bCs/>
          <w:sz w:val="20"/>
          <w:szCs w:val="20"/>
        </w:rPr>
        <w:t>cannot</w:t>
      </w:r>
      <w:r w:rsidRPr="00D873C2">
        <w:rPr>
          <w:rFonts w:ascii="Georgia,Bold" w:hAnsi="Georgia,Bold" w:cs="Georgia,Bold"/>
          <w:bCs/>
          <w:sz w:val="20"/>
          <w:szCs w:val="20"/>
        </w:rPr>
        <w:t xml:space="preserve"> compare the </w:t>
      </w:r>
      <w:proofErr w:type="spellStart"/>
      <w:r w:rsidRPr="00D873C2">
        <w:rPr>
          <w:rFonts w:ascii="Georgia,Bold" w:hAnsi="Georgia,Bold" w:cs="Georgia,Bold"/>
          <w:bCs/>
          <w:sz w:val="20"/>
          <w:szCs w:val="20"/>
        </w:rPr>
        <w:t>VaR</w:t>
      </w:r>
      <w:proofErr w:type="spellEnd"/>
      <w:r w:rsidRPr="00D873C2">
        <w:rPr>
          <w:rFonts w:ascii="Georgia,Bold" w:hAnsi="Georgia,Bold" w:cs="Georgia,Bold"/>
          <w:bCs/>
          <w:sz w:val="20"/>
          <w:szCs w:val="20"/>
        </w:rPr>
        <w:t>-results for similar products of which one is brought under UCITSIV and the other under AIFMD.</w:t>
      </w:r>
    </w:p>
    <w:p w:rsidR="00D873C2" w:rsidRPr="00D873C2" w:rsidRDefault="00D873C2" w:rsidP="00D873C2">
      <w:pPr>
        <w:autoSpaceDE w:val="0"/>
        <w:autoSpaceDN w:val="0"/>
        <w:adjustRightInd w:val="0"/>
        <w:spacing w:after="0" w:line="240" w:lineRule="auto"/>
        <w:rPr>
          <w:rFonts w:ascii="Georgia,Bold" w:hAnsi="Georgia,Bold" w:cs="Georgia,Bold"/>
          <w:bCs/>
          <w:sz w:val="20"/>
          <w:szCs w:val="20"/>
        </w:rPr>
      </w:pPr>
    </w:p>
    <w:p w:rsidR="00D873C2" w:rsidRDefault="00D873C2" w:rsidP="00D873C2">
      <w:pPr>
        <w:autoSpaceDE w:val="0"/>
        <w:autoSpaceDN w:val="0"/>
        <w:adjustRightInd w:val="0"/>
        <w:spacing w:after="0" w:line="240" w:lineRule="auto"/>
        <w:rPr>
          <w:rFonts w:ascii="Georgia,Bold" w:hAnsi="Georgia,Bold" w:cs="Georgia,Bold"/>
          <w:bCs/>
          <w:sz w:val="20"/>
          <w:szCs w:val="20"/>
        </w:rPr>
      </w:pPr>
      <w:r w:rsidRPr="00D873C2">
        <w:rPr>
          <w:rFonts w:ascii="Georgia,Bold" w:hAnsi="Georgia,Bold" w:cs="Georgia,Bold"/>
          <w:bCs/>
          <w:sz w:val="20"/>
          <w:szCs w:val="20"/>
        </w:rPr>
        <w:t>Finally, bucketing of DV01 and CS01 does not help the client as she/he is interested in the sensitivity of the overall portfolio to a shift in market parameters.</w:t>
      </w:r>
    </w:p>
    <w:p w:rsidR="00D01AEA" w:rsidRDefault="00D01AEA" w:rsidP="00D873C2">
      <w:pPr>
        <w:autoSpaceDE w:val="0"/>
        <w:autoSpaceDN w:val="0"/>
        <w:adjustRightInd w:val="0"/>
        <w:spacing w:after="0" w:line="240" w:lineRule="auto"/>
        <w:rPr>
          <w:rFonts w:ascii="Georgia,Bold" w:hAnsi="Georgia,Bold" w:cs="Georgia,Bold"/>
          <w:bCs/>
          <w:sz w:val="20"/>
          <w:szCs w:val="20"/>
        </w:rPr>
      </w:pPr>
    </w:p>
    <w:p w:rsidR="00D01AEA" w:rsidRPr="0052443F" w:rsidRDefault="00D01AEA" w:rsidP="00D01AEA">
      <w:pPr>
        <w:spacing w:line="240" w:lineRule="auto"/>
        <w:rPr>
          <w:rFonts w:ascii="Helv" w:hAnsi="Helv" w:cs="Helv"/>
          <w:color w:val="000000"/>
          <w:sz w:val="20"/>
          <w:szCs w:val="20"/>
        </w:rPr>
      </w:pPr>
    </w:p>
    <w:tbl>
      <w:tblPr>
        <w:tblStyle w:val="TableGrid"/>
        <w:tblW w:w="0" w:type="auto"/>
        <w:tblLook w:val="04A0"/>
      </w:tblPr>
      <w:tblGrid>
        <w:gridCol w:w="9288"/>
      </w:tblGrid>
      <w:tr w:rsidR="00376DA4" w:rsidTr="00376DA4">
        <w:tc>
          <w:tcPr>
            <w:tcW w:w="9288" w:type="dxa"/>
          </w:tcPr>
          <w:p w:rsidR="00376DA4" w:rsidRPr="0052443F" w:rsidRDefault="00376DA4" w:rsidP="00376DA4">
            <w:pPr>
              <w:jc w:val="center"/>
              <w:rPr>
                <w:rFonts w:ascii="Helv" w:hAnsi="Helv" w:cs="Helv"/>
                <w:color w:val="000000"/>
                <w:sz w:val="20"/>
                <w:szCs w:val="20"/>
              </w:rPr>
            </w:pPr>
          </w:p>
          <w:p w:rsidR="00376DA4" w:rsidRPr="00376DA4" w:rsidRDefault="00376DA4" w:rsidP="00376DA4">
            <w:pPr>
              <w:jc w:val="center"/>
              <w:rPr>
                <w:rFonts w:ascii="Helv" w:hAnsi="Helv" w:cs="Helv"/>
                <w:color w:val="000000"/>
                <w:sz w:val="20"/>
                <w:szCs w:val="20"/>
                <w:lang w:val="nl-BE"/>
              </w:rPr>
            </w:pPr>
            <w:r w:rsidRPr="00376DA4">
              <w:rPr>
                <w:rFonts w:ascii="Helv" w:hAnsi="Helv" w:cs="Helv"/>
                <w:color w:val="000000"/>
                <w:sz w:val="20"/>
                <w:szCs w:val="20"/>
                <w:lang w:val="nl-BE"/>
              </w:rPr>
              <w:t>Remark Annex VII</w:t>
            </w:r>
          </w:p>
          <w:p w:rsidR="00376DA4" w:rsidRDefault="00376DA4" w:rsidP="00376DA4">
            <w:pPr>
              <w:jc w:val="center"/>
              <w:rPr>
                <w:rFonts w:ascii="Helv" w:hAnsi="Helv" w:cs="Helv"/>
                <w:color w:val="000000"/>
                <w:sz w:val="20"/>
                <w:szCs w:val="20"/>
                <w:lang w:val="nl-BE"/>
              </w:rPr>
            </w:pPr>
          </w:p>
        </w:tc>
      </w:tr>
    </w:tbl>
    <w:p w:rsidR="00EF5F01" w:rsidRDefault="00EF5F01" w:rsidP="00D01AEA">
      <w:pPr>
        <w:spacing w:line="240" w:lineRule="auto"/>
        <w:rPr>
          <w:rFonts w:ascii="Helv" w:hAnsi="Helv" w:cs="Helv"/>
          <w:color w:val="000000"/>
          <w:sz w:val="20"/>
          <w:szCs w:val="20"/>
        </w:rPr>
      </w:pPr>
    </w:p>
    <w:p w:rsidR="00376DA4" w:rsidRDefault="00D01AEA" w:rsidP="00D01AEA">
      <w:pPr>
        <w:spacing w:line="240" w:lineRule="auto"/>
        <w:rPr>
          <w:rFonts w:ascii="Helv" w:hAnsi="Helv" w:cs="Helv"/>
          <w:color w:val="000000"/>
          <w:sz w:val="20"/>
          <w:szCs w:val="20"/>
        </w:rPr>
      </w:pPr>
      <w:r w:rsidRPr="00D01AEA">
        <w:rPr>
          <w:rFonts w:ascii="Helv" w:hAnsi="Helv" w:cs="Helv"/>
          <w:color w:val="000000"/>
          <w:sz w:val="20"/>
          <w:szCs w:val="20"/>
        </w:rPr>
        <w:t xml:space="preserve">Annex VII: SEC_CBN en SEC_CBI is used for Corporate as </w:t>
      </w:r>
      <w:r w:rsidR="00376DA4" w:rsidRPr="00D01AEA">
        <w:rPr>
          <w:rFonts w:ascii="Helv" w:hAnsi="Helv" w:cs="Helv"/>
          <w:color w:val="000000"/>
          <w:sz w:val="20"/>
          <w:szCs w:val="20"/>
        </w:rPr>
        <w:t>we</w:t>
      </w:r>
      <w:r w:rsidR="00376DA4">
        <w:rPr>
          <w:rFonts w:ascii="Helv" w:hAnsi="Helv" w:cs="Helv"/>
          <w:color w:val="000000"/>
          <w:sz w:val="20"/>
          <w:szCs w:val="20"/>
        </w:rPr>
        <w:t xml:space="preserve">ll </w:t>
      </w:r>
      <w:r w:rsidRPr="00D01AEA">
        <w:rPr>
          <w:rFonts w:ascii="Helv" w:hAnsi="Helv" w:cs="Helv"/>
          <w:color w:val="000000"/>
          <w:sz w:val="20"/>
          <w:szCs w:val="20"/>
        </w:rPr>
        <w:t>as for  Convertible Bonds</w:t>
      </w:r>
    </w:p>
    <w:p w:rsidR="00D01AEA" w:rsidRPr="00376DA4" w:rsidRDefault="00D01AEA" w:rsidP="00D01AEA">
      <w:pPr>
        <w:spacing w:line="240" w:lineRule="auto"/>
        <w:rPr>
          <w:rFonts w:ascii="Calibri" w:hAnsi="Calibri" w:cs="Arial"/>
        </w:rPr>
      </w:pPr>
      <w:r w:rsidRPr="00D01AEA">
        <w:rPr>
          <w:rFonts w:ascii="Helv" w:hAnsi="Helv" w:cs="Helv"/>
          <w:color w:val="000000"/>
          <w:sz w:val="20"/>
          <w:szCs w:val="20"/>
        </w:rPr>
        <w:t xml:space="preserve">Is this final our does ESMA foresees an update of the codes ? </w:t>
      </w:r>
      <w:r>
        <w:rPr>
          <w:rFonts w:ascii="Helv" w:hAnsi="Helv" w:cs="Helv"/>
          <w:color w:val="000000"/>
          <w:sz w:val="20"/>
          <w:szCs w:val="20"/>
        </w:rPr>
        <w:t xml:space="preserve"> </w:t>
      </w:r>
    </w:p>
    <w:p w:rsidR="00D01AEA" w:rsidRDefault="00D01AEA" w:rsidP="00D873C2">
      <w:pPr>
        <w:autoSpaceDE w:val="0"/>
        <w:autoSpaceDN w:val="0"/>
        <w:adjustRightInd w:val="0"/>
        <w:spacing w:after="0" w:line="240" w:lineRule="auto"/>
        <w:rPr>
          <w:rFonts w:ascii="Georgia,Bold" w:hAnsi="Georgia,Bold" w:cs="Georgia,Bold"/>
          <w:bCs/>
          <w:sz w:val="20"/>
          <w:szCs w:val="20"/>
        </w:rPr>
      </w:pPr>
    </w:p>
    <w:p w:rsidR="00EF5F01" w:rsidRDefault="00EF5F01" w:rsidP="00D873C2">
      <w:pPr>
        <w:autoSpaceDE w:val="0"/>
        <w:autoSpaceDN w:val="0"/>
        <w:adjustRightInd w:val="0"/>
        <w:spacing w:after="0" w:line="240" w:lineRule="auto"/>
        <w:rPr>
          <w:rFonts w:ascii="Georgia,Bold" w:hAnsi="Georgia,Bold" w:cs="Georgia,Bold"/>
          <w:bCs/>
          <w:sz w:val="20"/>
          <w:szCs w:val="20"/>
        </w:rPr>
      </w:pPr>
    </w:p>
    <w:p w:rsidR="00EF5F01" w:rsidRDefault="00EF5F01" w:rsidP="00D873C2">
      <w:pPr>
        <w:autoSpaceDE w:val="0"/>
        <w:autoSpaceDN w:val="0"/>
        <w:adjustRightInd w:val="0"/>
        <w:spacing w:after="0" w:line="240" w:lineRule="auto"/>
        <w:rPr>
          <w:rFonts w:ascii="Georgia,Bold" w:hAnsi="Georgia,Bold" w:cs="Georgia,Bold"/>
          <w:bCs/>
          <w:sz w:val="20"/>
          <w:szCs w:val="20"/>
        </w:rPr>
      </w:pPr>
    </w:p>
    <w:p w:rsidR="00EF5F01" w:rsidRDefault="00EF5F01" w:rsidP="00D873C2">
      <w:pPr>
        <w:autoSpaceDE w:val="0"/>
        <w:autoSpaceDN w:val="0"/>
        <w:adjustRightInd w:val="0"/>
        <w:spacing w:after="0" w:line="240" w:lineRule="auto"/>
        <w:rPr>
          <w:rFonts w:ascii="Georgia,Bold" w:hAnsi="Georgia,Bold" w:cs="Georgia,Bold"/>
          <w:bCs/>
          <w:sz w:val="20"/>
          <w:szCs w:val="20"/>
        </w:rPr>
      </w:pPr>
    </w:p>
    <w:p w:rsidR="008112F5" w:rsidRPr="00EF5F01" w:rsidRDefault="00EF5F01" w:rsidP="00D873C2">
      <w:pPr>
        <w:autoSpaceDE w:val="0"/>
        <w:autoSpaceDN w:val="0"/>
        <w:adjustRightInd w:val="0"/>
        <w:spacing w:after="0" w:line="240" w:lineRule="auto"/>
        <w:rPr>
          <w:rFonts w:ascii="Georgia,Bold" w:hAnsi="Georgia,Bold" w:cs="Georgia,Bold"/>
          <w:bCs/>
          <w:sz w:val="20"/>
          <w:szCs w:val="20"/>
        </w:rPr>
      </w:pPr>
      <w:r w:rsidRPr="00EF5F01">
        <w:rPr>
          <w:rFonts w:ascii="Georgia,Bold" w:hAnsi="Georgia,Bold" w:cs="Georgia,Bold"/>
          <w:bCs/>
          <w:sz w:val="20"/>
          <w:szCs w:val="20"/>
        </w:rPr>
        <w:t xml:space="preserve">KBC Asset Management hopes that you find its input useful and is always at your disposal for any questions you may have in the context of this matter. </w:t>
      </w:r>
    </w:p>
    <w:p w:rsidR="00EF5F01" w:rsidRDefault="00EF5F01" w:rsidP="00D873C2">
      <w:pPr>
        <w:autoSpaceDE w:val="0"/>
        <w:autoSpaceDN w:val="0"/>
        <w:adjustRightInd w:val="0"/>
        <w:spacing w:after="0" w:line="240" w:lineRule="auto"/>
        <w:rPr>
          <w:rFonts w:ascii="Georgia,Bold" w:hAnsi="Georgia,Bold" w:cs="Georgia,Bold"/>
          <w:bCs/>
          <w:sz w:val="20"/>
          <w:szCs w:val="20"/>
        </w:rPr>
      </w:pPr>
    </w:p>
    <w:p w:rsidR="00376DA4" w:rsidRDefault="00376DA4" w:rsidP="00D873C2">
      <w:pPr>
        <w:autoSpaceDE w:val="0"/>
        <w:autoSpaceDN w:val="0"/>
        <w:adjustRightInd w:val="0"/>
        <w:spacing w:after="0" w:line="240" w:lineRule="auto"/>
        <w:rPr>
          <w:rFonts w:ascii="Georgia,Bold" w:hAnsi="Georgia,Bold" w:cs="Georgia,Bold"/>
          <w:bCs/>
          <w:sz w:val="20"/>
          <w:szCs w:val="20"/>
        </w:rPr>
      </w:pPr>
    </w:p>
    <w:p w:rsidR="00376DA4" w:rsidRDefault="00376DA4" w:rsidP="00D873C2">
      <w:pPr>
        <w:autoSpaceDE w:val="0"/>
        <w:autoSpaceDN w:val="0"/>
        <w:adjustRightInd w:val="0"/>
        <w:spacing w:after="0" w:line="240" w:lineRule="auto"/>
        <w:rPr>
          <w:rFonts w:ascii="Georgia,Bold" w:hAnsi="Georgia,Bold" w:cs="Georgia,Bold"/>
          <w:bCs/>
          <w:sz w:val="20"/>
          <w:szCs w:val="20"/>
        </w:rPr>
      </w:pPr>
      <w:r>
        <w:rPr>
          <w:rFonts w:ascii="Georgia,Bold" w:hAnsi="Georgia,Bold" w:cs="Georgia,Bold"/>
          <w:bCs/>
          <w:sz w:val="20"/>
          <w:szCs w:val="20"/>
        </w:rPr>
        <w:t xml:space="preserve">Chris </w:t>
      </w:r>
      <w:proofErr w:type="spellStart"/>
      <w:r>
        <w:rPr>
          <w:rFonts w:ascii="Georgia,Bold" w:hAnsi="Georgia,Bold" w:cs="Georgia,Bold"/>
          <w:bCs/>
          <w:sz w:val="20"/>
          <w:szCs w:val="20"/>
        </w:rPr>
        <w:t>Muyldermans</w:t>
      </w:r>
      <w:proofErr w:type="spellEnd"/>
    </w:p>
    <w:p w:rsidR="00376DA4" w:rsidRDefault="00376DA4" w:rsidP="00D873C2">
      <w:pPr>
        <w:autoSpaceDE w:val="0"/>
        <w:autoSpaceDN w:val="0"/>
        <w:adjustRightInd w:val="0"/>
        <w:spacing w:after="0" w:line="240" w:lineRule="auto"/>
        <w:rPr>
          <w:rFonts w:ascii="Georgia,Bold" w:hAnsi="Georgia,Bold" w:cs="Georgia,Bold"/>
          <w:bCs/>
          <w:sz w:val="20"/>
          <w:szCs w:val="20"/>
        </w:rPr>
      </w:pPr>
      <w:r>
        <w:rPr>
          <w:rFonts w:ascii="Georgia,Bold" w:hAnsi="Georgia,Bold" w:cs="Georgia,Bold"/>
          <w:bCs/>
          <w:sz w:val="20"/>
          <w:szCs w:val="20"/>
        </w:rPr>
        <w:t>counsel Regulatory Affairs, KBC Group N.V</w:t>
      </w:r>
    </w:p>
    <w:p w:rsidR="00376DA4" w:rsidRPr="00376DA4" w:rsidRDefault="00376DA4" w:rsidP="00D873C2">
      <w:pPr>
        <w:autoSpaceDE w:val="0"/>
        <w:autoSpaceDN w:val="0"/>
        <w:adjustRightInd w:val="0"/>
        <w:spacing w:after="0" w:line="240" w:lineRule="auto"/>
        <w:rPr>
          <w:rFonts w:ascii="Georgia,Bold" w:hAnsi="Georgia,Bold" w:cs="Georgia,Bold"/>
          <w:bCs/>
          <w:sz w:val="20"/>
          <w:szCs w:val="20"/>
        </w:rPr>
      </w:pPr>
      <w:r>
        <w:rPr>
          <w:rFonts w:ascii="Georgia,Bold" w:hAnsi="Georgia,Bold" w:cs="Georgia,Bold"/>
          <w:bCs/>
          <w:sz w:val="20"/>
          <w:szCs w:val="20"/>
        </w:rPr>
        <w:t xml:space="preserve">Brussels, June 7 2013 </w:t>
      </w:r>
    </w:p>
    <w:sectPr w:rsidR="00376DA4" w:rsidRPr="00376DA4" w:rsidSect="00E127CD">
      <w:headerReference w:type="default" r:id="rId8"/>
      <w:footerReference w:type="default" r:id="rId9"/>
      <w:pgSz w:w="11907" w:h="16840"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923" w:rsidRDefault="004A1923" w:rsidP="00DB5BC9">
      <w:pPr>
        <w:spacing w:after="0" w:line="240" w:lineRule="auto"/>
      </w:pPr>
      <w:r>
        <w:separator/>
      </w:r>
    </w:p>
  </w:endnote>
  <w:endnote w:type="continuationSeparator" w:id="0">
    <w:p w:rsidR="004A1923" w:rsidRDefault="004A1923" w:rsidP="00DB5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Bold">
    <w:panose1 w:val="00000000000000000000"/>
    <w:charset w:val="00"/>
    <w:family w:val="auto"/>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23" w:rsidRPr="001C2B69" w:rsidRDefault="004A1923">
    <w:pPr>
      <w:pStyle w:val="Footer"/>
      <w:rPr>
        <w:sz w:val="20"/>
        <w:szCs w:val="20"/>
        <w:lang w:val="de-DE"/>
      </w:rPr>
    </w:pPr>
    <w:r w:rsidRPr="00B91E44">
      <w:rPr>
        <w:sz w:val="20"/>
        <w:szCs w:val="20"/>
      </w:rPr>
      <w:t xml:space="preserve">Chris </w:t>
    </w:r>
    <w:proofErr w:type="spellStart"/>
    <w:r w:rsidRPr="00B91E44">
      <w:rPr>
        <w:sz w:val="20"/>
        <w:szCs w:val="20"/>
      </w:rPr>
      <w:t>Muyldermans</w:t>
    </w:r>
    <w:proofErr w:type="spellEnd"/>
    <w:r w:rsidRPr="00B91E44">
      <w:rPr>
        <w:sz w:val="20"/>
        <w:szCs w:val="20"/>
      </w:rPr>
      <w:t xml:space="preserve"> –</w:t>
    </w:r>
    <w:r>
      <w:rPr>
        <w:sz w:val="20"/>
        <w:szCs w:val="20"/>
      </w:rPr>
      <w:t>counsel Regulatory Affairs KBC Group NV</w:t>
    </w:r>
    <w:r w:rsidRPr="00B91E44">
      <w:rPr>
        <w:sz w:val="20"/>
        <w:szCs w:val="20"/>
      </w:rPr>
      <w:t xml:space="preserve">– </w:t>
    </w:r>
    <w:r w:rsidRPr="001C2B69">
      <w:rPr>
        <w:sz w:val="20"/>
        <w:szCs w:val="20"/>
        <w:lang w:val="de-DE"/>
      </w:rPr>
      <w:tab/>
      <w:t>June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923" w:rsidRDefault="004A1923" w:rsidP="00DB5BC9">
      <w:pPr>
        <w:spacing w:after="0" w:line="240" w:lineRule="auto"/>
      </w:pPr>
      <w:r>
        <w:separator/>
      </w:r>
    </w:p>
  </w:footnote>
  <w:footnote w:type="continuationSeparator" w:id="0">
    <w:p w:rsidR="004A1923" w:rsidRDefault="004A1923" w:rsidP="00DB5B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23" w:rsidRDefault="004A1923">
    <w:pPr>
      <w:pStyle w:val="Header"/>
    </w:pPr>
    <w:r>
      <w:rPr>
        <w:noProof/>
      </w:rPr>
      <w:drawing>
        <wp:anchor distT="0" distB="0" distL="114300" distR="114300" simplePos="0" relativeHeight="251658240" behindDoc="1" locked="0" layoutInCell="1" allowOverlap="1">
          <wp:simplePos x="0" y="0"/>
          <wp:positionH relativeFrom="margin">
            <wp:posOffset>5158740</wp:posOffset>
          </wp:positionH>
          <wp:positionV relativeFrom="margin">
            <wp:posOffset>-367665</wp:posOffset>
          </wp:positionV>
          <wp:extent cx="695960" cy="542925"/>
          <wp:effectExtent l="19050" t="0" r="8890" b="0"/>
          <wp:wrapTight wrapText="bothSides">
            <wp:wrapPolygon edited="0">
              <wp:start x="-591" y="0"/>
              <wp:lineTo x="-591" y="21221"/>
              <wp:lineTo x="21876" y="21221"/>
              <wp:lineTo x="21876" y="0"/>
              <wp:lineTo x="-591" y="0"/>
            </wp:wrapPolygon>
          </wp:wrapTight>
          <wp:docPr id="1" name="Picture 0" descr="KBC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C copy.jpg"/>
                  <pic:cNvPicPr/>
                </pic:nvPicPr>
                <pic:blipFill>
                  <a:blip r:embed="rId1"/>
                  <a:stretch>
                    <a:fillRect/>
                  </a:stretch>
                </pic:blipFill>
                <pic:spPr>
                  <a:xfrm>
                    <a:off x="0" y="0"/>
                    <a:ext cx="695960" cy="5429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226A6"/>
    <w:multiLevelType w:val="hybridMultilevel"/>
    <w:tmpl w:val="D5DE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9579D"/>
    <w:multiLevelType w:val="hybridMultilevel"/>
    <w:tmpl w:val="AAE80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51DC9"/>
    <w:multiLevelType w:val="hybridMultilevel"/>
    <w:tmpl w:val="C8C277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DF04FA"/>
    <w:multiLevelType w:val="hybridMultilevel"/>
    <w:tmpl w:val="D9704BF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5B540C"/>
    <w:multiLevelType w:val="hybridMultilevel"/>
    <w:tmpl w:val="25E6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302254"/>
    <w:multiLevelType w:val="hybridMultilevel"/>
    <w:tmpl w:val="3C724C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rsids>
    <w:rsidRoot w:val="00A35788"/>
    <w:rsid w:val="0002106C"/>
    <w:rsid w:val="00117A5A"/>
    <w:rsid w:val="001C2B69"/>
    <w:rsid w:val="00205417"/>
    <w:rsid w:val="00273CC7"/>
    <w:rsid w:val="002F7309"/>
    <w:rsid w:val="00376DA4"/>
    <w:rsid w:val="003D1E66"/>
    <w:rsid w:val="00490944"/>
    <w:rsid w:val="004A1923"/>
    <w:rsid w:val="0051598D"/>
    <w:rsid w:val="00515D32"/>
    <w:rsid w:val="0052443F"/>
    <w:rsid w:val="005507E3"/>
    <w:rsid w:val="007524E5"/>
    <w:rsid w:val="007F17A9"/>
    <w:rsid w:val="007F1A24"/>
    <w:rsid w:val="008112F5"/>
    <w:rsid w:val="00880FA1"/>
    <w:rsid w:val="008C7DD9"/>
    <w:rsid w:val="008F6AEF"/>
    <w:rsid w:val="0099260A"/>
    <w:rsid w:val="00A35788"/>
    <w:rsid w:val="00A5672E"/>
    <w:rsid w:val="00A80281"/>
    <w:rsid w:val="00AC7506"/>
    <w:rsid w:val="00AD0EDA"/>
    <w:rsid w:val="00B91E44"/>
    <w:rsid w:val="00B97593"/>
    <w:rsid w:val="00BE0231"/>
    <w:rsid w:val="00BF5822"/>
    <w:rsid w:val="00C26369"/>
    <w:rsid w:val="00C51626"/>
    <w:rsid w:val="00CF3036"/>
    <w:rsid w:val="00D01AEA"/>
    <w:rsid w:val="00D61FE6"/>
    <w:rsid w:val="00D873C2"/>
    <w:rsid w:val="00DB5BC9"/>
    <w:rsid w:val="00E05DF9"/>
    <w:rsid w:val="00E127CD"/>
    <w:rsid w:val="00EA23B1"/>
    <w:rsid w:val="00EF5F01"/>
    <w:rsid w:val="00F3242E"/>
    <w:rsid w:val="00F93917"/>
    <w:rsid w:val="00FE4CFC"/>
    <w:rsid w:val="00FF6C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5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B5BC9"/>
    <w:pPr>
      <w:spacing w:after="0" w:line="240" w:lineRule="auto"/>
    </w:pPr>
    <w:rPr>
      <w:rFonts w:ascii="Times New Roman" w:eastAsia="Times New Roman" w:hAnsi="Times New Roman" w:cs="Times New Roman"/>
      <w:sz w:val="20"/>
      <w:szCs w:val="20"/>
      <w:lang w:val="fr-FR" w:eastAsia="fr-FR"/>
    </w:rPr>
  </w:style>
  <w:style w:type="character" w:customStyle="1" w:styleId="FootnoteTextChar">
    <w:name w:val="Footnote Text Char"/>
    <w:basedOn w:val="DefaultParagraphFont"/>
    <w:link w:val="FootnoteText"/>
    <w:semiHidden/>
    <w:rsid w:val="00DB5BC9"/>
    <w:rPr>
      <w:rFonts w:ascii="Times New Roman" w:eastAsia="Times New Roman" w:hAnsi="Times New Roman" w:cs="Times New Roman"/>
      <w:sz w:val="20"/>
      <w:szCs w:val="20"/>
      <w:lang w:val="fr-FR" w:eastAsia="fr-FR"/>
    </w:rPr>
  </w:style>
  <w:style w:type="character" w:styleId="FootnoteReference">
    <w:name w:val="footnote reference"/>
    <w:semiHidden/>
    <w:rsid w:val="00DB5BC9"/>
    <w:rPr>
      <w:vertAlign w:val="superscript"/>
    </w:rPr>
  </w:style>
  <w:style w:type="paragraph" w:styleId="BodyText">
    <w:name w:val="Body Text"/>
    <w:basedOn w:val="Normal"/>
    <w:link w:val="BodyTextChar"/>
    <w:semiHidden/>
    <w:rsid w:val="00DB5BC9"/>
    <w:pPr>
      <w:spacing w:after="0" w:line="240" w:lineRule="auto"/>
    </w:pPr>
    <w:rPr>
      <w:rFonts w:ascii="Times New Roman" w:eastAsia="Times New Roman" w:hAnsi="Times New Roman" w:cs="Times New Roman"/>
      <w:b/>
      <w:sz w:val="24"/>
      <w:szCs w:val="24"/>
      <w:lang w:eastAsia="fr-FR"/>
    </w:rPr>
  </w:style>
  <w:style w:type="character" w:customStyle="1" w:styleId="BodyTextChar">
    <w:name w:val="Body Text Char"/>
    <w:basedOn w:val="DefaultParagraphFont"/>
    <w:link w:val="BodyText"/>
    <w:semiHidden/>
    <w:rsid w:val="00DB5BC9"/>
    <w:rPr>
      <w:rFonts w:ascii="Times New Roman" w:eastAsia="Times New Roman" w:hAnsi="Times New Roman" w:cs="Times New Roman"/>
      <w:b/>
      <w:sz w:val="24"/>
      <w:szCs w:val="24"/>
      <w:lang w:eastAsia="fr-FR"/>
    </w:rPr>
  </w:style>
  <w:style w:type="paragraph" w:styleId="ListParagraph">
    <w:name w:val="List Paragraph"/>
    <w:basedOn w:val="Normal"/>
    <w:uiPriority w:val="34"/>
    <w:qFormat/>
    <w:rsid w:val="00DB5BC9"/>
    <w:pPr>
      <w:spacing w:after="0" w:line="240" w:lineRule="auto"/>
      <w:ind w:left="720"/>
    </w:pPr>
    <w:rPr>
      <w:rFonts w:ascii="Times New Roman" w:eastAsia="Times New Roman" w:hAnsi="Times New Roman" w:cs="Times New Roman"/>
      <w:sz w:val="24"/>
      <w:szCs w:val="24"/>
      <w:lang w:val="fr-FR" w:eastAsia="fr-FR"/>
    </w:rPr>
  </w:style>
  <w:style w:type="character" w:styleId="Emphasis">
    <w:name w:val="Emphasis"/>
    <w:basedOn w:val="DefaultParagraphFont"/>
    <w:uiPriority w:val="20"/>
    <w:qFormat/>
    <w:rsid w:val="00117A5A"/>
    <w:rPr>
      <w:i/>
      <w:iCs/>
    </w:rPr>
  </w:style>
  <w:style w:type="paragraph" w:styleId="Header">
    <w:name w:val="header"/>
    <w:basedOn w:val="Normal"/>
    <w:link w:val="HeaderChar"/>
    <w:uiPriority w:val="99"/>
    <w:semiHidden/>
    <w:unhideWhenUsed/>
    <w:rsid w:val="0099260A"/>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99260A"/>
  </w:style>
  <w:style w:type="paragraph" w:styleId="Footer">
    <w:name w:val="footer"/>
    <w:basedOn w:val="Normal"/>
    <w:link w:val="FooterChar"/>
    <w:uiPriority w:val="99"/>
    <w:semiHidden/>
    <w:unhideWhenUsed/>
    <w:rsid w:val="0099260A"/>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99260A"/>
  </w:style>
  <w:style w:type="paragraph" w:styleId="BalloonText">
    <w:name w:val="Balloon Text"/>
    <w:basedOn w:val="Normal"/>
    <w:link w:val="BalloonTextChar"/>
    <w:uiPriority w:val="99"/>
    <w:semiHidden/>
    <w:unhideWhenUsed/>
    <w:rsid w:val="00992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60A"/>
    <w:rPr>
      <w:rFonts w:ascii="Tahoma" w:hAnsi="Tahoma" w:cs="Tahoma"/>
      <w:sz w:val="16"/>
      <w:szCs w:val="16"/>
    </w:rPr>
  </w:style>
  <w:style w:type="table" w:styleId="TableGrid">
    <w:name w:val="Table Grid"/>
    <w:basedOn w:val="TableNormal"/>
    <w:uiPriority w:val="59"/>
    <w:rsid w:val="00376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A054C-72B7-4EFD-94AF-68E0B7C0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KBC Group</Company>
  <LinksUpToDate>false</LinksUpToDate>
  <CharactersWithSpaces>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u17627</dc:creator>
  <cp:lastModifiedBy>u17627</cp:lastModifiedBy>
  <cp:revision>2</cp:revision>
  <dcterms:created xsi:type="dcterms:W3CDTF">2013-06-07T13:54:00Z</dcterms:created>
  <dcterms:modified xsi:type="dcterms:W3CDTF">2013-06-07T13:54:00Z</dcterms:modified>
</cp:coreProperties>
</file>