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FC" w:rsidRPr="00C76A59" w:rsidRDefault="00D65EFC" w:rsidP="00D65EFC">
      <w:pPr>
        <w:spacing w:after="0"/>
        <w:rPr>
          <w:lang w:val="en-GB"/>
        </w:rPr>
      </w:pPr>
    </w:p>
    <w:p w:rsidR="00D65EFC" w:rsidRPr="00D103B3" w:rsidRDefault="00D65EFC" w:rsidP="00D65EFC">
      <w:pPr>
        <w:spacing w:after="0"/>
        <w:rPr>
          <w:b/>
          <w:color w:val="002060"/>
          <w:lang w:val="en-GB"/>
        </w:rPr>
      </w:pPr>
    </w:p>
    <w:p w:rsidR="00D103B3" w:rsidRPr="00D103B3" w:rsidRDefault="005A5FB1" w:rsidP="00D65EFC">
      <w:pPr>
        <w:spacing w:after="0"/>
        <w:rPr>
          <w:rFonts w:asciiTheme="majorHAnsi" w:eastAsiaTheme="majorEastAsia" w:hAnsiTheme="majorHAnsi"/>
          <w:b/>
          <w:bCs/>
          <w:color w:val="002060"/>
          <w:sz w:val="24"/>
          <w:szCs w:val="24"/>
          <w:lang w:val="en-GB" w:eastAsia="en-GB"/>
        </w:rPr>
      </w:pPr>
      <w:r>
        <w:rPr>
          <w:rFonts w:asciiTheme="majorHAnsi" w:eastAsiaTheme="majorEastAsia" w:hAnsiTheme="majorHAnsi"/>
          <w:b/>
          <w:bCs/>
          <w:color w:val="002060"/>
          <w:sz w:val="24"/>
          <w:szCs w:val="24"/>
          <w:lang w:val="en-GB" w:eastAsia="en-GB"/>
        </w:rPr>
        <w:t xml:space="preserve">ETF </w:t>
      </w:r>
      <w:r w:rsidR="00D103B3" w:rsidRPr="00D103B3">
        <w:rPr>
          <w:rFonts w:asciiTheme="majorHAnsi" w:eastAsiaTheme="majorEastAsia" w:hAnsiTheme="majorHAnsi"/>
          <w:b/>
          <w:bCs/>
          <w:color w:val="002060"/>
          <w:sz w:val="24"/>
          <w:szCs w:val="24"/>
          <w:lang w:val="en-GB" w:eastAsia="en-GB"/>
        </w:rPr>
        <w:t>Joint Working Group</w:t>
      </w:r>
      <w:r w:rsidR="00BB709B">
        <w:rPr>
          <w:rFonts w:asciiTheme="majorHAnsi" w:eastAsiaTheme="majorEastAsia" w:hAnsiTheme="majorHAnsi"/>
          <w:b/>
          <w:bCs/>
          <w:color w:val="002060"/>
          <w:sz w:val="24"/>
          <w:szCs w:val="24"/>
          <w:lang w:val="en-GB" w:eastAsia="en-GB"/>
        </w:rPr>
        <w:t xml:space="preserve"> </w:t>
      </w:r>
      <w:r w:rsidR="00D103B3" w:rsidRPr="00D103B3">
        <w:rPr>
          <w:rFonts w:asciiTheme="majorHAnsi" w:eastAsiaTheme="majorEastAsia" w:hAnsiTheme="majorHAnsi"/>
          <w:b/>
          <w:bCs/>
          <w:color w:val="002060"/>
          <w:sz w:val="24"/>
          <w:szCs w:val="24"/>
          <w:lang w:val="en-GB" w:eastAsia="en-GB"/>
        </w:rPr>
        <w:t xml:space="preserve">response to ESMA Consultation Paper </w:t>
      </w:r>
    </w:p>
    <w:p w:rsidR="00276FC5" w:rsidRDefault="00276FC5" w:rsidP="00D103B3">
      <w:pPr>
        <w:spacing w:after="0" w:line="240" w:lineRule="auto"/>
        <w:rPr>
          <w:rFonts w:asciiTheme="majorHAnsi" w:eastAsiaTheme="majorEastAsia" w:hAnsiTheme="majorHAnsi"/>
          <w:b/>
          <w:bCs/>
          <w:color w:val="002060"/>
          <w:sz w:val="24"/>
          <w:szCs w:val="24"/>
          <w:lang w:val="en-GB" w:eastAsia="en-GB"/>
        </w:rPr>
      </w:pPr>
    </w:p>
    <w:p w:rsidR="00D103B3" w:rsidRPr="00D103B3" w:rsidRDefault="00D103B3" w:rsidP="00D103B3">
      <w:pPr>
        <w:spacing w:after="0" w:line="240" w:lineRule="auto"/>
        <w:rPr>
          <w:rFonts w:asciiTheme="majorHAnsi" w:eastAsiaTheme="majorEastAsia" w:hAnsiTheme="majorHAnsi"/>
          <w:b/>
          <w:bCs/>
          <w:color w:val="002060"/>
          <w:sz w:val="24"/>
          <w:szCs w:val="24"/>
          <w:lang w:val="en-GB" w:eastAsia="en-GB"/>
        </w:rPr>
      </w:pPr>
      <w:r w:rsidRPr="00D103B3">
        <w:rPr>
          <w:rFonts w:asciiTheme="majorHAnsi" w:eastAsiaTheme="majorEastAsia" w:hAnsiTheme="majorHAnsi"/>
          <w:b/>
          <w:bCs/>
          <w:color w:val="002060"/>
          <w:sz w:val="24"/>
          <w:szCs w:val="24"/>
          <w:lang w:val="en-GB" w:eastAsia="en-GB"/>
        </w:rPr>
        <w:t>Regulatory Technical standards on the CSD Regulation</w:t>
      </w:r>
    </w:p>
    <w:p w:rsidR="00D103B3" w:rsidRPr="00D103B3" w:rsidRDefault="00D103B3" w:rsidP="00D103B3">
      <w:pPr>
        <w:spacing w:after="0" w:line="240" w:lineRule="auto"/>
        <w:rPr>
          <w:rFonts w:asciiTheme="majorHAnsi" w:eastAsiaTheme="majorEastAsia" w:hAnsiTheme="majorHAnsi"/>
          <w:b/>
          <w:bCs/>
          <w:color w:val="002060"/>
          <w:sz w:val="24"/>
          <w:szCs w:val="24"/>
          <w:lang w:val="en-GB" w:eastAsia="en-GB"/>
        </w:rPr>
      </w:pPr>
      <w:r>
        <w:rPr>
          <w:rFonts w:asciiTheme="majorHAnsi" w:eastAsiaTheme="majorEastAsia" w:hAnsiTheme="majorHAnsi"/>
          <w:b/>
          <w:bCs/>
          <w:color w:val="002060"/>
          <w:sz w:val="24"/>
          <w:szCs w:val="24"/>
          <w:lang w:val="en-GB" w:eastAsia="en-GB"/>
        </w:rPr>
        <w:t>The Operation of the Buy-</w:t>
      </w:r>
      <w:r w:rsidRPr="00D103B3">
        <w:rPr>
          <w:rFonts w:asciiTheme="majorHAnsi" w:eastAsiaTheme="majorEastAsia" w:hAnsiTheme="majorHAnsi"/>
          <w:b/>
          <w:bCs/>
          <w:color w:val="002060"/>
          <w:sz w:val="24"/>
          <w:szCs w:val="24"/>
          <w:lang w:val="en-GB" w:eastAsia="en-GB"/>
        </w:rPr>
        <w:t>In Process</w:t>
      </w:r>
    </w:p>
    <w:p w:rsidR="00D103B3" w:rsidRDefault="00D103B3" w:rsidP="00D65EFC">
      <w:pPr>
        <w:spacing w:after="0"/>
        <w:rPr>
          <w:lang w:val="en-GB"/>
        </w:rPr>
      </w:pPr>
    </w:p>
    <w:p w:rsidR="00D103B3" w:rsidRPr="00D65EFC" w:rsidRDefault="00D103B3" w:rsidP="00D65EFC">
      <w:pPr>
        <w:spacing w:after="0"/>
        <w:rPr>
          <w:rFonts w:cs="Cambria"/>
          <w:b/>
          <w:color w:val="1F497D" w:themeColor="text2"/>
          <w:lang w:val="fr-FR"/>
        </w:rPr>
      </w:pPr>
    </w:p>
    <w:p w:rsidR="00D65EFC" w:rsidRDefault="00D65EFC" w:rsidP="0000019A">
      <w:pPr>
        <w:jc w:val="both"/>
        <w:rPr>
          <w:b/>
          <w:bCs/>
          <w:color w:val="000000" w:themeColor="text1"/>
        </w:rPr>
      </w:pPr>
    </w:p>
    <w:p w:rsidR="00D65EFC" w:rsidRPr="00D378E6" w:rsidRDefault="00D378E6" w:rsidP="0000019A">
      <w:pPr>
        <w:jc w:val="both"/>
        <w:rPr>
          <w:b/>
          <w:bCs/>
          <w:color w:val="000000" w:themeColor="text1"/>
        </w:rPr>
      </w:pPr>
      <w:r>
        <w:rPr>
          <w:b/>
          <w:bCs/>
          <w:color w:val="000000" w:themeColor="text1"/>
        </w:rPr>
        <w:t>Introduction</w:t>
      </w:r>
    </w:p>
    <w:p w:rsidR="00D65EFC" w:rsidRPr="00CB3420" w:rsidRDefault="00D65EFC" w:rsidP="0000019A">
      <w:pPr>
        <w:jc w:val="both"/>
        <w:rPr>
          <w:bCs/>
        </w:rPr>
      </w:pPr>
      <w:r w:rsidRPr="00CB3420">
        <w:rPr>
          <w:bCs/>
        </w:rPr>
        <w:t>On behalf of the ETF Joint Working Group</w:t>
      </w:r>
      <w:r w:rsidR="00D103B3" w:rsidRPr="00CB3420">
        <w:rPr>
          <w:bCs/>
        </w:rPr>
        <w:t>, mandated by EPTG</w:t>
      </w:r>
      <w:r w:rsidR="00CB3420" w:rsidRPr="00CB3420">
        <w:rPr>
          <w:bCs/>
        </w:rPr>
        <w:t xml:space="preserve"> </w:t>
      </w:r>
      <w:r w:rsidR="00E8645F" w:rsidRPr="00CB3420">
        <w:rPr>
          <w:rFonts w:ascii="Calibri" w:eastAsia="Times New Roman" w:hAnsi="Calibri" w:cs="Calibri"/>
          <w:bCs/>
        </w:rPr>
        <w:t xml:space="preserve">(European Post Trading Group) </w:t>
      </w:r>
      <w:r w:rsidR="00D103B3" w:rsidRPr="00CB3420">
        <w:rPr>
          <w:bCs/>
        </w:rPr>
        <w:t xml:space="preserve"> reporting to </w:t>
      </w:r>
      <w:r w:rsidR="00276FC5" w:rsidRPr="00CB3420">
        <w:rPr>
          <w:bCs/>
        </w:rPr>
        <w:t xml:space="preserve">the </w:t>
      </w:r>
      <w:r w:rsidR="00D103B3" w:rsidRPr="00CB3420">
        <w:rPr>
          <w:bCs/>
        </w:rPr>
        <w:t>European Commission</w:t>
      </w:r>
      <w:r w:rsidRPr="00CB3420">
        <w:rPr>
          <w:bCs/>
        </w:rPr>
        <w:t>, we welcome an opportunity to comment on the Consultation</w:t>
      </w:r>
      <w:r w:rsidR="001508D3" w:rsidRPr="00CB3420">
        <w:rPr>
          <w:bCs/>
        </w:rPr>
        <w:t xml:space="preserve"> Paper on Regul</w:t>
      </w:r>
      <w:r w:rsidR="00793D38" w:rsidRPr="00CB3420">
        <w:rPr>
          <w:bCs/>
        </w:rPr>
        <w:t>atory Technical Standards on</w:t>
      </w:r>
      <w:r w:rsidR="00B83B28">
        <w:rPr>
          <w:bCs/>
        </w:rPr>
        <w:t xml:space="preserve"> CSD Regulation.</w:t>
      </w:r>
    </w:p>
    <w:p w:rsidR="004D4C3F" w:rsidRPr="00CB3420" w:rsidRDefault="001508D3" w:rsidP="004D4C3F">
      <w:pPr>
        <w:jc w:val="both"/>
        <w:rPr>
          <w:bCs/>
        </w:rPr>
      </w:pPr>
      <w:r w:rsidRPr="00CB3420">
        <w:rPr>
          <w:bCs/>
        </w:rPr>
        <w:t>We recognize that</w:t>
      </w:r>
      <w:r w:rsidR="00793D38" w:rsidRPr="00CB3420">
        <w:rPr>
          <w:bCs/>
        </w:rPr>
        <w:t xml:space="preserve"> ESMA is looking to improve </w:t>
      </w:r>
      <w:r w:rsidRPr="00CB3420">
        <w:rPr>
          <w:bCs/>
        </w:rPr>
        <w:t xml:space="preserve">settlement discipline and risk associated with failing transactions. </w:t>
      </w:r>
      <w:r w:rsidR="00CB3420" w:rsidRPr="00CB3420">
        <w:rPr>
          <w:rFonts w:ascii="Calibri" w:eastAsia="Times New Roman" w:hAnsi="Calibri" w:cs="Calibri"/>
        </w:rPr>
        <w:t>It is important to recognize that ETFs are not the same as cash equities and fixed income securities</w:t>
      </w:r>
      <w:r w:rsidR="008C34C3" w:rsidRPr="00CB3420">
        <w:rPr>
          <w:bCs/>
        </w:rPr>
        <w:t xml:space="preserve">. </w:t>
      </w:r>
      <w:r w:rsidRPr="00CB3420">
        <w:rPr>
          <w:bCs/>
        </w:rPr>
        <w:t xml:space="preserve">We would like to take this opportunity to flag the impact this regulation will have on the ETF market if its specifics are not taken into account. In our </w:t>
      </w:r>
      <w:r w:rsidR="00CB3420" w:rsidRPr="00CB3420">
        <w:rPr>
          <w:bCs/>
        </w:rPr>
        <w:t>response</w:t>
      </w:r>
      <w:r w:rsidR="00CB3420">
        <w:rPr>
          <w:bCs/>
        </w:rPr>
        <w:t xml:space="preserve"> we will demonstrate </w:t>
      </w:r>
      <w:r w:rsidRPr="00CB3420">
        <w:rPr>
          <w:bCs/>
        </w:rPr>
        <w:t>the complexity of the ETF world and why the harmo</w:t>
      </w:r>
      <w:r w:rsidR="00793D38" w:rsidRPr="00CB3420">
        <w:rPr>
          <w:bCs/>
        </w:rPr>
        <w:t>nized OTC buy-ins could harm</w:t>
      </w:r>
      <w:r w:rsidRPr="00CB3420">
        <w:rPr>
          <w:bCs/>
        </w:rPr>
        <w:t xml:space="preserve"> ETF liquidity, impact spreads and expose </w:t>
      </w:r>
      <w:r w:rsidR="00676F8D" w:rsidRPr="00CB3420">
        <w:rPr>
          <w:bCs/>
        </w:rPr>
        <w:t>investors</w:t>
      </w:r>
      <w:r w:rsidRPr="00CB3420">
        <w:rPr>
          <w:bCs/>
        </w:rPr>
        <w:t xml:space="preserve"> to higher costs. </w:t>
      </w:r>
      <w:r w:rsidR="00E56BB1" w:rsidRPr="00CB3420">
        <w:rPr>
          <w:bCs/>
        </w:rPr>
        <w:t>We are also concerned that the following areas have not been addressed in this consultation, which in our v</w:t>
      </w:r>
      <w:r w:rsidR="00793D38" w:rsidRPr="00CB3420">
        <w:rPr>
          <w:bCs/>
        </w:rPr>
        <w:t xml:space="preserve">iew are important </w:t>
      </w:r>
      <w:r w:rsidR="004D4C3F" w:rsidRPr="00CB3420">
        <w:rPr>
          <w:bCs/>
        </w:rPr>
        <w:t>aspects</w:t>
      </w:r>
      <w:r w:rsidR="00676F8D" w:rsidRPr="00CB3420">
        <w:rPr>
          <w:bCs/>
        </w:rPr>
        <w:t xml:space="preserve"> of a mandatory buy-in process</w:t>
      </w:r>
      <w:r w:rsidR="004D4C3F" w:rsidRPr="00CB3420">
        <w:rPr>
          <w:bCs/>
        </w:rPr>
        <w:t>:</w:t>
      </w:r>
    </w:p>
    <w:p w:rsidR="000B7C4D" w:rsidRPr="00676F8D" w:rsidRDefault="00676F8D" w:rsidP="00676F8D">
      <w:pPr>
        <w:pStyle w:val="ListParagraph"/>
        <w:numPr>
          <w:ilvl w:val="0"/>
          <w:numId w:val="5"/>
        </w:numPr>
        <w:jc w:val="both"/>
        <w:rPr>
          <w:bCs/>
          <w:color w:val="000000" w:themeColor="text1"/>
        </w:rPr>
      </w:pPr>
      <w:r>
        <w:rPr>
          <w:bCs/>
          <w:color w:val="000000" w:themeColor="text1"/>
        </w:rPr>
        <w:t>Are liquidity providers who facilitate on and off exchange flow protected?</w:t>
      </w:r>
    </w:p>
    <w:p w:rsidR="003210FC" w:rsidRDefault="003210FC" w:rsidP="00E56BB1">
      <w:pPr>
        <w:pStyle w:val="ListParagraph"/>
        <w:numPr>
          <w:ilvl w:val="0"/>
          <w:numId w:val="5"/>
        </w:numPr>
        <w:jc w:val="both"/>
        <w:rPr>
          <w:bCs/>
          <w:color w:val="000000" w:themeColor="text1"/>
        </w:rPr>
      </w:pPr>
      <w:r>
        <w:rPr>
          <w:bCs/>
          <w:color w:val="000000" w:themeColor="text1"/>
        </w:rPr>
        <w:t xml:space="preserve">When </w:t>
      </w:r>
      <w:r w:rsidR="000B7C4D">
        <w:rPr>
          <w:bCs/>
          <w:color w:val="000000" w:themeColor="text1"/>
        </w:rPr>
        <w:t>and under what circumstances can a buy-in extension</w:t>
      </w:r>
      <w:r>
        <w:rPr>
          <w:bCs/>
          <w:color w:val="000000" w:themeColor="text1"/>
        </w:rPr>
        <w:t xml:space="preserve"> be granted and who makes this decision? </w:t>
      </w:r>
    </w:p>
    <w:p w:rsidR="003210FC" w:rsidRDefault="003210FC" w:rsidP="00E56BB1">
      <w:pPr>
        <w:pStyle w:val="ListParagraph"/>
        <w:numPr>
          <w:ilvl w:val="0"/>
          <w:numId w:val="5"/>
        </w:numPr>
        <w:jc w:val="both"/>
        <w:rPr>
          <w:bCs/>
          <w:color w:val="000000" w:themeColor="text1"/>
        </w:rPr>
      </w:pPr>
      <w:r>
        <w:rPr>
          <w:bCs/>
          <w:color w:val="000000" w:themeColor="text1"/>
        </w:rPr>
        <w:t xml:space="preserve">What happens when the CCP is a party in </w:t>
      </w:r>
      <w:r w:rsidR="00793D38">
        <w:rPr>
          <w:bCs/>
          <w:color w:val="000000" w:themeColor="text1"/>
        </w:rPr>
        <w:t xml:space="preserve">a </w:t>
      </w:r>
      <w:r>
        <w:rPr>
          <w:bCs/>
          <w:color w:val="000000" w:themeColor="text1"/>
        </w:rPr>
        <w:t>linked transaction</w:t>
      </w:r>
      <w:r w:rsidR="00676F8D">
        <w:rPr>
          <w:bCs/>
          <w:color w:val="000000" w:themeColor="text1"/>
        </w:rPr>
        <w:t xml:space="preserve"> and fails to settle trades</w:t>
      </w:r>
      <w:r>
        <w:rPr>
          <w:bCs/>
          <w:color w:val="000000" w:themeColor="text1"/>
        </w:rPr>
        <w:t xml:space="preserve">? </w:t>
      </w:r>
    </w:p>
    <w:p w:rsidR="00A2252E" w:rsidRDefault="00A2252E" w:rsidP="00E56BB1">
      <w:pPr>
        <w:pStyle w:val="ListParagraph"/>
        <w:numPr>
          <w:ilvl w:val="0"/>
          <w:numId w:val="5"/>
        </w:numPr>
        <w:jc w:val="both"/>
        <w:rPr>
          <w:bCs/>
          <w:color w:val="000000" w:themeColor="text1"/>
        </w:rPr>
      </w:pPr>
      <w:r>
        <w:rPr>
          <w:bCs/>
          <w:color w:val="000000" w:themeColor="text1"/>
        </w:rPr>
        <w:t>What happens when the ETF Issuer is a party in a linked transaction?</w:t>
      </w:r>
    </w:p>
    <w:p w:rsidR="00A2252E" w:rsidRDefault="00A2252E" w:rsidP="00E56BB1">
      <w:pPr>
        <w:pStyle w:val="ListParagraph"/>
        <w:numPr>
          <w:ilvl w:val="0"/>
          <w:numId w:val="5"/>
        </w:numPr>
        <w:jc w:val="both"/>
        <w:rPr>
          <w:bCs/>
          <w:color w:val="000000" w:themeColor="text1"/>
        </w:rPr>
      </w:pPr>
      <w:r>
        <w:rPr>
          <w:bCs/>
          <w:color w:val="000000" w:themeColor="text1"/>
        </w:rPr>
        <w:t xml:space="preserve">What happens when a reposition of shares fails between CSDs? </w:t>
      </w:r>
    </w:p>
    <w:p w:rsidR="00676F8D" w:rsidRDefault="000B7C4D" w:rsidP="00676F8D">
      <w:pPr>
        <w:pStyle w:val="ListParagraph"/>
        <w:numPr>
          <w:ilvl w:val="0"/>
          <w:numId w:val="5"/>
        </w:numPr>
        <w:jc w:val="both"/>
        <w:rPr>
          <w:bCs/>
          <w:color w:val="000000" w:themeColor="text1"/>
        </w:rPr>
      </w:pPr>
      <w:r>
        <w:rPr>
          <w:bCs/>
          <w:color w:val="000000" w:themeColor="text1"/>
        </w:rPr>
        <w:t>A lack of definition of which instruments are perceived as liquid and illiquid</w:t>
      </w:r>
      <w:r w:rsidR="00676F8D">
        <w:rPr>
          <w:bCs/>
          <w:color w:val="000000" w:themeColor="text1"/>
        </w:rPr>
        <w:t>?</w:t>
      </w:r>
    </w:p>
    <w:p w:rsidR="00676F8D" w:rsidRDefault="00A2252E" w:rsidP="00676F8D">
      <w:pPr>
        <w:pStyle w:val="ListParagraph"/>
        <w:numPr>
          <w:ilvl w:val="0"/>
          <w:numId w:val="5"/>
        </w:numPr>
        <w:jc w:val="both"/>
        <w:rPr>
          <w:bCs/>
          <w:color w:val="000000" w:themeColor="text1"/>
        </w:rPr>
      </w:pPr>
      <w:r>
        <w:rPr>
          <w:bCs/>
          <w:color w:val="000000" w:themeColor="text1"/>
        </w:rPr>
        <w:t xml:space="preserve">The RTS does not explain how the price differential between the buy-in price and the original transaction price should </w:t>
      </w:r>
      <w:r w:rsidR="002F781C">
        <w:rPr>
          <w:bCs/>
          <w:color w:val="000000" w:themeColor="text1"/>
        </w:rPr>
        <w:t>flow.</w:t>
      </w:r>
    </w:p>
    <w:p w:rsidR="00A2252E" w:rsidRDefault="00A2252E" w:rsidP="00676F8D">
      <w:pPr>
        <w:pStyle w:val="ListParagraph"/>
        <w:numPr>
          <w:ilvl w:val="0"/>
          <w:numId w:val="5"/>
        </w:numPr>
        <w:jc w:val="both"/>
        <w:rPr>
          <w:bCs/>
          <w:color w:val="000000" w:themeColor="text1"/>
        </w:rPr>
      </w:pPr>
      <w:r>
        <w:rPr>
          <w:bCs/>
          <w:color w:val="000000" w:themeColor="text1"/>
        </w:rPr>
        <w:t>A lack of clarity on the reference price calculation when the buy-in execution fails</w:t>
      </w:r>
      <w:r w:rsidR="002F781C">
        <w:rPr>
          <w:bCs/>
          <w:color w:val="000000" w:themeColor="text1"/>
        </w:rPr>
        <w:t>.</w:t>
      </w:r>
    </w:p>
    <w:p w:rsidR="00A2252E" w:rsidRDefault="00A2252E" w:rsidP="00676F8D">
      <w:pPr>
        <w:pStyle w:val="ListParagraph"/>
        <w:numPr>
          <w:ilvl w:val="0"/>
          <w:numId w:val="5"/>
        </w:numPr>
        <w:jc w:val="both"/>
        <w:rPr>
          <w:bCs/>
          <w:color w:val="000000" w:themeColor="text1"/>
        </w:rPr>
      </w:pPr>
      <w:r>
        <w:rPr>
          <w:bCs/>
          <w:color w:val="000000" w:themeColor="text1"/>
        </w:rPr>
        <w:t>A lack of clarity on the maximum price they buy in agent can source the shares at</w:t>
      </w:r>
      <w:r w:rsidR="002F781C">
        <w:rPr>
          <w:bCs/>
          <w:color w:val="000000" w:themeColor="text1"/>
        </w:rPr>
        <w:t>.</w:t>
      </w:r>
    </w:p>
    <w:p w:rsidR="003210FC" w:rsidRDefault="003210FC" w:rsidP="003210FC">
      <w:pPr>
        <w:pStyle w:val="ListParagraph"/>
        <w:jc w:val="both"/>
        <w:rPr>
          <w:bCs/>
          <w:color w:val="000000" w:themeColor="text1"/>
        </w:rPr>
      </w:pPr>
    </w:p>
    <w:p w:rsidR="000B759D" w:rsidRDefault="00DE4FA2" w:rsidP="006F34A0">
      <w:pPr>
        <w:jc w:val="both"/>
        <w:rPr>
          <w:color w:val="000000"/>
        </w:rPr>
      </w:pPr>
      <w:r>
        <w:rPr>
          <w:color w:val="000000"/>
        </w:rPr>
        <w:t xml:space="preserve">We do not believe that any of the buy-in options can be successfully implemented without changing the Level 1 text. However, in our view the Option 1 </w:t>
      </w:r>
      <w:r w:rsidR="000E32EA">
        <w:rPr>
          <w:color w:val="000000"/>
        </w:rPr>
        <w:t xml:space="preserve">is the least worst </w:t>
      </w:r>
      <w:r>
        <w:rPr>
          <w:color w:val="000000"/>
        </w:rPr>
        <w:t xml:space="preserve">while acknowledging the complexity of ETFs and the lack of clarity on implementing the buy-in process. </w:t>
      </w:r>
    </w:p>
    <w:p w:rsidR="00DE4FA2" w:rsidRDefault="00DE4FA2" w:rsidP="00DE4FA2">
      <w:pPr>
        <w:jc w:val="both"/>
        <w:rPr>
          <w:color w:val="000000"/>
        </w:rPr>
      </w:pPr>
      <w:r>
        <w:rPr>
          <w:bCs/>
          <w:color w:val="000000" w:themeColor="text1"/>
        </w:rPr>
        <w:t>We hope our response explains well the complexity of the ETF market.</w:t>
      </w:r>
      <w:r w:rsidRPr="002F781C">
        <w:rPr>
          <w:color w:val="000000"/>
        </w:rPr>
        <w:t xml:space="preserve"> </w:t>
      </w:r>
      <w:r>
        <w:rPr>
          <w:color w:val="000000"/>
        </w:rPr>
        <w:t xml:space="preserve">We are at ESMA’s disposal should more information on ETF structures be required. </w:t>
      </w:r>
    </w:p>
    <w:p w:rsidR="00D103B3" w:rsidRDefault="00D103B3" w:rsidP="0000019A">
      <w:pPr>
        <w:jc w:val="both"/>
        <w:rPr>
          <w:bCs/>
          <w:color w:val="000000" w:themeColor="text1"/>
        </w:rPr>
      </w:pPr>
    </w:p>
    <w:p w:rsidR="00052774" w:rsidRPr="008C34C3" w:rsidRDefault="00E56BB1" w:rsidP="00052774">
      <w:pPr>
        <w:pStyle w:val="Default"/>
        <w:pBdr>
          <w:top w:val="single" w:sz="4" w:space="1" w:color="auto"/>
          <w:left w:val="single" w:sz="4" w:space="4" w:color="auto"/>
          <w:bottom w:val="single" w:sz="4" w:space="1" w:color="auto"/>
          <w:right w:val="single" w:sz="4" w:space="4" w:color="auto"/>
        </w:pBdr>
        <w:rPr>
          <w:b/>
          <w:bCs/>
          <w:color w:val="002060"/>
          <w:sz w:val="20"/>
          <w:szCs w:val="20"/>
        </w:rPr>
      </w:pPr>
      <w:r w:rsidRPr="008C34C3">
        <w:rPr>
          <w:bCs/>
          <w:color w:val="002060"/>
        </w:rPr>
        <w:t xml:space="preserve"> </w:t>
      </w:r>
      <w:r w:rsidR="00052774" w:rsidRPr="008C34C3">
        <w:rPr>
          <w:b/>
          <w:bCs/>
          <w:color w:val="002060"/>
          <w:sz w:val="20"/>
          <w:szCs w:val="20"/>
        </w:rPr>
        <w:t xml:space="preserve">Q1: Please provide evidence of how placing the responsibility for the buy-in on the trading party will ensure the buy-in requirements are effectively applied. </w:t>
      </w:r>
    </w:p>
    <w:p w:rsidR="00052774" w:rsidRPr="008C34C3" w:rsidRDefault="00052774" w:rsidP="00052774">
      <w:pPr>
        <w:pStyle w:val="Default"/>
        <w:pBdr>
          <w:top w:val="single" w:sz="4" w:space="1" w:color="auto"/>
          <w:left w:val="single" w:sz="4" w:space="4" w:color="auto"/>
          <w:bottom w:val="single" w:sz="4" w:space="1" w:color="auto"/>
          <w:right w:val="single" w:sz="4" w:space="4" w:color="auto"/>
        </w:pBdr>
        <w:rPr>
          <w:b/>
          <w:bCs/>
          <w:color w:val="002060"/>
          <w:sz w:val="20"/>
          <w:szCs w:val="20"/>
        </w:rPr>
      </w:pPr>
      <w:r w:rsidRPr="008C34C3">
        <w:rPr>
          <w:b/>
          <w:bCs/>
          <w:color w:val="002060"/>
          <w:sz w:val="20"/>
          <w:szCs w:val="20"/>
        </w:rPr>
        <w:t xml:space="preserve">Please provide quantitative cost-benefit elements to sustain your arguments. </w:t>
      </w:r>
    </w:p>
    <w:p w:rsidR="003A67DC" w:rsidRPr="00052774" w:rsidRDefault="003A67DC" w:rsidP="0000019A">
      <w:pPr>
        <w:jc w:val="both"/>
        <w:rPr>
          <w:bCs/>
          <w:color w:val="000000" w:themeColor="text1"/>
        </w:rPr>
      </w:pPr>
    </w:p>
    <w:p w:rsidR="00F00AE2" w:rsidRPr="00A27494" w:rsidRDefault="00C53B48" w:rsidP="0000019A">
      <w:pPr>
        <w:jc w:val="both"/>
        <w:rPr>
          <w:color w:val="000000" w:themeColor="text1"/>
        </w:rPr>
      </w:pPr>
      <w:r w:rsidRPr="00A27494">
        <w:rPr>
          <w:color w:val="000000" w:themeColor="text1"/>
        </w:rPr>
        <w:t>The group recogni</w:t>
      </w:r>
      <w:r w:rsidR="00793D38">
        <w:rPr>
          <w:color w:val="000000" w:themeColor="text1"/>
        </w:rPr>
        <w:t>zes ESMA’s effort to support</w:t>
      </w:r>
      <w:r w:rsidRPr="00A27494">
        <w:rPr>
          <w:color w:val="000000" w:themeColor="text1"/>
        </w:rPr>
        <w:t xml:space="preserve"> settlement </w:t>
      </w:r>
      <w:r w:rsidR="000339C9" w:rsidRPr="00A27494">
        <w:rPr>
          <w:color w:val="000000" w:themeColor="text1"/>
        </w:rPr>
        <w:t>efficiency</w:t>
      </w:r>
      <w:r w:rsidRPr="00A27494">
        <w:rPr>
          <w:color w:val="000000" w:themeColor="text1"/>
        </w:rPr>
        <w:t>. In our view</w:t>
      </w:r>
      <w:r w:rsidR="00A27494">
        <w:rPr>
          <w:color w:val="000000" w:themeColor="text1"/>
        </w:rPr>
        <w:t>,</w:t>
      </w:r>
      <w:r w:rsidR="00793D38">
        <w:rPr>
          <w:color w:val="000000" w:themeColor="text1"/>
        </w:rPr>
        <w:t xml:space="preserve"> if buy-in at trading level i</w:t>
      </w:r>
      <w:r w:rsidRPr="00A27494">
        <w:rPr>
          <w:color w:val="000000" w:themeColor="text1"/>
        </w:rPr>
        <w:t xml:space="preserve">s implemented, there must be a </w:t>
      </w:r>
      <w:r w:rsidR="008B60B5">
        <w:rPr>
          <w:color w:val="000000" w:themeColor="text1"/>
        </w:rPr>
        <w:t xml:space="preserve">structured communication </w:t>
      </w:r>
      <w:r w:rsidR="00500ED7">
        <w:rPr>
          <w:color w:val="000000" w:themeColor="text1"/>
        </w:rPr>
        <w:t>which allows tracking</w:t>
      </w:r>
      <w:r w:rsidR="008B60B5">
        <w:rPr>
          <w:color w:val="000000" w:themeColor="text1"/>
        </w:rPr>
        <w:t xml:space="preserve"> any outstanding buy-in executions</w:t>
      </w:r>
      <w:r w:rsidR="002E3046">
        <w:rPr>
          <w:color w:val="000000" w:themeColor="text1"/>
        </w:rPr>
        <w:t xml:space="preserve">. </w:t>
      </w:r>
      <w:r w:rsidR="000339C9" w:rsidRPr="00A27494">
        <w:rPr>
          <w:color w:val="000000" w:themeColor="text1"/>
        </w:rPr>
        <w:t>The communication between the parties involved in the buy-</w:t>
      </w:r>
      <w:r w:rsidR="00F00AE2" w:rsidRPr="00A27494">
        <w:rPr>
          <w:color w:val="000000" w:themeColor="text1"/>
        </w:rPr>
        <w:t xml:space="preserve">in process is very important and </w:t>
      </w:r>
      <w:r w:rsidR="00BB573D">
        <w:rPr>
          <w:color w:val="000000" w:themeColor="text1"/>
        </w:rPr>
        <w:t xml:space="preserve">the </w:t>
      </w:r>
      <w:r w:rsidR="00F00AE2" w:rsidRPr="00A27494">
        <w:rPr>
          <w:color w:val="000000" w:themeColor="text1"/>
        </w:rPr>
        <w:t xml:space="preserve">lack of it </w:t>
      </w:r>
      <w:r w:rsidR="008B60B5">
        <w:rPr>
          <w:color w:val="000000" w:themeColor="text1"/>
        </w:rPr>
        <w:t>might</w:t>
      </w:r>
      <w:r w:rsidR="00F00AE2" w:rsidRPr="00A27494">
        <w:rPr>
          <w:color w:val="000000" w:themeColor="text1"/>
        </w:rPr>
        <w:t xml:space="preserve"> cause uncertainty in estimating portfolio exposure</w:t>
      </w:r>
      <w:r w:rsidR="008B60B5">
        <w:rPr>
          <w:color w:val="000000" w:themeColor="text1"/>
        </w:rPr>
        <w:t xml:space="preserve"> especially when the cash compensation is to be processed</w:t>
      </w:r>
      <w:r w:rsidR="00A27494">
        <w:rPr>
          <w:color w:val="000000" w:themeColor="text1"/>
        </w:rPr>
        <w:t>.</w:t>
      </w:r>
      <w:r w:rsidR="00F00AE2" w:rsidRPr="00A27494">
        <w:rPr>
          <w:color w:val="000000" w:themeColor="text1"/>
        </w:rPr>
        <w:t xml:space="preserve">  </w:t>
      </w:r>
      <w:r w:rsidR="004B3EEA" w:rsidRPr="00A27494">
        <w:rPr>
          <w:color w:val="000000" w:themeColor="text1"/>
        </w:rPr>
        <w:t>We support the sett</w:t>
      </w:r>
      <w:r w:rsidR="00BB573D">
        <w:rPr>
          <w:color w:val="000000" w:themeColor="text1"/>
        </w:rPr>
        <w:t xml:space="preserve">lement discipline at CCP level </w:t>
      </w:r>
      <w:r w:rsidR="004B3EEA" w:rsidRPr="00A27494">
        <w:rPr>
          <w:color w:val="000000" w:themeColor="text1"/>
        </w:rPr>
        <w:t xml:space="preserve">which in our view should </w:t>
      </w:r>
      <w:r w:rsidR="00BB573D">
        <w:rPr>
          <w:color w:val="000000" w:themeColor="text1"/>
        </w:rPr>
        <w:t xml:space="preserve">also </w:t>
      </w:r>
      <w:r w:rsidR="004B3EEA" w:rsidRPr="00A27494">
        <w:rPr>
          <w:color w:val="000000" w:themeColor="text1"/>
        </w:rPr>
        <w:t xml:space="preserve">be harmonized </w:t>
      </w:r>
      <w:r w:rsidR="00AC55BC">
        <w:rPr>
          <w:color w:val="000000" w:themeColor="text1"/>
        </w:rPr>
        <w:t>and is currently not the case.</w:t>
      </w:r>
      <w:r w:rsidR="007D1E85">
        <w:rPr>
          <w:color w:val="000000" w:themeColor="text1"/>
        </w:rPr>
        <w:t xml:space="preserve"> </w:t>
      </w:r>
      <w:r w:rsidR="00BB573D">
        <w:rPr>
          <w:color w:val="000000" w:themeColor="text1"/>
        </w:rPr>
        <w:t>We</w:t>
      </w:r>
      <w:r w:rsidR="004B3EEA" w:rsidRPr="00A27494">
        <w:rPr>
          <w:color w:val="000000" w:themeColor="text1"/>
        </w:rPr>
        <w:t xml:space="preserve"> would like to flag that a number of OTC trades can already </w:t>
      </w:r>
      <w:r w:rsidR="00793D38">
        <w:rPr>
          <w:color w:val="000000" w:themeColor="text1"/>
        </w:rPr>
        <w:t xml:space="preserve">be </w:t>
      </w:r>
      <w:r w:rsidR="004B3EEA" w:rsidRPr="00A27494">
        <w:rPr>
          <w:color w:val="000000" w:themeColor="text1"/>
        </w:rPr>
        <w:t xml:space="preserve">cleared via CCP through </w:t>
      </w:r>
      <w:r w:rsidR="00793D38">
        <w:rPr>
          <w:color w:val="000000" w:themeColor="text1"/>
        </w:rPr>
        <w:t xml:space="preserve">the </w:t>
      </w:r>
      <w:r w:rsidR="004B3EEA" w:rsidRPr="00A27494">
        <w:rPr>
          <w:color w:val="000000" w:themeColor="text1"/>
        </w:rPr>
        <w:t>block trade facility or servi</w:t>
      </w:r>
      <w:r w:rsidR="00A27494">
        <w:rPr>
          <w:color w:val="000000" w:themeColor="text1"/>
        </w:rPr>
        <w:t>ces provided by trading venues should the OTC counterparty be concerned a</w:t>
      </w:r>
      <w:r w:rsidR="00793D38">
        <w:rPr>
          <w:color w:val="000000" w:themeColor="text1"/>
        </w:rPr>
        <w:t>bout a</w:t>
      </w:r>
      <w:r w:rsidR="00A27494">
        <w:rPr>
          <w:color w:val="000000" w:themeColor="text1"/>
        </w:rPr>
        <w:t xml:space="preserve"> potential fail. </w:t>
      </w:r>
    </w:p>
    <w:p w:rsidR="000F7371" w:rsidRDefault="004B3EEA" w:rsidP="0000019A">
      <w:pPr>
        <w:jc w:val="both"/>
        <w:rPr>
          <w:color w:val="000000" w:themeColor="text1"/>
        </w:rPr>
      </w:pPr>
      <w:r w:rsidRPr="00A27494">
        <w:rPr>
          <w:color w:val="000000" w:themeColor="text1"/>
        </w:rPr>
        <w:t xml:space="preserve">We believe that the operational workload </w:t>
      </w:r>
      <w:r w:rsidR="00034251" w:rsidRPr="00A27494">
        <w:rPr>
          <w:color w:val="000000" w:themeColor="text1"/>
        </w:rPr>
        <w:t xml:space="preserve">and increased buy-in risk </w:t>
      </w:r>
      <w:r w:rsidRPr="00A27494">
        <w:rPr>
          <w:color w:val="000000" w:themeColor="text1"/>
        </w:rPr>
        <w:t xml:space="preserve">that this regulation will impose on trading parties is significant </w:t>
      </w:r>
      <w:r w:rsidR="00034251" w:rsidRPr="00A27494">
        <w:rPr>
          <w:color w:val="000000" w:themeColor="text1"/>
        </w:rPr>
        <w:t>and ES</w:t>
      </w:r>
      <w:r w:rsidR="00793D38">
        <w:rPr>
          <w:color w:val="000000" w:themeColor="text1"/>
        </w:rPr>
        <w:t>MA should not underestimate this</w:t>
      </w:r>
      <w:r w:rsidR="00034251" w:rsidRPr="00A27494">
        <w:rPr>
          <w:color w:val="000000" w:themeColor="text1"/>
        </w:rPr>
        <w:t xml:space="preserve">.  </w:t>
      </w:r>
      <w:r w:rsidR="00233B81" w:rsidRPr="00A27494">
        <w:rPr>
          <w:color w:val="000000" w:themeColor="text1"/>
        </w:rPr>
        <w:t>The group believe</w:t>
      </w:r>
      <w:r w:rsidR="006F19F2">
        <w:rPr>
          <w:color w:val="000000" w:themeColor="text1"/>
        </w:rPr>
        <w:t>s</w:t>
      </w:r>
      <w:r w:rsidR="00233B81" w:rsidRPr="00A27494">
        <w:rPr>
          <w:color w:val="000000" w:themeColor="text1"/>
        </w:rPr>
        <w:t xml:space="preserve"> that the settlement fines imposed by European </w:t>
      </w:r>
      <w:r w:rsidR="000F7371" w:rsidRPr="00A27494">
        <w:rPr>
          <w:color w:val="000000" w:themeColor="text1"/>
        </w:rPr>
        <w:t xml:space="preserve">CSDs </w:t>
      </w:r>
      <w:r w:rsidR="000F7371">
        <w:rPr>
          <w:color w:val="000000" w:themeColor="text1"/>
        </w:rPr>
        <w:t>already</w:t>
      </w:r>
      <w:r w:rsidR="00233B81" w:rsidRPr="00A27494">
        <w:rPr>
          <w:color w:val="000000" w:themeColor="text1"/>
        </w:rPr>
        <w:t xml:space="preserve"> </w:t>
      </w:r>
      <w:r w:rsidR="009323E2">
        <w:rPr>
          <w:color w:val="000000" w:themeColor="text1"/>
        </w:rPr>
        <w:t>enforc</w:t>
      </w:r>
      <w:r w:rsidR="000F7371">
        <w:rPr>
          <w:color w:val="000000" w:themeColor="text1"/>
        </w:rPr>
        <w:t xml:space="preserve">e </w:t>
      </w:r>
      <w:r w:rsidR="00A27494">
        <w:rPr>
          <w:color w:val="000000" w:themeColor="text1"/>
        </w:rPr>
        <w:t>a settlement discipline</w:t>
      </w:r>
      <w:r w:rsidR="00793D38">
        <w:rPr>
          <w:color w:val="000000" w:themeColor="text1"/>
        </w:rPr>
        <w:t xml:space="preserve"> and </w:t>
      </w:r>
      <w:r w:rsidR="000F7371">
        <w:rPr>
          <w:color w:val="000000" w:themeColor="text1"/>
        </w:rPr>
        <w:t xml:space="preserve">extending this to OTC trades could improve settlement rates without introducing significant costs and operational complexity. </w:t>
      </w:r>
    </w:p>
    <w:p w:rsidR="001D1902" w:rsidRPr="00A27494" w:rsidRDefault="00233B81" w:rsidP="0000019A">
      <w:pPr>
        <w:jc w:val="both"/>
        <w:rPr>
          <w:color w:val="000000" w:themeColor="text1"/>
        </w:rPr>
      </w:pPr>
      <w:r w:rsidRPr="00A27494">
        <w:rPr>
          <w:color w:val="000000" w:themeColor="text1"/>
        </w:rPr>
        <w:t>The group is also concerned about the lack of clarity on the proposed buy-in rules and</w:t>
      </w:r>
      <w:r w:rsidR="008B60B5">
        <w:rPr>
          <w:color w:val="000000" w:themeColor="text1"/>
        </w:rPr>
        <w:t xml:space="preserve"> not providing guidance which instruments are perceived to have a low liquidity.  </w:t>
      </w:r>
      <w:r w:rsidRPr="00A27494">
        <w:rPr>
          <w:color w:val="000000" w:themeColor="text1"/>
        </w:rPr>
        <w:t xml:space="preserve">We </w:t>
      </w:r>
      <w:r w:rsidR="001D1902" w:rsidRPr="00A27494">
        <w:rPr>
          <w:color w:val="000000" w:themeColor="text1"/>
        </w:rPr>
        <w:t xml:space="preserve">also </w:t>
      </w:r>
      <w:r w:rsidRPr="00A27494">
        <w:rPr>
          <w:color w:val="000000" w:themeColor="text1"/>
        </w:rPr>
        <w:t>believe that it is very important to consider</w:t>
      </w:r>
      <w:r w:rsidR="008B60B5">
        <w:rPr>
          <w:color w:val="000000" w:themeColor="text1"/>
        </w:rPr>
        <w:t xml:space="preserve"> not only a liquidity of a product but also</w:t>
      </w:r>
      <w:r w:rsidRPr="00A27494">
        <w:rPr>
          <w:color w:val="000000" w:themeColor="text1"/>
        </w:rPr>
        <w:t xml:space="preserve"> a product type </w:t>
      </w:r>
      <w:r w:rsidR="008B60B5">
        <w:rPr>
          <w:color w:val="000000" w:themeColor="text1"/>
        </w:rPr>
        <w:t xml:space="preserve">when deciding </w:t>
      </w:r>
      <w:r w:rsidR="00A26379">
        <w:rPr>
          <w:color w:val="000000" w:themeColor="text1"/>
        </w:rPr>
        <w:t>what extension period should be granted.</w:t>
      </w:r>
      <w:r w:rsidRPr="00A27494">
        <w:rPr>
          <w:color w:val="000000" w:themeColor="text1"/>
        </w:rPr>
        <w:t xml:space="preserve"> </w:t>
      </w:r>
      <w:r w:rsidR="001D1902" w:rsidRPr="00A27494">
        <w:rPr>
          <w:color w:val="000000" w:themeColor="text1"/>
        </w:rPr>
        <w:t xml:space="preserve">The European ETF market is very complex </w:t>
      </w:r>
      <w:r w:rsidR="00776925" w:rsidRPr="00A27494">
        <w:rPr>
          <w:color w:val="000000" w:themeColor="text1"/>
        </w:rPr>
        <w:t xml:space="preserve">and </w:t>
      </w:r>
      <w:r w:rsidR="001D1902" w:rsidRPr="00A27494">
        <w:rPr>
          <w:color w:val="000000" w:themeColor="text1"/>
        </w:rPr>
        <w:t xml:space="preserve">we believe </w:t>
      </w:r>
      <w:r w:rsidR="00776925" w:rsidRPr="00A27494">
        <w:rPr>
          <w:color w:val="000000" w:themeColor="text1"/>
        </w:rPr>
        <w:t xml:space="preserve">that </w:t>
      </w:r>
      <w:r w:rsidR="00793D38">
        <w:rPr>
          <w:color w:val="000000" w:themeColor="text1"/>
        </w:rPr>
        <w:t>ESMA should consider this</w:t>
      </w:r>
      <w:r w:rsidR="001D1902" w:rsidRPr="00A27494">
        <w:rPr>
          <w:color w:val="000000" w:themeColor="text1"/>
        </w:rPr>
        <w:t xml:space="preserve"> before trying to implement one rule that fits all. Examples of issues faced by </w:t>
      </w:r>
      <w:r w:rsidR="00A26379">
        <w:rPr>
          <w:color w:val="000000" w:themeColor="text1"/>
        </w:rPr>
        <w:t>investors and market makers</w:t>
      </w:r>
      <w:r w:rsidR="001D1902" w:rsidRPr="00A27494">
        <w:rPr>
          <w:color w:val="000000" w:themeColor="text1"/>
        </w:rPr>
        <w:t xml:space="preserve"> providing </w:t>
      </w:r>
      <w:r w:rsidR="00776925" w:rsidRPr="00A27494">
        <w:rPr>
          <w:color w:val="000000" w:themeColor="text1"/>
        </w:rPr>
        <w:t>ETFs liquidity on exchange and off exchange are listed below (the below</w:t>
      </w:r>
      <w:r w:rsidR="00A26379">
        <w:rPr>
          <w:color w:val="000000" w:themeColor="text1"/>
        </w:rPr>
        <w:t xml:space="preserve"> list</w:t>
      </w:r>
      <w:r w:rsidR="00776925" w:rsidRPr="00A27494">
        <w:rPr>
          <w:color w:val="000000" w:themeColor="text1"/>
        </w:rPr>
        <w:t xml:space="preserve"> is not exhaustive) </w:t>
      </w:r>
    </w:p>
    <w:p w:rsidR="000339C9" w:rsidRPr="00A27494" w:rsidRDefault="00F00AE2" w:rsidP="0000019A">
      <w:pPr>
        <w:jc w:val="both"/>
        <w:rPr>
          <w:color w:val="000000" w:themeColor="text1"/>
        </w:rPr>
      </w:pPr>
      <w:r w:rsidRPr="00A27494">
        <w:rPr>
          <w:color w:val="000000" w:themeColor="text1"/>
        </w:rPr>
        <w:t xml:space="preserve">  </w:t>
      </w:r>
    </w:p>
    <w:p w:rsidR="00C20866" w:rsidRDefault="008A0DD1" w:rsidP="0000019A">
      <w:pPr>
        <w:pStyle w:val="ListParagraph"/>
        <w:numPr>
          <w:ilvl w:val="0"/>
          <w:numId w:val="3"/>
        </w:numPr>
        <w:jc w:val="both"/>
        <w:rPr>
          <w:color w:val="000000" w:themeColor="text1"/>
        </w:rPr>
      </w:pPr>
      <w:r w:rsidRPr="00A27494">
        <w:rPr>
          <w:color w:val="000000" w:themeColor="text1"/>
        </w:rPr>
        <w:t xml:space="preserve">ETFs cannot be </w:t>
      </w:r>
      <w:proofErr w:type="gramStart"/>
      <w:r w:rsidRPr="00A27494">
        <w:rPr>
          <w:color w:val="000000" w:themeColor="text1"/>
        </w:rPr>
        <w:t>created/redeemed</w:t>
      </w:r>
      <w:proofErr w:type="gramEnd"/>
      <w:r w:rsidRPr="00A27494">
        <w:rPr>
          <w:color w:val="000000" w:themeColor="text1"/>
        </w:rPr>
        <w:t xml:space="preserve"> around the clock due to primary market cut off times and fund holidays caused by local bank holiday</w:t>
      </w:r>
      <w:r w:rsidR="00793D38">
        <w:rPr>
          <w:color w:val="000000" w:themeColor="text1"/>
        </w:rPr>
        <w:t>s</w:t>
      </w:r>
      <w:r w:rsidRPr="00A27494">
        <w:rPr>
          <w:color w:val="000000" w:themeColor="text1"/>
        </w:rPr>
        <w:t xml:space="preserve"> or a closure </w:t>
      </w:r>
      <w:r w:rsidR="000D7F75" w:rsidRPr="00A27494">
        <w:rPr>
          <w:color w:val="000000" w:themeColor="text1"/>
        </w:rPr>
        <w:t xml:space="preserve">of </w:t>
      </w:r>
      <w:r w:rsidRPr="00A27494">
        <w:rPr>
          <w:color w:val="000000" w:themeColor="text1"/>
        </w:rPr>
        <w:t xml:space="preserve">underlying components. In certain cases funds are closed for a number of days, e.g. Chinese Bank Holiday, Greece bailout talks. </w:t>
      </w:r>
    </w:p>
    <w:p w:rsidR="004A393C" w:rsidRPr="00A27494" w:rsidRDefault="004A393C" w:rsidP="0000019A">
      <w:pPr>
        <w:pStyle w:val="ListParagraph"/>
        <w:numPr>
          <w:ilvl w:val="0"/>
          <w:numId w:val="3"/>
        </w:numPr>
        <w:jc w:val="both"/>
        <w:rPr>
          <w:color w:val="000000" w:themeColor="text1"/>
        </w:rPr>
      </w:pPr>
      <w:r>
        <w:rPr>
          <w:color w:val="000000" w:themeColor="text1"/>
        </w:rPr>
        <w:t xml:space="preserve">ETFs tracking Indices with Asian components can </w:t>
      </w:r>
      <w:r w:rsidR="008109E8">
        <w:rPr>
          <w:color w:val="000000" w:themeColor="text1"/>
        </w:rPr>
        <w:t xml:space="preserve">only be created with an additional one day delay as Asian markets are already closed. </w:t>
      </w:r>
    </w:p>
    <w:p w:rsidR="00C20866" w:rsidRPr="00A27494" w:rsidRDefault="005275FB" w:rsidP="0000019A">
      <w:pPr>
        <w:pStyle w:val="ListParagraph"/>
        <w:numPr>
          <w:ilvl w:val="0"/>
          <w:numId w:val="3"/>
        </w:numPr>
        <w:jc w:val="both"/>
        <w:rPr>
          <w:color w:val="000000" w:themeColor="text1"/>
        </w:rPr>
      </w:pPr>
      <w:r w:rsidRPr="00A27494">
        <w:rPr>
          <w:color w:val="000000" w:themeColor="text1"/>
        </w:rPr>
        <w:t xml:space="preserve">To access the ETF primary market, the market participant needs to be approved by the ETF </w:t>
      </w:r>
      <w:r w:rsidR="00500ED7">
        <w:rPr>
          <w:color w:val="000000" w:themeColor="text1"/>
        </w:rPr>
        <w:t>issuer</w:t>
      </w:r>
      <w:r w:rsidRPr="00A27494">
        <w:rPr>
          <w:color w:val="000000" w:themeColor="text1"/>
        </w:rPr>
        <w:t xml:space="preserve"> or has to place an order via third party which is approved.  </w:t>
      </w:r>
      <w:r w:rsidR="000D7F75" w:rsidRPr="00A27494">
        <w:rPr>
          <w:color w:val="000000" w:themeColor="text1"/>
        </w:rPr>
        <w:t xml:space="preserve">This can cause natural delays. </w:t>
      </w:r>
    </w:p>
    <w:p w:rsidR="00B7201C" w:rsidRPr="00A27494" w:rsidRDefault="00B7201C" w:rsidP="0000019A">
      <w:pPr>
        <w:pStyle w:val="ListParagraph"/>
        <w:numPr>
          <w:ilvl w:val="0"/>
          <w:numId w:val="3"/>
        </w:numPr>
        <w:jc w:val="both"/>
        <w:rPr>
          <w:color w:val="000000" w:themeColor="text1"/>
        </w:rPr>
      </w:pPr>
      <w:r w:rsidRPr="00A27494">
        <w:rPr>
          <w:color w:val="000000" w:themeColor="text1"/>
        </w:rPr>
        <w:t xml:space="preserve">ETFs are listed across all European exchanges and </w:t>
      </w:r>
      <w:r w:rsidR="00A26379">
        <w:rPr>
          <w:color w:val="000000" w:themeColor="text1"/>
        </w:rPr>
        <w:t>the reposition of product between various European CSDs can be time consuming</w:t>
      </w:r>
      <w:r w:rsidRPr="00A27494">
        <w:rPr>
          <w:color w:val="000000" w:themeColor="text1"/>
        </w:rPr>
        <w:t xml:space="preserve">. The group recognizes efficiencies that T2S </w:t>
      </w:r>
      <w:r w:rsidR="000D7F75" w:rsidRPr="00A27494">
        <w:rPr>
          <w:color w:val="000000" w:themeColor="text1"/>
        </w:rPr>
        <w:t xml:space="preserve">will bring </w:t>
      </w:r>
      <w:r w:rsidR="00776925" w:rsidRPr="00A27494">
        <w:rPr>
          <w:color w:val="000000" w:themeColor="text1"/>
        </w:rPr>
        <w:t xml:space="preserve">but we </w:t>
      </w:r>
      <w:r w:rsidRPr="00A27494">
        <w:rPr>
          <w:color w:val="000000" w:themeColor="text1"/>
        </w:rPr>
        <w:t>would like to flag that not all European marke</w:t>
      </w:r>
      <w:r w:rsidR="000D7F75" w:rsidRPr="00A27494">
        <w:rPr>
          <w:color w:val="000000" w:themeColor="text1"/>
        </w:rPr>
        <w:t>ts</w:t>
      </w:r>
      <w:r w:rsidRPr="00A27494">
        <w:rPr>
          <w:color w:val="000000" w:themeColor="text1"/>
        </w:rPr>
        <w:t xml:space="preserve"> are part of T</w:t>
      </w:r>
      <w:r w:rsidR="0013218F" w:rsidRPr="00A27494">
        <w:rPr>
          <w:color w:val="000000" w:themeColor="text1"/>
        </w:rPr>
        <w:t xml:space="preserve">2S and therefore market participants will </w:t>
      </w:r>
      <w:r w:rsidR="000D7F75" w:rsidRPr="00A27494">
        <w:rPr>
          <w:color w:val="000000" w:themeColor="text1"/>
        </w:rPr>
        <w:t xml:space="preserve">continue to </w:t>
      </w:r>
      <w:r w:rsidR="0013218F" w:rsidRPr="00A27494">
        <w:rPr>
          <w:color w:val="000000" w:themeColor="text1"/>
        </w:rPr>
        <w:t>experience delays in moving shares between European CSDs</w:t>
      </w:r>
      <w:r w:rsidR="000D7F75" w:rsidRPr="00A27494">
        <w:rPr>
          <w:color w:val="000000" w:themeColor="text1"/>
        </w:rPr>
        <w:t xml:space="preserve">. </w:t>
      </w:r>
    </w:p>
    <w:p w:rsidR="00776925" w:rsidRPr="00A27494" w:rsidRDefault="00776925" w:rsidP="0000019A">
      <w:pPr>
        <w:pStyle w:val="ListParagraph"/>
        <w:jc w:val="both"/>
        <w:rPr>
          <w:bCs/>
          <w:color w:val="000000" w:themeColor="text1"/>
        </w:rPr>
      </w:pPr>
    </w:p>
    <w:p w:rsidR="00CA4C03" w:rsidRPr="00793D38" w:rsidRDefault="00793D38" w:rsidP="00793D38">
      <w:pPr>
        <w:pStyle w:val="ListParagraph"/>
        <w:numPr>
          <w:ilvl w:val="0"/>
          <w:numId w:val="3"/>
        </w:numPr>
        <w:jc w:val="both"/>
        <w:rPr>
          <w:bCs/>
          <w:color w:val="000000" w:themeColor="text1"/>
        </w:rPr>
      </w:pPr>
      <w:r>
        <w:rPr>
          <w:color w:val="000000" w:themeColor="text1"/>
        </w:rPr>
        <w:lastRenderedPageBreak/>
        <w:t>ETF</w:t>
      </w:r>
      <w:r w:rsidR="00CA4C03" w:rsidRPr="00A27494">
        <w:rPr>
          <w:color w:val="000000" w:themeColor="text1"/>
        </w:rPr>
        <w:t xml:space="preserve"> lending market is not liquid and therefore liquidity providers will be forced to </w:t>
      </w:r>
      <w:r w:rsidR="00D34367" w:rsidRPr="00A27494">
        <w:rPr>
          <w:color w:val="000000" w:themeColor="text1"/>
        </w:rPr>
        <w:t xml:space="preserve">carry larger inventory to ensure they can cover potential buy-in risk. </w:t>
      </w:r>
      <w:r w:rsidR="00863D01" w:rsidRPr="00A27494">
        <w:rPr>
          <w:color w:val="000000" w:themeColor="text1"/>
        </w:rPr>
        <w:t>This again would impact costs and</w:t>
      </w:r>
      <w:r w:rsidR="00CA4C03" w:rsidRPr="00A27494">
        <w:rPr>
          <w:color w:val="000000" w:themeColor="text1"/>
        </w:rPr>
        <w:t xml:space="preserve"> </w:t>
      </w:r>
      <w:r>
        <w:rPr>
          <w:color w:val="000000" w:themeColor="text1"/>
        </w:rPr>
        <w:t>spreads offered to</w:t>
      </w:r>
      <w:r w:rsidR="00863D01" w:rsidRPr="00793D38">
        <w:rPr>
          <w:color w:val="000000" w:themeColor="text1"/>
        </w:rPr>
        <w:t xml:space="preserve"> clients</w:t>
      </w:r>
      <w:r w:rsidRPr="00793D38">
        <w:rPr>
          <w:color w:val="000000" w:themeColor="text1"/>
        </w:rPr>
        <w:t>.</w:t>
      </w:r>
    </w:p>
    <w:p w:rsidR="008A7CD2" w:rsidRPr="00A27494" w:rsidRDefault="008A7CD2" w:rsidP="0000019A">
      <w:pPr>
        <w:pStyle w:val="ListParagraph"/>
        <w:jc w:val="both"/>
        <w:rPr>
          <w:bCs/>
          <w:color w:val="000000" w:themeColor="text1"/>
        </w:rPr>
      </w:pPr>
    </w:p>
    <w:p w:rsidR="00E10542" w:rsidRPr="00A27494" w:rsidRDefault="008A7CD2" w:rsidP="0000019A">
      <w:pPr>
        <w:pStyle w:val="ListParagraph"/>
        <w:numPr>
          <w:ilvl w:val="0"/>
          <w:numId w:val="3"/>
        </w:numPr>
        <w:jc w:val="both"/>
        <w:rPr>
          <w:bCs/>
          <w:color w:val="000000" w:themeColor="text1"/>
        </w:rPr>
      </w:pPr>
      <w:r w:rsidRPr="00A27494">
        <w:rPr>
          <w:color w:val="000000" w:themeColor="text1"/>
        </w:rPr>
        <w:t xml:space="preserve">OTC trades could be executed on the back of exchange trades and since CCPs are excluded and costs </w:t>
      </w:r>
      <w:r w:rsidR="00415467" w:rsidRPr="00A27494">
        <w:rPr>
          <w:color w:val="000000" w:themeColor="text1"/>
        </w:rPr>
        <w:t>c</w:t>
      </w:r>
      <w:r w:rsidR="00415467">
        <w:rPr>
          <w:color w:val="000000" w:themeColor="text1"/>
        </w:rPr>
        <w:t>annot</w:t>
      </w:r>
      <w:r w:rsidR="00793D38">
        <w:rPr>
          <w:color w:val="000000" w:themeColor="text1"/>
        </w:rPr>
        <w:t xml:space="preserve"> be </w:t>
      </w:r>
      <w:r w:rsidR="00D01EE4">
        <w:rPr>
          <w:color w:val="000000" w:themeColor="text1"/>
        </w:rPr>
        <w:t>passed</w:t>
      </w:r>
      <w:r w:rsidR="00793D38">
        <w:rPr>
          <w:color w:val="000000" w:themeColor="text1"/>
        </w:rPr>
        <w:t xml:space="preserve"> back to them, </w:t>
      </w:r>
      <w:r w:rsidRPr="00A27494">
        <w:rPr>
          <w:color w:val="000000" w:themeColor="text1"/>
        </w:rPr>
        <w:t xml:space="preserve">market participants will be forced to </w:t>
      </w:r>
      <w:r w:rsidR="00D01EE4">
        <w:rPr>
          <w:color w:val="000000" w:themeColor="text1"/>
        </w:rPr>
        <w:t>look for additional cover</w:t>
      </w:r>
      <w:r w:rsidRPr="00A27494">
        <w:rPr>
          <w:color w:val="000000" w:themeColor="text1"/>
        </w:rPr>
        <w:t xml:space="preserve"> if </w:t>
      </w:r>
      <w:r w:rsidR="00793D38">
        <w:rPr>
          <w:color w:val="000000" w:themeColor="text1"/>
        </w:rPr>
        <w:t xml:space="preserve">an </w:t>
      </w:r>
      <w:r w:rsidRPr="00A27494">
        <w:rPr>
          <w:color w:val="000000" w:themeColor="text1"/>
        </w:rPr>
        <w:t>exchange</w:t>
      </w:r>
      <w:r w:rsidR="00793D38">
        <w:rPr>
          <w:color w:val="000000" w:themeColor="text1"/>
        </w:rPr>
        <w:t xml:space="preserve"> trade doesn’t settle on time. A</w:t>
      </w:r>
      <w:r w:rsidRPr="00A27494">
        <w:rPr>
          <w:color w:val="000000" w:themeColor="text1"/>
        </w:rPr>
        <w:t>s explained in points a, b, c and</w:t>
      </w:r>
      <w:r w:rsidR="00793D38">
        <w:rPr>
          <w:color w:val="000000" w:themeColor="text1"/>
        </w:rPr>
        <w:t xml:space="preserve"> d this is not straight forward.</w:t>
      </w:r>
    </w:p>
    <w:p w:rsidR="008A7CD2" w:rsidRPr="00A27494" w:rsidRDefault="008A7CD2" w:rsidP="0000019A">
      <w:pPr>
        <w:jc w:val="both"/>
        <w:rPr>
          <w:bCs/>
          <w:color w:val="000000" w:themeColor="text1"/>
        </w:rPr>
      </w:pPr>
    </w:p>
    <w:p w:rsidR="008A7CD2" w:rsidRDefault="00A26379" w:rsidP="00A26379">
      <w:pPr>
        <w:jc w:val="both"/>
        <w:rPr>
          <w:bCs/>
          <w:color w:val="000000" w:themeColor="text1"/>
        </w:rPr>
      </w:pPr>
      <w:r>
        <w:rPr>
          <w:bCs/>
          <w:color w:val="000000" w:themeColor="text1"/>
        </w:rPr>
        <w:t>Investors and m</w:t>
      </w:r>
      <w:r w:rsidR="008A7CD2" w:rsidRPr="00A27494">
        <w:rPr>
          <w:bCs/>
          <w:color w:val="000000" w:themeColor="text1"/>
        </w:rPr>
        <w:t>arket participants will also carry a</w:t>
      </w:r>
      <w:r w:rsidR="00793D38">
        <w:rPr>
          <w:bCs/>
          <w:color w:val="000000" w:themeColor="text1"/>
        </w:rPr>
        <w:t xml:space="preserve"> costly burden of ensuring that</w:t>
      </w:r>
      <w:r w:rsidR="00F0025D" w:rsidRPr="00A27494">
        <w:rPr>
          <w:bCs/>
          <w:color w:val="000000" w:themeColor="text1"/>
        </w:rPr>
        <w:t xml:space="preserve"> legal agreements are revised to reflect the new regulation. </w:t>
      </w:r>
    </w:p>
    <w:p w:rsidR="009759BA" w:rsidRDefault="009759BA" w:rsidP="009759BA">
      <w:pPr>
        <w:pStyle w:val="Default"/>
        <w:rPr>
          <w:color w:val="auto"/>
          <w:sz w:val="20"/>
          <w:szCs w:val="20"/>
        </w:rPr>
      </w:pPr>
    </w:p>
    <w:p w:rsidR="009759BA" w:rsidRDefault="009759BA" w:rsidP="009759BA">
      <w:pPr>
        <w:pStyle w:val="Default"/>
        <w:rPr>
          <w:color w:val="auto"/>
          <w:sz w:val="20"/>
          <w:szCs w:val="20"/>
        </w:rPr>
      </w:pPr>
    </w:p>
    <w:p w:rsidR="009759BA" w:rsidRPr="002D47F3" w:rsidRDefault="009759BA" w:rsidP="002D47F3">
      <w:pPr>
        <w:pStyle w:val="Default"/>
        <w:pBdr>
          <w:top w:val="single" w:sz="4" w:space="0" w:color="auto"/>
          <w:left w:val="single" w:sz="4" w:space="4" w:color="auto"/>
          <w:bottom w:val="single" w:sz="4" w:space="0" w:color="auto"/>
          <w:right w:val="single" w:sz="4" w:space="4" w:color="auto"/>
        </w:pBdr>
        <w:rPr>
          <w:color w:val="002060"/>
          <w:sz w:val="20"/>
          <w:szCs w:val="20"/>
        </w:rPr>
      </w:pPr>
      <w:r w:rsidRPr="002D47F3">
        <w:rPr>
          <w:b/>
          <w:bCs/>
          <w:color w:val="002060"/>
          <w:sz w:val="20"/>
          <w:szCs w:val="20"/>
        </w:rPr>
        <w:t xml:space="preserve">Q2: Please indicate whether the assumption that the trading party has all the information required to apply the buy in would be correct, in particular in cases where the fail does not originate from the trading party, but would rather be due to a lack of securities held by one of the intermediaries within the chain. </w:t>
      </w:r>
    </w:p>
    <w:p w:rsidR="009759BA" w:rsidRDefault="009759BA" w:rsidP="0000019A">
      <w:pPr>
        <w:jc w:val="both"/>
        <w:rPr>
          <w:b/>
          <w:bCs/>
          <w:color w:val="000000" w:themeColor="text1"/>
        </w:rPr>
      </w:pPr>
    </w:p>
    <w:p w:rsidR="00D2214A" w:rsidRPr="00D2214A" w:rsidRDefault="00382298" w:rsidP="00D2214A">
      <w:pPr>
        <w:jc w:val="both"/>
        <w:rPr>
          <w:bCs/>
          <w:color w:val="000000" w:themeColor="text1"/>
        </w:rPr>
      </w:pPr>
      <w:r>
        <w:rPr>
          <w:bCs/>
          <w:color w:val="000000" w:themeColor="text1"/>
        </w:rPr>
        <w:t xml:space="preserve">The ETF </w:t>
      </w:r>
      <w:r w:rsidR="00027E8A" w:rsidRPr="00DF7037">
        <w:rPr>
          <w:bCs/>
          <w:color w:val="000000" w:themeColor="text1"/>
        </w:rPr>
        <w:t xml:space="preserve">market relies on </w:t>
      </w:r>
      <w:r w:rsidR="009A799E">
        <w:rPr>
          <w:bCs/>
          <w:color w:val="000000" w:themeColor="text1"/>
        </w:rPr>
        <w:t xml:space="preserve">a </w:t>
      </w:r>
      <w:r w:rsidR="00027E8A" w:rsidRPr="00DF7037">
        <w:rPr>
          <w:bCs/>
          <w:color w:val="000000" w:themeColor="text1"/>
        </w:rPr>
        <w:t>number of parties such as ETF Providers, C</w:t>
      </w:r>
      <w:r w:rsidR="00D34367" w:rsidRPr="00DF7037">
        <w:rPr>
          <w:bCs/>
          <w:color w:val="000000" w:themeColor="text1"/>
        </w:rPr>
        <w:t>CPs, market maker</w:t>
      </w:r>
      <w:r w:rsidR="001025FA">
        <w:rPr>
          <w:bCs/>
          <w:color w:val="000000" w:themeColor="text1"/>
        </w:rPr>
        <w:t>s</w:t>
      </w:r>
      <w:r w:rsidR="00D34367" w:rsidRPr="00DF7037">
        <w:rPr>
          <w:bCs/>
          <w:color w:val="000000" w:themeColor="text1"/>
        </w:rPr>
        <w:t>, local agents, brokers</w:t>
      </w:r>
      <w:r w:rsidR="00552B8F" w:rsidRPr="00DF7037">
        <w:rPr>
          <w:bCs/>
          <w:color w:val="000000" w:themeColor="text1"/>
        </w:rPr>
        <w:t>, official liquidity providers</w:t>
      </w:r>
      <w:r w:rsidR="00D34367" w:rsidRPr="00DF7037">
        <w:rPr>
          <w:bCs/>
          <w:color w:val="000000" w:themeColor="text1"/>
        </w:rPr>
        <w:t xml:space="preserve"> </w:t>
      </w:r>
      <w:r w:rsidR="00027E8A" w:rsidRPr="00DF7037">
        <w:rPr>
          <w:bCs/>
          <w:color w:val="000000" w:themeColor="text1"/>
        </w:rPr>
        <w:t xml:space="preserve">and CSDs. </w:t>
      </w:r>
      <w:r w:rsidR="00D2214A" w:rsidRPr="00D2214A">
        <w:rPr>
          <w:bCs/>
          <w:color w:val="000000" w:themeColor="text1"/>
        </w:rPr>
        <w:t xml:space="preserve">The below points aim to summarize the ETF structure and justify the need for a seven day extension for ETF products in order to protect ETF </w:t>
      </w:r>
      <w:r w:rsidR="00D2214A">
        <w:rPr>
          <w:bCs/>
          <w:color w:val="000000" w:themeColor="text1"/>
        </w:rPr>
        <w:t xml:space="preserve">market </w:t>
      </w:r>
      <w:r w:rsidR="00D2214A" w:rsidRPr="00D2214A">
        <w:rPr>
          <w:bCs/>
          <w:color w:val="000000" w:themeColor="text1"/>
        </w:rPr>
        <w:t>liquidity and ETF investors.</w:t>
      </w:r>
    </w:p>
    <w:p w:rsidR="00636C50" w:rsidRPr="003F0433" w:rsidRDefault="00F41349" w:rsidP="003F0433">
      <w:pPr>
        <w:pStyle w:val="ListParagraph"/>
        <w:numPr>
          <w:ilvl w:val="0"/>
          <w:numId w:val="6"/>
        </w:numPr>
        <w:jc w:val="both"/>
        <w:rPr>
          <w:bCs/>
          <w:color w:val="000000" w:themeColor="text1"/>
        </w:rPr>
      </w:pPr>
      <w:r w:rsidRPr="003F0433">
        <w:rPr>
          <w:bCs/>
          <w:color w:val="000000" w:themeColor="text1"/>
        </w:rPr>
        <w:t>ETF</w:t>
      </w:r>
      <w:r w:rsidR="00636C50" w:rsidRPr="003F0433">
        <w:rPr>
          <w:bCs/>
          <w:color w:val="000000" w:themeColor="text1"/>
        </w:rPr>
        <w:t>s</w:t>
      </w:r>
      <w:r w:rsidRPr="003F0433">
        <w:rPr>
          <w:bCs/>
          <w:color w:val="000000" w:themeColor="text1"/>
        </w:rPr>
        <w:t xml:space="preserve"> </w:t>
      </w:r>
      <w:proofErr w:type="gramStart"/>
      <w:r w:rsidRPr="003F0433">
        <w:rPr>
          <w:bCs/>
          <w:color w:val="000000" w:themeColor="text1"/>
        </w:rPr>
        <w:t>issuers</w:t>
      </w:r>
      <w:proofErr w:type="gramEnd"/>
      <w:r w:rsidRPr="003F0433">
        <w:rPr>
          <w:bCs/>
          <w:color w:val="000000" w:themeColor="text1"/>
        </w:rPr>
        <w:t xml:space="preserve"> set-up ETFs tracking various benchmarks.</w:t>
      </w:r>
    </w:p>
    <w:p w:rsidR="00636C50" w:rsidRPr="00636C50" w:rsidRDefault="00382298" w:rsidP="00636C50">
      <w:pPr>
        <w:pStyle w:val="ListParagraph"/>
        <w:numPr>
          <w:ilvl w:val="0"/>
          <w:numId w:val="6"/>
        </w:numPr>
        <w:jc w:val="both"/>
        <w:rPr>
          <w:bCs/>
          <w:color w:val="000000" w:themeColor="text1"/>
        </w:rPr>
      </w:pPr>
      <w:r w:rsidRPr="00F41349">
        <w:rPr>
          <w:bCs/>
          <w:color w:val="000000" w:themeColor="text1"/>
        </w:rPr>
        <w:t xml:space="preserve">ETF </w:t>
      </w:r>
      <w:r w:rsidR="00F41349">
        <w:rPr>
          <w:bCs/>
          <w:color w:val="000000" w:themeColor="text1"/>
        </w:rPr>
        <w:t>can hold stocks, bonds, commodities, currencies or be based on the swap.</w:t>
      </w:r>
    </w:p>
    <w:p w:rsidR="00F41349" w:rsidRDefault="00F41349" w:rsidP="00F41349">
      <w:pPr>
        <w:pStyle w:val="ListParagraph"/>
        <w:numPr>
          <w:ilvl w:val="0"/>
          <w:numId w:val="6"/>
        </w:numPr>
        <w:jc w:val="both"/>
        <w:rPr>
          <w:bCs/>
          <w:color w:val="000000" w:themeColor="text1"/>
        </w:rPr>
      </w:pPr>
      <w:r>
        <w:rPr>
          <w:bCs/>
          <w:color w:val="000000" w:themeColor="text1"/>
        </w:rPr>
        <w:t xml:space="preserve">The underlying asset (basket of securities/cash) must be traded and delivered to the </w:t>
      </w:r>
      <w:r w:rsidR="00382298" w:rsidRPr="00F41349">
        <w:rPr>
          <w:bCs/>
          <w:color w:val="000000" w:themeColor="text1"/>
        </w:rPr>
        <w:t>ETF issuer</w:t>
      </w:r>
      <w:r>
        <w:rPr>
          <w:bCs/>
          <w:color w:val="000000" w:themeColor="text1"/>
        </w:rPr>
        <w:t xml:space="preserve"> </w:t>
      </w:r>
      <w:r w:rsidR="00382298" w:rsidRPr="00F41349">
        <w:rPr>
          <w:bCs/>
          <w:color w:val="000000" w:themeColor="text1"/>
        </w:rPr>
        <w:t>before new ETFs units are issued in the primary market</w:t>
      </w:r>
      <w:r>
        <w:rPr>
          <w:bCs/>
          <w:color w:val="000000" w:themeColor="text1"/>
        </w:rPr>
        <w:t>.</w:t>
      </w:r>
    </w:p>
    <w:p w:rsidR="00F41349" w:rsidRDefault="00F41349" w:rsidP="00F41349">
      <w:pPr>
        <w:pStyle w:val="ListParagraph"/>
        <w:numPr>
          <w:ilvl w:val="0"/>
          <w:numId w:val="6"/>
        </w:numPr>
        <w:jc w:val="both"/>
        <w:rPr>
          <w:bCs/>
          <w:color w:val="000000" w:themeColor="text1"/>
        </w:rPr>
      </w:pPr>
      <w:r>
        <w:rPr>
          <w:bCs/>
          <w:color w:val="000000" w:themeColor="text1"/>
        </w:rPr>
        <w:t>The secondary market trades, executed on-exchange and off-exchange, can settle when there is enough shares in circulation.</w:t>
      </w:r>
    </w:p>
    <w:p w:rsidR="00F41349" w:rsidRDefault="00F41349" w:rsidP="00F41349">
      <w:pPr>
        <w:pStyle w:val="ListParagraph"/>
        <w:numPr>
          <w:ilvl w:val="0"/>
          <w:numId w:val="6"/>
        </w:numPr>
        <w:jc w:val="both"/>
        <w:rPr>
          <w:bCs/>
          <w:color w:val="000000" w:themeColor="text1"/>
        </w:rPr>
      </w:pPr>
      <w:r>
        <w:rPr>
          <w:bCs/>
          <w:color w:val="000000" w:themeColor="text1"/>
        </w:rPr>
        <w:t>O</w:t>
      </w:r>
      <w:r w:rsidR="00382298" w:rsidRPr="00F41349">
        <w:rPr>
          <w:bCs/>
          <w:color w:val="000000" w:themeColor="text1"/>
        </w:rPr>
        <w:t>n average it takes between two to three days</w:t>
      </w:r>
      <w:r w:rsidR="00120E00" w:rsidRPr="00F41349">
        <w:rPr>
          <w:bCs/>
          <w:color w:val="000000" w:themeColor="text1"/>
        </w:rPr>
        <w:t xml:space="preserve"> to settle the</w:t>
      </w:r>
      <w:r w:rsidR="00382298" w:rsidRPr="00F41349">
        <w:rPr>
          <w:bCs/>
          <w:color w:val="000000" w:themeColor="text1"/>
        </w:rPr>
        <w:t xml:space="preserve"> primary market</w:t>
      </w:r>
      <w:r>
        <w:rPr>
          <w:bCs/>
          <w:color w:val="000000" w:themeColor="text1"/>
        </w:rPr>
        <w:t xml:space="preserve"> order.</w:t>
      </w:r>
    </w:p>
    <w:p w:rsidR="00F41349" w:rsidRDefault="00120E00" w:rsidP="00F41349">
      <w:pPr>
        <w:pStyle w:val="ListParagraph"/>
        <w:numPr>
          <w:ilvl w:val="0"/>
          <w:numId w:val="6"/>
        </w:numPr>
        <w:jc w:val="both"/>
        <w:rPr>
          <w:bCs/>
          <w:color w:val="000000" w:themeColor="text1"/>
        </w:rPr>
      </w:pPr>
      <w:r w:rsidRPr="00F41349">
        <w:rPr>
          <w:bCs/>
          <w:color w:val="000000" w:themeColor="text1"/>
        </w:rPr>
        <w:t>Only</w:t>
      </w:r>
      <w:r w:rsidR="00382298" w:rsidRPr="00F41349">
        <w:rPr>
          <w:bCs/>
          <w:color w:val="000000" w:themeColor="text1"/>
        </w:rPr>
        <w:t xml:space="preserve"> authorized participants</w:t>
      </w:r>
      <w:r w:rsidRPr="00F41349">
        <w:rPr>
          <w:bCs/>
          <w:color w:val="000000" w:themeColor="text1"/>
        </w:rPr>
        <w:t xml:space="preserve"> (AP)</w:t>
      </w:r>
      <w:r w:rsidR="00382298" w:rsidRPr="00F41349">
        <w:rPr>
          <w:bCs/>
          <w:color w:val="000000" w:themeColor="text1"/>
        </w:rPr>
        <w:t>, such as market makers and banks can enter into agreements with the ETFs issuers, which gives them a direct access to create a</w:t>
      </w:r>
      <w:r w:rsidRPr="00F41349">
        <w:rPr>
          <w:bCs/>
          <w:color w:val="000000" w:themeColor="text1"/>
        </w:rPr>
        <w:t>nd redeem ETF units</w:t>
      </w:r>
      <w:r w:rsidR="00F41349">
        <w:rPr>
          <w:bCs/>
          <w:color w:val="000000" w:themeColor="text1"/>
        </w:rPr>
        <w:t>.</w:t>
      </w:r>
    </w:p>
    <w:p w:rsidR="00F41349" w:rsidRDefault="009A799E" w:rsidP="00F41349">
      <w:pPr>
        <w:pStyle w:val="ListParagraph"/>
        <w:numPr>
          <w:ilvl w:val="0"/>
          <w:numId w:val="6"/>
        </w:numPr>
        <w:jc w:val="both"/>
        <w:rPr>
          <w:bCs/>
          <w:color w:val="000000" w:themeColor="text1"/>
        </w:rPr>
      </w:pPr>
      <w:r>
        <w:rPr>
          <w:bCs/>
          <w:color w:val="000000" w:themeColor="text1"/>
        </w:rPr>
        <w:t>The majority</w:t>
      </w:r>
      <w:r w:rsidR="00120E00" w:rsidRPr="00F41349">
        <w:rPr>
          <w:bCs/>
          <w:color w:val="000000" w:themeColor="text1"/>
        </w:rPr>
        <w:t xml:space="preserve"> of European ETFs </w:t>
      </w:r>
      <w:r>
        <w:rPr>
          <w:bCs/>
          <w:color w:val="000000" w:themeColor="text1"/>
        </w:rPr>
        <w:t xml:space="preserve">are </w:t>
      </w:r>
      <w:proofErr w:type="gramStart"/>
      <w:r w:rsidR="00120E00" w:rsidRPr="00F41349">
        <w:rPr>
          <w:bCs/>
          <w:color w:val="000000" w:themeColor="text1"/>
        </w:rPr>
        <w:t>cross</w:t>
      </w:r>
      <w:proofErr w:type="gramEnd"/>
      <w:r w:rsidR="00120E00" w:rsidRPr="00F41349">
        <w:rPr>
          <w:bCs/>
          <w:color w:val="000000" w:themeColor="text1"/>
        </w:rPr>
        <w:t xml:space="preserve"> listed on </w:t>
      </w:r>
      <w:r>
        <w:rPr>
          <w:bCs/>
          <w:color w:val="000000" w:themeColor="text1"/>
        </w:rPr>
        <w:t xml:space="preserve">other </w:t>
      </w:r>
      <w:r w:rsidR="00120E00" w:rsidRPr="00F41349">
        <w:rPr>
          <w:bCs/>
          <w:color w:val="000000" w:themeColor="text1"/>
        </w:rPr>
        <w:t>European exchanges and trading venues</w:t>
      </w:r>
      <w:r w:rsidR="00F41349">
        <w:rPr>
          <w:bCs/>
          <w:color w:val="000000" w:themeColor="text1"/>
        </w:rPr>
        <w:t>.</w:t>
      </w:r>
    </w:p>
    <w:p w:rsidR="00F41349" w:rsidRDefault="00F41349" w:rsidP="00F41349">
      <w:pPr>
        <w:pStyle w:val="ListParagraph"/>
        <w:numPr>
          <w:ilvl w:val="0"/>
          <w:numId w:val="6"/>
        </w:numPr>
        <w:jc w:val="both"/>
        <w:rPr>
          <w:bCs/>
          <w:color w:val="000000" w:themeColor="text1"/>
        </w:rPr>
      </w:pPr>
      <w:r>
        <w:rPr>
          <w:bCs/>
          <w:color w:val="000000" w:themeColor="text1"/>
        </w:rPr>
        <w:t>It takes between two to three days to move shares between various CSDs.</w:t>
      </w:r>
    </w:p>
    <w:p w:rsidR="00F41349" w:rsidRDefault="00F41349" w:rsidP="00F41349">
      <w:pPr>
        <w:pStyle w:val="ListParagraph"/>
        <w:numPr>
          <w:ilvl w:val="0"/>
          <w:numId w:val="6"/>
        </w:numPr>
        <w:jc w:val="both"/>
        <w:rPr>
          <w:bCs/>
          <w:color w:val="000000" w:themeColor="text1"/>
        </w:rPr>
      </w:pPr>
      <w:r>
        <w:rPr>
          <w:bCs/>
          <w:color w:val="000000" w:themeColor="text1"/>
        </w:rPr>
        <w:t>ETFs cannot be borrowed as easily as stocks and bonds and lending pools remain quite low.</w:t>
      </w:r>
    </w:p>
    <w:p w:rsidR="00636C50" w:rsidRDefault="00636C50" w:rsidP="00F41349">
      <w:pPr>
        <w:pStyle w:val="ListParagraph"/>
        <w:numPr>
          <w:ilvl w:val="0"/>
          <w:numId w:val="6"/>
        </w:numPr>
        <w:jc w:val="both"/>
        <w:rPr>
          <w:bCs/>
          <w:color w:val="000000" w:themeColor="text1"/>
        </w:rPr>
      </w:pPr>
      <w:r>
        <w:rPr>
          <w:bCs/>
          <w:color w:val="000000" w:themeColor="text1"/>
        </w:rPr>
        <w:t xml:space="preserve">ETFs offer investors the ability to assemble a low cost portfolio and are the fast growing market </w:t>
      </w:r>
    </w:p>
    <w:p w:rsidR="00022141" w:rsidRDefault="00022141" w:rsidP="0096511D">
      <w:pPr>
        <w:jc w:val="both"/>
        <w:rPr>
          <w:bCs/>
          <w:color w:val="000000" w:themeColor="text1"/>
        </w:rPr>
      </w:pPr>
    </w:p>
    <w:p w:rsidR="008F37CD" w:rsidRPr="008F37CD" w:rsidRDefault="008F37CD" w:rsidP="0096511D">
      <w:pPr>
        <w:jc w:val="both"/>
        <w:rPr>
          <w:bCs/>
          <w:color w:val="000000" w:themeColor="text1"/>
        </w:rPr>
      </w:pPr>
      <w:r w:rsidRPr="008F37CD">
        <w:rPr>
          <w:bCs/>
          <w:color w:val="000000" w:themeColor="text1"/>
        </w:rPr>
        <w:t>Based on the information published by ECSDA it is difficult to estimate the fail ratio on ETFs compared to other classes as not all European CSDs publish the fail data for this asset type. In the context of a data-</w:t>
      </w:r>
      <w:r w:rsidRPr="008F37CD">
        <w:rPr>
          <w:bCs/>
          <w:color w:val="000000" w:themeColor="text1"/>
        </w:rPr>
        <w:lastRenderedPageBreak/>
        <w:t>gathering exercise on fails perfor</w:t>
      </w:r>
      <w:r w:rsidR="0096511D">
        <w:rPr>
          <w:bCs/>
          <w:color w:val="000000" w:themeColor="text1"/>
        </w:rPr>
        <w:t xml:space="preserve">med in February 2015 by ECSDA, </w:t>
      </w:r>
      <w:r w:rsidRPr="008F37CD">
        <w:rPr>
          <w:bCs/>
          <w:color w:val="000000" w:themeColor="text1"/>
        </w:rPr>
        <w:t>only three CSDs provided separate figures for ETFs, which suggests that the fail rate for ETFs is higher than that of equities. We understand that the sample of CSDs is too small to fully estimate the ETFs fail ratio at European level.</w:t>
      </w:r>
    </w:p>
    <w:p w:rsidR="0096511D" w:rsidRDefault="004058F3" w:rsidP="0096511D">
      <w:pPr>
        <w:jc w:val="both"/>
        <w:rPr>
          <w:bCs/>
          <w:color w:val="000000" w:themeColor="text1"/>
        </w:rPr>
      </w:pPr>
      <w:r>
        <w:rPr>
          <w:color w:val="000000"/>
        </w:rPr>
        <w:t>We have also gathered feedback from a number of ETF market makers who confirmed that the fragmentation of the ETF market affects settlement ratios on their side and they believe this should be taken into account by giving a seven day extension for the whole ETF universe.</w:t>
      </w:r>
    </w:p>
    <w:p w:rsidR="00E26EE8" w:rsidRPr="00DF7037" w:rsidRDefault="00F41349" w:rsidP="0000019A">
      <w:pPr>
        <w:jc w:val="both"/>
        <w:rPr>
          <w:bCs/>
          <w:color w:val="000000" w:themeColor="text1"/>
        </w:rPr>
      </w:pPr>
      <w:r>
        <w:rPr>
          <w:bCs/>
          <w:color w:val="000000" w:themeColor="text1"/>
        </w:rPr>
        <w:t>We agree that a</w:t>
      </w:r>
      <w:r w:rsidR="001025FA">
        <w:rPr>
          <w:bCs/>
          <w:color w:val="000000" w:themeColor="text1"/>
        </w:rPr>
        <w:t xml:space="preserve"> t</w:t>
      </w:r>
      <w:r w:rsidR="00552B8F" w:rsidRPr="00DF7037">
        <w:rPr>
          <w:bCs/>
          <w:color w:val="000000" w:themeColor="text1"/>
        </w:rPr>
        <w:t xml:space="preserve">rading party will know the counterparty it </w:t>
      </w:r>
      <w:r w:rsidR="001025FA">
        <w:rPr>
          <w:bCs/>
          <w:color w:val="000000" w:themeColor="text1"/>
        </w:rPr>
        <w:t>has dealt with but will</w:t>
      </w:r>
      <w:r w:rsidR="00DF7037">
        <w:rPr>
          <w:bCs/>
          <w:color w:val="000000" w:themeColor="text1"/>
        </w:rPr>
        <w:t xml:space="preserve"> not always</w:t>
      </w:r>
      <w:r w:rsidR="00552B8F" w:rsidRPr="00DF7037">
        <w:rPr>
          <w:bCs/>
          <w:color w:val="000000" w:themeColor="text1"/>
        </w:rPr>
        <w:t xml:space="preserve"> know who is on the back of that trade</w:t>
      </w:r>
      <w:r w:rsidR="001025FA">
        <w:rPr>
          <w:bCs/>
          <w:color w:val="000000" w:themeColor="text1"/>
        </w:rPr>
        <w:t>,</w:t>
      </w:r>
      <w:r w:rsidR="00552B8F" w:rsidRPr="00DF7037">
        <w:rPr>
          <w:bCs/>
          <w:color w:val="000000" w:themeColor="text1"/>
        </w:rPr>
        <w:t xml:space="preserve"> e.g. CCP.  </w:t>
      </w:r>
      <w:r w:rsidR="00E26EE8" w:rsidRPr="00DF7037">
        <w:rPr>
          <w:bCs/>
          <w:color w:val="000000" w:themeColor="text1"/>
        </w:rPr>
        <w:t xml:space="preserve">In our view it is very important to consider the linked transactions taking place in the ETF space as not taking </w:t>
      </w:r>
      <w:r w:rsidR="0029481B">
        <w:rPr>
          <w:bCs/>
          <w:color w:val="000000" w:themeColor="text1"/>
        </w:rPr>
        <w:t>this</w:t>
      </w:r>
      <w:r w:rsidR="00DF7037">
        <w:rPr>
          <w:bCs/>
          <w:color w:val="000000" w:themeColor="text1"/>
        </w:rPr>
        <w:t xml:space="preserve"> into account will harm</w:t>
      </w:r>
      <w:r w:rsidR="00E26EE8" w:rsidRPr="00DF7037">
        <w:rPr>
          <w:bCs/>
          <w:color w:val="000000" w:themeColor="text1"/>
        </w:rPr>
        <w:t xml:space="preserve"> liquidity and spreads. </w:t>
      </w:r>
    </w:p>
    <w:p w:rsidR="00552B8F" w:rsidRDefault="00552B8F" w:rsidP="0000019A">
      <w:pPr>
        <w:jc w:val="both"/>
        <w:rPr>
          <w:bCs/>
          <w:color w:val="000000" w:themeColor="text1"/>
        </w:rPr>
      </w:pPr>
      <w:r w:rsidRPr="00DF7037">
        <w:rPr>
          <w:bCs/>
          <w:color w:val="000000" w:themeColor="text1"/>
        </w:rPr>
        <w:t xml:space="preserve">The below scenarios summarize </w:t>
      </w:r>
      <w:r w:rsidR="00E26EE8" w:rsidRPr="00DF7037">
        <w:rPr>
          <w:bCs/>
          <w:color w:val="000000" w:themeColor="text1"/>
        </w:rPr>
        <w:t xml:space="preserve">the type of linked transactions that ETF market participants deal with. </w:t>
      </w:r>
    </w:p>
    <w:p w:rsidR="00550EFB" w:rsidRPr="00DF7037" w:rsidRDefault="00550EFB" w:rsidP="0000019A">
      <w:pPr>
        <w:jc w:val="both"/>
        <w:rPr>
          <w:bCs/>
          <w:color w:val="000000" w:themeColor="text1"/>
        </w:rPr>
      </w:pPr>
    </w:p>
    <w:p w:rsidR="00552B8F" w:rsidRPr="00DF7037" w:rsidRDefault="00FE24E7" w:rsidP="0000019A">
      <w:pPr>
        <w:pStyle w:val="ListParagraph"/>
        <w:numPr>
          <w:ilvl w:val="0"/>
          <w:numId w:val="4"/>
        </w:numPr>
        <w:jc w:val="both"/>
        <w:rPr>
          <w:bCs/>
          <w:color w:val="000000" w:themeColor="text1"/>
        </w:rPr>
      </w:pPr>
      <w:r>
        <w:rPr>
          <w:bCs/>
          <w:color w:val="000000" w:themeColor="text1"/>
        </w:rPr>
        <w:t>M</w:t>
      </w:r>
      <w:r w:rsidR="00500ED7">
        <w:rPr>
          <w:bCs/>
          <w:color w:val="000000" w:themeColor="text1"/>
        </w:rPr>
        <w:t>arket maker (MM)</w:t>
      </w:r>
      <w:r>
        <w:rPr>
          <w:bCs/>
          <w:color w:val="000000" w:themeColor="text1"/>
        </w:rPr>
        <w:t xml:space="preserve"> bought shares from </w:t>
      </w:r>
      <w:r w:rsidR="009A799E">
        <w:rPr>
          <w:bCs/>
          <w:color w:val="000000" w:themeColor="text1"/>
        </w:rPr>
        <w:t xml:space="preserve">an </w:t>
      </w:r>
      <w:r>
        <w:rPr>
          <w:bCs/>
          <w:color w:val="000000" w:themeColor="text1"/>
        </w:rPr>
        <w:t>exch</w:t>
      </w:r>
      <w:r w:rsidR="004912A0">
        <w:rPr>
          <w:bCs/>
          <w:color w:val="000000" w:themeColor="text1"/>
        </w:rPr>
        <w:t xml:space="preserve">ange and sells them to an investor </w:t>
      </w:r>
      <w:r>
        <w:rPr>
          <w:bCs/>
          <w:color w:val="000000" w:themeColor="text1"/>
        </w:rPr>
        <w:t xml:space="preserve">a day later. If </w:t>
      </w:r>
      <w:r w:rsidR="001025FA">
        <w:rPr>
          <w:bCs/>
          <w:color w:val="000000" w:themeColor="text1"/>
        </w:rPr>
        <w:t xml:space="preserve">the </w:t>
      </w:r>
      <w:r w:rsidR="00DF7037" w:rsidRPr="00DF7037">
        <w:rPr>
          <w:bCs/>
          <w:color w:val="000000" w:themeColor="text1"/>
        </w:rPr>
        <w:t xml:space="preserve">CCP does not deliver </w:t>
      </w:r>
      <w:r>
        <w:rPr>
          <w:bCs/>
          <w:color w:val="000000" w:themeColor="text1"/>
        </w:rPr>
        <w:t xml:space="preserve">the </w:t>
      </w:r>
      <w:r w:rsidR="00DF7037" w:rsidRPr="00DF7037">
        <w:rPr>
          <w:bCs/>
          <w:color w:val="000000" w:themeColor="text1"/>
        </w:rPr>
        <w:t>shares on time, which is possible as n</w:t>
      </w:r>
      <w:r w:rsidR="001025FA">
        <w:rPr>
          <w:bCs/>
          <w:color w:val="000000" w:themeColor="text1"/>
        </w:rPr>
        <w:t>ot all buy-</w:t>
      </w:r>
      <w:r w:rsidR="00DF7037" w:rsidRPr="00DF7037">
        <w:rPr>
          <w:bCs/>
          <w:color w:val="000000" w:themeColor="text1"/>
        </w:rPr>
        <w:t xml:space="preserve">ins are executed on </w:t>
      </w:r>
      <w:r w:rsidR="001025FA">
        <w:rPr>
          <w:bCs/>
          <w:color w:val="000000" w:themeColor="text1"/>
        </w:rPr>
        <w:t xml:space="preserve">S+4, then </w:t>
      </w:r>
      <w:r w:rsidR="00343741">
        <w:rPr>
          <w:bCs/>
          <w:color w:val="000000" w:themeColor="text1"/>
        </w:rPr>
        <w:t xml:space="preserve">investor </w:t>
      </w:r>
      <w:r w:rsidR="001025FA">
        <w:rPr>
          <w:bCs/>
          <w:color w:val="000000" w:themeColor="text1"/>
        </w:rPr>
        <w:t>would issue the</w:t>
      </w:r>
      <w:r w:rsidR="00DF7037" w:rsidRPr="00DF7037">
        <w:rPr>
          <w:bCs/>
          <w:color w:val="000000" w:themeColor="text1"/>
        </w:rPr>
        <w:t xml:space="preserve"> MM with a buy in notice.  MM would be therefore</w:t>
      </w:r>
      <w:r>
        <w:rPr>
          <w:bCs/>
          <w:color w:val="000000" w:themeColor="text1"/>
        </w:rPr>
        <w:t xml:space="preserve"> penalized</w:t>
      </w:r>
      <w:r w:rsidR="00DF7037" w:rsidRPr="00DF7037">
        <w:rPr>
          <w:bCs/>
          <w:color w:val="000000" w:themeColor="text1"/>
        </w:rPr>
        <w:t xml:space="preserve"> if the buy</w:t>
      </w:r>
      <w:r w:rsidR="001025FA">
        <w:rPr>
          <w:bCs/>
          <w:color w:val="000000" w:themeColor="text1"/>
        </w:rPr>
        <w:t>-</w:t>
      </w:r>
      <w:r w:rsidR="00DF7037" w:rsidRPr="00DF7037">
        <w:rPr>
          <w:bCs/>
          <w:color w:val="000000" w:themeColor="text1"/>
        </w:rPr>
        <w:t xml:space="preserve">in was executed and would need to look </w:t>
      </w:r>
      <w:r>
        <w:rPr>
          <w:bCs/>
          <w:color w:val="000000" w:themeColor="text1"/>
        </w:rPr>
        <w:t>for additional</w:t>
      </w:r>
      <w:r w:rsidR="003D0212">
        <w:rPr>
          <w:bCs/>
          <w:color w:val="000000" w:themeColor="text1"/>
        </w:rPr>
        <w:t xml:space="preserve"> cover</w:t>
      </w:r>
      <w:r w:rsidR="00DF7037" w:rsidRPr="00DF7037">
        <w:rPr>
          <w:bCs/>
          <w:color w:val="000000" w:themeColor="text1"/>
        </w:rPr>
        <w:t xml:space="preserve"> </w:t>
      </w:r>
      <w:r w:rsidR="00DF7037">
        <w:rPr>
          <w:bCs/>
          <w:color w:val="000000" w:themeColor="text1"/>
        </w:rPr>
        <w:t xml:space="preserve">which as explained </w:t>
      </w:r>
      <w:r w:rsidR="00500ED7">
        <w:rPr>
          <w:bCs/>
          <w:color w:val="000000" w:themeColor="text1"/>
        </w:rPr>
        <w:t>earlier</w:t>
      </w:r>
      <w:r w:rsidR="00DF7037">
        <w:rPr>
          <w:bCs/>
          <w:color w:val="000000" w:themeColor="text1"/>
        </w:rPr>
        <w:t xml:space="preserve"> is not always possible. </w:t>
      </w:r>
      <w:r w:rsidR="00CD2FA8">
        <w:rPr>
          <w:bCs/>
          <w:color w:val="000000" w:themeColor="text1"/>
        </w:rPr>
        <w:t>In our view the exclusion of CCPs from this process will further f</w:t>
      </w:r>
      <w:r w:rsidR="00500ED7">
        <w:rPr>
          <w:bCs/>
          <w:color w:val="000000" w:themeColor="text1"/>
        </w:rPr>
        <w:t>ragment the settlement process and impose costly burden on liquidity providers.</w:t>
      </w:r>
    </w:p>
    <w:p w:rsidR="00027E8A" w:rsidRDefault="00027E8A" w:rsidP="0000019A">
      <w:pPr>
        <w:pStyle w:val="ListParagraph"/>
        <w:jc w:val="both"/>
        <w:rPr>
          <w:bCs/>
          <w:color w:val="1F497D"/>
        </w:rPr>
      </w:pPr>
    </w:p>
    <w:p w:rsidR="00027E8A" w:rsidRDefault="00027E8A" w:rsidP="0000019A">
      <w:pPr>
        <w:pStyle w:val="ListParagraph"/>
        <w:jc w:val="both"/>
        <w:rPr>
          <w:bCs/>
          <w:color w:val="1F497D"/>
        </w:rPr>
      </w:pPr>
    </w:p>
    <w:p w:rsidR="004912A0" w:rsidRDefault="004912A0" w:rsidP="0000019A">
      <w:pPr>
        <w:pStyle w:val="ListParagraph"/>
        <w:jc w:val="both"/>
        <w:rPr>
          <w:bCs/>
          <w:color w:val="1F497D"/>
        </w:rPr>
      </w:pPr>
      <w:r>
        <w:rPr>
          <w:bCs/>
          <w:noProof/>
          <w:color w:val="1F497D"/>
        </w:rPr>
        <mc:AlternateContent>
          <mc:Choice Requires="wps">
            <w:drawing>
              <wp:anchor distT="0" distB="0" distL="114300" distR="114300" simplePos="0" relativeHeight="251661312" behindDoc="0" locked="0" layoutInCell="1" allowOverlap="1" wp14:anchorId="4A32A7BD" wp14:editId="1459D7A7">
                <wp:simplePos x="0" y="0"/>
                <wp:positionH relativeFrom="margin">
                  <wp:posOffset>2349300</wp:posOffset>
                </wp:positionH>
                <wp:positionV relativeFrom="paragraph">
                  <wp:posOffset>9525</wp:posOffset>
                </wp:positionV>
                <wp:extent cx="978535" cy="505059"/>
                <wp:effectExtent l="0" t="0" r="12065" b="28575"/>
                <wp:wrapNone/>
                <wp:docPr id="3" name="Rectangle 3"/>
                <wp:cNvGraphicFramePr/>
                <a:graphic xmlns:a="http://schemas.openxmlformats.org/drawingml/2006/main">
                  <a:graphicData uri="http://schemas.microsoft.com/office/word/2010/wordprocessingShape">
                    <wps:wsp>
                      <wps:cNvSpPr/>
                      <wps:spPr>
                        <a:xfrm>
                          <a:off x="0" y="0"/>
                          <a:ext cx="978535" cy="5050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759D" w:rsidRDefault="000B759D" w:rsidP="004912A0">
                            <w:pPr>
                              <w:jc w:val="center"/>
                            </w:pPr>
                            <w:r>
                              <w:t>Market Maker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85pt;margin-top:.75pt;width:77.05pt;height:3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" fillcolor="#4f81bd [3204]" strokecolor="#243f60 [1604]" strokeweight="2pt">
                <v:textbox>
                  <w:txbxContent>
                    <w:p w:rsidR="000B759D" w:rsidRDefault="000B759D" w:rsidP="004912A0">
                      <w:pPr>
                        <w:jc w:val="center"/>
                      </w:pPr>
                      <w:r>
                        <w:t>Market Maker</w:t>
                      </w:r>
                    </w:p>
                  </w:txbxContent>
                </v:textbox>
                <w10:wrap anchorx="margin"/>
              </v:rect>
            </w:pict>
          </mc:Fallback>
        </mc:AlternateContent>
      </w:r>
      <w:r>
        <w:rPr>
          <w:bCs/>
          <w:noProof/>
          <w:color w:val="1F497D"/>
        </w:rPr>
        <mc:AlternateContent>
          <mc:Choice Requires="wps">
            <w:drawing>
              <wp:anchor distT="0" distB="0" distL="114300" distR="114300" simplePos="0" relativeHeight="251663360" behindDoc="0" locked="0" layoutInCell="1" allowOverlap="1" wp14:anchorId="55CC6C93" wp14:editId="1E6E32F9">
                <wp:simplePos x="0" y="0"/>
                <wp:positionH relativeFrom="margin">
                  <wp:posOffset>4114800</wp:posOffset>
                </wp:positionH>
                <wp:positionV relativeFrom="paragraph">
                  <wp:posOffset>9926</wp:posOffset>
                </wp:positionV>
                <wp:extent cx="978535" cy="505059"/>
                <wp:effectExtent l="0" t="0" r="12065" b="28575"/>
                <wp:wrapNone/>
                <wp:docPr id="4" name="Rectangle 4"/>
                <wp:cNvGraphicFramePr/>
                <a:graphic xmlns:a="http://schemas.openxmlformats.org/drawingml/2006/main">
                  <a:graphicData uri="http://schemas.microsoft.com/office/word/2010/wordprocessingShape">
                    <wps:wsp>
                      <wps:cNvSpPr/>
                      <wps:spPr>
                        <a:xfrm>
                          <a:off x="0" y="0"/>
                          <a:ext cx="978535" cy="505059"/>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rsidR="000B759D" w:rsidRDefault="000B759D" w:rsidP="004912A0">
                            <w:pPr>
                              <w:jc w:val="center"/>
                            </w:pPr>
                            <w:r>
                              <w:t>Investor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324pt;margin-top:.8pt;width:77.05pt;height:3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" fillcolor="#f79646 [3209]" strokecolor="#243f60 [1604]" strokeweight="2pt">
                <v:textbox>
                  <w:txbxContent>
                    <w:p w:rsidR="000B759D" w:rsidRDefault="000B759D" w:rsidP="004912A0">
                      <w:pPr>
                        <w:jc w:val="center"/>
                      </w:pPr>
                      <w:r>
                        <w:t>Investor</w:t>
                      </w:r>
                    </w:p>
                  </w:txbxContent>
                </v:textbox>
                <w10:wrap anchorx="margin"/>
              </v:rect>
            </w:pict>
          </mc:Fallback>
        </mc:AlternateContent>
      </w:r>
      <w:r>
        <w:rPr>
          <w:bCs/>
          <w:noProof/>
          <w:color w:val="1F497D"/>
        </w:rPr>
        <mc:AlternateContent>
          <mc:Choice Requires="wps">
            <w:drawing>
              <wp:anchor distT="0" distB="0" distL="114300" distR="114300" simplePos="0" relativeHeight="251659264" behindDoc="0" locked="0" layoutInCell="1" allowOverlap="1" wp14:anchorId="04A63FB2" wp14:editId="78E63CD8">
                <wp:simplePos x="0" y="0"/>
                <wp:positionH relativeFrom="column">
                  <wp:posOffset>665480</wp:posOffset>
                </wp:positionH>
                <wp:positionV relativeFrom="paragraph">
                  <wp:posOffset>9525</wp:posOffset>
                </wp:positionV>
                <wp:extent cx="978535" cy="513080"/>
                <wp:effectExtent l="0" t="0" r="12065" b="20320"/>
                <wp:wrapNone/>
                <wp:docPr id="2" name="Rectangle 2"/>
                <wp:cNvGraphicFramePr/>
                <a:graphic xmlns:a="http://schemas.openxmlformats.org/drawingml/2006/main">
                  <a:graphicData uri="http://schemas.microsoft.com/office/word/2010/wordprocessingShape">
                    <wps:wsp>
                      <wps:cNvSpPr/>
                      <wps:spPr>
                        <a:xfrm>
                          <a:off x="0" y="0"/>
                          <a:ext cx="978535" cy="51308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0B759D" w:rsidRPr="00521187" w:rsidRDefault="000B759D" w:rsidP="004912A0">
                            <w:pPr>
                              <w:jc w:val="center"/>
                              <w:rPr>
                                <w:b/>
                              </w:rPr>
                            </w:pPr>
                            <w:r>
                              <w:rPr>
                                <w:b/>
                              </w:rPr>
                              <w:t>CCP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52.4pt;margin-top:.75pt;width:77.05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" fillcolor="#92d050" strokecolor="#243f60 [1604]" strokeweight="2pt">
                <v:textbox>
                  <w:txbxContent>
                    <w:p w:rsidR="000B759D" w:rsidRPr="00521187" w:rsidRDefault="000B759D" w:rsidP="004912A0">
                      <w:pPr>
                        <w:jc w:val="center"/>
                        <w:rPr>
                          <w:b/>
                        </w:rPr>
                      </w:pPr>
                      <w:r>
                        <w:rPr>
                          <w:b/>
                        </w:rPr>
                        <w:t>CCP</w:t>
                      </w:r>
                    </w:p>
                  </w:txbxContent>
                </v:textbox>
              </v:rect>
            </w:pict>
          </mc:Fallback>
        </mc:AlternateContent>
      </w:r>
    </w:p>
    <w:p w:rsidR="004912A0" w:rsidRDefault="004912A0" w:rsidP="0000019A">
      <w:pPr>
        <w:pStyle w:val="ListParagraph"/>
        <w:jc w:val="both"/>
        <w:rPr>
          <w:bCs/>
          <w:color w:val="1F497D"/>
        </w:rPr>
      </w:pPr>
      <w:r>
        <w:rPr>
          <w:bCs/>
          <w:noProof/>
          <w:color w:val="1F497D"/>
        </w:rPr>
        <mc:AlternateContent>
          <mc:Choice Requires="wps">
            <w:drawing>
              <wp:anchor distT="0" distB="0" distL="114300" distR="114300" simplePos="0" relativeHeight="251666432" behindDoc="0" locked="0" layoutInCell="1" allowOverlap="1" wp14:anchorId="33B9189D" wp14:editId="5EF21952">
                <wp:simplePos x="0" y="0"/>
                <wp:positionH relativeFrom="margin">
                  <wp:posOffset>3569368</wp:posOffset>
                </wp:positionH>
                <wp:positionV relativeFrom="paragraph">
                  <wp:posOffset>84221</wp:posOffset>
                </wp:positionV>
                <wp:extent cx="360947" cy="0"/>
                <wp:effectExtent l="0" t="76200" r="20320" b="95250"/>
                <wp:wrapNone/>
                <wp:docPr id="6" name="Straight Arrow Connector 6"/>
                <wp:cNvGraphicFramePr/>
                <a:graphic xmlns:a="http://schemas.openxmlformats.org/drawingml/2006/main">
                  <a:graphicData uri="http://schemas.microsoft.com/office/word/2010/wordprocessingShape">
                    <wps:wsp>
                      <wps:cNvCnPr/>
                      <wps:spPr>
                        <a:xfrm>
                          <a:off x="0" y="0"/>
                          <a:ext cx="36094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63A1F5C7" id="_x0000_t32" coordsize="21600,21600" o:spt="32" o:oned="t" path="m,l21600,21600e" filled="f">
                <v:path arrowok="t" fillok="f" o:connecttype="none"/>
                <o:lock v:ext="edit" shapetype="t"/>
              </v:shapetype>
              <v:shape id="Straight Arrow Connector 6" o:spid="_x0000_s1026" type="#_x0000_t32" style="position:absolute;margin-left:281.05pt;margin-top:6.65pt;width:28.4pt;height:0;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" strokecolor="#4579b8 [3044]">
                <v:stroke endarrow="block"/>
                <w10:wrap anchorx="margin"/>
              </v:shape>
            </w:pict>
          </mc:Fallback>
        </mc:AlternateContent>
      </w:r>
      <w:r>
        <w:rPr>
          <w:bCs/>
          <w:noProof/>
          <w:color w:val="1F497D"/>
        </w:rPr>
        <mc:AlternateContent>
          <mc:Choice Requires="wps">
            <w:drawing>
              <wp:anchor distT="0" distB="0" distL="114300" distR="114300" simplePos="0" relativeHeight="251664384" behindDoc="0" locked="0" layoutInCell="1" allowOverlap="1" wp14:anchorId="08C25A46" wp14:editId="230DF018">
                <wp:simplePos x="0" y="0"/>
                <wp:positionH relativeFrom="column">
                  <wp:posOffset>1844240</wp:posOffset>
                </wp:positionH>
                <wp:positionV relativeFrom="paragraph">
                  <wp:posOffset>71120</wp:posOffset>
                </wp:positionV>
                <wp:extent cx="360947" cy="0"/>
                <wp:effectExtent l="0" t="76200" r="20320" b="95250"/>
                <wp:wrapNone/>
                <wp:docPr id="5" name="Straight Arrow Connector 5"/>
                <wp:cNvGraphicFramePr/>
                <a:graphic xmlns:a="http://schemas.openxmlformats.org/drawingml/2006/main">
                  <a:graphicData uri="http://schemas.microsoft.com/office/word/2010/wordprocessingShape">
                    <wps:wsp>
                      <wps:cNvCnPr/>
                      <wps:spPr>
                        <a:xfrm>
                          <a:off x="0" y="0"/>
                          <a:ext cx="36094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7E7E127" id="Straight Arrow Connector 5" o:spid="_x0000_s1026" type="#_x0000_t32" style="position:absolute;margin-left:145.2pt;margin-top:5.6pt;width:28.4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" strokecolor="#4579b8 [3044]">
                <v:stroke endarrow="block"/>
              </v:shape>
            </w:pict>
          </mc:Fallback>
        </mc:AlternateContent>
      </w:r>
      <w:r>
        <w:rPr>
          <w:bCs/>
          <w:color w:val="1F497D"/>
        </w:rPr>
        <w:tab/>
      </w:r>
    </w:p>
    <w:p w:rsidR="00027E8A" w:rsidRDefault="00027E8A" w:rsidP="0000019A">
      <w:pPr>
        <w:pStyle w:val="ListParagraph"/>
        <w:jc w:val="both"/>
        <w:rPr>
          <w:bCs/>
          <w:color w:val="1F497D"/>
        </w:rPr>
      </w:pPr>
    </w:p>
    <w:p w:rsidR="00550EFB" w:rsidRPr="008A34FE" w:rsidRDefault="00550EFB" w:rsidP="008A34FE">
      <w:pPr>
        <w:jc w:val="both"/>
        <w:rPr>
          <w:bCs/>
          <w:color w:val="000000" w:themeColor="text1"/>
        </w:rPr>
      </w:pPr>
    </w:p>
    <w:p w:rsidR="008A34FE" w:rsidRPr="008A34FE" w:rsidRDefault="00500ED7" w:rsidP="008A34FE">
      <w:pPr>
        <w:pStyle w:val="ListParagraph"/>
        <w:numPr>
          <w:ilvl w:val="0"/>
          <w:numId w:val="4"/>
        </w:numPr>
        <w:jc w:val="both"/>
        <w:rPr>
          <w:bCs/>
          <w:color w:val="000000" w:themeColor="text1"/>
        </w:rPr>
      </w:pPr>
      <w:r>
        <w:rPr>
          <w:bCs/>
          <w:color w:val="000000" w:themeColor="text1"/>
        </w:rPr>
        <w:t>An investor</w:t>
      </w:r>
      <w:r w:rsidR="00027E8A" w:rsidRPr="0029481B">
        <w:rPr>
          <w:bCs/>
          <w:color w:val="000000" w:themeColor="text1"/>
        </w:rPr>
        <w:t xml:space="preserve"> bought securities from </w:t>
      </w:r>
      <w:r w:rsidR="00257267" w:rsidRPr="0029481B">
        <w:rPr>
          <w:bCs/>
          <w:color w:val="000000" w:themeColor="text1"/>
        </w:rPr>
        <w:t xml:space="preserve">a </w:t>
      </w:r>
      <w:r w:rsidR="007406F8">
        <w:rPr>
          <w:bCs/>
          <w:color w:val="000000" w:themeColor="text1"/>
        </w:rPr>
        <w:t>MM</w:t>
      </w:r>
      <w:r w:rsidR="00027E8A" w:rsidRPr="0029481B">
        <w:rPr>
          <w:bCs/>
          <w:color w:val="000000" w:themeColor="text1"/>
        </w:rPr>
        <w:t xml:space="preserve"> </w:t>
      </w:r>
      <w:r w:rsidR="0013218F" w:rsidRPr="0029481B">
        <w:rPr>
          <w:bCs/>
          <w:color w:val="000000" w:themeColor="text1"/>
        </w:rPr>
        <w:t xml:space="preserve">and </w:t>
      </w:r>
      <w:r w:rsidR="009A799E">
        <w:rPr>
          <w:bCs/>
          <w:color w:val="000000" w:themeColor="text1"/>
        </w:rPr>
        <w:t xml:space="preserve">the </w:t>
      </w:r>
      <w:r w:rsidR="007406F8">
        <w:rPr>
          <w:bCs/>
          <w:color w:val="000000" w:themeColor="text1"/>
        </w:rPr>
        <w:t>MM</w:t>
      </w:r>
      <w:r w:rsidR="0013218F" w:rsidRPr="0029481B">
        <w:rPr>
          <w:bCs/>
          <w:color w:val="000000" w:themeColor="text1"/>
        </w:rPr>
        <w:t xml:space="preserve"> p</w:t>
      </w:r>
      <w:r w:rsidR="00027E8A" w:rsidRPr="0029481B">
        <w:rPr>
          <w:bCs/>
          <w:color w:val="000000" w:themeColor="text1"/>
        </w:rPr>
        <w:t xml:space="preserve">laced a creation order with the ETF </w:t>
      </w:r>
      <w:r w:rsidR="00636C50">
        <w:rPr>
          <w:bCs/>
          <w:color w:val="000000" w:themeColor="text1"/>
        </w:rPr>
        <w:t>issuer</w:t>
      </w:r>
      <w:r w:rsidR="00027E8A" w:rsidRPr="0029481B">
        <w:rPr>
          <w:bCs/>
          <w:color w:val="000000" w:themeColor="text1"/>
        </w:rPr>
        <w:t>.</w:t>
      </w:r>
      <w:r w:rsidR="0013218F" w:rsidRPr="0029481B">
        <w:rPr>
          <w:bCs/>
          <w:color w:val="000000" w:themeColor="text1"/>
        </w:rPr>
        <w:t xml:space="preserve"> </w:t>
      </w:r>
      <w:r w:rsidR="00257267" w:rsidRPr="0029481B">
        <w:rPr>
          <w:bCs/>
          <w:color w:val="000000" w:themeColor="text1"/>
        </w:rPr>
        <w:t xml:space="preserve"> </w:t>
      </w:r>
      <w:r w:rsidR="00E31AA1" w:rsidRPr="0029481B">
        <w:rPr>
          <w:bCs/>
          <w:color w:val="000000" w:themeColor="text1"/>
        </w:rPr>
        <w:t xml:space="preserve">If the </w:t>
      </w:r>
      <w:r w:rsidR="007406F8">
        <w:rPr>
          <w:bCs/>
          <w:color w:val="000000" w:themeColor="text1"/>
        </w:rPr>
        <w:t>MM</w:t>
      </w:r>
      <w:r w:rsidR="00027E8A" w:rsidRPr="0029481B">
        <w:rPr>
          <w:bCs/>
          <w:color w:val="000000" w:themeColor="text1"/>
        </w:rPr>
        <w:t xml:space="preserve"> can</w:t>
      </w:r>
      <w:r w:rsidR="0029481B">
        <w:rPr>
          <w:bCs/>
          <w:color w:val="000000" w:themeColor="text1"/>
        </w:rPr>
        <w:t>not</w:t>
      </w:r>
      <w:r w:rsidR="00027E8A" w:rsidRPr="0029481B">
        <w:rPr>
          <w:bCs/>
          <w:color w:val="000000" w:themeColor="text1"/>
        </w:rPr>
        <w:t xml:space="preserve"> place a creation order on the </w:t>
      </w:r>
      <w:r w:rsidR="007406F8">
        <w:rPr>
          <w:bCs/>
          <w:color w:val="000000" w:themeColor="text1"/>
        </w:rPr>
        <w:t xml:space="preserve">same </w:t>
      </w:r>
      <w:r w:rsidR="00027E8A" w:rsidRPr="0029481B">
        <w:rPr>
          <w:bCs/>
          <w:color w:val="000000" w:themeColor="text1"/>
        </w:rPr>
        <w:t xml:space="preserve">day </w:t>
      </w:r>
      <w:r w:rsidR="0029481B" w:rsidRPr="0029481B">
        <w:rPr>
          <w:bCs/>
          <w:color w:val="000000" w:themeColor="text1"/>
        </w:rPr>
        <w:t xml:space="preserve">he </w:t>
      </w:r>
      <w:r w:rsidR="0080150A">
        <w:rPr>
          <w:bCs/>
          <w:color w:val="000000" w:themeColor="text1"/>
        </w:rPr>
        <w:t>sold shares to the investor</w:t>
      </w:r>
      <w:r w:rsidR="00027E8A" w:rsidRPr="0029481B">
        <w:rPr>
          <w:bCs/>
          <w:color w:val="000000" w:themeColor="text1"/>
        </w:rPr>
        <w:t xml:space="preserve"> and a day later the fund primary market is closed</w:t>
      </w:r>
      <w:r w:rsidR="00257267" w:rsidRPr="0029481B">
        <w:rPr>
          <w:bCs/>
          <w:color w:val="000000" w:themeColor="text1"/>
        </w:rPr>
        <w:t>,</w:t>
      </w:r>
      <w:r w:rsidR="00E31AA1" w:rsidRPr="0029481B">
        <w:rPr>
          <w:bCs/>
          <w:color w:val="000000" w:themeColor="text1"/>
        </w:rPr>
        <w:t xml:space="preserve"> due to a</w:t>
      </w:r>
      <w:r w:rsidR="00027E8A" w:rsidRPr="0029481B">
        <w:rPr>
          <w:bCs/>
          <w:color w:val="000000" w:themeColor="text1"/>
        </w:rPr>
        <w:t xml:space="preserve"> local Bank Holiday or underlying ET</w:t>
      </w:r>
      <w:r w:rsidR="00E31AA1" w:rsidRPr="0029481B">
        <w:rPr>
          <w:bCs/>
          <w:color w:val="000000" w:themeColor="text1"/>
        </w:rPr>
        <w:t>F</w:t>
      </w:r>
      <w:r w:rsidR="00257267" w:rsidRPr="0029481B">
        <w:rPr>
          <w:bCs/>
          <w:color w:val="000000" w:themeColor="text1"/>
        </w:rPr>
        <w:t xml:space="preserve"> components not trading, </w:t>
      </w:r>
      <w:r w:rsidR="0013218F" w:rsidRPr="0029481B">
        <w:rPr>
          <w:bCs/>
          <w:color w:val="000000" w:themeColor="text1"/>
        </w:rPr>
        <w:t xml:space="preserve">then </w:t>
      </w:r>
      <w:r w:rsidR="00E31AA1" w:rsidRPr="0029481B">
        <w:rPr>
          <w:bCs/>
          <w:color w:val="000000" w:themeColor="text1"/>
        </w:rPr>
        <w:t>the</w:t>
      </w:r>
      <w:r w:rsidR="00257267" w:rsidRPr="0029481B">
        <w:rPr>
          <w:bCs/>
          <w:color w:val="000000" w:themeColor="text1"/>
        </w:rPr>
        <w:t xml:space="preserve"> </w:t>
      </w:r>
      <w:r w:rsidR="007406F8">
        <w:rPr>
          <w:bCs/>
          <w:color w:val="000000" w:themeColor="text1"/>
        </w:rPr>
        <w:t xml:space="preserve">MM </w:t>
      </w:r>
      <w:r w:rsidR="0080150A">
        <w:rPr>
          <w:bCs/>
          <w:color w:val="000000" w:themeColor="text1"/>
        </w:rPr>
        <w:t>could</w:t>
      </w:r>
      <w:r w:rsidR="0029481B">
        <w:rPr>
          <w:bCs/>
          <w:color w:val="000000" w:themeColor="text1"/>
        </w:rPr>
        <w:t xml:space="preserve"> be</w:t>
      </w:r>
      <w:r w:rsidR="00E31AA1" w:rsidRPr="0029481B">
        <w:rPr>
          <w:bCs/>
          <w:color w:val="000000" w:themeColor="text1"/>
        </w:rPr>
        <w:t xml:space="preserve"> exposed to buy-</w:t>
      </w:r>
      <w:r w:rsidR="00027E8A" w:rsidRPr="0029481B">
        <w:rPr>
          <w:bCs/>
          <w:color w:val="000000" w:themeColor="text1"/>
        </w:rPr>
        <w:t>in risk</w:t>
      </w:r>
      <w:r w:rsidR="00257267" w:rsidRPr="0029481B">
        <w:rPr>
          <w:bCs/>
          <w:color w:val="000000" w:themeColor="text1"/>
        </w:rPr>
        <w:t xml:space="preserve">. </w:t>
      </w:r>
    </w:p>
    <w:p w:rsidR="00CB0CEE" w:rsidRDefault="0029481B" w:rsidP="008A34FE">
      <w:pPr>
        <w:pStyle w:val="ListParagraph"/>
        <w:ind w:left="900"/>
        <w:jc w:val="both"/>
        <w:rPr>
          <w:bCs/>
          <w:color w:val="000000" w:themeColor="text1"/>
        </w:rPr>
      </w:pPr>
      <w:r>
        <w:rPr>
          <w:bCs/>
          <w:color w:val="000000" w:themeColor="text1"/>
        </w:rPr>
        <w:t>We believe that the nature of ETF</w:t>
      </w:r>
      <w:r w:rsidR="006779C9">
        <w:rPr>
          <w:bCs/>
          <w:color w:val="000000" w:themeColor="text1"/>
        </w:rPr>
        <w:t>s</w:t>
      </w:r>
      <w:r>
        <w:rPr>
          <w:bCs/>
          <w:color w:val="000000" w:themeColor="text1"/>
        </w:rPr>
        <w:t xml:space="preserve"> primary market should be considered</w:t>
      </w:r>
      <w:r w:rsidR="00B70BBC">
        <w:rPr>
          <w:bCs/>
          <w:color w:val="000000" w:themeColor="text1"/>
        </w:rPr>
        <w:t xml:space="preserve">. It is also </w:t>
      </w:r>
      <w:r>
        <w:rPr>
          <w:bCs/>
          <w:color w:val="000000" w:themeColor="text1"/>
        </w:rPr>
        <w:t xml:space="preserve">unclear if a </w:t>
      </w:r>
      <w:r w:rsidR="00B70BBC">
        <w:rPr>
          <w:bCs/>
          <w:color w:val="000000" w:themeColor="text1"/>
        </w:rPr>
        <w:t>MM</w:t>
      </w:r>
      <w:r>
        <w:rPr>
          <w:bCs/>
          <w:color w:val="000000" w:themeColor="text1"/>
        </w:rPr>
        <w:t xml:space="preserve"> can issue ET</w:t>
      </w:r>
      <w:r w:rsidR="00CD2FA8">
        <w:rPr>
          <w:bCs/>
          <w:color w:val="000000" w:themeColor="text1"/>
        </w:rPr>
        <w:t xml:space="preserve">F provider with a buy in notice </w:t>
      </w:r>
      <w:r w:rsidR="00837631">
        <w:rPr>
          <w:bCs/>
          <w:color w:val="000000" w:themeColor="text1"/>
        </w:rPr>
        <w:t xml:space="preserve">and what would happen if </w:t>
      </w:r>
      <w:r w:rsidR="00167BA8">
        <w:rPr>
          <w:bCs/>
          <w:color w:val="000000" w:themeColor="text1"/>
        </w:rPr>
        <w:t>a redemption</w:t>
      </w:r>
      <w:r>
        <w:rPr>
          <w:bCs/>
          <w:color w:val="000000" w:themeColor="text1"/>
        </w:rPr>
        <w:t xml:space="preserve"> </w:t>
      </w:r>
      <w:r w:rsidR="00837631">
        <w:rPr>
          <w:bCs/>
          <w:color w:val="000000" w:themeColor="text1"/>
        </w:rPr>
        <w:t xml:space="preserve">order did not settle on time. </w:t>
      </w:r>
      <w:r w:rsidR="00CD2FA8">
        <w:rPr>
          <w:bCs/>
          <w:color w:val="000000" w:themeColor="text1"/>
        </w:rPr>
        <w:t xml:space="preserve">We think additional clarity </w:t>
      </w:r>
      <w:r w:rsidR="0080150A">
        <w:rPr>
          <w:bCs/>
          <w:color w:val="000000" w:themeColor="text1"/>
        </w:rPr>
        <w:t xml:space="preserve">on this point is required. </w:t>
      </w:r>
    </w:p>
    <w:p w:rsidR="008A34FE" w:rsidRPr="004912A0" w:rsidRDefault="008A34FE" w:rsidP="008A34FE">
      <w:pPr>
        <w:pStyle w:val="ListParagraph"/>
        <w:ind w:left="900"/>
        <w:jc w:val="both"/>
        <w:rPr>
          <w:bCs/>
          <w:color w:val="000000" w:themeColor="text1"/>
        </w:rPr>
      </w:pPr>
    </w:p>
    <w:p w:rsidR="004912A0" w:rsidRDefault="004912A0" w:rsidP="004912A0">
      <w:pPr>
        <w:pStyle w:val="ListParagraph"/>
        <w:jc w:val="both"/>
        <w:rPr>
          <w:bCs/>
          <w:color w:val="1F497D"/>
        </w:rPr>
      </w:pPr>
    </w:p>
    <w:p w:rsidR="004912A0" w:rsidRDefault="004912A0" w:rsidP="004912A0">
      <w:pPr>
        <w:pStyle w:val="ListParagraph"/>
        <w:jc w:val="both"/>
        <w:rPr>
          <w:bCs/>
          <w:color w:val="1F497D"/>
        </w:rPr>
      </w:pPr>
      <w:r>
        <w:rPr>
          <w:bCs/>
          <w:noProof/>
          <w:color w:val="1F497D"/>
        </w:rPr>
        <mc:AlternateContent>
          <mc:Choice Requires="wps">
            <w:drawing>
              <wp:anchor distT="0" distB="0" distL="114300" distR="114300" simplePos="0" relativeHeight="251669504" behindDoc="0" locked="0" layoutInCell="1" allowOverlap="1" wp14:anchorId="14F7CF9B" wp14:editId="01E42AAE">
                <wp:simplePos x="0" y="0"/>
                <wp:positionH relativeFrom="margin">
                  <wp:posOffset>2349300</wp:posOffset>
                </wp:positionH>
                <wp:positionV relativeFrom="paragraph">
                  <wp:posOffset>9525</wp:posOffset>
                </wp:positionV>
                <wp:extent cx="978535" cy="505059"/>
                <wp:effectExtent l="0" t="0" r="12065" b="28575"/>
                <wp:wrapNone/>
                <wp:docPr id="7" name="Rectangle 7"/>
                <wp:cNvGraphicFramePr/>
                <a:graphic xmlns:a="http://schemas.openxmlformats.org/drawingml/2006/main">
                  <a:graphicData uri="http://schemas.microsoft.com/office/word/2010/wordprocessingShape">
                    <wps:wsp>
                      <wps:cNvSpPr/>
                      <wps:spPr>
                        <a:xfrm>
                          <a:off x="0" y="0"/>
                          <a:ext cx="978535" cy="5050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759D" w:rsidRDefault="000B759D" w:rsidP="00CB0CEE">
                            <w:pPr>
                              <w:jc w:val="center"/>
                            </w:pPr>
                            <w:r>
                              <w:t>Market Maker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9" style="position:absolute;left:0;text-align:left;margin-left:185pt;margin-top:.75pt;width:77.05pt;height:39.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" fillcolor="#4f81bd [3204]" strokecolor="#243f60 [1604]" strokeweight="2pt">
                <v:textbox>
                  <w:txbxContent>
                    <w:p w:rsidR="000B759D" w:rsidRDefault="000B759D" w:rsidP="00CB0CEE">
                      <w:pPr>
                        <w:jc w:val="center"/>
                      </w:pPr>
                      <w:r>
                        <w:t>Market Maker</w:t>
                      </w:r>
                    </w:p>
                  </w:txbxContent>
                </v:textbox>
                <w10:wrap anchorx="margin"/>
              </v:rect>
            </w:pict>
          </mc:Fallback>
        </mc:AlternateContent>
      </w:r>
      <w:r>
        <w:rPr>
          <w:bCs/>
          <w:noProof/>
          <w:color w:val="1F497D"/>
        </w:rPr>
        <mc:AlternateContent>
          <mc:Choice Requires="wps">
            <w:drawing>
              <wp:anchor distT="0" distB="0" distL="114300" distR="114300" simplePos="0" relativeHeight="251670528" behindDoc="0" locked="0" layoutInCell="1" allowOverlap="1" wp14:anchorId="2945FF9F" wp14:editId="7D6C4942">
                <wp:simplePos x="0" y="0"/>
                <wp:positionH relativeFrom="margin">
                  <wp:posOffset>4114800</wp:posOffset>
                </wp:positionH>
                <wp:positionV relativeFrom="paragraph">
                  <wp:posOffset>9926</wp:posOffset>
                </wp:positionV>
                <wp:extent cx="978535" cy="505059"/>
                <wp:effectExtent l="0" t="0" r="12065" b="28575"/>
                <wp:wrapNone/>
                <wp:docPr id="8" name="Rectangle 8"/>
                <wp:cNvGraphicFramePr/>
                <a:graphic xmlns:a="http://schemas.openxmlformats.org/drawingml/2006/main">
                  <a:graphicData uri="http://schemas.microsoft.com/office/word/2010/wordprocessingShape">
                    <wps:wsp>
                      <wps:cNvSpPr/>
                      <wps:spPr>
                        <a:xfrm>
                          <a:off x="0" y="0"/>
                          <a:ext cx="978535" cy="505059"/>
                        </a:xfrm>
                        <a:prstGeom prst="rect">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B759D" w:rsidRDefault="000B759D" w:rsidP="00CB0CEE">
                            <w:pPr>
                              <w:jc w:val="center"/>
                            </w:pPr>
                            <w:r>
                              <w:t>ETF Issuer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0" style="position:absolute;left:0;text-align:left;margin-left:324pt;margin-top:.8pt;width:77.05pt;height:3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" fillcolor="#5f497a [2407]" strokecolor="#243f60 [1604]" strokeweight="2pt">
                <v:textbox>
                  <w:txbxContent>
                    <w:p w:rsidR="000B759D" w:rsidRDefault="000B759D" w:rsidP="00CB0CEE">
                      <w:pPr>
                        <w:jc w:val="center"/>
                      </w:pPr>
                      <w:r>
                        <w:t>ETF Issuer</w:t>
                      </w:r>
                    </w:p>
                  </w:txbxContent>
                </v:textbox>
                <w10:wrap anchorx="margin"/>
              </v:rect>
            </w:pict>
          </mc:Fallback>
        </mc:AlternateContent>
      </w:r>
      <w:r>
        <w:rPr>
          <w:bCs/>
          <w:noProof/>
          <w:color w:val="1F497D"/>
        </w:rPr>
        <mc:AlternateContent>
          <mc:Choice Requires="wps">
            <w:drawing>
              <wp:anchor distT="0" distB="0" distL="114300" distR="114300" simplePos="0" relativeHeight="251668480" behindDoc="0" locked="0" layoutInCell="1" allowOverlap="1" wp14:anchorId="3E43594B" wp14:editId="38C576E0">
                <wp:simplePos x="0" y="0"/>
                <wp:positionH relativeFrom="column">
                  <wp:posOffset>665480</wp:posOffset>
                </wp:positionH>
                <wp:positionV relativeFrom="paragraph">
                  <wp:posOffset>9525</wp:posOffset>
                </wp:positionV>
                <wp:extent cx="978535" cy="513080"/>
                <wp:effectExtent l="0" t="0" r="12065" b="20320"/>
                <wp:wrapNone/>
                <wp:docPr id="9" name="Rectangle 9"/>
                <wp:cNvGraphicFramePr/>
                <a:graphic xmlns:a="http://schemas.openxmlformats.org/drawingml/2006/main">
                  <a:graphicData uri="http://schemas.microsoft.com/office/word/2010/wordprocessingShape">
                    <wps:wsp>
                      <wps:cNvSpPr/>
                      <wps:spPr>
                        <a:xfrm>
                          <a:off x="0" y="0"/>
                          <a:ext cx="978535" cy="51308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rsidR="000B759D" w:rsidRDefault="000B759D" w:rsidP="0031203A">
                            <w:pPr>
                              <w:jc w:val="center"/>
                            </w:pPr>
                            <w:r>
                              <w:t>Investor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1" style="position:absolute;left:0;text-align:left;margin-left:52.4pt;margin-top:.75pt;width:77.05pt;height:4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" fillcolor="#f79646 [3209]" strokecolor="#243f60 [1604]" strokeweight="2pt">
                <v:textbox>
                  <w:txbxContent>
                    <w:p w:rsidR="000B759D" w:rsidRDefault="000B759D" w:rsidP="0031203A">
                      <w:pPr>
                        <w:jc w:val="center"/>
                      </w:pPr>
                      <w:r>
                        <w:t>Investor</w:t>
                      </w:r>
                    </w:p>
                  </w:txbxContent>
                </v:textbox>
              </v:rect>
            </w:pict>
          </mc:Fallback>
        </mc:AlternateContent>
      </w:r>
    </w:p>
    <w:p w:rsidR="004912A0" w:rsidRDefault="004912A0" w:rsidP="004912A0">
      <w:pPr>
        <w:pStyle w:val="ListParagraph"/>
        <w:jc w:val="both"/>
        <w:rPr>
          <w:bCs/>
          <w:color w:val="1F497D"/>
        </w:rPr>
      </w:pPr>
      <w:r>
        <w:rPr>
          <w:bCs/>
          <w:noProof/>
          <w:color w:val="1F497D"/>
        </w:rPr>
        <mc:AlternateContent>
          <mc:Choice Requires="wps">
            <w:drawing>
              <wp:anchor distT="0" distB="0" distL="114300" distR="114300" simplePos="0" relativeHeight="251672576" behindDoc="0" locked="0" layoutInCell="1" allowOverlap="1" wp14:anchorId="0A6E470B" wp14:editId="43A83867">
                <wp:simplePos x="0" y="0"/>
                <wp:positionH relativeFrom="margin">
                  <wp:posOffset>3569368</wp:posOffset>
                </wp:positionH>
                <wp:positionV relativeFrom="paragraph">
                  <wp:posOffset>84221</wp:posOffset>
                </wp:positionV>
                <wp:extent cx="360947" cy="0"/>
                <wp:effectExtent l="0" t="76200" r="20320" b="95250"/>
                <wp:wrapNone/>
                <wp:docPr id="10" name="Straight Arrow Connector 10"/>
                <wp:cNvGraphicFramePr/>
                <a:graphic xmlns:a="http://schemas.openxmlformats.org/drawingml/2006/main">
                  <a:graphicData uri="http://schemas.microsoft.com/office/word/2010/wordprocessingShape">
                    <wps:wsp>
                      <wps:cNvCnPr/>
                      <wps:spPr>
                        <a:xfrm>
                          <a:off x="0" y="0"/>
                          <a:ext cx="36094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E63EC6D" id="Straight Arrow Connector 10" o:spid="_x0000_s1026" type="#_x0000_t32" style="position:absolute;margin-left:281.05pt;margin-top:6.65pt;width:28.4pt;height:0;z-index:2516725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" strokecolor="#4579b8 [3044]">
                <v:stroke endarrow="block"/>
                <w10:wrap anchorx="margin"/>
              </v:shape>
            </w:pict>
          </mc:Fallback>
        </mc:AlternateContent>
      </w:r>
      <w:r>
        <w:rPr>
          <w:bCs/>
          <w:noProof/>
          <w:color w:val="1F497D"/>
        </w:rPr>
        <mc:AlternateContent>
          <mc:Choice Requires="wps">
            <w:drawing>
              <wp:anchor distT="0" distB="0" distL="114300" distR="114300" simplePos="0" relativeHeight="251671552" behindDoc="0" locked="0" layoutInCell="1" allowOverlap="1" wp14:anchorId="2788A53B" wp14:editId="40378BCB">
                <wp:simplePos x="0" y="0"/>
                <wp:positionH relativeFrom="column">
                  <wp:posOffset>1844240</wp:posOffset>
                </wp:positionH>
                <wp:positionV relativeFrom="paragraph">
                  <wp:posOffset>71120</wp:posOffset>
                </wp:positionV>
                <wp:extent cx="360947" cy="0"/>
                <wp:effectExtent l="0" t="76200" r="20320" b="95250"/>
                <wp:wrapNone/>
                <wp:docPr id="11" name="Straight Arrow Connector 11"/>
                <wp:cNvGraphicFramePr/>
                <a:graphic xmlns:a="http://schemas.openxmlformats.org/drawingml/2006/main">
                  <a:graphicData uri="http://schemas.microsoft.com/office/word/2010/wordprocessingShape">
                    <wps:wsp>
                      <wps:cNvCnPr/>
                      <wps:spPr>
                        <a:xfrm>
                          <a:off x="0" y="0"/>
                          <a:ext cx="36094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53B4DDB" id="Straight Arrow Connector 11" o:spid="_x0000_s1026" type="#_x0000_t32" style="position:absolute;margin-left:145.2pt;margin-top:5.6pt;width:28.4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" strokecolor="#4579b8 [3044]">
                <v:stroke endarrow="block"/>
              </v:shape>
            </w:pict>
          </mc:Fallback>
        </mc:AlternateContent>
      </w:r>
      <w:r>
        <w:rPr>
          <w:bCs/>
          <w:color w:val="1F497D"/>
        </w:rPr>
        <w:tab/>
      </w:r>
    </w:p>
    <w:p w:rsidR="004912A0" w:rsidRDefault="004912A0" w:rsidP="00F51F92">
      <w:pPr>
        <w:ind w:left="180"/>
        <w:jc w:val="both"/>
        <w:rPr>
          <w:bCs/>
          <w:color w:val="000000" w:themeColor="text1"/>
        </w:rPr>
      </w:pPr>
    </w:p>
    <w:p w:rsidR="00550EFB" w:rsidRDefault="00550EFB" w:rsidP="00F51F92">
      <w:pPr>
        <w:ind w:left="180"/>
        <w:jc w:val="both"/>
        <w:rPr>
          <w:bCs/>
          <w:color w:val="000000" w:themeColor="text1"/>
        </w:rPr>
      </w:pPr>
    </w:p>
    <w:p w:rsidR="007F3C37" w:rsidRDefault="007F3C37" w:rsidP="0029481B">
      <w:pPr>
        <w:pStyle w:val="ListParagraph"/>
        <w:numPr>
          <w:ilvl w:val="0"/>
          <w:numId w:val="4"/>
        </w:numPr>
        <w:jc w:val="both"/>
        <w:rPr>
          <w:bCs/>
          <w:color w:val="000000" w:themeColor="text1"/>
        </w:rPr>
      </w:pPr>
      <w:r w:rsidRPr="0029481B">
        <w:rPr>
          <w:bCs/>
          <w:color w:val="000000" w:themeColor="text1"/>
        </w:rPr>
        <w:t xml:space="preserve">Market participants are providing </w:t>
      </w:r>
      <w:r w:rsidR="00057CB3">
        <w:rPr>
          <w:bCs/>
          <w:color w:val="000000" w:themeColor="text1"/>
        </w:rPr>
        <w:t>liquidity</w:t>
      </w:r>
      <w:r w:rsidRPr="0029481B">
        <w:rPr>
          <w:bCs/>
          <w:color w:val="000000" w:themeColor="text1"/>
        </w:rPr>
        <w:t xml:space="preserve"> on and off exchange and it is important to stress that trades with </w:t>
      </w:r>
      <w:r w:rsidR="00E31AA1" w:rsidRPr="0029481B">
        <w:rPr>
          <w:bCs/>
          <w:color w:val="000000" w:themeColor="text1"/>
        </w:rPr>
        <w:t xml:space="preserve">a </w:t>
      </w:r>
      <w:r w:rsidRPr="0029481B">
        <w:rPr>
          <w:bCs/>
          <w:color w:val="000000" w:themeColor="text1"/>
        </w:rPr>
        <w:t>CCP are automatically prioritized</w:t>
      </w:r>
      <w:r w:rsidR="00796C2D">
        <w:rPr>
          <w:bCs/>
          <w:color w:val="000000" w:themeColor="text1"/>
        </w:rPr>
        <w:t xml:space="preserve"> by CSD participants</w:t>
      </w:r>
      <w:r w:rsidRPr="0029481B">
        <w:rPr>
          <w:bCs/>
          <w:color w:val="000000" w:themeColor="text1"/>
        </w:rPr>
        <w:t xml:space="preserve">. The below graph illustrates a case where </w:t>
      </w:r>
      <w:r w:rsidR="00E31AA1" w:rsidRPr="0029481B">
        <w:rPr>
          <w:bCs/>
          <w:color w:val="000000" w:themeColor="text1"/>
        </w:rPr>
        <w:t xml:space="preserve">a </w:t>
      </w:r>
      <w:r w:rsidRPr="0029481B">
        <w:rPr>
          <w:bCs/>
          <w:color w:val="000000" w:themeColor="text1"/>
        </w:rPr>
        <w:t xml:space="preserve">market participant bought shares from </w:t>
      </w:r>
      <w:r w:rsidR="009A799E">
        <w:rPr>
          <w:bCs/>
          <w:color w:val="000000" w:themeColor="text1"/>
        </w:rPr>
        <w:t>an exchange</w:t>
      </w:r>
      <w:r w:rsidR="00E31AA1" w:rsidRPr="0029481B">
        <w:rPr>
          <w:bCs/>
          <w:color w:val="000000" w:themeColor="text1"/>
        </w:rPr>
        <w:t xml:space="preserve"> </w:t>
      </w:r>
      <w:r w:rsidR="009A799E">
        <w:rPr>
          <w:bCs/>
          <w:color w:val="000000" w:themeColor="text1"/>
        </w:rPr>
        <w:t xml:space="preserve">(CCP cleared) </w:t>
      </w:r>
      <w:r w:rsidR="00E31AA1" w:rsidRPr="0029481B">
        <w:rPr>
          <w:bCs/>
          <w:color w:val="000000" w:themeColor="text1"/>
        </w:rPr>
        <w:t>and sold them to a client on</w:t>
      </w:r>
      <w:r w:rsidRPr="0029481B">
        <w:rPr>
          <w:bCs/>
          <w:color w:val="000000" w:themeColor="text1"/>
        </w:rPr>
        <w:t xml:space="preserve"> day 1. On day 4 the same market participant</w:t>
      </w:r>
      <w:r w:rsidR="00F56B39">
        <w:rPr>
          <w:bCs/>
          <w:color w:val="000000" w:themeColor="text1"/>
        </w:rPr>
        <w:t>,</w:t>
      </w:r>
      <w:r w:rsidRPr="0029481B">
        <w:rPr>
          <w:bCs/>
          <w:color w:val="000000" w:themeColor="text1"/>
        </w:rPr>
        <w:t xml:space="preserve"> who is obliged to provide </w:t>
      </w:r>
      <w:r w:rsidR="00F56B39">
        <w:rPr>
          <w:bCs/>
          <w:color w:val="000000" w:themeColor="text1"/>
        </w:rPr>
        <w:t>on-exchange liquidity,</w:t>
      </w:r>
      <w:r w:rsidRPr="0029481B">
        <w:rPr>
          <w:bCs/>
          <w:color w:val="000000" w:themeColor="text1"/>
        </w:rPr>
        <w:t xml:space="preserve"> sells shares on </w:t>
      </w:r>
      <w:r w:rsidR="00E31AA1" w:rsidRPr="0029481B">
        <w:rPr>
          <w:bCs/>
          <w:color w:val="000000" w:themeColor="text1"/>
        </w:rPr>
        <w:t xml:space="preserve">the </w:t>
      </w:r>
      <w:r w:rsidRPr="0029481B">
        <w:rPr>
          <w:bCs/>
          <w:color w:val="000000" w:themeColor="text1"/>
        </w:rPr>
        <w:t>exchang</w:t>
      </w:r>
      <w:r w:rsidR="00636C50">
        <w:rPr>
          <w:bCs/>
          <w:color w:val="000000" w:themeColor="text1"/>
        </w:rPr>
        <w:t>e.</w:t>
      </w:r>
      <w:r w:rsidRPr="0029481B">
        <w:rPr>
          <w:bCs/>
          <w:color w:val="000000" w:themeColor="text1"/>
        </w:rPr>
        <w:t xml:space="preserve"> If </w:t>
      </w:r>
      <w:r w:rsidR="00E31AA1" w:rsidRPr="0029481B">
        <w:rPr>
          <w:bCs/>
          <w:color w:val="000000" w:themeColor="text1"/>
        </w:rPr>
        <w:t xml:space="preserve">the </w:t>
      </w:r>
      <w:r w:rsidR="009A799E">
        <w:rPr>
          <w:bCs/>
          <w:color w:val="000000" w:themeColor="text1"/>
        </w:rPr>
        <w:t xml:space="preserve">CCP </w:t>
      </w:r>
      <w:r w:rsidRPr="0029481B">
        <w:rPr>
          <w:bCs/>
          <w:color w:val="000000" w:themeColor="text1"/>
        </w:rPr>
        <w:t>did</w:t>
      </w:r>
      <w:r w:rsidR="00057CB3">
        <w:rPr>
          <w:bCs/>
          <w:color w:val="000000" w:themeColor="text1"/>
        </w:rPr>
        <w:t xml:space="preserve"> not</w:t>
      </w:r>
      <w:r w:rsidRPr="0029481B">
        <w:rPr>
          <w:bCs/>
          <w:color w:val="000000" w:themeColor="text1"/>
        </w:rPr>
        <w:t xml:space="preserve"> deliver sha</w:t>
      </w:r>
      <w:r w:rsidR="00636C50">
        <w:rPr>
          <w:bCs/>
          <w:color w:val="000000" w:themeColor="text1"/>
        </w:rPr>
        <w:t>res on S+2 basis (in this case d</w:t>
      </w:r>
      <w:r w:rsidRPr="0029481B">
        <w:rPr>
          <w:bCs/>
          <w:color w:val="000000" w:themeColor="text1"/>
        </w:rPr>
        <w:t xml:space="preserve">ay 3) there is a high probability that </w:t>
      </w:r>
      <w:r w:rsidR="00E31AA1" w:rsidRPr="0029481B">
        <w:rPr>
          <w:bCs/>
          <w:color w:val="000000" w:themeColor="text1"/>
        </w:rPr>
        <w:t xml:space="preserve">the </w:t>
      </w:r>
      <w:r w:rsidR="009A799E">
        <w:rPr>
          <w:bCs/>
          <w:color w:val="000000" w:themeColor="text1"/>
        </w:rPr>
        <w:t xml:space="preserve">CPP </w:t>
      </w:r>
      <w:r w:rsidRPr="0029481B">
        <w:rPr>
          <w:bCs/>
          <w:color w:val="000000" w:themeColor="text1"/>
        </w:rPr>
        <w:t>will automa</w:t>
      </w:r>
      <w:r w:rsidR="00636C50">
        <w:rPr>
          <w:bCs/>
          <w:color w:val="000000" w:themeColor="text1"/>
        </w:rPr>
        <w:t>tically net trades executed on day 1 and da</w:t>
      </w:r>
      <w:r w:rsidRPr="0029481B">
        <w:rPr>
          <w:bCs/>
          <w:color w:val="000000" w:themeColor="text1"/>
        </w:rPr>
        <w:t xml:space="preserve">y 4 and </w:t>
      </w:r>
      <w:r w:rsidR="00E31AA1" w:rsidRPr="0029481B">
        <w:rPr>
          <w:bCs/>
          <w:color w:val="000000" w:themeColor="text1"/>
        </w:rPr>
        <w:t>the</w:t>
      </w:r>
      <w:r w:rsidRPr="0029481B">
        <w:rPr>
          <w:bCs/>
          <w:color w:val="000000" w:themeColor="text1"/>
        </w:rPr>
        <w:t xml:space="preserve"> market participant will need to</w:t>
      </w:r>
      <w:r w:rsidR="00ED3F2B" w:rsidRPr="0029481B">
        <w:rPr>
          <w:bCs/>
          <w:color w:val="000000" w:themeColor="text1"/>
        </w:rPr>
        <w:t xml:space="preserve"> look for an alternative cover. </w:t>
      </w:r>
      <w:r w:rsidR="00636C50">
        <w:rPr>
          <w:bCs/>
          <w:color w:val="000000" w:themeColor="text1"/>
        </w:rPr>
        <w:t>We would like to emphasize again that the primary market has various cu</w:t>
      </w:r>
      <w:r w:rsidR="008A34FE">
        <w:rPr>
          <w:bCs/>
          <w:color w:val="000000" w:themeColor="text1"/>
        </w:rPr>
        <w:t>t offs and a market participant</w:t>
      </w:r>
      <w:r w:rsidR="00636C50">
        <w:rPr>
          <w:bCs/>
          <w:color w:val="000000" w:themeColor="text1"/>
        </w:rPr>
        <w:t xml:space="preserve"> might not be able to create shares as quickly as he wish he could. </w:t>
      </w:r>
    </w:p>
    <w:p w:rsidR="00E13AC5" w:rsidRDefault="00E13AC5" w:rsidP="00E13AC5">
      <w:pPr>
        <w:pStyle w:val="ListParagraph"/>
        <w:ind w:left="900"/>
        <w:jc w:val="both"/>
        <w:rPr>
          <w:bCs/>
          <w:color w:val="000000" w:themeColor="text1"/>
        </w:rPr>
      </w:pPr>
      <w:bookmarkStart w:id="0" w:name="_GoBack"/>
      <w:bookmarkEnd w:id="0"/>
    </w:p>
    <w:p w:rsidR="009E353E" w:rsidRPr="0029481B" w:rsidRDefault="009E353E" w:rsidP="00E13AC5">
      <w:pPr>
        <w:pStyle w:val="ListParagraph"/>
        <w:ind w:left="900"/>
        <w:jc w:val="both"/>
        <w:rPr>
          <w:bCs/>
          <w:color w:val="000000" w:themeColor="text1"/>
        </w:rPr>
      </w:pPr>
    </w:p>
    <w:p w:rsidR="00550EFB" w:rsidRPr="00F11F4F" w:rsidRDefault="00F11F4F" w:rsidP="00F11F4F">
      <w:pPr>
        <w:ind w:left="1440"/>
        <w:jc w:val="both"/>
        <w:rPr>
          <w:b/>
          <w:bCs/>
          <w:color w:val="000000" w:themeColor="text1"/>
        </w:rPr>
      </w:pPr>
      <w:r>
        <w:rPr>
          <w:b/>
          <w:bCs/>
          <w:color w:val="000000" w:themeColor="text1"/>
        </w:rPr>
        <w:t>Day 1</w:t>
      </w:r>
      <w:r>
        <w:rPr>
          <w:b/>
          <w:bCs/>
          <w:color w:val="000000" w:themeColor="text1"/>
        </w:rPr>
        <w:tab/>
      </w:r>
      <w:r>
        <w:rPr>
          <w:b/>
          <w:bCs/>
          <w:color w:val="000000" w:themeColor="text1"/>
        </w:rPr>
        <w:tab/>
      </w:r>
      <w:r>
        <w:rPr>
          <w:b/>
          <w:bCs/>
          <w:color w:val="000000" w:themeColor="text1"/>
        </w:rPr>
        <w:tab/>
        <w:t xml:space="preserve">      </w:t>
      </w:r>
      <w:r w:rsidRPr="00F11F4F">
        <w:rPr>
          <w:b/>
          <w:bCs/>
          <w:color w:val="000000" w:themeColor="text1"/>
        </w:rPr>
        <w:t>Day 1</w:t>
      </w:r>
      <w:r>
        <w:rPr>
          <w:b/>
          <w:bCs/>
          <w:color w:val="000000" w:themeColor="text1"/>
        </w:rPr>
        <w:tab/>
      </w:r>
      <w:r>
        <w:rPr>
          <w:b/>
          <w:bCs/>
          <w:color w:val="000000" w:themeColor="text1"/>
        </w:rPr>
        <w:tab/>
        <w:t xml:space="preserve">             Day 4</w:t>
      </w:r>
      <w:r w:rsidRPr="00F11F4F">
        <w:rPr>
          <w:b/>
          <w:bCs/>
          <w:color w:val="000000" w:themeColor="text1"/>
        </w:rPr>
        <w:tab/>
      </w:r>
      <w:r>
        <w:rPr>
          <w:b/>
          <w:bCs/>
          <w:color w:val="000000" w:themeColor="text1"/>
        </w:rPr>
        <w:tab/>
      </w:r>
      <w:r>
        <w:rPr>
          <w:b/>
          <w:bCs/>
          <w:color w:val="000000" w:themeColor="text1"/>
        </w:rPr>
        <w:tab/>
        <w:t>Day 4</w:t>
      </w:r>
      <w:r w:rsidRPr="00F11F4F">
        <w:rPr>
          <w:b/>
          <w:bCs/>
          <w:color w:val="000000" w:themeColor="text1"/>
        </w:rPr>
        <w:tab/>
      </w:r>
      <w:r w:rsidRPr="00F11F4F">
        <w:rPr>
          <w:b/>
          <w:bCs/>
          <w:color w:val="000000" w:themeColor="text1"/>
        </w:rPr>
        <w:tab/>
      </w:r>
      <w:r w:rsidRPr="00F11F4F">
        <w:rPr>
          <w:b/>
          <w:bCs/>
          <w:color w:val="000000" w:themeColor="text1"/>
        </w:rPr>
        <w:tab/>
      </w:r>
    </w:p>
    <w:p w:rsidR="00550EFB" w:rsidRPr="00550EFB" w:rsidRDefault="00550EFB" w:rsidP="00F44C05">
      <w:pPr>
        <w:jc w:val="both"/>
        <w:rPr>
          <w:bCs/>
          <w:color w:val="000000" w:themeColor="text1"/>
          <w:sz w:val="24"/>
          <w:szCs w:val="24"/>
        </w:rPr>
      </w:pPr>
    </w:p>
    <w:p w:rsidR="00F44C05" w:rsidRPr="00550EFB" w:rsidRDefault="00550EFB" w:rsidP="00F44C05">
      <w:pPr>
        <w:jc w:val="both"/>
        <w:rPr>
          <w:bCs/>
          <w:color w:val="000000" w:themeColor="text1"/>
          <w:sz w:val="24"/>
          <w:szCs w:val="24"/>
        </w:rPr>
      </w:pPr>
      <w:r w:rsidRPr="00550EFB">
        <w:rPr>
          <w:bCs/>
          <w:noProof/>
          <w:color w:val="1F497D"/>
          <w:sz w:val="24"/>
          <w:szCs w:val="24"/>
        </w:rPr>
        <mc:AlternateContent>
          <mc:Choice Requires="wps">
            <w:drawing>
              <wp:anchor distT="0" distB="0" distL="114300" distR="114300" simplePos="0" relativeHeight="251687936" behindDoc="0" locked="0" layoutInCell="1" allowOverlap="1" wp14:anchorId="074F8DEF" wp14:editId="1204CC24">
                <wp:simplePos x="0" y="0"/>
                <wp:positionH relativeFrom="column">
                  <wp:posOffset>3793958</wp:posOffset>
                </wp:positionH>
                <wp:positionV relativeFrom="paragraph">
                  <wp:posOffset>15407</wp:posOffset>
                </wp:positionV>
                <wp:extent cx="978535" cy="513080"/>
                <wp:effectExtent l="0" t="0" r="12065" b="20320"/>
                <wp:wrapNone/>
                <wp:docPr id="24" name="Rectangle 24"/>
                <wp:cNvGraphicFramePr/>
                <a:graphic xmlns:a="http://schemas.openxmlformats.org/drawingml/2006/main">
                  <a:graphicData uri="http://schemas.microsoft.com/office/word/2010/wordprocessingShape">
                    <wps:wsp>
                      <wps:cNvSpPr/>
                      <wps:spPr>
                        <a:xfrm>
                          <a:off x="0" y="0"/>
                          <a:ext cx="978535" cy="51308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0B759D" w:rsidRDefault="000B759D" w:rsidP="00550EFB">
                            <w:pPr>
                              <w:jc w:val="center"/>
                            </w:pPr>
                            <w:r>
                              <w:t>CCP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2" style="position:absolute;left:0;text-align:left;margin-left:298.75pt;margin-top:1.2pt;width:77.05pt;height:4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" fillcolor="#92d050" strokecolor="#243f60 [1604]" strokeweight="2pt">
                <v:textbox>
                  <w:txbxContent>
                    <w:p w:rsidR="000B759D" w:rsidRDefault="000B759D" w:rsidP="00550EFB">
                      <w:pPr>
                        <w:jc w:val="center"/>
                      </w:pPr>
                      <w:r>
                        <w:t>CCP</w:t>
                      </w:r>
                    </w:p>
                  </w:txbxContent>
                </v:textbox>
              </v:rect>
            </w:pict>
          </mc:Fallback>
        </mc:AlternateContent>
      </w:r>
      <w:r w:rsidRPr="00550EFB">
        <w:rPr>
          <w:bCs/>
          <w:noProof/>
          <w:color w:val="1F497D"/>
          <w:sz w:val="24"/>
          <w:szCs w:val="24"/>
        </w:rPr>
        <mc:AlternateContent>
          <mc:Choice Requires="wps">
            <w:drawing>
              <wp:anchor distT="0" distB="0" distL="114300" distR="114300" simplePos="0" relativeHeight="251684864" behindDoc="0" locked="0" layoutInCell="1" allowOverlap="1" wp14:anchorId="47D78D81" wp14:editId="335C708C">
                <wp:simplePos x="0" y="0"/>
                <wp:positionH relativeFrom="column">
                  <wp:posOffset>688206</wp:posOffset>
                </wp:positionH>
                <wp:positionV relativeFrom="paragraph">
                  <wp:posOffset>14137</wp:posOffset>
                </wp:positionV>
                <wp:extent cx="978535" cy="513080"/>
                <wp:effectExtent l="0" t="0" r="12065" b="20320"/>
                <wp:wrapNone/>
                <wp:docPr id="22" name="Rectangle 22"/>
                <wp:cNvGraphicFramePr/>
                <a:graphic xmlns:a="http://schemas.openxmlformats.org/drawingml/2006/main">
                  <a:graphicData uri="http://schemas.microsoft.com/office/word/2010/wordprocessingShape">
                    <wps:wsp>
                      <wps:cNvSpPr/>
                      <wps:spPr>
                        <a:xfrm>
                          <a:off x="0" y="0"/>
                          <a:ext cx="978535" cy="51308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0B759D" w:rsidRDefault="000B759D" w:rsidP="00550EFB">
                            <w:pPr>
                              <w:jc w:val="center"/>
                            </w:pPr>
                            <w:r>
                              <w:t>CCP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3" style="position:absolute;left:0;text-align:left;margin-left:54.2pt;margin-top:1.1pt;width:77.05pt;height:4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" fillcolor="#92d050" strokecolor="#243f60 [1604]" strokeweight="2pt">
                <v:textbox>
                  <w:txbxContent>
                    <w:p w:rsidR="000B759D" w:rsidRDefault="000B759D" w:rsidP="00550EFB">
                      <w:pPr>
                        <w:jc w:val="center"/>
                      </w:pPr>
                      <w:r>
                        <w:t>CCP</w:t>
                      </w:r>
                    </w:p>
                  </w:txbxContent>
                </v:textbox>
              </v:rect>
            </w:pict>
          </mc:Fallback>
        </mc:AlternateContent>
      </w:r>
    </w:p>
    <w:p w:rsidR="00DE0CC7" w:rsidRPr="00550EFB" w:rsidRDefault="00DE0CC7" w:rsidP="0000019A">
      <w:pPr>
        <w:pStyle w:val="ListParagraph"/>
        <w:ind w:left="900"/>
        <w:jc w:val="both"/>
        <w:rPr>
          <w:bCs/>
          <w:color w:val="000000" w:themeColor="text1"/>
          <w:sz w:val="24"/>
          <w:szCs w:val="24"/>
        </w:rPr>
      </w:pPr>
    </w:p>
    <w:p w:rsidR="00DA1307" w:rsidRPr="00550EFB" w:rsidRDefault="00550EFB" w:rsidP="0000019A">
      <w:pPr>
        <w:pStyle w:val="ListParagraph"/>
        <w:ind w:left="900"/>
        <w:jc w:val="both"/>
        <w:rPr>
          <w:bCs/>
          <w:color w:val="000000" w:themeColor="text1"/>
          <w:sz w:val="24"/>
          <w:szCs w:val="24"/>
        </w:rPr>
      </w:pPr>
      <w:r w:rsidRPr="00550EFB">
        <w:rPr>
          <w:bCs/>
          <w:noProof/>
          <w:color w:val="000000" w:themeColor="text1"/>
          <w:sz w:val="24"/>
          <w:szCs w:val="24"/>
        </w:rPr>
        <mc:AlternateContent>
          <mc:Choice Requires="wps">
            <w:drawing>
              <wp:anchor distT="0" distB="0" distL="114300" distR="114300" simplePos="0" relativeHeight="251688960" behindDoc="1" locked="0" layoutInCell="1" allowOverlap="1">
                <wp:simplePos x="0" y="0"/>
                <wp:positionH relativeFrom="column">
                  <wp:posOffset>4283242</wp:posOffset>
                </wp:positionH>
                <wp:positionV relativeFrom="paragraph">
                  <wp:posOffset>37933</wp:posOffset>
                </wp:positionV>
                <wp:extent cx="8021" cy="264695"/>
                <wp:effectExtent l="76200" t="38100" r="68580" b="21590"/>
                <wp:wrapTight wrapText="bothSides">
                  <wp:wrapPolygon edited="0">
                    <wp:start x="-108000" y="-3115"/>
                    <wp:lineTo x="-216000" y="17135"/>
                    <wp:lineTo x="-108000" y="21808"/>
                    <wp:lineTo x="162000" y="21808"/>
                    <wp:lineTo x="108000" y="1558"/>
                    <wp:lineTo x="108000" y="-3115"/>
                    <wp:lineTo x="-108000" y="-3115"/>
                  </wp:wrapPolygon>
                </wp:wrapTight>
                <wp:docPr id="25" name="Straight Arrow Connector 25"/>
                <wp:cNvGraphicFramePr/>
                <a:graphic xmlns:a="http://schemas.openxmlformats.org/drawingml/2006/main">
                  <a:graphicData uri="http://schemas.microsoft.com/office/word/2010/wordprocessingShape">
                    <wps:wsp>
                      <wps:cNvCnPr/>
                      <wps:spPr>
                        <a:xfrm flipH="1" flipV="1">
                          <a:off x="0" y="0"/>
                          <a:ext cx="8021" cy="264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6AD0C31" id="Straight Arrow Connector 25" o:spid="_x0000_s1026" type="#_x0000_t32" style="position:absolute;margin-left:337.25pt;margin-top:3pt;width:.65pt;height:20.85pt;flip:x y;z-index:-251627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" strokecolor="#4579b8 [3044]">
                <v:stroke endarrow="block"/>
                <w10:wrap type="tight"/>
              </v:shape>
            </w:pict>
          </mc:Fallback>
        </mc:AlternateContent>
      </w:r>
      <w:r w:rsidRPr="00550EFB">
        <w:rPr>
          <w:bCs/>
          <w:noProof/>
          <w:color w:val="000000" w:themeColor="text1"/>
          <w:sz w:val="24"/>
          <w:szCs w:val="24"/>
        </w:rPr>
        <mc:AlternateContent>
          <mc:Choice Requires="wps">
            <w:drawing>
              <wp:anchor distT="0" distB="0" distL="114300" distR="114300" simplePos="0" relativeHeight="251685888" behindDoc="0" locked="0" layoutInCell="1" allowOverlap="1" wp14:anchorId="18611823" wp14:editId="5FE7C4DD">
                <wp:simplePos x="0" y="0"/>
                <wp:positionH relativeFrom="column">
                  <wp:posOffset>1163053</wp:posOffset>
                </wp:positionH>
                <wp:positionV relativeFrom="paragraph">
                  <wp:posOffset>76467</wp:posOffset>
                </wp:positionV>
                <wp:extent cx="8021" cy="280737"/>
                <wp:effectExtent l="38100" t="0" r="68580" b="62230"/>
                <wp:wrapNone/>
                <wp:docPr id="23" name="Straight Arrow Connector 23"/>
                <wp:cNvGraphicFramePr/>
                <a:graphic xmlns:a="http://schemas.openxmlformats.org/drawingml/2006/main">
                  <a:graphicData uri="http://schemas.microsoft.com/office/word/2010/wordprocessingShape">
                    <wps:wsp>
                      <wps:cNvCnPr/>
                      <wps:spPr>
                        <a:xfrm>
                          <a:off x="0" y="0"/>
                          <a:ext cx="8021" cy="2807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ADCA0AD" id="Straight Arrow Connector 23" o:spid="_x0000_s1026" type="#_x0000_t32" style="position:absolute;margin-left:91.6pt;margin-top:6pt;width:.65pt;height:22.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" strokecolor="#4579b8 [3044]">
                <v:stroke endarrow="block"/>
              </v:shape>
            </w:pict>
          </mc:Fallback>
        </mc:AlternateContent>
      </w:r>
    </w:p>
    <w:p w:rsidR="00DA1307" w:rsidRPr="00550EFB" w:rsidRDefault="00DA1307" w:rsidP="00DA1307">
      <w:pPr>
        <w:pStyle w:val="ListParagraph"/>
        <w:jc w:val="both"/>
        <w:rPr>
          <w:bCs/>
          <w:color w:val="1F497D"/>
          <w:sz w:val="24"/>
          <w:szCs w:val="24"/>
        </w:rPr>
      </w:pPr>
    </w:p>
    <w:p w:rsidR="00DA1307" w:rsidRPr="00550EFB" w:rsidRDefault="00550EFB" w:rsidP="00DA1307">
      <w:pPr>
        <w:pStyle w:val="ListParagraph"/>
        <w:jc w:val="both"/>
        <w:rPr>
          <w:bCs/>
          <w:color w:val="1F497D"/>
          <w:sz w:val="24"/>
          <w:szCs w:val="24"/>
        </w:rPr>
      </w:pPr>
      <w:r w:rsidRPr="00550EFB">
        <w:rPr>
          <w:bCs/>
          <w:noProof/>
          <w:color w:val="1F497D"/>
          <w:sz w:val="24"/>
          <w:szCs w:val="24"/>
        </w:rPr>
        <mc:AlternateContent>
          <mc:Choice Requires="wps">
            <w:drawing>
              <wp:anchor distT="0" distB="0" distL="114300" distR="114300" simplePos="0" relativeHeight="251676672" behindDoc="0" locked="0" layoutInCell="1" allowOverlap="1" wp14:anchorId="0CB6702E" wp14:editId="4DFA4437">
                <wp:simplePos x="0" y="0"/>
                <wp:positionH relativeFrom="column">
                  <wp:posOffset>665747</wp:posOffset>
                </wp:positionH>
                <wp:positionV relativeFrom="paragraph">
                  <wp:posOffset>11196</wp:posOffset>
                </wp:positionV>
                <wp:extent cx="978535" cy="497038"/>
                <wp:effectExtent l="0" t="0" r="12065" b="17780"/>
                <wp:wrapNone/>
                <wp:docPr id="18" name="Rectangle 18"/>
                <wp:cNvGraphicFramePr/>
                <a:graphic xmlns:a="http://schemas.openxmlformats.org/drawingml/2006/main">
                  <a:graphicData uri="http://schemas.microsoft.com/office/word/2010/wordprocessingShape">
                    <wps:wsp>
                      <wps:cNvSpPr/>
                      <wps:spPr>
                        <a:xfrm>
                          <a:off x="0" y="0"/>
                          <a:ext cx="978535" cy="49703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759D" w:rsidRDefault="000B759D" w:rsidP="00DA1307">
                            <w:pPr>
                              <w:jc w:val="center"/>
                            </w:pPr>
                            <w:r>
                              <w:t>Market Maker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4" style="position:absolute;left:0;text-align:left;margin-left:52.4pt;margin-top:.9pt;width:77.05pt;height:39.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" fillcolor="#4f81bd [3204]" strokecolor="#243f60 [1604]" strokeweight="2pt">
                <v:textbox>
                  <w:txbxContent>
                    <w:p w:rsidR="000B759D" w:rsidRDefault="000B759D" w:rsidP="00DA1307">
                      <w:pPr>
                        <w:jc w:val="center"/>
                      </w:pPr>
                      <w:r>
                        <w:t>Market Maker</w:t>
                      </w:r>
                    </w:p>
                  </w:txbxContent>
                </v:textbox>
              </v:rect>
            </w:pict>
          </mc:Fallback>
        </mc:AlternateContent>
      </w:r>
      <w:r w:rsidR="00DA1307" w:rsidRPr="00550EFB">
        <w:rPr>
          <w:bCs/>
          <w:noProof/>
          <w:color w:val="1F497D"/>
          <w:sz w:val="24"/>
          <w:szCs w:val="24"/>
        </w:rPr>
        <mc:AlternateContent>
          <mc:Choice Requires="wps">
            <w:drawing>
              <wp:anchor distT="0" distB="0" distL="114300" distR="114300" simplePos="0" relativeHeight="251678720" behindDoc="0" locked="0" layoutInCell="1" allowOverlap="1" wp14:anchorId="5FB7F122" wp14:editId="2EAA9F7C">
                <wp:simplePos x="0" y="0"/>
                <wp:positionH relativeFrom="margin">
                  <wp:posOffset>3801478</wp:posOffset>
                </wp:positionH>
                <wp:positionV relativeFrom="paragraph">
                  <wp:posOffset>1270</wp:posOffset>
                </wp:positionV>
                <wp:extent cx="978535" cy="505059"/>
                <wp:effectExtent l="0" t="0" r="12065" b="28575"/>
                <wp:wrapNone/>
                <wp:docPr id="17" name="Rectangle 17"/>
                <wp:cNvGraphicFramePr/>
                <a:graphic xmlns:a="http://schemas.openxmlformats.org/drawingml/2006/main">
                  <a:graphicData uri="http://schemas.microsoft.com/office/word/2010/wordprocessingShape">
                    <wps:wsp>
                      <wps:cNvSpPr/>
                      <wps:spPr>
                        <a:xfrm>
                          <a:off x="0" y="0"/>
                          <a:ext cx="978535" cy="5050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759D" w:rsidRDefault="000B759D" w:rsidP="00550EFB">
                            <w:pPr>
                              <w:jc w:val="center"/>
                            </w:pPr>
                            <w:r>
                              <w:t>Market Maker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5" style="position:absolute;left:0;text-align:left;margin-left:299.35pt;margin-top:.1pt;width:77.05pt;height:39.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" fillcolor="#4f81bd [3204]" strokecolor="#243f60 [1604]" strokeweight="2pt">
                <v:textbox>
                  <w:txbxContent>
                    <w:p w:rsidR="000B759D" w:rsidRDefault="000B759D" w:rsidP="00550EFB">
                      <w:pPr>
                        <w:jc w:val="center"/>
                      </w:pPr>
                      <w:r>
                        <w:t>Market Maker</w:t>
                      </w:r>
                    </w:p>
                  </w:txbxContent>
                </v:textbox>
                <w10:wrap anchorx="margin"/>
              </v:rect>
            </w:pict>
          </mc:Fallback>
        </mc:AlternateContent>
      </w:r>
      <w:r w:rsidR="00DA1307" w:rsidRPr="00550EFB">
        <w:rPr>
          <w:bCs/>
          <w:noProof/>
          <w:color w:val="1F497D"/>
          <w:sz w:val="24"/>
          <w:szCs w:val="24"/>
        </w:rPr>
        <mc:AlternateContent>
          <mc:Choice Requires="wps">
            <w:drawing>
              <wp:anchor distT="0" distB="0" distL="114300" distR="114300" simplePos="0" relativeHeight="251677696" behindDoc="0" locked="0" layoutInCell="1" allowOverlap="1" wp14:anchorId="62B534BB" wp14:editId="5CB4DE39">
                <wp:simplePos x="0" y="0"/>
                <wp:positionH relativeFrom="margin">
                  <wp:posOffset>2228550</wp:posOffset>
                </wp:positionH>
                <wp:positionV relativeFrom="paragraph">
                  <wp:posOffset>9525</wp:posOffset>
                </wp:positionV>
                <wp:extent cx="978535" cy="505059"/>
                <wp:effectExtent l="0" t="0" r="12065" b="28575"/>
                <wp:wrapNone/>
                <wp:docPr id="16" name="Rectangle 16"/>
                <wp:cNvGraphicFramePr/>
                <a:graphic xmlns:a="http://schemas.openxmlformats.org/drawingml/2006/main">
                  <a:graphicData uri="http://schemas.microsoft.com/office/word/2010/wordprocessingShape">
                    <wps:wsp>
                      <wps:cNvSpPr/>
                      <wps:spPr>
                        <a:xfrm>
                          <a:off x="0" y="0"/>
                          <a:ext cx="978535" cy="505059"/>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rsidR="000B759D" w:rsidRDefault="000B759D" w:rsidP="00DA1307">
                            <w:pPr>
                              <w:jc w:val="center"/>
                            </w:pPr>
                            <w:r>
                              <w:t>Investor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6" style="position:absolute;left:0;text-align:left;margin-left:175.5pt;margin-top:.75pt;width:77.05pt;height:39.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" fillcolor="#f79646 [3209]" strokecolor="#243f60 [1604]" strokeweight="2pt">
                <v:textbox>
                  <w:txbxContent>
                    <w:p w:rsidR="000B759D" w:rsidRDefault="000B759D" w:rsidP="00DA1307">
                      <w:pPr>
                        <w:jc w:val="center"/>
                      </w:pPr>
                      <w:r>
                        <w:t>Investor</w:t>
                      </w:r>
                    </w:p>
                  </w:txbxContent>
                </v:textbox>
                <w10:wrap anchorx="margin"/>
              </v:rect>
            </w:pict>
          </mc:Fallback>
        </mc:AlternateContent>
      </w:r>
      <w:r w:rsidR="00DA1307" w:rsidRPr="00550EFB">
        <w:rPr>
          <w:bCs/>
          <w:noProof/>
          <w:color w:val="1F497D"/>
          <w:sz w:val="24"/>
          <w:szCs w:val="24"/>
        </w:rPr>
        <mc:AlternateContent>
          <mc:Choice Requires="wps">
            <w:drawing>
              <wp:anchor distT="0" distB="0" distL="114300" distR="114300" simplePos="0" relativeHeight="251674624" behindDoc="0" locked="0" layoutInCell="1" allowOverlap="1" wp14:anchorId="21BE06F4" wp14:editId="121D74BE">
                <wp:simplePos x="0" y="0"/>
                <wp:positionH relativeFrom="margin">
                  <wp:posOffset>5341487</wp:posOffset>
                </wp:positionH>
                <wp:positionV relativeFrom="paragraph">
                  <wp:posOffset>8622</wp:posOffset>
                </wp:positionV>
                <wp:extent cx="978535" cy="505059"/>
                <wp:effectExtent l="0" t="0" r="12065" b="28575"/>
                <wp:wrapNone/>
                <wp:docPr id="13" name="Rectangle 13"/>
                <wp:cNvGraphicFramePr/>
                <a:graphic xmlns:a="http://schemas.openxmlformats.org/drawingml/2006/main">
                  <a:graphicData uri="http://schemas.microsoft.com/office/word/2010/wordprocessingShape">
                    <wps:wsp>
                      <wps:cNvSpPr/>
                      <wps:spPr>
                        <a:xfrm>
                          <a:off x="0" y="0"/>
                          <a:ext cx="978535" cy="505059"/>
                        </a:xfrm>
                        <a:prstGeom prst="rect">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B759D" w:rsidRDefault="000B759D" w:rsidP="00DA1307">
                            <w:pPr>
                              <w:jc w:val="center"/>
                            </w:pPr>
                            <w:r>
                              <w:t>ETF Issuer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7" style="position:absolute;left:0;text-align:left;margin-left:420.6pt;margin-top:.7pt;width:77.05pt;height:39.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" fillcolor="#5f497a [2407]" strokecolor="#243f60 [1604]" strokeweight="2pt">
                <v:textbox>
                  <w:txbxContent>
                    <w:p w:rsidR="000B759D" w:rsidRDefault="000B759D" w:rsidP="00DA1307">
                      <w:pPr>
                        <w:jc w:val="center"/>
                      </w:pPr>
                      <w:r>
                        <w:t>ETF Issuer</w:t>
                      </w:r>
                    </w:p>
                  </w:txbxContent>
                </v:textbox>
                <w10:wrap anchorx="margin"/>
              </v:rect>
            </w:pict>
          </mc:Fallback>
        </mc:AlternateContent>
      </w:r>
    </w:p>
    <w:p w:rsidR="00DA1307" w:rsidRPr="00550EFB" w:rsidRDefault="00DA1307" w:rsidP="00DA1307">
      <w:pPr>
        <w:pStyle w:val="ListParagraph"/>
        <w:jc w:val="both"/>
        <w:rPr>
          <w:bCs/>
          <w:color w:val="1F497D"/>
          <w:sz w:val="24"/>
          <w:szCs w:val="24"/>
        </w:rPr>
      </w:pPr>
      <w:r w:rsidRPr="00550EFB">
        <w:rPr>
          <w:bCs/>
          <w:noProof/>
          <w:color w:val="1F497D"/>
          <w:sz w:val="24"/>
          <w:szCs w:val="24"/>
        </w:rPr>
        <mc:AlternateContent>
          <mc:Choice Requires="wps">
            <w:drawing>
              <wp:anchor distT="0" distB="0" distL="114300" distR="114300" simplePos="0" relativeHeight="251680768" behindDoc="0" locked="0" layoutInCell="1" allowOverlap="1" wp14:anchorId="229A6D5C" wp14:editId="19623392">
                <wp:simplePos x="0" y="0"/>
                <wp:positionH relativeFrom="margin">
                  <wp:posOffset>3320048</wp:posOffset>
                </wp:positionH>
                <wp:positionV relativeFrom="paragraph">
                  <wp:posOffset>83820</wp:posOffset>
                </wp:positionV>
                <wp:extent cx="360947" cy="0"/>
                <wp:effectExtent l="0" t="76200" r="20320" b="95250"/>
                <wp:wrapNone/>
                <wp:docPr id="19" name="Straight Arrow Connector 19"/>
                <wp:cNvGraphicFramePr/>
                <a:graphic xmlns:a="http://schemas.openxmlformats.org/drawingml/2006/main">
                  <a:graphicData uri="http://schemas.microsoft.com/office/word/2010/wordprocessingShape">
                    <wps:wsp>
                      <wps:cNvCnPr/>
                      <wps:spPr>
                        <a:xfrm>
                          <a:off x="0" y="0"/>
                          <a:ext cx="36094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12E8F8F" id="Straight Arrow Connector 19" o:spid="_x0000_s1026" type="#_x0000_t32" style="position:absolute;margin-left:261.4pt;margin-top:6.6pt;width:28.4pt;height:0;z-index:2516807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" strokecolor="#4579b8 [3044]">
                <v:stroke endarrow="block"/>
                <w10:wrap anchorx="margin"/>
              </v:shape>
            </w:pict>
          </mc:Fallback>
        </mc:AlternateContent>
      </w:r>
      <w:r w:rsidRPr="00550EFB">
        <w:rPr>
          <w:bCs/>
          <w:noProof/>
          <w:color w:val="1F497D"/>
          <w:sz w:val="24"/>
          <w:szCs w:val="24"/>
        </w:rPr>
        <mc:AlternateContent>
          <mc:Choice Requires="wps">
            <w:drawing>
              <wp:anchor distT="0" distB="0" distL="114300" distR="114300" simplePos="0" relativeHeight="251682816" behindDoc="0" locked="0" layoutInCell="1" allowOverlap="1" wp14:anchorId="67613703" wp14:editId="1788592A">
                <wp:simplePos x="0" y="0"/>
                <wp:positionH relativeFrom="margin">
                  <wp:posOffset>4916906</wp:posOffset>
                </wp:positionH>
                <wp:positionV relativeFrom="paragraph">
                  <wp:posOffset>83586</wp:posOffset>
                </wp:positionV>
                <wp:extent cx="360947" cy="0"/>
                <wp:effectExtent l="0" t="76200" r="20320" b="95250"/>
                <wp:wrapNone/>
                <wp:docPr id="21" name="Straight Arrow Connector 21"/>
                <wp:cNvGraphicFramePr/>
                <a:graphic xmlns:a="http://schemas.openxmlformats.org/drawingml/2006/main">
                  <a:graphicData uri="http://schemas.microsoft.com/office/word/2010/wordprocessingShape">
                    <wps:wsp>
                      <wps:cNvCnPr/>
                      <wps:spPr>
                        <a:xfrm>
                          <a:off x="0" y="0"/>
                          <a:ext cx="36094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B1BAC22" id="Straight Arrow Connector 21" o:spid="_x0000_s1026" type="#_x0000_t32" style="position:absolute;margin-left:387.15pt;margin-top:6.6pt;width:28.4pt;height:0;z-index:2516828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" strokecolor="#4579b8 [3044]">
                <v:stroke endarrow="block"/>
                <w10:wrap anchorx="margin"/>
              </v:shape>
            </w:pict>
          </mc:Fallback>
        </mc:AlternateContent>
      </w:r>
      <w:r w:rsidRPr="00550EFB">
        <w:rPr>
          <w:bCs/>
          <w:noProof/>
          <w:color w:val="1F497D"/>
          <w:sz w:val="24"/>
          <w:szCs w:val="24"/>
        </w:rPr>
        <mc:AlternateContent>
          <mc:Choice Requires="wps">
            <w:drawing>
              <wp:anchor distT="0" distB="0" distL="114300" distR="114300" simplePos="0" relativeHeight="251679744" behindDoc="0" locked="0" layoutInCell="1" allowOverlap="1" wp14:anchorId="64D16963" wp14:editId="50C4DF98">
                <wp:simplePos x="0" y="0"/>
                <wp:positionH relativeFrom="column">
                  <wp:posOffset>1755808</wp:posOffset>
                </wp:positionH>
                <wp:positionV relativeFrom="paragraph">
                  <wp:posOffset>71120</wp:posOffset>
                </wp:positionV>
                <wp:extent cx="360947" cy="0"/>
                <wp:effectExtent l="0" t="76200" r="20320" b="95250"/>
                <wp:wrapNone/>
                <wp:docPr id="20" name="Straight Arrow Connector 20"/>
                <wp:cNvGraphicFramePr/>
                <a:graphic xmlns:a="http://schemas.openxmlformats.org/drawingml/2006/main">
                  <a:graphicData uri="http://schemas.microsoft.com/office/word/2010/wordprocessingShape">
                    <wps:wsp>
                      <wps:cNvCnPr/>
                      <wps:spPr>
                        <a:xfrm>
                          <a:off x="0" y="0"/>
                          <a:ext cx="36094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0768EE4" id="Straight Arrow Connector 20" o:spid="_x0000_s1026" type="#_x0000_t32" style="position:absolute;margin-left:138.25pt;margin-top:5.6pt;width:28.4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" strokecolor="#4579b8 [3044]">
                <v:stroke endarrow="block"/>
              </v:shape>
            </w:pict>
          </mc:Fallback>
        </mc:AlternateContent>
      </w:r>
      <w:r w:rsidRPr="00550EFB">
        <w:rPr>
          <w:bCs/>
          <w:color w:val="1F497D"/>
          <w:sz w:val="24"/>
          <w:szCs w:val="24"/>
        </w:rPr>
        <w:tab/>
      </w:r>
    </w:p>
    <w:p w:rsidR="00DA1307" w:rsidRDefault="00DA1307" w:rsidP="00DA1307">
      <w:pPr>
        <w:ind w:left="180"/>
        <w:jc w:val="both"/>
        <w:rPr>
          <w:bCs/>
          <w:color w:val="000000" w:themeColor="text1"/>
        </w:rPr>
      </w:pPr>
    </w:p>
    <w:p w:rsidR="00DA1307" w:rsidRDefault="00DA1307" w:rsidP="0000019A">
      <w:pPr>
        <w:pStyle w:val="ListParagraph"/>
        <w:ind w:left="900"/>
        <w:jc w:val="both"/>
        <w:rPr>
          <w:bCs/>
          <w:color w:val="000000" w:themeColor="text1"/>
        </w:rPr>
      </w:pPr>
    </w:p>
    <w:p w:rsidR="00DA1307" w:rsidRDefault="00DA1307" w:rsidP="0000019A">
      <w:pPr>
        <w:pStyle w:val="ListParagraph"/>
        <w:ind w:left="900"/>
        <w:jc w:val="both"/>
        <w:rPr>
          <w:bCs/>
          <w:color w:val="000000" w:themeColor="text1"/>
        </w:rPr>
      </w:pPr>
    </w:p>
    <w:p w:rsidR="009E353E" w:rsidRDefault="009E353E" w:rsidP="0000019A">
      <w:pPr>
        <w:pStyle w:val="ListParagraph"/>
        <w:ind w:left="900"/>
        <w:jc w:val="both"/>
        <w:rPr>
          <w:bCs/>
          <w:color w:val="000000" w:themeColor="text1"/>
        </w:rPr>
      </w:pPr>
    </w:p>
    <w:p w:rsidR="00DA1307" w:rsidRDefault="00DA1307" w:rsidP="0000019A">
      <w:pPr>
        <w:pStyle w:val="ListParagraph"/>
        <w:ind w:left="900"/>
        <w:jc w:val="both"/>
        <w:rPr>
          <w:bCs/>
          <w:color w:val="000000" w:themeColor="text1"/>
        </w:rPr>
      </w:pPr>
    </w:p>
    <w:p w:rsidR="00DE0CC7" w:rsidRDefault="00E31AA1" w:rsidP="0000019A">
      <w:pPr>
        <w:pStyle w:val="ListParagraph"/>
        <w:numPr>
          <w:ilvl w:val="0"/>
          <w:numId w:val="4"/>
        </w:numPr>
        <w:jc w:val="both"/>
        <w:rPr>
          <w:bCs/>
          <w:color w:val="000000" w:themeColor="text1"/>
        </w:rPr>
      </w:pPr>
      <w:r>
        <w:rPr>
          <w:bCs/>
          <w:color w:val="000000" w:themeColor="text1"/>
        </w:rPr>
        <w:t>ETF</w:t>
      </w:r>
      <w:r w:rsidR="003E3387">
        <w:rPr>
          <w:bCs/>
          <w:color w:val="000000" w:themeColor="text1"/>
        </w:rPr>
        <w:t xml:space="preserve"> market participant’s trade across a number of European trading venues and in order to settle their deliveries they have to move shares between various markets (reposition process). We believ</w:t>
      </w:r>
      <w:r>
        <w:rPr>
          <w:bCs/>
          <w:color w:val="000000" w:themeColor="text1"/>
        </w:rPr>
        <w:t>e it is important to flag t</w:t>
      </w:r>
      <w:r w:rsidR="003E3387">
        <w:rPr>
          <w:bCs/>
          <w:color w:val="000000" w:themeColor="text1"/>
        </w:rPr>
        <w:t xml:space="preserve">hat in some cases it takes </w:t>
      </w:r>
      <w:r w:rsidR="00636C50">
        <w:rPr>
          <w:bCs/>
          <w:color w:val="000000" w:themeColor="text1"/>
        </w:rPr>
        <w:t>two to three</w:t>
      </w:r>
      <w:r w:rsidR="003E3387">
        <w:rPr>
          <w:bCs/>
          <w:color w:val="000000" w:themeColor="text1"/>
        </w:rPr>
        <w:t xml:space="preserve"> days to settle a reposition since the mark up mark down process is required. It is quite unclear who </w:t>
      </w:r>
      <w:r w:rsidR="00F11F4F">
        <w:rPr>
          <w:bCs/>
          <w:color w:val="000000" w:themeColor="text1"/>
        </w:rPr>
        <w:t>trading parties</w:t>
      </w:r>
      <w:r w:rsidR="003E3387">
        <w:rPr>
          <w:bCs/>
          <w:color w:val="000000" w:themeColor="text1"/>
        </w:rPr>
        <w:t xml:space="preserve"> could pass the costs to if </w:t>
      </w:r>
      <w:r w:rsidR="00F11F4F">
        <w:rPr>
          <w:bCs/>
          <w:color w:val="000000" w:themeColor="text1"/>
        </w:rPr>
        <w:t>a</w:t>
      </w:r>
      <w:r w:rsidR="003E3387">
        <w:rPr>
          <w:bCs/>
          <w:color w:val="000000" w:themeColor="text1"/>
        </w:rPr>
        <w:t xml:space="preserve"> reposition did not settle on time. </w:t>
      </w:r>
      <w:r>
        <w:rPr>
          <w:bCs/>
          <w:color w:val="000000" w:themeColor="text1"/>
        </w:rPr>
        <w:t>In our view a selling</w:t>
      </w:r>
      <w:r w:rsidR="003E3387">
        <w:rPr>
          <w:bCs/>
          <w:color w:val="000000" w:themeColor="text1"/>
        </w:rPr>
        <w:t xml:space="preserve"> party would be penalized for a</w:t>
      </w:r>
      <w:r>
        <w:rPr>
          <w:bCs/>
          <w:color w:val="000000" w:themeColor="text1"/>
        </w:rPr>
        <w:t>n unavoidable</w:t>
      </w:r>
      <w:r w:rsidR="003E3387">
        <w:rPr>
          <w:bCs/>
          <w:color w:val="000000" w:themeColor="text1"/>
        </w:rPr>
        <w:t xml:space="preserve"> complexity of the ETF market. </w:t>
      </w:r>
    </w:p>
    <w:p w:rsidR="00E13AC5" w:rsidRDefault="00E13AC5" w:rsidP="00D519DB">
      <w:pPr>
        <w:jc w:val="both"/>
        <w:rPr>
          <w:bCs/>
          <w:color w:val="000000" w:themeColor="text1"/>
        </w:rPr>
      </w:pPr>
    </w:p>
    <w:p w:rsidR="009E353E" w:rsidRPr="00D519DB" w:rsidRDefault="009E353E" w:rsidP="00D519DB">
      <w:pPr>
        <w:jc w:val="both"/>
        <w:rPr>
          <w:bCs/>
          <w:color w:val="000000" w:themeColor="text1"/>
        </w:rPr>
      </w:pPr>
    </w:p>
    <w:p w:rsidR="006F34A0" w:rsidRPr="009E353E" w:rsidRDefault="00EF651A" w:rsidP="0000019A">
      <w:pPr>
        <w:pStyle w:val="ListParagraph"/>
        <w:numPr>
          <w:ilvl w:val="0"/>
          <w:numId w:val="4"/>
        </w:numPr>
        <w:jc w:val="both"/>
        <w:rPr>
          <w:bCs/>
          <w:color w:val="000000" w:themeColor="text1"/>
        </w:rPr>
      </w:pPr>
      <w:r>
        <w:rPr>
          <w:bCs/>
          <w:color w:val="000000" w:themeColor="text1"/>
        </w:rPr>
        <w:lastRenderedPageBreak/>
        <w:t xml:space="preserve">Broker A </w:t>
      </w:r>
      <w:r w:rsidR="00463283">
        <w:rPr>
          <w:bCs/>
          <w:color w:val="000000" w:themeColor="text1"/>
        </w:rPr>
        <w:t>bought</w:t>
      </w:r>
      <w:r>
        <w:rPr>
          <w:bCs/>
          <w:color w:val="000000" w:themeColor="text1"/>
        </w:rPr>
        <w:t xml:space="preserve"> securities from Broker B, broker B bought securities from Broker C and Broker C bought securities from broker D. If all these transactions are executed on the same </w:t>
      </w:r>
      <w:r w:rsidR="00791A23">
        <w:rPr>
          <w:bCs/>
          <w:color w:val="000000" w:themeColor="text1"/>
        </w:rPr>
        <w:t xml:space="preserve">day </w:t>
      </w:r>
      <w:r>
        <w:rPr>
          <w:bCs/>
          <w:color w:val="000000" w:themeColor="text1"/>
        </w:rPr>
        <w:t>then there is a risk that e</w:t>
      </w:r>
      <w:r w:rsidR="005B1FB9">
        <w:rPr>
          <w:bCs/>
          <w:color w:val="000000" w:themeColor="text1"/>
        </w:rPr>
        <w:t xml:space="preserve">ach of the parties </w:t>
      </w:r>
      <w:r w:rsidR="00463283">
        <w:rPr>
          <w:bCs/>
          <w:color w:val="000000" w:themeColor="text1"/>
        </w:rPr>
        <w:t>will look for an alternative cover shall the broker D fail and trigger</w:t>
      </w:r>
      <w:r w:rsidR="005B1FB9">
        <w:rPr>
          <w:bCs/>
          <w:color w:val="000000" w:themeColor="text1"/>
        </w:rPr>
        <w:t xml:space="preserve"> </w:t>
      </w:r>
      <w:r w:rsidR="00463283">
        <w:rPr>
          <w:bCs/>
          <w:color w:val="000000" w:themeColor="text1"/>
        </w:rPr>
        <w:t xml:space="preserve">a number of buy in notices. Our concern is that this could impact the </w:t>
      </w:r>
      <w:r w:rsidR="005B1FB9">
        <w:rPr>
          <w:bCs/>
          <w:color w:val="000000" w:themeColor="text1"/>
        </w:rPr>
        <w:t>ETF price as inflated</w:t>
      </w:r>
      <w:r w:rsidR="00463283">
        <w:rPr>
          <w:bCs/>
          <w:color w:val="000000" w:themeColor="text1"/>
        </w:rPr>
        <w:t xml:space="preserve"> </w:t>
      </w:r>
      <w:r w:rsidR="00045467">
        <w:rPr>
          <w:bCs/>
          <w:color w:val="000000" w:themeColor="text1"/>
        </w:rPr>
        <w:t>demand will be triggered by buy-</w:t>
      </w:r>
      <w:r w:rsidR="00463283">
        <w:rPr>
          <w:bCs/>
          <w:color w:val="000000" w:themeColor="text1"/>
        </w:rPr>
        <w:t>in notices and brokers trying to</w:t>
      </w:r>
      <w:r w:rsidR="00045467">
        <w:rPr>
          <w:bCs/>
          <w:color w:val="000000" w:themeColor="text1"/>
        </w:rPr>
        <w:t xml:space="preserve"> reduce a cost of potential buy-</w:t>
      </w:r>
      <w:r w:rsidR="00463283">
        <w:rPr>
          <w:bCs/>
          <w:color w:val="000000" w:themeColor="text1"/>
        </w:rPr>
        <w:t>in.</w:t>
      </w:r>
    </w:p>
    <w:p w:rsidR="006F34A0" w:rsidRDefault="006F34A0" w:rsidP="0000019A">
      <w:pPr>
        <w:jc w:val="both"/>
        <w:rPr>
          <w:bCs/>
          <w:color w:val="000000" w:themeColor="text1"/>
        </w:rPr>
      </w:pPr>
    </w:p>
    <w:p w:rsidR="00316710" w:rsidRPr="004C0077" w:rsidRDefault="00316710" w:rsidP="0000019A">
      <w:pPr>
        <w:jc w:val="both"/>
        <w:rPr>
          <w:bCs/>
          <w:color w:val="000000" w:themeColor="text1"/>
        </w:rPr>
      </w:pPr>
    </w:p>
    <w:p w:rsidR="009759BA" w:rsidRPr="002D47F3" w:rsidRDefault="009759BA" w:rsidP="002D47F3">
      <w:pPr>
        <w:pStyle w:val="Default"/>
        <w:pBdr>
          <w:top w:val="single" w:sz="4" w:space="0" w:color="auto"/>
          <w:left w:val="single" w:sz="4" w:space="4" w:color="auto"/>
          <w:bottom w:val="single" w:sz="4" w:space="0" w:color="auto"/>
          <w:right w:val="single" w:sz="4" w:space="4" w:color="auto"/>
        </w:pBdr>
        <w:rPr>
          <w:b/>
          <w:bCs/>
          <w:color w:val="002060"/>
          <w:sz w:val="20"/>
          <w:szCs w:val="20"/>
        </w:rPr>
      </w:pPr>
      <w:r w:rsidRPr="002D47F3">
        <w:rPr>
          <w:b/>
          <w:bCs/>
          <w:color w:val="002060"/>
          <w:sz w:val="20"/>
          <w:szCs w:val="20"/>
        </w:rPr>
        <w:t xml:space="preserve">Q3: Should you believe that the </w:t>
      </w:r>
      <w:proofErr w:type="spellStart"/>
      <w:r w:rsidRPr="002D47F3">
        <w:rPr>
          <w:b/>
          <w:bCs/>
          <w:color w:val="002060"/>
          <w:sz w:val="20"/>
          <w:szCs w:val="20"/>
        </w:rPr>
        <w:t>collateralisation</w:t>
      </w:r>
      <w:proofErr w:type="spellEnd"/>
      <w:r w:rsidRPr="002D47F3">
        <w:rPr>
          <w:b/>
          <w:bCs/>
          <w:color w:val="002060"/>
          <w:sz w:val="20"/>
          <w:szCs w:val="20"/>
        </w:rPr>
        <w:t xml:space="preserve"> costs attached to this option are significant, please provide detailed quantitative data to estimate the exact costs and please explain why a participant would need to </w:t>
      </w:r>
      <w:proofErr w:type="spellStart"/>
      <w:r w:rsidRPr="002D47F3">
        <w:rPr>
          <w:b/>
          <w:bCs/>
          <w:color w:val="002060"/>
          <w:sz w:val="20"/>
          <w:szCs w:val="20"/>
        </w:rPr>
        <w:t>collateralise</w:t>
      </w:r>
      <w:proofErr w:type="spellEnd"/>
      <w:r w:rsidRPr="002D47F3">
        <w:rPr>
          <w:b/>
          <w:bCs/>
          <w:color w:val="002060"/>
          <w:sz w:val="20"/>
          <w:szCs w:val="20"/>
        </w:rPr>
        <w:t xml:space="preserve"> its settlement instructions under this option. </w:t>
      </w:r>
    </w:p>
    <w:p w:rsidR="009759BA" w:rsidRDefault="009759BA" w:rsidP="0000019A">
      <w:pPr>
        <w:jc w:val="both"/>
        <w:rPr>
          <w:color w:val="000000" w:themeColor="text1"/>
        </w:rPr>
      </w:pPr>
    </w:p>
    <w:p w:rsidR="009759BA" w:rsidRDefault="009759BA" w:rsidP="0000019A">
      <w:pPr>
        <w:jc w:val="both"/>
        <w:rPr>
          <w:color w:val="000000" w:themeColor="text1"/>
        </w:rPr>
      </w:pPr>
    </w:p>
    <w:p w:rsidR="00D867CE" w:rsidRDefault="004C0077" w:rsidP="0000019A">
      <w:pPr>
        <w:jc w:val="both"/>
        <w:rPr>
          <w:color w:val="000000" w:themeColor="text1"/>
        </w:rPr>
      </w:pPr>
      <w:r w:rsidRPr="004C0077">
        <w:rPr>
          <w:color w:val="000000" w:themeColor="text1"/>
        </w:rPr>
        <w:t>We believ</w:t>
      </w:r>
      <w:r w:rsidR="00E31AA1">
        <w:rPr>
          <w:color w:val="000000" w:themeColor="text1"/>
        </w:rPr>
        <w:t>e that the collateralization of</w:t>
      </w:r>
      <w:r>
        <w:rPr>
          <w:color w:val="000000" w:themeColor="text1"/>
        </w:rPr>
        <w:t xml:space="preserve"> OTC trades as part of the new buy in regime would be extremely difficult in cases where</w:t>
      </w:r>
      <w:r w:rsidR="00E31AA1">
        <w:rPr>
          <w:color w:val="000000" w:themeColor="text1"/>
        </w:rPr>
        <w:t xml:space="preserve"> a</w:t>
      </w:r>
      <w:r>
        <w:rPr>
          <w:color w:val="000000" w:themeColor="text1"/>
        </w:rPr>
        <w:t xml:space="preserve"> linked ETF transaction involves a number of parties and CSDs. We recognize that this process is managed well by CCP</w:t>
      </w:r>
      <w:r w:rsidR="00E31AA1">
        <w:rPr>
          <w:color w:val="000000" w:themeColor="text1"/>
        </w:rPr>
        <w:t>’s,</w:t>
      </w:r>
      <w:r>
        <w:rPr>
          <w:color w:val="000000" w:themeColor="text1"/>
        </w:rPr>
        <w:t xml:space="preserve"> however on exchange and off exchange markets can’t be compared alike.</w:t>
      </w:r>
      <w:r w:rsidR="00D867CE">
        <w:rPr>
          <w:color w:val="000000" w:themeColor="text1"/>
        </w:rPr>
        <w:t xml:space="preserve"> </w:t>
      </w:r>
    </w:p>
    <w:p w:rsidR="00F11BC5" w:rsidRDefault="00D867CE" w:rsidP="0000019A">
      <w:pPr>
        <w:jc w:val="both"/>
        <w:rPr>
          <w:color w:val="000000" w:themeColor="text1"/>
        </w:rPr>
      </w:pPr>
      <w:r>
        <w:rPr>
          <w:color w:val="000000" w:themeColor="text1"/>
        </w:rPr>
        <w:t>In our view it is unclear how the failing participant, who acts as an intermediary between trading parties, can ensure that</w:t>
      </w:r>
      <w:r w:rsidR="00563EF2">
        <w:rPr>
          <w:color w:val="000000" w:themeColor="text1"/>
        </w:rPr>
        <w:t xml:space="preserve"> a buy in action was</w:t>
      </w:r>
      <w:r w:rsidR="00E31AA1">
        <w:rPr>
          <w:color w:val="000000" w:themeColor="text1"/>
        </w:rPr>
        <w:t xml:space="preserve"> initiated and how they are</w:t>
      </w:r>
      <w:r w:rsidR="00563EF2">
        <w:rPr>
          <w:color w:val="000000" w:themeColor="text1"/>
        </w:rPr>
        <w:t xml:space="preserve"> supposed to manage that risk. We are also unsure how collateral movements are to be instructed without supporting infrastructure. </w:t>
      </w:r>
    </w:p>
    <w:p w:rsidR="00FD099A" w:rsidRDefault="00F11BC5" w:rsidP="0000019A">
      <w:pPr>
        <w:jc w:val="both"/>
        <w:rPr>
          <w:color w:val="000000" w:themeColor="text1"/>
        </w:rPr>
      </w:pPr>
      <w:r>
        <w:rPr>
          <w:color w:val="000000" w:themeColor="text1"/>
        </w:rPr>
        <w:t>We would also like to stress that receiving cash compe</w:t>
      </w:r>
      <w:r w:rsidR="00E31AA1">
        <w:rPr>
          <w:color w:val="000000" w:themeColor="text1"/>
        </w:rPr>
        <w:t>nsation, and implementing a buy-</w:t>
      </w:r>
      <w:r>
        <w:rPr>
          <w:color w:val="000000" w:themeColor="text1"/>
        </w:rPr>
        <w:t>in rule which allows it, will significantly impact the portfolio management process as portfolios could become imbalance</w:t>
      </w:r>
      <w:r w:rsidR="00E31AA1">
        <w:rPr>
          <w:color w:val="000000" w:themeColor="text1"/>
        </w:rPr>
        <w:t>d</w:t>
      </w:r>
      <w:r>
        <w:rPr>
          <w:color w:val="000000" w:themeColor="text1"/>
        </w:rPr>
        <w:t xml:space="preserve"> when </w:t>
      </w:r>
      <w:r w:rsidR="00FD099A">
        <w:rPr>
          <w:color w:val="000000" w:themeColor="text1"/>
        </w:rPr>
        <w:t>a trading party</w:t>
      </w:r>
      <w:r>
        <w:rPr>
          <w:color w:val="000000" w:themeColor="text1"/>
        </w:rPr>
        <w:t xml:space="preserve"> receive</w:t>
      </w:r>
      <w:r w:rsidR="00FD099A">
        <w:rPr>
          <w:color w:val="000000" w:themeColor="text1"/>
        </w:rPr>
        <w:t>s</w:t>
      </w:r>
      <w:r>
        <w:rPr>
          <w:color w:val="000000" w:themeColor="text1"/>
        </w:rPr>
        <w:t xml:space="preserve"> cash instead of securities</w:t>
      </w:r>
      <w:r w:rsidR="00FD099A">
        <w:rPr>
          <w:color w:val="000000" w:themeColor="text1"/>
        </w:rPr>
        <w:t xml:space="preserve">. In our view it is important to ensure that buy-in rules are clearly defined to ensure they do not harm </w:t>
      </w:r>
      <w:r w:rsidR="00E31AA1">
        <w:rPr>
          <w:color w:val="000000" w:themeColor="text1"/>
        </w:rPr>
        <w:t xml:space="preserve">the </w:t>
      </w:r>
      <w:r w:rsidR="00504DA9">
        <w:rPr>
          <w:color w:val="000000" w:themeColor="text1"/>
        </w:rPr>
        <w:t xml:space="preserve">receiving party who has hedged its portfolio when the original trade was executed. </w:t>
      </w:r>
    </w:p>
    <w:p w:rsidR="00316710" w:rsidRDefault="00316710" w:rsidP="0000019A">
      <w:pPr>
        <w:jc w:val="both"/>
        <w:rPr>
          <w:color w:val="000000" w:themeColor="text1"/>
        </w:rPr>
      </w:pPr>
    </w:p>
    <w:p w:rsidR="00316710" w:rsidRDefault="00316710" w:rsidP="0000019A">
      <w:pPr>
        <w:jc w:val="both"/>
        <w:rPr>
          <w:color w:val="000000" w:themeColor="text1"/>
        </w:rPr>
      </w:pPr>
    </w:p>
    <w:p w:rsidR="00316710" w:rsidRDefault="00316710" w:rsidP="0000019A">
      <w:pPr>
        <w:jc w:val="both"/>
        <w:rPr>
          <w:color w:val="000000" w:themeColor="text1"/>
        </w:rPr>
      </w:pPr>
    </w:p>
    <w:p w:rsidR="00316710" w:rsidRDefault="00316710" w:rsidP="0000019A">
      <w:pPr>
        <w:jc w:val="both"/>
        <w:rPr>
          <w:color w:val="000000" w:themeColor="text1"/>
        </w:rPr>
      </w:pPr>
    </w:p>
    <w:p w:rsidR="00316710" w:rsidRDefault="00316710" w:rsidP="0000019A">
      <w:pPr>
        <w:jc w:val="both"/>
        <w:rPr>
          <w:color w:val="000000" w:themeColor="text1"/>
        </w:rPr>
      </w:pPr>
    </w:p>
    <w:p w:rsidR="00316710" w:rsidRDefault="00316710" w:rsidP="0000019A">
      <w:pPr>
        <w:jc w:val="both"/>
        <w:rPr>
          <w:color w:val="000000" w:themeColor="text1"/>
        </w:rPr>
      </w:pPr>
    </w:p>
    <w:p w:rsidR="002D47F3" w:rsidRDefault="002D47F3" w:rsidP="0000019A">
      <w:pPr>
        <w:jc w:val="both"/>
        <w:rPr>
          <w:color w:val="000000" w:themeColor="text1"/>
        </w:rPr>
      </w:pPr>
    </w:p>
    <w:p w:rsidR="009759BA" w:rsidRPr="002D47F3" w:rsidRDefault="009759BA" w:rsidP="009759BA">
      <w:pPr>
        <w:pStyle w:val="Default"/>
        <w:pBdr>
          <w:top w:val="single" w:sz="4" w:space="1" w:color="auto"/>
          <w:left w:val="single" w:sz="4" w:space="4" w:color="auto"/>
          <w:bottom w:val="single" w:sz="4" w:space="1" w:color="auto"/>
          <w:right w:val="single" w:sz="4" w:space="4" w:color="auto"/>
        </w:pBdr>
        <w:rPr>
          <w:b/>
          <w:bCs/>
          <w:color w:val="002060"/>
          <w:sz w:val="20"/>
          <w:szCs w:val="20"/>
        </w:rPr>
      </w:pPr>
      <w:r w:rsidRPr="002D47F3">
        <w:rPr>
          <w:b/>
          <w:bCs/>
          <w:color w:val="002060"/>
          <w:sz w:val="20"/>
          <w:szCs w:val="20"/>
        </w:rPr>
        <w:lastRenderedPageBreak/>
        <w:t xml:space="preserve">Q4: If you believe that option 1 (trading party executes the buy-in) can ensure the applicability of the buy-in provisions are effectively applied, please explain why and what are the disadvantages of the proposed option 2 (trading party executes the buy-in with participant as fall back) compared to option 1, or please evidence the higher costs that option 2 would incur. Please provide details of these costs. </w:t>
      </w:r>
    </w:p>
    <w:p w:rsidR="009759BA" w:rsidRDefault="009759BA" w:rsidP="0000019A">
      <w:pPr>
        <w:jc w:val="both"/>
        <w:rPr>
          <w:color w:val="000000" w:themeColor="text1"/>
        </w:rPr>
      </w:pPr>
    </w:p>
    <w:p w:rsidR="00563EF2" w:rsidRDefault="00E31AA1" w:rsidP="0000019A">
      <w:pPr>
        <w:jc w:val="both"/>
        <w:rPr>
          <w:color w:val="000000" w:themeColor="text1"/>
        </w:rPr>
      </w:pPr>
      <w:r>
        <w:rPr>
          <w:color w:val="000000" w:themeColor="text1"/>
        </w:rPr>
        <w:t>O</w:t>
      </w:r>
      <w:r w:rsidR="00FD099A" w:rsidRPr="00FD099A">
        <w:rPr>
          <w:color w:val="000000" w:themeColor="text1"/>
        </w:rPr>
        <w:t xml:space="preserve">ption 1 could work if </w:t>
      </w:r>
      <w:r w:rsidR="00FD099A">
        <w:rPr>
          <w:color w:val="000000" w:themeColor="text1"/>
        </w:rPr>
        <w:t xml:space="preserve">there is a robust framework in place which can support this process and products specifics are taken into account.  </w:t>
      </w:r>
      <w:r>
        <w:rPr>
          <w:color w:val="000000" w:themeColor="text1"/>
        </w:rPr>
        <w:t xml:space="preserve">We support discipline implemented at the </w:t>
      </w:r>
      <w:r w:rsidR="00A97973">
        <w:rPr>
          <w:color w:val="000000" w:themeColor="text1"/>
        </w:rPr>
        <w:t xml:space="preserve">CCP level </w:t>
      </w:r>
      <w:r w:rsidR="00E0007F">
        <w:rPr>
          <w:color w:val="000000" w:themeColor="text1"/>
        </w:rPr>
        <w:t>and</w:t>
      </w:r>
      <w:r w:rsidR="00A97973">
        <w:rPr>
          <w:color w:val="000000" w:themeColor="text1"/>
        </w:rPr>
        <w:t xml:space="preserve"> we would like to stress </w:t>
      </w:r>
      <w:r w:rsidR="00E0007F">
        <w:rPr>
          <w:color w:val="000000" w:themeColor="text1"/>
        </w:rPr>
        <w:t xml:space="preserve">again </w:t>
      </w:r>
      <w:r w:rsidR="00A97973">
        <w:rPr>
          <w:color w:val="000000" w:themeColor="text1"/>
        </w:rPr>
        <w:t xml:space="preserve">that </w:t>
      </w:r>
      <w:r w:rsidR="00572C26">
        <w:rPr>
          <w:color w:val="000000" w:themeColor="text1"/>
        </w:rPr>
        <w:t xml:space="preserve">some </w:t>
      </w:r>
      <w:r w:rsidR="00A97973">
        <w:rPr>
          <w:color w:val="000000" w:themeColor="text1"/>
        </w:rPr>
        <w:t>CCP</w:t>
      </w:r>
      <w:r>
        <w:rPr>
          <w:color w:val="000000" w:themeColor="text1"/>
        </w:rPr>
        <w:t>s</w:t>
      </w:r>
      <w:r w:rsidR="00A97973">
        <w:rPr>
          <w:color w:val="000000" w:themeColor="text1"/>
        </w:rPr>
        <w:t xml:space="preserve"> allow market participants to net trades across a number of days which would not be the case for OTC transaction</w:t>
      </w:r>
      <w:r>
        <w:rPr>
          <w:color w:val="000000" w:themeColor="text1"/>
        </w:rPr>
        <w:t>s</w:t>
      </w:r>
      <w:r w:rsidR="00A97973">
        <w:rPr>
          <w:color w:val="000000" w:themeColor="text1"/>
        </w:rPr>
        <w:t xml:space="preserve"> </w:t>
      </w:r>
      <w:r w:rsidR="00E0007F">
        <w:rPr>
          <w:color w:val="000000" w:themeColor="text1"/>
        </w:rPr>
        <w:t>when</w:t>
      </w:r>
      <w:r>
        <w:rPr>
          <w:color w:val="000000" w:themeColor="text1"/>
        </w:rPr>
        <w:t xml:space="preserve"> the mandatory buy-</w:t>
      </w:r>
      <w:r w:rsidR="00A97973">
        <w:rPr>
          <w:color w:val="000000" w:themeColor="text1"/>
        </w:rPr>
        <w:t xml:space="preserve">in regime is implemented. </w:t>
      </w:r>
    </w:p>
    <w:p w:rsidR="00504DA9" w:rsidRDefault="00FD099A" w:rsidP="0000019A">
      <w:pPr>
        <w:jc w:val="both"/>
        <w:rPr>
          <w:color w:val="000000" w:themeColor="text1"/>
        </w:rPr>
      </w:pPr>
      <w:r>
        <w:rPr>
          <w:color w:val="000000" w:themeColor="text1"/>
        </w:rPr>
        <w:t>In our view Option 1 is better than Option 2 as the CSD participant does not</w:t>
      </w:r>
      <w:r w:rsidR="00A97973">
        <w:rPr>
          <w:color w:val="000000" w:themeColor="text1"/>
        </w:rPr>
        <w:t xml:space="preserve"> always</w:t>
      </w:r>
      <w:r>
        <w:rPr>
          <w:color w:val="000000" w:themeColor="text1"/>
        </w:rPr>
        <w:t xml:space="preserve"> have </w:t>
      </w:r>
      <w:r w:rsidR="00A97973">
        <w:rPr>
          <w:color w:val="000000" w:themeColor="text1"/>
        </w:rPr>
        <w:t>a direct relationship</w:t>
      </w:r>
      <w:r>
        <w:rPr>
          <w:color w:val="000000" w:themeColor="text1"/>
        </w:rPr>
        <w:t xml:space="preserve"> with all trading parties</w:t>
      </w:r>
      <w:r w:rsidR="00E0007F">
        <w:rPr>
          <w:color w:val="000000" w:themeColor="text1"/>
        </w:rPr>
        <w:t xml:space="preserve"> and in many cases it would be impossible to allocate cash compensation within </w:t>
      </w:r>
      <w:r w:rsidR="00E31AA1">
        <w:rPr>
          <w:color w:val="000000" w:themeColor="text1"/>
        </w:rPr>
        <w:t xml:space="preserve">a </w:t>
      </w:r>
      <w:r w:rsidR="00E0007F">
        <w:rPr>
          <w:color w:val="000000" w:themeColor="text1"/>
        </w:rPr>
        <w:t>short time frame</w:t>
      </w:r>
      <w:r>
        <w:rPr>
          <w:color w:val="000000" w:themeColor="text1"/>
        </w:rPr>
        <w:t xml:space="preserve">. </w:t>
      </w:r>
      <w:r w:rsidR="00E0007F">
        <w:rPr>
          <w:color w:val="000000" w:themeColor="text1"/>
        </w:rPr>
        <w:t xml:space="preserve"> Until the CSD participant</w:t>
      </w:r>
      <w:r w:rsidR="00E31AA1">
        <w:rPr>
          <w:color w:val="000000" w:themeColor="text1"/>
        </w:rPr>
        <w:t xml:space="preserve"> can allocate cash compensation</w:t>
      </w:r>
      <w:r w:rsidR="00E0007F">
        <w:rPr>
          <w:color w:val="000000" w:themeColor="text1"/>
        </w:rPr>
        <w:t xml:space="preserve"> and close down the risk it is exposed to, the need for collateral would be justified. </w:t>
      </w:r>
      <w:r w:rsidR="00E31AA1">
        <w:rPr>
          <w:color w:val="000000" w:themeColor="text1"/>
        </w:rPr>
        <w:t xml:space="preserve"> W</w:t>
      </w:r>
      <w:r w:rsidR="00CF472B">
        <w:rPr>
          <w:color w:val="000000" w:themeColor="text1"/>
        </w:rPr>
        <w:t xml:space="preserve">e would also like to stress that the CSD participant would not always be able to pass cash compensations in </w:t>
      </w:r>
      <w:r w:rsidR="00292F18">
        <w:rPr>
          <w:color w:val="000000" w:themeColor="text1"/>
        </w:rPr>
        <w:t xml:space="preserve">a </w:t>
      </w:r>
      <w:r w:rsidR="00CF472B">
        <w:rPr>
          <w:color w:val="000000" w:themeColor="text1"/>
        </w:rPr>
        <w:t xml:space="preserve">linked transaction when one trading party is outside of EU, is a CCP or </w:t>
      </w:r>
      <w:r w:rsidR="00292F18">
        <w:rPr>
          <w:color w:val="000000" w:themeColor="text1"/>
        </w:rPr>
        <w:t xml:space="preserve">if </w:t>
      </w:r>
      <w:r w:rsidR="00CF472B">
        <w:rPr>
          <w:color w:val="000000" w:themeColor="text1"/>
        </w:rPr>
        <w:t xml:space="preserve">the ETF provider itself is a party that failed or </w:t>
      </w:r>
      <w:r w:rsidR="00292F18">
        <w:rPr>
          <w:color w:val="000000" w:themeColor="text1"/>
        </w:rPr>
        <w:t xml:space="preserve">the </w:t>
      </w:r>
      <w:r w:rsidR="00CF472B">
        <w:rPr>
          <w:color w:val="000000" w:themeColor="text1"/>
        </w:rPr>
        <w:t xml:space="preserve">trading party failed to. </w:t>
      </w:r>
    </w:p>
    <w:p w:rsidR="00504DA9" w:rsidRDefault="00504DA9" w:rsidP="0000019A">
      <w:pPr>
        <w:jc w:val="both"/>
        <w:rPr>
          <w:color w:val="000000" w:themeColor="text1"/>
        </w:rPr>
      </w:pPr>
    </w:p>
    <w:p w:rsidR="00563EF2" w:rsidRPr="000B352D" w:rsidRDefault="00563EF2" w:rsidP="0000019A">
      <w:pPr>
        <w:jc w:val="both"/>
        <w:rPr>
          <w:b/>
          <w:color w:val="000000" w:themeColor="text1"/>
        </w:rPr>
      </w:pPr>
    </w:p>
    <w:p w:rsidR="009759BA" w:rsidRPr="002D47F3" w:rsidRDefault="009759BA" w:rsidP="009759BA">
      <w:pPr>
        <w:pStyle w:val="Default"/>
        <w:pBdr>
          <w:top w:val="single" w:sz="4" w:space="1" w:color="auto"/>
          <w:left w:val="single" w:sz="4" w:space="4" w:color="auto"/>
          <w:bottom w:val="single" w:sz="4" w:space="1" w:color="auto"/>
          <w:right w:val="single" w:sz="4" w:space="4" w:color="auto"/>
        </w:pBdr>
        <w:rPr>
          <w:b/>
          <w:bCs/>
          <w:color w:val="002060"/>
          <w:sz w:val="20"/>
          <w:szCs w:val="20"/>
        </w:rPr>
      </w:pPr>
      <w:r w:rsidRPr="002D47F3">
        <w:rPr>
          <w:b/>
          <w:bCs/>
          <w:color w:val="002060"/>
          <w:sz w:val="20"/>
          <w:szCs w:val="20"/>
        </w:rPr>
        <w:t xml:space="preserve">Q5: Please provide detailed quantitative evidence of the costs associated with the participant being fully responsible for the buy in process and on the methodology used to estimate these costs. </w:t>
      </w:r>
    </w:p>
    <w:p w:rsidR="009759BA" w:rsidRDefault="009759BA" w:rsidP="0000019A">
      <w:pPr>
        <w:jc w:val="both"/>
        <w:rPr>
          <w:color w:val="1F497D"/>
        </w:rPr>
      </w:pPr>
    </w:p>
    <w:p w:rsidR="00A52699" w:rsidRDefault="00EB2BF4" w:rsidP="0000019A">
      <w:pPr>
        <w:jc w:val="both"/>
      </w:pPr>
      <w:r w:rsidRPr="00D161DF">
        <w:t xml:space="preserve">In our view option 2 and option 3 would trigger </w:t>
      </w:r>
      <w:r w:rsidR="00A52699">
        <w:t xml:space="preserve">a </w:t>
      </w:r>
      <w:r w:rsidRPr="00D161DF">
        <w:t>similar collateral requirement. We also believe due to OTC trades not being netted in the same way as CCP trades are, the collateral requirement that trading parties would need to place could be overestimated.  In our view both options, 2 and 3, demonstrate that</w:t>
      </w:r>
      <w:r w:rsidR="00292F18">
        <w:t xml:space="preserve"> the impact of the proposed buy-</w:t>
      </w:r>
      <w:r w:rsidRPr="00D161DF">
        <w:t xml:space="preserve">in regime is very significant </w:t>
      </w:r>
      <w:r w:rsidR="00D161DF" w:rsidRPr="00D161DF">
        <w:t>and im</w:t>
      </w:r>
      <w:r w:rsidR="00A52699">
        <w:t xml:space="preserve">pacts all market participants. </w:t>
      </w:r>
    </w:p>
    <w:p w:rsidR="00B50F54" w:rsidRPr="00D161DF" w:rsidRDefault="00504DA9" w:rsidP="0000019A">
      <w:pPr>
        <w:jc w:val="both"/>
      </w:pPr>
      <w:r>
        <w:t xml:space="preserve">We are not in a position to provide collateral estimates due to the length of the consultation period. </w:t>
      </w:r>
      <w:r w:rsidR="00A52699">
        <w:rPr>
          <w:color w:val="000000" w:themeColor="text1"/>
        </w:rPr>
        <w:t xml:space="preserve"> </w:t>
      </w:r>
    </w:p>
    <w:sectPr w:rsidR="00B50F54" w:rsidRPr="00D161DF" w:rsidSect="000B7C4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767" w:rsidRDefault="00807767" w:rsidP="00751BB7">
      <w:pPr>
        <w:spacing w:after="0" w:line="240" w:lineRule="auto"/>
      </w:pPr>
      <w:r>
        <w:separator/>
      </w:r>
    </w:p>
  </w:endnote>
  <w:endnote w:type="continuationSeparator" w:id="0">
    <w:p w:rsidR="00807767" w:rsidRDefault="00807767" w:rsidP="0075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63" w:rsidRDefault="00A157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088772"/>
      <w:docPartObj>
        <w:docPartGallery w:val="Page Numbers (Bottom of Page)"/>
        <w:docPartUnique/>
      </w:docPartObj>
    </w:sdtPr>
    <w:sdtEndPr/>
    <w:sdtContent>
      <w:sdt>
        <w:sdtPr>
          <w:id w:val="-1669238322"/>
          <w:docPartObj>
            <w:docPartGallery w:val="Page Numbers (Top of Page)"/>
            <w:docPartUnique/>
          </w:docPartObj>
        </w:sdtPr>
        <w:sdtEndPr/>
        <w:sdtContent>
          <w:p w:rsidR="000B759D" w:rsidRDefault="000B759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A34FE">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34FE">
              <w:rPr>
                <w:b/>
                <w:bCs/>
                <w:noProof/>
              </w:rPr>
              <w:t>7</w:t>
            </w:r>
            <w:r>
              <w:rPr>
                <w:b/>
                <w:bCs/>
                <w:sz w:val="24"/>
                <w:szCs w:val="24"/>
              </w:rPr>
              <w:fldChar w:fldCharType="end"/>
            </w:r>
          </w:p>
        </w:sdtContent>
      </w:sdt>
    </w:sdtContent>
  </w:sdt>
  <w:p w:rsidR="000B759D" w:rsidRDefault="000B75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63" w:rsidRDefault="00A15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767" w:rsidRDefault="00807767" w:rsidP="00751BB7">
      <w:pPr>
        <w:spacing w:after="0" w:line="240" w:lineRule="auto"/>
      </w:pPr>
      <w:r>
        <w:separator/>
      </w:r>
    </w:p>
  </w:footnote>
  <w:footnote w:type="continuationSeparator" w:id="0">
    <w:p w:rsidR="00807767" w:rsidRDefault="00807767" w:rsidP="00751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59D" w:rsidRDefault="000B75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59D" w:rsidRDefault="000B75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59D" w:rsidRDefault="000B75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01893"/>
    <w:multiLevelType w:val="hybridMultilevel"/>
    <w:tmpl w:val="FC8635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3F0D19"/>
    <w:multiLevelType w:val="hybridMultilevel"/>
    <w:tmpl w:val="4432AD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8B1394"/>
    <w:multiLevelType w:val="hybridMultilevel"/>
    <w:tmpl w:val="0D864700"/>
    <w:lvl w:ilvl="0" w:tplc="5E626A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7E39CE"/>
    <w:multiLevelType w:val="hybridMultilevel"/>
    <w:tmpl w:val="95763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616347"/>
    <w:multiLevelType w:val="hybridMultilevel"/>
    <w:tmpl w:val="C8FC1C82"/>
    <w:lvl w:ilvl="0" w:tplc="18ACC020">
      <w:start w:val="1"/>
      <w:numFmt w:val="lowerLetter"/>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FA40A2"/>
    <w:multiLevelType w:val="hybridMultilevel"/>
    <w:tmpl w:val="8488F65A"/>
    <w:lvl w:ilvl="0" w:tplc="9ADC8360">
      <w:start w:val="1"/>
      <w:numFmt w:val="upperLetter"/>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han Renyard">
    <w15:presenceInfo w15:providerId="AD" w15:userId="S-1-5-21-181765319-2980191703-2921056676-4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DC"/>
    <w:rsid w:val="0000019A"/>
    <w:rsid w:val="00016C41"/>
    <w:rsid w:val="00022141"/>
    <w:rsid w:val="00027E8A"/>
    <w:rsid w:val="000339C9"/>
    <w:rsid w:val="00034251"/>
    <w:rsid w:val="00045392"/>
    <w:rsid w:val="00045467"/>
    <w:rsid w:val="00052774"/>
    <w:rsid w:val="00052FBA"/>
    <w:rsid w:val="00057CB3"/>
    <w:rsid w:val="00061B3A"/>
    <w:rsid w:val="00081F46"/>
    <w:rsid w:val="000B352D"/>
    <w:rsid w:val="000B759D"/>
    <w:rsid w:val="000B7C4D"/>
    <w:rsid w:val="000D7F75"/>
    <w:rsid w:val="000E32EA"/>
    <w:rsid w:val="000F7371"/>
    <w:rsid w:val="001025FA"/>
    <w:rsid w:val="001123A3"/>
    <w:rsid w:val="00120E00"/>
    <w:rsid w:val="0013218F"/>
    <w:rsid w:val="0014406C"/>
    <w:rsid w:val="001448B9"/>
    <w:rsid w:val="001508D3"/>
    <w:rsid w:val="00167BA8"/>
    <w:rsid w:val="00172EFA"/>
    <w:rsid w:val="0019200D"/>
    <w:rsid w:val="001D1902"/>
    <w:rsid w:val="001F1A4B"/>
    <w:rsid w:val="0020083C"/>
    <w:rsid w:val="00233B81"/>
    <w:rsid w:val="00246680"/>
    <w:rsid w:val="00252CC1"/>
    <w:rsid w:val="00257267"/>
    <w:rsid w:val="00276FC5"/>
    <w:rsid w:val="00292F18"/>
    <w:rsid w:val="0029481B"/>
    <w:rsid w:val="002C31A7"/>
    <w:rsid w:val="002D32FD"/>
    <w:rsid w:val="002D47F3"/>
    <w:rsid w:val="002E3046"/>
    <w:rsid w:val="002F781C"/>
    <w:rsid w:val="00305C67"/>
    <w:rsid w:val="00307F85"/>
    <w:rsid w:val="0031203A"/>
    <w:rsid w:val="00316710"/>
    <w:rsid w:val="003210FC"/>
    <w:rsid w:val="00326747"/>
    <w:rsid w:val="00343741"/>
    <w:rsid w:val="00362322"/>
    <w:rsid w:val="00382298"/>
    <w:rsid w:val="0038670D"/>
    <w:rsid w:val="003A67DC"/>
    <w:rsid w:val="003C2CF4"/>
    <w:rsid w:val="003D0212"/>
    <w:rsid w:val="003D2024"/>
    <w:rsid w:val="003E3387"/>
    <w:rsid w:val="003F0433"/>
    <w:rsid w:val="003F543C"/>
    <w:rsid w:val="004058F3"/>
    <w:rsid w:val="00415467"/>
    <w:rsid w:val="00463283"/>
    <w:rsid w:val="0046421B"/>
    <w:rsid w:val="004912A0"/>
    <w:rsid w:val="004A393C"/>
    <w:rsid w:val="004B3EEA"/>
    <w:rsid w:val="004C0077"/>
    <w:rsid w:val="004D221F"/>
    <w:rsid w:val="004D4C3F"/>
    <w:rsid w:val="004E33D9"/>
    <w:rsid w:val="004F7996"/>
    <w:rsid w:val="00500ED7"/>
    <w:rsid w:val="00504DA9"/>
    <w:rsid w:val="00521187"/>
    <w:rsid w:val="005275FB"/>
    <w:rsid w:val="00535493"/>
    <w:rsid w:val="005470C6"/>
    <w:rsid w:val="00550EFB"/>
    <w:rsid w:val="00552B8F"/>
    <w:rsid w:val="00563EF2"/>
    <w:rsid w:val="00572C26"/>
    <w:rsid w:val="00574B03"/>
    <w:rsid w:val="005875C3"/>
    <w:rsid w:val="005A5FB1"/>
    <w:rsid w:val="005B13D3"/>
    <w:rsid w:val="005B1FB9"/>
    <w:rsid w:val="00625954"/>
    <w:rsid w:val="00636C50"/>
    <w:rsid w:val="00654AB0"/>
    <w:rsid w:val="006679E1"/>
    <w:rsid w:val="00676F8D"/>
    <w:rsid w:val="006779C9"/>
    <w:rsid w:val="00694E28"/>
    <w:rsid w:val="006A0896"/>
    <w:rsid w:val="006B2F74"/>
    <w:rsid w:val="006C2555"/>
    <w:rsid w:val="006F19F2"/>
    <w:rsid w:val="006F34A0"/>
    <w:rsid w:val="00727C73"/>
    <w:rsid w:val="007406F8"/>
    <w:rsid w:val="00743F57"/>
    <w:rsid w:val="00751BB7"/>
    <w:rsid w:val="007626EA"/>
    <w:rsid w:val="00776925"/>
    <w:rsid w:val="00785F0C"/>
    <w:rsid w:val="00791A23"/>
    <w:rsid w:val="00793D38"/>
    <w:rsid w:val="00796C2D"/>
    <w:rsid w:val="007D1E85"/>
    <w:rsid w:val="007E04CE"/>
    <w:rsid w:val="007E0EE3"/>
    <w:rsid w:val="007F3C37"/>
    <w:rsid w:val="0080150A"/>
    <w:rsid w:val="00807767"/>
    <w:rsid w:val="008109E8"/>
    <w:rsid w:val="0081602B"/>
    <w:rsid w:val="00837631"/>
    <w:rsid w:val="00863D01"/>
    <w:rsid w:val="008A0DD1"/>
    <w:rsid w:val="008A34FE"/>
    <w:rsid w:val="008A7CD2"/>
    <w:rsid w:val="008B54C1"/>
    <w:rsid w:val="008B60B5"/>
    <w:rsid w:val="008C34C3"/>
    <w:rsid w:val="008F37CD"/>
    <w:rsid w:val="0093096D"/>
    <w:rsid w:val="009323E2"/>
    <w:rsid w:val="0096511D"/>
    <w:rsid w:val="009712DF"/>
    <w:rsid w:val="009759BA"/>
    <w:rsid w:val="00987D89"/>
    <w:rsid w:val="00993F35"/>
    <w:rsid w:val="009A40BA"/>
    <w:rsid w:val="009A799E"/>
    <w:rsid w:val="009B1679"/>
    <w:rsid w:val="009D6376"/>
    <w:rsid w:val="009E353E"/>
    <w:rsid w:val="009E67E6"/>
    <w:rsid w:val="00A01D06"/>
    <w:rsid w:val="00A11F6A"/>
    <w:rsid w:val="00A15763"/>
    <w:rsid w:val="00A22409"/>
    <w:rsid w:val="00A2252E"/>
    <w:rsid w:val="00A26379"/>
    <w:rsid w:val="00A27494"/>
    <w:rsid w:val="00A50691"/>
    <w:rsid w:val="00A52699"/>
    <w:rsid w:val="00A745FB"/>
    <w:rsid w:val="00A91E60"/>
    <w:rsid w:val="00A97973"/>
    <w:rsid w:val="00AC55BC"/>
    <w:rsid w:val="00AF3E3D"/>
    <w:rsid w:val="00B324C2"/>
    <w:rsid w:val="00B50F54"/>
    <w:rsid w:val="00B612F1"/>
    <w:rsid w:val="00B70BBC"/>
    <w:rsid w:val="00B7201C"/>
    <w:rsid w:val="00B8248A"/>
    <w:rsid w:val="00B83B28"/>
    <w:rsid w:val="00B84459"/>
    <w:rsid w:val="00BB2C25"/>
    <w:rsid w:val="00BB573D"/>
    <w:rsid w:val="00BB709B"/>
    <w:rsid w:val="00BF32A8"/>
    <w:rsid w:val="00C027EC"/>
    <w:rsid w:val="00C20866"/>
    <w:rsid w:val="00C21719"/>
    <w:rsid w:val="00C260D9"/>
    <w:rsid w:val="00C40905"/>
    <w:rsid w:val="00C53B48"/>
    <w:rsid w:val="00C938A3"/>
    <w:rsid w:val="00CA1C6C"/>
    <w:rsid w:val="00CA4C03"/>
    <w:rsid w:val="00CB0CEE"/>
    <w:rsid w:val="00CB3420"/>
    <w:rsid w:val="00CD2FA8"/>
    <w:rsid w:val="00CF472B"/>
    <w:rsid w:val="00CF725B"/>
    <w:rsid w:val="00D01EE4"/>
    <w:rsid w:val="00D103B3"/>
    <w:rsid w:val="00D161DF"/>
    <w:rsid w:val="00D2214A"/>
    <w:rsid w:val="00D34367"/>
    <w:rsid w:val="00D378E6"/>
    <w:rsid w:val="00D519DB"/>
    <w:rsid w:val="00D603DB"/>
    <w:rsid w:val="00D65EFC"/>
    <w:rsid w:val="00D84776"/>
    <w:rsid w:val="00D867CE"/>
    <w:rsid w:val="00DA1307"/>
    <w:rsid w:val="00DE0CC7"/>
    <w:rsid w:val="00DE4FA2"/>
    <w:rsid w:val="00DF36F6"/>
    <w:rsid w:val="00DF7037"/>
    <w:rsid w:val="00E0007F"/>
    <w:rsid w:val="00E02872"/>
    <w:rsid w:val="00E10542"/>
    <w:rsid w:val="00E13AC5"/>
    <w:rsid w:val="00E222B8"/>
    <w:rsid w:val="00E26EE8"/>
    <w:rsid w:val="00E31AA1"/>
    <w:rsid w:val="00E56BB1"/>
    <w:rsid w:val="00E76CCE"/>
    <w:rsid w:val="00E8645F"/>
    <w:rsid w:val="00EA63A1"/>
    <w:rsid w:val="00EB2BF4"/>
    <w:rsid w:val="00EB6221"/>
    <w:rsid w:val="00ED3F2B"/>
    <w:rsid w:val="00EF12E0"/>
    <w:rsid w:val="00EF651A"/>
    <w:rsid w:val="00F0025D"/>
    <w:rsid w:val="00F00AE2"/>
    <w:rsid w:val="00F11BC5"/>
    <w:rsid w:val="00F11F4F"/>
    <w:rsid w:val="00F240E4"/>
    <w:rsid w:val="00F41349"/>
    <w:rsid w:val="00F44C05"/>
    <w:rsid w:val="00F4674F"/>
    <w:rsid w:val="00F51F92"/>
    <w:rsid w:val="00F53150"/>
    <w:rsid w:val="00F56B39"/>
    <w:rsid w:val="00FB7FDA"/>
    <w:rsid w:val="00FD099A"/>
    <w:rsid w:val="00FE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43C"/>
    <w:pPr>
      <w:ind w:left="720"/>
      <w:contextualSpacing/>
    </w:pPr>
  </w:style>
  <w:style w:type="paragraph" w:styleId="BalloonText">
    <w:name w:val="Balloon Text"/>
    <w:basedOn w:val="Normal"/>
    <w:link w:val="BalloonTextChar"/>
    <w:uiPriority w:val="99"/>
    <w:semiHidden/>
    <w:unhideWhenUsed/>
    <w:rsid w:val="009D6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376"/>
    <w:rPr>
      <w:rFonts w:ascii="Tahoma" w:hAnsi="Tahoma" w:cs="Tahoma"/>
      <w:sz w:val="16"/>
      <w:szCs w:val="16"/>
    </w:rPr>
  </w:style>
  <w:style w:type="character" w:styleId="Hyperlink">
    <w:name w:val="Hyperlink"/>
    <w:basedOn w:val="DefaultParagraphFont"/>
    <w:uiPriority w:val="99"/>
    <w:unhideWhenUsed/>
    <w:rsid w:val="00D65EFC"/>
    <w:rPr>
      <w:color w:val="0000FF"/>
      <w:u w:val="single"/>
    </w:rPr>
  </w:style>
  <w:style w:type="paragraph" w:customStyle="1" w:styleId="Default">
    <w:name w:val="Default"/>
    <w:rsid w:val="0005277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51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BB7"/>
  </w:style>
  <w:style w:type="paragraph" w:styleId="Footer">
    <w:name w:val="footer"/>
    <w:basedOn w:val="Normal"/>
    <w:link w:val="FooterChar"/>
    <w:uiPriority w:val="99"/>
    <w:unhideWhenUsed/>
    <w:rsid w:val="00751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BB7"/>
  </w:style>
  <w:style w:type="character" w:styleId="FootnoteReference">
    <w:name w:val="footnote reference"/>
    <w:basedOn w:val="DefaultParagraphFont"/>
    <w:uiPriority w:val="99"/>
    <w:unhideWhenUsed/>
    <w:rsid w:val="0019200D"/>
    <w:rPr>
      <w:vertAlign w:val="superscript"/>
    </w:rPr>
  </w:style>
  <w:style w:type="paragraph" w:styleId="FootnoteText">
    <w:name w:val="footnote text"/>
    <w:basedOn w:val="Normal"/>
    <w:link w:val="FootnoteTextChar"/>
    <w:uiPriority w:val="99"/>
    <w:semiHidden/>
    <w:unhideWhenUsed/>
    <w:rsid w:val="001920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00D"/>
    <w:rPr>
      <w:sz w:val="20"/>
      <w:szCs w:val="20"/>
    </w:rPr>
  </w:style>
  <w:style w:type="paragraph" w:styleId="PlainText">
    <w:name w:val="Plain Text"/>
    <w:basedOn w:val="Normal"/>
    <w:link w:val="PlainTextChar"/>
    <w:uiPriority w:val="99"/>
    <w:semiHidden/>
    <w:unhideWhenUsed/>
    <w:rsid w:val="008F37CD"/>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8F37CD"/>
    <w:rPr>
      <w:rFonts w:ascii="Calibri" w:hAnsi="Calibri" w:cs="Calibri"/>
    </w:rPr>
  </w:style>
  <w:style w:type="character" w:styleId="CommentReference">
    <w:name w:val="annotation reference"/>
    <w:basedOn w:val="DefaultParagraphFont"/>
    <w:uiPriority w:val="99"/>
    <w:semiHidden/>
    <w:unhideWhenUsed/>
    <w:rsid w:val="00E76CCE"/>
    <w:rPr>
      <w:sz w:val="16"/>
      <w:szCs w:val="16"/>
    </w:rPr>
  </w:style>
  <w:style w:type="paragraph" w:styleId="CommentText">
    <w:name w:val="annotation text"/>
    <w:basedOn w:val="Normal"/>
    <w:link w:val="CommentTextChar"/>
    <w:uiPriority w:val="99"/>
    <w:semiHidden/>
    <w:unhideWhenUsed/>
    <w:rsid w:val="00E76CCE"/>
    <w:pPr>
      <w:spacing w:line="240" w:lineRule="auto"/>
    </w:pPr>
    <w:rPr>
      <w:sz w:val="20"/>
      <w:szCs w:val="20"/>
    </w:rPr>
  </w:style>
  <w:style w:type="character" w:customStyle="1" w:styleId="CommentTextChar">
    <w:name w:val="Comment Text Char"/>
    <w:basedOn w:val="DefaultParagraphFont"/>
    <w:link w:val="CommentText"/>
    <w:uiPriority w:val="99"/>
    <w:semiHidden/>
    <w:rsid w:val="00E76CCE"/>
    <w:rPr>
      <w:sz w:val="20"/>
      <w:szCs w:val="20"/>
    </w:rPr>
  </w:style>
  <w:style w:type="paragraph" w:styleId="CommentSubject">
    <w:name w:val="annotation subject"/>
    <w:basedOn w:val="CommentText"/>
    <w:next w:val="CommentText"/>
    <w:link w:val="CommentSubjectChar"/>
    <w:uiPriority w:val="99"/>
    <w:semiHidden/>
    <w:unhideWhenUsed/>
    <w:rsid w:val="00E76CCE"/>
    <w:rPr>
      <w:b/>
      <w:bCs/>
    </w:rPr>
  </w:style>
  <w:style w:type="character" w:customStyle="1" w:styleId="CommentSubjectChar">
    <w:name w:val="Comment Subject Char"/>
    <w:basedOn w:val="CommentTextChar"/>
    <w:link w:val="CommentSubject"/>
    <w:uiPriority w:val="99"/>
    <w:semiHidden/>
    <w:rsid w:val="00E76CCE"/>
    <w:rPr>
      <w:b/>
      <w:bCs/>
      <w:sz w:val="20"/>
      <w:szCs w:val="20"/>
    </w:rPr>
  </w:style>
  <w:style w:type="paragraph" w:styleId="Revision">
    <w:name w:val="Revision"/>
    <w:hidden/>
    <w:uiPriority w:val="99"/>
    <w:semiHidden/>
    <w:rsid w:val="00E76C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43C"/>
    <w:pPr>
      <w:ind w:left="720"/>
      <w:contextualSpacing/>
    </w:pPr>
  </w:style>
  <w:style w:type="paragraph" w:styleId="BalloonText">
    <w:name w:val="Balloon Text"/>
    <w:basedOn w:val="Normal"/>
    <w:link w:val="BalloonTextChar"/>
    <w:uiPriority w:val="99"/>
    <w:semiHidden/>
    <w:unhideWhenUsed/>
    <w:rsid w:val="009D6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376"/>
    <w:rPr>
      <w:rFonts w:ascii="Tahoma" w:hAnsi="Tahoma" w:cs="Tahoma"/>
      <w:sz w:val="16"/>
      <w:szCs w:val="16"/>
    </w:rPr>
  </w:style>
  <w:style w:type="character" w:styleId="Hyperlink">
    <w:name w:val="Hyperlink"/>
    <w:basedOn w:val="DefaultParagraphFont"/>
    <w:uiPriority w:val="99"/>
    <w:unhideWhenUsed/>
    <w:rsid w:val="00D65EFC"/>
    <w:rPr>
      <w:color w:val="0000FF"/>
      <w:u w:val="single"/>
    </w:rPr>
  </w:style>
  <w:style w:type="paragraph" w:customStyle="1" w:styleId="Default">
    <w:name w:val="Default"/>
    <w:rsid w:val="0005277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51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BB7"/>
  </w:style>
  <w:style w:type="paragraph" w:styleId="Footer">
    <w:name w:val="footer"/>
    <w:basedOn w:val="Normal"/>
    <w:link w:val="FooterChar"/>
    <w:uiPriority w:val="99"/>
    <w:unhideWhenUsed/>
    <w:rsid w:val="00751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BB7"/>
  </w:style>
  <w:style w:type="character" w:styleId="FootnoteReference">
    <w:name w:val="footnote reference"/>
    <w:basedOn w:val="DefaultParagraphFont"/>
    <w:uiPriority w:val="99"/>
    <w:unhideWhenUsed/>
    <w:rsid w:val="0019200D"/>
    <w:rPr>
      <w:vertAlign w:val="superscript"/>
    </w:rPr>
  </w:style>
  <w:style w:type="paragraph" w:styleId="FootnoteText">
    <w:name w:val="footnote text"/>
    <w:basedOn w:val="Normal"/>
    <w:link w:val="FootnoteTextChar"/>
    <w:uiPriority w:val="99"/>
    <w:semiHidden/>
    <w:unhideWhenUsed/>
    <w:rsid w:val="001920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00D"/>
    <w:rPr>
      <w:sz w:val="20"/>
      <w:szCs w:val="20"/>
    </w:rPr>
  </w:style>
  <w:style w:type="paragraph" w:styleId="PlainText">
    <w:name w:val="Plain Text"/>
    <w:basedOn w:val="Normal"/>
    <w:link w:val="PlainTextChar"/>
    <w:uiPriority w:val="99"/>
    <w:semiHidden/>
    <w:unhideWhenUsed/>
    <w:rsid w:val="008F37CD"/>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8F37CD"/>
    <w:rPr>
      <w:rFonts w:ascii="Calibri" w:hAnsi="Calibri" w:cs="Calibri"/>
    </w:rPr>
  </w:style>
  <w:style w:type="character" w:styleId="CommentReference">
    <w:name w:val="annotation reference"/>
    <w:basedOn w:val="DefaultParagraphFont"/>
    <w:uiPriority w:val="99"/>
    <w:semiHidden/>
    <w:unhideWhenUsed/>
    <w:rsid w:val="00E76CCE"/>
    <w:rPr>
      <w:sz w:val="16"/>
      <w:szCs w:val="16"/>
    </w:rPr>
  </w:style>
  <w:style w:type="paragraph" w:styleId="CommentText">
    <w:name w:val="annotation text"/>
    <w:basedOn w:val="Normal"/>
    <w:link w:val="CommentTextChar"/>
    <w:uiPriority w:val="99"/>
    <w:semiHidden/>
    <w:unhideWhenUsed/>
    <w:rsid w:val="00E76CCE"/>
    <w:pPr>
      <w:spacing w:line="240" w:lineRule="auto"/>
    </w:pPr>
    <w:rPr>
      <w:sz w:val="20"/>
      <w:szCs w:val="20"/>
    </w:rPr>
  </w:style>
  <w:style w:type="character" w:customStyle="1" w:styleId="CommentTextChar">
    <w:name w:val="Comment Text Char"/>
    <w:basedOn w:val="DefaultParagraphFont"/>
    <w:link w:val="CommentText"/>
    <w:uiPriority w:val="99"/>
    <w:semiHidden/>
    <w:rsid w:val="00E76CCE"/>
    <w:rPr>
      <w:sz w:val="20"/>
      <w:szCs w:val="20"/>
    </w:rPr>
  </w:style>
  <w:style w:type="paragraph" w:styleId="CommentSubject">
    <w:name w:val="annotation subject"/>
    <w:basedOn w:val="CommentText"/>
    <w:next w:val="CommentText"/>
    <w:link w:val="CommentSubjectChar"/>
    <w:uiPriority w:val="99"/>
    <w:semiHidden/>
    <w:unhideWhenUsed/>
    <w:rsid w:val="00E76CCE"/>
    <w:rPr>
      <w:b/>
      <w:bCs/>
    </w:rPr>
  </w:style>
  <w:style w:type="character" w:customStyle="1" w:styleId="CommentSubjectChar">
    <w:name w:val="Comment Subject Char"/>
    <w:basedOn w:val="CommentTextChar"/>
    <w:link w:val="CommentSubject"/>
    <w:uiPriority w:val="99"/>
    <w:semiHidden/>
    <w:rsid w:val="00E76CCE"/>
    <w:rPr>
      <w:b/>
      <w:bCs/>
      <w:sz w:val="20"/>
      <w:szCs w:val="20"/>
    </w:rPr>
  </w:style>
  <w:style w:type="paragraph" w:styleId="Revision">
    <w:name w:val="Revision"/>
    <w:hidden/>
    <w:uiPriority w:val="99"/>
    <w:semiHidden/>
    <w:rsid w:val="00E76C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3453">
      <w:bodyDiv w:val="1"/>
      <w:marLeft w:val="0"/>
      <w:marRight w:val="0"/>
      <w:marTop w:val="0"/>
      <w:marBottom w:val="0"/>
      <w:divBdr>
        <w:top w:val="none" w:sz="0" w:space="0" w:color="auto"/>
        <w:left w:val="none" w:sz="0" w:space="0" w:color="auto"/>
        <w:bottom w:val="none" w:sz="0" w:space="0" w:color="auto"/>
        <w:right w:val="none" w:sz="0" w:space="0" w:color="auto"/>
      </w:divBdr>
    </w:div>
    <w:div w:id="671035054">
      <w:bodyDiv w:val="1"/>
      <w:marLeft w:val="0"/>
      <w:marRight w:val="0"/>
      <w:marTop w:val="0"/>
      <w:marBottom w:val="0"/>
      <w:divBdr>
        <w:top w:val="none" w:sz="0" w:space="0" w:color="auto"/>
        <w:left w:val="none" w:sz="0" w:space="0" w:color="auto"/>
        <w:bottom w:val="none" w:sz="0" w:space="0" w:color="auto"/>
        <w:right w:val="none" w:sz="0" w:space="0" w:color="auto"/>
      </w:divBdr>
    </w:div>
    <w:div w:id="760250274">
      <w:bodyDiv w:val="1"/>
      <w:marLeft w:val="0"/>
      <w:marRight w:val="0"/>
      <w:marTop w:val="0"/>
      <w:marBottom w:val="0"/>
      <w:divBdr>
        <w:top w:val="none" w:sz="0" w:space="0" w:color="auto"/>
        <w:left w:val="none" w:sz="0" w:space="0" w:color="auto"/>
        <w:bottom w:val="none" w:sz="0" w:space="0" w:color="auto"/>
        <w:right w:val="none" w:sz="0" w:space="0" w:color="auto"/>
      </w:divBdr>
    </w:div>
    <w:div w:id="15879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7C94BD-4831-451C-9E60-8B9CF0808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GETCO LLC</Company>
  <LinksUpToDate>false</LinksUpToDate>
  <CharactersWithSpaces>15574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Neumann</dc:creator>
  <cp:lastModifiedBy>Anna Neumann</cp:lastModifiedBy>
  <cp:revision>5</cp:revision>
  <cp:lastPrinted>2015-07-28T16:36:00Z</cp:lastPrinted>
  <dcterms:created xsi:type="dcterms:W3CDTF">2015-08-06T10:19:00Z</dcterms:created>
  <dcterms:modified xsi:type="dcterms:W3CDTF">2015-08-06T10:35:00Z</dcterms:modified>
</cp:coreProperties>
</file>