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D6CD0" w:rsidP="00A35728">
            <w:pPr>
              <w:pStyle w:val="00bDBInfo"/>
              <w:rPr>
                <w:rFonts w:ascii="Arial" w:hAnsi="Arial" w:cs="Arial"/>
              </w:rPr>
            </w:pPr>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rsidR="00791EB4" w:rsidRPr="00616B9B" w:rsidRDefault="00791EB4" w:rsidP="00C000A5">
            <w:pPr>
              <w:pStyle w:val="01aDBTitle"/>
              <w:rPr>
                <w:rFonts w:ascii="Arial" w:hAnsi="Arial"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yperlink"/>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0"/>
    <w:p w:rsidR="00C535E2" w:rsidRPr="0026621B" w:rsidRDefault="00C535E2" w:rsidP="00C535E2">
      <w:pPr>
        <w:pStyle w:val="Heading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F32462" w:rsidRPr="0026621B" w:rsidTr="00D70F15">
        <w:tc>
          <w:tcPr>
            <w:tcW w:w="3510" w:type="dxa"/>
          </w:tcPr>
          <w:p w:rsidR="00F32462" w:rsidRPr="0026621B" w:rsidRDefault="00F32462" w:rsidP="00D70F15">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F32462" w:rsidRPr="0026621B" w:rsidRDefault="006B4365" w:rsidP="00D70F15">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43204038" w:edGrp="everyone"/>
                <w:r w:rsidR="00D70F15">
                  <w:rPr>
                    <w:rFonts w:ascii="Arial" w:hAnsi="Arial" w:cs="Arial"/>
                    <w:sz w:val="22"/>
                    <w:szCs w:val="22"/>
                  </w:rPr>
                  <w:t>No</w:t>
                </w:r>
                <w:permEnd w:id="43204038"/>
              </w:sdtContent>
            </w:sdt>
          </w:p>
        </w:tc>
      </w:tr>
      <w:tr w:rsidR="00F32462" w:rsidRPr="0026621B" w:rsidTr="00D70F15">
        <w:tc>
          <w:tcPr>
            <w:tcW w:w="3510" w:type="dxa"/>
          </w:tcPr>
          <w:p w:rsidR="00F32462" w:rsidRPr="0026621B" w:rsidRDefault="00F32462" w:rsidP="00D70F15">
            <w:pPr>
              <w:rPr>
                <w:rFonts w:ascii="Arial" w:hAnsi="Arial" w:cs="Arial"/>
                <w:sz w:val="22"/>
                <w:szCs w:val="22"/>
              </w:rPr>
            </w:pPr>
            <w:r w:rsidRPr="0026621B">
              <w:rPr>
                <w:rFonts w:ascii="Arial" w:hAnsi="Arial" w:cs="Arial"/>
                <w:sz w:val="22"/>
                <w:szCs w:val="22"/>
              </w:rPr>
              <w:t>Activity:</w:t>
            </w:r>
          </w:p>
        </w:tc>
        <w:tc>
          <w:tcPr>
            <w:tcW w:w="6118" w:type="dxa"/>
          </w:tcPr>
          <w:p w:rsidR="00F32462" w:rsidRPr="0026621B" w:rsidRDefault="006B4365" w:rsidP="00D70F15">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508979840" w:edGrp="everyone"/>
                <w:r w:rsidR="00D70F15">
                  <w:rPr>
                    <w:rFonts w:ascii="Arial" w:hAnsi="Arial" w:cs="Arial"/>
                    <w:sz w:val="22"/>
                    <w:szCs w:val="22"/>
                  </w:rPr>
                  <w:t>Trading Venue</w:t>
                </w:r>
                <w:permEnd w:id="1508979840"/>
              </w:sdtContent>
            </w:sdt>
          </w:p>
        </w:tc>
      </w:tr>
      <w:tr w:rsidR="00F32462" w:rsidRPr="0026621B" w:rsidTr="00D70F15">
        <w:tc>
          <w:tcPr>
            <w:tcW w:w="3510" w:type="dxa"/>
          </w:tcPr>
          <w:p w:rsidR="00F32462" w:rsidRPr="0026621B" w:rsidRDefault="00F32462" w:rsidP="00D70F15">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650856576" w:edGrp="everyone" w:displacedByCustomXml="prev"/>
            <w:tc>
              <w:tcPr>
                <w:tcW w:w="6118" w:type="dxa"/>
              </w:tcPr>
              <w:p w:rsidR="00F32462" w:rsidRPr="0026621B" w:rsidRDefault="00D70F15" w:rsidP="00D70F15">
                <w:pPr>
                  <w:rPr>
                    <w:rFonts w:ascii="Arial" w:hAnsi="Arial" w:cs="Arial"/>
                    <w:sz w:val="22"/>
                    <w:szCs w:val="22"/>
                  </w:rPr>
                </w:pPr>
                <w:r>
                  <w:rPr>
                    <w:rFonts w:ascii="Arial" w:hAnsi="Arial" w:cs="Arial"/>
                    <w:sz w:val="22"/>
                    <w:szCs w:val="22"/>
                  </w:rPr>
                  <w:t>Ireland</w:t>
                </w:r>
              </w:p>
            </w:tc>
            <w:permEnd w:id="1650856576" w:displacedByCustomXml="next"/>
          </w:sdtContent>
        </w:sdt>
      </w:tr>
    </w:tbl>
    <w:p w:rsidR="00F32462" w:rsidRDefault="00F32462">
      <w:pPr>
        <w:rPr>
          <w:rFonts w:ascii="Arial" w:hAnsi="Arial" w:cs="Arial"/>
          <w:b/>
          <w:sz w:val="22"/>
          <w:szCs w:val="22"/>
          <w:lang w:eastAsia="en-US"/>
        </w:rPr>
      </w:pPr>
      <w:r>
        <w:rPr>
          <w:rFonts w:ascii="Arial" w:hAnsi="Arial" w:cs="Arial"/>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t xml:space="preserve">What are your views on the proposed basis for the cash penalty calculation?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rsidR="00520FB3" w:rsidRDefault="00780C62" w:rsidP="00A35728">
      <w:pPr>
        <w:rPr>
          <w:rFonts w:ascii="Arial" w:hAnsi="Arial" w:cs="Arial"/>
          <w:sz w:val="22"/>
          <w:szCs w:val="22"/>
        </w:rPr>
      </w:pPr>
      <w:permStart w:id="1398559728" w:edGrp="everyone"/>
      <w:r>
        <w:rPr>
          <w:rFonts w:ascii="Arial" w:hAnsi="Arial" w:cs="Arial"/>
          <w:sz w:val="22"/>
          <w:szCs w:val="22"/>
        </w:rPr>
        <w:t>We agree with the proposal to implement a penalty regime on an ad valorem basis, and that such a regime should be simple and proportionate and that it should work with existing holding models.</w:t>
      </w:r>
    </w:p>
    <w:p w:rsidR="00520FB3" w:rsidRDefault="00520FB3" w:rsidP="00A35728">
      <w:pPr>
        <w:rPr>
          <w:rFonts w:ascii="Arial" w:hAnsi="Arial" w:cs="Arial"/>
          <w:sz w:val="22"/>
          <w:szCs w:val="22"/>
        </w:rPr>
      </w:pPr>
    </w:p>
    <w:p w:rsidR="00520FB3" w:rsidRDefault="00520FB3" w:rsidP="00A35728">
      <w:pPr>
        <w:rPr>
          <w:rFonts w:ascii="Arial" w:hAnsi="Arial" w:cs="Arial"/>
          <w:sz w:val="22"/>
          <w:szCs w:val="22"/>
        </w:rPr>
      </w:pPr>
      <w:r>
        <w:rPr>
          <w:rFonts w:ascii="Arial" w:hAnsi="Arial" w:cs="Arial"/>
          <w:sz w:val="22"/>
          <w:szCs w:val="22"/>
        </w:rPr>
        <w:t>We also support the proposal to require CSDs to offer ‘partials’ functionality as an effective means to encourage settlement where possible</w:t>
      </w:r>
      <w:r w:rsidR="006C786D">
        <w:rPr>
          <w:rFonts w:ascii="Arial" w:hAnsi="Arial" w:cs="Arial"/>
          <w:sz w:val="22"/>
          <w:szCs w:val="22"/>
        </w:rPr>
        <w:t>, although we believ</w:t>
      </w:r>
      <w:r w:rsidR="001F4B6C">
        <w:rPr>
          <w:rFonts w:ascii="Arial" w:hAnsi="Arial" w:cs="Arial"/>
          <w:sz w:val="22"/>
          <w:szCs w:val="22"/>
        </w:rPr>
        <w:t>e that there may be some practical difficulties in implementing this functionality</w:t>
      </w:r>
      <w:r>
        <w:rPr>
          <w:rFonts w:ascii="Arial" w:hAnsi="Arial" w:cs="Arial"/>
          <w:sz w:val="22"/>
          <w:szCs w:val="22"/>
        </w:rPr>
        <w:t xml:space="preserve">. We also agree that where the receiving participant does not accept partials, the penalty applying to the failing participant should only be in relation to the missing financial instrument or cash, particularly given the high penalty </w:t>
      </w:r>
      <w:r w:rsidR="002E338D">
        <w:rPr>
          <w:rFonts w:ascii="Arial" w:hAnsi="Arial" w:cs="Arial"/>
          <w:sz w:val="22"/>
          <w:szCs w:val="22"/>
        </w:rPr>
        <w:t>rate</w:t>
      </w:r>
      <w:r w:rsidR="00C20720">
        <w:rPr>
          <w:rFonts w:ascii="Arial" w:hAnsi="Arial" w:cs="Arial"/>
          <w:sz w:val="22"/>
          <w:szCs w:val="22"/>
        </w:rPr>
        <w:t>s</w:t>
      </w:r>
      <w:r w:rsidR="002E338D">
        <w:rPr>
          <w:rFonts w:ascii="Arial" w:hAnsi="Arial" w:cs="Arial"/>
          <w:sz w:val="22"/>
          <w:szCs w:val="22"/>
        </w:rPr>
        <w:t xml:space="preserve"> that </w:t>
      </w:r>
      <w:r w:rsidR="00C20720">
        <w:rPr>
          <w:rFonts w:ascii="Arial" w:hAnsi="Arial" w:cs="Arial"/>
          <w:sz w:val="22"/>
          <w:szCs w:val="22"/>
        </w:rPr>
        <w:t>are</w:t>
      </w:r>
      <w:r w:rsidR="002E338D">
        <w:rPr>
          <w:rFonts w:ascii="Arial" w:hAnsi="Arial" w:cs="Arial"/>
          <w:sz w:val="22"/>
          <w:szCs w:val="22"/>
        </w:rPr>
        <w:t xml:space="preserve"> proposed for</w:t>
      </w:r>
      <w:r>
        <w:rPr>
          <w:rFonts w:ascii="Arial" w:hAnsi="Arial" w:cs="Arial"/>
          <w:sz w:val="22"/>
          <w:szCs w:val="22"/>
        </w:rPr>
        <w:t xml:space="preserve"> the daily fine</w:t>
      </w:r>
      <w:r w:rsidR="00C20720">
        <w:rPr>
          <w:rFonts w:ascii="Arial" w:hAnsi="Arial" w:cs="Arial"/>
          <w:sz w:val="22"/>
          <w:szCs w:val="22"/>
        </w:rPr>
        <w:t>s</w:t>
      </w:r>
      <w:r>
        <w:rPr>
          <w:rFonts w:ascii="Arial" w:hAnsi="Arial" w:cs="Arial"/>
          <w:sz w:val="22"/>
          <w:szCs w:val="22"/>
        </w:rPr>
        <w:t>.</w:t>
      </w:r>
    </w:p>
    <w:p w:rsidR="00520FB3" w:rsidRDefault="00520FB3" w:rsidP="00A35728">
      <w:pPr>
        <w:rPr>
          <w:rFonts w:ascii="Arial" w:hAnsi="Arial" w:cs="Arial"/>
          <w:sz w:val="22"/>
          <w:szCs w:val="22"/>
        </w:rPr>
      </w:pPr>
    </w:p>
    <w:p w:rsidR="00916519" w:rsidRDefault="001F4B6C" w:rsidP="00A35728">
      <w:pPr>
        <w:rPr>
          <w:rFonts w:ascii="Arial" w:hAnsi="Arial" w:cs="Arial"/>
          <w:sz w:val="22"/>
          <w:szCs w:val="22"/>
        </w:rPr>
      </w:pPr>
      <w:r>
        <w:rPr>
          <w:rFonts w:ascii="Arial" w:hAnsi="Arial" w:cs="Arial"/>
          <w:sz w:val="22"/>
          <w:szCs w:val="22"/>
        </w:rPr>
        <w:t>Furthermore, w</w:t>
      </w:r>
      <w:r w:rsidR="00916519">
        <w:rPr>
          <w:rFonts w:ascii="Arial" w:hAnsi="Arial" w:cs="Arial"/>
          <w:sz w:val="22"/>
          <w:szCs w:val="22"/>
        </w:rPr>
        <w:t>e have a number of comments on the specific proposals which we believe need to be addressed:</w:t>
      </w:r>
    </w:p>
    <w:p w:rsidR="00916519" w:rsidRDefault="00916519" w:rsidP="00916519">
      <w:pPr>
        <w:pStyle w:val="ListParagraph"/>
        <w:numPr>
          <w:ilvl w:val="0"/>
          <w:numId w:val="42"/>
        </w:numPr>
        <w:rPr>
          <w:rFonts w:ascii="Arial" w:hAnsi="Arial" w:cs="Arial"/>
          <w:sz w:val="22"/>
          <w:szCs w:val="22"/>
        </w:rPr>
      </w:pPr>
      <w:r>
        <w:rPr>
          <w:rFonts w:ascii="Arial" w:hAnsi="Arial" w:cs="Arial"/>
          <w:sz w:val="22"/>
          <w:szCs w:val="22"/>
        </w:rPr>
        <w:t xml:space="preserve">We note that </w:t>
      </w:r>
      <w:r w:rsidR="00520FB3">
        <w:rPr>
          <w:rFonts w:ascii="Arial" w:hAnsi="Arial" w:cs="Arial"/>
          <w:sz w:val="22"/>
          <w:szCs w:val="22"/>
        </w:rPr>
        <w:t xml:space="preserve">ESMA proposes that </w:t>
      </w:r>
      <w:r>
        <w:rPr>
          <w:rFonts w:ascii="Arial" w:hAnsi="Arial" w:cs="Arial"/>
          <w:sz w:val="22"/>
          <w:szCs w:val="22"/>
        </w:rPr>
        <w:t xml:space="preserve">the primary source of the reference price should be the regulated primary market for the security. However this does not take into account that certain securities may be dual primary listed. Such situations have been addressed by ESMA in the draft </w:t>
      </w:r>
      <w:r w:rsidRPr="00916519">
        <w:rPr>
          <w:rFonts w:ascii="Arial" w:hAnsi="Arial" w:cs="Arial"/>
          <w:sz w:val="22"/>
          <w:szCs w:val="22"/>
        </w:rPr>
        <w:t>RTS 19, Article 1(1)</w:t>
      </w:r>
      <w:r>
        <w:rPr>
          <w:rFonts w:ascii="Arial" w:hAnsi="Arial" w:cs="Arial"/>
          <w:sz w:val="22"/>
          <w:szCs w:val="22"/>
        </w:rPr>
        <w:t xml:space="preserve"> of the </w:t>
      </w:r>
      <w:proofErr w:type="spellStart"/>
      <w:r>
        <w:rPr>
          <w:rFonts w:ascii="Arial" w:hAnsi="Arial" w:cs="Arial"/>
          <w:sz w:val="22"/>
          <w:szCs w:val="22"/>
        </w:rPr>
        <w:t>MiFID</w:t>
      </w:r>
      <w:proofErr w:type="spellEnd"/>
      <w:r>
        <w:rPr>
          <w:rFonts w:ascii="Arial" w:hAnsi="Arial" w:cs="Arial"/>
          <w:sz w:val="22"/>
          <w:szCs w:val="22"/>
        </w:rPr>
        <w:t xml:space="preserve"> II consultation. This text therefore needs to be replicated in the technical advice to the Commission. </w:t>
      </w:r>
    </w:p>
    <w:p w:rsidR="00A65592" w:rsidRDefault="00A65592" w:rsidP="00916519">
      <w:pPr>
        <w:pStyle w:val="ListParagraph"/>
        <w:numPr>
          <w:ilvl w:val="0"/>
          <w:numId w:val="42"/>
        </w:numPr>
        <w:rPr>
          <w:rFonts w:ascii="Arial" w:hAnsi="Arial" w:cs="Arial"/>
          <w:sz w:val="22"/>
          <w:szCs w:val="22"/>
        </w:rPr>
      </w:pPr>
      <w:r>
        <w:rPr>
          <w:rFonts w:ascii="Arial" w:hAnsi="Arial" w:cs="Arial"/>
          <w:sz w:val="22"/>
          <w:szCs w:val="22"/>
        </w:rPr>
        <w:t>If ESMA continues with its proposed approach to use a reference price rather than the trade price, then we would urge ESMA to ensure that such prices are available in a transparent</w:t>
      </w:r>
      <w:r w:rsidR="00C20720">
        <w:rPr>
          <w:rFonts w:ascii="Arial" w:hAnsi="Arial" w:cs="Arial"/>
          <w:sz w:val="22"/>
          <w:szCs w:val="22"/>
        </w:rPr>
        <w:t>, centralised and consistent manner</w:t>
      </w:r>
      <w:r>
        <w:rPr>
          <w:rFonts w:ascii="Arial" w:hAnsi="Arial" w:cs="Arial"/>
          <w:sz w:val="22"/>
          <w:szCs w:val="22"/>
        </w:rPr>
        <w:t>.</w:t>
      </w:r>
    </w:p>
    <w:p w:rsidR="005573A8" w:rsidRDefault="001F4B6C" w:rsidP="00916519">
      <w:pPr>
        <w:pStyle w:val="ListParagraph"/>
        <w:numPr>
          <w:ilvl w:val="0"/>
          <w:numId w:val="42"/>
        </w:numPr>
        <w:rPr>
          <w:rFonts w:ascii="Arial" w:hAnsi="Arial" w:cs="Arial"/>
          <w:sz w:val="22"/>
          <w:szCs w:val="22"/>
        </w:rPr>
      </w:pPr>
      <w:r>
        <w:rPr>
          <w:rFonts w:ascii="Arial" w:hAnsi="Arial" w:cs="Arial"/>
          <w:sz w:val="22"/>
          <w:szCs w:val="22"/>
        </w:rPr>
        <w:t>W</w:t>
      </w:r>
      <w:r w:rsidR="00520FB3">
        <w:rPr>
          <w:rFonts w:ascii="Arial" w:hAnsi="Arial" w:cs="Arial"/>
          <w:sz w:val="22"/>
          <w:szCs w:val="22"/>
        </w:rPr>
        <w:t xml:space="preserve">e question </w:t>
      </w:r>
      <w:r w:rsidR="00E67CC0" w:rsidRPr="00916519">
        <w:rPr>
          <w:rFonts w:ascii="Arial" w:hAnsi="Arial" w:cs="Arial"/>
          <w:sz w:val="22"/>
          <w:szCs w:val="22"/>
        </w:rPr>
        <w:t>whether the reference to the “most liquid trading venue”</w:t>
      </w:r>
      <w:r w:rsidR="00AA5B27" w:rsidRPr="00916519">
        <w:rPr>
          <w:rFonts w:ascii="Arial" w:hAnsi="Arial" w:cs="Arial"/>
          <w:sz w:val="22"/>
          <w:szCs w:val="22"/>
        </w:rPr>
        <w:t xml:space="preserve"> </w:t>
      </w:r>
      <w:r w:rsidR="00E67CC0" w:rsidRPr="00916519">
        <w:rPr>
          <w:rFonts w:ascii="Arial" w:hAnsi="Arial" w:cs="Arial"/>
          <w:sz w:val="22"/>
          <w:szCs w:val="22"/>
        </w:rPr>
        <w:t xml:space="preserve">is </w:t>
      </w:r>
      <w:r w:rsidR="00674079">
        <w:rPr>
          <w:rFonts w:ascii="Arial" w:hAnsi="Arial" w:cs="Arial"/>
          <w:sz w:val="22"/>
          <w:szCs w:val="22"/>
        </w:rPr>
        <w:t>the most appr</w:t>
      </w:r>
      <w:r w:rsidR="00674079">
        <w:rPr>
          <w:rFonts w:ascii="Arial" w:hAnsi="Arial" w:cs="Arial"/>
          <w:sz w:val="22"/>
          <w:szCs w:val="22"/>
        </w:rPr>
        <w:t>o</w:t>
      </w:r>
      <w:r w:rsidR="00674079">
        <w:rPr>
          <w:rFonts w:ascii="Arial" w:hAnsi="Arial" w:cs="Arial"/>
          <w:sz w:val="22"/>
          <w:szCs w:val="22"/>
        </w:rPr>
        <w:t>priate approach</w:t>
      </w:r>
      <w:r w:rsidR="00E67CC0" w:rsidRPr="00916519">
        <w:rPr>
          <w:rFonts w:ascii="Arial" w:hAnsi="Arial" w:cs="Arial"/>
          <w:sz w:val="22"/>
          <w:szCs w:val="22"/>
        </w:rPr>
        <w:t xml:space="preserve"> </w:t>
      </w:r>
      <w:r w:rsidR="002A5EA1" w:rsidRPr="00916519">
        <w:rPr>
          <w:rFonts w:ascii="Arial" w:hAnsi="Arial" w:cs="Arial"/>
          <w:sz w:val="22"/>
          <w:szCs w:val="22"/>
        </w:rPr>
        <w:t>for all financial securities</w:t>
      </w:r>
      <w:r w:rsidR="00354B44">
        <w:rPr>
          <w:rFonts w:ascii="Arial" w:hAnsi="Arial" w:cs="Arial"/>
          <w:sz w:val="22"/>
          <w:szCs w:val="22"/>
        </w:rPr>
        <w:t>,</w:t>
      </w:r>
      <w:r w:rsidR="002A5EA1" w:rsidRPr="00916519">
        <w:rPr>
          <w:rFonts w:ascii="Arial" w:hAnsi="Arial" w:cs="Arial"/>
          <w:sz w:val="22"/>
          <w:szCs w:val="22"/>
        </w:rPr>
        <w:t xml:space="preserve"> </w:t>
      </w:r>
      <w:r w:rsidR="004813F2">
        <w:rPr>
          <w:rFonts w:ascii="Arial" w:hAnsi="Arial" w:cs="Arial"/>
          <w:sz w:val="22"/>
          <w:szCs w:val="22"/>
        </w:rPr>
        <w:t>as trading in</w:t>
      </w:r>
      <w:r w:rsidR="00E67CC0" w:rsidRPr="00916519">
        <w:rPr>
          <w:rFonts w:ascii="Arial" w:hAnsi="Arial" w:cs="Arial"/>
          <w:sz w:val="22"/>
          <w:szCs w:val="22"/>
        </w:rPr>
        <w:t xml:space="preserve"> less liquid financial instruments </w:t>
      </w:r>
      <w:r w:rsidR="002A5EA1" w:rsidRPr="00916519">
        <w:rPr>
          <w:rFonts w:ascii="Arial" w:hAnsi="Arial" w:cs="Arial"/>
          <w:sz w:val="22"/>
          <w:szCs w:val="22"/>
        </w:rPr>
        <w:t>such as bonds is more likely to</w:t>
      </w:r>
      <w:r w:rsidR="00E67CC0" w:rsidRPr="00916519">
        <w:rPr>
          <w:rFonts w:ascii="Arial" w:hAnsi="Arial" w:cs="Arial"/>
          <w:sz w:val="22"/>
          <w:szCs w:val="22"/>
        </w:rPr>
        <w:t xml:space="preserve"> take place </w:t>
      </w:r>
      <w:r w:rsidR="002A5EA1" w:rsidRPr="00916519">
        <w:rPr>
          <w:rFonts w:ascii="Arial" w:hAnsi="Arial" w:cs="Arial"/>
          <w:sz w:val="22"/>
          <w:szCs w:val="22"/>
        </w:rPr>
        <w:t xml:space="preserve">on an </w:t>
      </w:r>
      <w:r w:rsidR="00E67CC0" w:rsidRPr="00916519">
        <w:rPr>
          <w:rFonts w:ascii="Arial" w:hAnsi="Arial" w:cs="Arial"/>
          <w:sz w:val="22"/>
          <w:szCs w:val="22"/>
        </w:rPr>
        <w:t>OTC</w:t>
      </w:r>
      <w:r w:rsidR="002A5EA1" w:rsidRPr="00916519">
        <w:rPr>
          <w:rFonts w:ascii="Arial" w:hAnsi="Arial" w:cs="Arial"/>
          <w:sz w:val="22"/>
          <w:szCs w:val="22"/>
        </w:rPr>
        <w:t xml:space="preserve"> basis</w:t>
      </w:r>
      <w:r w:rsidR="004813F2">
        <w:rPr>
          <w:rFonts w:ascii="Arial" w:hAnsi="Arial" w:cs="Arial"/>
          <w:sz w:val="22"/>
          <w:szCs w:val="22"/>
        </w:rPr>
        <w:t>.</w:t>
      </w:r>
      <w:r w:rsidR="003C1894">
        <w:rPr>
          <w:rFonts w:ascii="Arial" w:hAnsi="Arial" w:cs="Arial"/>
          <w:sz w:val="22"/>
          <w:szCs w:val="22"/>
        </w:rPr>
        <w:t xml:space="preserve"> </w:t>
      </w:r>
      <w:r w:rsidR="004813F2">
        <w:rPr>
          <w:rFonts w:ascii="Arial" w:hAnsi="Arial" w:cs="Arial"/>
          <w:sz w:val="22"/>
          <w:szCs w:val="22"/>
        </w:rPr>
        <w:t>T</w:t>
      </w:r>
      <w:r>
        <w:rPr>
          <w:rFonts w:ascii="Arial" w:hAnsi="Arial" w:cs="Arial"/>
          <w:sz w:val="22"/>
          <w:szCs w:val="22"/>
        </w:rPr>
        <w:t>herefore we</w:t>
      </w:r>
      <w:r w:rsidR="00293B7F">
        <w:rPr>
          <w:rFonts w:ascii="Arial" w:hAnsi="Arial" w:cs="Arial"/>
          <w:sz w:val="22"/>
          <w:szCs w:val="22"/>
        </w:rPr>
        <w:t xml:space="preserve"> </w:t>
      </w:r>
      <w:r w:rsidR="003C1894">
        <w:rPr>
          <w:rFonts w:ascii="Arial" w:hAnsi="Arial" w:cs="Arial"/>
          <w:sz w:val="22"/>
          <w:szCs w:val="22"/>
        </w:rPr>
        <w:t>suggest se</w:t>
      </w:r>
      <w:r w:rsidR="003C1894">
        <w:rPr>
          <w:rFonts w:ascii="Arial" w:hAnsi="Arial" w:cs="Arial"/>
          <w:sz w:val="22"/>
          <w:szCs w:val="22"/>
        </w:rPr>
        <w:t>t</w:t>
      </w:r>
      <w:r w:rsidR="003C1894">
        <w:rPr>
          <w:rFonts w:ascii="Arial" w:hAnsi="Arial" w:cs="Arial"/>
          <w:sz w:val="22"/>
          <w:szCs w:val="22"/>
        </w:rPr>
        <w:t>ting a minimum threshold for a market to be considered the “most liquid trading venue”</w:t>
      </w:r>
      <w:r w:rsidR="00916519">
        <w:rPr>
          <w:rFonts w:ascii="Arial" w:hAnsi="Arial" w:cs="Arial"/>
          <w:sz w:val="22"/>
          <w:szCs w:val="22"/>
        </w:rPr>
        <w:t>.</w:t>
      </w:r>
      <w:r w:rsidR="005573A8">
        <w:rPr>
          <w:rFonts w:ascii="Arial" w:hAnsi="Arial" w:cs="Arial"/>
          <w:sz w:val="22"/>
          <w:szCs w:val="22"/>
        </w:rPr>
        <w:t xml:space="preserve"> In such cases where no mar</w:t>
      </w:r>
      <w:r>
        <w:rPr>
          <w:rFonts w:ascii="Arial" w:hAnsi="Arial" w:cs="Arial"/>
          <w:sz w:val="22"/>
          <w:szCs w:val="22"/>
        </w:rPr>
        <w:t>ket exceeds the threshold</w:t>
      </w:r>
      <w:r w:rsidR="00FD23FE">
        <w:rPr>
          <w:rFonts w:ascii="Arial" w:hAnsi="Arial" w:cs="Arial"/>
          <w:sz w:val="22"/>
          <w:szCs w:val="22"/>
        </w:rPr>
        <w:t>,</w:t>
      </w:r>
      <w:r w:rsidR="005573A8">
        <w:rPr>
          <w:rFonts w:ascii="Arial" w:hAnsi="Arial" w:cs="Arial"/>
          <w:sz w:val="22"/>
          <w:szCs w:val="22"/>
        </w:rPr>
        <w:t xml:space="preserve"> the last option</w:t>
      </w:r>
      <w:r>
        <w:rPr>
          <w:rFonts w:ascii="Arial" w:hAnsi="Arial" w:cs="Arial"/>
          <w:sz w:val="22"/>
          <w:szCs w:val="22"/>
        </w:rPr>
        <w:t>,</w:t>
      </w:r>
      <w:r w:rsidR="005573A8">
        <w:rPr>
          <w:rFonts w:ascii="Arial" w:hAnsi="Arial" w:cs="Arial"/>
          <w:sz w:val="22"/>
          <w:szCs w:val="22"/>
        </w:rPr>
        <w:t xml:space="preserve"> taking the market prices from brokers</w:t>
      </w:r>
      <w:r>
        <w:rPr>
          <w:rFonts w:ascii="Arial" w:hAnsi="Arial" w:cs="Arial"/>
          <w:sz w:val="22"/>
          <w:szCs w:val="22"/>
        </w:rPr>
        <w:t>,</w:t>
      </w:r>
      <w:r w:rsidR="005573A8">
        <w:rPr>
          <w:rFonts w:ascii="Arial" w:hAnsi="Arial" w:cs="Arial"/>
          <w:sz w:val="22"/>
          <w:szCs w:val="22"/>
        </w:rPr>
        <w:t xml:space="preserve"> should be applied.</w:t>
      </w:r>
    </w:p>
    <w:p w:rsidR="00916519" w:rsidRDefault="00916519" w:rsidP="00916519">
      <w:pPr>
        <w:pStyle w:val="ListParagraph"/>
        <w:numPr>
          <w:ilvl w:val="0"/>
          <w:numId w:val="42"/>
        </w:numPr>
        <w:rPr>
          <w:rFonts w:ascii="Arial" w:hAnsi="Arial" w:cs="Arial"/>
          <w:sz w:val="22"/>
          <w:szCs w:val="22"/>
        </w:rPr>
      </w:pPr>
      <w:r>
        <w:rPr>
          <w:rFonts w:ascii="Arial" w:hAnsi="Arial" w:cs="Arial"/>
          <w:sz w:val="22"/>
          <w:szCs w:val="22"/>
        </w:rPr>
        <w:t>It is also not clea</w:t>
      </w:r>
      <w:r w:rsidR="00FD23FE">
        <w:rPr>
          <w:rFonts w:ascii="Arial" w:hAnsi="Arial" w:cs="Arial"/>
          <w:sz w:val="22"/>
          <w:szCs w:val="22"/>
        </w:rPr>
        <w:t xml:space="preserve">r if the intention is to link </w:t>
      </w:r>
      <w:r w:rsidR="00FD23FE" w:rsidRPr="00916519">
        <w:rPr>
          <w:rFonts w:ascii="Arial" w:hAnsi="Arial" w:cs="Arial"/>
          <w:sz w:val="22"/>
          <w:szCs w:val="22"/>
        </w:rPr>
        <w:t>the “most liquid trading venue</w:t>
      </w:r>
      <w:r>
        <w:rPr>
          <w:rFonts w:ascii="Arial" w:hAnsi="Arial" w:cs="Arial"/>
          <w:sz w:val="22"/>
          <w:szCs w:val="22"/>
        </w:rPr>
        <w:t xml:space="preserve"> to the definition of ‘most liquid market’ as defined in </w:t>
      </w:r>
      <w:proofErr w:type="spellStart"/>
      <w:r>
        <w:rPr>
          <w:rFonts w:ascii="Arial" w:hAnsi="Arial" w:cs="Arial"/>
          <w:sz w:val="22"/>
          <w:szCs w:val="22"/>
        </w:rPr>
        <w:t>MiFIR</w:t>
      </w:r>
      <w:proofErr w:type="spellEnd"/>
      <w:r>
        <w:rPr>
          <w:rFonts w:ascii="Arial" w:hAnsi="Arial" w:cs="Arial"/>
          <w:sz w:val="22"/>
          <w:szCs w:val="22"/>
        </w:rPr>
        <w:t>, although we assume this to be the case since this is the intended approach of ESMA in relation to the technical standards.</w:t>
      </w:r>
      <w:r w:rsidR="00B47E97">
        <w:rPr>
          <w:rFonts w:ascii="Arial" w:hAnsi="Arial" w:cs="Arial"/>
          <w:sz w:val="22"/>
          <w:szCs w:val="22"/>
        </w:rPr>
        <w:t xml:space="preserve"> We would support such an alignment.</w:t>
      </w:r>
    </w:p>
    <w:p w:rsidR="00E67CC0" w:rsidRPr="00916519" w:rsidRDefault="00E67CC0" w:rsidP="00B81636">
      <w:pPr>
        <w:pStyle w:val="ListParagraph"/>
        <w:rPr>
          <w:rFonts w:ascii="Arial" w:hAnsi="Arial" w:cs="Arial"/>
          <w:sz w:val="22"/>
          <w:szCs w:val="22"/>
        </w:rPr>
      </w:pPr>
    </w:p>
    <w:permEnd w:id="1398559728"/>
    <w:p w:rsidR="00A35728" w:rsidRDefault="00A35728" w:rsidP="00A35728">
      <w:pPr>
        <w:rPr>
          <w:rFonts w:ascii="Arial" w:hAnsi="Arial" w:cs="Arial"/>
          <w:sz w:val="22"/>
          <w:szCs w:val="22"/>
        </w:rPr>
      </w:pPr>
      <w:r w:rsidRPr="00616B9B">
        <w:rPr>
          <w:rFonts w:ascii="Arial" w:hAnsi="Arial" w:cs="Arial"/>
          <w:sz w:val="22"/>
          <w:szCs w:val="22"/>
        </w:rPr>
        <w:t>&lt;ESMA_QUESTION_TA_CSDR_1&gt;</w:t>
      </w:r>
    </w:p>
    <w:p w:rsidR="00682E4A" w:rsidRPr="00616B9B"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w:t>
      </w:r>
      <w:r w:rsidRPr="00616B9B">
        <w:rPr>
          <w:rFonts w:ascii="Arial" w:hAnsi="Arial" w:cs="Arial"/>
          <w:szCs w:val="22"/>
        </w:rPr>
        <w:t>n</w:t>
      </w:r>
      <w:r w:rsidRPr="00616B9B">
        <w:rPr>
          <w:rFonts w:ascii="Arial" w:hAnsi="Arial" w:cs="Arial"/>
          <w:szCs w:val="22"/>
        </w:rPr>
        <w:t>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rsidR="00C17BDC" w:rsidRDefault="0069193C" w:rsidP="009D1A73">
      <w:pPr>
        <w:rPr>
          <w:rFonts w:ascii="Arial" w:hAnsi="Arial" w:cs="Arial"/>
          <w:sz w:val="22"/>
          <w:szCs w:val="22"/>
        </w:rPr>
      </w:pPr>
      <w:permStart w:id="285091458" w:edGrp="everyone"/>
      <w:r>
        <w:rPr>
          <w:rFonts w:ascii="Arial" w:hAnsi="Arial" w:cs="Arial"/>
          <w:sz w:val="22"/>
          <w:szCs w:val="22"/>
        </w:rPr>
        <w:t xml:space="preserve">Our main </w:t>
      </w:r>
      <w:r w:rsidR="00C17BDC">
        <w:rPr>
          <w:rFonts w:ascii="Arial" w:hAnsi="Arial" w:cs="Arial"/>
          <w:sz w:val="22"/>
          <w:szCs w:val="22"/>
        </w:rPr>
        <w:t>concerns regarding the proposed approach, namely:</w:t>
      </w:r>
    </w:p>
    <w:p w:rsidR="00C17BDC" w:rsidRDefault="00C17BDC" w:rsidP="00C17BDC">
      <w:pPr>
        <w:pStyle w:val="ListParagraph"/>
        <w:numPr>
          <w:ilvl w:val="0"/>
          <w:numId w:val="43"/>
        </w:numPr>
        <w:rPr>
          <w:rFonts w:ascii="Arial" w:hAnsi="Arial" w:cs="Arial"/>
          <w:sz w:val="22"/>
          <w:szCs w:val="22"/>
        </w:rPr>
      </w:pPr>
      <w:r>
        <w:rPr>
          <w:rFonts w:ascii="Arial" w:hAnsi="Arial" w:cs="Arial"/>
          <w:sz w:val="22"/>
          <w:szCs w:val="22"/>
        </w:rPr>
        <w:t xml:space="preserve">The high level of penalties applied; </w:t>
      </w:r>
    </w:p>
    <w:p w:rsidR="00C17BDC" w:rsidRDefault="00C17BDC" w:rsidP="00C17BDC">
      <w:pPr>
        <w:pStyle w:val="ListParagraph"/>
        <w:numPr>
          <w:ilvl w:val="0"/>
          <w:numId w:val="43"/>
        </w:numPr>
        <w:rPr>
          <w:rFonts w:ascii="Arial" w:hAnsi="Arial" w:cs="Arial"/>
          <w:sz w:val="22"/>
          <w:szCs w:val="22"/>
        </w:rPr>
      </w:pPr>
      <w:r>
        <w:rPr>
          <w:rFonts w:ascii="Arial" w:hAnsi="Arial" w:cs="Arial"/>
          <w:sz w:val="22"/>
          <w:szCs w:val="22"/>
        </w:rPr>
        <w:t>The absence of a liquidity</w:t>
      </w:r>
      <w:r w:rsidR="00E85CE1">
        <w:rPr>
          <w:rFonts w:ascii="Arial" w:hAnsi="Arial" w:cs="Arial"/>
          <w:sz w:val="22"/>
          <w:szCs w:val="22"/>
        </w:rPr>
        <w:t xml:space="preserve"> adjustment</w:t>
      </w:r>
      <w:r w:rsidR="00BE06B5">
        <w:rPr>
          <w:rFonts w:ascii="Arial" w:hAnsi="Arial" w:cs="Arial"/>
          <w:sz w:val="22"/>
          <w:szCs w:val="22"/>
        </w:rPr>
        <w:t xml:space="preserve"> within the equity asset class;</w:t>
      </w:r>
    </w:p>
    <w:p w:rsidR="00532E91" w:rsidRDefault="00532E91" w:rsidP="00C17BDC">
      <w:pPr>
        <w:pStyle w:val="ListParagraph"/>
        <w:numPr>
          <w:ilvl w:val="0"/>
          <w:numId w:val="43"/>
        </w:numPr>
        <w:rPr>
          <w:rFonts w:ascii="Arial" w:hAnsi="Arial" w:cs="Arial"/>
          <w:sz w:val="22"/>
          <w:szCs w:val="22"/>
        </w:rPr>
      </w:pPr>
      <w:r>
        <w:rPr>
          <w:rFonts w:ascii="Arial" w:hAnsi="Arial" w:cs="Arial"/>
          <w:sz w:val="22"/>
          <w:szCs w:val="22"/>
        </w:rPr>
        <w:t>The applicability of penalties during the deferral period.</w:t>
      </w:r>
    </w:p>
    <w:p w:rsidR="00C17BDC" w:rsidRDefault="00C17BDC" w:rsidP="009D1A73">
      <w:pPr>
        <w:rPr>
          <w:rFonts w:ascii="Arial" w:hAnsi="Arial" w:cs="Arial"/>
          <w:sz w:val="22"/>
          <w:szCs w:val="22"/>
        </w:rPr>
      </w:pPr>
    </w:p>
    <w:p w:rsidR="00E85CE1" w:rsidRPr="00E85CE1" w:rsidRDefault="00E85CE1" w:rsidP="009D1A73">
      <w:pPr>
        <w:rPr>
          <w:rFonts w:ascii="Arial" w:hAnsi="Arial" w:cs="Arial"/>
          <w:sz w:val="22"/>
          <w:szCs w:val="22"/>
          <w:u w:val="single"/>
        </w:rPr>
      </w:pPr>
      <w:r w:rsidRPr="00E85CE1">
        <w:rPr>
          <w:rFonts w:ascii="Arial" w:hAnsi="Arial" w:cs="Arial"/>
          <w:sz w:val="22"/>
          <w:szCs w:val="22"/>
          <w:u w:val="single"/>
        </w:rPr>
        <w:t>High level of penalties applied</w:t>
      </w:r>
    </w:p>
    <w:p w:rsidR="00E85CE1" w:rsidRDefault="00E85CE1" w:rsidP="009D1A73">
      <w:pPr>
        <w:rPr>
          <w:rFonts w:ascii="Arial" w:hAnsi="Arial" w:cs="Arial"/>
          <w:sz w:val="22"/>
          <w:szCs w:val="22"/>
        </w:rPr>
      </w:pPr>
    </w:p>
    <w:p w:rsidR="00CB5F7C" w:rsidRDefault="00E85CE1" w:rsidP="009D1A73">
      <w:pPr>
        <w:rPr>
          <w:rFonts w:ascii="Arial" w:hAnsi="Arial" w:cs="Arial"/>
          <w:sz w:val="22"/>
          <w:szCs w:val="22"/>
        </w:rPr>
      </w:pPr>
      <w:r>
        <w:rPr>
          <w:rFonts w:ascii="Arial" w:hAnsi="Arial" w:cs="Arial"/>
          <w:sz w:val="22"/>
          <w:szCs w:val="22"/>
        </w:rPr>
        <w:t>We believe the penalties proposed by ESMA are too high</w:t>
      </w:r>
      <w:r w:rsidR="00CB5F7C">
        <w:rPr>
          <w:rFonts w:ascii="Arial" w:hAnsi="Arial" w:cs="Arial"/>
          <w:sz w:val="22"/>
          <w:szCs w:val="22"/>
        </w:rPr>
        <w:t>.</w:t>
      </w:r>
    </w:p>
    <w:p w:rsidR="00CB5F7C" w:rsidRDefault="00CB5F7C" w:rsidP="009D1A73">
      <w:pPr>
        <w:rPr>
          <w:rFonts w:ascii="Arial" w:hAnsi="Arial" w:cs="Arial"/>
          <w:sz w:val="22"/>
          <w:szCs w:val="22"/>
        </w:rPr>
      </w:pPr>
    </w:p>
    <w:p w:rsidR="00CB5F7C" w:rsidRDefault="00CB5F7C" w:rsidP="009D1A73">
      <w:pPr>
        <w:rPr>
          <w:rFonts w:ascii="Arial" w:hAnsi="Arial" w:cs="Arial"/>
          <w:sz w:val="22"/>
          <w:szCs w:val="22"/>
        </w:rPr>
      </w:pPr>
      <w:r>
        <w:rPr>
          <w:rFonts w:ascii="Arial" w:hAnsi="Arial" w:cs="Arial"/>
          <w:sz w:val="22"/>
          <w:szCs w:val="22"/>
        </w:rPr>
        <w:lastRenderedPageBreak/>
        <w:t>W</w:t>
      </w:r>
      <w:r w:rsidR="00A0274D">
        <w:rPr>
          <w:rFonts w:ascii="Arial" w:hAnsi="Arial" w:cs="Arial"/>
          <w:sz w:val="22"/>
          <w:szCs w:val="22"/>
        </w:rPr>
        <w:t>hile we welcome the simplicity of the</w:t>
      </w:r>
      <w:r w:rsidR="009D1A73">
        <w:rPr>
          <w:rFonts w:ascii="Arial" w:hAnsi="Arial" w:cs="Arial"/>
          <w:sz w:val="22"/>
          <w:szCs w:val="22"/>
        </w:rPr>
        <w:t xml:space="preserve"> </w:t>
      </w:r>
      <w:r w:rsidR="00A0274D">
        <w:rPr>
          <w:rFonts w:ascii="Arial" w:hAnsi="Arial" w:cs="Arial"/>
          <w:sz w:val="22"/>
          <w:szCs w:val="22"/>
        </w:rPr>
        <w:t xml:space="preserve">proposed </w:t>
      </w:r>
      <w:r w:rsidR="009D1A73">
        <w:rPr>
          <w:rFonts w:ascii="Arial" w:hAnsi="Arial" w:cs="Arial"/>
          <w:sz w:val="22"/>
          <w:szCs w:val="22"/>
        </w:rPr>
        <w:t>approach,</w:t>
      </w:r>
      <w:r w:rsidR="00A01A9E">
        <w:rPr>
          <w:rFonts w:ascii="Arial" w:hAnsi="Arial" w:cs="Arial"/>
          <w:sz w:val="22"/>
          <w:szCs w:val="22"/>
        </w:rPr>
        <w:t xml:space="preserve"> w</w:t>
      </w:r>
      <w:r w:rsidR="00A01A9E" w:rsidRPr="00A01A9E">
        <w:rPr>
          <w:rFonts w:ascii="Arial" w:hAnsi="Arial" w:cs="Arial"/>
          <w:sz w:val="22"/>
          <w:szCs w:val="22"/>
        </w:rPr>
        <w:t xml:space="preserve">e </w:t>
      </w:r>
      <w:r w:rsidR="00A01A9E">
        <w:rPr>
          <w:rFonts w:ascii="Arial" w:hAnsi="Arial" w:cs="Arial"/>
          <w:sz w:val="22"/>
          <w:szCs w:val="22"/>
        </w:rPr>
        <w:t>a</w:t>
      </w:r>
      <w:r w:rsidR="00A01A9E" w:rsidRPr="00A01A9E">
        <w:rPr>
          <w:rFonts w:ascii="Arial" w:hAnsi="Arial" w:cs="Arial"/>
          <w:sz w:val="22"/>
          <w:szCs w:val="22"/>
        </w:rPr>
        <w:t>re extremely conc</w:t>
      </w:r>
      <w:r w:rsidR="00E85CE1">
        <w:rPr>
          <w:rFonts w:ascii="Arial" w:hAnsi="Arial" w:cs="Arial"/>
          <w:sz w:val="22"/>
          <w:szCs w:val="22"/>
        </w:rPr>
        <w:t>erned that no impact analysis on</w:t>
      </w:r>
      <w:r w:rsidR="00A01A9E" w:rsidRPr="00A01A9E">
        <w:rPr>
          <w:rFonts w:ascii="Arial" w:hAnsi="Arial" w:cs="Arial"/>
          <w:sz w:val="22"/>
          <w:szCs w:val="22"/>
        </w:rPr>
        <w:t xml:space="preserve"> the effect of the fines has been provided by ESMA</w:t>
      </w:r>
      <w:r w:rsidR="00E85CE1">
        <w:rPr>
          <w:rFonts w:ascii="Arial" w:hAnsi="Arial" w:cs="Arial"/>
          <w:sz w:val="22"/>
          <w:szCs w:val="22"/>
        </w:rPr>
        <w:t xml:space="preserve">, </w:t>
      </w:r>
      <w:r w:rsidR="00A01A9E" w:rsidRPr="00A01A9E">
        <w:rPr>
          <w:rFonts w:ascii="Arial" w:hAnsi="Arial" w:cs="Arial"/>
          <w:sz w:val="22"/>
          <w:szCs w:val="22"/>
        </w:rPr>
        <w:t xml:space="preserve">particularly on the market structure in the trading of </w:t>
      </w:r>
      <w:r w:rsidR="00A01A9E">
        <w:rPr>
          <w:rFonts w:ascii="Arial" w:hAnsi="Arial" w:cs="Arial"/>
          <w:sz w:val="22"/>
          <w:szCs w:val="22"/>
        </w:rPr>
        <w:t>s</w:t>
      </w:r>
      <w:r w:rsidR="00A01A9E" w:rsidRPr="00A01A9E">
        <w:rPr>
          <w:rFonts w:ascii="Arial" w:hAnsi="Arial" w:cs="Arial"/>
          <w:sz w:val="22"/>
          <w:szCs w:val="22"/>
        </w:rPr>
        <w:t>mall and m</w:t>
      </w:r>
      <w:r w:rsidR="00A01A9E">
        <w:rPr>
          <w:rFonts w:ascii="Arial" w:hAnsi="Arial" w:cs="Arial"/>
          <w:sz w:val="22"/>
          <w:szCs w:val="22"/>
        </w:rPr>
        <w:t>id-cap shares</w:t>
      </w:r>
      <w:r w:rsidR="007D0901">
        <w:rPr>
          <w:rFonts w:ascii="Arial" w:hAnsi="Arial" w:cs="Arial"/>
          <w:sz w:val="22"/>
          <w:szCs w:val="22"/>
        </w:rPr>
        <w:t xml:space="preserve">. </w:t>
      </w:r>
      <w:r>
        <w:rPr>
          <w:rFonts w:ascii="Arial" w:hAnsi="Arial" w:cs="Arial"/>
          <w:sz w:val="22"/>
          <w:szCs w:val="22"/>
        </w:rPr>
        <w:t>Furthermore</w:t>
      </w:r>
      <w:r w:rsidR="00284EBE">
        <w:rPr>
          <w:rFonts w:ascii="Arial" w:hAnsi="Arial" w:cs="Arial"/>
          <w:sz w:val="22"/>
          <w:szCs w:val="22"/>
        </w:rPr>
        <w:t>,</w:t>
      </w:r>
      <w:r>
        <w:rPr>
          <w:rFonts w:ascii="Arial" w:hAnsi="Arial" w:cs="Arial"/>
          <w:sz w:val="22"/>
          <w:szCs w:val="22"/>
        </w:rPr>
        <w:t xml:space="preserve"> although</w:t>
      </w:r>
      <w:r w:rsidR="00E85CE1">
        <w:rPr>
          <w:rFonts w:ascii="Arial" w:hAnsi="Arial" w:cs="Arial"/>
          <w:sz w:val="22"/>
          <w:szCs w:val="22"/>
        </w:rPr>
        <w:t xml:space="preserve"> we agree that the penalty rates should be higher than the relevant borrowing costs, we </w:t>
      </w:r>
      <w:r>
        <w:rPr>
          <w:rFonts w:ascii="Arial" w:hAnsi="Arial" w:cs="Arial"/>
          <w:sz w:val="22"/>
          <w:szCs w:val="22"/>
        </w:rPr>
        <w:t>are concerned that the penalty rates</w:t>
      </w:r>
      <w:r w:rsidR="00E85CE1">
        <w:rPr>
          <w:rFonts w:ascii="Arial" w:hAnsi="Arial" w:cs="Arial"/>
          <w:sz w:val="22"/>
          <w:szCs w:val="22"/>
        </w:rPr>
        <w:t xml:space="preserve"> proposed are far in excess of those costs</w:t>
      </w:r>
      <w:r>
        <w:rPr>
          <w:rFonts w:ascii="Arial" w:hAnsi="Arial" w:cs="Arial"/>
          <w:sz w:val="22"/>
          <w:szCs w:val="22"/>
        </w:rPr>
        <w:t>. We do not believe this is</w:t>
      </w:r>
      <w:r w:rsidR="00E85CE1">
        <w:rPr>
          <w:rFonts w:ascii="Arial" w:hAnsi="Arial" w:cs="Arial"/>
          <w:sz w:val="22"/>
          <w:szCs w:val="22"/>
        </w:rPr>
        <w:t xml:space="preserve"> in line with ESMA</w:t>
      </w:r>
      <w:r>
        <w:rPr>
          <w:rFonts w:ascii="Arial" w:hAnsi="Arial" w:cs="Arial"/>
          <w:sz w:val="22"/>
          <w:szCs w:val="22"/>
        </w:rPr>
        <w:t>’s objective</w:t>
      </w:r>
      <w:r w:rsidR="00E85CE1">
        <w:rPr>
          <w:rFonts w:ascii="Arial" w:hAnsi="Arial" w:cs="Arial"/>
          <w:sz w:val="22"/>
          <w:szCs w:val="22"/>
        </w:rPr>
        <w:t xml:space="preserve"> that the penalties should not be structured </w:t>
      </w:r>
      <w:r>
        <w:rPr>
          <w:rFonts w:ascii="Arial" w:hAnsi="Arial" w:cs="Arial"/>
          <w:sz w:val="22"/>
          <w:szCs w:val="22"/>
        </w:rPr>
        <w:t xml:space="preserve">so as </w:t>
      </w:r>
      <w:r w:rsidR="00E85CE1">
        <w:rPr>
          <w:rFonts w:ascii="Arial" w:hAnsi="Arial" w:cs="Arial"/>
          <w:sz w:val="22"/>
          <w:szCs w:val="22"/>
        </w:rPr>
        <w:t xml:space="preserve">to compensate for the loss but rather should </w:t>
      </w:r>
      <w:r w:rsidR="00E438B2">
        <w:rPr>
          <w:rFonts w:ascii="Arial" w:hAnsi="Arial" w:cs="Arial"/>
          <w:sz w:val="22"/>
          <w:szCs w:val="22"/>
        </w:rPr>
        <w:t xml:space="preserve">only </w:t>
      </w:r>
      <w:r w:rsidR="00E85CE1">
        <w:rPr>
          <w:rFonts w:ascii="Arial" w:hAnsi="Arial" w:cs="Arial"/>
          <w:sz w:val="22"/>
          <w:szCs w:val="22"/>
        </w:rPr>
        <w:t>be sufficiently high to encourage borrowing where possible, thereby min</w:t>
      </w:r>
      <w:r w:rsidR="00E85CE1">
        <w:rPr>
          <w:rFonts w:ascii="Arial" w:hAnsi="Arial" w:cs="Arial"/>
          <w:sz w:val="22"/>
          <w:szCs w:val="22"/>
        </w:rPr>
        <w:t>i</w:t>
      </w:r>
      <w:r w:rsidR="00E85CE1">
        <w:rPr>
          <w:rFonts w:ascii="Arial" w:hAnsi="Arial" w:cs="Arial"/>
          <w:sz w:val="22"/>
          <w:szCs w:val="22"/>
        </w:rPr>
        <w:t>mising settlement fails.</w:t>
      </w:r>
    </w:p>
    <w:p w:rsidR="00CB5F7C" w:rsidRDefault="00CB5F7C" w:rsidP="009D1A73">
      <w:pPr>
        <w:rPr>
          <w:rFonts w:ascii="Arial" w:hAnsi="Arial" w:cs="Arial"/>
          <w:sz w:val="22"/>
          <w:szCs w:val="22"/>
        </w:rPr>
      </w:pPr>
    </w:p>
    <w:p w:rsidR="00E85CE1" w:rsidRDefault="00801882" w:rsidP="009D1A73">
      <w:pPr>
        <w:rPr>
          <w:rFonts w:ascii="Arial" w:hAnsi="Arial" w:cs="Arial"/>
          <w:sz w:val="22"/>
          <w:szCs w:val="22"/>
        </w:rPr>
      </w:pPr>
      <w:r>
        <w:rPr>
          <w:rFonts w:ascii="Arial" w:hAnsi="Arial" w:cs="Arial"/>
          <w:sz w:val="22"/>
          <w:szCs w:val="22"/>
        </w:rPr>
        <w:t>We believe it would be better to take a cautious approach, introducing fees that are just margi</w:t>
      </w:r>
      <w:r>
        <w:rPr>
          <w:rFonts w:ascii="Arial" w:hAnsi="Arial" w:cs="Arial"/>
          <w:sz w:val="22"/>
          <w:szCs w:val="22"/>
        </w:rPr>
        <w:t>n</w:t>
      </w:r>
      <w:r>
        <w:rPr>
          <w:rFonts w:ascii="Arial" w:hAnsi="Arial" w:cs="Arial"/>
          <w:sz w:val="22"/>
          <w:szCs w:val="22"/>
        </w:rPr>
        <w:t xml:space="preserve">ally higher than borrowing costs, which can then be increased at a later date if it is established that they are not sufficiently high to act as a deterrent as intended. </w:t>
      </w:r>
      <w:r w:rsidR="00CB5F7C">
        <w:rPr>
          <w:rFonts w:ascii="Arial" w:hAnsi="Arial" w:cs="Arial"/>
          <w:sz w:val="22"/>
          <w:szCs w:val="22"/>
        </w:rPr>
        <w:t>Therefore w</w:t>
      </w:r>
      <w:r w:rsidR="00307D28">
        <w:rPr>
          <w:rFonts w:ascii="Arial" w:hAnsi="Arial" w:cs="Arial"/>
          <w:sz w:val="22"/>
          <w:szCs w:val="22"/>
        </w:rPr>
        <w:t xml:space="preserve">e believe that further analysis needs to be done and the proposed penalties reduced. </w:t>
      </w:r>
    </w:p>
    <w:p w:rsidR="00E85CE1" w:rsidRDefault="00E85CE1" w:rsidP="009D1A73">
      <w:pPr>
        <w:rPr>
          <w:rFonts w:ascii="Arial" w:hAnsi="Arial" w:cs="Arial"/>
          <w:sz w:val="22"/>
          <w:szCs w:val="22"/>
        </w:rPr>
      </w:pPr>
    </w:p>
    <w:p w:rsidR="005F59F7" w:rsidRPr="005F59F7" w:rsidRDefault="00354B44" w:rsidP="005F59F7">
      <w:pPr>
        <w:rPr>
          <w:rFonts w:ascii="Arial" w:hAnsi="Arial" w:cs="Arial"/>
          <w:sz w:val="22"/>
          <w:szCs w:val="22"/>
          <w:u w:val="single"/>
        </w:rPr>
      </w:pPr>
      <w:r>
        <w:rPr>
          <w:rFonts w:ascii="Arial" w:hAnsi="Arial" w:cs="Arial"/>
          <w:sz w:val="22"/>
          <w:szCs w:val="22"/>
          <w:u w:val="single"/>
        </w:rPr>
        <w:t>A</w:t>
      </w:r>
      <w:r w:rsidR="005F59F7" w:rsidRPr="005F59F7">
        <w:rPr>
          <w:rFonts w:ascii="Arial" w:hAnsi="Arial" w:cs="Arial"/>
          <w:sz w:val="22"/>
          <w:szCs w:val="22"/>
          <w:u w:val="single"/>
        </w:rPr>
        <w:t>bsence of a liquidity adjustment</w:t>
      </w:r>
      <w:r w:rsidR="005F59F7">
        <w:rPr>
          <w:rFonts w:ascii="Arial" w:hAnsi="Arial" w:cs="Arial"/>
          <w:sz w:val="22"/>
          <w:szCs w:val="22"/>
          <w:u w:val="single"/>
        </w:rPr>
        <w:t xml:space="preserve"> within the equity asset class</w:t>
      </w:r>
    </w:p>
    <w:p w:rsidR="00E85CE1" w:rsidRDefault="00E85CE1" w:rsidP="009D1A73">
      <w:pPr>
        <w:rPr>
          <w:rFonts w:ascii="Arial" w:hAnsi="Arial" w:cs="Arial"/>
          <w:sz w:val="22"/>
          <w:szCs w:val="22"/>
        </w:rPr>
      </w:pPr>
    </w:p>
    <w:p w:rsidR="00A77DB8" w:rsidRDefault="00A77DB8" w:rsidP="009D1A73">
      <w:pPr>
        <w:rPr>
          <w:rFonts w:ascii="Arial" w:hAnsi="Arial" w:cs="Arial"/>
          <w:sz w:val="22"/>
          <w:szCs w:val="22"/>
        </w:rPr>
      </w:pPr>
      <w:r>
        <w:rPr>
          <w:rFonts w:ascii="Arial" w:hAnsi="Arial" w:cs="Arial"/>
          <w:sz w:val="22"/>
          <w:szCs w:val="22"/>
        </w:rPr>
        <w:t>We welcome ESMA’s approach to take both liquidity and the asset type into account, and agree that the penalty rates should be higher for the most liquid instruments. However we do not b</w:t>
      </w:r>
      <w:r>
        <w:rPr>
          <w:rFonts w:ascii="Arial" w:hAnsi="Arial" w:cs="Arial"/>
          <w:sz w:val="22"/>
          <w:szCs w:val="22"/>
        </w:rPr>
        <w:t>e</w:t>
      </w:r>
      <w:r>
        <w:rPr>
          <w:rFonts w:ascii="Arial" w:hAnsi="Arial" w:cs="Arial"/>
          <w:sz w:val="22"/>
          <w:szCs w:val="22"/>
        </w:rPr>
        <w:t>lieve that the proposed table sufficiently takes liquidity into account as it (incorrectly) assumes that all securities within each asset class can be treated as having the same liquidity. In partic</w:t>
      </w:r>
      <w:r>
        <w:rPr>
          <w:rFonts w:ascii="Arial" w:hAnsi="Arial" w:cs="Arial"/>
          <w:sz w:val="22"/>
          <w:szCs w:val="22"/>
        </w:rPr>
        <w:t>u</w:t>
      </w:r>
      <w:r>
        <w:rPr>
          <w:rFonts w:ascii="Arial" w:hAnsi="Arial" w:cs="Arial"/>
          <w:sz w:val="22"/>
          <w:szCs w:val="22"/>
        </w:rPr>
        <w:t xml:space="preserve">lar, there is an assumption that all equities are more liquid than all other financial instruments in every other asset class and </w:t>
      </w:r>
      <w:r w:rsidR="00EA2E89">
        <w:rPr>
          <w:rFonts w:ascii="Arial" w:hAnsi="Arial" w:cs="Arial"/>
          <w:sz w:val="22"/>
          <w:szCs w:val="22"/>
        </w:rPr>
        <w:t>should therefore be subject to a high</w:t>
      </w:r>
      <w:r w:rsidR="009C5F4F">
        <w:rPr>
          <w:rFonts w:ascii="Arial" w:hAnsi="Arial" w:cs="Arial"/>
          <w:sz w:val="22"/>
          <w:szCs w:val="22"/>
        </w:rPr>
        <w:t>er</w:t>
      </w:r>
      <w:r w:rsidR="00EA2E89">
        <w:rPr>
          <w:rFonts w:ascii="Arial" w:hAnsi="Arial" w:cs="Arial"/>
          <w:sz w:val="22"/>
          <w:szCs w:val="22"/>
        </w:rPr>
        <w:t xml:space="preserve"> penalty rate as t</w:t>
      </w:r>
      <w:r>
        <w:rPr>
          <w:rFonts w:ascii="Arial" w:hAnsi="Arial" w:cs="Arial"/>
          <w:sz w:val="22"/>
          <w:szCs w:val="22"/>
        </w:rPr>
        <w:t>he</w:t>
      </w:r>
      <w:r w:rsidR="00EA2E89">
        <w:rPr>
          <w:rFonts w:ascii="Arial" w:hAnsi="Arial" w:cs="Arial"/>
          <w:sz w:val="22"/>
          <w:szCs w:val="22"/>
        </w:rPr>
        <w:t>y a</w:t>
      </w:r>
      <w:r>
        <w:rPr>
          <w:rFonts w:ascii="Arial" w:hAnsi="Arial" w:cs="Arial"/>
          <w:sz w:val="22"/>
          <w:szCs w:val="22"/>
        </w:rPr>
        <w:t xml:space="preserve">re easily available to borrow. However this is not the case. </w:t>
      </w:r>
    </w:p>
    <w:p w:rsidR="00A77DB8" w:rsidRDefault="00A77DB8" w:rsidP="009D1A73">
      <w:pPr>
        <w:rPr>
          <w:rFonts w:ascii="Arial" w:hAnsi="Arial" w:cs="Arial"/>
          <w:sz w:val="22"/>
          <w:szCs w:val="22"/>
        </w:rPr>
      </w:pPr>
    </w:p>
    <w:p w:rsidR="003A0BDB" w:rsidRDefault="00EA2E89" w:rsidP="009D1A73">
      <w:pPr>
        <w:rPr>
          <w:rFonts w:ascii="Arial" w:hAnsi="Arial" w:cs="Arial"/>
          <w:sz w:val="22"/>
          <w:szCs w:val="22"/>
        </w:rPr>
      </w:pPr>
      <w:r>
        <w:rPr>
          <w:rFonts w:ascii="Arial" w:hAnsi="Arial" w:cs="Arial"/>
          <w:sz w:val="22"/>
          <w:szCs w:val="22"/>
        </w:rPr>
        <w:t>L</w:t>
      </w:r>
      <w:r w:rsidR="009D1A73">
        <w:rPr>
          <w:rFonts w:ascii="Arial" w:hAnsi="Arial" w:cs="Arial"/>
          <w:sz w:val="22"/>
          <w:szCs w:val="22"/>
        </w:rPr>
        <w:t>iquidity can vary considerably</w:t>
      </w:r>
      <w:r w:rsidR="00A74982">
        <w:rPr>
          <w:rFonts w:ascii="Arial" w:hAnsi="Arial" w:cs="Arial"/>
          <w:sz w:val="22"/>
          <w:szCs w:val="22"/>
        </w:rPr>
        <w:t xml:space="preserve"> across equities</w:t>
      </w:r>
      <w:r w:rsidR="009D1A73">
        <w:rPr>
          <w:rFonts w:ascii="Arial" w:hAnsi="Arial" w:cs="Arial"/>
          <w:sz w:val="22"/>
          <w:szCs w:val="22"/>
        </w:rPr>
        <w:t xml:space="preserve">. </w:t>
      </w:r>
      <w:r w:rsidR="00F06622">
        <w:rPr>
          <w:rFonts w:ascii="Arial" w:hAnsi="Arial" w:cs="Arial"/>
          <w:sz w:val="22"/>
          <w:szCs w:val="22"/>
        </w:rPr>
        <w:t xml:space="preserve"> For example, </w:t>
      </w:r>
      <w:r w:rsidR="006B4365">
        <w:rPr>
          <w:rFonts w:ascii="Arial" w:hAnsi="Arial" w:cs="Arial"/>
          <w:sz w:val="22"/>
          <w:szCs w:val="22"/>
        </w:rPr>
        <w:t>the</w:t>
      </w:r>
      <w:r w:rsidR="00904713">
        <w:rPr>
          <w:rFonts w:ascii="Arial" w:hAnsi="Arial" w:cs="Arial"/>
          <w:sz w:val="22"/>
          <w:szCs w:val="22"/>
        </w:rPr>
        <w:t xml:space="preserve"> securities</w:t>
      </w:r>
      <w:r w:rsidR="00B81636">
        <w:rPr>
          <w:rFonts w:ascii="Arial" w:hAnsi="Arial" w:cs="Arial"/>
          <w:sz w:val="22"/>
          <w:szCs w:val="22"/>
        </w:rPr>
        <w:t xml:space="preserve"> lending market</w:t>
      </w:r>
      <w:r w:rsidR="00F06622">
        <w:rPr>
          <w:rFonts w:ascii="Arial" w:hAnsi="Arial" w:cs="Arial"/>
          <w:sz w:val="22"/>
          <w:szCs w:val="22"/>
        </w:rPr>
        <w:t xml:space="preserve"> for Irish equities</w:t>
      </w:r>
      <w:r w:rsidR="00B81636">
        <w:rPr>
          <w:rFonts w:ascii="Arial" w:hAnsi="Arial" w:cs="Arial"/>
          <w:sz w:val="22"/>
          <w:szCs w:val="22"/>
        </w:rPr>
        <w:t xml:space="preserve"> is still limited</w:t>
      </w:r>
      <w:r w:rsidR="00904713">
        <w:rPr>
          <w:rFonts w:ascii="Arial" w:hAnsi="Arial" w:cs="Arial"/>
          <w:sz w:val="22"/>
          <w:szCs w:val="22"/>
        </w:rPr>
        <w:t xml:space="preserve"> and fails may occur due to a difficulty in sourcing securities</w:t>
      </w:r>
      <w:r w:rsidR="009D1A73">
        <w:rPr>
          <w:rFonts w:ascii="Arial" w:hAnsi="Arial" w:cs="Arial"/>
          <w:sz w:val="22"/>
          <w:szCs w:val="22"/>
        </w:rPr>
        <w:t>.</w:t>
      </w:r>
      <w:r w:rsidR="00F06622">
        <w:rPr>
          <w:rFonts w:ascii="Arial" w:hAnsi="Arial" w:cs="Arial"/>
          <w:sz w:val="22"/>
          <w:szCs w:val="22"/>
        </w:rPr>
        <w:t xml:space="preserve"> </w:t>
      </w:r>
      <w:r w:rsidR="003A0BDB">
        <w:rPr>
          <w:rFonts w:ascii="Arial" w:hAnsi="Arial" w:cs="Arial"/>
          <w:sz w:val="22"/>
          <w:szCs w:val="22"/>
        </w:rPr>
        <w:t>This is particularly true for the small and mid-cap Irish shares which would see a</w:t>
      </w:r>
      <w:r w:rsidR="009A067F">
        <w:rPr>
          <w:rFonts w:ascii="Arial" w:hAnsi="Arial" w:cs="Arial"/>
          <w:sz w:val="22"/>
          <w:szCs w:val="22"/>
        </w:rPr>
        <w:t>n overall</w:t>
      </w:r>
      <w:r w:rsidR="003A0BDB">
        <w:rPr>
          <w:rFonts w:ascii="Arial" w:hAnsi="Arial" w:cs="Arial"/>
          <w:sz w:val="22"/>
          <w:szCs w:val="22"/>
        </w:rPr>
        <w:t xml:space="preserve"> higher penalty regime than for liquid shares due to the longer extension period. If we consider the 15 day e</w:t>
      </w:r>
      <w:r w:rsidR="003A0BDB">
        <w:rPr>
          <w:rFonts w:ascii="Arial" w:hAnsi="Arial" w:cs="Arial"/>
          <w:sz w:val="22"/>
          <w:szCs w:val="22"/>
        </w:rPr>
        <w:t>x</w:t>
      </w:r>
      <w:r w:rsidR="003A0BDB">
        <w:rPr>
          <w:rFonts w:ascii="Arial" w:hAnsi="Arial" w:cs="Arial"/>
          <w:sz w:val="22"/>
          <w:szCs w:val="22"/>
        </w:rPr>
        <w:t xml:space="preserve">tension period and the 7 day period for delivery </w:t>
      </w:r>
      <w:r w:rsidR="009A067F">
        <w:rPr>
          <w:rFonts w:ascii="Arial" w:hAnsi="Arial" w:cs="Arial"/>
          <w:sz w:val="22"/>
          <w:szCs w:val="22"/>
        </w:rPr>
        <w:t xml:space="preserve">of </w:t>
      </w:r>
      <w:r w:rsidR="003A0BDB">
        <w:rPr>
          <w:rFonts w:ascii="Arial" w:hAnsi="Arial" w:cs="Arial"/>
          <w:sz w:val="22"/>
          <w:szCs w:val="22"/>
        </w:rPr>
        <w:t>securities following a successful buy-in, tran</w:t>
      </w:r>
      <w:r w:rsidR="003A0BDB">
        <w:rPr>
          <w:rFonts w:ascii="Arial" w:hAnsi="Arial" w:cs="Arial"/>
          <w:sz w:val="22"/>
          <w:szCs w:val="22"/>
        </w:rPr>
        <w:t>s</w:t>
      </w:r>
      <w:r w:rsidR="003A0BDB">
        <w:rPr>
          <w:rFonts w:ascii="Arial" w:hAnsi="Arial" w:cs="Arial"/>
          <w:sz w:val="22"/>
          <w:szCs w:val="22"/>
        </w:rPr>
        <w:t>ac</w:t>
      </w:r>
      <w:r w:rsidR="009A067F">
        <w:rPr>
          <w:rFonts w:ascii="Arial" w:hAnsi="Arial" w:cs="Arial"/>
          <w:sz w:val="22"/>
          <w:szCs w:val="22"/>
        </w:rPr>
        <w:t>tions in such shares w</w:t>
      </w:r>
      <w:r w:rsidR="003A0BDB">
        <w:rPr>
          <w:rFonts w:ascii="Arial" w:hAnsi="Arial" w:cs="Arial"/>
          <w:sz w:val="22"/>
          <w:szCs w:val="22"/>
        </w:rPr>
        <w:t>ould</w:t>
      </w:r>
      <w:r w:rsidR="009A067F">
        <w:rPr>
          <w:rFonts w:ascii="Arial" w:hAnsi="Arial" w:cs="Arial"/>
          <w:sz w:val="22"/>
          <w:szCs w:val="22"/>
        </w:rPr>
        <w:t xml:space="preserve"> effectively</w:t>
      </w:r>
      <w:r w:rsidR="003A0BDB">
        <w:rPr>
          <w:rFonts w:ascii="Arial" w:hAnsi="Arial" w:cs="Arial"/>
          <w:sz w:val="22"/>
          <w:szCs w:val="22"/>
        </w:rPr>
        <w:t xml:space="preserve"> be subject to a 22bp penalty. Furthermore, if the buy-in</w:t>
      </w:r>
      <w:r w:rsidR="00DA7C99">
        <w:rPr>
          <w:rFonts w:ascii="Arial" w:hAnsi="Arial" w:cs="Arial"/>
          <w:sz w:val="22"/>
          <w:szCs w:val="22"/>
        </w:rPr>
        <w:t xml:space="preserve"> completely</w:t>
      </w:r>
      <w:r w:rsidR="003A0BDB">
        <w:rPr>
          <w:rFonts w:ascii="Arial" w:hAnsi="Arial" w:cs="Arial"/>
          <w:sz w:val="22"/>
          <w:szCs w:val="22"/>
        </w:rPr>
        <w:t xml:space="preserve"> fails</w:t>
      </w:r>
      <w:r w:rsidR="00DA7C99">
        <w:rPr>
          <w:rFonts w:ascii="Arial" w:hAnsi="Arial" w:cs="Arial"/>
          <w:sz w:val="22"/>
          <w:szCs w:val="22"/>
        </w:rPr>
        <w:t xml:space="preserve"> and the receiving participant opts for deferral rather t</w:t>
      </w:r>
      <w:r w:rsidR="001D76DF">
        <w:rPr>
          <w:rFonts w:ascii="Arial" w:hAnsi="Arial" w:cs="Arial"/>
          <w:sz w:val="22"/>
          <w:szCs w:val="22"/>
        </w:rPr>
        <w:t>han the cash</w:t>
      </w:r>
      <w:r w:rsidR="00DA7C99">
        <w:rPr>
          <w:rFonts w:ascii="Arial" w:hAnsi="Arial" w:cs="Arial"/>
          <w:sz w:val="22"/>
          <w:szCs w:val="22"/>
        </w:rPr>
        <w:t xml:space="preserve"> compens</w:t>
      </w:r>
      <w:r w:rsidR="00DA7C99">
        <w:rPr>
          <w:rFonts w:ascii="Arial" w:hAnsi="Arial" w:cs="Arial"/>
          <w:sz w:val="22"/>
          <w:szCs w:val="22"/>
        </w:rPr>
        <w:t>a</w:t>
      </w:r>
      <w:r w:rsidR="00DA7C99">
        <w:rPr>
          <w:rFonts w:ascii="Arial" w:hAnsi="Arial" w:cs="Arial"/>
          <w:sz w:val="22"/>
          <w:szCs w:val="22"/>
        </w:rPr>
        <w:t>tion, due to the fact that the deferral period has not been defined or limited in such cases (see Article 11(8) of the draft RTS)</w:t>
      </w:r>
      <w:r w:rsidR="00AA05F4">
        <w:rPr>
          <w:rFonts w:ascii="Arial" w:hAnsi="Arial" w:cs="Arial"/>
          <w:sz w:val="22"/>
          <w:szCs w:val="22"/>
        </w:rPr>
        <w:t>, the</w:t>
      </w:r>
      <w:r w:rsidR="001D76DF">
        <w:rPr>
          <w:rFonts w:ascii="Arial" w:hAnsi="Arial" w:cs="Arial"/>
          <w:sz w:val="22"/>
          <w:szCs w:val="22"/>
        </w:rPr>
        <w:t xml:space="preserve"> total</w:t>
      </w:r>
      <w:r w:rsidR="00AA05F4">
        <w:rPr>
          <w:rFonts w:ascii="Arial" w:hAnsi="Arial" w:cs="Arial"/>
          <w:sz w:val="22"/>
          <w:szCs w:val="22"/>
        </w:rPr>
        <w:t xml:space="preserve"> penalty will in fact b</w:t>
      </w:r>
      <w:r w:rsidR="006B4365">
        <w:rPr>
          <w:rFonts w:ascii="Arial" w:hAnsi="Arial" w:cs="Arial"/>
          <w:sz w:val="22"/>
          <w:szCs w:val="22"/>
        </w:rPr>
        <w:t>e</w:t>
      </w:r>
      <w:bookmarkStart w:id="3" w:name="_GoBack"/>
      <w:bookmarkEnd w:id="3"/>
      <w:r w:rsidR="00AA05F4">
        <w:rPr>
          <w:rFonts w:ascii="Arial" w:hAnsi="Arial" w:cs="Arial"/>
          <w:sz w:val="22"/>
          <w:szCs w:val="22"/>
        </w:rPr>
        <w:t xml:space="preserve"> higher than 22bp. Such high pena</w:t>
      </w:r>
      <w:r w:rsidR="00AA05F4">
        <w:rPr>
          <w:rFonts w:ascii="Arial" w:hAnsi="Arial" w:cs="Arial"/>
          <w:sz w:val="22"/>
          <w:szCs w:val="22"/>
        </w:rPr>
        <w:t>l</w:t>
      </w:r>
      <w:r w:rsidR="00AA05F4">
        <w:rPr>
          <w:rFonts w:ascii="Arial" w:hAnsi="Arial" w:cs="Arial"/>
          <w:sz w:val="22"/>
          <w:szCs w:val="22"/>
        </w:rPr>
        <w:t xml:space="preserve">ty fees will act as a deterrent to market making in these securities, which will have an impact on trading, liquidity and potentially IPOs. It also has the potential to have the opposite </w:t>
      </w:r>
      <w:r w:rsidR="003E07A7">
        <w:rPr>
          <w:rFonts w:ascii="Arial" w:hAnsi="Arial" w:cs="Arial"/>
          <w:sz w:val="22"/>
          <w:szCs w:val="22"/>
        </w:rPr>
        <w:t>effect</w:t>
      </w:r>
      <w:r w:rsidR="00AA05F4">
        <w:rPr>
          <w:rFonts w:ascii="Arial" w:hAnsi="Arial" w:cs="Arial"/>
          <w:sz w:val="22"/>
          <w:szCs w:val="22"/>
        </w:rPr>
        <w:t xml:space="preserve"> than that anticipated as the penalty will be sufficiently high to encourage the receiving party to defer settlement in order to continue to receive the daily fine. However this is not in line with ESMA’s principle (in paragraph 37) that the penalty should not be structured to compensate for the loss. </w:t>
      </w:r>
      <w:r w:rsidR="009D1A73">
        <w:rPr>
          <w:rFonts w:ascii="Arial" w:hAnsi="Arial" w:cs="Arial"/>
          <w:sz w:val="22"/>
          <w:szCs w:val="22"/>
        </w:rPr>
        <w:t>This</w:t>
      </w:r>
      <w:r w:rsidR="00AD5EF4">
        <w:rPr>
          <w:rFonts w:ascii="Arial" w:hAnsi="Arial" w:cs="Arial"/>
          <w:sz w:val="22"/>
          <w:szCs w:val="22"/>
        </w:rPr>
        <w:t xml:space="preserve"> is a </w:t>
      </w:r>
      <w:r w:rsidR="00904713">
        <w:rPr>
          <w:rFonts w:ascii="Arial" w:hAnsi="Arial" w:cs="Arial"/>
          <w:sz w:val="22"/>
          <w:szCs w:val="22"/>
        </w:rPr>
        <w:t xml:space="preserve">key concern of the Irish market in relation to the impact of </w:t>
      </w:r>
      <w:r w:rsidR="009D1A73">
        <w:rPr>
          <w:rFonts w:ascii="Arial" w:hAnsi="Arial" w:cs="Arial"/>
          <w:sz w:val="22"/>
          <w:szCs w:val="22"/>
        </w:rPr>
        <w:t>the proposed</w:t>
      </w:r>
      <w:r w:rsidR="00904713">
        <w:rPr>
          <w:rFonts w:ascii="Arial" w:hAnsi="Arial" w:cs="Arial"/>
          <w:sz w:val="22"/>
          <w:szCs w:val="22"/>
        </w:rPr>
        <w:t xml:space="preserve"> settleme</w:t>
      </w:r>
      <w:r w:rsidR="009D1A73">
        <w:rPr>
          <w:rFonts w:ascii="Arial" w:hAnsi="Arial" w:cs="Arial"/>
          <w:sz w:val="22"/>
          <w:szCs w:val="22"/>
        </w:rPr>
        <w:t>n</w:t>
      </w:r>
      <w:r w:rsidR="003A0BDB">
        <w:rPr>
          <w:rFonts w:ascii="Arial" w:hAnsi="Arial" w:cs="Arial"/>
          <w:sz w:val="22"/>
          <w:szCs w:val="22"/>
        </w:rPr>
        <w:t>t discipline and buy-in regime.</w:t>
      </w:r>
    </w:p>
    <w:p w:rsidR="003A0BDB" w:rsidRDefault="003A0BDB" w:rsidP="009D1A73">
      <w:pPr>
        <w:rPr>
          <w:rFonts w:ascii="Arial" w:hAnsi="Arial" w:cs="Arial"/>
          <w:sz w:val="22"/>
          <w:szCs w:val="22"/>
        </w:rPr>
      </w:pPr>
    </w:p>
    <w:p w:rsidR="0091007E" w:rsidRDefault="009D1A73" w:rsidP="009D1A73">
      <w:pPr>
        <w:rPr>
          <w:rFonts w:ascii="Arial" w:hAnsi="Arial" w:cs="Arial"/>
          <w:sz w:val="22"/>
          <w:szCs w:val="22"/>
        </w:rPr>
      </w:pPr>
      <w:r>
        <w:rPr>
          <w:rFonts w:ascii="Arial" w:hAnsi="Arial" w:cs="Arial"/>
          <w:sz w:val="22"/>
          <w:szCs w:val="22"/>
        </w:rPr>
        <w:t>We therefore urge ESMA to introduce a liquidity consideration for equities into the table. In orde</w:t>
      </w:r>
      <w:r w:rsidR="00A74982">
        <w:rPr>
          <w:rFonts w:ascii="Arial" w:hAnsi="Arial" w:cs="Arial"/>
          <w:sz w:val="22"/>
          <w:szCs w:val="22"/>
        </w:rPr>
        <w:t xml:space="preserve">r to maintain the approach of </w:t>
      </w:r>
      <w:r>
        <w:rPr>
          <w:rFonts w:ascii="Arial" w:hAnsi="Arial" w:cs="Arial"/>
          <w:sz w:val="22"/>
          <w:szCs w:val="22"/>
        </w:rPr>
        <w:t>a limited number of categories, we believe that equities should be separated into two categories based on whether or not the s</w:t>
      </w:r>
      <w:r w:rsidR="00A91397">
        <w:rPr>
          <w:rFonts w:ascii="Arial" w:hAnsi="Arial" w:cs="Arial"/>
          <w:sz w:val="22"/>
          <w:szCs w:val="22"/>
        </w:rPr>
        <w:t>har</w:t>
      </w:r>
      <w:r>
        <w:rPr>
          <w:rFonts w:ascii="Arial" w:hAnsi="Arial" w:cs="Arial"/>
          <w:sz w:val="22"/>
          <w:szCs w:val="22"/>
        </w:rPr>
        <w:t>e has a liquid market as defined</w:t>
      </w:r>
      <w:r w:rsidR="0069193C">
        <w:rPr>
          <w:rFonts w:ascii="Arial" w:hAnsi="Arial" w:cs="Arial"/>
          <w:sz w:val="22"/>
          <w:szCs w:val="22"/>
        </w:rPr>
        <w:t xml:space="preserve"> by </w:t>
      </w:r>
      <w:proofErr w:type="spellStart"/>
      <w:r w:rsidR="0069193C">
        <w:rPr>
          <w:rFonts w:ascii="Arial" w:hAnsi="Arial" w:cs="Arial"/>
          <w:sz w:val="22"/>
          <w:szCs w:val="22"/>
        </w:rPr>
        <w:t>MiFIR</w:t>
      </w:r>
      <w:proofErr w:type="spellEnd"/>
      <w:r w:rsidR="0069193C">
        <w:rPr>
          <w:rFonts w:ascii="Arial" w:hAnsi="Arial" w:cs="Arial"/>
          <w:sz w:val="22"/>
          <w:szCs w:val="22"/>
        </w:rPr>
        <w:t>. Such an approach would still be easy to implement,</w:t>
      </w:r>
      <w:r>
        <w:rPr>
          <w:rFonts w:ascii="Arial" w:hAnsi="Arial" w:cs="Arial"/>
          <w:sz w:val="22"/>
          <w:szCs w:val="22"/>
        </w:rPr>
        <w:t xml:space="preserve"> in line with ESMA’s determination of the length of the buy-in period</w:t>
      </w:r>
      <w:r w:rsidR="0069193C">
        <w:rPr>
          <w:rFonts w:ascii="Arial" w:hAnsi="Arial" w:cs="Arial"/>
          <w:sz w:val="22"/>
          <w:szCs w:val="22"/>
        </w:rPr>
        <w:t xml:space="preserve"> and </w:t>
      </w:r>
      <w:r w:rsidR="00AA05F4">
        <w:rPr>
          <w:rFonts w:ascii="Arial" w:hAnsi="Arial" w:cs="Arial"/>
          <w:sz w:val="22"/>
          <w:szCs w:val="22"/>
        </w:rPr>
        <w:t xml:space="preserve">would also meet the assertion by </w:t>
      </w:r>
      <w:r>
        <w:rPr>
          <w:rFonts w:ascii="Arial" w:hAnsi="Arial" w:cs="Arial"/>
          <w:sz w:val="22"/>
          <w:szCs w:val="22"/>
        </w:rPr>
        <w:t>ESMA that the penalty rates should be “lower for the instruments that are less liq</w:t>
      </w:r>
      <w:r w:rsidR="00A74982">
        <w:rPr>
          <w:rFonts w:ascii="Arial" w:hAnsi="Arial" w:cs="Arial"/>
          <w:sz w:val="22"/>
          <w:szCs w:val="22"/>
        </w:rPr>
        <w:t>uid”.</w:t>
      </w:r>
      <w:r w:rsidR="0069193C">
        <w:rPr>
          <w:rFonts w:ascii="Arial" w:hAnsi="Arial" w:cs="Arial"/>
          <w:sz w:val="22"/>
          <w:szCs w:val="22"/>
        </w:rPr>
        <w:t xml:space="preserve"> In adopting such an approach, ESMA should also include transitional arrangements for shares migrating from the illiquid cat</w:t>
      </w:r>
      <w:r w:rsidR="0069193C">
        <w:rPr>
          <w:rFonts w:ascii="Arial" w:hAnsi="Arial" w:cs="Arial"/>
          <w:sz w:val="22"/>
          <w:szCs w:val="22"/>
        </w:rPr>
        <w:t>e</w:t>
      </w:r>
      <w:r w:rsidR="0069193C">
        <w:rPr>
          <w:rFonts w:ascii="Arial" w:hAnsi="Arial" w:cs="Arial"/>
          <w:sz w:val="22"/>
          <w:szCs w:val="22"/>
        </w:rPr>
        <w:t>gory to the liquid category</w:t>
      </w:r>
      <w:r w:rsidR="002604EC">
        <w:rPr>
          <w:rFonts w:ascii="Arial" w:hAnsi="Arial" w:cs="Arial"/>
          <w:sz w:val="22"/>
          <w:szCs w:val="22"/>
        </w:rPr>
        <w:t>.</w:t>
      </w:r>
      <w:r w:rsidR="0069193C">
        <w:rPr>
          <w:rFonts w:ascii="Arial" w:hAnsi="Arial" w:cs="Arial"/>
          <w:sz w:val="22"/>
          <w:szCs w:val="22"/>
        </w:rPr>
        <w:t xml:space="preserve"> This would be particularly important for securities which graduate from</w:t>
      </w:r>
      <w:r w:rsidR="0069193C" w:rsidRPr="00B81636">
        <w:rPr>
          <w:rFonts w:ascii="Arial" w:hAnsi="Arial" w:cs="Arial"/>
          <w:sz w:val="22"/>
          <w:szCs w:val="22"/>
        </w:rPr>
        <w:t xml:space="preserve"> a </w:t>
      </w:r>
      <w:r w:rsidR="002604EC">
        <w:rPr>
          <w:rFonts w:ascii="Arial" w:hAnsi="Arial" w:cs="Arial"/>
          <w:sz w:val="22"/>
          <w:szCs w:val="22"/>
        </w:rPr>
        <w:t xml:space="preserve">junior market to a main market, as the liquidity in those shares would not immediately </w:t>
      </w:r>
      <w:r w:rsidR="002604EC">
        <w:rPr>
          <w:rFonts w:ascii="Arial" w:hAnsi="Arial" w:cs="Arial"/>
          <w:sz w:val="22"/>
          <w:szCs w:val="22"/>
        </w:rPr>
        <w:lastRenderedPageBreak/>
        <w:t>increase due to the admission to the new market but rather would increase over time. In order to enable such securities to grow and develop, a more relaxed transitional arrangement is required.</w:t>
      </w:r>
      <w:r w:rsidR="00532E91">
        <w:rPr>
          <w:rFonts w:ascii="Arial" w:hAnsi="Arial" w:cs="Arial"/>
          <w:sz w:val="22"/>
          <w:szCs w:val="22"/>
        </w:rPr>
        <w:t xml:space="preserve"> </w:t>
      </w:r>
    </w:p>
    <w:p w:rsidR="00744A2D" w:rsidRDefault="00744A2D" w:rsidP="009D1A73">
      <w:pPr>
        <w:rPr>
          <w:rFonts w:ascii="Arial" w:hAnsi="Arial" w:cs="Arial"/>
          <w:sz w:val="22"/>
          <w:szCs w:val="22"/>
        </w:rPr>
      </w:pPr>
    </w:p>
    <w:p w:rsidR="00744A2D" w:rsidRDefault="006F3D7E" w:rsidP="00744A2D">
      <w:pPr>
        <w:rPr>
          <w:rFonts w:ascii="Arial" w:hAnsi="Arial" w:cs="Arial"/>
          <w:sz w:val="22"/>
          <w:szCs w:val="22"/>
          <w:u w:val="single"/>
        </w:rPr>
      </w:pPr>
      <w:r>
        <w:rPr>
          <w:rFonts w:ascii="Arial" w:hAnsi="Arial" w:cs="Arial"/>
          <w:sz w:val="22"/>
          <w:szCs w:val="22"/>
          <w:u w:val="single"/>
        </w:rPr>
        <w:t>A</w:t>
      </w:r>
      <w:r w:rsidR="00744A2D" w:rsidRPr="00744A2D">
        <w:rPr>
          <w:rFonts w:ascii="Arial" w:hAnsi="Arial" w:cs="Arial"/>
          <w:sz w:val="22"/>
          <w:szCs w:val="22"/>
          <w:u w:val="single"/>
        </w:rPr>
        <w:t>pplicability of penal</w:t>
      </w:r>
      <w:r w:rsidR="00744A2D">
        <w:rPr>
          <w:rFonts w:ascii="Arial" w:hAnsi="Arial" w:cs="Arial"/>
          <w:sz w:val="22"/>
          <w:szCs w:val="22"/>
          <w:u w:val="single"/>
        </w:rPr>
        <w:t>ties during the deferral period</w:t>
      </w:r>
    </w:p>
    <w:p w:rsidR="0091007E" w:rsidRPr="00204106" w:rsidRDefault="00744A2D" w:rsidP="00B81636">
      <w:pPr>
        <w:rPr>
          <w:rFonts w:ascii="Arial" w:hAnsi="Arial" w:cs="Arial"/>
          <w:sz w:val="22"/>
          <w:szCs w:val="22"/>
          <w:u w:val="single"/>
        </w:rPr>
      </w:pPr>
      <w:r>
        <w:rPr>
          <w:rFonts w:ascii="Arial" w:hAnsi="Arial" w:cs="Arial"/>
          <w:sz w:val="22"/>
          <w:szCs w:val="22"/>
        </w:rPr>
        <w:t xml:space="preserve">We support ESMA’s approach to situations where the partial delivery of financial instrument or </w:t>
      </w:r>
      <w:r w:rsidR="00380438">
        <w:rPr>
          <w:rFonts w:ascii="Arial" w:hAnsi="Arial" w:cs="Arial"/>
          <w:sz w:val="22"/>
          <w:szCs w:val="22"/>
        </w:rPr>
        <w:t>cash is not accepted by the receiv</w:t>
      </w:r>
      <w:r>
        <w:rPr>
          <w:rFonts w:ascii="Arial" w:hAnsi="Arial" w:cs="Arial"/>
          <w:sz w:val="22"/>
          <w:szCs w:val="22"/>
        </w:rPr>
        <w:t xml:space="preserve">ing participant as a proportional approach with the aim of encouraging settlement where possible. We therefore urge ESMA to apply the same approach to the deferral period by excluding the daily penalty </w:t>
      </w:r>
      <w:r w:rsidR="006C53E9">
        <w:rPr>
          <w:rFonts w:ascii="Arial" w:hAnsi="Arial" w:cs="Arial"/>
          <w:sz w:val="22"/>
          <w:szCs w:val="22"/>
        </w:rPr>
        <w:t>during this period in order to ensure that the deferral option is</w:t>
      </w:r>
      <w:r w:rsidR="00650CCD">
        <w:rPr>
          <w:rFonts w:ascii="Arial" w:hAnsi="Arial" w:cs="Arial"/>
          <w:sz w:val="22"/>
          <w:szCs w:val="22"/>
        </w:rPr>
        <w:t xml:space="preserve"> not chosen solely as a means to</w:t>
      </w:r>
      <w:r w:rsidR="006C53E9">
        <w:rPr>
          <w:rFonts w:ascii="Arial" w:hAnsi="Arial" w:cs="Arial"/>
          <w:sz w:val="22"/>
          <w:szCs w:val="22"/>
        </w:rPr>
        <w:t xml:space="preserve"> increas</w:t>
      </w:r>
      <w:r w:rsidR="00650CCD">
        <w:rPr>
          <w:rFonts w:ascii="Arial" w:hAnsi="Arial" w:cs="Arial"/>
          <w:sz w:val="22"/>
          <w:szCs w:val="22"/>
        </w:rPr>
        <w:t>e</w:t>
      </w:r>
      <w:r w:rsidR="006C53E9">
        <w:rPr>
          <w:rFonts w:ascii="Arial" w:hAnsi="Arial" w:cs="Arial"/>
          <w:sz w:val="22"/>
          <w:szCs w:val="22"/>
        </w:rPr>
        <w:t xml:space="preserve"> the </w:t>
      </w:r>
      <w:r w:rsidR="00650CCD">
        <w:rPr>
          <w:rFonts w:ascii="Arial" w:hAnsi="Arial" w:cs="Arial"/>
          <w:sz w:val="22"/>
          <w:szCs w:val="22"/>
        </w:rPr>
        <w:t>overall</w:t>
      </w:r>
      <w:r w:rsidR="006C53E9">
        <w:rPr>
          <w:rFonts w:ascii="Arial" w:hAnsi="Arial" w:cs="Arial"/>
          <w:sz w:val="22"/>
          <w:szCs w:val="22"/>
        </w:rPr>
        <w:t xml:space="preserve"> penalty compensation</w:t>
      </w:r>
      <w:r w:rsidR="00650CCD">
        <w:rPr>
          <w:rFonts w:ascii="Arial" w:hAnsi="Arial" w:cs="Arial"/>
          <w:sz w:val="22"/>
          <w:szCs w:val="22"/>
        </w:rPr>
        <w:t xml:space="preserve"> received</w:t>
      </w:r>
      <w:r w:rsidR="006C53E9">
        <w:rPr>
          <w:rFonts w:ascii="Arial" w:hAnsi="Arial" w:cs="Arial"/>
          <w:sz w:val="22"/>
          <w:szCs w:val="22"/>
        </w:rPr>
        <w:t>. We believe that</w:t>
      </w:r>
      <w:r w:rsidR="00D67B3C">
        <w:rPr>
          <w:rFonts w:ascii="Arial" w:hAnsi="Arial" w:cs="Arial"/>
          <w:sz w:val="22"/>
          <w:szCs w:val="22"/>
        </w:rPr>
        <w:t xml:space="preserve"> by excluding the penalty from the deferral period </w:t>
      </w:r>
      <w:r w:rsidR="006C53E9">
        <w:rPr>
          <w:rFonts w:ascii="Arial" w:hAnsi="Arial" w:cs="Arial"/>
          <w:sz w:val="22"/>
          <w:szCs w:val="22"/>
        </w:rPr>
        <w:t>participants</w:t>
      </w:r>
      <w:r w:rsidR="00D67B3C">
        <w:rPr>
          <w:rFonts w:ascii="Arial" w:hAnsi="Arial" w:cs="Arial"/>
          <w:sz w:val="22"/>
          <w:szCs w:val="22"/>
        </w:rPr>
        <w:t xml:space="preserve"> would be encouraged</w:t>
      </w:r>
      <w:r w:rsidR="006C53E9">
        <w:rPr>
          <w:rFonts w:ascii="Arial" w:hAnsi="Arial" w:cs="Arial"/>
          <w:sz w:val="22"/>
          <w:szCs w:val="22"/>
        </w:rPr>
        <w:t xml:space="preserve"> to choose the cash compensation, therefore </w:t>
      </w:r>
      <w:r w:rsidR="00CE2230">
        <w:rPr>
          <w:rFonts w:ascii="Arial" w:hAnsi="Arial" w:cs="Arial"/>
          <w:sz w:val="22"/>
          <w:szCs w:val="22"/>
        </w:rPr>
        <w:t xml:space="preserve">increasing settlement efficiency. </w:t>
      </w:r>
      <w:r w:rsidR="00855E27">
        <w:rPr>
          <w:rFonts w:ascii="Arial" w:hAnsi="Arial" w:cs="Arial"/>
          <w:sz w:val="22"/>
          <w:szCs w:val="22"/>
        </w:rPr>
        <w:t>This is particularly important for those less liquid securities for which there is no lending market avail</w:t>
      </w:r>
      <w:r w:rsidR="00855E27">
        <w:rPr>
          <w:rFonts w:ascii="Arial" w:hAnsi="Arial" w:cs="Arial"/>
          <w:sz w:val="22"/>
          <w:szCs w:val="22"/>
        </w:rPr>
        <w:t>a</w:t>
      </w:r>
      <w:r w:rsidR="00855E27">
        <w:rPr>
          <w:rFonts w:ascii="Arial" w:hAnsi="Arial" w:cs="Arial"/>
          <w:sz w:val="22"/>
          <w:szCs w:val="22"/>
        </w:rPr>
        <w:t>ble</w:t>
      </w:r>
      <w:r w:rsidR="00C42A8A">
        <w:rPr>
          <w:rFonts w:ascii="Arial" w:hAnsi="Arial" w:cs="Arial"/>
          <w:sz w:val="22"/>
          <w:szCs w:val="22"/>
        </w:rPr>
        <w:t xml:space="preserve">, and for which the failing participant could be subject to a high fine </w:t>
      </w:r>
      <w:r w:rsidR="00CE2230">
        <w:rPr>
          <w:rFonts w:ascii="Arial" w:hAnsi="Arial" w:cs="Arial"/>
          <w:sz w:val="22"/>
          <w:szCs w:val="22"/>
        </w:rPr>
        <w:t>although there are no</w:t>
      </w:r>
      <w:r w:rsidR="00C42A8A">
        <w:rPr>
          <w:rFonts w:ascii="Arial" w:hAnsi="Arial" w:cs="Arial"/>
          <w:sz w:val="22"/>
          <w:szCs w:val="22"/>
        </w:rPr>
        <w:t xml:space="preserve"> securities available for borrowing.</w:t>
      </w:r>
      <w:r w:rsidR="00CB133E">
        <w:rPr>
          <w:rFonts w:ascii="Arial" w:hAnsi="Arial" w:cs="Arial"/>
          <w:sz w:val="22"/>
          <w:szCs w:val="22"/>
        </w:rPr>
        <w:t xml:space="preserve"> We believe this is still consistent with the Level 1 text as Art</w:t>
      </w:r>
      <w:r w:rsidR="00CB133E">
        <w:rPr>
          <w:rFonts w:ascii="Arial" w:hAnsi="Arial" w:cs="Arial"/>
          <w:sz w:val="22"/>
          <w:szCs w:val="22"/>
        </w:rPr>
        <w:t>i</w:t>
      </w:r>
      <w:r w:rsidR="00CB133E">
        <w:rPr>
          <w:rFonts w:ascii="Arial" w:hAnsi="Arial" w:cs="Arial"/>
          <w:sz w:val="22"/>
          <w:szCs w:val="22"/>
        </w:rPr>
        <w:t>cle 7(2) requires the cash penalty to be calculated for each business day a transac</w:t>
      </w:r>
      <w:r w:rsidR="00114081">
        <w:rPr>
          <w:rFonts w:ascii="Arial" w:hAnsi="Arial" w:cs="Arial"/>
          <w:sz w:val="22"/>
          <w:szCs w:val="22"/>
        </w:rPr>
        <w:t>tion</w:t>
      </w:r>
      <w:r w:rsidR="00CB133E">
        <w:rPr>
          <w:rFonts w:ascii="Arial" w:hAnsi="Arial" w:cs="Arial"/>
          <w:sz w:val="22"/>
          <w:szCs w:val="22"/>
        </w:rPr>
        <w:t xml:space="preserve"> fails to be settled until the end of the buy-in process and no longer than the actual settlement date. </w:t>
      </w:r>
      <w:r w:rsidR="00114081">
        <w:rPr>
          <w:rFonts w:ascii="Arial" w:hAnsi="Arial" w:cs="Arial"/>
          <w:sz w:val="22"/>
          <w:szCs w:val="22"/>
        </w:rPr>
        <w:t>Ther</w:t>
      </w:r>
      <w:r w:rsidR="00114081">
        <w:rPr>
          <w:rFonts w:ascii="Arial" w:hAnsi="Arial" w:cs="Arial"/>
          <w:sz w:val="22"/>
          <w:szCs w:val="22"/>
        </w:rPr>
        <w:t>e</w:t>
      </w:r>
      <w:r w:rsidR="00114081">
        <w:rPr>
          <w:rFonts w:ascii="Arial" w:hAnsi="Arial" w:cs="Arial"/>
          <w:sz w:val="22"/>
          <w:szCs w:val="22"/>
        </w:rPr>
        <w:t>fore it does not have to be applied during the deferral period.</w:t>
      </w:r>
    </w:p>
    <w:p w:rsidR="00A35728" w:rsidRPr="00616B9B" w:rsidRDefault="00A35728" w:rsidP="00A35728">
      <w:pPr>
        <w:rPr>
          <w:rFonts w:ascii="Arial" w:hAnsi="Arial" w:cs="Arial"/>
          <w:sz w:val="22"/>
          <w:szCs w:val="22"/>
        </w:rPr>
      </w:pPr>
    </w:p>
    <w:permEnd w:id="285091458"/>
    <w:p w:rsidR="00A35728" w:rsidRDefault="00A35728" w:rsidP="00A35728">
      <w:pPr>
        <w:rPr>
          <w:rFonts w:ascii="Arial" w:hAnsi="Arial" w:cs="Arial"/>
          <w:sz w:val="22"/>
          <w:szCs w:val="22"/>
        </w:rPr>
      </w:pPr>
      <w:r w:rsidRPr="00F32462">
        <w:rPr>
          <w:rFonts w:ascii="Arial" w:hAnsi="Arial" w:cs="Arial"/>
          <w:sz w:val="22"/>
          <w:szCs w:val="22"/>
        </w:rPr>
        <w:t>&lt;ESMA_QUESTION_TA_CSDR_2&gt;</w:t>
      </w:r>
    </w:p>
    <w:p w:rsidR="00682E4A" w:rsidRPr="00F32462"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w:t>
      </w:r>
      <w:r w:rsidRPr="00616B9B">
        <w:rPr>
          <w:rFonts w:ascii="Arial" w:hAnsi="Arial" w:cs="Arial"/>
          <w:szCs w:val="22"/>
        </w:rPr>
        <w:t>c</w:t>
      </w:r>
      <w:r w:rsidRPr="00616B9B">
        <w:rPr>
          <w:rFonts w:ascii="Arial" w:hAnsi="Arial" w:cs="Arial"/>
          <w:szCs w:val="22"/>
        </w:rPr>
        <w:t>tion of the basic penalty amount?</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rsidR="00A35728" w:rsidRDefault="00952FCE" w:rsidP="00A35728">
      <w:pPr>
        <w:rPr>
          <w:rFonts w:ascii="Arial" w:hAnsi="Arial" w:cs="Arial"/>
          <w:sz w:val="22"/>
          <w:szCs w:val="22"/>
        </w:rPr>
      </w:pPr>
      <w:permStart w:id="1424238079" w:edGrp="everyone"/>
      <w:r>
        <w:rPr>
          <w:rFonts w:ascii="Arial" w:hAnsi="Arial" w:cs="Arial"/>
          <w:sz w:val="22"/>
          <w:szCs w:val="22"/>
        </w:rPr>
        <w:t xml:space="preserve">We welcome and agree with ESMA’s view that it is unfair to levy penalties </w:t>
      </w:r>
      <w:r w:rsidR="00741AF2">
        <w:rPr>
          <w:rFonts w:ascii="Arial" w:hAnsi="Arial" w:cs="Arial"/>
          <w:sz w:val="22"/>
          <w:szCs w:val="22"/>
        </w:rPr>
        <w:t>where</w:t>
      </w:r>
      <w:r>
        <w:rPr>
          <w:rFonts w:ascii="Arial" w:hAnsi="Arial" w:cs="Arial"/>
          <w:sz w:val="22"/>
          <w:szCs w:val="22"/>
        </w:rPr>
        <w:t xml:space="preserve"> circumstances </w:t>
      </w:r>
      <w:r w:rsidR="00741AF2">
        <w:rPr>
          <w:rFonts w:ascii="Arial" w:hAnsi="Arial" w:cs="Arial"/>
          <w:sz w:val="22"/>
          <w:szCs w:val="22"/>
        </w:rPr>
        <w:t xml:space="preserve">occur </w:t>
      </w:r>
      <w:r>
        <w:rPr>
          <w:rFonts w:ascii="Arial" w:hAnsi="Arial" w:cs="Arial"/>
          <w:sz w:val="22"/>
          <w:szCs w:val="22"/>
        </w:rPr>
        <w:t>which are outside the control of the participant. We are of the view that the list of circu</w:t>
      </w:r>
      <w:r>
        <w:rPr>
          <w:rFonts w:ascii="Arial" w:hAnsi="Arial" w:cs="Arial"/>
          <w:sz w:val="22"/>
          <w:szCs w:val="22"/>
        </w:rPr>
        <w:t>m</w:t>
      </w:r>
      <w:r>
        <w:rPr>
          <w:rFonts w:ascii="Arial" w:hAnsi="Arial" w:cs="Arial"/>
          <w:sz w:val="22"/>
          <w:szCs w:val="22"/>
        </w:rPr>
        <w:t>stances outside of market participants’ control should include where securities cannot be bo</w:t>
      </w:r>
      <w:r>
        <w:rPr>
          <w:rFonts w:ascii="Arial" w:hAnsi="Arial" w:cs="Arial"/>
          <w:sz w:val="22"/>
          <w:szCs w:val="22"/>
        </w:rPr>
        <w:t>r</w:t>
      </w:r>
      <w:r>
        <w:rPr>
          <w:rFonts w:ascii="Arial" w:hAnsi="Arial" w:cs="Arial"/>
          <w:sz w:val="22"/>
          <w:szCs w:val="22"/>
        </w:rPr>
        <w:t>rowed.</w:t>
      </w:r>
    </w:p>
    <w:p w:rsidR="00FC5B06" w:rsidRDefault="00FC5B06" w:rsidP="00A35728">
      <w:pPr>
        <w:rPr>
          <w:rFonts w:ascii="Arial" w:hAnsi="Arial" w:cs="Arial"/>
          <w:sz w:val="22"/>
          <w:szCs w:val="22"/>
        </w:rPr>
      </w:pPr>
    </w:p>
    <w:p w:rsidR="00FC5B06" w:rsidRPr="00616B9B" w:rsidRDefault="00FC5B06" w:rsidP="00A35728">
      <w:pPr>
        <w:rPr>
          <w:rFonts w:ascii="Arial" w:hAnsi="Arial" w:cs="Arial"/>
          <w:sz w:val="22"/>
          <w:szCs w:val="22"/>
        </w:rPr>
      </w:pPr>
      <w:r>
        <w:rPr>
          <w:rFonts w:ascii="Arial" w:hAnsi="Arial" w:cs="Arial"/>
          <w:sz w:val="22"/>
          <w:szCs w:val="22"/>
        </w:rPr>
        <w:t>We also agree that no increases or decreases in the penalty rates should be proposed at this stage.</w:t>
      </w:r>
    </w:p>
    <w:permEnd w:id="1424238079"/>
    <w:p w:rsidR="00A35728" w:rsidRDefault="00A35728" w:rsidP="00A35728">
      <w:pPr>
        <w:rPr>
          <w:rFonts w:ascii="Arial" w:hAnsi="Arial" w:cs="Arial"/>
          <w:sz w:val="22"/>
          <w:szCs w:val="22"/>
        </w:rPr>
      </w:pPr>
      <w:r w:rsidRPr="00616B9B">
        <w:rPr>
          <w:rFonts w:ascii="Arial" w:hAnsi="Arial" w:cs="Arial"/>
          <w:sz w:val="22"/>
          <w:szCs w:val="22"/>
        </w:rPr>
        <w:t>&lt;ESMA_QUESTION_TA_CSDR_3&gt;</w:t>
      </w:r>
    </w:p>
    <w:p w:rsidR="009A7E2F" w:rsidRPr="00616B9B" w:rsidRDefault="009A7E2F"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2B1935" w:rsidP="00A35728">
      <w:pPr>
        <w:rPr>
          <w:rFonts w:ascii="Arial" w:hAnsi="Arial" w:cs="Arial"/>
          <w:sz w:val="22"/>
          <w:szCs w:val="22"/>
        </w:rPr>
      </w:pPr>
      <w:permStart w:id="1804364863" w:edGrp="everyone"/>
      <w:r>
        <w:rPr>
          <w:rFonts w:ascii="Arial" w:hAnsi="Arial" w:cs="Arial"/>
          <w:sz w:val="22"/>
          <w:szCs w:val="22"/>
        </w:rPr>
        <w:t xml:space="preserve">We agree with ESMA’s view and believe varying the parameters for determining the penalty in each stage in the chain would be too complex to </w:t>
      </w:r>
      <w:r w:rsidR="00112FA6">
        <w:rPr>
          <w:rFonts w:ascii="Arial" w:hAnsi="Arial" w:cs="Arial"/>
          <w:sz w:val="22"/>
          <w:szCs w:val="22"/>
        </w:rPr>
        <w:t xml:space="preserve">implement and </w:t>
      </w:r>
      <w:r>
        <w:rPr>
          <w:rFonts w:ascii="Arial" w:hAnsi="Arial" w:cs="Arial"/>
          <w:sz w:val="22"/>
          <w:szCs w:val="22"/>
        </w:rPr>
        <w:t>maintain.</w:t>
      </w:r>
    </w:p>
    <w:permEnd w:id="1804364863"/>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2B1935" w:rsidP="00A35728">
      <w:pPr>
        <w:rPr>
          <w:rFonts w:ascii="Arial" w:hAnsi="Arial" w:cs="Arial"/>
          <w:sz w:val="22"/>
          <w:szCs w:val="22"/>
        </w:rPr>
      </w:pPr>
      <w:permStart w:id="1183459298" w:edGrp="everyone"/>
      <w:r>
        <w:rPr>
          <w:rFonts w:ascii="Arial" w:hAnsi="Arial" w:cs="Arial"/>
          <w:sz w:val="22"/>
          <w:szCs w:val="22"/>
        </w:rPr>
        <w:t>We agree that the frequency should be no more than annual.</w:t>
      </w:r>
    </w:p>
    <w:permEnd w:id="1183459298"/>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2B1935" w:rsidP="00A35728">
      <w:pPr>
        <w:rPr>
          <w:rFonts w:ascii="Arial" w:hAnsi="Arial" w:cs="Arial"/>
          <w:sz w:val="22"/>
          <w:szCs w:val="22"/>
        </w:rPr>
      </w:pPr>
      <w:permStart w:id="232478205" w:edGrp="everyone"/>
      <w:r>
        <w:rPr>
          <w:rFonts w:ascii="Arial" w:hAnsi="Arial" w:cs="Arial"/>
          <w:sz w:val="22"/>
          <w:szCs w:val="22"/>
        </w:rPr>
        <w:lastRenderedPageBreak/>
        <w:t>We believe that ESMA also needs to include provisions for securities that have a dual primary listing when it refers to “the trading venue where the securities were first admitted to trading”.</w:t>
      </w:r>
      <w:r w:rsidR="00E0249A">
        <w:rPr>
          <w:rFonts w:ascii="Arial" w:hAnsi="Arial" w:cs="Arial"/>
          <w:sz w:val="22"/>
          <w:szCs w:val="22"/>
        </w:rPr>
        <w:t xml:space="preserve"> Please see our response to Question 1 for a suggestion on how to address this.</w:t>
      </w:r>
    </w:p>
    <w:permEnd w:id="232478205"/>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ermStart w:id="2130004923" w:edGrp="everyone"/>
      <w:r w:rsidRPr="00616B9B">
        <w:rPr>
          <w:rFonts w:ascii="Arial" w:hAnsi="Arial" w:cs="Arial"/>
          <w:sz w:val="22"/>
          <w:szCs w:val="22"/>
        </w:rPr>
        <w:t>TYPE YOUR TEXT HERE</w:t>
      </w:r>
    </w:p>
    <w:permEnd w:id="2130004923"/>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
    <w:p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rsidR="006F08DC" w:rsidRPr="00616B9B" w:rsidRDefault="006F08DC" w:rsidP="006F08DC">
      <w:pPr>
        <w:rPr>
          <w:rFonts w:ascii="Arial" w:hAnsi="Arial" w:cs="Arial"/>
          <w:sz w:val="22"/>
          <w:szCs w:val="22"/>
        </w:rPr>
      </w:pPr>
      <w:r w:rsidRPr="00616B9B">
        <w:rPr>
          <w:rFonts w:ascii="Arial" w:hAnsi="Arial" w:cs="Arial"/>
          <w:sz w:val="22"/>
          <w:szCs w:val="22"/>
        </w:rPr>
        <w:t>&lt;ESMA_QUESTION_TA_CSDR_8&gt;</w:t>
      </w:r>
    </w:p>
    <w:p w:rsidR="006F08DC" w:rsidRPr="00616B9B" w:rsidRDefault="006F08DC" w:rsidP="006F08DC">
      <w:pPr>
        <w:rPr>
          <w:rFonts w:ascii="Arial" w:hAnsi="Arial" w:cs="Arial"/>
          <w:sz w:val="22"/>
          <w:szCs w:val="22"/>
        </w:rPr>
      </w:pPr>
      <w:permStart w:id="1839549457" w:edGrp="everyone"/>
      <w:r w:rsidRPr="00616B9B">
        <w:rPr>
          <w:rFonts w:ascii="Arial" w:hAnsi="Arial" w:cs="Arial"/>
          <w:sz w:val="22"/>
          <w:szCs w:val="22"/>
        </w:rPr>
        <w:t>TYPE YOUR TEXT HERE</w:t>
      </w:r>
    </w:p>
    <w:permEnd w:id="1839549457"/>
    <w:p w:rsidR="003A6E9A" w:rsidRPr="00616B9B" w:rsidRDefault="006F08DC" w:rsidP="00B156CF">
      <w:pPr>
        <w:rPr>
          <w:rFonts w:ascii="Arial" w:hAnsi="Arial" w:cs="Arial"/>
          <w:sz w:val="22"/>
          <w:szCs w:val="22"/>
        </w:rPr>
      </w:pPr>
      <w:r w:rsidRPr="00616B9B">
        <w:rPr>
          <w:rFonts w:ascii="Arial" w:hAnsi="Arial" w:cs="Arial"/>
          <w:sz w:val="22"/>
          <w:szCs w:val="22"/>
        </w:rPr>
        <w:t>&lt;ESMA_QUESTION_TA_CSDR_8&gt;</w:t>
      </w: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2D" w:rsidRDefault="00744A2D">
      <w:r>
        <w:separator/>
      </w:r>
    </w:p>
    <w:p w:rsidR="00744A2D" w:rsidRDefault="00744A2D"/>
  </w:endnote>
  <w:endnote w:type="continuationSeparator" w:id="0">
    <w:p w:rsidR="00744A2D" w:rsidRDefault="00744A2D">
      <w:r>
        <w:continuationSeparator/>
      </w:r>
    </w:p>
    <w:p w:rsidR="00744A2D" w:rsidRDefault="00744A2D"/>
  </w:endnote>
  <w:endnote w:type="continuationNotice" w:id="1">
    <w:p w:rsidR="00744A2D" w:rsidRDefault="00744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44A2D" w:rsidRPr="00616B9B" w:rsidTr="00315E96">
      <w:trPr>
        <w:trHeight w:val="284"/>
      </w:trPr>
      <w:tc>
        <w:tcPr>
          <w:tcW w:w="8460" w:type="dxa"/>
        </w:tcPr>
        <w:p w:rsidR="00744A2D" w:rsidRPr="00315E96" w:rsidRDefault="00744A2D" w:rsidP="00315E96">
          <w:pPr>
            <w:pStyle w:val="00Footer"/>
            <w:rPr>
              <w:lang w:val="fr-FR"/>
            </w:rPr>
          </w:pPr>
        </w:p>
      </w:tc>
      <w:tc>
        <w:tcPr>
          <w:tcW w:w="952" w:type="dxa"/>
        </w:tcPr>
        <w:p w:rsidR="00744A2D" w:rsidRPr="00616B9B" w:rsidRDefault="00744A2D"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6B4365">
            <w:rPr>
              <w:rFonts w:ascii="Arial" w:hAnsi="Arial" w:cs="Arial"/>
              <w:noProof/>
              <w:sz w:val="22"/>
              <w:szCs w:val="22"/>
            </w:rPr>
            <w:t>6</w:t>
          </w:r>
          <w:r w:rsidRPr="00616B9B">
            <w:rPr>
              <w:rFonts w:ascii="Arial" w:hAnsi="Arial" w:cs="Arial"/>
              <w:noProof/>
              <w:sz w:val="22"/>
              <w:szCs w:val="22"/>
            </w:rPr>
            <w:fldChar w:fldCharType="end"/>
          </w:r>
        </w:p>
      </w:tc>
    </w:tr>
  </w:tbl>
  <w:p w:rsidR="00744A2D" w:rsidRDefault="00744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2D" w:rsidRDefault="00744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2D" w:rsidRDefault="00744A2D">
      <w:r>
        <w:separator/>
      </w:r>
    </w:p>
    <w:p w:rsidR="00744A2D" w:rsidRDefault="00744A2D"/>
  </w:footnote>
  <w:footnote w:type="continuationSeparator" w:id="0">
    <w:p w:rsidR="00744A2D" w:rsidRDefault="00744A2D">
      <w:r>
        <w:continuationSeparator/>
      </w:r>
    </w:p>
    <w:p w:rsidR="00744A2D" w:rsidRDefault="00744A2D"/>
  </w:footnote>
  <w:footnote w:type="continuationNotice" w:id="1">
    <w:p w:rsidR="00744A2D" w:rsidRDefault="00744A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2D" w:rsidRDefault="00744A2D">
    <w:pPr>
      <w:pStyle w:val="Header"/>
    </w:pPr>
    <w:r>
      <w:rPr>
        <w:noProof/>
        <w:lang w:val="en-IE" w:eastAsia="en-I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2D" w:rsidRDefault="00744A2D" w:rsidP="00013CCE">
    <w:pPr>
      <w:pStyle w:val="Header"/>
      <w:jc w:val="right"/>
    </w:pPr>
    <w:r>
      <w:rPr>
        <w:noProof/>
        <w:lang w:val="en-IE" w:eastAsia="en-I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2D" w:rsidRDefault="00744A2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44A2D" w:rsidRPr="002F4496" w:rsidTr="000C06C9">
      <w:trPr>
        <w:trHeight w:val="284"/>
      </w:trPr>
      <w:tc>
        <w:tcPr>
          <w:tcW w:w="8460" w:type="dxa"/>
        </w:tcPr>
        <w:p w:rsidR="00744A2D" w:rsidRPr="000C3B6D" w:rsidRDefault="00744A2D" w:rsidP="000C06C9">
          <w:pPr>
            <w:pStyle w:val="00Footer"/>
            <w:rPr>
              <w:lang w:val="fr-FR"/>
            </w:rPr>
          </w:pPr>
        </w:p>
      </w:tc>
      <w:tc>
        <w:tcPr>
          <w:tcW w:w="952" w:type="dxa"/>
        </w:tcPr>
        <w:p w:rsidR="00744A2D" w:rsidRPr="00146B34" w:rsidRDefault="00744A2D" w:rsidP="000C06C9">
          <w:pPr>
            <w:pStyle w:val="00aPagenumber"/>
            <w:rPr>
              <w:lang w:val="fr-FR"/>
            </w:rPr>
          </w:pPr>
        </w:p>
      </w:tc>
    </w:tr>
  </w:tbl>
  <w:p w:rsidR="00744A2D" w:rsidRPr="00DB46C3" w:rsidRDefault="00744A2D">
    <w:pPr>
      <w:rPr>
        <w:lang w:val="fr-FR"/>
      </w:rPr>
    </w:pPr>
  </w:p>
  <w:p w:rsidR="00744A2D" w:rsidRPr="002F4496" w:rsidRDefault="00744A2D">
    <w:pPr>
      <w:pStyle w:val="Header"/>
      <w:rPr>
        <w:lang w:val="fr-FR"/>
      </w:rPr>
    </w:pPr>
  </w:p>
  <w:p w:rsidR="00744A2D" w:rsidRPr="002F4496" w:rsidRDefault="00744A2D" w:rsidP="000C06C9">
    <w:pPr>
      <w:pStyle w:val="Header"/>
      <w:tabs>
        <w:tab w:val="clear" w:pos="4536"/>
        <w:tab w:val="clear" w:pos="9072"/>
        <w:tab w:val="left" w:pos="8227"/>
      </w:tabs>
      <w:rPr>
        <w:lang w:val="fr-FR"/>
      </w:rPr>
    </w:pPr>
  </w:p>
  <w:p w:rsidR="00744A2D" w:rsidRPr="002F4496" w:rsidRDefault="00744A2D" w:rsidP="000C06C9">
    <w:pPr>
      <w:pStyle w:val="Header"/>
      <w:tabs>
        <w:tab w:val="clear" w:pos="4536"/>
        <w:tab w:val="clear" w:pos="9072"/>
        <w:tab w:val="left" w:pos="8227"/>
      </w:tabs>
      <w:rPr>
        <w:lang w:val="fr-FR"/>
      </w:rPr>
    </w:pPr>
  </w:p>
  <w:p w:rsidR="00744A2D" w:rsidRPr="002F4496" w:rsidRDefault="00744A2D">
    <w:pPr>
      <w:pStyle w:val="Header"/>
      <w:rPr>
        <w:lang w:val="fr-FR"/>
      </w:rPr>
    </w:pPr>
  </w:p>
  <w:p w:rsidR="00744A2D" w:rsidRPr="002F4496" w:rsidRDefault="00744A2D">
    <w:pPr>
      <w:pStyle w:val="Header"/>
      <w:rPr>
        <w:lang w:val="fr-FR"/>
      </w:rPr>
    </w:pPr>
  </w:p>
  <w:p w:rsidR="00744A2D" w:rsidRPr="002F4496" w:rsidRDefault="00744A2D">
    <w:pPr>
      <w:pStyle w:val="Header"/>
      <w:rPr>
        <w:lang w:val="fr-FR"/>
      </w:rPr>
    </w:pPr>
  </w:p>
  <w:p w:rsidR="00744A2D" w:rsidRPr="002F4496" w:rsidRDefault="00744A2D">
    <w:pPr>
      <w:pStyle w:val="Header"/>
      <w:rPr>
        <w:lang w:val="fr-FR"/>
      </w:rPr>
    </w:pPr>
  </w:p>
  <w:p w:rsidR="00744A2D" w:rsidRPr="002F4496" w:rsidRDefault="00744A2D">
    <w:pPr>
      <w:pStyle w:val="Header"/>
      <w:rPr>
        <w:highlight w:val="yellow"/>
        <w:lang w:val="fr-FR"/>
      </w:rPr>
    </w:pPr>
  </w:p>
  <w:p w:rsidR="00744A2D" w:rsidRDefault="00744A2D">
    <w:pPr>
      <w:pStyle w:val="Header"/>
    </w:pPr>
    <w:r>
      <w:rPr>
        <w:noProof/>
        <w:lang w:val="en-IE" w:eastAsia="en-IE"/>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IE" w:eastAsia="en-IE"/>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7F42D5E"/>
    <w:multiLevelType w:val="hybridMultilevel"/>
    <w:tmpl w:val="4FD4D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23A84"/>
    <w:multiLevelType w:val="hybridMultilevel"/>
    <w:tmpl w:val="26282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5"/>
  </w:num>
  <w:num w:numId="5">
    <w:abstractNumId w:val="3"/>
  </w:num>
  <w:num w:numId="6">
    <w:abstractNumId w:val="27"/>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3"/>
  </w:num>
  <w:num w:numId="15">
    <w:abstractNumId w:val="24"/>
  </w:num>
  <w:num w:numId="16">
    <w:abstractNumId w:val="11"/>
  </w:num>
  <w:num w:numId="17">
    <w:abstractNumId w:val="1"/>
  </w:num>
  <w:num w:numId="18">
    <w:abstractNumId w:val="15"/>
  </w:num>
  <w:num w:numId="19">
    <w:abstractNumId w:val="16"/>
  </w:num>
  <w:num w:numId="20">
    <w:abstractNumId w:val="18"/>
  </w:num>
  <w:num w:numId="21">
    <w:abstractNumId w:val="28"/>
  </w:num>
  <w:num w:numId="22">
    <w:abstractNumId w:val="36"/>
  </w:num>
  <w:num w:numId="23">
    <w:abstractNumId w:val="26"/>
  </w:num>
  <w:num w:numId="24">
    <w:abstractNumId w:val="10"/>
  </w:num>
  <w:num w:numId="25">
    <w:abstractNumId w:val="32"/>
  </w:num>
  <w:num w:numId="26">
    <w:abstractNumId w:val="30"/>
  </w:num>
  <w:num w:numId="27">
    <w:abstractNumId w:val="22"/>
  </w:num>
  <w:num w:numId="28">
    <w:abstractNumId w:val="35"/>
  </w:num>
  <w:num w:numId="29">
    <w:abstractNumId w:val="38"/>
  </w:num>
  <w:num w:numId="30">
    <w:abstractNumId w:val="8"/>
  </w:num>
  <w:num w:numId="31">
    <w:abstractNumId w:val="4"/>
  </w:num>
  <w:num w:numId="32">
    <w:abstractNumId w:val="23"/>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5"/>
  </w:num>
  <w:num w:numId="42">
    <w:abstractNumId w:val="21"/>
  </w:num>
  <w:num w:numId="43">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3481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6DA"/>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23D9"/>
    <w:rsid w:val="00023713"/>
    <w:rsid w:val="00023C4D"/>
    <w:rsid w:val="00025E71"/>
    <w:rsid w:val="00026269"/>
    <w:rsid w:val="00027154"/>
    <w:rsid w:val="00027ECF"/>
    <w:rsid w:val="000303BE"/>
    <w:rsid w:val="000344D6"/>
    <w:rsid w:val="00034960"/>
    <w:rsid w:val="00036FAE"/>
    <w:rsid w:val="00041858"/>
    <w:rsid w:val="0004389E"/>
    <w:rsid w:val="000449E3"/>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2FA6"/>
    <w:rsid w:val="001130EA"/>
    <w:rsid w:val="00114081"/>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8E5"/>
    <w:rsid w:val="001D3A1F"/>
    <w:rsid w:val="001D3FB6"/>
    <w:rsid w:val="001D4550"/>
    <w:rsid w:val="001D5498"/>
    <w:rsid w:val="001D5BAF"/>
    <w:rsid w:val="001D6401"/>
    <w:rsid w:val="001D66C9"/>
    <w:rsid w:val="001D722A"/>
    <w:rsid w:val="001D76DF"/>
    <w:rsid w:val="001E04FC"/>
    <w:rsid w:val="001E407D"/>
    <w:rsid w:val="001E40FB"/>
    <w:rsid w:val="001E66EC"/>
    <w:rsid w:val="001E68C5"/>
    <w:rsid w:val="001F0F63"/>
    <w:rsid w:val="001F3996"/>
    <w:rsid w:val="001F44A4"/>
    <w:rsid w:val="001F4B6C"/>
    <w:rsid w:val="001F579D"/>
    <w:rsid w:val="001F65EF"/>
    <w:rsid w:val="001F697B"/>
    <w:rsid w:val="002005A6"/>
    <w:rsid w:val="0020410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4EC"/>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BE"/>
    <w:rsid w:val="00286064"/>
    <w:rsid w:val="002867B1"/>
    <w:rsid w:val="00287BBB"/>
    <w:rsid w:val="00287E3B"/>
    <w:rsid w:val="00290638"/>
    <w:rsid w:val="00291763"/>
    <w:rsid w:val="00291D80"/>
    <w:rsid w:val="00293156"/>
    <w:rsid w:val="00293B7F"/>
    <w:rsid w:val="00293BE7"/>
    <w:rsid w:val="002946DC"/>
    <w:rsid w:val="002A0C82"/>
    <w:rsid w:val="002A0CD8"/>
    <w:rsid w:val="002A13EB"/>
    <w:rsid w:val="002A35EF"/>
    <w:rsid w:val="002A3DE0"/>
    <w:rsid w:val="002A40EA"/>
    <w:rsid w:val="002A46E8"/>
    <w:rsid w:val="002A491C"/>
    <w:rsid w:val="002A4EEB"/>
    <w:rsid w:val="002A5EA1"/>
    <w:rsid w:val="002B1935"/>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38D"/>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07D28"/>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3049"/>
    <w:rsid w:val="00336B56"/>
    <w:rsid w:val="00341B25"/>
    <w:rsid w:val="00341EC0"/>
    <w:rsid w:val="0034240C"/>
    <w:rsid w:val="00344496"/>
    <w:rsid w:val="00345968"/>
    <w:rsid w:val="00347667"/>
    <w:rsid w:val="003507E2"/>
    <w:rsid w:val="003522B2"/>
    <w:rsid w:val="0035455E"/>
    <w:rsid w:val="00354A6F"/>
    <w:rsid w:val="00354B44"/>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438"/>
    <w:rsid w:val="00380FEC"/>
    <w:rsid w:val="00381226"/>
    <w:rsid w:val="00381B1B"/>
    <w:rsid w:val="00381FF6"/>
    <w:rsid w:val="00383D7D"/>
    <w:rsid w:val="00384CCE"/>
    <w:rsid w:val="003865E5"/>
    <w:rsid w:val="003926C1"/>
    <w:rsid w:val="00392900"/>
    <w:rsid w:val="00393357"/>
    <w:rsid w:val="00395E7B"/>
    <w:rsid w:val="00395F4C"/>
    <w:rsid w:val="003A0BDB"/>
    <w:rsid w:val="003A6591"/>
    <w:rsid w:val="003A6E9A"/>
    <w:rsid w:val="003B08C8"/>
    <w:rsid w:val="003B12DD"/>
    <w:rsid w:val="003B2567"/>
    <w:rsid w:val="003B381A"/>
    <w:rsid w:val="003B4976"/>
    <w:rsid w:val="003B4B3F"/>
    <w:rsid w:val="003B6258"/>
    <w:rsid w:val="003B7A99"/>
    <w:rsid w:val="003C0343"/>
    <w:rsid w:val="003C1894"/>
    <w:rsid w:val="003C1C32"/>
    <w:rsid w:val="003C40DA"/>
    <w:rsid w:val="003C42BA"/>
    <w:rsid w:val="003C462F"/>
    <w:rsid w:val="003C4A02"/>
    <w:rsid w:val="003C4F05"/>
    <w:rsid w:val="003C4F94"/>
    <w:rsid w:val="003C6191"/>
    <w:rsid w:val="003C6E49"/>
    <w:rsid w:val="003D0CBF"/>
    <w:rsid w:val="003D0DD6"/>
    <w:rsid w:val="003D4B73"/>
    <w:rsid w:val="003D503B"/>
    <w:rsid w:val="003D605E"/>
    <w:rsid w:val="003D61D1"/>
    <w:rsid w:val="003D6780"/>
    <w:rsid w:val="003D6CD0"/>
    <w:rsid w:val="003D6FCB"/>
    <w:rsid w:val="003E07A7"/>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61A5"/>
    <w:rsid w:val="0045650A"/>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3F2"/>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2BF"/>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0FB3"/>
    <w:rsid w:val="0052183D"/>
    <w:rsid w:val="00522F44"/>
    <w:rsid w:val="0052360A"/>
    <w:rsid w:val="005242BA"/>
    <w:rsid w:val="005243B8"/>
    <w:rsid w:val="005252DD"/>
    <w:rsid w:val="00530A8D"/>
    <w:rsid w:val="00531C6D"/>
    <w:rsid w:val="00532E91"/>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3A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9F7"/>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0CCD"/>
    <w:rsid w:val="006521F3"/>
    <w:rsid w:val="006524D5"/>
    <w:rsid w:val="00652BBD"/>
    <w:rsid w:val="006530B6"/>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4079"/>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90F0E"/>
    <w:rsid w:val="006911C0"/>
    <w:rsid w:val="0069193C"/>
    <w:rsid w:val="00691B7C"/>
    <w:rsid w:val="00694B73"/>
    <w:rsid w:val="00694DF2"/>
    <w:rsid w:val="00695F80"/>
    <w:rsid w:val="006966CD"/>
    <w:rsid w:val="00696735"/>
    <w:rsid w:val="0069780E"/>
    <w:rsid w:val="006A2CA2"/>
    <w:rsid w:val="006B2D40"/>
    <w:rsid w:val="006B34DF"/>
    <w:rsid w:val="006B39B2"/>
    <w:rsid w:val="006B3AF9"/>
    <w:rsid w:val="006B4365"/>
    <w:rsid w:val="006B45A0"/>
    <w:rsid w:val="006B5668"/>
    <w:rsid w:val="006B5F71"/>
    <w:rsid w:val="006B6E44"/>
    <w:rsid w:val="006B7059"/>
    <w:rsid w:val="006B7287"/>
    <w:rsid w:val="006B7F2E"/>
    <w:rsid w:val="006C0BF8"/>
    <w:rsid w:val="006C2253"/>
    <w:rsid w:val="006C2CCB"/>
    <w:rsid w:val="006C4334"/>
    <w:rsid w:val="006C4B0F"/>
    <w:rsid w:val="006C53E9"/>
    <w:rsid w:val="006C5E96"/>
    <w:rsid w:val="006C77DD"/>
    <w:rsid w:val="006C786D"/>
    <w:rsid w:val="006D399F"/>
    <w:rsid w:val="006D4F0C"/>
    <w:rsid w:val="006D5645"/>
    <w:rsid w:val="006E0C8A"/>
    <w:rsid w:val="006E2A23"/>
    <w:rsid w:val="006E35E5"/>
    <w:rsid w:val="006E3C72"/>
    <w:rsid w:val="006E4F20"/>
    <w:rsid w:val="006E649A"/>
    <w:rsid w:val="006F08DC"/>
    <w:rsid w:val="006F3948"/>
    <w:rsid w:val="006F3D7E"/>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1AF2"/>
    <w:rsid w:val="00743DE7"/>
    <w:rsid w:val="00744A2D"/>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0C62"/>
    <w:rsid w:val="007834A1"/>
    <w:rsid w:val="00783D06"/>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0901"/>
    <w:rsid w:val="007D10EE"/>
    <w:rsid w:val="007D1193"/>
    <w:rsid w:val="007D1A3A"/>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1882"/>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5E27"/>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4713"/>
    <w:rsid w:val="00905D59"/>
    <w:rsid w:val="009062CA"/>
    <w:rsid w:val="00907631"/>
    <w:rsid w:val="00907776"/>
    <w:rsid w:val="0091007E"/>
    <w:rsid w:val="00913401"/>
    <w:rsid w:val="00913567"/>
    <w:rsid w:val="009137B6"/>
    <w:rsid w:val="00915EBA"/>
    <w:rsid w:val="00916519"/>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2FCE"/>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67F"/>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5F4F"/>
    <w:rsid w:val="009C6091"/>
    <w:rsid w:val="009C634F"/>
    <w:rsid w:val="009D0219"/>
    <w:rsid w:val="009D0D55"/>
    <w:rsid w:val="009D1A73"/>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1A9E"/>
    <w:rsid w:val="00A02370"/>
    <w:rsid w:val="00A0274D"/>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592"/>
    <w:rsid w:val="00A65805"/>
    <w:rsid w:val="00A66BEE"/>
    <w:rsid w:val="00A671C9"/>
    <w:rsid w:val="00A67DFD"/>
    <w:rsid w:val="00A74982"/>
    <w:rsid w:val="00A74F9F"/>
    <w:rsid w:val="00A750B3"/>
    <w:rsid w:val="00A75559"/>
    <w:rsid w:val="00A7623D"/>
    <w:rsid w:val="00A77DB8"/>
    <w:rsid w:val="00A824A7"/>
    <w:rsid w:val="00A83644"/>
    <w:rsid w:val="00A83C07"/>
    <w:rsid w:val="00A83DAD"/>
    <w:rsid w:val="00A83F40"/>
    <w:rsid w:val="00A84945"/>
    <w:rsid w:val="00A85543"/>
    <w:rsid w:val="00A91397"/>
    <w:rsid w:val="00A91682"/>
    <w:rsid w:val="00A92E4A"/>
    <w:rsid w:val="00A958CA"/>
    <w:rsid w:val="00A966B6"/>
    <w:rsid w:val="00A96B46"/>
    <w:rsid w:val="00AA003B"/>
    <w:rsid w:val="00AA016B"/>
    <w:rsid w:val="00AA05F4"/>
    <w:rsid w:val="00AA15DD"/>
    <w:rsid w:val="00AA1C09"/>
    <w:rsid w:val="00AA2F67"/>
    <w:rsid w:val="00AA3569"/>
    <w:rsid w:val="00AA5B27"/>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5EF4"/>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47E97"/>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254B"/>
    <w:rsid w:val="00B6439A"/>
    <w:rsid w:val="00B6443B"/>
    <w:rsid w:val="00B6517B"/>
    <w:rsid w:val="00B65E71"/>
    <w:rsid w:val="00B66C26"/>
    <w:rsid w:val="00B71FB3"/>
    <w:rsid w:val="00B73492"/>
    <w:rsid w:val="00B7512A"/>
    <w:rsid w:val="00B76548"/>
    <w:rsid w:val="00B76BED"/>
    <w:rsid w:val="00B806E6"/>
    <w:rsid w:val="00B8163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531B"/>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6B5"/>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816"/>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17BDC"/>
    <w:rsid w:val="00C2072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2A8A"/>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33E"/>
    <w:rsid w:val="00CB17FA"/>
    <w:rsid w:val="00CB23D8"/>
    <w:rsid w:val="00CB2ED9"/>
    <w:rsid w:val="00CB36A5"/>
    <w:rsid w:val="00CB56B4"/>
    <w:rsid w:val="00CB5F7C"/>
    <w:rsid w:val="00CB7286"/>
    <w:rsid w:val="00CB7947"/>
    <w:rsid w:val="00CB7971"/>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2230"/>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67B3C"/>
    <w:rsid w:val="00D70F15"/>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A7C99"/>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249A"/>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E93"/>
    <w:rsid w:val="00E3687E"/>
    <w:rsid w:val="00E40974"/>
    <w:rsid w:val="00E40AAB"/>
    <w:rsid w:val="00E41205"/>
    <w:rsid w:val="00E41F32"/>
    <w:rsid w:val="00E42608"/>
    <w:rsid w:val="00E43536"/>
    <w:rsid w:val="00E438B2"/>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67CC0"/>
    <w:rsid w:val="00E70243"/>
    <w:rsid w:val="00E72CC6"/>
    <w:rsid w:val="00E73D44"/>
    <w:rsid w:val="00E7494A"/>
    <w:rsid w:val="00E74BE2"/>
    <w:rsid w:val="00E74C66"/>
    <w:rsid w:val="00E75933"/>
    <w:rsid w:val="00E77A1B"/>
    <w:rsid w:val="00E808BE"/>
    <w:rsid w:val="00E81E36"/>
    <w:rsid w:val="00E81E40"/>
    <w:rsid w:val="00E82ECE"/>
    <w:rsid w:val="00E85CE1"/>
    <w:rsid w:val="00E8713B"/>
    <w:rsid w:val="00E90C61"/>
    <w:rsid w:val="00E92A82"/>
    <w:rsid w:val="00E92AA8"/>
    <w:rsid w:val="00E9344E"/>
    <w:rsid w:val="00E93E39"/>
    <w:rsid w:val="00E94391"/>
    <w:rsid w:val="00E97E2B"/>
    <w:rsid w:val="00EA08CA"/>
    <w:rsid w:val="00EA0C0C"/>
    <w:rsid w:val="00EA2AEA"/>
    <w:rsid w:val="00EA2E89"/>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06622"/>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5B06"/>
    <w:rsid w:val="00FD13EA"/>
    <w:rsid w:val="00FD23FE"/>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PlaceholderText"/>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1F6B79"/>
    <w:rsid w:val="002D3005"/>
    <w:rsid w:val="00346510"/>
    <w:rsid w:val="00392976"/>
    <w:rsid w:val="00464746"/>
    <w:rsid w:val="004A38E7"/>
    <w:rsid w:val="005F5D98"/>
    <w:rsid w:val="0072030F"/>
    <w:rsid w:val="00D7408A"/>
    <w:rsid w:val="00E923C1"/>
    <w:rsid w:val="00ED03BC"/>
    <w:rsid w:val="00F0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7DC1-862C-4907-889D-D084DC839CB7}">
  <ds:schemaRefs>
    <ds:schemaRef ds:uri="http://schemas.openxmlformats.org/officeDocument/2006/bibliography"/>
  </ds:schemaRefs>
</ds:datastoreItem>
</file>

<file path=customXml/itemProps2.xml><?xml version="1.0" encoding="utf-8"?>
<ds:datastoreItem xmlns:ds="http://schemas.openxmlformats.org/officeDocument/2006/customXml" ds:itemID="{6E8A30D7-A847-4DED-80D7-40B18D0F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8</Pages>
  <Words>2095</Words>
  <Characters>11162</Characters>
  <Application>Microsoft Office Word</Application>
  <DocSecurity>8</DocSecurity>
  <Lines>93</Lines>
  <Paragraphs>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13231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Gibney, Niall</cp:lastModifiedBy>
  <cp:revision>75</cp:revision>
  <cp:lastPrinted>2014-05-08T16:06:00Z</cp:lastPrinted>
  <dcterms:created xsi:type="dcterms:W3CDTF">2015-01-27T18:42:00Z</dcterms:created>
  <dcterms:modified xsi:type="dcterms:W3CDTF">2015-02-18T16:55:00Z</dcterms:modified>
</cp:coreProperties>
</file>