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1260DB" w:rsidP="004D3364">
            <w:pPr>
              <w:pStyle w:val="00bDBInfo"/>
            </w:pPr>
            <w:r>
              <w:t>1</w:t>
            </w:r>
            <w:r w:rsidR="004D3364">
              <w:t>8</w:t>
            </w:r>
            <w:r>
              <w:t xml:space="preserve"> December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Pr="00BD3046" w:rsidRDefault="00AE627C" w:rsidP="00C000A5">
            <w:pPr>
              <w:pStyle w:val="01aDBTitle"/>
              <w:rPr>
                <w:sz w:val="36"/>
                <w:szCs w:val="36"/>
              </w:rPr>
            </w:pPr>
            <w:r w:rsidRPr="00BD3046">
              <w:rPr>
                <w:sz w:val="36"/>
                <w:szCs w:val="36"/>
              </w:rPr>
              <w:t>Reply form</w:t>
            </w:r>
            <w:r w:rsidR="00B835D5" w:rsidRPr="00BD3046">
              <w:rPr>
                <w:sz w:val="36"/>
                <w:szCs w:val="36"/>
              </w:rPr>
              <w:t xml:space="preserve"> </w:t>
            </w:r>
            <w:r w:rsidR="0043173B" w:rsidRPr="00BD3046">
              <w:rPr>
                <w:sz w:val="36"/>
                <w:szCs w:val="36"/>
              </w:rPr>
              <w:t>for</w:t>
            </w:r>
            <w:r w:rsidR="00027ECF" w:rsidRPr="00BD3046">
              <w:rPr>
                <w:sz w:val="36"/>
                <w:szCs w:val="36"/>
              </w:rPr>
              <w:t xml:space="preserve"> the </w:t>
            </w:r>
          </w:p>
          <w:p w:rsidR="00791EB4" w:rsidRPr="00E679BA" w:rsidRDefault="00BD3046" w:rsidP="00C000A5">
            <w:pPr>
              <w:pStyle w:val="01aDBTitle"/>
            </w:pPr>
            <w:r w:rsidRPr="00BD3046">
              <w:rPr>
                <w:sz w:val="36"/>
                <w:szCs w:val="36"/>
              </w:rPr>
              <w:t>Technical Standards under the CSD Regulation</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1260DB" w:rsidRDefault="00620D7C" w:rsidP="001260DB">
            <w:pPr>
              <w:pStyle w:val="02Date"/>
            </w:pPr>
            <w:r w:rsidRPr="001260DB">
              <w:lastRenderedPageBreak/>
              <w:t xml:space="preserve">Date: </w:t>
            </w:r>
            <w:r w:rsidR="004D3364">
              <w:t>18</w:t>
            </w:r>
            <w:r w:rsidR="001260DB">
              <w:t xml:space="preserve"> December</w:t>
            </w:r>
            <w:r w:rsidR="002B354F" w:rsidRPr="001260DB">
              <w:t xml:space="preserve"> </w:t>
            </w:r>
            <w:r w:rsidR="00486C17" w:rsidRPr="001260DB">
              <w:t>201</w:t>
            </w:r>
            <w:r w:rsidR="006F57F2" w:rsidRPr="001260DB">
              <w:t>4</w:t>
            </w:r>
          </w:p>
        </w:tc>
      </w:tr>
    </w:tbl>
    <w:p w:rsidR="0088244C" w:rsidRDefault="0088244C" w:rsidP="00F574D0">
      <w:pPr>
        <w:pStyle w:val="05HeadlinenoIndex"/>
      </w:pPr>
      <w:bookmarkStart w:id="0" w:name="_Toc280628648"/>
    </w:p>
    <w:p w:rsidR="00F574D0" w:rsidRPr="00295156" w:rsidRDefault="0088244C" w:rsidP="00F574D0">
      <w:pPr>
        <w:pStyle w:val="05HeadlinenoIndex"/>
        <w:rPr>
          <w:sz w:val="20"/>
          <w:szCs w:val="20"/>
        </w:rPr>
      </w:pPr>
      <w:r w:rsidRPr="00295156">
        <w:rPr>
          <w:sz w:val="20"/>
          <w:szCs w:val="20"/>
        </w:rPr>
        <w:br w:type="page"/>
      </w:r>
      <w:r w:rsidR="00F574D0" w:rsidRPr="00295156">
        <w:rPr>
          <w:sz w:val="20"/>
          <w:szCs w:val="20"/>
        </w:rPr>
        <w:lastRenderedPageBreak/>
        <w:t xml:space="preserve">Responding to this paper </w:t>
      </w:r>
    </w:p>
    <w:p w:rsidR="00F574D0" w:rsidRPr="00295156" w:rsidRDefault="00F574D0" w:rsidP="00F574D0">
      <w:pPr>
        <w:pStyle w:val="04BodyText"/>
        <w:spacing w:before="120" w:after="120"/>
        <w:rPr>
          <w:szCs w:val="20"/>
        </w:rPr>
      </w:pPr>
      <w:r w:rsidRPr="00295156">
        <w:rPr>
          <w:szCs w:val="20"/>
        </w:rPr>
        <w:t xml:space="preserve">The European Securities and Markets Authority (ESMA) invites responses to the specific questions listed in the ESMA </w:t>
      </w:r>
      <w:r w:rsidR="0060674A" w:rsidRPr="00295156">
        <w:rPr>
          <w:szCs w:val="20"/>
        </w:rPr>
        <w:t xml:space="preserve">Consultation Paper - </w:t>
      </w:r>
      <w:r w:rsidR="00390F5E" w:rsidRPr="00295156">
        <w:rPr>
          <w:szCs w:val="20"/>
        </w:rPr>
        <w:t>Technical Standards under the CSD Regulation</w:t>
      </w:r>
      <w:r w:rsidR="00015B5E" w:rsidRPr="00295156">
        <w:rPr>
          <w:szCs w:val="20"/>
        </w:rPr>
        <w:t>, published on the ESMA website</w:t>
      </w:r>
      <w:r w:rsidR="00330386">
        <w:rPr>
          <w:szCs w:val="20"/>
        </w:rPr>
        <w:t>.</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r w:rsidRPr="00295156">
        <w:rPr>
          <w:rFonts w:cs="Georgia"/>
          <w:b/>
          <w:bCs/>
          <w:i/>
          <w:color w:val="000000"/>
          <w:sz w:val="20"/>
          <w:szCs w:val="20"/>
          <w:lang w:eastAsia="en-GB"/>
        </w:rPr>
        <w:t>Instructions</w:t>
      </w:r>
    </w:p>
    <w:p w:rsidR="00F574D0" w:rsidRPr="00295156" w:rsidRDefault="00D75FEE" w:rsidP="00F574D0">
      <w:pPr>
        <w:pStyle w:val="04BodyText"/>
        <w:spacing w:before="120" w:after="120"/>
        <w:rPr>
          <w:szCs w:val="20"/>
        </w:rPr>
      </w:pPr>
      <w:r w:rsidRPr="00295156">
        <w:rPr>
          <w:szCs w:val="20"/>
        </w:rPr>
        <w:t>Please note that, in order to facilitate the analysis of the large number of responses expected, you are requested to use this file to send your response to ESMA so as to allow us to process it properly. Ther</w:t>
      </w:r>
      <w:r w:rsidRPr="00295156">
        <w:rPr>
          <w:szCs w:val="20"/>
        </w:rPr>
        <w:t>e</w:t>
      </w:r>
      <w:r w:rsidRPr="00295156">
        <w:rPr>
          <w:szCs w:val="20"/>
        </w:rPr>
        <w:t>fore, please follow the instructions described below</w:t>
      </w:r>
      <w:r w:rsidR="00F574D0" w:rsidRPr="00295156">
        <w:rPr>
          <w:szCs w:val="20"/>
        </w:rPr>
        <w:t>:</w:t>
      </w:r>
    </w:p>
    <w:p w:rsidR="00F574D0" w:rsidRPr="00295156" w:rsidRDefault="00F574D0" w:rsidP="00F574D0">
      <w:pPr>
        <w:pStyle w:val="04bList"/>
        <w:numPr>
          <w:ilvl w:val="0"/>
          <w:numId w:val="5"/>
        </w:numPr>
        <w:spacing w:before="120" w:after="120"/>
        <w:ind w:left="720"/>
        <w:rPr>
          <w:szCs w:val="20"/>
        </w:rPr>
      </w:pPr>
      <w:r w:rsidRPr="00295156">
        <w:rPr>
          <w:szCs w:val="20"/>
        </w:rPr>
        <w:t xml:space="preserve">use this </w:t>
      </w:r>
      <w:r w:rsidR="003F5C06" w:rsidRPr="00295156">
        <w:rPr>
          <w:szCs w:val="20"/>
        </w:rPr>
        <w:t>form</w:t>
      </w:r>
      <w:r w:rsidRPr="00295156">
        <w:rPr>
          <w:szCs w:val="20"/>
        </w:rPr>
        <w:t xml:space="preserve"> and send </w:t>
      </w:r>
      <w:r w:rsidR="00D75FEE" w:rsidRPr="00295156">
        <w:rPr>
          <w:szCs w:val="20"/>
        </w:rPr>
        <w:t>your</w:t>
      </w:r>
      <w:r w:rsidRPr="00295156">
        <w:rPr>
          <w:szCs w:val="20"/>
        </w:rPr>
        <w:t xml:space="preserve"> responses in </w:t>
      </w:r>
      <w:r w:rsidRPr="00295156">
        <w:rPr>
          <w:b/>
          <w:szCs w:val="20"/>
        </w:rPr>
        <w:t>Word format</w:t>
      </w:r>
      <w:r w:rsidRPr="00295156">
        <w:rPr>
          <w:szCs w:val="20"/>
        </w:rPr>
        <w:t>;</w:t>
      </w:r>
    </w:p>
    <w:p w:rsidR="00F574D0" w:rsidRPr="00295156" w:rsidRDefault="00D75FEE" w:rsidP="00F574D0">
      <w:pPr>
        <w:pStyle w:val="04bList"/>
        <w:numPr>
          <w:ilvl w:val="0"/>
          <w:numId w:val="5"/>
        </w:numPr>
        <w:spacing w:before="120" w:after="120"/>
        <w:ind w:left="720"/>
        <w:rPr>
          <w:szCs w:val="20"/>
        </w:rPr>
      </w:pPr>
      <w:r w:rsidRPr="00295156">
        <w:rPr>
          <w:szCs w:val="20"/>
        </w:rPr>
        <w:t xml:space="preserve">do </w:t>
      </w:r>
      <w:r w:rsidR="00F574D0" w:rsidRPr="00295156">
        <w:rPr>
          <w:szCs w:val="20"/>
        </w:rPr>
        <w:t>not remove the tags of type &lt;ESMA_QUESTION_</w:t>
      </w:r>
      <w:r w:rsidR="00C8677B" w:rsidRPr="00295156">
        <w:rPr>
          <w:szCs w:val="20"/>
        </w:rPr>
        <w:t>T</w:t>
      </w:r>
      <w:r w:rsidR="00390F5E" w:rsidRPr="00295156">
        <w:rPr>
          <w:szCs w:val="20"/>
        </w:rPr>
        <w:t>S</w:t>
      </w:r>
      <w:r w:rsidR="00A35728" w:rsidRPr="00295156">
        <w:rPr>
          <w:szCs w:val="20"/>
        </w:rPr>
        <w:t>_CSDR</w:t>
      </w:r>
      <w:r w:rsidR="00E9344E" w:rsidRPr="00295156">
        <w:rPr>
          <w:szCs w:val="20"/>
        </w:rPr>
        <w:t>_</w:t>
      </w:r>
      <w:r w:rsidR="00F574D0" w:rsidRPr="00295156">
        <w:rPr>
          <w:szCs w:val="20"/>
        </w:rPr>
        <w:t>1&gt; - i.e. the response to one question has to be framed by the 2 tags corresponding to the question; and</w:t>
      </w:r>
    </w:p>
    <w:p w:rsidR="00F574D0" w:rsidRPr="00295156" w:rsidRDefault="00F574D0" w:rsidP="00F574D0">
      <w:pPr>
        <w:pStyle w:val="04bList"/>
        <w:numPr>
          <w:ilvl w:val="0"/>
          <w:numId w:val="5"/>
        </w:numPr>
        <w:spacing w:before="120" w:after="120"/>
        <w:ind w:left="720"/>
        <w:rPr>
          <w:szCs w:val="20"/>
        </w:rPr>
      </w:pPr>
      <w:r w:rsidRPr="00295156">
        <w:rPr>
          <w:szCs w:val="20"/>
        </w:rPr>
        <w:t xml:space="preserve">if </w:t>
      </w:r>
      <w:r w:rsidR="00D75FEE" w:rsidRPr="00295156">
        <w:rPr>
          <w:szCs w:val="20"/>
        </w:rPr>
        <w:t>you do not have a</w:t>
      </w:r>
      <w:r w:rsidRPr="00295156">
        <w:rPr>
          <w:szCs w:val="20"/>
        </w:rPr>
        <w:t xml:space="preserve"> response to a question, </w:t>
      </w:r>
      <w:r w:rsidR="00D75FEE" w:rsidRPr="00295156">
        <w:rPr>
          <w:szCs w:val="20"/>
        </w:rPr>
        <w:t xml:space="preserve">do </w:t>
      </w:r>
      <w:r w:rsidRPr="00295156">
        <w:rPr>
          <w:szCs w:val="20"/>
        </w:rPr>
        <w:t>not delete it and leave the text “TYPE YOUR TEXT HERE” between the tags.</w:t>
      </w:r>
    </w:p>
    <w:p w:rsidR="00F574D0" w:rsidRPr="00295156" w:rsidRDefault="00F574D0" w:rsidP="00F574D0">
      <w:pPr>
        <w:pStyle w:val="04bList"/>
        <w:numPr>
          <w:ilvl w:val="0"/>
          <w:numId w:val="0"/>
        </w:numPr>
        <w:spacing w:before="120" w:after="120"/>
        <w:rPr>
          <w:szCs w:val="20"/>
        </w:rPr>
      </w:pPr>
      <w:r w:rsidRPr="00295156">
        <w:rPr>
          <w:szCs w:val="20"/>
        </w:rPr>
        <w:t>Responses are most helpful:</w:t>
      </w:r>
    </w:p>
    <w:p w:rsidR="00F574D0" w:rsidRPr="00295156" w:rsidRDefault="00F574D0" w:rsidP="002067BA">
      <w:pPr>
        <w:pStyle w:val="04bList"/>
        <w:numPr>
          <w:ilvl w:val="0"/>
          <w:numId w:val="33"/>
        </w:numPr>
        <w:spacing w:before="120" w:after="120"/>
        <w:rPr>
          <w:szCs w:val="20"/>
        </w:rPr>
      </w:pPr>
      <w:r w:rsidRPr="00295156">
        <w:rPr>
          <w:szCs w:val="20"/>
        </w:rPr>
        <w:t>if they respond to the question stated;</w:t>
      </w:r>
    </w:p>
    <w:p w:rsidR="00F574D0" w:rsidRPr="00295156" w:rsidRDefault="00F574D0" w:rsidP="002067BA">
      <w:pPr>
        <w:pStyle w:val="04bList"/>
        <w:numPr>
          <w:ilvl w:val="0"/>
          <w:numId w:val="33"/>
        </w:numPr>
        <w:spacing w:before="120" w:after="120"/>
        <w:rPr>
          <w:szCs w:val="20"/>
        </w:rPr>
      </w:pPr>
      <w:r w:rsidRPr="00295156">
        <w:rPr>
          <w:szCs w:val="20"/>
        </w:rPr>
        <w:t>contain a clear rationale, including on any related costs and benefits; and</w:t>
      </w:r>
    </w:p>
    <w:p w:rsidR="00A35728" w:rsidRPr="00295156" w:rsidRDefault="00F574D0" w:rsidP="000D17AA">
      <w:pPr>
        <w:pStyle w:val="04bList"/>
        <w:numPr>
          <w:ilvl w:val="0"/>
          <w:numId w:val="33"/>
        </w:numPr>
        <w:spacing w:before="120" w:after="120"/>
        <w:rPr>
          <w:szCs w:val="20"/>
        </w:rPr>
      </w:pPr>
      <w:r w:rsidRPr="00295156">
        <w:rPr>
          <w:szCs w:val="20"/>
        </w:rPr>
        <w:t>describe any alternatives that ESMA should consider</w:t>
      </w:r>
    </w:p>
    <w:p w:rsidR="000D17AA" w:rsidRPr="00295156" w:rsidRDefault="000D17AA" w:rsidP="000D17AA">
      <w:pPr>
        <w:pStyle w:val="04BodyText"/>
        <w:spacing w:before="120" w:after="120"/>
        <w:jc w:val="left"/>
        <w:rPr>
          <w:b/>
          <w:szCs w:val="20"/>
        </w:rPr>
      </w:pPr>
      <w:r w:rsidRPr="00295156">
        <w:rPr>
          <w:b/>
          <w:szCs w:val="20"/>
        </w:rPr>
        <w:t>Naming protocol:</w:t>
      </w:r>
    </w:p>
    <w:p w:rsidR="000D17AA" w:rsidRPr="00295156" w:rsidRDefault="000D17AA" w:rsidP="000D17AA">
      <w:pPr>
        <w:pStyle w:val="04BodyText"/>
        <w:spacing w:before="120" w:after="120"/>
        <w:jc w:val="left"/>
        <w:rPr>
          <w:szCs w:val="20"/>
        </w:rPr>
      </w:pPr>
      <w:r w:rsidRPr="00295156">
        <w:rPr>
          <w:szCs w:val="20"/>
        </w:rPr>
        <w:t>In order to facilitate the handling of stakeholders responses please save your document using the follo</w:t>
      </w:r>
      <w:r w:rsidRPr="00295156">
        <w:rPr>
          <w:szCs w:val="20"/>
        </w:rPr>
        <w:t>w</w:t>
      </w:r>
      <w:r w:rsidRPr="00295156">
        <w:rPr>
          <w:szCs w:val="20"/>
        </w:rPr>
        <w:t>ing format:</w:t>
      </w:r>
    </w:p>
    <w:p w:rsidR="000D17AA" w:rsidRPr="00295156" w:rsidRDefault="000D17AA" w:rsidP="000D17AA">
      <w:pPr>
        <w:pStyle w:val="04BodyText"/>
        <w:spacing w:before="120" w:after="120"/>
        <w:jc w:val="left"/>
        <w:rPr>
          <w:szCs w:val="20"/>
        </w:rPr>
      </w:pPr>
      <w:r w:rsidRPr="00295156">
        <w:rPr>
          <w:szCs w:val="20"/>
        </w:rPr>
        <w:t>ESMA_ TA_CSDR _NAMEOFCOMPANY_NAMEOFDOCUMENT.</w:t>
      </w:r>
    </w:p>
    <w:p w:rsidR="000D17AA" w:rsidRPr="00295156" w:rsidRDefault="000D17AA" w:rsidP="000D17AA">
      <w:pPr>
        <w:pStyle w:val="04BodyText"/>
        <w:spacing w:before="120" w:after="120"/>
        <w:jc w:val="left"/>
        <w:rPr>
          <w:szCs w:val="20"/>
        </w:rPr>
      </w:pPr>
      <w:r w:rsidRPr="00295156">
        <w:rPr>
          <w:szCs w:val="20"/>
        </w:rPr>
        <w:t>E.g. if the respondent were ESMA, the name of the reply form would be ESMA_T</w:t>
      </w:r>
      <w:r w:rsidR="00390F5E" w:rsidRPr="00295156">
        <w:rPr>
          <w:szCs w:val="20"/>
        </w:rPr>
        <w:t>S</w:t>
      </w:r>
      <w:r w:rsidRPr="00295156">
        <w:rPr>
          <w:szCs w:val="20"/>
        </w:rPr>
        <w:t>_CSDR</w:t>
      </w:r>
      <w:r w:rsidR="00390F5E" w:rsidRPr="00295156">
        <w:rPr>
          <w:szCs w:val="20"/>
        </w:rPr>
        <w:t>_AIXX</w:t>
      </w:r>
      <w:r w:rsidRPr="00295156">
        <w:rPr>
          <w:szCs w:val="20"/>
        </w:rPr>
        <w:t>_REPLYFORM or ESMA_</w:t>
      </w:r>
      <w:r w:rsidR="00390F5E" w:rsidRPr="00295156">
        <w:rPr>
          <w:szCs w:val="20"/>
        </w:rPr>
        <w:t>CE_TS_CSDR_AIXX</w:t>
      </w:r>
      <w:r w:rsidRPr="00295156">
        <w:rPr>
          <w:szCs w:val="20"/>
        </w:rPr>
        <w:t>_ANNEX1</w:t>
      </w:r>
    </w:p>
    <w:p w:rsidR="00F574D0" w:rsidRPr="00295156" w:rsidRDefault="00F574D0" w:rsidP="00F574D0">
      <w:pPr>
        <w:pStyle w:val="04BodyText"/>
        <w:spacing w:before="120" w:after="120"/>
        <w:rPr>
          <w:szCs w:val="20"/>
        </w:rPr>
      </w:pPr>
      <w:r w:rsidRPr="00295156">
        <w:rPr>
          <w:szCs w:val="20"/>
        </w:rPr>
        <w:t xml:space="preserve">Responses must reach us </w:t>
      </w:r>
      <w:r w:rsidRPr="007F4106">
        <w:rPr>
          <w:szCs w:val="20"/>
        </w:rPr>
        <w:t xml:space="preserve">by </w:t>
      </w:r>
      <w:r w:rsidR="007F4106" w:rsidRPr="007F4106">
        <w:rPr>
          <w:b/>
          <w:szCs w:val="20"/>
        </w:rPr>
        <w:t>19</w:t>
      </w:r>
      <w:r w:rsidR="00D43F14" w:rsidRPr="007F4106">
        <w:rPr>
          <w:b/>
          <w:szCs w:val="20"/>
        </w:rPr>
        <w:t xml:space="preserve"> </w:t>
      </w:r>
      <w:r w:rsidR="007F4106" w:rsidRPr="007F4106">
        <w:rPr>
          <w:b/>
          <w:szCs w:val="20"/>
        </w:rPr>
        <w:t>February</w:t>
      </w:r>
      <w:r w:rsidR="00D43F14" w:rsidRPr="007F4106">
        <w:rPr>
          <w:b/>
          <w:szCs w:val="20"/>
        </w:rPr>
        <w:t xml:space="preserve"> </w:t>
      </w:r>
      <w:r w:rsidRPr="007F4106">
        <w:rPr>
          <w:b/>
          <w:szCs w:val="20"/>
        </w:rPr>
        <w:t>201</w:t>
      </w:r>
      <w:r w:rsidR="007F4106" w:rsidRPr="007F4106">
        <w:rPr>
          <w:b/>
          <w:szCs w:val="20"/>
        </w:rPr>
        <w:t>5</w:t>
      </w:r>
      <w:r w:rsidRPr="007F4106">
        <w:rPr>
          <w:szCs w:val="20"/>
        </w:rPr>
        <w:t>.</w:t>
      </w:r>
      <w:r w:rsidRPr="00295156">
        <w:rPr>
          <w:szCs w:val="20"/>
        </w:rPr>
        <w:t xml:space="preserve"> </w:t>
      </w:r>
    </w:p>
    <w:p w:rsidR="00F574D0" w:rsidRPr="00295156" w:rsidRDefault="00F574D0" w:rsidP="00F574D0">
      <w:pPr>
        <w:pStyle w:val="04BodyText"/>
        <w:spacing w:before="120" w:after="120"/>
        <w:rPr>
          <w:szCs w:val="20"/>
        </w:rPr>
      </w:pPr>
      <w:r w:rsidRPr="00295156">
        <w:rPr>
          <w:szCs w:val="20"/>
        </w:rPr>
        <w:t xml:space="preserve">All contributions should be submitted online at </w:t>
      </w:r>
      <w:hyperlink r:id="rId12" w:history="1">
        <w:r w:rsidRPr="00295156">
          <w:rPr>
            <w:rStyle w:val="Hiperligao"/>
            <w:szCs w:val="20"/>
          </w:rPr>
          <w:t>www.esma.europa.eu</w:t>
        </w:r>
      </w:hyperlink>
      <w:r w:rsidRPr="00295156">
        <w:rPr>
          <w:szCs w:val="20"/>
        </w:rPr>
        <w:t xml:space="preserve"> under the heading ‘Your i</w:t>
      </w:r>
      <w:r w:rsidRPr="00295156">
        <w:rPr>
          <w:szCs w:val="20"/>
        </w:rPr>
        <w:t>n</w:t>
      </w:r>
      <w:r w:rsidRPr="00295156">
        <w:rPr>
          <w:szCs w:val="20"/>
        </w:rPr>
        <w:t xml:space="preserve">put/Consultations’. </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1" w:name="_Toc335141334"/>
      <w:r w:rsidRPr="00295156">
        <w:rPr>
          <w:rFonts w:cs="Georgia"/>
          <w:b/>
          <w:bCs/>
          <w:i/>
          <w:color w:val="000000"/>
          <w:sz w:val="20"/>
          <w:szCs w:val="20"/>
          <w:lang w:eastAsia="en-GB"/>
        </w:rPr>
        <w:t>Publication of responses</w:t>
      </w:r>
      <w:bookmarkEnd w:id="1"/>
    </w:p>
    <w:p w:rsidR="00F574D0" w:rsidRPr="00295156" w:rsidRDefault="00F574D0" w:rsidP="00F574D0">
      <w:pPr>
        <w:pStyle w:val="04BodyText"/>
        <w:spacing w:before="120" w:after="120"/>
        <w:rPr>
          <w:szCs w:val="20"/>
        </w:rPr>
      </w:pPr>
      <w:r w:rsidRPr="00295156">
        <w:rPr>
          <w:szCs w:val="20"/>
        </w:rPr>
        <w:t xml:space="preserve">All contributions received will be published following the end of the consultation period, unless otherwise requested. </w:t>
      </w:r>
      <w:r w:rsidRPr="00295156">
        <w:rPr>
          <w:b/>
          <w:szCs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5156">
        <w:rPr>
          <w:szCs w:val="20"/>
        </w:rPr>
        <w:t xml:space="preserve"> Note also that a confidential response may be requested from us in accordance with ESMA’s rules on access to doc</w:t>
      </w:r>
      <w:r w:rsidRPr="00295156">
        <w:rPr>
          <w:szCs w:val="20"/>
        </w:rPr>
        <w:t>u</w:t>
      </w:r>
      <w:r w:rsidRPr="00295156">
        <w:rPr>
          <w:szCs w:val="20"/>
        </w:rPr>
        <w:t>ments. We may consult you if we receive such a request. Any decision we make is reviewable by ESMA’s Board of Appeal and the European Ombudsman.</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2" w:name="_Toc335141335"/>
      <w:r w:rsidRPr="00295156">
        <w:rPr>
          <w:rFonts w:cs="Georgia"/>
          <w:b/>
          <w:bCs/>
          <w:i/>
          <w:color w:val="000000"/>
          <w:sz w:val="20"/>
          <w:szCs w:val="20"/>
          <w:lang w:eastAsia="en-GB"/>
        </w:rPr>
        <w:t>Data protection</w:t>
      </w:r>
      <w:bookmarkEnd w:id="2"/>
    </w:p>
    <w:p w:rsidR="00F574D0" w:rsidRPr="00295156" w:rsidRDefault="00F574D0" w:rsidP="00F574D0">
      <w:pPr>
        <w:autoSpaceDE w:val="0"/>
        <w:autoSpaceDN w:val="0"/>
        <w:adjustRightInd w:val="0"/>
        <w:spacing w:before="120" w:after="120" w:line="276" w:lineRule="auto"/>
        <w:jc w:val="both"/>
        <w:rPr>
          <w:sz w:val="20"/>
          <w:szCs w:val="20"/>
        </w:rPr>
      </w:pPr>
      <w:r w:rsidRPr="00295156">
        <w:rPr>
          <w:sz w:val="20"/>
          <w:szCs w:val="20"/>
        </w:rPr>
        <w:t xml:space="preserve">Information on data protection can be found at </w:t>
      </w:r>
      <w:hyperlink r:id="rId13" w:history="1">
        <w:r w:rsidRPr="00295156">
          <w:rPr>
            <w:rStyle w:val="Hiperligao"/>
            <w:sz w:val="20"/>
            <w:szCs w:val="20"/>
          </w:rPr>
          <w:t>www.esma.europa.eu</w:t>
        </w:r>
      </w:hyperlink>
      <w:r w:rsidRPr="00295156">
        <w:rPr>
          <w:sz w:val="20"/>
          <w:szCs w:val="20"/>
        </w:rPr>
        <w:t xml:space="preserve"> under the heading ‘Disclaimer’.</w:t>
      </w:r>
    </w:p>
    <w:bookmarkEnd w:id="0"/>
    <w:p w:rsidR="00473916" w:rsidRDefault="00473916" w:rsidP="00473916"/>
    <w:p w:rsidR="00473916" w:rsidRPr="00473916" w:rsidRDefault="00473916" w:rsidP="00473916"/>
    <w:p w:rsidR="00473916" w:rsidRPr="0026621B" w:rsidRDefault="00473916" w:rsidP="00473916">
      <w:pPr>
        <w:pStyle w:val="Ttulo1"/>
        <w:numPr>
          <w:ilvl w:val="0"/>
          <w:numId w:val="0"/>
        </w:numPr>
        <w:rPr>
          <w:sz w:val="22"/>
          <w:szCs w:val="22"/>
        </w:rPr>
      </w:pPr>
      <w:r w:rsidRPr="0026621B">
        <w:rPr>
          <w:sz w:val="22"/>
          <w:szCs w:val="22"/>
        </w:rPr>
        <w:lastRenderedPageBreak/>
        <w:t>General information about respondent</w:t>
      </w:r>
    </w:p>
    <w:tbl>
      <w:tblPr>
        <w:tblStyle w:val="Tabelacomgrelha"/>
        <w:tblW w:w="0" w:type="auto"/>
        <w:tblLook w:val="04A0"/>
      </w:tblPr>
      <w:tblGrid>
        <w:gridCol w:w="3510"/>
        <w:gridCol w:w="6118"/>
      </w:tblGrid>
      <w:tr w:rsidR="00473916" w:rsidRPr="0026621B" w:rsidTr="00154A34">
        <w:tc>
          <w:tcPr>
            <w:tcW w:w="3510" w:type="dxa"/>
          </w:tcPr>
          <w:p w:rsidR="00473916" w:rsidRPr="0026621B" w:rsidRDefault="00473916" w:rsidP="00154A34">
            <w:pPr>
              <w:rPr>
                <w:rFonts w:cs="Arial"/>
                <w:szCs w:val="22"/>
              </w:rPr>
            </w:pPr>
            <w:r w:rsidRPr="0026621B">
              <w:rPr>
                <w:rFonts w:cs="Arial"/>
                <w:szCs w:val="22"/>
              </w:rPr>
              <w:t>Are you representing an associ</w:t>
            </w:r>
            <w:r w:rsidRPr="0026621B">
              <w:rPr>
                <w:rFonts w:cs="Arial"/>
                <w:szCs w:val="22"/>
              </w:rPr>
              <w:t>a</w:t>
            </w:r>
            <w:r w:rsidRPr="0026621B">
              <w:rPr>
                <w:rFonts w:cs="Arial"/>
                <w:szCs w:val="22"/>
              </w:rPr>
              <w:t>tion?</w:t>
            </w:r>
          </w:p>
        </w:tc>
        <w:tc>
          <w:tcPr>
            <w:tcW w:w="6118" w:type="dxa"/>
          </w:tcPr>
          <w:p w:rsidR="00473916" w:rsidRPr="0026621B" w:rsidRDefault="00612FFD" w:rsidP="00154A34">
            <w:pPr>
              <w:rPr>
                <w:rFonts w:cs="Arial"/>
                <w:szCs w:val="22"/>
              </w:rPr>
            </w:pPr>
            <w:sdt>
              <w:sdtPr>
                <w:rPr>
                  <w:rFonts w:cs="Arial"/>
                  <w:szCs w:val="22"/>
                </w:rPr>
                <w:alias w:val="Association"/>
                <w:tag w:val="Association"/>
                <w:id w:val="-1769143793"/>
                <w:placeholder>
                  <w:docPart w:val="65E85BD11FA34C35ABE725446C5BAEC5"/>
                </w:placeholder>
                <w:comboBox>
                  <w:listItem w:displayText="Yes" w:value="Yes"/>
                  <w:listItem w:displayText="No" w:value="No"/>
                </w:comboBox>
              </w:sdtPr>
              <w:sdtContent>
                <w:permStart w:id="0" w:edGrp="everyone"/>
                <w:r w:rsidR="00A106F3">
                  <w:rPr>
                    <w:rFonts w:cs="Arial"/>
                    <w:szCs w:val="22"/>
                  </w:rPr>
                  <w:t>No</w:t>
                </w:r>
                <w:permEnd w:id="0"/>
              </w:sdtContent>
            </w:sdt>
          </w:p>
        </w:tc>
      </w:tr>
      <w:tr w:rsidR="00473916" w:rsidRPr="0026621B" w:rsidTr="00154A34">
        <w:tc>
          <w:tcPr>
            <w:tcW w:w="3510" w:type="dxa"/>
          </w:tcPr>
          <w:p w:rsidR="00473916" w:rsidRPr="0026621B" w:rsidRDefault="00473916" w:rsidP="00154A34">
            <w:pPr>
              <w:rPr>
                <w:rFonts w:cs="Arial"/>
                <w:szCs w:val="22"/>
              </w:rPr>
            </w:pPr>
            <w:r w:rsidRPr="0026621B">
              <w:rPr>
                <w:rFonts w:cs="Arial"/>
                <w:szCs w:val="22"/>
              </w:rPr>
              <w:t>Activity:</w:t>
            </w:r>
          </w:p>
        </w:tc>
        <w:tc>
          <w:tcPr>
            <w:tcW w:w="6118" w:type="dxa"/>
          </w:tcPr>
          <w:p w:rsidR="00473916" w:rsidRPr="0026621B" w:rsidRDefault="00612FFD" w:rsidP="00154A34">
            <w:pPr>
              <w:rPr>
                <w:rFonts w:cs="Arial"/>
                <w:szCs w:val="22"/>
              </w:rPr>
            </w:pPr>
            <w:sdt>
              <w:sdtPr>
                <w:rPr>
                  <w:rFonts w:cs="Arial"/>
                  <w:szCs w:val="22"/>
                </w:rPr>
                <w:alias w:val="Activity"/>
                <w:tag w:val="Activity"/>
                <w:id w:val="1654095920"/>
                <w:placeholder>
                  <w:docPart w:val="98048A7DD8DF4A6B8C6CF00D9B1940F8"/>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Content>
                <w:permStart w:id="1" w:edGrp="everyone"/>
                <w:r w:rsidR="00A106F3">
                  <w:rPr>
                    <w:rFonts w:cs="Arial"/>
                    <w:szCs w:val="22"/>
                  </w:rPr>
                  <w:t xml:space="preserve">Central Securities Depository </w:t>
                </w:r>
                <w:r w:rsidR="00271C56">
                  <w:rPr>
                    <w:rFonts w:cs="Arial"/>
                    <w:szCs w:val="22"/>
                  </w:rPr>
                  <w:t>(</w:t>
                </w:r>
                <w:r w:rsidR="00A106F3">
                  <w:rPr>
                    <w:rFonts w:cs="Arial"/>
                    <w:szCs w:val="22"/>
                  </w:rPr>
                  <w:t>and Trading Venue</w:t>
                </w:r>
                <w:r w:rsidR="00271C56">
                  <w:rPr>
                    <w:rFonts w:cs="Arial"/>
                    <w:szCs w:val="22"/>
                  </w:rPr>
                  <w:t>)</w:t>
                </w:r>
                <w:permEnd w:id="1"/>
              </w:sdtContent>
            </w:sdt>
          </w:p>
        </w:tc>
      </w:tr>
      <w:tr w:rsidR="00473916" w:rsidRPr="0026621B" w:rsidTr="00154A34">
        <w:tc>
          <w:tcPr>
            <w:tcW w:w="3510" w:type="dxa"/>
          </w:tcPr>
          <w:p w:rsidR="00473916" w:rsidRPr="0026621B" w:rsidRDefault="00473916" w:rsidP="00154A34">
            <w:pPr>
              <w:rPr>
                <w:rFonts w:cs="Arial"/>
                <w:szCs w:val="22"/>
              </w:rPr>
            </w:pPr>
            <w:r w:rsidRPr="0026621B">
              <w:rPr>
                <w:rFonts w:cs="Arial"/>
                <w:szCs w:val="22"/>
              </w:rPr>
              <w:t>Country/Region</w:t>
            </w:r>
          </w:p>
        </w:tc>
        <w:sdt>
          <w:sdtPr>
            <w:rPr>
              <w:rFonts w:cs="Arial"/>
              <w:szCs w:val="22"/>
            </w:rPr>
            <w:alias w:val="Country"/>
            <w:tag w:val="Country"/>
            <w:id w:val="-1549134410"/>
            <w:placeholder>
              <w:docPart w:val="5EAC301EA3224F67909AA00721C3F8B7"/>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473916" w:rsidRPr="0026621B" w:rsidRDefault="00A106F3" w:rsidP="00154A34">
                <w:pPr>
                  <w:rPr>
                    <w:rFonts w:cs="Arial"/>
                    <w:szCs w:val="22"/>
                  </w:rPr>
                </w:pPr>
                <w:r>
                  <w:rPr>
                    <w:rFonts w:cs="Arial"/>
                    <w:szCs w:val="22"/>
                  </w:rPr>
                  <w:t xml:space="preserve">Portugal (and other </w:t>
                </w:r>
                <w:proofErr w:type="spellStart"/>
                <w:r>
                  <w:rPr>
                    <w:rFonts w:cs="Arial"/>
                    <w:szCs w:val="22"/>
                  </w:rPr>
                  <w:t>Euronext</w:t>
                </w:r>
                <w:proofErr w:type="spellEnd"/>
                <w:r>
                  <w:rPr>
                    <w:rFonts w:cs="Arial"/>
                    <w:szCs w:val="22"/>
                  </w:rPr>
                  <w:t xml:space="preserve"> locations</w:t>
                </w:r>
              </w:p>
            </w:tc>
            <w:permEnd w:id="2" w:displacedByCustomXml="next"/>
          </w:sdtContent>
        </w:sdt>
      </w:tr>
    </w:tbl>
    <w:p w:rsidR="007F4106" w:rsidRDefault="007F4106">
      <w:pPr>
        <w:rPr>
          <w:b/>
        </w:rPr>
      </w:pPr>
      <w:r>
        <w:br w:type="page"/>
      </w:r>
    </w:p>
    <w:p w:rsidR="00D12AFD" w:rsidRDefault="00D12AFD" w:rsidP="00965B03">
      <w:pPr>
        <w:pStyle w:val="Ttulo5"/>
        <w:ind w:left="567" w:hanging="567"/>
      </w:pPr>
      <w:r w:rsidRPr="002C4F00">
        <w:lastRenderedPageBreak/>
        <w:t>Do you think the proposed timeframes for allocations and confirmations under Article 2 of the RTS on Settlement Discipline are adequate?</w:t>
      </w:r>
    </w:p>
    <w:p w:rsidR="00D12AFD" w:rsidRPr="002C4F00" w:rsidRDefault="00D12AFD" w:rsidP="00BA1DEE">
      <w:pPr>
        <w:pStyle w:val="Ttulo5"/>
        <w:numPr>
          <w:ilvl w:val="0"/>
          <w:numId w:val="0"/>
        </w:numPr>
        <w:ind w:left="567"/>
      </w:pPr>
      <w:r w:rsidRPr="002C4F00">
        <w:t>If not, what would be feasible timeframes in your opinion?</w:t>
      </w:r>
    </w:p>
    <w:p w:rsidR="00D12AFD" w:rsidRDefault="00D12AFD" w:rsidP="00BA1DEE">
      <w:pPr>
        <w:ind w:left="567"/>
      </w:pPr>
    </w:p>
    <w:p w:rsidR="00D12AFD" w:rsidRPr="002C4F00" w:rsidRDefault="00D12AFD" w:rsidP="00BA1DEE">
      <w:pPr>
        <w:pStyle w:val="Ttulo5"/>
        <w:numPr>
          <w:ilvl w:val="0"/>
          <w:numId w:val="0"/>
        </w:numPr>
        <w:ind w:left="567"/>
      </w:pPr>
      <w:r w:rsidRPr="002C4F00">
        <w:t>Please provide details and arguments in case you envisage any technical difficulties in complying with the proposed timeframes.</w:t>
      </w:r>
    </w:p>
    <w:p w:rsidR="00D12AFD" w:rsidRDefault="00D12AFD" w:rsidP="00D12AFD"/>
    <w:p w:rsidR="00D12AFD" w:rsidRDefault="00D12AFD" w:rsidP="00D12AFD">
      <w:r>
        <w:t>&lt;ESMA_QUESTION_TS_CSDR_1&gt;</w:t>
      </w:r>
    </w:p>
    <w:p w:rsidR="00264558" w:rsidRPr="002417C1" w:rsidRDefault="00264558" w:rsidP="00264558">
      <w:pPr>
        <w:pStyle w:val="Default"/>
        <w:spacing w:line="360" w:lineRule="auto"/>
        <w:jc w:val="both"/>
        <w:rPr>
          <w:rFonts w:ascii="Times New Roman" w:hAnsi="Times New Roman" w:cs="Times New Roman"/>
          <w:bCs/>
          <w:color w:val="auto"/>
          <w:lang w:val="en-US"/>
        </w:rPr>
      </w:pPr>
      <w:permStart w:id="3" w:edGrp="everyone"/>
      <w:r w:rsidRPr="002417C1">
        <w:rPr>
          <w:rFonts w:ascii="Times New Roman" w:hAnsi="Times New Roman" w:cs="Times New Roman"/>
          <w:bCs/>
          <w:color w:val="auto"/>
          <w:lang w:val="en-US"/>
        </w:rPr>
        <w:t>In what concerns article 2 of the draft Regulatory Technical Standards on Settlement Discipline (RTS on SD), on “</w:t>
      </w:r>
      <w:r w:rsidRPr="002417C1">
        <w:rPr>
          <w:rFonts w:ascii="Times New Roman" w:hAnsi="Times New Roman" w:cs="Times New Roman"/>
          <w:bCs/>
          <w:i/>
          <w:color w:val="auto"/>
          <w:lang w:val="en-US"/>
        </w:rPr>
        <w:t>Measures to be taken by investment firms to limit the number of settlement fails in accordance with Article 6 (2) of Regulation (EU) no. 909/2014</w:t>
      </w:r>
      <w:r w:rsidRPr="002417C1">
        <w:rPr>
          <w:rFonts w:ascii="Times New Roman" w:hAnsi="Times New Roman" w:cs="Times New Roman"/>
          <w:bCs/>
          <w:color w:val="auto"/>
          <w:lang w:val="en-US"/>
        </w:rPr>
        <w:t xml:space="preserve">” (the CSDR), the only comment regards paragraph (2) and the fields established </w:t>
      </w:r>
      <w:r w:rsidRPr="002417C1">
        <w:rPr>
          <w:rFonts w:ascii="Times New Roman" w:hAnsi="Times New Roman" w:cs="Times New Roman"/>
          <w:color w:val="auto"/>
          <w:lang w:val="en-US"/>
        </w:rPr>
        <w:t>for the purpose of trade confirmation. We consider that these fields should be established in accordance with the ones required to the settlement of the transaction in order to allow consistency in the transaction processing.</w:t>
      </w:r>
    </w:p>
    <w:permEnd w:id="3"/>
    <w:p w:rsidR="00D12AFD" w:rsidRDefault="00D12AFD" w:rsidP="00D12AFD">
      <w:r>
        <w:t>&lt;ESMA_QUESTION_TS_CSDR_1&gt;</w:t>
      </w:r>
    </w:p>
    <w:p w:rsidR="00D12AFD" w:rsidRDefault="00D12AFD" w:rsidP="00B874B2">
      <w:pPr>
        <w:pStyle w:val="Ttulo5"/>
        <w:ind w:left="567" w:hanging="567"/>
        <w:rPr>
          <w:color w:val="000000"/>
          <w:lang w:eastAsia="en-GB"/>
        </w:rPr>
      </w:pPr>
      <w:r w:rsidRPr="002C4F00">
        <w:rPr>
          <w:color w:val="000000"/>
          <w:lang w:eastAsia="en-GB"/>
        </w:rPr>
        <w:t>Do you agree with the cases when matching would not be necessary, as specified under Article 3(2) of the draft RTS?</w:t>
      </w:r>
    </w:p>
    <w:p w:rsidR="00D12AFD" w:rsidRPr="00D12AFD" w:rsidRDefault="00D12AFD" w:rsidP="00BA1DEE">
      <w:pPr>
        <w:pStyle w:val="Ttulo5"/>
        <w:numPr>
          <w:ilvl w:val="0"/>
          <w:numId w:val="0"/>
        </w:numPr>
        <w:ind w:left="567"/>
        <w:rPr>
          <w:color w:val="000000"/>
          <w:lang w:eastAsia="en-GB"/>
        </w:rPr>
      </w:pPr>
      <w:r w:rsidRPr="00D12AFD">
        <w:rPr>
          <w:color w:val="000000"/>
          <w:lang w:eastAsia="en-GB"/>
        </w:rPr>
        <w:t>Should other cases be included? Please provide details and evidence for any pr</w:t>
      </w:r>
      <w:r w:rsidRPr="00D12AFD">
        <w:rPr>
          <w:color w:val="000000"/>
          <w:lang w:eastAsia="en-GB"/>
        </w:rPr>
        <w:t>o</w:t>
      </w:r>
      <w:r w:rsidRPr="00D12AFD">
        <w:rPr>
          <w:color w:val="000000"/>
          <w:lang w:eastAsia="en-GB"/>
        </w:rPr>
        <w:t>posed case.</w:t>
      </w:r>
    </w:p>
    <w:p w:rsidR="00D12AFD" w:rsidRDefault="00D12AFD" w:rsidP="00D12AFD"/>
    <w:p w:rsidR="00D12AFD" w:rsidRDefault="00D12AFD" w:rsidP="00D12AFD">
      <w:r>
        <w:t>&lt;ESMA_QUESTION_TS_CSDR_2&gt;</w:t>
      </w:r>
    </w:p>
    <w:p w:rsidR="00264558" w:rsidRPr="002417C1" w:rsidRDefault="00264558" w:rsidP="00264558">
      <w:pPr>
        <w:pStyle w:val="Default"/>
        <w:spacing w:line="360" w:lineRule="auto"/>
        <w:jc w:val="both"/>
        <w:rPr>
          <w:rFonts w:ascii="Times New Roman" w:hAnsi="Times New Roman" w:cs="Times New Roman"/>
          <w:color w:val="auto"/>
          <w:lang w:val="en-US"/>
        </w:rPr>
      </w:pPr>
      <w:permStart w:id="4" w:edGrp="everyone"/>
      <w:r w:rsidRPr="002417C1">
        <w:rPr>
          <w:rFonts w:ascii="Times New Roman" w:hAnsi="Times New Roman" w:cs="Times New Roman"/>
          <w:color w:val="auto"/>
          <w:lang w:val="en-US"/>
        </w:rPr>
        <w:t>We agree with ESMA that, as a general rule, matching settlement instructions prior to settlement, based on the instructions sent by participants, should be mandatory, allowing, nevertheless some exceptions.</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Nevertheless, we understand that the list of exceptions should not be a closed or mandatory list. </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Actually, we understand (as referred previously in our response to ESMA Discussion Paper) that some exceptions should be allowed, such as the ones referred in the consultation paper, related to settlement instructions received by the CSD already matched or for instructions involving the accounts of the same CSD participant. But we believe that some other situations do not require a matching process, such as the instructions in the context of corporate actions processing, or some instruction related to insolvency proceedings as a result of a Court or administrative order. We would like to point out that, in what concerns the exemption referred in Article 3, §2 (b) of the draft RTS on SD, presently, </w:t>
      </w:r>
      <w:proofErr w:type="spellStart"/>
      <w:r w:rsidRPr="002417C1">
        <w:rPr>
          <w:rFonts w:ascii="Times New Roman" w:hAnsi="Times New Roman"/>
          <w:sz w:val="24"/>
          <w:lang w:val="en-US"/>
        </w:rPr>
        <w:t>FoP</w:t>
      </w:r>
      <w:proofErr w:type="spellEnd"/>
      <w:r w:rsidRPr="002417C1">
        <w:rPr>
          <w:rFonts w:ascii="Times New Roman" w:hAnsi="Times New Roman"/>
          <w:sz w:val="24"/>
          <w:lang w:val="en-US"/>
        </w:rPr>
        <w:t xml:space="preserve"> instructions (in general and not only the ones occurred between the accounts of the same participant) do not always require matching and this would constitute a change in market practice for </w:t>
      </w:r>
      <w:proofErr w:type="spellStart"/>
      <w:r w:rsidRPr="002417C1">
        <w:rPr>
          <w:rFonts w:ascii="Times New Roman" w:hAnsi="Times New Roman"/>
          <w:sz w:val="24"/>
          <w:lang w:val="en-US"/>
        </w:rPr>
        <w:t>Interbolsa’s</w:t>
      </w:r>
      <w:proofErr w:type="spellEnd"/>
      <w:r w:rsidRPr="002417C1">
        <w:rPr>
          <w:rFonts w:ascii="Times New Roman" w:hAnsi="Times New Roman"/>
          <w:sz w:val="24"/>
          <w:lang w:val="en-US"/>
        </w:rPr>
        <w:t xml:space="preserve"> participants.  </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As a conclusion, we consider the technical standard should give enough flexibility to the CSDs to decide, considering the circumstances and condition of each situation and attending to the eff</w:t>
      </w:r>
      <w:r w:rsidRPr="002417C1">
        <w:rPr>
          <w:rFonts w:ascii="Times New Roman" w:hAnsi="Times New Roman"/>
          <w:sz w:val="24"/>
          <w:lang w:val="en-US"/>
        </w:rPr>
        <w:t>i</w:t>
      </w:r>
      <w:r w:rsidRPr="002417C1">
        <w:rPr>
          <w:rFonts w:ascii="Times New Roman" w:hAnsi="Times New Roman"/>
          <w:sz w:val="24"/>
          <w:lang w:val="en-US"/>
        </w:rPr>
        <w:t>ciency of the settlement:</w:t>
      </w:r>
    </w:p>
    <w:p w:rsidR="00264558" w:rsidRPr="002417C1" w:rsidRDefault="00264558" w:rsidP="00C947F5">
      <w:pPr>
        <w:pStyle w:val="PargrafodaLista"/>
        <w:numPr>
          <w:ilvl w:val="0"/>
          <w:numId w:val="34"/>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Which other situations will not require matching, subject to the approval of the competent authority (we propose not a close list of situations); or</w:t>
      </w:r>
    </w:p>
    <w:p w:rsidR="00264558" w:rsidRPr="002417C1" w:rsidRDefault="00264558" w:rsidP="00C947F5">
      <w:pPr>
        <w:pStyle w:val="PargrafodaLista"/>
        <w:numPr>
          <w:ilvl w:val="0"/>
          <w:numId w:val="34"/>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To allow matching even in the cases mentioned under article 3, §2 (a) and (b) of the draft RTS on SD (we propose not a mandatory list of exemptions).</w:t>
      </w:r>
    </w:p>
    <w:permEnd w:id="4"/>
    <w:p w:rsidR="00D12AFD" w:rsidRDefault="00D12AFD" w:rsidP="00D12AFD">
      <w:r>
        <w:t>&lt;ESMA_QUESTION_TS_CSDR_2&gt;</w:t>
      </w:r>
    </w:p>
    <w:p w:rsidR="00D12AFD" w:rsidRDefault="00D12AFD" w:rsidP="00965B03">
      <w:pPr>
        <w:pStyle w:val="Ttulo5"/>
        <w:ind w:left="567" w:hanging="567"/>
      </w:pPr>
      <w:r w:rsidRPr="002C4F00">
        <w:t xml:space="preserve">What are your views on the proposed approach under Article 3(11) of the draft RTS included in Chapter II of Annex I? </w:t>
      </w:r>
    </w:p>
    <w:p w:rsidR="00D12AFD" w:rsidRDefault="00D12AFD" w:rsidP="00BA1DEE">
      <w:pPr>
        <w:pStyle w:val="Ttulo5"/>
        <w:numPr>
          <w:ilvl w:val="0"/>
          <w:numId w:val="0"/>
        </w:numPr>
        <w:ind w:left="567"/>
      </w:pPr>
      <w:r w:rsidRPr="002C4F00">
        <w:t>Do you think that the 0.5% settlement fails threshold (i.e. 99.5% settlement efficiency rate) is adequate? If not, what would be an adequate threshold? Please provide d</w:t>
      </w:r>
      <w:r w:rsidRPr="002C4F00">
        <w:t>e</w:t>
      </w:r>
      <w:r w:rsidRPr="002C4F00">
        <w:t>tails and arguments.</w:t>
      </w:r>
    </w:p>
    <w:p w:rsidR="00D12AFD" w:rsidRPr="002C4F00" w:rsidRDefault="00D12AFD" w:rsidP="00BA1DEE">
      <w:pPr>
        <w:pStyle w:val="Ttulo5"/>
        <w:numPr>
          <w:ilvl w:val="0"/>
          <w:numId w:val="0"/>
        </w:numPr>
        <w:ind w:left="567"/>
      </w:pPr>
      <w:r w:rsidRPr="002C4F00">
        <w:t xml:space="preserve">Do you think that the 2,5 billion EUR/year in terms of the value of settlement </w:t>
      </w:r>
      <w:r w:rsidR="00851A83">
        <w:rPr>
          <w:rFonts w:cstheme="minorHAnsi"/>
          <w:szCs w:val="22"/>
        </w:rPr>
        <w:t>fails for a</w:t>
      </w:r>
      <w:r w:rsidR="00851A83" w:rsidRPr="00567AB7">
        <w:rPr>
          <w:rFonts w:cstheme="minorHAnsi"/>
          <w:szCs w:val="22"/>
        </w:rPr>
        <w:t xml:space="preserve"> securities settlement system operated</w:t>
      </w:r>
      <w:r w:rsidRPr="002C4F00">
        <w:t xml:space="preserve"> by a CSD is adequate? If not, what would be an adequate threshold? Please provide details and arguments.</w:t>
      </w:r>
    </w:p>
    <w:p w:rsidR="00D12AFD" w:rsidRDefault="00D12AFD" w:rsidP="00D12AFD"/>
    <w:p w:rsidR="00D12AFD" w:rsidRDefault="00D12AFD" w:rsidP="00D12AFD">
      <w:r>
        <w:t>&lt;ESMA_QUESTION_TS_CSDR_3&gt;</w:t>
      </w:r>
    </w:p>
    <w:p w:rsidR="00264558" w:rsidRPr="002417C1" w:rsidRDefault="00264558" w:rsidP="00264558">
      <w:pPr>
        <w:pStyle w:val="Default"/>
        <w:spacing w:line="360" w:lineRule="auto"/>
        <w:jc w:val="both"/>
        <w:rPr>
          <w:rFonts w:ascii="Times New Roman" w:hAnsi="Times New Roman" w:cs="Times New Roman"/>
          <w:bCs/>
          <w:color w:val="auto"/>
          <w:lang w:val="en-US"/>
        </w:rPr>
      </w:pPr>
      <w:permStart w:id="5" w:edGrp="everyone"/>
      <w:r w:rsidRPr="002417C1">
        <w:rPr>
          <w:rFonts w:ascii="Times New Roman" w:hAnsi="Times New Roman" w:cs="Times New Roman"/>
          <w:bCs/>
          <w:color w:val="auto"/>
          <w:lang w:val="en-US"/>
        </w:rPr>
        <w:t>In line with T2S AG response to ESMA public consultation, we also consider that there should not exist any regulatory rule allowing the opt-out of certain CSDs from the recycling process, to avoid legal uncertainty namely in case of cross-CSD settlement. As a result, the recycling fun</w:t>
      </w:r>
      <w:r w:rsidRPr="002417C1">
        <w:rPr>
          <w:rFonts w:ascii="Times New Roman" w:hAnsi="Times New Roman" w:cs="Times New Roman"/>
          <w:bCs/>
          <w:color w:val="auto"/>
          <w:lang w:val="en-US"/>
        </w:rPr>
        <w:t>c</w:t>
      </w:r>
      <w:r w:rsidRPr="002417C1">
        <w:rPr>
          <w:rFonts w:ascii="Times New Roman" w:hAnsi="Times New Roman" w:cs="Times New Roman"/>
          <w:bCs/>
          <w:color w:val="auto"/>
          <w:lang w:val="en-US"/>
        </w:rPr>
        <w:t xml:space="preserve">tionality should be removed from the exemption under article 3, §11 of the draft RTS on SD. </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On the other hand, ESMA should be aware (as also point out in T2S AG response) that there is no T2S functionality for opt-out of the recycling process in the current specification of the project that will be applied, by default, to all instructions in T2S and to all CSDs in T2S. Any exemption should be handled manually out of T2S platform with all inherent risks associated to that manual intervention. </w:t>
      </w:r>
    </w:p>
    <w:permEnd w:id="5"/>
    <w:p w:rsidR="00D12AFD" w:rsidRDefault="00D12AFD" w:rsidP="00D12AFD">
      <w:r>
        <w:t>&lt;ESMA_QUESTION_TS_CSDR_3&gt;</w:t>
      </w:r>
    </w:p>
    <w:p w:rsidR="00D12AFD" w:rsidRPr="002C4F00" w:rsidRDefault="00D12AFD" w:rsidP="00965B03">
      <w:pPr>
        <w:pStyle w:val="Ttulo5"/>
        <w:ind w:left="567" w:hanging="567"/>
      </w:pPr>
      <w:r w:rsidRPr="002C4F00">
        <w:t>What are your views on the proposed draft RTS included in Chapter II of Annex I?</w:t>
      </w:r>
    </w:p>
    <w:p w:rsidR="00D12AFD" w:rsidRDefault="00D12AFD" w:rsidP="00D12AFD"/>
    <w:p w:rsidR="00D12AFD" w:rsidRDefault="00D12AFD" w:rsidP="00D12AFD">
      <w:r>
        <w:t>&lt;ESMA_QUESTION_TS_CSDR_4&gt;</w:t>
      </w:r>
    </w:p>
    <w:p w:rsidR="00264558" w:rsidRPr="002417C1" w:rsidRDefault="00264558" w:rsidP="00264558">
      <w:pPr>
        <w:pStyle w:val="Default"/>
        <w:spacing w:line="360" w:lineRule="auto"/>
        <w:jc w:val="both"/>
        <w:rPr>
          <w:rFonts w:ascii="Times New Roman" w:hAnsi="Times New Roman" w:cs="Times New Roman"/>
          <w:i/>
          <w:color w:val="auto"/>
          <w:lang w:val="en-US"/>
        </w:rPr>
      </w:pPr>
      <w:permStart w:id="6" w:edGrp="everyone"/>
      <w:r w:rsidRPr="002417C1">
        <w:rPr>
          <w:rFonts w:ascii="Times New Roman" w:hAnsi="Times New Roman" w:cs="Times New Roman"/>
          <w:i/>
          <w:color w:val="auto"/>
          <w:lang w:val="en-US"/>
        </w:rPr>
        <w:t>Manual Intervention</w:t>
      </w:r>
    </w:p>
    <w:p w:rsidR="00264558" w:rsidRPr="002417C1" w:rsidRDefault="00264558" w:rsidP="00264558">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color w:val="auto"/>
          <w:lang w:val="en-US"/>
        </w:rPr>
        <w:t>We agree with ESMA that in order to facilitate STP, a CSD should process settlement instru</w:t>
      </w:r>
      <w:r w:rsidRPr="002417C1">
        <w:rPr>
          <w:rFonts w:ascii="Times New Roman" w:hAnsi="Times New Roman" w:cs="Times New Roman"/>
          <w:color w:val="auto"/>
          <w:lang w:val="en-US"/>
        </w:rPr>
        <w:t>c</w:t>
      </w:r>
      <w:r w:rsidRPr="002417C1">
        <w:rPr>
          <w:rFonts w:ascii="Times New Roman" w:hAnsi="Times New Roman" w:cs="Times New Roman"/>
          <w:color w:val="auto"/>
          <w:lang w:val="en-US"/>
        </w:rPr>
        <w:t>tions on an automated basis. This will allow to increase efficiency on the processing of settlement instructions and to reduce operational risk.</w:t>
      </w:r>
    </w:p>
    <w:p w:rsidR="00264558" w:rsidRPr="002417C1" w:rsidRDefault="00264558" w:rsidP="00264558">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color w:val="auto"/>
          <w:lang w:val="en-US"/>
        </w:rPr>
        <w:lastRenderedPageBreak/>
        <w:t>We also agree that manual intervention should be used on very limited situations. Nevertheless, we consider that occasionally, manual interventions can be necessary, namely, (</w:t>
      </w:r>
      <w:proofErr w:type="spellStart"/>
      <w:r w:rsidRPr="002417C1">
        <w:rPr>
          <w:rFonts w:ascii="Times New Roman" w:hAnsi="Times New Roman" w:cs="Times New Roman"/>
          <w:color w:val="auto"/>
          <w:lang w:val="en-US"/>
        </w:rPr>
        <w:t>i</w:t>
      </w:r>
      <w:proofErr w:type="spellEnd"/>
      <w:r w:rsidRPr="002417C1">
        <w:rPr>
          <w:rFonts w:ascii="Times New Roman" w:hAnsi="Times New Roman" w:cs="Times New Roman"/>
          <w:color w:val="auto"/>
          <w:lang w:val="en-US"/>
        </w:rPr>
        <w:t xml:space="preserve">) for CSDs to perform corrective procedures; (ii) for participants to amend OTC instructions after matching (possible for some identified fields, such as partial settlement, linked instructions and priority). </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We believe that establishing the need to report to the competent authority “</w:t>
      </w:r>
      <w:r w:rsidRPr="002417C1">
        <w:rPr>
          <w:rFonts w:ascii="Times New Roman" w:hAnsi="Times New Roman"/>
          <w:i/>
          <w:sz w:val="24"/>
          <w:lang w:val="en-US"/>
        </w:rPr>
        <w:t>any types of manual intervention</w:t>
      </w:r>
      <w:r w:rsidRPr="002417C1">
        <w:rPr>
          <w:rFonts w:ascii="Times New Roman" w:hAnsi="Times New Roman"/>
          <w:sz w:val="24"/>
          <w:lang w:val="en-US"/>
        </w:rPr>
        <w:t>”, “</w:t>
      </w:r>
      <w:r w:rsidRPr="002417C1">
        <w:rPr>
          <w:rFonts w:ascii="Times New Roman" w:hAnsi="Times New Roman"/>
          <w:i/>
          <w:sz w:val="24"/>
          <w:lang w:val="en-US"/>
        </w:rPr>
        <w:t>without any delay</w:t>
      </w:r>
      <w:r w:rsidRPr="002417C1">
        <w:rPr>
          <w:rFonts w:ascii="Times New Roman" w:hAnsi="Times New Roman"/>
          <w:sz w:val="24"/>
          <w:lang w:val="en-US"/>
        </w:rPr>
        <w:t xml:space="preserve">” reduces CSDs flexibility. CSDs, as self-regulated institutions, should have full discretion as to decide when manual intervention is necessary, namely in order to increase settlement efficiency and the information to the competent authority should be given within a practical period of time. We also agree with the suggestions referred by ECSDA namely, the disclosure to the competent authority of the description of the manual interventions set out in the operating manual, and, if considered necessary, the periodical report of aggregate figures on the manual interventions that take place in line with the CSD’s operating procedures. </w:t>
      </w:r>
    </w:p>
    <w:p w:rsidR="00264558" w:rsidRPr="002417C1" w:rsidRDefault="00264558" w:rsidP="00264558">
      <w:pPr>
        <w:pStyle w:val="Default"/>
        <w:spacing w:line="360" w:lineRule="auto"/>
        <w:jc w:val="both"/>
        <w:rPr>
          <w:rFonts w:ascii="Times New Roman" w:hAnsi="Times New Roman" w:cs="Times New Roman"/>
          <w:b/>
          <w:i/>
          <w:iCs/>
          <w:color w:val="auto"/>
          <w:lang w:val="en-US"/>
        </w:rPr>
      </w:pPr>
    </w:p>
    <w:p w:rsidR="00264558" w:rsidRPr="002417C1" w:rsidRDefault="00264558" w:rsidP="00264558">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i/>
          <w:iCs/>
          <w:color w:val="auto"/>
          <w:lang w:val="en-US"/>
        </w:rPr>
        <w:t xml:space="preserve">Communication procedures and standards to ensure straight through processing ("STP") </w:t>
      </w:r>
    </w:p>
    <w:p w:rsidR="00264558" w:rsidRPr="002417C1" w:rsidRDefault="00264558" w:rsidP="00264558">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color w:val="auto"/>
          <w:lang w:val="en-US"/>
        </w:rPr>
        <w:t>We welcome the position of ESMA on this issue in deciding not to include additional requir</w:t>
      </w:r>
      <w:r w:rsidRPr="002417C1">
        <w:rPr>
          <w:rFonts w:ascii="Times New Roman" w:hAnsi="Times New Roman" w:cs="Times New Roman"/>
          <w:color w:val="auto"/>
          <w:lang w:val="en-US"/>
        </w:rPr>
        <w:t>e</w:t>
      </w:r>
      <w:r w:rsidRPr="002417C1">
        <w:rPr>
          <w:rFonts w:ascii="Times New Roman" w:hAnsi="Times New Roman" w:cs="Times New Roman"/>
          <w:color w:val="auto"/>
          <w:lang w:val="en-US"/>
        </w:rPr>
        <w:t>ments in the draft technical standards regarding the communication procedures and standards to ensure STP, having in consideration that the final text of CSDR (Article 35 CSDR) already obli</w:t>
      </w:r>
      <w:r w:rsidRPr="002417C1">
        <w:rPr>
          <w:rFonts w:ascii="Times New Roman" w:hAnsi="Times New Roman" w:cs="Times New Roman"/>
          <w:color w:val="auto"/>
          <w:lang w:val="en-US"/>
        </w:rPr>
        <w:t>g</w:t>
      </w:r>
      <w:r w:rsidRPr="002417C1">
        <w:rPr>
          <w:rFonts w:ascii="Times New Roman" w:hAnsi="Times New Roman" w:cs="Times New Roman"/>
          <w:color w:val="auto"/>
          <w:lang w:val="en-US"/>
        </w:rPr>
        <w:t>es CSDs to use international open communication procedures and standards for messaging and reference data.</w:t>
      </w:r>
    </w:p>
    <w:p w:rsidR="00264558" w:rsidRPr="002417C1" w:rsidRDefault="00264558" w:rsidP="00264558">
      <w:pPr>
        <w:pStyle w:val="Default"/>
        <w:spacing w:line="360" w:lineRule="auto"/>
        <w:jc w:val="both"/>
        <w:rPr>
          <w:rFonts w:ascii="Times New Roman" w:hAnsi="Times New Roman" w:cs="Times New Roman"/>
          <w:b/>
          <w:bCs/>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Continuous matching</w:t>
      </w:r>
    </w:p>
    <w:p w:rsidR="00264558" w:rsidRPr="002417C1" w:rsidRDefault="00264558" w:rsidP="00264558">
      <w:pPr>
        <w:pStyle w:val="Default"/>
        <w:spacing w:line="360" w:lineRule="auto"/>
        <w:jc w:val="both"/>
        <w:rPr>
          <w:rFonts w:ascii="Times New Roman" w:hAnsi="Times New Roman" w:cs="Times New Roman"/>
          <w:bCs/>
          <w:color w:val="auto"/>
          <w:lang w:val="en-US"/>
        </w:rPr>
      </w:pPr>
      <w:proofErr w:type="spellStart"/>
      <w:r w:rsidRPr="002417C1">
        <w:rPr>
          <w:rFonts w:ascii="Times New Roman" w:hAnsi="Times New Roman" w:cs="Times New Roman"/>
          <w:bCs/>
          <w:color w:val="auto"/>
          <w:lang w:val="en-US"/>
        </w:rPr>
        <w:t>Interbolsa</w:t>
      </w:r>
      <w:proofErr w:type="spellEnd"/>
      <w:r w:rsidRPr="002417C1">
        <w:rPr>
          <w:rFonts w:ascii="Times New Roman" w:hAnsi="Times New Roman" w:cs="Times New Roman"/>
          <w:bCs/>
          <w:color w:val="auto"/>
          <w:lang w:val="en-US"/>
        </w:rPr>
        <w:t xml:space="preserve"> supports ESMA proposal that the matching of settlement instructions by CSDs should be fully automated and occur continuously throughout each business day.</w:t>
      </w:r>
    </w:p>
    <w:p w:rsidR="00264558" w:rsidRPr="002417C1" w:rsidRDefault="00264558" w:rsidP="00264558">
      <w:pPr>
        <w:pStyle w:val="Default"/>
        <w:spacing w:line="360" w:lineRule="auto"/>
        <w:jc w:val="both"/>
        <w:rPr>
          <w:rFonts w:ascii="Times New Roman" w:hAnsi="Times New Roman" w:cs="Times New Roman"/>
          <w:bCs/>
          <w:i/>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Tolerance levels</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color w:val="auto"/>
          <w:lang w:val="en-US"/>
        </w:rPr>
        <w:t>We welcome the approach of ESMA regarding the use of matching tolerance amount to facilitate timely settlement, in line with the ESSF-ECSDA Standard 17.</w:t>
      </w:r>
    </w:p>
    <w:p w:rsidR="00264558" w:rsidRPr="002417C1" w:rsidRDefault="00264558" w:rsidP="00264558">
      <w:pPr>
        <w:pStyle w:val="Default"/>
        <w:spacing w:line="360" w:lineRule="auto"/>
        <w:jc w:val="both"/>
        <w:rPr>
          <w:rFonts w:ascii="Times New Roman" w:hAnsi="Times New Roman" w:cs="Times New Roman"/>
          <w:b/>
          <w:bCs/>
          <w:i/>
          <w:color w:val="auto"/>
          <w:lang w:val="en-US"/>
        </w:rPr>
      </w:pPr>
    </w:p>
    <w:p w:rsidR="00264558" w:rsidRPr="002417C1" w:rsidRDefault="00264558" w:rsidP="00264558">
      <w:pPr>
        <w:spacing w:line="360" w:lineRule="auto"/>
        <w:jc w:val="both"/>
        <w:rPr>
          <w:rFonts w:ascii="Times New Roman" w:hAnsi="Times New Roman"/>
          <w:i/>
          <w:sz w:val="24"/>
          <w:lang w:val="en-US"/>
        </w:rPr>
      </w:pPr>
      <w:proofErr w:type="spellStart"/>
      <w:r w:rsidRPr="002417C1">
        <w:rPr>
          <w:rFonts w:ascii="Times New Roman" w:hAnsi="Times New Roman"/>
          <w:i/>
          <w:sz w:val="24"/>
          <w:lang w:val="en-US"/>
        </w:rPr>
        <w:t>Standardised</w:t>
      </w:r>
      <w:proofErr w:type="spellEnd"/>
      <w:r w:rsidRPr="002417C1">
        <w:rPr>
          <w:rFonts w:ascii="Times New Roman" w:hAnsi="Times New Roman"/>
          <w:i/>
          <w:sz w:val="24"/>
          <w:lang w:val="en-US"/>
        </w:rPr>
        <w:t xml:space="preserve"> matching fields</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We understand, in line with ECSDA comments, that this standard regarding the use of standar</w:t>
      </w:r>
      <w:r w:rsidRPr="002417C1">
        <w:rPr>
          <w:rFonts w:ascii="Times New Roman" w:hAnsi="Times New Roman"/>
          <w:sz w:val="24"/>
          <w:lang w:val="en-US"/>
        </w:rPr>
        <w:t>d</w:t>
      </w:r>
      <w:r w:rsidRPr="002417C1">
        <w:rPr>
          <w:rFonts w:ascii="Times New Roman" w:hAnsi="Times New Roman"/>
          <w:sz w:val="24"/>
          <w:lang w:val="en-US"/>
        </w:rPr>
        <w:t xml:space="preserve">ized mandatory matching fields is not appropriate for binding Level 2 legislation and it is not necessary to fulfill ESMA Level 1 mandate under CSDR. Actually, we believe that there should </w:t>
      </w:r>
      <w:r w:rsidRPr="002417C1">
        <w:rPr>
          <w:rFonts w:ascii="Times New Roman" w:hAnsi="Times New Roman"/>
          <w:sz w:val="24"/>
          <w:lang w:val="en-US"/>
        </w:rPr>
        <w:lastRenderedPageBreak/>
        <w:t xml:space="preserve">be no </w:t>
      </w:r>
      <w:r w:rsidRPr="002417C1">
        <w:rPr>
          <w:rFonts w:ascii="Times New Roman" w:hAnsi="Times New Roman"/>
          <w:bCs/>
          <w:sz w:val="24"/>
          <w:lang w:val="en-US"/>
        </w:rPr>
        <w:t xml:space="preserve">regulatory rule imposing mandatory matching fields. </w:t>
      </w:r>
      <w:r w:rsidRPr="002417C1">
        <w:rPr>
          <w:rFonts w:ascii="Times New Roman" w:hAnsi="Times New Roman"/>
          <w:sz w:val="24"/>
          <w:lang w:val="en-US"/>
        </w:rPr>
        <w:t xml:space="preserve">We consider that the definition by law of mandatory matching fields remove all flexibility on this issue to CSDs to adapt in the future to local market reality or to T2S. We question if this imposition will bring benefits for the market and, namely for settlement efficiency. We believe that this will not be the case. Actually, we consider that such imposition could increase the number of settlement fails and create systemic risk. </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On the other hand, and </w:t>
      </w:r>
      <w:proofErr w:type="spellStart"/>
      <w:r w:rsidRPr="002417C1">
        <w:rPr>
          <w:rFonts w:ascii="Times New Roman" w:hAnsi="Times New Roman"/>
          <w:sz w:val="24"/>
          <w:lang w:val="en-US"/>
        </w:rPr>
        <w:t>analysing</w:t>
      </w:r>
      <w:proofErr w:type="spellEnd"/>
      <w:r w:rsidRPr="002417C1">
        <w:rPr>
          <w:rFonts w:ascii="Times New Roman" w:hAnsi="Times New Roman"/>
          <w:sz w:val="24"/>
          <w:lang w:val="en-US"/>
        </w:rPr>
        <w:t xml:space="preserve"> ESMA proposal regarding mandatory matching fields, we believe that if ESMA maintain the list in article 3, §3 of the draft RTS on SD, this list should be only of matching fields, and the CSDs will decide which fields should be mandatory or optional.</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Nevertheless, and without conceding regarding the opinion expressed above, we have </w:t>
      </w:r>
      <w:proofErr w:type="spellStart"/>
      <w:r w:rsidRPr="002417C1">
        <w:rPr>
          <w:rFonts w:ascii="Times New Roman" w:hAnsi="Times New Roman"/>
          <w:sz w:val="24"/>
          <w:lang w:val="en-US"/>
        </w:rPr>
        <w:t>analysed</w:t>
      </w:r>
      <w:proofErr w:type="spellEnd"/>
      <w:r w:rsidRPr="002417C1">
        <w:rPr>
          <w:rFonts w:ascii="Times New Roman" w:hAnsi="Times New Roman"/>
          <w:sz w:val="24"/>
          <w:lang w:val="en-US"/>
        </w:rPr>
        <w:t xml:space="preserve"> the list proposed by ESMA and we have identified some implementation concerns, namely r</w:t>
      </w:r>
      <w:r w:rsidRPr="002417C1">
        <w:rPr>
          <w:rFonts w:ascii="Times New Roman" w:hAnsi="Times New Roman"/>
          <w:sz w:val="24"/>
          <w:lang w:val="en-US"/>
        </w:rPr>
        <w:t>e</w:t>
      </w:r>
      <w:r w:rsidRPr="002417C1">
        <w:rPr>
          <w:rFonts w:ascii="Times New Roman" w:hAnsi="Times New Roman"/>
          <w:sz w:val="24"/>
          <w:lang w:val="en-US"/>
        </w:rPr>
        <w:t>garding:</w:t>
      </w:r>
    </w:p>
    <w:p w:rsidR="00264558" w:rsidRPr="002417C1" w:rsidRDefault="00264558" w:rsidP="00C947F5">
      <w:pPr>
        <w:pStyle w:val="PargrafodaLista"/>
        <w:numPr>
          <w:ilvl w:val="0"/>
          <w:numId w:val="35"/>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 xml:space="preserve">The field on “transaction type”-   there is no harmonized market practice on how to fill such field; </w:t>
      </w:r>
    </w:p>
    <w:p w:rsidR="00264558" w:rsidRPr="002417C1" w:rsidRDefault="00264558" w:rsidP="00C947F5">
      <w:pPr>
        <w:pStyle w:val="PargrafodaLista"/>
        <w:numPr>
          <w:ilvl w:val="0"/>
          <w:numId w:val="35"/>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The field on “trade date” – currently is not used by most CSDs, especially for OTC transa</w:t>
      </w:r>
      <w:r w:rsidRPr="002417C1">
        <w:rPr>
          <w:rFonts w:ascii="Times New Roman" w:hAnsi="Times New Roman"/>
          <w:sz w:val="24"/>
          <w:lang w:val="en-US"/>
        </w:rPr>
        <w:t>c</w:t>
      </w:r>
      <w:r w:rsidRPr="002417C1">
        <w:rPr>
          <w:rFonts w:ascii="Times New Roman" w:hAnsi="Times New Roman"/>
          <w:sz w:val="24"/>
          <w:lang w:val="en-US"/>
        </w:rPr>
        <w:t xml:space="preserve">tions, and is not always necessary (it can be used, if and when necessary, as an optional field).  </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Finally, we also point out that if ESMA will maintain the list in article 3, §3 of the draft RTS on SD as mandatory matching fields this list should be always aligned with T2S specifications r</w:t>
      </w:r>
      <w:r w:rsidRPr="002417C1">
        <w:rPr>
          <w:rFonts w:ascii="Times New Roman" w:hAnsi="Times New Roman"/>
          <w:sz w:val="24"/>
          <w:lang w:val="en-US"/>
        </w:rPr>
        <w:t>e</w:t>
      </w:r>
      <w:r w:rsidRPr="002417C1">
        <w:rPr>
          <w:rFonts w:ascii="Times New Roman" w:hAnsi="Times New Roman"/>
          <w:sz w:val="24"/>
          <w:lang w:val="en-US"/>
        </w:rPr>
        <w:t xml:space="preserve">garding this issue that reflects the compromise/agreement reached among T2S stakeholders. </w:t>
      </w:r>
    </w:p>
    <w:p w:rsidR="00264558" w:rsidRPr="002417C1" w:rsidRDefault="00264558" w:rsidP="00264558">
      <w:pPr>
        <w:spacing w:line="360" w:lineRule="auto"/>
        <w:jc w:val="both"/>
        <w:rPr>
          <w:rFonts w:ascii="Times New Roman" w:hAnsi="Times New Roman"/>
          <w:b/>
          <w:bCs/>
          <w:i/>
          <w:sz w:val="24"/>
          <w:lang w:val="en-US"/>
        </w:rPr>
      </w:pPr>
    </w:p>
    <w:p w:rsidR="00264558" w:rsidRPr="002417C1" w:rsidRDefault="00264558" w:rsidP="00264558">
      <w:pPr>
        <w:spacing w:line="360" w:lineRule="auto"/>
        <w:jc w:val="both"/>
        <w:rPr>
          <w:rFonts w:ascii="Times New Roman" w:hAnsi="Times New Roman"/>
          <w:bCs/>
          <w:i/>
          <w:sz w:val="24"/>
          <w:lang w:val="en-US"/>
        </w:rPr>
      </w:pPr>
      <w:r w:rsidRPr="002417C1">
        <w:rPr>
          <w:rFonts w:ascii="Times New Roman" w:hAnsi="Times New Roman"/>
          <w:bCs/>
          <w:i/>
          <w:sz w:val="24"/>
          <w:lang w:val="en-US"/>
        </w:rPr>
        <w:t>Bilateral cancellation facility</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We offer to our participants’ bilateral cancellation facility that enables them to bilaterally revoke settlement instructions that form part of the same transaction.</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We believe that this facility is a best practice and CSDs should be encouraged to offer it based on the demand from their participants or the market. Our doubt is the need to include this facility in Level 2 legislation.</w:t>
      </w:r>
    </w:p>
    <w:p w:rsidR="00264558" w:rsidRPr="002417C1" w:rsidRDefault="00264558" w:rsidP="00264558">
      <w:pPr>
        <w:pStyle w:val="Default"/>
        <w:spacing w:line="360" w:lineRule="auto"/>
        <w:jc w:val="both"/>
        <w:rPr>
          <w:rFonts w:ascii="Times New Roman" w:hAnsi="Times New Roman" w:cs="Times New Roman"/>
          <w:b/>
          <w:bCs/>
          <w:i/>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 xml:space="preserve">Hold and Release mechanism, recycling, </w:t>
      </w:r>
      <w:proofErr w:type="gramStart"/>
      <w:r w:rsidRPr="002417C1">
        <w:rPr>
          <w:rFonts w:ascii="Times New Roman" w:hAnsi="Times New Roman" w:cs="Times New Roman"/>
          <w:bCs/>
          <w:i/>
          <w:color w:val="auto"/>
          <w:lang w:val="en-US"/>
        </w:rPr>
        <w:t>partial</w:t>
      </w:r>
      <w:proofErr w:type="gramEnd"/>
      <w:r w:rsidRPr="002417C1">
        <w:rPr>
          <w:rFonts w:ascii="Times New Roman" w:hAnsi="Times New Roman" w:cs="Times New Roman"/>
          <w:bCs/>
          <w:i/>
          <w:color w:val="auto"/>
          <w:lang w:val="en-US"/>
        </w:rPr>
        <w:t xml:space="preserve"> settlement</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We believe that should be up to each market to decide on the most effective and appropriate tools to prevent settlement fails. A single technical design to all EU CSDs will not be necessary.</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Information to participants</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We agree that CSDs should provide their participants with information on the status of their pending instructions, in an easy and timely way. But, in our opinion, the technical standard(s) should not specify detailed practical modalities on how this information needs to be accessed (namely in what concerns timing and format). We think that this depends on the technical design of each CSD’s system and on participants’ preference based on the costs involved. </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As referred in T2S AG response to ESMA consultation Paper, the CSDs’ </w:t>
      </w:r>
      <w:proofErr w:type="spellStart"/>
      <w:r w:rsidRPr="002417C1">
        <w:rPr>
          <w:rFonts w:ascii="Times New Roman" w:hAnsi="Times New Roman"/>
          <w:sz w:val="24"/>
          <w:lang w:val="en-US"/>
        </w:rPr>
        <w:t>allegement</w:t>
      </w:r>
      <w:proofErr w:type="spellEnd"/>
      <w:r w:rsidRPr="002417C1">
        <w:rPr>
          <w:rFonts w:ascii="Times New Roman" w:hAnsi="Times New Roman"/>
          <w:sz w:val="24"/>
          <w:lang w:val="en-US"/>
        </w:rPr>
        <w:t xml:space="preserve"> message service should be optional and not mandatory given that many participants have pointed out that they do not want to receive (and pay) messages that are not needed to identify pending instru</w:t>
      </w:r>
      <w:r w:rsidRPr="002417C1">
        <w:rPr>
          <w:rFonts w:ascii="Times New Roman" w:hAnsi="Times New Roman"/>
          <w:sz w:val="24"/>
          <w:lang w:val="en-US"/>
        </w:rPr>
        <w:t>c</w:t>
      </w:r>
      <w:r w:rsidRPr="002417C1">
        <w:rPr>
          <w:rFonts w:ascii="Times New Roman" w:hAnsi="Times New Roman"/>
          <w:sz w:val="24"/>
          <w:lang w:val="en-US"/>
        </w:rPr>
        <w:t xml:space="preserve">tions. </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In T2S </w:t>
      </w:r>
      <w:proofErr w:type="spellStart"/>
      <w:r w:rsidRPr="002417C1">
        <w:rPr>
          <w:rFonts w:ascii="Times New Roman" w:hAnsi="Times New Roman"/>
          <w:sz w:val="24"/>
          <w:lang w:val="en-US"/>
        </w:rPr>
        <w:t>Interbolsa</w:t>
      </w:r>
      <w:proofErr w:type="spellEnd"/>
      <w:r w:rsidRPr="002417C1">
        <w:rPr>
          <w:rFonts w:ascii="Times New Roman" w:hAnsi="Times New Roman"/>
          <w:sz w:val="24"/>
          <w:lang w:val="en-US"/>
        </w:rPr>
        <w:t xml:space="preserve"> will maintain the </w:t>
      </w:r>
      <w:proofErr w:type="spellStart"/>
      <w:r w:rsidRPr="002417C1">
        <w:rPr>
          <w:rFonts w:ascii="Times New Roman" w:hAnsi="Times New Roman"/>
          <w:sz w:val="24"/>
          <w:lang w:val="en-US"/>
        </w:rPr>
        <w:t>allegement</w:t>
      </w:r>
      <w:proofErr w:type="spellEnd"/>
      <w:r w:rsidRPr="002417C1">
        <w:rPr>
          <w:rFonts w:ascii="Times New Roman" w:hAnsi="Times New Roman"/>
          <w:sz w:val="24"/>
          <w:lang w:val="en-US"/>
        </w:rPr>
        <w:t xml:space="preserve"> message service that currently it provides to its participants, but according with T2S rules.   </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In what concerns the information to be provided to the participants under article 3, §9 of the draft RTS on SD, we also consider that CSD participants should have to be able to access real-time information regarding ISD and settlement instructions.</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Nevertheless, some of the proposed fields are not currently supported by existing ISO standards, for example buy-in information (article 3, §9 (e) of the draft RTS on SD). On the other hand, ESMA should be aware that the information on buy-ins is, normally, not available to the CSD (as the case of </w:t>
      </w:r>
      <w:proofErr w:type="spellStart"/>
      <w:r w:rsidRPr="002417C1">
        <w:rPr>
          <w:rFonts w:ascii="Times New Roman" w:hAnsi="Times New Roman" w:cs="Times New Roman"/>
          <w:bCs/>
          <w:color w:val="auto"/>
          <w:lang w:val="en-US"/>
        </w:rPr>
        <w:t>Interbolsa</w:t>
      </w:r>
      <w:proofErr w:type="spellEnd"/>
      <w:r w:rsidRPr="002417C1">
        <w:rPr>
          <w:rFonts w:ascii="Times New Roman" w:hAnsi="Times New Roman" w:cs="Times New Roman"/>
          <w:bCs/>
          <w:color w:val="auto"/>
          <w:lang w:val="en-US"/>
        </w:rPr>
        <w:t>).</w:t>
      </w:r>
    </w:p>
    <w:permEnd w:id="6"/>
    <w:p w:rsidR="00D12AFD" w:rsidRDefault="00D12AFD" w:rsidP="00D12AFD">
      <w:r>
        <w:t>&lt;ESMA_QUESTION_TS_CSDR_4&gt;</w:t>
      </w:r>
    </w:p>
    <w:p w:rsidR="00D12AFD" w:rsidRPr="002C4F00" w:rsidRDefault="00D12AFD" w:rsidP="00965B03">
      <w:pPr>
        <w:pStyle w:val="Ttulo5"/>
        <w:ind w:left="567" w:hanging="567"/>
      </w:pPr>
      <w:r>
        <w:t xml:space="preserve"> </w:t>
      </w:r>
      <w:r w:rsidRPr="00030F8D">
        <w:t>What are your views on the proposed draft RTS on the monitoring of settlement fails as included in Section 1 of Chapter III of Annex I?</w:t>
      </w:r>
    </w:p>
    <w:p w:rsidR="00D12AFD" w:rsidRDefault="00D12AFD" w:rsidP="00D12AFD"/>
    <w:p w:rsidR="00D12AFD" w:rsidRDefault="00D12AFD" w:rsidP="00D12AFD">
      <w:r>
        <w:t>&lt;ESMA_QUESTION_TS_CSDR_5&gt;</w:t>
      </w:r>
    </w:p>
    <w:p w:rsidR="00264558" w:rsidRPr="002417C1" w:rsidRDefault="00264558" w:rsidP="00264558">
      <w:pPr>
        <w:pStyle w:val="Default"/>
        <w:spacing w:line="360" w:lineRule="auto"/>
        <w:jc w:val="both"/>
        <w:rPr>
          <w:rFonts w:ascii="Times New Roman" w:hAnsi="Times New Roman" w:cs="Times New Roman"/>
          <w:bCs/>
          <w:i/>
          <w:color w:val="auto"/>
          <w:lang w:val="en-US"/>
        </w:rPr>
      </w:pPr>
      <w:permStart w:id="7" w:edGrp="everyone"/>
      <w:r w:rsidRPr="002417C1">
        <w:rPr>
          <w:rFonts w:ascii="Times New Roman" w:hAnsi="Times New Roman" w:cs="Times New Roman"/>
          <w:bCs/>
          <w:i/>
          <w:color w:val="auto"/>
          <w:lang w:val="en-US"/>
        </w:rPr>
        <w:t>Monitoring System</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The reporting requirements established in article 4 of the draft RTS on SD should refer expressly that the CSDs can only identify and report information that they have access to (“where avail</w:t>
      </w:r>
      <w:r w:rsidRPr="002417C1">
        <w:rPr>
          <w:rFonts w:ascii="Times New Roman" w:hAnsi="Times New Roman" w:cs="Times New Roman"/>
          <w:bCs/>
          <w:color w:val="auto"/>
          <w:lang w:val="en-US"/>
        </w:rPr>
        <w:t>a</w:t>
      </w:r>
      <w:r w:rsidRPr="002417C1">
        <w:rPr>
          <w:rFonts w:ascii="Times New Roman" w:hAnsi="Times New Roman" w:cs="Times New Roman"/>
          <w:bCs/>
          <w:color w:val="auto"/>
          <w:lang w:val="en-US"/>
        </w:rPr>
        <w:t xml:space="preserve">ble”). </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On the other hand, the monitoring and reporting requirements need to reflect and be in conform</w:t>
      </w:r>
      <w:r w:rsidRPr="002417C1">
        <w:rPr>
          <w:rFonts w:ascii="Times New Roman" w:hAnsi="Times New Roman" w:cs="Times New Roman"/>
          <w:bCs/>
          <w:color w:val="auto"/>
          <w:lang w:val="en-US"/>
        </w:rPr>
        <w:t>i</w:t>
      </w:r>
      <w:r w:rsidRPr="002417C1">
        <w:rPr>
          <w:rFonts w:ascii="Times New Roman" w:hAnsi="Times New Roman" w:cs="Times New Roman"/>
          <w:bCs/>
          <w:color w:val="auto"/>
          <w:lang w:val="en-US"/>
        </w:rPr>
        <w:t xml:space="preserve">ty with the final solutions on other issues, including matching fields, penalty mechanisms and </w:t>
      </w:r>
      <w:r w:rsidRPr="002417C1">
        <w:rPr>
          <w:rFonts w:ascii="Times New Roman" w:hAnsi="Times New Roman" w:cs="Times New Roman"/>
          <w:bCs/>
          <w:color w:val="auto"/>
          <w:lang w:val="en-US"/>
        </w:rPr>
        <w:lastRenderedPageBreak/>
        <w:t>buy-ins. Regarding the last subject, we reiterate that the information about buy-ins is not curren</w:t>
      </w:r>
      <w:r w:rsidRPr="002417C1">
        <w:rPr>
          <w:rFonts w:ascii="Times New Roman" w:hAnsi="Times New Roman" w:cs="Times New Roman"/>
          <w:bCs/>
          <w:color w:val="auto"/>
          <w:lang w:val="en-US"/>
        </w:rPr>
        <w:t>t</w:t>
      </w:r>
      <w:r w:rsidRPr="002417C1">
        <w:rPr>
          <w:rFonts w:ascii="Times New Roman" w:hAnsi="Times New Roman" w:cs="Times New Roman"/>
          <w:bCs/>
          <w:color w:val="auto"/>
          <w:lang w:val="en-US"/>
        </w:rPr>
        <w:t xml:space="preserve">ly available to almost all CSDs, and we strongly believe that CSDs should not be required, under CSDR, to be involved in the buy-in process. </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Additionally we reiterate, once again, the importance to ensure compatibility with open and internationally recognized standards (such as ISO standards). We identified on the list of items that CSDs have to identify and record under article 4 of the draft RTS on SD inconsistencies with current ISO standards.</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For the sake of clarity, we want to request ESMA certainty regarding the meaning of the expre</w:t>
      </w:r>
      <w:r w:rsidRPr="002417C1">
        <w:rPr>
          <w:rFonts w:ascii="Times New Roman" w:hAnsi="Times New Roman" w:cs="Times New Roman"/>
          <w:bCs/>
          <w:color w:val="auto"/>
          <w:lang w:val="en-US"/>
        </w:rPr>
        <w:t>s</w:t>
      </w:r>
      <w:r w:rsidRPr="002417C1">
        <w:rPr>
          <w:rFonts w:ascii="Times New Roman" w:hAnsi="Times New Roman" w:cs="Times New Roman"/>
          <w:bCs/>
          <w:color w:val="auto"/>
          <w:lang w:val="en-US"/>
        </w:rPr>
        <w:t>sion “</w:t>
      </w:r>
      <w:r w:rsidRPr="002417C1">
        <w:rPr>
          <w:rFonts w:ascii="Times New Roman" w:hAnsi="Times New Roman" w:cs="Times New Roman"/>
          <w:bCs/>
          <w:i/>
          <w:color w:val="auto"/>
          <w:lang w:val="en-US"/>
        </w:rPr>
        <w:t>per intended settlement date</w:t>
      </w:r>
      <w:r w:rsidRPr="002417C1">
        <w:rPr>
          <w:rFonts w:ascii="Times New Roman" w:hAnsi="Times New Roman" w:cs="Times New Roman"/>
          <w:bCs/>
          <w:color w:val="auto"/>
          <w:lang w:val="en-US"/>
        </w:rPr>
        <w:t>” included in Article 4, §1 of the draft RTS on SD. We assume that the meaning of the expression is “on a daily basis”. If not, some clarification should be given in order to comprehend the referred expression.</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On the </w:t>
      </w:r>
      <w:r w:rsidRPr="002417C1">
        <w:rPr>
          <w:rFonts w:ascii="Times New Roman" w:hAnsi="Times New Roman"/>
          <w:sz w:val="24"/>
          <w:u w:val="single"/>
          <w:lang w:val="en-US"/>
        </w:rPr>
        <w:t>distinction between asset classes</w:t>
      </w:r>
      <w:r w:rsidRPr="002417C1">
        <w:rPr>
          <w:rFonts w:ascii="Times New Roman" w:hAnsi="Times New Roman"/>
          <w:sz w:val="24"/>
          <w:lang w:val="en-US"/>
        </w:rPr>
        <w:t>, we thus recommend to align this list with the categories used to determine the applicable penalty rate (see the draft Technical Advice), and with the cat</w:t>
      </w:r>
      <w:r w:rsidRPr="002417C1">
        <w:rPr>
          <w:rFonts w:ascii="Times New Roman" w:hAnsi="Times New Roman"/>
          <w:sz w:val="24"/>
          <w:lang w:val="en-US"/>
        </w:rPr>
        <w:t>e</w:t>
      </w:r>
      <w:r w:rsidRPr="002417C1">
        <w:rPr>
          <w:rFonts w:ascii="Times New Roman" w:hAnsi="Times New Roman"/>
          <w:sz w:val="24"/>
          <w:lang w:val="en-US"/>
        </w:rPr>
        <w:t>gories proposed in the context of buy-in rules, in order to give consistency to all the information related with settlement activity.</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On the </w:t>
      </w:r>
      <w:r w:rsidRPr="002417C1">
        <w:rPr>
          <w:rFonts w:ascii="Times New Roman" w:hAnsi="Times New Roman"/>
          <w:sz w:val="24"/>
          <w:u w:val="single"/>
          <w:lang w:val="en-US"/>
        </w:rPr>
        <w:t>distinction between “Types of transactions</w:t>
      </w:r>
      <w:r w:rsidRPr="002417C1">
        <w:rPr>
          <w:rFonts w:ascii="Times New Roman" w:hAnsi="Times New Roman"/>
          <w:sz w:val="24"/>
          <w:lang w:val="en-US"/>
        </w:rPr>
        <w:t>”, we need some clarity regarding the meaning of article 4, §2, (e), v), as regards CCP cleared transactions, other than (</w:t>
      </w:r>
      <w:proofErr w:type="spellStart"/>
      <w:r w:rsidRPr="002417C1">
        <w:rPr>
          <w:rFonts w:ascii="Times New Roman" w:hAnsi="Times New Roman"/>
          <w:sz w:val="24"/>
          <w:lang w:val="en-US"/>
        </w:rPr>
        <w:t>i</w:t>
      </w:r>
      <w:proofErr w:type="spellEnd"/>
      <w:r w:rsidRPr="002417C1">
        <w:rPr>
          <w:rFonts w:ascii="Times New Roman" w:hAnsi="Times New Roman"/>
          <w:sz w:val="24"/>
          <w:lang w:val="en-US"/>
        </w:rPr>
        <w:t xml:space="preserve">) trades executed on a trading venue; (ii) over-the-counter trades; (iii) transactions related to collateral management, securities lending/borrowing, repurchase transactions; (iv) corporate actions and custody related operations. What </w:t>
      </w:r>
      <w:proofErr w:type="gramStart"/>
      <w:r w:rsidRPr="002417C1">
        <w:rPr>
          <w:rFonts w:ascii="Times New Roman" w:hAnsi="Times New Roman"/>
          <w:sz w:val="24"/>
          <w:lang w:val="en-US"/>
        </w:rPr>
        <w:t>type of operations are</w:t>
      </w:r>
      <w:proofErr w:type="gramEnd"/>
      <w:r w:rsidRPr="002417C1">
        <w:rPr>
          <w:rFonts w:ascii="Times New Roman" w:hAnsi="Times New Roman"/>
          <w:sz w:val="24"/>
          <w:lang w:val="en-US"/>
        </w:rPr>
        <w:t xml:space="preserve"> included in this category?</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In what concerns article 4, §3 of the draft RTS on SD and the reference to the set up of “</w:t>
      </w:r>
      <w:r w:rsidRPr="002417C1">
        <w:rPr>
          <w:rFonts w:ascii="Times New Roman" w:hAnsi="Times New Roman"/>
          <w:i/>
          <w:sz w:val="24"/>
          <w:lang w:val="en-US"/>
        </w:rPr>
        <w:t>a wor</w:t>
      </w:r>
      <w:r w:rsidRPr="002417C1">
        <w:rPr>
          <w:rFonts w:ascii="Times New Roman" w:hAnsi="Times New Roman"/>
          <w:i/>
          <w:sz w:val="24"/>
          <w:lang w:val="en-US"/>
        </w:rPr>
        <w:t>k</w:t>
      </w:r>
      <w:r w:rsidRPr="002417C1">
        <w:rPr>
          <w:rFonts w:ascii="Times New Roman" w:hAnsi="Times New Roman"/>
          <w:i/>
          <w:sz w:val="24"/>
          <w:lang w:val="en-US"/>
        </w:rPr>
        <w:t>ing flow with the ten participants with the highest rates of settlement fails</w:t>
      </w:r>
      <w:r w:rsidRPr="002417C1">
        <w:rPr>
          <w:rFonts w:ascii="Times New Roman" w:hAnsi="Times New Roman"/>
          <w:sz w:val="24"/>
          <w:lang w:val="en-US"/>
        </w:rPr>
        <w:t>” “</w:t>
      </w:r>
      <w:r w:rsidRPr="002417C1">
        <w:rPr>
          <w:rFonts w:ascii="Times New Roman" w:hAnsi="Times New Roman"/>
          <w:i/>
          <w:sz w:val="24"/>
          <w:lang w:val="en-US"/>
        </w:rPr>
        <w:t>in order to identify the main reasons for settlement fails and to establish measures to improve settlement efficiency</w:t>
      </w:r>
      <w:r w:rsidRPr="002417C1">
        <w:rPr>
          <w:rFonts w:ascii="Times New Roman" w:hAnsi="Times New Roman"/>
          <w:sz w:val="24"/>
          <w:lang w:val="en-US"/>
        </w:rPr>
        <w:t xml:space="preserve">” we believe that such working flow should not need to be specified in Level 2 legislation. </w:t>
      </w: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 xml:space="preserve">On the other hand, the imposition of an absolute number of 10 participants does not take into account the size of the CSD and the total number of participants. For example, considering </w:t>
      </w:r>
      <w:proofErr w:type="spellStart"/>
      <w:r w:rsidRPr="002417C1">
        <w:rPr>
          <w:rFonts w:ascii="Times New Roman" w:hAnsi="Times New Roman"/>
          <w:sz w:val="24"/>
          <w:lang w:val="en-US"/>
        </w:rPr>
        <w:lastRenderedPageBreak/>
        <w:t>Interbolsa</w:t>
      </w:r>
      <w:proofErr w:type="spellEnd"/>
      <w:r w:rsidRPr="002417C1">
        <w:rPr>
          <w:rFonts w:ascii="Times New Roman" w:hAnsi="Times New Roman"/>
          <w:sz w:val="24"/>
          <w:lang w:val="en-US"/>
        </w:rPr>
        <w:t>, that has around 30 participants, the work stream as proposed by ESMA will corr</w:t>
      </w:r>
      <w:r w:rsidRPr="002417C1">
        <w:rPr>
          <w:rFonts w:ascii="Times New Roman" w:hAnsi="Times New Roman"/>
          <w:sz w:val="24"/>
          <w:lang w:val="en-US"/>
        </w:rPr>
        <w:t>e</w:t>
      </w:r>
      <w:r w:rsidRPr="002417C1">
        <w:rPr>
          <w:rFonts w:ascii="Times New Roman" w:hAnsi="Times New Roman"/>
          <w:sz w:val="24"/>
          <w:lang w:val="en-US"/>
        </w:rPr>
        <w:t>spond to a third of the number of its participants.</w:t>
      </w:r>
    </w:p>
    <w:p w:rsidR="00264558" w:rsidRPr="002417C1" w:rsidRDefault="00264558" w:rsidP="00264558">
      <w:pPr>
        <w:spacing w:line="360" w:lineRule="auto"/>
        <w:jc w:val="both"/>
        <w:rPr>
          <w:rFonts w:ascii="Times New Roman" w:hAnsi="Times New Roman"/>
          <w:sz w:val="24"/>
          <w:lang w:val="en-US"/>
        </w:rPr>
      </w:pPr>
    </w:p>
    <w:p w:rsidR="00264558" w:rsidRPr="002417C1" w:rsidRDefault="00264558" w:rsidP="00264558">
      <w:pPr>
        <w:spacing w:line="360" w:lineRule="auto"/>
        <w:jc w:val="both"/>
        <w:rPr>
          <w:rFonts w:ascii="Times New Roman" w:hAnsi="Times New Roman"/>
          <w:sz w:val="24"/>
          <w:lang w:val="en-US"/>
        </w:rPr>
      </w:pPr>
      <w:r w:rsidRPr="002417C1">
        <w:rPr>
          <w:rFonts w:ascii="Times New Roman" w:hAnsi="Times New Roman"/>
          <w:sz w:val="24"/>
          <w:lang w:val="en-US"/>
        </w:rPr>
        <w:t>We consider that the best option should be to create a group with the entities that are better placed to provide relevant contribution to the work of such work stream. We understand that should be given to the CSDs the right to decide on the most appropriate composition for this group.</w:t>
      </w:r>
    </w:p>
    <w:p w:rsidR="00264558" w:rsidRPr="002417C1" w:rsidRDefault="00264558" w:rsidP="00264558">
      <w:pPr>
        <w:pStyle w:val="Default"/>
        <w:spacing w:line="360" w:lineRule="auto"/>
        <w:jc w:val="both"/>
        <w:rPr>
          <w:rFonts w:ascii="Times New Roman" w:hAnsi="Times New Roman" w:cs="Times New Roman"/>
          <w:b/>
          <w:bCs/>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Reports to public authorities</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We support the reporting requirements established in Article 5, and Annex I of the draft RTS on SD.</w:t>
      </w:r>
    </w:p>
    <w:p w:rsidR="00264558" w:rsidRPr="002417C1" w:rsidRDefault="00264558" w:rsidP="00264558">
      <w:pPr>
        <w:pStyle w:val="Default"/>
        <w:spacing w:line="360" w:lineRule="auto"/>
        <w:jc w:val="both"/>
        <w:rPr>
          <w:rFonts w:ascii="Times New Roman" w:hAnsi="Times New Roman" w:cs="Times New Roman"/>
          <w:color w:val="auto"/>
          <w:lang w:val="en-US"/>
        </w:rPr>
      </w:pPr>
      <w:proofErr w:type="spellStart"/>
      <w:r w:rsidRPr="002417C1">
        <w:rPr>
          <w:rFonts w:ascii="Times New Roman" w:hAnsi="Times New Roman" w:cs="Times New Roman"/>
          <w:color w:val="auto"/>
          <w:lang w:val="en-US"/>
        </w:rPr>
        <w:t>Interbolsa</w:t>
      </w:r>
      <w:proofErr w:type="spellEnd"/>
      <w:r w:rsidRPr="002417C1">
        <w:rPr>
          <w:rFonts w:ascii="Times New Roman" w:hAnsi="Times New Roman" w:cs="Times New Roman"/>
          <w:color w:val="auto"/>
          <w:lang w:val="en-US"/>
        </w:rPr>
        <w:t xml:space="preserve"> already provides to its competent authority, on a daily basis, access to a report with information related to the fails occurred in each settlement cycle. In addition, </w:t>
      </w:r>
      <w:proofErr w:type="spellStart"/>
      <w:r w:rsidRPr="002417C1">
        <w:rPr>
          <w:rFonts w:ascii="Times New Roman" w:hAnsi="Times New Roman" w:cs="Times New Roman"/>
          <w:color w:val="auto"/>
          <w:lang w:val="en-US"/>
        </w:rPr>
        <w:t>Interbolsa</w:t>
      </w:r>
      <w:proofErr w:type="spellEnd"/>
      <w:r w:rsidRPr="002417C1">
        <w:rPr>
          <w:rFonts w:ascii="Times New Roman" w:hAnsi="Times New Roman" w:cs="Times New Roman"/>
          <w:color w:val="auto"/>
          <w:lang w:val="en-US"/>
        </w:rPr>
        <w:t xml:space="preserve"> prepares to the regulator, on a fortnightly basis, information on fails. As a result no additional cost will seem to apply in this context.</w:t>
      </w:r>
    </w:p>
    <w:p w:rsidR="00264558" w:rsidRPr="002417C1" w:rsidRDefault="00264558" w:rsidP="00264558">
      <w:pPr>
        <w:pStyle w:val="Default"/>
        <w:spacing w:line="360" w:lineRule="auto"/>
        <w:jc w:val="both"/>
        <w:rPr>
          <w:rFonts w:ascii="Times New Roman" w:hAnsi="Times New Roman" w:cs="Times New Roman"/>
          <w:color w:val="auto"/>
          <w:lang w:val="en-US"/>
        </w:rPr>
      </w:pPr>
    </w:p>
    <w:p w:rsidR="00264558" w:rsidRPr="002417C1" w:rsidRDefault="00264558" w:rsidP="00264558">
      <w:pPr>
        <w:pStyle w:val="Default"/>
        <w:spacing w:line="360" w:lineRule="auto"/>
        <w:jc w:val="both"/>
        <w:rPr>
          <w:rFonts w:ascii="Times New Roman" w:hAnsi="Times New Roman" w:cs="Times New Roman"/>
          <w:i/>
          <w:color w:val="auto"/>
          <w:lang w:val="en-US"/>
        </w:rPr>
      </w:pPr>
      <w:r w:rsidRPr="002417C1">
        <w:rPr>
          <w:rFonts w:ascii="Times New Roman" w:hAnsi="Times New Roman" w:cs="Times New Roman"/>
          <w:i/>
          <w:color w:val="auto"/>
          <w:lang w:val="en-US"/>
        </w:rPr>
        <w:t>Public information</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We support the reporting requirements established in Article 6 and Annex II of the draft RTS on SD.</w:t>
      </w:r>
    </w:p>
    <w:permEnd w:id="7"/>
    <w:p w:rsidR="00D12AFD" w:rsidRDefault="00D12AFD" w:rsidP="00D12AFD">
      <w:r>
        <w:t>&lt;ESMA_QUESTION_TS_CSDR_5&gt;</w:t>
      </w:r>
    </w:p>
    <w:p w:rsidR="00D12AFD" w:rsidRPr="002C4F00" w:rsidRDefault="00D12AFD" w:rsidP="00965B03">
      <w:pPr>
        <w:pStyle w:val="Ttulo5"/>
        <w:ind w:left="567" w:hanging="567"/>
      </w:pPr>
      <w:r w:rsidRPr="002C4F00">
        <w:t>What are your views on the proposed draft RTS related to the penalty mechanism? Do you agree that when CSDs use a common settlement infrastructure, the proc</w:t>
      </w:r>
      <w:r w:rsidRPr="002C4F00">
        <w:t>e</w:t>
      </w:r>
      <w:r w:rsidRPr="002C4F00">
        <w:t>dures for cash penalties should be jointly managed?</w:t>
      </w:r>
    </w:p>
    <w:p w:rsidR="00D12AFD" w:rsidRDefault="00D12AFD" w:rsidP="00D12AFD"/>
    <w:p w:rsidR="00D12AFD" w:rsidRDefault="00D12AFD" w:rsidP="00D12AFD">
      <w:r>
        <w:t>&lt;ESMA_QUESTION_TS_CSDR_6&gt;</w:t>
      </w:r>
    </w:p>
    <w:p w:rsidR="00264558" w:rsidRPr="002417C1" w:rsidRDefault="00264558" w:rsidP="00264558">
      <w:pPr>
        <w:pStyle w:val="Default"/>
        <w:spacing w:line="360" w:lineRule="auto"/>
        <w:jc w:val="both"/>
        <w:rPr>
          <w:rFonts w:ascii="Times New Roman" w:hAnsi="Times New Roman" w:cs="Times New Roman"/>
          <w:bCs/>
          <w:color w:val="auto"/>
          <w:lang w:val="en-US"/>
        </w:rPr>
      </w:pPr>
      <w:permStart w:id="8" w:edGrp="everyone"/>
      <w:r w:rsidRPr="002417C1">
        <w:rPr>
          <w:rFonts w:ascii="Times New Roman" w:hAnsi="Times New Roman" w:cs="Times New Roman"/>
          <w:bCs/>
          <w:color w:val="auto"/>
          <w:lang w:val="en-US"/>
        </w:rPr>
        <w:t>According to article 7, §10 of the CSDR, settlement discipline measures will apply to all transa</w:t>
      </w:r>
      <w:r w:rsidRPr="002417C1">
        <w:rPr>
          <w:rFonts w:ascii="Times New Roman" w:hAnsi="Times New Roman" w:cs="Times New Roman"/>
          <w:bCs/>
          <w:color w:val="auto"/>
          <w:lang w:val="en-US"/>
        </w:rPr>
        <w:t>c</w:t>
      </w:r>
      <w:r w:rsidRPr="002417C1">
        <w:rPr>
          <w:rFonts w:ascii="Times New Roman" w:hAnsi="Times New Roman" w:cs="Times New Roman"/>
          <w:bCs/>
          <w:color w:val="auto"/>
          <w:lang w:val="en-US"/>
        </w:rPr>
        <w:t>tions in financial instruments that are “admitted to trading or traded on a trading venue or cleared by a CCP”.  Nevertheless, CSDs do not have, currently access to the information to assess if a particular financial instrument is admitted to trading to a trading venue. In line with what is pr</w:t>
      </w:r>
      <w:r w:rsidRPr="002417C1">
        <w:rPr>
          <w:rFonts w:ascii="Times New Roman" w:hAnsi="Times New Roman" w:cs="Times New Roman"/>
          <w:bCs/>
          <w:color w:val="auto"/>
          <w:lang w:val="en-US"/>
        </w:rPr>
        <w:t>o</w:t>
      </w:r>
      <w:r w:rsidRPr="002417C1">
        <w:rPr>
          <w:rFonts w:ascii="Times New Roman" w:hAnsi="Times New Roman" w:cs="Times New Roman"/>
          <w:bCs/>
          <w:color w:val="auto"/>
          <w:lang w:val="en-US"/>
        </w:rPr>
        <w:t xml:space="preserve">posed by ECSDA, we also understand that, in order to enable CSDs to comply with Level 2 standards on settlement discipline, ESMA should develop and maintain a publicly available database of all financial instruments admitted to trading on a </w:t>
      </w:r>
      <w:proofErr w:type="spellStart"/>
      <w:r w:rsidRPr="002417C1">
        <w:rPr>
          <w:rFonts w:ascii="Times New Roman" w:hAnsi="Times New Roman" w:cs="Times New Roman"/>
          <w:bCs/>
          <w:color w:val="auto"/>
          <w:lang w:val="en-US"/>
        </w:rPr>
        <w:t>MiFID</w:t>
      </w:r>
      <w:proofErr w:type="spellEnd"/>
      <w:r w:rsidRPr="002417C1">
        <w:rPr>
          <w:rFonts w:ascii="Times New Roman" w:hAnsi="Times New Roman" w:cs="Times New Roman"/>
          <w:bCs/>
          <w:color w:val="auto"/>
          <w:lang w:val="en-US"/>
        </w:rPr>
        <w:t xml:space="preserve"> trading venue (regulated markets, MTF or OTF). </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lastRenderedPageBreak/>
        <w:t>The Collection of cash penalties</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We understand and agree with ESMA that is important to </w:t>
      </w:r>
      <w:proofErr w:type="spellStart"/>
      <w:r w:rsidRPr="002417C1">
        <w:rPr>
          <w:rFonts w:ascii="Times New Roman" w:hAnsi="Times New Roman" w:cs="Times New Roman"/>
          <w:bCs/>
          <w:color w:val="auto"/>
          <w:lang w:val="en-US"/>
        </w:rPr>
        <w:t>harmonise</w:t>
      </w:r>
      <w:proofErr w:type="spellEnd"/>
      <w:r w:rsidRPr="002417C1">
        <w:rPr>
          <w:rFonts w:ascii="Times New Roman" w:hAnsi="Times New Roman" w:cs="Times New Roman"/>
          <w:bCs/>
          <w:color w:val="auto"/>
          <w:lang w:val="en-US"/>
        </w:rPr>
        <w:t xml:space="preserve"> the penalty mechanism and to apply a single model across the Union, in order to ensure a level playing field among different CSDs and their participants. </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Nevertheless, and in what concerns the proposed regime, we have the following comments:</w:t>
      </w:r>
    </w:p>
    <w:p w:rsidR="00264558" w:rsidRPr="002417C1" w:rsidRDefault="00264558" w:rsidP="00C947F5">
      <w:pPr>
        <w:pStyle w:val="Default"/>
        <w:numPr>
          <w:ilvl w:val="0"/>
          <w:numId w:val="36"/>
        </w:numPr>
        <w:spacing w:line="360" w:lineRule="auto"/>
        <w:ind w:left="709" w:hanging="425"/>
        <w:jc w:val="both"/>
        <w:rPr>
          <w:rFonts w:ascii="Times New Roman" w:hAnsi="Times New Roman" w:cs="Times New Roman"/>
          <w:bCs/>
          <w:color w:val="auto"/>
          <w:lang w:val="en-US"/>
        </w:rPr>
      </w:pPr>
      <w:r w:rsidRPr="002417C1">
        <w:rPr>
          <w:rFonts w:ascii="Times New Roman" w:hAnsi="Times New Roman" w:cs="Times New Roman"/>
          <w:bCs/>
          <w:i/>
          <w:color w:val="auto"/>
          <w:lang w:val="en-US"/>
        </w:rPr>
        <w:t>Article 7, §1 of the draft RTS on SD</w:t>
      </w:r>
      <w:r w:rsidRPr="002417C1">
        <w:rPr>
          <w:rFonts w:ascii="Times New Roman" w:hAnsi="Times New Roman" w:cs="Times New Roman"/>
          <w:bCs/>
          <w:color w:val="auto"/>
          <w:lang w:val="en-US"/>
        </w:rPr>
        <w:t xml:space="preserve">  - In case of settlement instructions that are on hold at the end of ISD, we assume that both parties will be subject to a penalty;</w:t>
      </w:r>
    </w:p>
    <w:p w:rsidR="00264558" w:rsidRPr="002417C1" w:rsidRDefault="00264558" w:rsidP="00C947F5">
      <w:pPr>
        <w:pStyle w:val="Default"/>
        <w:numPr>
          <w:ilvl w:val="0"/>
          <w:numId w:val="36"/>
        </w:numPr>
        <w:spacing w:line="360" w:lineRule="auto"/>
        <w:ind w:left="709" w:hanging="425"/>
        <w:jc w:val="both"/>
        <w:rPr>
          <w:rFonts w:ascii="Times New Roman" w:hAnsi="Times New Roman" w:cs="Times New Roman"/>
          <w:bCs/>
          <w:color w:val="auto"/>
          <w:lang w:val="en-US"/>
        </w:rPr>
      </w:pPr>
      <w:r w:rsidRPr="002417C1">
        <w:rPr>
          <w:rFonts w:ascii="Times New Roman" w:hAnsi="Times New Roman" w:cs="Times New Roman"/>
          <w:bCs/>
          <w:i/>
          <w:color w:val="auto"/>
          <w:lang w:val="en-US"/>
        </w:rPr>
        <w:t>Article 7, §3 of the draft RTS on SD</w:t>
      </w:r>
      <w:r w:rsidRPr="002417C1">
        <w:rPr>
          <w:rFonts w:ascii="Times New Roman" w:hAnsi="Times New Roman" w:cs="Times New Roman"/>
          <w:bCs/>
          <w:color w:val="auto"/>
          <w:lang w:val="en-US"/>
        </w:rPr>
        <w:t xml:space="preserve"> – In case both instructions entered into the system a</w:t>
      </w:r>
      <w:r w:rsidRPr="002417C1">
        <w:rPr>
          <w:rFonts w:ascii="Times New Roman" w:hAnsi="Times New Roman" w:cs="Times New Roman"/>
          <w:bCs/>
          <w:color w:val="auto"/>
          <w:lang w:val="en-US"/>
        </w:rPr>
        <w:t>f</w:t>
      </w:r>
      <w:r w:rsidRPr="002417C1">
        <w:rPr>
          <w:rFonts w:ascii="Times New Roman" w:hAnsi="Times New Roman" w:cs="Times New Roman"/>
          <w:bCs/>
          <w:color w:val="auto"/>
          <w:lang w:val="en-US"/>
        </w:rPr>
        <w:t>ter ISD, we assume that both parties will be subject to a penalty; nevertheless, it is not clear if both parties are liable for the entire period from ISD, or if some exemption will apply to the participant instructing the system first (i.e., the period will be equal to both parties or different depending on the date whether the participant instructed the system);</w:t>
      </w:r>
    </w:p>
    <w:p w:rsidR="00264558" w:rsidRPr="002417C1" w:rsidRDefault="00264558" w:rsidP="00C947F5">
      <w:pPr>
        <w:pStyle w:val="Default"/>
        <w:numPr>
          <w:ilvl w:val="0"/>
          <w:numId w:val="36"/>
        </w:numPr>
        <w:spacing w:line="360" w:lineRule="auto"/>
        <w:ind w:left="709" w:hanging="425"/>
        <w:jc w:val="both"/>
        <w:rPr>
          <w:rFonts w:ascii="Times New Roman" w:hAnsi="Times New Roman" w:cs="Times New Roman"/>
          <w:bCs/>
          <w:color w:val="auto"/>
          <w:lang w:val="en-US"/>
        </w:rPr>
      </w:pPr>
      <w:r w:rsidRPr="002417C1">
        <w:rPr>
          <w:rFonts w:ascii="Times New Roman" w:hAnsi="Times New Roman" w:cs="Times New Roman"/>
          <w:bCs/>
          <w:i/>
          <w:color w:val="auto"/>
          <w:lang w:val="en-US"/>
        </w:rPr>
        <w:t>Article 7, §5 of the draft RTS on SD</w:t>
      </w:r>
      <w:r w:rsidRPr="002417C1">
        <w:rPr>
          <w:rFonts w:ascii="Times New Roman" w:hAnsi="Times New Roman" w:cs="Times New Roman"/>
          <w:bCs/>
          <w:color w:val="auto"/>
          <w:lang w:val="en-US"/>
        </w:rPr>
        <w:t xml:space="preserve"> – it should be clarified the meaning and reason for a “</w:t>
      </w:r>
      <w:r w:rsidRPr="002417C1">
        <w:rPr>
          <w:rFonts w:ascii="Times New Roman" w:hAnsi="Times New Roman" w:cs="Times New Roman"/>
          <w:bCs/>
          <w:i/>
          <w:color w:val="auto"/>
          <w:lang w:val="en-US"/>
        </w:rPr>
        <w:t>dedicated cash account</w:t>
      </w:r>
      <w:r w:rsidRPr="002417C1">
        <w:rPr>
          <w:rFonts w:ascii="Times New Roman" w:hAnsi="Times New Roman" w:cs="Times New Roman"/>
          <w:bCs/>
          <w:color w:val="auto"/>
          <w:lang w:val="en-US"/>
        </w:rPr>
        <w:t>”. We assume this account as a “</w:t>
      </w:r>
      <w:r w:rsidRPr="002417C1">
        <w:rPr>
          <w:rFonts w:ascii="Times New Roman" w:hAnsi="Times New Roman" w:cs="Times New Roman"/>
          <w:bCs/>
          <w:i/>
          <w:color w:val="auto"/>
          <w:lang w:val="en-US"/>
        </w:rPr>
        <w:t>technical account</w:t>
      </w:r>
      <w:r w:rsidRPr="002417C1">
        <w:rPr>
          <w:rFonts w:ascii="Times New Roman" w:hAnsi="Times New Roman" w:cs="Times New Roman"/>
          <w:bCs/>
          <w:color w:val="auto"/>
          <w:lang w:val="en-US"/>
        </w:rPr>
        <w:t>” opened by the CSD exclusively for collecting and redistributing penalties from and to the partic</w:t>
      </w:r>
      <w:r w:rsidRPr="002417C1">
        <w:rPr>
          <w:rFonts w:ascii="Times New Roman" w:hAnsi="Times New Roman" w:cs="Times New Roman"/>
          <w:bCs/>
          <w:color w:val="auto"/>
          <w:lang w:val="en-US"/>
        </w:rPr>
        <w:t>i</w:t>
      </w:r>
      <w:r w:rsidRPr="002417C1">
        <w:rPr>
          <w:rFonts w:ascii="Times New Roman" w:hAnsi="Times New Roman" w:cs="Times New Roman"/>
          <w:bCs/>
          <w:color w:val="auto"/>
          <w:lang w:val="en-US"/>
        </w:rPr>
        <w:t>pants but we do not understand the reason to this imposition;</w:t>
      </w:r>
    </w:p>
    <w:p w:rsidR="00264558" w:rsidRPr="002417C1" w:rsidRDefault="00264558" w:rsidP="00C947F5">
      <w:pPr>
        <w:pStyle w:val="Default"/>
        <w:numPr>
          <w:ilvl w:val="0"/>
          <w:numId w:val="36"/>
        </w:numPr>
        <w:spacing w:line="360" w:lineRule="auto"/>
        <w:ind w:left="709" w:hanging="425"/>
        <w:jc w:val="both"/>
        <w:rPr>
          <w:rFonts w:ascii="Times New Roman" w:hAnsi="Times New Roman" w:cs="Times New Roman"/>
          <w:bCs/>
          <w:color w:val="auto"/>
          <w:lang w:val="en-US"/>
        </w:rPr>
      </w:pPr>
      <w:r w:rsidRPr="002417C1">
        <w:rPr>
          <w:rFonts w:ascii="Times New Roman" w:hAnsi="Times New Roman" w:cs="Times New Roman"/>
          <w:bCs/>
          <w:i/>
          <w:color w:val="auto"/>
          <w:lang w:val="en-US"/>
        </w:rPr>
        <w:t>Article 7, §6 of the draft RTS on SD</w:t>
      </w:r>
      <w:r w:rsidRPr="002417C1">
        <w:rPr>
          <w:rFonts w:ascii="Times New Roman" w:hAnsi="Times New Roman" w:cs="Times New Roman"/>
          <w:bCs/>
          <w:color w:val="auto"/>
          <w:lang w:val="en-US"/>
        </w:rPr>
        <w:t xml:space="preserve"> – It should be clarified the regime previewed in this paragraph which refers that when CSDs are using a common settlement infrastructure, they should jointly manage the cash penalty system. This issue assumes relevance, in terms of interpretation and concrete application in a T2S context where a number of CSDs will share a common settlement platform.</w:t>
      </w:r>
    </w:p>
    <w:p w:rsidR="00264558" w:rsidRPr="002417C1" w:rsidRDefault="00264558" w:rsidP="00264558">
      <w:pPr>
        <w:pStyle w:val="Default"/>
        <w:spacing w:line="360" w:lineRule="auto"/>
        <w:ind w:left="709" w:hanging="425"/>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  </w:t>
      </w: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The Redistribution of cash penalties</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We support the regime established in Article 8 of the draft RTS on SD, in what concerns the redistribution of cash penalties.</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In what concerns the proposed regime, we raise the following comments:</w:t>
      </w:r>
    </w:p>
    <w:p w:rsidR="00264558" w:rsidRPr="002417C1" w:rsidRDefault="00264558" w:rsidP="00C947F5">
      <w:pPr>
        <w:pStyle w:val="Default"/>
        <w:numPr>
          <w:ilvl w:val="0"/>
          <w:numId w:val="37"/>
        </w:numPr>
        <w:spacing w:line="360" w:lineRule="auto"/>
        <w:ind w:left="709" w:hanging="425"/>
        <w:jc w:val="both"/>
        <w:rPr>
          <w:rFonts w:ascii="Times New Roman" w:hAnsi="Times New Roman" w:cs="Times New Roman"/>
          <w:bCs/>
          <w:color w:val="auto"/>
          <w:lang w:val="en-US"/>
        </w:rPr>
      </w:pPr>
      <w:r w:rsidRPr="002417C1">
        <w:rPr>
          <w:rFonts w:ascii="Times New Roman" w:hAnsi="Times New Roman" w:cs="Times New Roman"/>
          <w:bCs/>
          <w:color w:val="auto"/>
          <w:lang w:val="en-US"/>
        </w:rPr>
        <w:t>Article 8, §2 of the draft RTS on SD – expressly establishes that “</w:t>
      </w:r>
      <w:r w:rsidRPr="002417C1">
        <w:rPr>
          <w:rFonts w:ascii="Times New Roman" w:hAnsi="Times New Roman" w:cs="Times New Roman"/>
          <w:bCs/>
          <w:i/>
          <w:color w:val="auto"/>
          <w:lang w:val="en-US"/>
        </w:rPr>
        <w:t>The CSD shall redi</w:t>
      </w:r>
      <w:r w:rsidRPr="002417C1">
        <w:rPr>
          <w:rFonts w:ascii="Times New Roman" w:hAnsi="Times New Roman" w:cs="Times New Roman"/>
          <w:bCs/>
          <w:i/>
          <w:color w:val="auto"/>
          <w:lang w:val="en-US"/>
        </w:rPr>
        <w:t>s</w:t>
      </w:r>
      <w:r w:rsidRPr="002417C1">
        <w:rPr>
          <w:rFonts w:ascii="Times New Roman" w:hAnsi="Times New Roman" w:cs="Times New Roman"/>
          <w:bCs/>
          <w:i/>
          <w:color w:val="auto"/>
          <w:lang w:val="en-US"/>
        </w:rPr>
        <w:t>tribute the net amount to be received by each participant at least on a monthly basis, shortly after receiving payment of the penalty charged</w:t>
      </w:r>
      <w:r w:rsidRPr="002417C1">
        <w:rPr>
          <w:rFonts w:ascii="Times New Roman" w:hAnsi="Times New Roman" w:cs="Times New Roman"/>
          <w:bCs/>
          <w:color w:val="auto"/>
          <w:lang w:val="en-US"/>
        </w:rPr>
        <w:t xml:space="preserve">”. We agree that CSDs cannot bear any financial risks, and should only redistribute cash they have effectively collected (if and when collected).  </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lastRenderedPageBreak/>
        <w:t>The specific situation where a CCP is involved</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We believe that Article 9 of the draft RTS on SD should give enough flexibility for CSDs and CCPs to establish the appropriate communication flow and procedures to properly implement the penalty mechanism.</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On the other hand the different CCP operating models should lead to different answers/solutions. For example, only the trade-date-netting (and not the continuous net settlement) would allow the CSD to calculate and collect penalties correctly.  </w:t>
      </w:r>
    </w:p>
    <w:p w:rsidR="00264558" w:rsidRPr="002417C1" w:rsidRDefault="00264558" w:rsidP="00264558">
      <w:pPr>
        <w:pStyle w:val="Default"/>
        <w:spacing w:line="360" w:lineRule="auto"/>
        <w:jc w:val="both"/>
        <w:rPr>
          <w:rFonts w:ascii="Times New Roman" w:hAnsi="Times New Roman" w:cs="Times New Roman"/>
          <w:bCs/>
          <w:color w:val="auto"/>
          <w:lang w:val="en-US"/>
        </w:rPr>
      </w:pPr>
    </w:p>
    <w:p w:rsidR="00264558" w:rsidRPr="002417C1" w:rsidRDefault="00264558" w:rsidP="00264558">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Cost of the penalty mechanism</w:t>
      </w:r>
    </w:p>
    <w:p w:rsidR="00264558" w:rsidRPr="002417C1" w:rsidRDefault="00264558" w:rsidP="00264558">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We assume that article 10 of the draft RTS on SD allows CSDs to decide how the costs of the penalty mechanism should be charged to participants. </w:t>
      </w:r>
    </w:p>
    <w:permEnd w:id="8"/>
    <w:p w:rsidR="00D12AFD" w:rsidRDefault="00D12AFD" w:rsidP="00D12AFD">
      <w:r>
        <w:t>&lt;ESMA_QUESTION_TS_CSDR_6&gt;</w:t>
      </w:r>
    </w:p>
    <w:p w:rsidR="00D12AFD" w:rsidRDefault="00D12AFD" w:rsidP="00965B03">
      <w:pPr>
        <w:pStyle w:val="Ttulo5"/>
        <w:ind w:left="567" w:hanging="567"/>
      </w:pPr>
      <w:r w:rsidRPr="002C4F00">
        <w:t>What are your views on the proposed draft RTS related to the buy-in process?</w:t>
      </w:r>
    </w:p>
    <w:p w:rsidR="00D12AFD" w:rsidRDefault="00D12AFD" w:rsidP="00BA1DEE">
      <w:pPr>
        <w:pStyle w:val="Ttulo5"/>
        <w:numPr>
          <w:ilvl w:val="0"/>
          <w:numId w:val="0"/>
        </w:numPr>
        <w:ind w:left="567"/>
        <w:rPr>
          <w:b w:val="0"/>
        </w:rPr>
      </w:pPr>
      <w:r w:rsidRPr="002C4F00">
        <w:t>In particular, what are your views on applying partial settlement at the end of the e</w:t>
      </w:r>
      <w:r w:rsidRPr="002C4F00">
        <w:t>x</w:t>
      </w:r>
      <w:r w:rsidRPr="002C4F00">
        <w:t>tension period? Do you consider that the partialling of the settlement instruction would impact the rights and obligations of the participants?</w:t>
      </w:r>
    </w:p>
    <w:p w:rsidR="00D12AFD" w:rsidRPr="002C4F00" w:rsidRDefault="00D12AFD" w:rsidP="00BA1DEE">
      <w:pPr>
        <w:pStyle w:val="Ttulo5"/>
        <w:numPr>
          <w:ilvl w:val="0"/>
          <w:numId w:val="0"/>
        </w:numPr>
        <w:ind w:left="567"/>
      </w:pPr>
      <w:r w:rsidRPr="002C4F00">
        <w:t xml:space="preserve"> What do you think about the proposed approach for limiting multiple buy-in and the timing for the participant to provide the information to the CSD?</w:t>
      </w:r>
    </w:p>
    <w:p w:rsidR="00D12AFD" w:rsidRDefault="00D12AFD" w:rsidP="00D12AFD"/>
    <w:p w:rsidR="00D12AFD" w:rsidRDefault="00D12AFD" w:rsidP="00D12AFD">
      <w:r>
        <w:t>&lt;ESMA_QUESTION_TS_CSDR_7&gt;</w:t>
      </w:r>
    </w:p>
    <w:p w:rsidR="00264558" w:rsidRPr="002417C1" w:rsidRDefault="00264558" w:rsidP="00154A34">
      <w:pPr>
        <w:spacing w:line="360" w:lineRule="auto"/>
        <w:jc w:val="both"/>
        <w:rPr>
          <w:rFonts w:ascii="Times New Roman" w:hAnsi="Times New Roman"/>
          <w:sz w:val="24"/>
          <w:lang w:val="en-US"/>
        </w:rPr>
      </w:pPr>
      <w:permStart w:id="9" w:edGrp="everyone"/>
      <w:r w:rsidRPr="002417C1">
        <w:rPr>
          <w:rFonts w:ascii="Times New Roman" w:hAnsi="Times New Roman"/>
          <w:sz w:val="24"/>
          <w:lang w:val="en-US"/>
        </w:rPr>
        <w:t>We agree with the objectives that were considered by ESMA on the creation of the buy-in draft standards: (</w:t>
      </w:r>
      <w:proofErr w:type="spellStart"/>
      <w:r w:rsidRPr="002417C1">
        <w:rPr>
          <w:rFonts w:ascii="Times New Roman" w:hAnsi="Times New Roman"/>
          <w:sz w:val="24"/>
          <w:lang w:val="en-US"/>
        </w:rPr>
        <w:t>i</w:t>
      </w:r>
      <w:proofErr w:type="spellEnd"/>
      <w:r w:rsidRPr="002417C1">
        <w:rPr>
          <w:rFonts w:ascii="Times New Roman" w:hAnsi="Times New Roman"/>
          <w:sz w:val="24"/>
          <w:lang w:val="en-US"/>
        </w:rPr>
        <w:t xml:space="preserve">) harmonization of the buy-in process; (ii) limitation of unjustified risks for the CSD, CCP or trading venue.  </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Nevertheless, we believe that ESMA should have in consideration on drafting the RTS the fo</w:t>
      </w:r>
      <w:r w:rsidRPr="002417C1">
        <w:rPr>
          <w:rFonts w:ascii="Times New Roman" w:hAnsi="Times New Roman"/>
          <w:sz w:val="24"/>
          <w:lang w:val="en-US"/>
        </w:rPr>
        <w:t>l</w:t>
      </w:r>
      <w:r w:rsidRPr="002417C1">
        <w:rPr>
          <w:rFonts w:ascii="Times New Roman" w:hAnsi="Times New Roman"/>
          <w:sz w:val="24"/>
          <w:lang w:val="en-US"/>
        </w:rPr>
        <w:t>lowing aspects:</w:t>
      </w:r>
    </w:p>
    <w:p w:rsidR="00264558" w:rsidRPr="002417C1" w:rsidRDefault="00264558" w:rsidP="00C947F5">
      <w:pPr>
        <w:pStyle w:val="PargrafodaLista"/>
        <w:numPr>
          <w:ilvl w:val="0"/>
          <w:numId w:val="41"/>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 xml:space="preserve">The CCPs, differently from CSDs, assume risks inherent to the performed functions; </w:t>
      </w:r>
    </w:p>
    <w:p w:rsidR="00264558" w:rsidRPr="002417C1" w:rsidRDefault="00264558" w:rsidP="00C947F5">
      <w:pPr>
        <w:pStyle w:val="PargrafodaLista"/>
        <w:numPr>
          <w:ilvl w:val="0"/>
          <w:numId w:val="41"/>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Currently, CSDs are generally not involved in the execution of buy-ins (only the markets that do not have CCP), which is mainly CCPs’ responsibility;</w:t>
      </w:r>
    </w:p>
    <w:p w:rsidR="00264558" w:rsidRPr="002417C1" w:rsidRDefault="00264558" w:rsidP="00C947F5">
      <w:pPr>
        <w:pStyle w:val="PargrafodaLista"/>
        <w:numPr>
          <w:ilvl w:val="0"/>
          <w:numId w:val="41"/>
        </w:numPr>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However, the draft RTS on SD will force CSDs to assume new responsibility related to buy-ins, which can increase CSDs risk profile (in contradiction with the aim of the ESCB/CESR standards, CPSS/IOSCO principles and the objective of the CSDR to not i</w:t>
      </w:r>
      <w:r w:rsidRPr="002417C1">
        <w:rPr>
          <w:rFonts w:ascii="Times New Roman" w:hAnsi="Times New Roman"/>
          <w:sz w:val="24"/>
          <w:lang w:val="en-US"/>
        </w:rPr>
        <w:t>n</w:t>
      </w:r>
      <w:r w:rsidRPr="002417C1">
        <w:rPr>
          <w:rFonts w:ascii="Times New Roman" w:hAnsi="Times New Roman"/>
          <w:sz w:val="24"/>
          <w:lang w:val="en-US"/>
        </w:rPr>
        <w:t>crease CSDs risk profile), namely regarding the following obligations imposed to the CSDs:</w:t>
      </w:r>
    </w:p>
    <w:p w:rsidR="00264558" w:rsidRPr="002417C1" w:rsidRDefault="00264558" w:rsidP="00C947F5">
      <w:pPr>
        <w:pStyle w:val="PargrafodaLista"/>
        <w:numPr>
          <w:ilvl w:val="1"/>
          <w:numId w:val="38"/>
        </w:numPr>
        <w:spacing w:line="360" w:lineRule="auto"/>
        <w:ind w:left="993" w:hanging="284"/>
        <w:contextualSpacing w:val="0"/>
        <w:jc w:val="both"/>
        <w:rPr>
          <w:rFonts w:ascii="Times New Roman" w:hAnsi="Times New Roman"/>
          <w:sz w:val="24"/>
          <w:lang w:val="en-US"/>
        </w:rPr>
      </w:pPr>
      <w:r w:rsidRPr="002417C1">
        <w:rPr>
          <w:rFonts w:ascii="Times New Roman" w:hAnsi="Times New Roman"/>
          <w:sz w:val="24"/>
          <w:lang w:val="en-US"/>
        </w:rPr>
        <w:t>To have access to detailed information on buy-ins;</w:t>
      </w:r>
    </w:p>
    <w:p w:rsidR="00264558" w:rsidRPr="002417C1" w:rsidRDefault="00264558" w:rsidP="00C947F5">
      <w:pPr>
        <w:pStyle w:val="PargrafodaLista"/>
        <w:numPr>
          <w:ilvl w:val="1"/>
          <w:numId w:val="38"/>
        </w:numPr>
        <w:spacing w:line="360" w:lineRule="auto"/>
        <w:ind w:left="993" w:hanging="284"/>
        <w:contextualSpacing w:val="0"/>
        <w:jc w:val="both"/>
        <w:rPr>
          <w:rFonts w:ascii="Times New Roman" w:hAnsi="Times New Roman"/>
          <w:sz w:val="24"/>
          <w:lang w:val="en-US"/>
        </w:rPr>
      </w:pPr>
      <w:r w:rsidRPr="002417C1">
        <w:rPr>
          <w:rFonts w:ascii="Times New Roman" w:hAnsi="Times New Roman"/>
          <w:sz w:val="24"/>
          <w:lang w:val="en-US"/>
        </w:rPr>
        <w:lastRenderedPageBreak/>
        <w:t>To be able to identify buy-ins from other securities deliveries;</w:t>
      </w:r>
    </w:p>
    <w:p w:rsidR="00264558" w:rsidRPr="002417C1" w:rsidRDefault="00264558" w:rsidP="00C947F5">
      <w:pPr>
        <w:pStyle w:val="PargrafodaLista"/>
        <w:numPr>
          <w:ilvl w:val="1"/>
          <w:numId w:val="38"/>
        </w:numPr>
        <w:spacing w:line="360" w:lineRule="auto"/>
        <w:ind w:left="993" w:hanging="284"/>
        <w:contextualSpacing w:val="0"/>
        <w:jc w:val="both"/>
        <w:rPr>
          <w:rFonts w:ascii="Times New Roman" w:hAnsi="Times New Roman"/>
          <w:sz w:val="24"/>
          <w:lang w:val="en-US"/>
        </w:rPr>
      </w:pPr>
      <w:r w:rsidRPr="002417C1">
        <w:rPr>
          <w:rFonts w:ascii="Times New Roman" w:hAnsi="Times New Roman"/>
          <w:sz w:val="24"/>
          <w:lang w:val="en-US"/>
        </w:rPr>
        <w:t xml:space="preserve">To appoint, in some cases, a buy-in agent; </w:t>
      </w:r>
    </w:p>
    <w:p w:rsidR="00264558" w:rsidRPr="002417C1" w:rsidRDefault="00264558" w:rsidP="00C947F5">
      <w:pPr>
        <w:pStyle w:val="PargrafodaLista"/>
        <w:numPr>
          <w:ilvl w:val="1"/>
          <w:numId w:val="38"/>
        </w:numPr>
        <w:spacing w:line="360" w:lineRule="auto"/>
        <w:ind w:left="993" w:hanging="284"/>
        <w:contextualSpacing w:val="0"/>
        <w:jc w:val="both"/>
        <w:rPr>
          <w:rFonts w:ascii="Times New Roman" w:hAnsi="Times New Roman"/>
          <w:sz w:val="24"/>
          <w:lang w:val="en-US"/>
        </w:rPr>
      </w:pPr>
      <w:r w:rsidRPr="002417C1">
        <w:rPr>
          <w:rFonts w:ascii="Times New Roman" w:hAnsi="Times New Roman"/>
          <w:sz w:val="24"/>
          <w:lang w:val="en-US"/>
        </w:rPr>
        <w:t xml:space="preserve">To test consistency on the instructions they receive in order to prevent multiple </w:t>
      </w:r>
      <w:proofErr w:type="gramStart"/>
      <w:r w:rsidRPr="002417C1">
        <w:rPr>
          <w:rFonts w:ascii="Times New Roman" w:hAnsi="Times New Roman"/>
          <w:sz w:val="24"/>
          <w:lang w:val="en-US"/>
        </w:rPr>
        <w:t>buy-ins</w:t>
      </w:r>
      <w:proofErr w:type="gramEnd"/>
      <w:r w:rsidRPr="002417C1">
        <w:rPr>
          <w:rFonts w:ascii="Times New Roman" w:hAnsi="Times New Roman"/>
          <w:sz w:val="24"/>
          <w:lang w:val="en-US"/>
        </w:rPr>
        <w:t xml:space="preserve">. </w:t>
      </w:r>
    </w:p>
    <w:p w:rsidR="00264558" w:rsidRPr="002417C1" w:rsidRDefault="00264558" w:rsidP="00154A34">
      <w:pPr>
        <w:tabs>
          <w:tab w:val="left" w:pos="567"/>
        </w:tabs>
        <w:spacing w:line="360" w:lineRule="auto"/>
        <w:jc w:val="both"/>
        <w:rPr>
          <w:rFonts w:ascii="Times New Roman" w:hAnsi="Times New Roman"/>
          <w:sz w:val="24"/>
          <w:lang w:val="en-US"/>
        </w:rPr>
      </w:pP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Considering that the buy-in is mainly the enforcement of a legal obligation assumed at the trading level, is not comprehensible the treatment of such information at the settlement level.</w:t>
      </w: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Actually, some concerns and doubts arise from the current draft standards on buy-ins and on the role/responsibility given to the CSDs. In our understanding the following aspects should be taken into consideration by ESMA on drafting the RTSs:</w:t>
      </w:r>
    </w:p>
    <w:p w:rsidR="00264558" w:rsidRPr="002417C1" w:rsidRDefault="00264558" w:rsidP="00C947F5">
      <w:pPr>
        <w:pStyle w:val="PargrafodaLista"/>
        <w:numPr>
          <w:ilvl w:val="0"/>
          <w:numId w:val="39"/>
        </w:numPr>
        <w:tabs>
          <w:tab w:val="left" w:pos="567"/>
        </w:tabs>
        <w:spacing w:line="360" w:lineRule="auto"/>
        <w:ind w:left="567" w:hanging="567"/>
        <w:contextualSpacing w:val="0"/>
        <w:jc w:val="both"/>
        <w:rPr>
          <w:rFonts w:ascii="Times New Roman" w:hAnsi="Times New Roman"/>
          <w:sz w:val="24"/>
          <w:lang w:val="en-US"/>
        </w:rPr>
      </w:pPr>
      <w:r w:rsidRPr="002417C1">
        <w:rPr>
          <w:rFonts w:ascii="Times New Roman" w:hAnsi="Times New Roman"/>
          <w:bCs/>
          <w:sz w:val="24"/>
          <w:lang w:val="en-US"/>
        </w:rPr>
        <w:t xml:space="preserve">CSDs do not have, at settlement level, total and univocal correspondence between trades and settlement instructions. </w:t>
      </w:r>
    </w:p>
    <w:p w:rsidR="00264558" w:rsidRPr="002417C1" w:rsidRDefault="00264558" w:rsidP="00C947F5">
      <w:pPr>
        <w:pStyle w:val="PargrafodaLista"/>
        <w:numPr>
          <w:ilvl w:val="0"/>
          <w:numId w:val="39"/>
        </w:numPr>
        <w:tabs>
          <w:tab w:val="left" w:pos="567"/>
        </w:tabs>
        <w:spacing w:line="360" w:lineRule="auto"/>
        <w:ind w:left="567" w:hanging="567"/>
        <w:contextualSpacing w:val="0"/>
        <w:jc w:val="both"/>
        <w:rPr>
          <w:rFonts w:ascii="Times New Roman" w:hAnsi="Times New Roman"/>
          <w:sz w:val="24"/>
          <w:lang w:val="en-US"/>
        </w:rPr>
      </w:pPr>
      <w:r w:rsidRPr="002417C1">
        <w:rPr>
          <w:rFonts w:ascii="Times New Roman" w:hAnsi="Times New Roman"/>
          <w:bCs/>
          <w:sz w:val="24"/>
          <w:lang w:val="en-US"/>
        </w:rPr>
        <w:t xml:space="preserve">CSDs do not have any contractual relationship with the trade counterparties (responsible for executing buy-ins). </w:t>
      </w:r>
    </w:p>
    <w:p w:rsidR="00264558" w:rsidRPr="002417C1" w:rsidRDefault="00264558" w:rsidP="00C947F5">
      <w:pPr>
        <w:pStyle w:val="PargrafodaLista"/>
        <w:numPr>
          <w:ilvl w:val="0"/>
          <w:numId w:val="39"/>
        </w:numPr>
        <w:tabs>
          <w:tab w:val="left" w:pos="567"/>
        </w:tabs>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CSDs do not have possibility to control if the collected information on buy-ins is complete and/or correct. This information is known and available to the counterparties to the transa</w:t>
      </w:r>
      <w:r w:rsidRPr="002417C1">
        <w:rPr>
          <w:rFonts w:ascii="Times New Roman" w:hAnsi="Times New Roman"/>
          <w:sz w:val="24"/>
          <w:lang w:val="en-US"/>
        </w:rPr>
        <w:t>c</w:t>
      </w:r>
      <w:r w:rsidRPr="002417C1">
        <w:rPr>
          <w:rFonts w:ascii="Times New Roman" w:hAnsi="Times New Roman"/>
          <w:sz w:val="24"/>
          <w:lang w:val="en-US"/>
        </w:rPr>
        <w:t>tion.</w:t>
      </w:r>
    </w:p>
    <w:p w:rsidR="00264558" w:rsidRPr="002417C1" w:rsidRDefault="00264558" w:rsidP="00C947F5">
      <w:pPr>
        <w:pStyle w:val="PargrafodaLista"/>
        <w:numPr>
          <w:ilvl w:val="0"/>
          <w:numId w:val="39"/>
        </w:numPr>
        <w:tabs>
          <w:tab w:val="left" w:pos="567"/>
        </w:tabs>
        <w:spacing w:line="360" w:lineRule="auto"/>
        <w:ind w:left="567" w:hanging="567"/>
        <w:contextualSpacing w:val="0"/>
        <w:jc w:val="both"/>
        <w:rPr>
          <w:rFonts w:ascii="Times New Roman" w:hAnsi="Times New Roman"/>
          <w:sz w:val="24"/>
          <w:lang w:val="en-US"/>
        </w:rPr>
      </w:pPr>
      <w:r w:rsidRPr="002417C1">
        <w:rPr>
          <w:rFonts w:ascii="Times New Roman" w:hAnsi="Times New Roman"/>
          <w:sz w:val="24"/>
          <w:lang w:val="en-US"/>
        </w:rPr>
        <w:t>CSDs will have to create a flow for collecting information, because CSDs participants do not know all the transaction chain. We understand, in line with T2S AG response to ESMA standards that the information should flow across the chain from the CSD participants to the trading members. There “</w:t>
      </w:r>
      <w:r w:rsidRPr="002417C1">
        <w:rPr>
          <w:rFonts w:ascii="Times New Roman" w:hAnsi="Times New Roman"/>
          <w:i/>
          <w:sz w:val="24"/>
          <w:lang w:val="en-US"/>
        </w:rPr>
        <w:t>should be an inverse flow process, i.e. the CSD first informs its participants on the failed settlement transactions. As a next step in the process flow, the CSD participants inform their own clients responsible for the failed transaction. On their part, trading parties shall inform the CSD of the status of the buy-in process, through the CSD participants (</w:t>
      </w:r>
      <w:proofErr w:type="spellStart"/>
      <w:r w:rsidRPr="002417C1">
        <w:rPr>
          <w:rFonts w:ascii="Times New Roman" w:hAnsi="Times New Roman"/>
          <w:i/>
          <w:sz w:val="24"/>
          <w:lang w:val="en-US"/>
        </w:rPr>
        <w:t>i.e</w:t>
      </w:r>
      <w:proofErr w:type="spellEnd"/>
      <w:r w:rsidRPr="002417C1">
        <w:rPr>
          <w:rFonts w:ascii="Times New Roman" w:hAnsi="Times New Roman"/>
          <w:i/>
          <w:sz w:val="24"/>
          <w:lang w:val="en-US"/>
        </w:rPr>
        <w:t xml:space="preserve"> the settlement agents)</w:t>
      </w:r>
      <w:r w:rsidRPr="002417C1">
        <w:rPr>
          <w:rFonts w:ascii="Times New Roman" w:hAnsi="Times New Roman"/>
          <w:sz w:val="24"/>
          <w:lang w:val="en-US"/>
        </w:rPr>
        <w:t>”.</w:t>
      </w:r>
    </w:p>
    <w:p w:rsidR="00264558" w:rsidRPr="002417C1" w:rsidRDefault="00264558" w:rsidP="00154A34">
      <w:pPr>
        <w:tabs>
          <w:tab w:val="left" w:pos="567"/>
        </w:tabs>
        <w:spacing w:line="360" w:lineRule="auto"/>
        <w:jc w:val="both"/>
        <w:rPr>
          <w:rFonts w:ascii="Times New Roman" w:hAnsi="Times New Roman"/>
          <w:sz w:val="24"/>
          <w:lang w:val="en-US"/>
        </w:rPr>
      </w:pP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 xml:space="preserve">In what concerns the managing of buy-ins for non-CCP cleared instruments (article 11, §10 of the draft RTS on SD) we </w:t>
      </w:r>
      <w:r w:rsidRPr="002417C1">
        <w:rPr>
          <w:rFonts w:ascii="Times New Roman" w:hAnsi="Times New Roman"/>
          <w:sz w:val="24"/>
          <w:lang w:val="en-IE"/>
        </w:rPr>
        <w:t>consider that the responsibility for managing buy-ins should lie with the trading participants, who will have the necessary information to trigger the buy-in process.</w:t>
      </w:r>
      <w:r w:rsidRPr="002417C1">
        <w:rPr>
          <w:rFonts w:ascii="Times New Roman" w:hAnsi="Times New Roman"/>
          <w:sz w:val="24"/>
          <w:lang w:val="en-US"/>
        </w:rPr>
        <w:t xml:space="preserve"> It should be considered that neither the CSDs nor the trading venues have access to this info</w:t>
      </w:r>
      <w:r w:rsidRPr="002417C1">
        <w:rPr>
          <w:rFonts w:ascii="Times New Roman" w:hAnsi="Times New Roman"/>
          <w:sz w:val="24"/>
          <w:lang w:val="en-US"/>
        </w:rPr>
        <w:t>r</w:t>
      </w:r>
      <w:r w:rsidRPr="002417C1">
        <w:rPr>
          <w:rFonts w:ascii="Times New Roman" w:hAnsi="Times New Roman"/>
          <w:sz w:val="24"/>
          <w:lang w:val="en-US"/>
        </w:rPr>
        <w:t>mation, which is only available to the counterparties to the transaction (see on this context FESE answer that we totally subscribe).</w:t>
      </w:r>
    </w:p>
    <w:p w:rsidR="00264558" w:rsidRPr="002417C1" w:rsidRDefault="00264558" w:rsidP="00154A34">
      <w:pPr>
        <w:tabs>
          <w:tab w:val="left" w:pos="567"/>
        </w:tabs>
        <w:spacing w:line="360" w:lineRule="auto"/>
        <w:jc w:val="both"/>
        <w:rPr>
          <w:rFonts w:ascii="Times New Roman" w:hAnsi="Times New Roman"/>
          <w:sz w:val="24"/>
          <w:lang w:val="en-US"/>
        </w:rPr>
      </w:pPr>
    </w:p>
    <w:p w:rsidR="00264558" w:rsidRPr="002417C1" w:rsidRDefault="00264558" w:rsidP="00154A34">
      <w:pPr>
        <w:spacing w:line="360" w:lineRule="auto"/>
        <w:jc w:val="both"/>
        <w:rPr>
          <w:rFonts w:ascii="Times New Roman" w:hAnsi="Times New Roman"/>
          <w:sz w:val="24"/>
          <w:lang w:val="en-IE"/>
        </w:rPr>
      </w:pPr>
      <w:r w:rsidRPr="002417C1">
        <w:rPr>
          <w:rFonts w:ascii="Times New Roman" w:hAnsi="Times New Roman"/>
          <w:sz w:val="24"/>
          <w:lang w:val="en-IE"/>
        </w:rPr>
        <w:t>As FESE point out in its response to ESMA public consultation, we note that there are diffe</w:t>
      </w:r>
      <w:r w:rsidRPr="002417C1">
        <w:rPr>
          <w:rFonts w:ascii="Times New Roman" w:hAnsi="Times New Roman"/>
          <w:sz w:val="24"/>
          <w:lang w:val="en-IE"/>
        </w:rPr>
        <w:t>r</w:t>
      </w:r>
      <w:r w:rsidRPr="002417C1">
        <w:rPr>
          <w:rFonts w:ascii="Times New Roman" w:hAnsi="Times New Roman"/>
          <w:sz w:val="24"/>
          <w:lang w:val="en-IE"/>
        </w:rPr>
        <w:t xml:space="preserve">ences of opinion as to which infrastructure (trading venues or CSDs), should be responsible to manage buy-ins for non-CCP cleared instruments as set out in Article 7(10) of the CSDR. There is a significant risk that due to insufficient clarity in legislation and these differing views on responsibility for non-CCP cleared </w:t>
      </w:r>
      <w:proofErr w:type="gramStart"/>
      <w:r w:rsidRPr="002417C1">
        <w:rPr>
          <w:rFonts w:ascii="Times New Roman" w:hAnsi="Times New Roman"/>
          <w:sz w:val="24"/>
          <w:lang w:val="en-IE"/>
        </w:rPr>
        <w:t>instruments,</w:t>
      </w:r>
      <w:proofErr w:type="gramEnd"/>
      <w:r w:rsidRPr="002417C1">
        <w:rPr>
          <w:rFonts w:ascii="Times New Roman" w:hAnsi="Times New Roman"/>
          <w:sz w:val="24"/>
          <w:lang w:val="en-IE"/>
        </w:rPr>
        <w:t xml:space="preserve"> buy-ins for these types of trades may fall outside the regime. Therefore, we reiterate that the responsibility for managing buy-ins for non-cleared instruments should lie with the trading participants, who will have the necessary information to trigger the buy-in process. In other words, counterparties to non-cleared transactions should continue to exercise self-discipline and handle all aspects of the buy-in process, as is already common practices. This is due to the fact that trading venues are not part of the contractual chain and therefore cannot interpose themselves between buyer and seller in a formally binding co</w:t>
      </w:r>
      <w:r w:rsidRPr="002417C1">
        <w:rPr>
          <w:rFonts w:ascii="Times New Roman" w:hAnsi="Times New Roman"/>
          <w:sz w:val="24"/>
          <w:lang w:val="en-IE"/>
        </w:rPr>
        <w:t>n</w:t>
      </w:r>
      <w:r w:rsidRPr="002417C1">
        <w:rPr>
          <w:rFonts w:ascii="Times New Roman" w:hAnsi="Times New Roman"/>
          <w:sz w:val="24"/>
          <w:lang w:val="en-IE"/>
        </w:rPr>
        <w:t>tract to which they are not party.</w:t>
      </w:r>
    </w:p>
    <w:p w:rsidR="00264558" w:rsidRPr="002417C1" w:rsidRDefault="00264558" w:rsidP="00154A34">
      <w:pPr>
        <w:spacing w:line="360" w:lineRule="auto"/>
        <w:jc w:val="both"/>
        <w:rPr>
          <w:rFonts w:ascii="Times New Roman" w:hAnsi="Times New Roman"/>
          <w:sz w:val="24"/>
          <w:lang w:val="en-IE"/>
        </w:rPr>
      </w:pP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We believe that it should be reconsidered the proposed role of the CSDs and trading venues in the process described under Article 11(10) of the draft RTS on SD, or replace the same with the above mentioned regarding the “inverse flow process”.</w:t>
      </w:r>
    </w:p>
    <w:p w:rsidR="00264558" w:rsidRPr="002417C1" w:rsidRDefault="00264558" w:rsidP="00154A34">
      <w:pPr>
        <w:tabs>
          <w:tab w:val="left" w:pos="567"/>
        </w:tabs>
        <w:spacing w:line="360" w:lineRule="auto"/>
        <w:jc w:val="both"/>
        <w:rPr>
          <w:rFonts w:ascii="Times New Roman" w:hAnsi="Times New Roman"/>
          <w:i/>
          <w:sz w:val="24"/>
          <w:lang w:val="en-IE"/>
        </w:rPr>
      </w:pPr>
    </w:p>
    <w:p w:rsidR="00264558" w:rsidRPr="002417C1" w:rsidRDefault="00264558" w:rsidP="00154A34">
      <w:pPr>
        <w:tabs>
          <w:tab w:val="left" w:pos="567"/>
        </w:tabs>
        <w:spacing w:line="360" w:lineRule="auto"/>
        <w:jc w:val="both"/>
        <w:rPr>
          <w:rFonts w:ascii="Times New Roman" w:hAnsi="Times New Roman"/>
          <w:i/>
          <w:sz w:val="24"/>
          <w:lang w:val="en-US"/>
        </w:rPr>
      </w:pPr>
      <w:r w:rsidRPr="002417C1">
        <w:rPr>
          <w:rFonts w:ascii="Times New Roman" w:hAnsi="Times New Roman"/>
          <w:i/>
          <w:sz w:val="24"/>
          <w:lang w:val="en-US"/>
        </w:rPr>
        <w:t>Other concerns regarding Article 11 of draft RTS on SD:</w:t>
      </w: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i/>
          <w:sz w:val="24"/>
          <w:lang w:val="en-US"/>
        </w:rPr>
        <w:t xml:space="preserve">Article 11 of draft RTS on SD – </w:t>
      </w:r>
      <w:r w:rsidRPr="002417C1">
        <w:rPr>
          <w:rFonts w:ascii="Times New Roman" w:hAnsi="Times New Roman"/>
          <w:sz w:val="24"/>
          <w:lang w:val="en-US"/>
        </w:rPr>
        <w:t>If ESMA maintains this approach, not considering the above comments/suggestions, we believe that it should be clarified the role of each infrastructure in different scenarios (CCP cleared transactions, non-cleared on exchange transactions, non-cleared OTC transactions).</w:t>
      </w:r>
    </w:p>
    <w:p w:rsidR="00264558" w:rsidRPr="002417C1" w:rsidRDefault="00264558" w:rsidP="00154A34">
      <w:pPr>
        <w:spacing w:line="360" w:lineRule="auto"/>
        <w:jc w:val="both"/>
        <w:rPr>
          <w:rFonts w:ascii="Times New Roman" w:hAnsi="Times New Roman"/>
          <w:sz w:val="24"/>
          <w:lang w:val="en-IE"/>
        </w:rPr>
      </w:pPr>
      <w:r w:rsidRPr="002417C1">
        <w:rPr>
          <w:rFonts w:ascii="Times New Roman" w:hAnsi="Times New Roman"/>
          <w:i/>
          <w:sz w:val="24"/>
          <w:lang w:val="en-US"/>
        </w:rPr>
        <w:t xml:space="preserve">Article 11, §3 of the draft RTS on SD - </w:t>
      </w:r>
      <w:r w:rsidRPr="002417C1">
        <w:rPr>
          <w:rFonts w:ascii="Times New Roman" w:hAnsi="Times New Roman"/>
          <w:sz w:val="24"/>
          <w:lang w:val="en-IE"/>
        </w:rPr>
        <w:t>we believe that some more clarification should be given on the buy-in agent definition, namely in what concerns:</w:t>
      </w:r>
    </w:p>
    <w:p w:rsidR="00264558" w:rsidRPr="002417C1" w:rsidRDefault="00264558" w:rsidP="00C947F5">
      <w:pPr>
        <w:pStyle w:val="PargrafodaLista"/>
        <w:numPr>
          <w:ilvl w:val="0"/>
          <w:numId w:val="40"/>
        </w:numPr>
        <w:spacing w:line="360" w:lineRule="auto"/>
        <w:jc w:val="both"/>
        <w:rPr>
          <w:rFonts w:ascii="Times New Roman" w:hAnsi="Times New Roman"/>
          <w:sz w:val="24"/>
          <w:lang w:val="en-IE"/>
        </w:rPr>
      </w:pPr>
      <w:r w:rsidRPr="002417C1">
        <w:rPr>
          <w:rFonts w:ascii="Times New Roman" w:hAnsi="Times New Roman"/>
          <w:sz w:val="24"/>
          <w:lang w:val="en-IE"/>
        </w:rPr>
        <w:t>the specific role and the responsibility of the buy-in agent;</w:t>
      </w:r>
    </w:p>
    <w:p w:rsidR="00264558" w:rsidRPr="002417C1" w:rsidRDefault="00264558" w:rsidP="00C947F5">
      <w:pPr>
        <w:pStyle w:val="PargrafodaLista"/>
        <w:numPr>
          <w:ilvl w:val="0"/>
          <w:numId w:val="40"/>
        </w:numPr>
        <w:spacing w:line="360" w:lineRule="auto"/>
        <w:jc w:val="both"/>
        <w:rPr>
          <w:rFonts w:ascii="Times New Roman" w:hAnsi="Times New Roman"/>
          <w:sz w:val="24"/>
          <w:lang w:val="en-IE"/>
        </w:rPr>
      </w:pPr>
      <w:r w:rsidRPr="002417C1">
        <w:rPr>
          <w:rFonts w:ascii="Times New Roman" w:hAnsi="Times New Roman"/>
          <w:sz w:val="24"/>
          <w:lang w:val="en-IE"/>
        </w:rPr>
        <w:t>the criteria to know what party should appoint the buy-in agent</w:t>
      </w:r>
    </w:p>
    <w:p w:rsidR="00264558" w:rsidRPr="002417C1" w:rsidRDefault="00264558" w:rsidP="00C947F5">
      <w:pPr>
        <w:pStyle w:val="PargrafodaLista"/>
        <w:numPr>
          <w:ilvl w:val="0"/>
          <w:numId w:val="40"/>
        </w:numPr>
        <w:spacing w:line="360" w:lineRule="auto"/>
        <w:jc w:val="both"/>
        <w:rPr>
          <w:rFonts w:ascii="Times New Roman" w:hAnsi="Times New Roman"/>
          <w:sz w:val="24"/>
          <w:lang w:val="en-IE"/>
        </w:rPr>
      </w:pPr>
      <w:r w:rsidRPr="002417C1">
        <w:rPr>
          <w:rFonts w:ascii="Times New Roman" w:hAnsi="Times New Roman"/>
          <w:sz w:val="24"/>
          <w:lang w:val="en-IE"/>
        </w:rPr>
        <w:t>the creation of a “pool” of buy-in agents approved by the trading venues or CSDs;</w:t>
      </w:r>
    </w:p>
    <w:p w:rsidR="00264558" w:rsidRPr="002417C1" w:rsidRDefault="00264558" w:rsidP="00C947F5">
      <w:pPr>
        <w:pStyle w:val="PargrafodaLista"/>
        <w:numPr>
          <w:ilvl w:val="0"/>
          <w:numId w:val="40"/>
        </w:numPr>
        <w:spacing w:line="360" w:lineRule="auto"/>
        <w:jc w:val="both"/>
        <w:rPr>
          <w:rFonts w:ascii="Times New Roman" w:hAnsi="Times New Roman"/>
          <w:sz w:val="24"/>
          <w:lang w:val="en-IE"/>
        </w:rPr>
      </w:pPr>
      <w:r w:rsidRPr="002417C1">
        <w:rPr>
          <w:rFonts w:ascii="Times New Roman" w:hAnsi="Times New Roman"/>
          <w:sz w:val="24"/>
          <w:lang w:val="en-IE"/>
        </w:rPr>
        <w:t>the payment to the buy-in agent;</w:t>
      </w:r>
    </w:p>
    <w:p w:rsidR="00264558" w:rsidRPr="002417C1" w:rsidRDefault="00264558" w:rsidP="00C947F5">
      <w:pPr>
        <w:pStyle w:val="PargrafodaLista"/>
        <w:numPr>
          <w:ilvl w:val="0"/>
          <w:numId w:val="40"/>
        </w:numPr>
        <w:spacing w:line="360" w:lineRule="auto"/>
        <w:jc w:val="both"/>
        <w:rPr>
          <w:rFonts w:ascii="Times New Roman" w:hAnsi="Times New Roman"/>
          <w:sz w:val="24"/>
          <w:lang w:val="en-IE"/>
        </w:rPr>
      </w:pPr>
      <w:proofErr w:type="gramStart"/>
      <w:r w:rsidRPr="002417C1">
        <w:rPr>
          <w:rFonts w:ascii="Times New Roman" w:hAnsi="Times New Roman"/>
          <w:sz w:val="24"/>
          <w:lang w:val="en-IE"/>
        </w:rPr>
        <w:t>the</w:t>
      </w:r>
      <w:proofErr w:type="gramEnd"/>
      <w:r w:rsidRPr="002417C1">
        <w:rPr>
          <w:rFonts w:ascii="Times New Roman" w:hAnsi="Times New Roman"/>
          <w:sz w:val="24"/>
          <w:lang w:val="en-IE"/>
        </w:rPr>
        <w:t xml:space="preserve"> types of conflicts of interest that are to be avoided.</w:t>
      </w: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i/>
          <w:sz w:val="24"/>
          <w:lang w:val="en-US"/>
        </w:rPr>
        <w:lastRenderedPageBreak/>
        <w:t>Article 11, §5 of draft RTS on SD</w:t>
      </w:r>
      <w:r w:rsidRPr="002417C1">
        <w:rPr>
          <w:rFonts w:ascii="Times New Roman" w:hAnsi="Times New Roman"/>
          <w:sz w:val="24"/>
          <w:lang w:val="en-US"/>
        </w:rPr>
        <w:t xml:space="preserve"> – “</w:t>
      </w:r>
      <w:r w:rsidRPr="002417C1">
        <w:rPr>
          <w:rFonts w:ascii="Times New Roman" w:hAnsi="Times New Roman"/>
          <w:i/>
          <w:sz w:val="24"/>
          <w:lang w:val="en-US"/>
        </w:rPr>
        <w:t>The CSD shall reserve the relevant financial instruments available in the failing participant’s account for the settlement of that instruction</w:t>
      </w:r>
      <w:r w:rsidRPr="002417C1">
        <w:rPr>
          <w:rFonts w:ascii="Times New Roman" w:hAnsi="Times New Roman"/>
          <w:sz w:val="24"/>
          <w:lang w:val="en-US"/>
        </w:rPr>
        <w:t xml:space="preserve">” - this seems unnecessary and potentially problematic, given that partial settlement therefore cannot take place, and most of the times is not possible to know if the securities are truly available for that client. </w:t>
      </w: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i/>
          <w:sz w:val="24"/>
          <w:lang w:val="en-US"/>
        </w:rPr>
        <w:t>Article 11, §6 of draft RTS on SD</w:t>
      </w:r>
      <w:r w:rsidRPr="002417C1">
        <w:rPr>
          <w:rFonts w:ascii="Times New Roman" w:hAnsi="Times New Roman"/>
          <w:sz w:val="24"/>
          <w:lang w:val="en-US"/>
        </w:rPr>
        <w:t xml:space="preserve"> – “The </w:t>
      </w:r>
      <w:proofErr w:type="spellStart"/>
      <w:r w:rsidRPr="002417C1">
        <w:rPr>
          <w:rFonts w:ascii="Times New Roman" w:hAnsi="Times New Roman"/>
          <w:i/>
          <w:sz w:val="24"/>
          <w:lang w:val="en-US"/>
        </w:rPr>
        <w:t>partialling</w:t>
      </w:r>
      <w:proofErr w:type="spellEnd"/>
      <w:r w:rsidRPr="002417C1">
        <w:rPr>
          <w:rFonts w:ascii="Times New Roman" w:hAnsi="Times New Roman"/>
          <w:i/>
          <w:sz w:val="24"/>
          <w:lang w:val="en-US"/>
        </w:rPr>
        <w:t xml:space="preserve"> functionality offered by the CSD</w:t>
      </w:r>
      <w:r w:rsidRPr="002417C1">
        <w:rPr>
          <w:rFonts w:ascii="Times New Roman" w:hAnsi="Times New Roman"/>
          <w:sz w:val="24"/>
          <w:lang w:val="en-US"/>
        </w:rPr>
        <w:t>” (…) “</w:t>
      </w:r>
      <w:r w:rsidRPr="002417C1">
        <w:rPr>
          <w:rFonts w:ascii="Times New Roman" w:hAnsi="Times New Roman"/>
          <w:i/>
          <w:sz w:val="24"/>
          <w:lang w:val="en-US"/>
        </w:rPr>
        <w:t>shall be applied on the last day of the extension period when the financial instruments are available in the account of the delivering participant irrespective of any opt out elected by the receiving pa</w:t>
      </w:r>
      <w:r w:rsidRPr="002417C1">
        <w:rPr>
          <w:rFonts w:ascii="Times New Roman" w:hAnsi="Times New Roman"/>
          <w:i/>
          <w:sz w:val="24"/>
          <w:lang w:val="en-US"/>
        </w:rPr>
        <w:t>r</w:t>
      </w:r>
      <w:r w:rsidRPr="002417C1">
        <w:rPr>
          <w:rFonts w:ascii="Times New Roman" w:hAnsi="Times New Roman"/>
          <w:i/>
          <w:sz w:val="24"/>
          <w:lang w:val="en-US"/>
        </w:rPr>
        <w:t>ticipant</w:t>
      </w:r>
      <w:r w:rsidRPr="002417C1">
        <w:rPr>
          <w:rFonts w:ascii="Times New Roman" w:hAnsi="Times New Roman"/>
          <w:sz w:val="24"/>
          <w:lang w:val="en-US"/>
        </w:rPr>
        <w:t>” - we support T2S AG position disclosed on its response to ESMA consultation “</w:t>
      </w:r>
      <w:r w:rsidRPr="002417C1">
        <w:rPr>
          <w:rFonts w:ascii="Times New Roman" w:hAnsi="Times New Roman"/>
          <w:i/>
          <w:sz w:val="24"/>
          <w:lang w:val="en-US"/>
        </w:rPr>
        <w:t>that mandatory partial settlement should not be applied on the last day of the extension period but at an earlier stage e.g. as of ISD + x business days (where ISD +x should be earlier than the end of the extension period)</w:t>
      </w:r>
      <w:r w:rsidRPr="002417C1">
        <w:rPr>
          <w:rFonts w:ascii="Times New Roman" w:hAnsi="Times New Roman"/>
          <w:sz w:val="24"/>
          <w:lang w:val="en-US"/>
        </w:rPr>
        <w:t>”.</w:t>
      </w:r>
    </w:p>
    <w:p w:rsidR="00264558" w:rsidRPr="002417C1" w:rsidRDefault="00264558" w:rsidP="00154A34">
      <w:pPr>
        <w:tabs>
          <w:tab w:val="left" w:pos="567"/>
        </w:tabs>
        <w:spacing w:line="360" w:lineRule="auto"/>
        <w:jc w:val="both"/>
        <w:rPr>
          <w:rFonts w:ascii="Times New Roman" w:hAnsi="Times New Roman"/>
          <w:sz w:val="24"/>
          <w:lang w:val="en-US"/>
        </w:rPr>
      </w:pPr>
    </w:p>
    <w:p w:rsidR="00264558" w:rsidRPr="002417C1" w:rsidRDefault="00264558" w:rsidP="00154A34">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 xml:space="preserve">In this context, we reiterate our former position (disclosed in our answer to ESMA Discussion Paper), considering that, given CSDS low risk profile, CSDs should continue not involved on the execution of buy-ins. Also the role of the trading venues should be reviewed.  </w:t>
      </w:r>
    </w:p>
    <w:p w:rsidR="00264558" w:rsidRPr="002417C1" w:rsidRDefault="00264558" w:rsidP="00154A34">
      <w:pPr>
        <w:spacing w:line="360" w:lineRule="auto"/>
        <w:jc w:val="both"/>
        <w:rPr>
          <w:rFonts w:ascii="Times New Roman" w:hAnsi="Times New Roman"/>
          <w:sz w:val="24"/>
          <w:lang w:val="en-IE"/>
        </w:rPr>
      </w:pPr>
      <w:r w:rsidRPr="002417C1">
        <w:rPr>
          <w:rFonts w:ascii="Times New Roman" w:hAnsi="Times New Roman"/>
          <w:sz w:val="24"/>
          <w:lang w:val="en-US"/>
        </w:rPr>
        <w:t>Consequently, article 11 of the draft RTS on SD should be redrafted in conformity in order to restrict CSDs and trading venues role in the buy-in process to the minimum possible and respo</w:t>
      </w:r>
      <w:r w:rsidRPr="002417C1">
        <w:rPr>
          <w:rFonts w:ascii="Times New Roman" w:hAnsi="Times New Roman"/>
          <w:sz w:val="24"/>
          <w:lang w:val="en-US"/>
        </w:rPr>
        <w:t>n</w:t>
      </w:r>
      <w:r w:rsidRPr="002417C1">
        <w:rPr>
          <w:rFonts w:ascii="Times New Roman" w:hAnsi="Times New Roman"/>
          <w:sz w:val="24"/>
          <w:lang w:val="en-US"/>
        </w:rPr>
        <w:t xml:space="preserve">sibility for initiating and reporting buy-ins should be left to the trading counterparties. </w:t>
      </w:r>
    </w:p>
    <w:p w:rsidR="00264558" w:rsidRPr="002417C1" w:rsidRDefault="00264558" w:rsidP="00154A34">
      <w:pPr>
        <w:spacing w:line="360" w:lineRule="auto"/>
        <w:jc w:val="both"/>
        <w:rPr>
          <w:rFonts w:ascii="Times New Roman" w:hAnsi="Times New Roman"/>
          <w:sz w:val="24"/>
          <w:lang w:val="en-IE"/>
        </w:rPr>
      </w:pPr>
      <w:r w:rsidRPr="002417C1">
        <w:rPr>
          <w:rFonts w:ascii="Times New Roman" w:hAnsi="Times New Roman"/>
          <w:sz w:val="24"/>
          <w:lang w:val="en-IE"/>
        </w:rPr>
        <w:t>We also want to stress that buy-in processes and penalties should be exercised on the basis of a level playing field between jurisdictions and execution venues, i.e. that the same rules should apply to non-cleared on-exchange transactions and non-cleared OTC transactions.</w:t>
      </w:r>
    </w:p>
    <w:p w:rsidR="00264558" w:rsidRPr="002417C1" w:rsidRDefault="00264558" w:rsidP="00154A34">
      <w:pPr>
        <w:pStyle w:val="Default"/>
        <w:spacing w:line="360" w:lineRule="auto"/>
        <w:jc w:val="both"/>
        <w:rPr>
          <w:rFonts w:ascii="Times New Roman" w:hAnsi="Times New Roman" w:cs="Times New Roman"/>
          <w:bCs/>
          <w:color w:val="auto"/>
          <w:lang w:val="en-US"/>
        </w:rPr>
      </w:pPr>
    </w:p>
    <w:p w:rsidR="00264558" w:rsidRPr="002417C1" w:rsidRDefault="00264558"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Finally, we consider that in some situations, namely concerned with illiquid or less liquid fina</w:t>
      </w:r>
      <w:r w:rsidRPr="002417C1">
        <w:rPr>
          <w:rFonts w:ascii="Times New Roman" w:hAnsi="Times New Roman" w:cs="Times New Roman"/>
          <w:bCs/>
          <w:color w:val="auto"/>
          <w:lang w:val="en-US"/>
        </w:rPr>
        <w:t>n</w:t>
      </w:r>
      <w:r w:rsidRPr="002417C1">
        <w:rPr>
          <w:rFonts w:ascii="Times New Roman" w:hAnsi="Times New Roman" w:cs="Times New Roman"/>
          <w:bCs/>
          <w:color w:val="auto"/>
          <w:lang w:val="en-US"/>
        </w:rPr>
        <w:t xml:space="preserve">cial instruments, or even operations composed by several transactions cash compensation can be more adequate (effective) than buy-ins. </w:t>
      </w:r>
    </w:p>
    <w:p w:rsidR="00264558" w:rsidRPr="002417C1" w:rsidRDefault="00264558" w:rsidP="00154A34">
      <w:pPr>
        <w:pStyle w:val="Default"/>
        <w:spacing w:line="360" w:lineRule="auto"/>
        <w:jc w:val="both"/>
        <w:rPr>
          <w:rFonts w:ascii="Times New Roman" w:hAnsi="Times New Roman" w:cs="Times New Roman"/>
          <w:bCs/>
          <w:color w:val="auto"/>
          <w:lang w:val="en-US"/>
        </w:rPr>
      </w:pPr>
    </w:p>
    <w:p w:rsidR="00264558" w:rsidRPr="002417C1" w:rsidRDefault="00264558" w:rsidP="00154A34">
      <w:pPr>
        <w:spacing w:line="360" w:lineRule="auto"/>
        <w:jc w:val="both"/>
        <w:rPr>
          <w:rFonts w:ascii="Times New Roman" w:hAnsi="Times New Roman"/>
          <w:bCs/>
          <w:sz w:val="24"/>
          <w:lang w:val="en-US"/>
        </w:rPr>
      </w:pPr>
      <w:r w:rsidRPr="002417C1">
        <w:rPr>
          <w:rFonts w:ascii="Times New Roman" w:hAnsi="Times New Roman"/>
          <w:bCs/>
          <w:sz w:val="24"/>
          <w:lang w:val="en-US"/>
        </w:rPr>
        <w:t>On the other hand, and to finalize, we want to stress the following aspect:</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bCs/>
          <w:sz w:val="24"/>
          <w:lang w:val="en-US"/>
        </w:rPr>
        <w:t>According to article 7, §10 of the CSDR, settlement discipline measures will apply to all transa</w:t>
      </w:r>
      <w:r w:rsidRPr="002417C1">
        <w:rPr>
          <w:rFonts w:ascii="Times New Roman" w:hAnsi="Times New Roman"/>
          <w:bCs/>
          <w:sz w:val="24"/>
          <w:lang w:val="en-US"/>
        </w:rPr>
        <w:t>c</w:t>
      </w:r>
      <w:r w:rsidRPr="002417C1">
        <w:rPr>
          <w:rFonts w:ascii="Times New Roman" w:hAnsi="Times New Roman"/>
          <w:bCs/>
          <w:sz w:val="24"/>
          <w:lang w:val="en-US"/>
        </w:rPr>
        <w:t xml:space="preserve">tions in financial instruments that are “admitted to trading or traded on a trading venue or cleared by a CCP”. </w:t>
      </w:r>
      <w:r w:rsidRPr="002417C1">
        <w:rPr>
          <w:rFonts w:ascii="Times New Roman" w:hAnsi="Times New Roman"/>
          <w:sz w:val="24"/>
          <w:lang w:val="en-US"/>
        </w:rPr>
        <w:t xml:space="preserve">In this context, our understanding of CSDR is that </w:t>
      </w:r>
      <w:proofErr w:type="spellStart"/>
      <w:r w:rsidRPr="002417C1">
        <w:rPr>
          <w:rFonts w:ascii="Times New Roman" w:hAnsi="Times New Roman"/>
          <w:sz w:val="24"/>
          <w:lang w:val="en-US"/>
        </w:rPr>
        <w:t>funds</w:t>
      </w:r>
      <w:proofErr w:type="spellEnd"/>
      <w:r w:rsidRPr="002417C1">
        <w:rPr>
          <w:rFonts w:ascii="Times New Roman" w:hAnsi="Times New Roman"/>
          <w:sz w:val="24"/>
          <w:lang w:val="en-US"/>
        </w:rPr>
        <w:t xml:space="preserve"> NAV subscriptions / r</w:t>
      </w:r>
      <w:r w:rsidRPr="002417C1">
        <w:rPr>
          <w:rFonts w:ascii="Times New Roman" w:hAnsi="Times New Roman"/>
          <w:sz w:val="24"/>
          <w:lang w:val="en-US"/>
        </w:rPr>
        <w:t>e</w:t>
      </w:r>
      <w:r w:rsidRPr="002417C1">
        <w:rPr>
          <w:rFonts w:ascii="Times New Roman" w:hAnsi="Times New Roman"/>
          <w:sz w:val="24"/>
          <w:lang w:val="en-US"/>
        </w:rPr>
        <w:t xml:space="preserve">demptions are out of the scope of the penalty discipline and buy-in regime even if a platform </w:t>
      </w:r>
      <w:r w:rsidRPr="002417C1">
        <w:rPr>
          <w:rFonts w:ascii="Times New Roman" w:hAnsi="Times New Roman"/>
          <w:sz w:val="24"/>
          <w:lang w:val="en-US"/>
        </w:rPr>
        <w:lastRenderedPageBreak/>
        <w:t>enables the passing of orders through its systems and that their settlement is being undertaken through a settlement system.</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That point is particularly relevant for exchanges that provide a technical platform to pass orders on fund shares which are traded at their NAV price and subsequently settled through CSDs. In parallel to the listing of ETFs which generate genuine secondary market trades between partic</w:t>
      </w:r>
      <w:r w:rsidRPr="002417C1">
        <w:rPr>
          <w:rFonts w:ascii="Times New Roman" w:hAnsi="Times New Roman"/>
          <w:sz w:val="24"/>
          <w:lang w:val="en-US"/>
        </w:rPr>
        <w:t>i</w:t>
      </w:r>
      <w:r w:rsidRPr="002417C1">
        <w:rPr>
          <w:rFonts w:ascii="Times New Roman" w:hAnsi="Times New Roman"/>
          <w:sz w:val="24"/>
          <w:lang w:val="en-US"/>
        </w:rPr>
        <w:t>pants (and which eventually result in subscriptions/redemptions only for the balance position of market-makers specifically authorized to subscribe to the ETF units), exchanges have also deve</w:t>
      </w:r>
      <w:r w:rsidRPr="002417C1">
        <w:rPr>
          <w:rFonts w:ascii="Times New Roman" w:hAnsi="Times New Roman"/>
          <w:sz w:val="24"/>
          <w:lang w:val="en-US"/>
        </w:rPr>
        <w:t>l</w:t>
      </w:r>
      <w:r w:rsidRPr="002417C1">
        <w:rPr>
          <w:rFonts w:ascii="Times New Roman" w:hAnsi="Times New Roman"/>
          <w:sz w:val="24"/>
          <w:lang w:val="en-US"/>
        </w:rPr>
        <w:t>oped some forms of listing for NAV trading only that mechanically translate into subscri</w:t>
      </w:r>
      <w:r w:rsidRPr="002417C1">
        <w:rPr>
          <w:rFonts w:ascii="Times New Roman" w:hAnsi="Times New Roman"/>
          <w:sz w:val="24"/>
          <w:lang w:val="en-US"/>
        </w:rPr>
        <w:t>p</w:t>
      </w:r>
      <w:r w:rsidRPr="002417C1">
        <w:rPr>
          <w:rFonts w:ascii="Times New Roman" w:hAnsi="Times New Roman"/>
          <w:sz w:val="24"/>
          <w:lang w:val="en-US"/>
        </w:rPr>
        <w:t>tions/redemptions of fund units (UCITS and AIFMD). This meets requirements from European asset managers both for making use of exchanges’ transparency and accessibility networks as well as enhancing via listing the eligibility of their fund units with certain investors.</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Whereas disciplining the secondary market part of ETFs does meet the objectives of CSDR of smooth and efficient market operation, there would be no rationale to apply identical principles to the pure NAV Trading facilities abovementioned: indeed, the management of defaults in fund subscription/redemption already follows some established practices / rules adapted to the organ</w:t>
      </w:r>
      <w:r w:rsidRPr="002417C1">
        <w:rPr>
          <w:rFonts w:ascii="Times New Roman" w:hAnsi="Times New Roman"/>
          <w:sz w:val="24"/>
          <w:lang w:val="en-US"/>
        </w:rPr>
        <w:t>i</w:t>
      </w:r>
      <w:r w:rsidRPr="002417C1">
        <w:rPr>
          <w:rFonts w:ascii="Times New Roman" w:hAnsi="Times New Roman"/>
          <w:sz w:val="24"/>
          <w:lang w:val="en-US"/>
        </w:rPr>
        <w:t>zation of asset managers, that will not be impacted by CSDR and should consequently remain the prevalent standards to follow for such NAV Trading facilities.</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 xml:space="preserve">Through (on Exchange‎) NAV Trading/Subscriptions - Redemptions facilities, ‎Investors only face a single counterpart being the Fund Manager. Hence, the fund manager, by nature and purpose, will always </w:t>
      </w:r>
      <w:proofErr w:type="gramStart"/>
      <w:r w:rsidRPr="002417C1">
        <w:rPr>
          <w:rFonts w:ascii="Times New Roman" w:hAnsi="Times New Roman"/>
          <w:sz w:val="24"/>
          <w:lang w:val="en-US"/>
        </w:rPr>
        <w:t>be</w:t>
      </w:r>
      <w:proofErr w:type="gramEnd"/>
      <w:r w:rsidRPr="002417C1">
        <w:rPr>
          <w:rFonts w:ascii="Times New Roman" w:hAnsi="Times New Roman"/>
          <w:sz w:val="24"/>
          <w:lang w:val="en-US"/>
        </w:rPr>
        <w:t xml:space="preserve"> able to create/redeem funds units and therefore they can never lead to a settlement fail. Any theoretical situation whereby settlement would not take place as expected would require the CCP turning to the Fund Manager to get the number of fund units adjusted either upwards or downwards as there is no secondary market where a buy in/sell out can be </w:t>
      </w:r>
      <w:proofErr w:type="spellStart"/>
      <w:r w:rsidRPr="002417C1">
        <w:rPr>
          <w:rFonts w:ascii="Times New Roman" w:hAnsi="Times New Roman"/>
          <w:sz w:val="24"/>
          <w:lang w:val="en-US"/>
        </w:rPr>
        <w:t>organised</w:t>
      </w:r>
      <w:proofErr w:type="spellEnd"/>
      <w:r w:rsidRPr="002417C1">
        <w:rPr>
          <w:rFonts w:ascii="Times New Roman" w:hAnsi="Times New Roman"/>
          <w:sz w:val="24"/>
          <w:lang w:val="en-US"/>
        </w:rPr>
        <w:t xml:space="preserve">. </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It is our view that NAV Trading/Subscriptions - Redemptions facilities cannot be considered as trading venues since:</w:t>
      </w:r>
    </w:p>
    <w:p w:rsidR="00264558" w:rsidRPr="002417C1" w:rsidRDefault="00264558" w:rsidP="00154A34">
      <w:pPr>
        <w:pStyle w:val="PargrafodaLista"/>
        <w:spacing w:line="360" w:lineRule="auto"/>
        <w:ind w:left="708" w:firstLine="141"/>
        <w:jc w:val="both"/>
        <w:rPr>
          <w:rFonts w:ascii="Times New Roman" w:hAnsi="Times New Roman"/>
          <w:sz w:val="24"/>
          <w:lang w:val="en-US"/>
        </w:rPr>
      </w:pPr>
      <w:r w:rsidRPr="002417C1">
        <w:rPr>
          <w:rFonts w:ascii="Times New Roman" w:hAnsi="Times New Roman"/>
          <w:sz w:val="24"/>
          <w:lang w:val="en-US"/>
        </w:rPr>
        <w:t xml:space="preserve">- </w:t>
      </w:r>
      <w:proofErr w:type="gramStart"/>
      <w:r w:rsidRPr="002417C1">
        <w:rPr>
          <w:rFonts w:ascii="Times New Roman" w:hAnsi="Times New Roman"/>
          <w:sz w:val="24"/>
          <w:lang w:val="en-US"/>
        </w:rPr>
        <w:t>there</w:t>
      </w:r>
      <w:proofErr w:type="gramEnd"/>
      <w:r w:rsidRPr="002417C1">
        <w:rPr>
          <w:rFonts w:ascii="Times New Roman" w:hAnsi="Times New Roman"/>
          <w:sz w:val="24"/>
          <w:lang w:val="en-US"/>
        </w:rPr>
        <w:t xml:space="preserve"> is no multilateral parties interaction in those platforms, all seller and buyers face the same and identical counterpart : the fund itself;</w:t>
      </w:r>
    </w:p>
    <w:p w:rsidR="00264558" w:rsidRPr="002417C1" w:rsidRDefault="00264558" w:rsidP="00154A34">
      <w:pPr>
        <w:pStyle w:val="PargrafodaLista"/>
        <w:spacing w:line="360" w:lineRule="auto"/>
        <w:ind w:left="708" w:firstLine="141"/>
        <w:jc w:val="both"/>
        <w:rPr>
          <w:rFonts w:ascii="Times New Roman" w:hAnsi="Times New Roman"/>
          <w:sz w:val="24"/>
          <w:lang w:val="en-US"/>
        </w:rPr>
      </w:pPr>
      <w:r w:rsidRPr="002417C1">
        <w:rPr>
          <w:rFonts w:ascii="Times New Roman" w:hAnsi="Times New Roman"/>
          <w:sz w:val="24"/>
          <w:lang w:val="en-US"/>
        </w:rPr>
        <w:t xml:space="preserve">- </w:t>
      </w:r>
      <w:proofErr w:type="gramStart"/>
      <w:r w:rsidRPr="002417C1">
        <w:rPr>
          <w:rFonts w:ascii="Times New Roman" w:hAnsi="Times New Roman"/>
          <w:sz w:val="24"/>
          <w:lang w:val="en-US"/>
        </w:rPr>
        <w:t>the</w:t>
      </w:r>
      <w:proofErr w:type="gramEnd"/>
      <w:r w:rsidRPr="002417C1">
        <w:rPr>
          <w:rFonts w:ascii="Times New Roman" w:hAnsi="Times New Roman"/>
          <w:sz w:val="24"/>
          <w:lang w:val="en-US"/>
        </w:rPr>
        <w:t xml:space="preserve"> transaction can only be considered as being accepted by the fund once the fund manager has accepted those transactions;</w:t>
      </w:r>
    </w:p>
    <w:p w:rsidR="00264558" w:rsidRPr="002417C1" w:rsidRDefault="00264558" w:rsidP="00154A34">
      <w:pPr>
        <w:pStyle w:val="PargrafodaLista"/>
        <w:spacing w:line="360" w:lineRule="auto"/>
        <w:ind w:left="708" w:firstLine="141"/>
        <w:jc w:val="both"/>
        <w:rPr>
          <w:rFonts w:ascii="Times New Roman" w:hAnsi="Times New Roman"/>
          <w:sz w:val="24"/>
        </w:rPr>
      </w:pPr>
      <w:r w:rsidRPr="002417C1">
        <w:rPr>
          <w:rFonts w:ascii="Times New Roman" w:hAnsi="Times New Roman"/>
          <w:sz w:val="24"/>
          <w:lang w:val="en-US"/>
        </w:rPr>
        <w:t xml:space="preserve">- </w:t>
      </w:r>
      <w:proofErr w:type="gramStart"/>
      <w:r w:rsidRPr="002417C1">
        <w:rPr>
          <w:rFonts w:ascii="Times New Roman" w:hAnsi="Times New Roman"/>
          <w:sz w:val="24"/>
          <w:lang w:val="en-US"/>
        </w:rPr>
        <w:t>the</w:t>
      </w:r>
      <w:proofErr w:type="gramEnd"/>
      <w:r w:rsidRPr="002417C1">
        <w:rPr>
          <w:rFonts w:ascii="Times New Roman" w:hAnsi="Times New Roman"/>
          <w:sz w:val="24"/>
          <w:lang w:val="en-US"/>
        </w:rPr>
        <w:t xml:space="preserve"> transaction price is not set through an order book.</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 xml:space="preserve">Indeed, one key element to the trading venues definition of </w:t>
      </w:r>
      <w:proofErr w:type="spellStart"/>
      <w:r w:rsidRPr="002417C1">
        <w:rPr>
          <w:rFonts w:ascii="Times New Roman" w:hAnsi="Times New Roman"/>
          <w:sz w:val="24"/>
          <w:lang w:val="en-US"/>
        </w:rPr>
        <w:t>MiFID</w:t>
      </w:r>
      <w:proofErr w:type="spellEnd"/>
      <w:r w:rsidRPr="002417C1">
        <w:rPr>
          <w:rFonts w:ascii="Times New Roman" w:hAnsi="Times New Roman"/>
          <w:sz w:val="24"/>
          <w:lang w:val="en-US"/>
        </w:rPr>
        <w:t xml:space="preserve"> II lies in its multilateral fe</w:t>
      </w:r>
      <w:r w:rsidRPr="002417C1">
        <w:rPr>
          <w:rFonts w:ascii="Times New Roman" w:hAnsi="Times New Roman"/>
          <w:sz w:val="24"/>
          <w:lang w:val="en-US"/>
        </w:rPr>
        <w:t>a</w:t>
      </w:r>
      <w:r w:rsidRPr="002417C1">
        <w:rPr>
          <w:rFonts w:ascii="Times New Roman" w:hAnsi="Times New Roman"/>
          <w:sz w:val="24"/>
          <w:lang w:val="en-US"/>
        </w:rPr>
        <w:t xml:space="preserve">ture should they be regulated markets, MTF or OTF. Since article 4 (19) of </w:t>
      </w:r>
      <w:proofErr w:type="spellStart"/>
      <w:r w:rsidRPr="002417C1">
        <w:rPr>
          <w:rFonts w:ascii="Times New Roman" w:hAnsi="Times New Roman"/>
          <w:sz w:val="24"/>
          <w:lang w:val="en-US"/>
        </w:rPr>
        <w:t>MiFID</w:t>
      </w:r>
      <w:proofErr w:type="spellEnd"/>
      <w:r w:rsidRPr="002417C1">
        <w:rPr>
          <w:rFonts w:ascii="Times New Roman" w:hAnsi="Times New Roman"/>
          <w:sz w:val="24"/>
          <w:lang w:val="en-US"/>
        </w:rPr>
        <w:t xml:space="preserve"> II provides the </w:t>
      </w:r>
      <w:r w:rsidRPr="002417C1">
        <w:rPr>
          <w:rFonts w:ascii="Times New Roman" w:hAnsi="Times New Roman"/>
          <w:sz w:val="24"/>
          <w:lang w:val="en-US"/>
        </w:rPr>
        <w:lastRenderedPageBreak/>
        <w:t>definition of ‘multilateral system’ as “any system or facility in which multiple third-party buying and selling trading interests in financial instruments are able to interact in the system”), we co</w:t>
      </w:r>
      <w:r w:rsidRPr="002417C1">
        <w:rPr>
          <w:rFonts w:ascii="Times New Roman" w:hAnsi="Times New Roman"/>
          <w:sz w:val="24"/>
          <w:lang w:val="en-US"/>
        </w:rPr>
        <w:t>n</w:t>
      </w:r>
      <w:r w:rsidRPr="002417C1">
        <w:rPr>
          <w:rFonts w:ascii="Times New Roman" w:hAnsi="Times New Roman"/>
          <w:sz w:val="24"/>
          <w:lang w:val="en-US"/>
        </w:rPr>
        <w:t>sider that the multilateral feature criteria is not fulfilled, since buy and sell orders do not interact together, but each of them interacts with the fund itself.</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 xml:space="preserve">In addition, each trading platform under </w:t>
      </w:r>
      <w:proofErr w:type="spellStart"/>
      <w:r w:rsidRPr="002417C1">
        <w:rPr>
          <w:rFonts w:ascii="Times New Roman" w:hAnsi="Times New Roman"/>
          <w:sz w:val="24"/>
          <w:lang w:val="en-US"/>
        </w:rPr>
        <w:t>MiFID</w:t>
      </w:r>
      <w:proofErr w:type="spellEnd"/>
      <w:r w:rsidRPr="002417C1">
        <w:rPr>
          <w:rFonts w:ascii="Times New Roman" w:hAnsi="Times New Roman"/>
          <w:sz w:val="24"/>
          <w:lang w:val="en-US"/>
        </w:rPr>
        <w:t xml:space="preserve"> II shall allow for the interaction of multiple buy and sell interests “in a way that results in a contract”. As mentioned earlier on, such fund pla</w:t>
      </w:r>
      <w:r w:rsidRPr="002417C1">
        <w:rPr>
          <w:rFonts w:ascii="Times New Roman" w:hAnsi="Times New Roman"/>
          <w:sz w:val="24"/>
          <w:lang w:val="en-US"/>
        </w:rPr>
        <w:t>t</w:t>
      </w:r>
      <w:r w:rsidRPr="002417C1">
        <w:rPr>
          <w:rFonts w:ascii="Times New Roman" w:hAnsi="Times New Roman"/>
          <w:sz w:val="24"/>
          <w:lang w:val="en-US"/>
        </w:rPr>
        <w:t>forms cannot be considered as trading venues since they do not result in a contract yet. It has first to be confirmed by the asset manager before it can be considered as a firm contract.</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We consider that fund platforms as described above cannot be considered as trading venues, and since such fund shares are not cleared it should be exempt the application of article 7(2) to (9) from CSDR, as detailed in answer 16 of the European Commission FAQ (</w:t>
      </w:r>
      <w:hyperlink r:id="rId14" w:tgtFrame="_blank" w:history="1">
        <w:r w:rsidRPr="002417C1">
          <w:rPr>
            <w:rStyle w:val="Hiperligao"/>
            <w:rFonts w:ascii="Times New Roman" w:hAnsi="Times New Roman"/>
            <w:sz w:val="24"/>
            <w:lang w:val="en-US"/>
          </w:rPr>
          <w:t>http://ec.europa.eu/finance/financial-markets/docs/csdr/20141003-csdr-faq_en.pdf</w:t>
        </w:r>
      </w:hyperlink>
      <w:r w:rsidRPr="002417C1">
        <w:rPr>
          <w:rFonts w:ascii="Times New Roman" w:hAnsi="Times New Roman"/>
          <w:sz w:val="24"/>
          <w:lang w:val="en-US"/>
        </w:rPr>
        <w:t xml:space="preserve">): </w:t>
      </w:r>
      <w:r w:rsidRPr="002417C1">
        <w:rPr>
          <w:rFonts w:ascii="Times New Roman" w:hAnsi="Times New Roman"/>
          <w:i/>
          <w:iCs/>
          <w:sz w:val="24"/>
          <w:lang w:val="en-US"/>
        </w:rPr>
        <w:t>“16. What is the scope of the settlement discipline measures referred to in Article 7(2) to (9) as regards the financial instruments covered?</w:t>
      </w:r>
    </w:p>
    <w:p w:rsidR="00264558" w:rsidRPr="002417C1" w:rsidRDefault="00264558" w:rsidP="00154A34">
      <w:pPr>
        <w:spacing w:line="360" w:lineRule="auto"/>
        <w:jc w:val="both"/>
        <w:rPr>
          <w:rFonts w:ascii="Times New Roman" w:hAnsi="Times New Roman"/>
          <w:i/>
          <w:iCs/>
          <w:sz w:val="24"/>
          <w:lang w:val="en-US"/>
        </w:rPr>
      </w:pPr>
      <w:r w:rsidRPr="002417C1">
        <w:rPr>
          <w:rFonts w:ascii="Times New Roman" w:hAnsi="Times New Roman"/>
          <w:i/>
          <w:iCs/>
          <w:sz w:val="24"/>
          <w:lang w:val="en-US"/>
        </w:rPr>
        <w:t>Article 7(10) provides that the settlement discipline measures referred to in Article 7(2) to (9) apply to financial instruments referred to in Article 5(1) (i.e. transferable securities, money-market instruments, units in collective investment undertakings and emission allowances) that are:</w:t>
      </w:r>
    </w:p>
    <w:p w:rsidR="00264558" w:rsidRPr="002417C1" w:rsidRDefault="00264558" w:rsidP="00154A34">
      <w:pPr>
        <w:pStyle w:val="PargrafodaLista"/>
        <w:spacing w:line="360" w:lineRule="auto"/>
        <w:ind w:left="567"/>
        <w:jc w:val="both"/>
        <w:rPr>
          <w:rFonts w:ascii="Times New Roman" w:hAnsi="Times New Roman"/>
          <w:i/>
          <w:iCs/>
          <w:sz w:val="24"/>
          <w:lang w:val="en-US"/>
        </w:rPr>
      </w:pPr>
      <w:r w:rsidRPr="002417C1">
        <w:rPr>
          <w:rFonts w:ascii="Times New Roman" w:hAnsi="Times New Roman"/>
          <w:i/>
          <w:iCs/>
          <w:sz w:val="24"/>
          <w:lang w:val="en-US"/>
        </w:rPr>
        <w:t xml:space="preserve">a) </w:t>
      </w:r>
      <w:proofErr w:type="gramStart"/>
      <w:r w:rsidRPr="002417C1">
        <w:rPr>
          <w:rFonts w:ascii="Times New Roman" w:hAnsi="Times New Roman"/>
          <w:i/>
          <w:iCs/>
          <w:sz w:val="24"/>
          <w:lang w:val="en-US"/>
        </w:rPr>
        <w:t>admitted</w:t>
      </w:r>
      <w:proofErr w:type="gramEnd"/>
      <w:r w:rsidRPr="002417C1">
        <w:rPr>
          <w:rFonts w:ascii="Times New Roman" w:hAnsi="Times New Roman"/>
          <w:i/>
          <w:iCs/>
          <w:sz w:val="24"/>
          <w:lang w:val="en-US"/>
        </w:rPr>
        <w:t xml:space="preserve"> to trading on trading venues (OTC transactions); or</w:t>
      </w:r>
    </w:p>
    <w:p w:rsidR="00264558" w:rsidRPr="002417C1" w:rsidRDefault="00264558" w:rsidP="00154A34">
      <w:pPr>
        <w:pStyle w:val="PargrafodaLista"/>
        <w:spacing w:line="360" w:lineRule="auto"/>
        <w:ind w:left="567"/>
        <w:jc w:val="both"/>
        <w:rPr>
          <w:rFonts w:ascii="Times New Roman" w:hAnsi="Times New Roman"/>
          <w:i/>
          <w:iCs/>
          <w:sz w:val="24"/>
          <w:lang w:val="en-US"/>
        </w:rPr>
      </w:pPr>
      <w:r w:rsidRPr="002417C1">
        <w:rPr>
          <w:rFonts w:ascii="Times New Roman" w:hAnsi="Times New Roman"/>
          <w:i/>
          <w:iCs/>
          <w:sz w:val="24"/>
          <w:lang w:val="en-US"/>
        </w:rPr>
        <w:t xml:space="preserve">b) </w:t>
      </w:r>
      <w:proofErr w:type="gramStart"/>
      <w:r w:rsidRPr="002417C1">
        <w:rPr>
          <w:rFonts w:ascii="Times New Roman" w:hAnsi="Times New Roman"/>
          <w:i/>
          <w:iCs/>
          <w:sz w:val="24"/>
          <w:lang w:val="en-US"/>
        </w:rPr>
        <w:t>traded</w:t>
      </w:r>
      <w:proofErr w:type="gramEnd"/>
      <w:r w:rsidRPr="002417C1">
        <w:rPr>
          <w:rFonts w:ascii="Times New Roman" w:hAnsi="Times New Roman"/>
          <w:i/>
          <w:iCs/>
          <w:sz w:val="24"/>
          <w:lang w:val="en-US"/>
        </w:rPr>
        <w:t xml:space="preserve"> on a trading venues (non-OTC transactions); or</w:t>
      </w:r>
    </w:p>
    <w:p w:rsidR="00264558" w:rsidRPr="002417C1" w:rsidRDefault="00264558" w:rsidP="00154A34">
      <w:pPr>
        <w:pStyle w:val="PargrafodaLista"/>
        <w:spacing w:line="360" w:lineRule="auto"/>
        <w:ind w:left="567"/>
        <w:jc w:val="both"/>
        <w:rPr>
          <w:rFonts w:ascii="Times New Roman" w:hAnsi="Times New Roman"/>
          <w:i/>
          <w:iCs/>
          <w:sz w:val="24"/>
          <w:lang w:val="en-US"/>
        </w:rPr>
      </w:pPr>
      <w:r w:rsidRPr="002417C1">
        <w:rPr>
          <w:rFonts w:ascii="Times New Roman" w:hAnsi="Times New Roman"/>
          <w:i/>
          <w:iCs/>
          <w:sz w:val="24"/>
          <w:lang w:val="en-US"/>
        </w:rPr>
        <w:t xml:space="preserve">c) </w:t>
      </w:r>
      <w:proofErr w:type="gramStart"/>
      <w:r w:rsidRPr="002417C1">
        <w:rPr>
          <w:rFonts w:ascii="Times New Roman" w:hAnsi="Times New Roman"/>
          <w:i/>
          <w:iCs/>
          <w:sz w:val="24"/>
          <w:lang w:val="en-US"/>
        </w:rPr>
        <w:t>cleared</w:t>
      </w:r>
      <w:proofErr w:type="gramEnd"/>
      <w:r w:rsidRPr="002417C1">
        <w:rPr>
          <w:rFonts w:ascii="Times New Roman" w:hAnsi="Times New Roman"/>
          <w:i/>
          <w:iCs/>
          <w:sz w:val="24"/>
          <w:lang w:val="en-US"/>
        </w:rPr>
        <w:t xml:space="preserve"> by a CCP (OTC and non-OTC transactions regardless of whether the financial instruments are or not admitted to trading on trading venues).</w:t>
      </w:r>
    </w:p>
    <w:p w:rsidR="00264558" w:rsidRPr="002417C1" w:rsidRDefault="00264558" w:rsidP="00154A34">
      <w:pPr>
        <w:spacing w:line="360" w:lineRule="auto"/>
        <w:jc w:val="both"/>
        <w:rPr>
          <w:rFonts w:ascii="Times New Roman" w:hAnsi="Times New Roman"/>
          <w:i/>
          <w:iCs/>
          <w:sz w:val="24"/>
          <w:lang w:val="en-US"/>
        </w:rPr>
      </w:pPr>
      <w:r w:rsidRPr="002417C1">
        <w:rPr>
          <w:rFonts w:ascii="Times New Roman" w:hAnsi="Times New Roman"/>
          <w:i/>
          <w:iCs/>
          <w:sz w:val="24"/>
          <w:lang w:val="en-US"/>
        </w:rPr>
        <w:t>Article 7(10) therefore excludes from the scope of application of Article 7(2) to (9), transactions in financial instruments that are not admitted to trading and not cleared by a CCP.”</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It is also our view that the above exclusion of certain type of funds (the ones that can only be redeemed or subscribed) from the settlement discipline regime cannot be applied throughout the fund shares, since other funds types (like ETFs for example) are negotiated through trading pla</w:t>
      </w:r>
      <w:r w:rsidRPr="002417C1">
        <w:rPr>
          <w:rFonts w:ascii="Times New Roman" w:hAnsi="Times New Roman"/>
          <w:sz w:val="24"/>
          <w:lang w:val="en-US"/>
        </w:rPr>
        <w:t>t</w:t>
      </w:r>
      <w:r w:rsidRPr="002417C1">
        <w:rPr>
          <w:rFonts w:ascii="Times New Roman" w:hAnsi="Times New Roman"/>
          <w:sz w:val="24"/>
          <w:lang w:val="en-US"/>
        </w:rPr>
        <w:t xml:space="preserve">forms. </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t>It is important that this differentiation is made and clarified so that funds subject to a subscri</w:t>
      </w:r>
      <w:r w:rsidRPr="002417C1">
        <w:rPr>
          <w:rFonts w:ascii="Times New Roman" w:hAnsi="Times New Roman"/>
          <w:sz w:val="24"/>
          <w:lang w:val="en-US"/>
        </w:rPr>
        <w:t>p</w:t>
      </w:r>
      <w:r w:rsidRPr="002417C1">
        <w:rPr>
          <w:rFonts w:ascii="Times New Roman" w:hAnsi="Times New Roman"/>
          <w:sz w:val="24"/>
          <w:lang w:val="en-US"/>
        </w:rPr>
        <w:t>tion/redemption only process are not caught by a settlement regime which would not be fit to their nature (a buy-in on a non-exchange fund would prove to be impossible through the ma</w:t>
      </w:r>
      <w:r w:rsidRPr="002417C1">
        <w:rPr>
          <w:rFonts w:ascii="Times New Roman" w:hAnsi="Times New Roman"/>
          <w:sz w:val="24"/>
          <w:lang w:val="en-US"/>
        </w:rPr>
        <w:t>r</w:t>
      </w:r>
      <w:r w:rsidRPr="002417C1">
        <w:rPr>
          <w:rFonts w:ascii="Times New Roman" w:hAnsi="Times New Roman"/>
          <w:sz w:val="24"/>
          <w:lang w:val="en-US"/>
        </w:rPr>
        <w:t xml:space="preserve">kets). </w:t>
      </w:r>
    </w:p>
    <w:p w:rsidR="00264558" w:rsidRPr="002417C1" w:rsidRDefault="00264558" w:rsidP="00154A34">
      <w:pPr>
        <w:spacing w:line="360" w:lineRule="auto"/>
        <w:jc w:val="both"/>
        <w:rPr>
          <w:rFonts w:ascii="Times New Roman" w:hAnsi="Times New Roman"/>
          <w:sz w:val="24"/>
          <w:lang w:val="en-US"/>
        </w:rPr>
      </w:pPr>
      <w:r w:rsidRPr="002417C1">
        <w:rPr>
          <w:rFonts w:ascii="Times New Roman" w:hAnsi="Times New Roman"/>
          <w:sz w:val="24"/>
          <w:lang w:val="en-US"/>
        </w:rPr>
        <w:lastRenderedPageBreak/>
        <w:t>We believe the application of the settlement discipline measures on a given financial instrument should publicly be disclosed in order to avoid any misunderstanding or misinterpretation regar</w:t>
      </w:r>
      <w:r w:rsidRPr="002417C1">
        <w:rPr>
          <w:rFonts w:ascii="Times New Roman" w:hAnsi="Times New Roman"/>
          <w:sz w:val="24"/>
          <w:lang w:val="en-US"/>
        </w:rPr>
        <w:t>d</w:t>
      </w:r>
      <w:r w:rsidRPr="002417C1">
        <w:rPr>
          <w:rFonts w:ascii="Times New Roman" w:hAnsi="Times New Roman"/>
          <w:sz w:val="24"/>
          <w:lang w:val="en-US"/>
        </w:rPr>
        <w:t>ing the application (or not) of the settlement discipline measures by CSDs.</w:t>
      </w:r>
    </w:p>
    <w:p w:rsidR="00264558" w:rsidRDefault="00264558" w:rsidP="00D12AFD">
      <w:pPr>
        <w:rPr>
          <w:rFonts w:ascii="Times New Roman" w:hAnsi="Times New Roman"/>
          <w:sz w:val="24"/>
          <w:lang w:val="en-US"/>
        </w:rPr>
      </w:pPr>
      <w:r w:rsidRPr="002417C1">
        <w:rPr>
          <w:rFonts w:ascii="Times New Roman" w:hAnsi="Times New Roman"/>
          <w:sz w:val="24"/>
          <w:lang w:val="en-US"/>
        </w:rPr>
        <w:t>On top of that, primary market transactions are also excluded from CSDR.</w:t>
      </w:r>
    </w:p>
    <w:permEnd w:id="9"/>
    <w:p w:rsidR="00D12AFD" w:rsidRDefault="00D12AFD" w:rsidP="00D12AFD">
      <w:r>
        <w:t>&lt;ESMA_QUESTION_TS_CSDR_7&gt;</w:t>
      </w:r>
    </w:p>
    <w:p w:rsidR="00D12AFD" w:rsidRPr="002C4F00" w:rsidRDefault="00D12AFD" w:rsidP="00965B03">
      <w:pPr>
        <w:pStyle w:val="Ttulo5"/>
        <w:ind w:left="567" w:hanging="567"/>
      </w:pPr>
      <w:r w:rsidRPr="002C4F00">
        <w:t>What are your views on the proposed draft RTS related to the buy-in timeframe and extension period?</w:t>
      </w:r>
    </w:p>
    <w:p w:rsidR="00D12AFD" w:rsidRDefault="00D12AFD" w:rsidP="00D12AFD"/>
    <w:p w:rsidR="00D12AFD" w:rsidRDefault="00D12AFD" w:rsidP="00D12AFD">
      <w:r>
        <w:t>&lt;ESMA_QUESTION_TS_CSDR_8&gt;</w:t>
      </w:r>
    </w:p>
    <w:p w:rsidR="00264558" w:rsidRPr="002417C1" w:rsidRDefault="00264558" w:rsidP="00264558">
      <w:pPr>
        <w:tabs>
          <w:tab w:val="left" w:pos="567"/>
        </w:tabs>
        <w:spacing w:line="360" w:lineRule="auto"/>
        <w:jc w:val="both"/>
        <w:rPr>
          <w:rFonts w:ascii="Times New Roman" w:hAnsi="Times New Roman"/>
          <w:sz w:val="24"/>
          <w:lang w:val="en-US"/>
        </w:rPr>
      </w:pPr>
      <w:permStart w:id="10" w:edGrp="everyone"/>
      <w:r w:rsidRPr="002417C1">
        <w:rPr>
          <w:rFonts w:ascii="Times New Roman" w:hAnsi="Times New Roman"/>
          <w:sz w:val="24"/>
          <w:lang w:val="en-US"/>
        </w:rPr>
        <w:t>We agree with the doubt raised by ECSDA in what concerns the extension period to be applied to illiquid securities under article13 of the draft RTS on SD. According to ECSDA, ESMA should confirm that a central list of those instruments falling under the definition of "liquid market" in accordance with point (a) of Article 2(1)(17) or point (b) of Article 2(1)(17), respectively, of Regulation (EU) No 600/2014, will be made available and updated periodically.</w:t>
      </w:r>
    </w:p>
    <w:permEnd w:id="10"/>
    <w:p w:rsidR="00D12AFD" w:rsidRDefault="00D12AFD" w:rsidP="00D12AFD">
      <w:r>
        <w:t>&lt;ESMA_QUESTION_TS_CSDR_8&gt;</w:t>
      </w:r>
    </w:p>
    <w:p w:rsidR="00D12AFD" w:rsidRPr="002C4F00" w:rsidRDefault="00D12AFD" w:rsidP="00965B03">
      <w:pPr>
        <w:pStyle w:val="Ttulo5"/>
        <w:ind w:left="567" w:hanging="567"/>
      </w:pPr>
      <w:r w:rsidRPr="002C4F00">
        <w:t>What are your views on the proposed draft RTS related to the type of operations and their timeframe that render buy-in ineffective?</w:t>
      </w:r>
    </w:p>
    <w:p w:rsidR="00D12AFD" w:rsidRDefault="00D12AFD" w:rsidP="00D12AFD"/>
    <w:p w:rsidR="00D12AFD" w:rsidRDefault="00D12AFD" w:rsidP="00D12AFD">
      <w:r>
        <w:t>&lt;ESMA_QUESTION_TS_CSDR_9&gt;</w:t>
      </w:r>
    </w:p>
    <w:p w:rsidR="00264558" w:rsidRPr="003D38E6" w:rsidRDefault="00264558" w:rsidP="00264558">
      <w:pPr>
        <w:pStyle w:val="Default"/>
        <w:spacing w:line="360" w:lineRule="auto"/>
        <w:jc w:val="both"/>
        <w:rPr>
          <w:rFonts w:ascii="Times New Roman" w:hAnsi="Times New Roman" w:cs="Times New Roman"/>
          <w:bCs/>
          <w:color w:val="auto"/>
          <w:sz w:val="20"/>
          <w:szCs w:val="20"/>
          <w:lang w:val="en-US"/>
        </w:rPr>
      </w:pPr>
      <w:permStart w:id="11" w:edGrp="everyone"/>
      <w:r w:rsidRPr="003D38E6">
        <w:rPr>
          <w:rFonts w:ascii="Times New Roman" w:hAnsi="Times New Roman" w:cs="Times New Roman"/>
          <w:bCs/>
          <w:color w:val="auto"/>
          <w:sz w:val="20"/>
          <w:szCs w:val="20"/>
          <w:lang w:val="en-US"/>
        </w:rPr>
        <w:t>Accordingly with Article 14 of the draft RTS on SD, CSDs have to comply with several requirements that will impose technical developments, namely:</w:t>
      </w:r>
    </w:p>
    <w:p w:rsidR="00264558" w:rsidRPr="003D38E6" w:rsidRDefault="00264558" w:rsidP="00C947F5">
      <w:pPr>
        <w:pStyle w:val="Default"/>
        <w:numPr>
          <w:ilvl w:val="0"/>
          <w:numId w:val="42"/>
        </w:numPr>
        <w:spacing w:line="360" w:lineRule="auto"/>
        <w:ind w:left="709" w:hanging="425"/>
        <w:jc w:val="both"/>
        <w:rPr>
          <w:rFonts w:ascii="Times New Roman" w:hAnsi="Times New Roman" w:cs="Times New Roman"/>
          <w:bCs/>
          <w:color w:val="auto"/>
          <w:sz w:val="20"/>
          <w:szCs w:val="20"/>
          <w:lang w:val="en-US"/>
        </w:rPr>
      </w:pPr>
      <w:r w:rsidRPr="003D38E6">
        <w:rPr>
          <w:rFonts w:ascii="Times New Roman" w:hAnsi="Times New Roman" w:cs="Times New Roman"/>
          <w:bCs/>
          <w:color w:val="auto"/>
          <w:sz w:val="20"/>
          <w:szCs w:val="20"/>
          <w:lang w:val="en-US"/>
        </w:rPr>
        <w:t>the identification of the operations composed of several transactions;</w:t>
      </w:r>
    </w:p>
    <w:p w:rsidR="00264558" w:rsidRPr="003D38E6" w:rsidRDefault="00264558" w:rsidP="00C947F5">
      <w:pPr>
        <w:pStyle w:val="Default"/>
        <w:numPr>
          <w:ilvl w:val="0"/>
          <w:numId w:val="42"/>
        </w:numPr>
        <w:spacing w:line="360" w:lineRule="auto"/>
        <w:ind w:left="709" w:hanging="425"/>
        <w:jc w:val="both"/>
        <w:rPr>
          <w:rFonts w:ascii="Times New Roman" w:hAnsi="Times New Roman" w:cs="Times New Roman"/>
          <w:bCs/>
          <w:color w:val="auto"/>
          <w:sz w:val="20"/>
          <w:szCs w:val="20"/>
          <w:lang w:val="en-US"/>
        </w:rPr>
      </w:pPr>
      <w:r w:rsidRPr="003D38E6">
        <w:rPr>
          <w:rFonts w:ascii="Times New Roman" w:hAnsi="Times New Roman" w:cs="Times New Roman"/>
          <w:bCs/>
          <w:color w:val="auto"/>
          <w:sz w:val="20"/>
          <w:szCs w:val="20"/>
          <w:lang w:val="en-US"/>
        </w:rPr>
        <w:t>the identification of linked transactions;</w:t>
      </w:r>
    </w:p>
    <w:p w:rsidR="00264558" w:rsidRPr="003D38E6" w:rsidRDefault="00264558" w:rsidP="00264558">
      <w:pPr>
        <w:pStyle w:val="Default"/>
        <w:spacing w:line="360" w:lineRule="auto"/>
        <w:jc w:val="both"/>
        <w:rPr>
          <w:rFonts w:ascii="Times New Roman" w:hAnsi="Times New Roman" w:cs="Times New Roman"/>
          <w:bCs/>
          <w:color w:val="auto"/>
          <w:sz w:val="20"/>
          <w:szCs w:val="20"/>
          <w:lang w:val="en-US"/>
        </w:rPr>
      </w:pPr>
    </w:p>
    <w:p w:rsidR="00264558" w:rsidRPr="003D38E6" w:rsidRDefault="00264558" w:rsidP="00264558">
      <w:pPr>
        <w:pStyle w:val="Default"/>
        <w:spacing w:line="360" w:lineRule="auto"/>
        <w:jc w:val="both"/>
        <w:rPr>
          <w:rFonts w:ascii="Times New Roman" w:hAnsi="Times New Roman" w:cs="Times New Roman"/>
          <w:bCs/>
          <w:color w:val="auto"/>
          <w:sz w:val="20"/>
          <w:szCs w:val="20"/>
          <w:lang w:val="en-US"/>
        </w:rPr>
      </w:pPr>
      <w:r w:rsidRPr="003D38E6">
        <w:rPr>
          <w:rFonts w:ascii="Times New Roman" w:hAnsi="Times New Roman" w:cs="Times New Roman"/>
          <w:bCs/>
          <w:i/>
          <w:color w:val="auto"/>
          <w:sz w:val="20"/>
          <w:szCs w:val="20"/>
          <w:lang w:val="en-US"/>
        </w:rPr>
        <w:t>Concerns</w:t>
      </w:r>
      <w:r w:rsidRPr="003D38E6">
        <w:rPr>
          <w:rFonts w:ascii="Times New Roman" w:hAnsi="Times New Roman" w:cs="Times New Roman"/>
          <w:bCs/>
          <w:color w:val="auto"/>
          <w:sz w:val="20"/>
          <w:szCs w:val="20"/>
          <w:lang w:val="en-US"/>
        </w:rPr>
        <w:t>:</w:t>
      </w:r>
    </w:p>
    <w:p w:rsidR="00264558" w:rsidRPr="003D38E6" w:rsidRDefault="00264558" w:rsidP="00C947F5">
      <w:pPr>
        <w:pStyle w:val="Default"/>
        <w:numPr>
          <w:ilvl w:val="1"/>
          <w:numId w:val="42"/>
        </w:numPr>
        <w:spacing w:line="360" w:lineRule="auto"/>
        <w:ind w:left="709" w:hanging="283"/>
        <w:jc w:val="both"/>
        <w:rPr>
          <w:rFonts w:ascii="Times New Roman" w:hAnsi="Times New Roman" w:cs="Times New Roman"/>
          <w:bCs/>
          <w:color w:val="auto"/>
          <w:sz w:val="20"/>
          <w:szCs w:val="20"/>
          <w:lang w:val="en-US"/>
        </w:rPr>
      </w:pPr>
      <w:r w:rsidRPr="003D38E6">
        <w:rPr>
          <w:rFonts w:ascii="Times New Roman" w:hAnsi="Times New Roman" w:cs="Times New Roman"/>
          <w:bCs/>
          <w:color w:val="auto"/>
          <w:sz w:val="20"/>
          <w:szCs w:val="20"/>
          <w:lang w:val="en-US"/>
        </w:rPr>
        <w:t>Even when the instruction is identified (or identifiable) it should be impossible to assess if such instruction is subject to buy-in or not;</w:t>
      </w:r>
    </w:p>
    <w:p w:rsidR="00264558" w:rsidRPr="003D38E6" w:rsidRDefault="00264558" w:rsidP="00C947F5">
      <w:pPr>
        <w:pStyle w:val="Default"/>
        <w:numPr>
          <w:ilvl w:val="1"/>
          <w:numId w:val="42"/>
        </w:numPr>
        <w:spacing w:line="360" w:lineRule="auto"/>
        <w:ind w:left="709" w:hanging="283"/>
        <w:jc w:val="both"/>
        <w:rPr>
          <w:rFonts w:ascii="Times New Roman" w:hAnsi="Times New Roman" w:cs="Times New Roman"/>
          <w:bCs/>
          <w:color w:val="auto"/>
          <w:sz w:val="20"/>
          <w:szCs w:val="20"/>
          <w:lang w:val="en-US"/>
        </w:rPr>
      </w:pPr>
      <w:r w:rsidRPr="003D38E6">
        <w:rPr>
          <w:rFonts w:ascii="Times New Roman" w:hAnsi="Times New Roman" w:cs="Times New Roman"/>
          <w:bCs/>
          <w:color w:val="auto"/>
          <w:sz w:val="20"/>
          <w:szCs w:val="20"/>
          <w:lang w:val="en-US"/>
        </w:rPr>
        <w:t xml:space="preserve">There is, currently, no harmonized practice on how to use the fields to identify </w:t>
      </w:r>
    </w:p>
    <w:p w:rsidR="00264558" w:rsidRPr="003D38E6" w:rsidRDefault="00264558" w:rsidP="00C947F5">
      <w:pPr>
        <w:pStyle w:val="Default"/>
        <w:numPr>
          <w:ilvl w:val="1"/>
          <w:numId w:val="42"/>
        </w:numPr>
        <w:spacing w:line="360" w:lineRule="auto"/>
        <w:ind w:left="709" w:hanging="283"/>
        <w:jc w:val="both"/>
        <w:rPr>
          <w:rFonts w:ascii="Times New Roman" w:hAnsi="Times New Roman" w:cs="Times New Roman"/>
          <w:bCs/>
          <w:color w:val="auto"/>
          <w:sz w:val="20"/>
          <w:szCs w:val="20"/>
          <w:lang w:val="en-US"/>
        </w:rPr>
      </w:pPr>
      <w:r w:rsidRPr="003D38E6">
        <w:rPr>
          <w:rFonts w:ascii="Times New Roman" w:hAnsi="Times New Roman" w:cs="Times New Roman"/>
          <w:bCs/>
          <w:color w:val="auto"/>
          <w:sz w:val="20"/>
          <w:szCs w:val="20"/>
          <w:lang w:val="en-US"/>
        </w:rPr>
        <w:t>The functionality to identify the length and the different legs of a repo will not be supported by T2S (see T2S AG answer to ESMA public consultation) and as a result, T2S participating CSDs will not be able to comply with the technical requirements referred in Article 14 of the draft RTS on SD (and it is not logical to build a functionality outside T2S).</w:t>
      </w:r>
    </w:p>
    <w:p w:rsidR="00264558" w:rsidRPr="003D38E6" w:rsidRDefault="00264558" w:rsidP="00C947F5">
      <w:pPr>
        <w:pStyle w:val="Default"/>
        <w:numPr>
          <w:ilvl w:val="1"/>
          <w:numId w:val="42"/>
        </w:numPr>
        <w:spacing w:line="360" w:lineRule="auto"/>
        <w:ind w:left="709" w:hanging="283"/>
        <w:jc w:val="both"/>
        <w:rPr>
          <w:rFonts w:ascii="Times New Roman" w:hAnsi="Times New Roman" w:cs="Times New Roman"/>
          <w:bCs/>
          <w:color w:val="auto"/>
          <w:sz w:val="20"/>
          <w:szCs w:val="20"/>
          <w:lang w:val="en-US"/>
        </w:rPr>
      </w:pPr>
      <w:r w:rsidRPr="003D38E6">
        <w:rPr>
          <w:rFonts w:ascii="Times New Roman" w:hAnsi="Times New Roman" w:cs="Times New Roman"/>
          <w:bCs/>
          <w:color w:val="auto"/>
          <w:sz w:val="20"/>
          <w:szCs w:val="20"/>
          <w:lang w:val="en-US"/>
        </w:rPr>
        <w:t xml:space="preserve">In what respects linked transactions, the information should come from the counterparties of the underlying trade(s) and be disclosed in the settlement instructions by the respective CSD participants, and as such, CSDs participating in T2S will not be allowed to comply with the technical requirements referred in Article 14 of the draft RTS on SD. </w:t>
      </w:r>
    </w:p>
    <w:permEnd w:id="11"/>
    <w:p w:rsidR="00D12AFD" w:rsidRDefault="00D12AFD" w:rsidP="00D12AFD">
      <w:r>
        <w:t>&lt;ESMA_QUESTION_TS_CSDR_9&gt;</w:t>
      </w:r>
    </w:p>
    <w:p w:rsidR="00D12AFD" w:rsidRPr="002C4F00" w:rsidRDefault="00D12AFD" w:rsidP="00965B03">
      <w:pPr>
        <w:pStyle w:val="Ttulo5"/>
        <w:ind w:left="567" w:hanging="567"/>
      </w:pPr>
      <w:r w:rsidRPr="002C4F00">
        <w:lastRenderedPageBreak/>
        <w:t>What are your views on the proposed draft RTS related to the calculation of the cash compensation?</w:t>
      </w:r>
    </w:p>
    <w:p w:rsidR="00D12AFD" w:rsidRDefault="00D12AFD" w:rsidP="00D12AFD"/>
    <w:p w:rsidR="00D12AFD" w:rsidRDefault="00D12AFD" w:rsidP="00D12AFD">
      <w:r>
        <w:t>&lt;ESMA_QUESTION_TS_CSDR_10&gt;</w:t>
      </w:r>
    </w:p>
    <w:p w:rsidR="00154A34" w:rsidRPr="00154A34" w:rsidRDefault="00154A34" w:rsidP="00154A34">
      <w:pPr>
        <w:pStyle w:val="Default"/>
        <w:spacing w:line="360" w:lineRule="auto"/>
        <w:jc w:val="both"/>
        <w:rPr>
          <w:rFonts w:ascii="Times New Roman" w:hAnsi="Times New Roman" w:cs="Times New Roman"/>
          <w:color w:val="auto"/>
          <w:lang w:val="en-US"/>
        </w:rPr>
      </w:pPr>
      <w:permStart w:id="12" w:edGrp="everyone"/>
      <w:r w:rsidRPr="00154A34">
        <w:rPr>
          <w:rFonts w:ascii="Times New Roman" w:hAnsi="Times New Roman" w:cs="Times New Roman"/>
          <w:color w:val="auto"/>
          <w:lang w:val="en-US"/>
        </w:rPr>
        <w:t>We agree that when the participants have agreed in advance on the price to settle the cash co</w:t>
      </w:r>
      <w:r w:rsidRPr="00154A34">
        <w:rPr>
          <w:rFonts w:ascii="Times New Roman" w:hAnsi="Times New Roman" w:cs="Times New Roman"/>
          <w:color w:val="auto"/>
          <w:lang w:val="en-US"/>
        </w:rPr>
        <w:t>m</w:t>
      </w:r>
      <w:r w:rsidRPr="00154A34">
        <w:rPr>
          <w:rFonts w:ascii="Times New Roman" w:hAnsi="Times New Roman" w:cs="Times New Roman"/>
          <w:color w:val="auto"/>
          <w:lang w:val="en-US"/>
        </w:rPr>
        <w:t>pensation or the method to determine such price the choice of the participants should be respec</w:t>
      </w:r>
      <w:r w:rsidRPr="00154A34">
        <w:rPr>
          <w:rFonts w:ascii="Times New Roman" w:hAnsi="Times New Roman" w:cs="Times New Roman"/>
          <w:color w:val="auto"/>
          <w:lang w:val="en-US"/>
        </w:rPr>
        <w:t>t</w:t>
      </w:r>
      <w:r w:rsidRPr="00154A34">
        <w:rPr>
          <w:rFonts w:ascii="Times New Roman" w:hAnsi="Times New Roman" w:cs="Times New Roman"/>
          <w:color w:val="auto"/>
          <w:lang w:val="en-US"/>
        </w:rPr>
        <w:t>ed.</w:t>
      </w:r>
    </w:p>
    <w:permEnd w:id="12"/>
    <w:p w:rsidR="00D12AFD" w:rsidRDefault="00D12AFD" w:rsidP="00D12AFD">
      <w:r>
        <w:t>&lt;ESMA_QUESTION_TS_CSDR_10&gt;</w:t>
      </w:r>
    </w:p>
    <w:p w:rsidR="00D12AFD" w:rsidRPr="002C4F00" w:rsidRDefault="00D12AFD" w:rsidP="00965B03">
      <w:pPr>
        <w:pStyle w:val="Ttulo5"/>
        <w:ind w:left="567" w:hanging="567"/>
      </w:pPr>
      <w:r w:rsidRPr="002C4F00">
        <w:t>What are your views on the proposed draft RTS related to the conditions for a pa</w:t>
      </w:r>
      <w:r w:rsidRPr="002C4F00">
        <w:t>r</w:t>
      </w:r>
      <w:r w:rsidRPr="002C4F00">
        <w:t>ticipant to consistently and systematically fail?</w:t>
      </w:r>
    </w:p>
    <w:p w:rsidR="00D12AFD" w:rsidRDefault="00D12AFD" w:rsidP="00D12AFD"/>
    <w:p w:rsidR="00D12AFD" w:rsidRDefault="00D12AFD" w:rsidP="00D12AFD">
      <w:r>
        <w:t>&lt;ESMA_QUESTION_TS_CSDR_11&gt;</w:t>
      </w:r>
    </w:p>
    <w:p w:rsidR="00154A34" w:rsidRPr="002417C1" w:rsidRDefault="00154A34" w:rsidP="00154A34">
      <w:pPr>
        <w:spacing w:line="360" w:lineRule="auto"/>
        <w:jc w:val="both"/>
        <w:rPr>
          <w:rFonts w:ascii="Times New Roman" w:hAnsi="Times New Roman"/>
          <w:sz w:val="24"/>
          <w:lang w:val="en-US"/>
        </w:rPr>
      </w:pPr>
      <w:permStart w:id="13" w:edGrp="everyone"/>
      <w:r w:rsidRPr="002417C1">
        <w:rPr>
          <w:rFonts w:ascii="Times New Roman" w:hAnsi="Times New Roman"/>
          <w:sz w:val="24"/>
          <w:lang w:val="en-US"/>
        </w:rPr>
        <w:t xml:space="preserve">We reiterate that the suspension of a participant should be considered as an ultimate solution, an extreme measure that can only be used after due consideration of the circumstances and after the consultation with the regulators, authorities and the other infrastructures involved. On the other hand, in many cases the fail of the CSD participant is a fail of its client. </w:t>
      </w:r>
    </w:p>
    <w:p w:rsidR="00154A34" w:rsidRPr="002417C1" w:rsidRDefault="00154A34" w:rsidP="00154A34">
      <w:pPr>
        <w:spacing w:line="360" w:lineRule="auto"/>
        <w:jc w:val="both"/>
        <w:rPr>
          <w:rFonts w:ascii="Times New Roman" w:hAnsi="Times New Roman"/>
          <w:sz w:val="24"/>
          <w:lang w:val="en-US"/>
        </w:rPr>
      </w:pPr>
      <w:r w:rsidRPr="002417C1">
        <w:rPr>
          <w:rFonts w:ascii="Times New Roman" w:hAnsi="Times New Roman"/>
          <w:sz w:val="24"/>
          <w:lang w:val="en-US"/>
        </w:rPr>
        <w:t>As a result, we think that the proposed threshold (article 16(1) of the draft RTS on SD) set by reference to the settlement efficiency rate of each securities settlement system of a 10% devi</w:t>
      </w:r>
      <w:r w:rsidRPr="002417C1">
        <w:rPr>
          <w:rFonts w:ascii="Times New Roman" w:hAnsi="Times New Roman"/>
          <w:sz w:val="24"/>
          <w:lang w:val="en-US"/>
        </w:rPr>
        <w:t>a</w:t>
      </w:r>
      <w:r w:rsidRPr="002417C1">
        <w:rPr>
          <w:rFonts w:ascii="Times New Roman" w:hAnsi="Times New Roman"/>
          <w:sz w:val="24"/>
          <w:lang w:val="en-US"/>
        </w:rPr>
        <w:t>tion, in value or volume is very low. We should consider a high threshold, namely, and as r</w:t>
      </w:r>
      <w:r w:rsidRPr="002417C1">
        <w:rPr>
          <w:rFonts w:ascii="Times New Roman" w:hAnsi="Times New Roman"/>
          <w:sz w:val="24"/>
          <w:lang w:val="en-US"/>
        </w:rPr>
        <w:t>e</w:t>
      </w:r>
      <w:r w:rsidRPr="002417C1">
        <w:rPr>
          <w:rFonts w:ascii="Times New Roman" w:hAnsi="Times New Roman"/>
          <w:sz w:val="24"/>
          <w:lang w:val="en-US"/>
        </w:rPr>
        <w:t xml:space="preserve">ferred also by ECSDA on its answer to the public consultation, to avoid unnecessary procedures against failing participants, suggesting to raise the threshold to 25% below the average settlement efficiency rate for the Securities Settlement System. </w:t>
      </w:r>
    </w:p>
    <w:permEnd w:id="13"/>
    <w:p w:rsidR="00D12AFD" w:rsidRDefault="00D12AFD" w:rsidP="00D12AFD">
      <w:r>
        <w:t>&lt;ESMA_QUESTION_TS_CSDR_11&gt;</w:t>
      </w:r>
    </w:p>
    <w:p w:rsidR="00D12AFD" w:rsidRPr="002C4F00" w:rsidRDefault="00D12AFD" w:rsidP="00965B03">
      <w:pPr>
        <w:pStyle w:val="Ttulo5"/>
        <w:ind w:left="567" w:hanging="567"/>
      </w:pPr>
      <w:r w:rsidRPr="002C4F00">
        <w:t>What are your views on the proposed draft RTS related to the settlement information for CCPs and trading venues?</w:t>
      </w:r>
    </w:p>
    <w:p w:rsidR="00D12AFD" w:rsidRDefault="00D12AFD" w:rsidP="00D12AFD"/>
    <w:p w:rsidR="00D12AFD" w:rsidRDefault="00D12AFD" w:rsidP="00D12AFD">
      <w:r>
        <w:t>&lt;ESMA_QUESTION_TS_CSDR_12&gt;</w:t>
      </w:r>
    </w:p>
    <w:p w:rsidR="00154A34" w:rsidRPr="002417C1" w:rsidRDefault="00154A34" w:rsidP="00154A34">
      <w:pPr>
        <w:spacing w:line="360" w:lineRule="auto"/>
        <w:jc w:val="both"/>
        <w:rPr>
          <w:rFonts w:ascii="Times New Roman" w:hAnsi="Times New Roman"/>
          <w:sz w:val="24"/>
          <w:lang w:val="en-US"/>
        </w:rPr>
      </w:pPr>
      <w:permStart w:id="14" w:edGrp="everyone"/>
      <w:r w:rsidRPr="002417C1">
        <w:rPr>
          <w:rFonts w:ascii="Times New Roman" w:hAnsi="Times New Roman"/>
          <w:sz w:val="24"/>
          <w:lang w:val="en-US"/>
        </w:rPr>
        <w:t>According to article 17, §1 of the draft RTS on SD the “</w:t>
      </w:r>
      <w:r w:rsidRPr="002417C1">
        <w:rPr>
          <w:rFonts w:ascii="Times New Roman" w:hAnsi="Times New Roman"/>
          <w:i/>
          <w:sz w:val="24"/>
          <w:lang w:val="en-US"/>
        </w:rPr>
        <w:t>CSD shall provide to each of the relevant CCP and trading venue the information that relates to the status of the failed settlement of the transactions included in the list of instructions that the CCP or the trading venue sent for settl</w:t>
      </w:r>
      <w:r w:rsidRPr="002417C1">
        <w:rPr>
          <w:rFonts w:ascii="Times New Roman" w:hAnsi="Times New Roman"/>
          <w:i/>
          <w:sz w:val="24"/>
          <w:lang w:val="en-US"/>
        </w:rPr>
        <w:t>e</w:t>
      </w:r>
      <w:r w:rsidRPr="002417C1">
        <w:rPr>
          <w:rFonts w:ascii="Times New Roman" w:hAnsi="Times New Roman"/>
          <w:i/>
          <w:sz w:val="24"/>
          <w:lang w:val="en-US"/>
        </w:rPr>
        <w:t>ment to the CSD</w:t>
      </w:r>
      <w:r w:rsidRPr="002417C1">
        <w:rPr>
          <w:rFonts w:ascii="Times New Roman" w:hAnsi="Times New Roman"/>
          <w:sz w:val="24"/>
          <w:lang w:val="en-US"/>
        </w:rPr>
        <w:t xml:space="preserve">”. </w:t>
      </w:r>
    </w:p>
    <w:p w:rsidR="00154A34" w:rsidRPr="002417C1" w:rsidRDefault="00154A34" w:rsidP="00154A34">
      <w:pPr>
        <w:spacing w:line="360" w:lineRule="auto"/>
        <w:jc w:val="both"/>
        <w:rPr>
          <w:rFonts w:ascii="Times New Roman" w:hAnsi="Times New Roman"/>
          <w:sz w:val="24"/>
          <w:lang w:val="en-US"/>
        </w:rPr>
      </w:pPr>
      <w:r w:rsidRPr="002417C1">
        <w:rPr>
          <w:rFonts w:ascii="Times New Roman" w:hAnsi="Times New Roman"/>
          <w:sz w:val="24"/>
          <w:lang w:val="en-US"/>
        </w:rPr>
        <w:t>Nevertheless, we identify some concerns regarding this proposal namely related to the identific</w:t>
      </w:r>
      <w:r w:rsidRPr="002417C1">
        <w:rPr>
          <w:rFonts w:ascii="Times New Roman" w:hAnsi="Times New Roman"/>
          <w:sz w:val="24"/>
          <w:lang w:val="en-US"/>
        </w:rPr>
        <w:t>a</w:t>
      </w:r>
      <w:r w:rsidRPr="002417C1">
        <w:rPr>
          <w:rFonts w:ascii="Times New Roman" w:hAnsi="Times New Roman"/>
          <w:sz w:val="24"/>
          <w:lang w:val="en-US"/>
        </w:rPr>
        <w:t xml:space="preserve">tion of trading venues, when the CSD does not receive a trade feed (inclusion of the operations by the participants). </w:t>
      </w:r>
    </w:p>
    <w:p w:rsidR="00154A34" w:rsidRPr="002417C1" w:rsidRDefault="00154A34" w:rsidP="00154A34">
      <w:pPr>
        <w:spacing w:line="360" w:lineRule="auto"/>
        <w:jc w:val="both"/>
        <w:rPr>
          <w:rFonts w:ascii="Times New Roman" w:hAnsi="Times New Roman"/>
          <w:sz w:val="24"/>
          <w:lang w:val="en-US"/>
        </w:rPr>
      </w:pPr>
      <w:r w:rsidRPr="002417C1">
        <w:rPr>
          <w:rFonts w:ascii="Times New Roman" w:hAnsi="Times New Roman"/>
          <w:sz w:val="24"/>
          <w:lang w:val="en-US"/>
        </w:rPr>
        <w:lastRenderedPageBreak/>
        <w:t xml:space="preserve">On the other hand, and in what concerns the settlement information to be given to CCPs, we consider that the CCPs, as CSDs’ participants, already have (as today) the </w:t>
      </w:r>
      <w:r w:rsidRPr="002417C1">
        <w:rPr>
          <w:rFonts w:ascii="Times New Roman" w:hAnsi="Times New Roman"/>
          <w:kern w:val="2"/>
          <w:sz w:val="24"/>
          <w:lang w:val="en-US"/>
        </w:rPr>
        <w:t>information needed for the buy-ins.</w:t>
      </w:r>
    </w:p>
    <w:permEnd w:id="14"/>
    <w:p w:rsidR="00D12AFD" w:rsidRDefault="00D12AFD" w:rsidP="00D12AFD">
      <w:r>
        <w:t>&lt;ESMA_QUESTION_TS_CSDR_12&gt;</w:t>
      </w:r>
    </w:p>
    <w:p w:rsidR="00D12AFD" w:rsidRPr="002C4F00" w:rsidRDefault="00D12AFD" w:rsidP="00965B03">
      <w:pPr>
        <w:pStyle w:val="Ttulo5"/>
        <w:ind w:left="567" w:hanging="567"/>
      </w:pPr>
      <w:r w:rsidRPr="002C4F00">
        <w:t>What are your views on the proposed draft RTS related to anti-avoidance rules for cash penalties and buy-in?</w:t>
      </w:r>
    </w:p>
    <w:p w:rsidR="00D12AFD" w:rsidRDefault="00D12AFD" w:rsidP="00D12AFD"/>
    <w:p w:rsidR="00D12AFD" w:rsidRDefault="00D12AFD" w:rsidP="00D12AFD">
      <w:r>
        <w:t>&lt;ESMA_QUESTION_TS_CSDR_13&gt;</w:t>
      </w:r>
    </w:p>
    <w:p w:rsidR="00154A34" w:rsidRPr="002417C1" w:rsidRDefault="00154A34" w:rsidP="00154A34">
      <w:pPr>
        <w:pStyle w:val="Default"/>
        <w:spacing w:line="360" w:lineRule="auto"/>
        <w:jc w:val="both"/>
        <w:rPr>
          <w:rFonts w:ascii="Times New Roman" w:hAnsi="Times New Roman" w:cs="Times New Roman"/>
          <w:bCs/>
          <w:color w:val="auto"/>
          <w:lang w:val="en-US"/>
        </w:rPr>
      </w:pPr>
      <w:permStart w:id="15" w:edGrp="everyone"/>
      <w:r w:rsidRPr="002417C1">
        <w:rPr>
          <w:rFonts w:ascii="Times New Roman" w:hAnsi="Times New Roman" w:cs="Times New Roman"/>
          <w:bCs/>
          <w:color w:val="auto"/>
          <w:lang w:val="en-US"/>
        </w:rPr>
        <w:t xml:space="preserve">We fully support T2S AG answer regarding the review of article 19 of the draft RTS on SD or the deletion of the same, namely considering that this article is not necessary and can create the risk that the very broadly drafted requirements of article 19 would supersede many of the detailed, technical provisions of Section 2 (“Access between CSDs”) and Section 3 (“Access between a CSD and another market infrastructure”)  of Chapter III (“Access to CSDs”) of the CSDR and cause, therefore, legal uncertainty.  </w:t>
      </w:r>
    </w:p>
    <w:permEnd w:id="15"/>
    <w:p w:rsidR="00D12AFD" w:rsidRDefault="00D12AFD" w:rsidP="00D12AFD">
      <w:r>
        <w:t>&lt;ESMA_QUESTION_TS_CSDR_13&gt;</w:t>
      </w:r>
    </w:p>
    <w:p w:rsidR="00D12AFD" w:rsidRPr="002C4F00" w:rsidRDefault="00D12AFD" w:rsidP="00965B03">
      <w:pPr>
        <w:pStyle w:val="Ttulo5"/>
        <w:ind w:left="567" w:hanging="567"/>
      </w:pPr>
      <w:r w:rsidRPr="002C4F00">
        <w:t>Do you agree that 1</w:t>
      </w:r>
      <w:r w:rsidR="00775F04">
        <w:t>8</w:t>
      </w:r>
      <w:r w:rsidRPr="002C4F00">
        <w:t xml:space="preserve"> months would be an appropriate timeframe for the implement</w:t>
      </w:r>
      <w:r w:rsidRPr="002C4F00">
        <w:t>a</w:t>
      </w:r>
      <w:r w:rsidRPr="002C4F00">
        <w:t>tion of the settlement discipline regime under CSDR? If not, what would be an a</w:t>
      </w:r>
      <w:r w:rsidRPr="002C4F00">
        <w:t>p</w:t>
      </w:r>
      <w:r w:rsidRPr="002C4F00">
        <w:t>propriate timeframe in your opinion? Please provide concrete data and evidence justifying a phase-in for the settlement discipline measures and supporting your proposals.</w:t>
      </w:r>
    </w:p>
    <w:p w:rsidR="00D12AFD" w:rsidRDefault="00D12AFD" w:rsidP="00D12AFD"/>
    <w:p w:rsidR="00D12AFD" w:rsidRDefault="00D12AFD" w:rsidP="00D12AFD">
      <w:r>
        <w:t>&lt;ESMA_QUESTION_TS_CSDR_14&gt;</w:t>
      </w:r>
    </w:p>
    <w:p w:rsidR="00154A34" w:rsidRPr="002417C1" w:rsidRDefault="00154A34" w:rsidP="00154A34">
      <w:pPr>
        <w:pStyle w:val="Default"/>
        <w:spacing w:line="360" w:lineRule="auto"/>
        <w:jc w:val="both"/>
        <w:rPr>
          <w:rFonts w:ascii="Times New Roman" w:hAnsi="Times New Roman" w:cs="Times New Roman"/>
          <w:color w:val="auto"/>
          <w:lang w:val="en-US"/>
        </w:rPr>
      </w:pPr>
      <w:permStart w:id="16" w:edGrp="everyone"/>
      <w:r w:rsidRPr="002417C1">
        <w:rPr>
          <w:rFonts w:ascii="Times New Roman" w:hAnsi="Times New Roman" w:cs="Times New Roman"/>
          <w:color w:val="auto"/>
          <w:lang w:val="en-US"/>
        </w:rPr>
        <w:t>We believe that there is a major need for an extended entry into force period, regarding the se</w:t>
      </w:r>
      <w:r w:rsidRPr="002417C1">
        <w:rPr>
          <w:rFonts w:ascii="Times New Roman" w:hAnsi="Times New Roman" w:cs="Times New Roman"/>
          <w:color w:val="auto"/>
          <w:lang w:val="en-US"/>
        </w:rPr>
        <w:t>t</w:t>
      </w:r>
      <w:r w:rsidRPr="002417C1">
        <w:rPr>
          <w:rFonts w:ascii="Times New Roman" w:hAnsi="Times New Roman" w:cs="Times New Roman"/>
          <w:color w:val="auto"/>
          <w:lang w:val="en-US"/>
        </w:rPr>
        <w:t xml:space="preserve">tlement discipline measures, namely for CSDs, as </w:t>
      </w:r>
      <w:proofErr w:type="spellStart"/>
      <w:r w:rsidRPr="002417C1">
        <w:rPr>
          <w:rFonts w:ascii="Times New Roman" w:hAnsi="Times New Roman" w:cs="Times New Roman"/>
          <w:color w:val="auto"/>
          <w:lang w:val="en-US"/>
        </w:rPr>
        <w:t>Interbolsa</w:t>
      </w:r>
      <w:proofErr w:type="spellEnd"/>
      <w:r w:rsidRPr="002417C1">
        <w:rPr>
          <w:rFonts w:ascii="Times New Roman" w:hAnsi="Times New Roman" w:cs="Times New Roman"/>
          <w:color w:val="auto"/>
          <w:lang w:val="en-US"/>
        </w:rPr>
        <w:t>, that are planning to migrate to T2S.</w:t>
      </w:r>
    </w:p>
    <w:p w:rsidR="00154A34" w:rsidRPr="002417C1" w:rsidRDefault="00154A34" w:rsidP="00154A34">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color w:val="auto"/>
          <w:lang w:val="en-US"/>
        </w:rPr>
        <w:t>We think that sufficient time should be given to all relevant stakeholders to implement the nece</w:t>
      </w:r>
      <w:r w:rsidRPr="002417C1">
        <w:rPr>
          <w:rFonts w:ascii="Times New Roman" w:hAnsi="Times New Roman" w:cs="Times New Roman"/>
          <w:color w:val="auto"/>
          <w:lang w:val="en-US"/>
        </w:rPr>
        <w:t>s</w:t>
      </w:r>
      <w:r w:rsidRPr="002417C1">
        <w:rPr>
          <w:rFonts w:ascii="Times New Roman" w:hAnsi="Times New Roman" w:cs="Times New Roman"/>
          <w:color w:val="auto"/>
          <w:lang w:val="en-US"/>
        </w:rPr>
        <w:t xml:space="preserve">sary changes. </w:t>
      </w:r>
    </w:p>
    <w:p w:rsidR="00154A34" w:rsidRPr="002417C1" w:rsidRDefault="00154A34" w:rsidP="00154A34">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color w:val="auto"/>
          <w:lang w:val="en-US"/>
        </w:rPr>
        <w:t xml:space="preserve">For that we welcome the proposal of ESMA but we think that the implementation period of 18 months might be insufficient to allow all involved entities to implement the adaptations required by the proposed RTS, namely considering that the T2S project will impose massive changes to IT systems, rules and procedures (of CSDs and CSDs participants) during 2015, 2016 and (for some T2S stakeholders) 2017. In the case of </w:t>
      </w:r>
      <w:proofErr w:type="spellStart"/>
      <w:r w:rsidRPr="002417C1">
        <w:rPr>
          <w:rFonts w:ascii="Times New Roman" w:hAnsi="Times New Roman" w:cs="Times New Roman"/>
          <w:color w:val="auto"/>
          <w:lang w:val="en-US"/>
        </w:rPr>
        <w:t>Interbolsa</w:t>
      </w:r>
      <w:proofErr w:type="spellEnd"/>
      <w:r w:rsidRPr="002417C1">
        <w:rPr>
          <w:rFonts w:ascii="Times New Roman" w:hAnsi="Times New Roman" w:cs="Times New Roman"/>
          <w:color w:val="auto"/>
          <w:lang w:val="en-US"/>
        </w:rPr>
        <w:t xml:space="preserve">, we assume that before the migration to T2S platform (previewed to March 2016) it will be impossible to start working on the new settlement discipline regime and in all its detailed new requirements proposed by ESMA in this Consultation Paper.    </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lastRenderedPageBreak/>
        <w:t>We fully support on this context the T2S AG response to the Consultation Paper that gives a real overview of the impact of RTS on T2S CSDs, on CSD participants and on T2S platform and suggests that the settlement measures should be phase-in with a delay of minimum 24 months.</w:t>
      </w:r>
    </w:p>
    <w:permEnd w:id="16"/>
    <w:p w:rsidR="00D12AFD" w:rsidRDefault="00D12AFD" w:rsidP="00D12AFD">
      <w:r>
        <w:t>&lt;ESMA_QUESTION_TS_CSDR_14&gt;</w:t>
      </w:r>
    </w:p>
    <w:p w:rsidR="00D12AFD" w:rsidRPr="002C4F00" w:rsidRDefault="00D12AFD" w:rsidP="00965B03">
      <w:pPr>
        <w:pStyle w:val="Ttulo5"/>
        <w:ind w:left="567" w:hanging="567"/>
      </w:pPr>
      <w:r w:rsidRPr="002C4F00">
        <w:t>What are your views on the proposed draft RTS</w:t>
      </w:r>
      <w:r>
        <w:t xml:space="preserve"> on CSD authorisation</w:t>
      </w:r>
      <w:r w:rsidRPr="002C4F00">
        <w:t xml:space="preserve"> (Chapter II of Annex II) and draft ITS </w:t>
      </w:r>
      <w:r>
        <w:t xml:space="preserve">on CSD authorisation </w:t>
      </w:r>
      <w:r w:rsidRPr="002C4F00">
        <w:t>(Chapter I of Annex VI)?</w:t>
      </w:r>
    </w:p>
    <w:p w:rsidR="00D12AFD" w:rsidRDefault="00D12AFD" w:rsidP="00D12AFD"/>
    <w:p w:rsidR="00D12AFD" w:rsidRDefault="00D12AFD" w:rsidP="00D12AFD">
      <w:r>
        <w:t>&lt;ESMA_QUESTION_TS_CSDR_15&gt;</w:t>
      </w:r>
    </w:p>
    <w:p w:rsidR="00154A34" w:rsidRPr="002417C1" w:rsidRDefault="00154A34" w:rsidP="00154A34">
      <w:pPr>
        <w:pStyle w:val="Textosimples"/>
        <w:widowControl w:val="0"/>
        <w:spacing w:line="360" w:lineRule="auto"/>
        <w:jc w:val="both"/>
        <w:rPr>
          <w:rFonts w:ascii="Times New Roman" w:hAnsi="Times New Roman"/>
          <w:sz w:val="24"/>
          <w:szCs w:val="24"/>
        </w:rPr>
      </w:pPr>
      <w:permStart w:id="17" w:edGrp="everyone"/>
      <w:r w:rsidRPr="002417C1">
        <w:rPr>
          <w:rFonts w:ascii="Times New Roman" w:hAnsi="Times New Roman"/>
          <w:sz w:val="24"/>
          <w:szCs w:val="24"/>
        </w:rPr>
        <w:t xml:space="preserve">In general, we agree and support ESMA proposal regarding the general topics of information that the CSDs should provide on its application for authorisation in order to demonstrate their compliance with all CSDR and relevant technical standards. </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Nevertheless, we have identified some points that should be clarified by ESMA: </w:t>
      </w:r>
    </w:p>
    <w:p w:rsidR="00154A34" w:rsidRPr="002417C1" w:rsidRDefault="00154A34" w:rsidP="00154A34">
      <w:pPr>
        <w:pStyle w:val="Textosimples"/>
        <w:widowControl w:val="0"/>
        <w:spacing w:line="360" w:lineRule="auto"/>
        <w:jc w:val="both"/>
        <w:rPr>
          <w:rFonts w:ascii="Times New Roman" w:hAnsi="Times New Roman"/>
          <w:b/>
          <w:sz w:val="24"/>
          <w:szCs w:val="24"/>
        </w:rPr>
      </w:pPr>
    </w:p>
    <w:p w:rsidR="00154A34" w:rsidRPr="002417C1" w:rsidRDefault="00154A34" w:rsidP="00154A34">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Information for groups</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Article 4, §1 (b) of the draft RTS on CSD authorisation, review and evaluation, and recognition (RTS on CSD authorisation) – We think that where an applicant CSD is part of a group of undertakings, the relevant information for the competent authority is the one related to the parent company and other relevant entities (other CSDs and credit institutions and not regarding all entities of the group), as referred in article 4, §1.</w:t>
      </w:r>
    </w:p>
    <w:p w:rsidR="00154A34" w:rsidRPr="002417C1" w:rsidRDefault="00154A34" w:rsidP="00154A34">
      <w:pPr>
        <w:pStyle w:val="Textosimples"/>
        <w:widowControl w:val="0"/>
        <w:spacing w:line="360" w:lineRule="auto"/>
        <w:jc w:val="both"/>
        <w:rPr>
          <w:rFonts w:ascii="Times New Roman" w:hAnsi="Times New Roman"/>
          <w:sz w:val="24"/>
          <w:szCs w:val="24"/>
        </w:rPr>
      </w:pPr>
    </w:p>
    <w:p w:rsidR="00154A34" w:rsidRPr="002417C1" w:rsidRDefault="00154A34" w:rsidP="00154A34">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Financial reports, business plans and resolution plans</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Under article 5, §1 (d) of the draft RTS on CSD authorisation, “</w:t>
      </w:r>
      <w:r w:rsidRPr="002417C1">
        <w:rPr>
          <w:rFonts w:ascii="Times New Roman" w:hAnsi="Times New Roman"/>
          <w:i/>
          <w:sz w:val="24"/>
          <w:szCs w:val="24"/>
        </w:rPr>
        <w:t>a business plan, including a financial plan and an estimated budget, contemplating different business scenarios for the CSD services, over a minimum of three years reference period</w:t>
      </w:r>
      <w:r w:rsidRPr="002417C1">
        <w:rPr>
          <w:rFonts w:ascii="Times New Roman" w:hAnsi="Times New Roman"/>
          <w:sz w:val="24"/>
          <w:szCs w:val="24"/>
        </w:rPr>
        <w:t xml:space="preserve">” shall be part of the application for authorisation of a CSD. </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We believe that this requirement is unnecessary and not useful for the competent authority regarding already existing CSDs, as Interbolsa. Actually, for existing CSDs, already subjects to the supervision of the competent authority at the time of the submission of the application for authorisation, this requirement does not appear as relevant since the competent authority is already aware of the business plans of the existing CSD. </w:t>
      </w:r>
    </w:p>
    <w:p w:rsidR="00154A34" w:rsidRPr="002417C1" w:rsidRDefault="00154A34" w:rsidP="00154A34">
      <w:pPr>
        <w:pStyle w:val="Textosimples"/>
        <w:widowControl w:val="0"/>
        <w:spacing w:line="360" w:lineRule="auto"/>
        <w:jc w:val="both"/>
        <w:rPr>
          <w:rFonts w:ascii="Times New Roman" w:hAnsi="Times New Roman"/>
          <w:sz w:val="24"/>
          <w:szCs w:val="24"/>
        </w:rPr>
      </w:pP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On the other hand, and according to article 5, §5 (a) and (b) of the draft RTS on CSD authorisation, the applicant CSD should include in the application for authorisation an adequate </w:t>
      </w:r>
      <w:r w:rsidRPr="002417C1">
        <w:rPr>
          <w:rFonts w:ascii="Times New Roman" w:hAnsi="Times New Roman"/>
          <w:sz w:val="24"/>
          <w:szCs w:val="24"/>
        </w:rPr>
        <w:lastRenderedPageBreak/>
        <w:t>recovery plan, to ensure continuity of the CSD’s critical operations, and a resolution plan established and maintained for the CSD so as to ensure continuity of a least its core functions, having regard to the size, systemic importance, nature, scale and complexity of the services of the concerned CSD.</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We have no comments in what concerns the adequate recovery plan to be provided by the CSD, because effectively this plan should be drafted and maintained by CSDs; nevertheless, we cannot understand the reference to the resolution plan, that should be drafted and maintained and be the responsibility of public authorities. </w:t>
      </w:r>
    </w:p>
    <w:p w:rsidR="00154A34" w:rsidRPr="002417C1" w:rsidRDefault="00154A34" w:rsidP="00154A34">
      <w:pPr>
        <w:pStyle w:val="Textosimples"/>
        <w:widowControl w:val="0"/>
        <w:spacing w:line="360" w:lineRule="auto"/>
        <w:ind w:left="426"/>
        <w:jc w:val="both"/>
        <w:rPr>
          <w:rFonts w:ascii="Times New Roman" w:hAnsi="Times New Roman"/>
          <w:sz w:val="24"/>
          <w:szCs w:val="24"/>
        </w:rPr>
      </w:pPr>
    </w:p>
    <w:p w:rsidR="00154A34" w:rsidRPr="002417C1" w:rsidRDefault="00154A34" w:rsidP="00154A34">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Book entry form</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In accordance with article 20 of the draft RTS on CSD authorisation an application for authorisation of a CSD shall contain information that demonstrates that the applicant CSD is capable to comply with article 3 of the CSDR (related to book entry form). Nevertheless, Level 1 legislation does not require CSDs to comply with any obligation; CSDR only imposes obligations, regarding book entry issue on issuers </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 </w:t>
      </w:r>
    </w:p>
    <w:p w:rsidR="00154A34" w:rsidRPr="002417C1" w:rsidRDefault="00154A34" w:rsidP="00154A34">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Portability</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Article 27 of the draft RTS on CSD authorisation on “Portability” imposes that “</w:t>
      </w:r>
      <w:r w:rsidRPr="002417C1">
        <w:rPr>
          <w:rFonts w:ascii="Times New Roman" w:hAnsi="Times New Roman"/>
          <w:i/>
          <w:sz w:val="24"/>
          <w:szCs w:val="24"/>
        </w:rPr>
        <w:t>An application for authorisation of a CSD shall contain the procedure put in place by the applicant CSD</w:t>
      </w:r>
      <w:r w:rsidRPr="002417C1">
        <w:rPr>
          <w:rFonts w:ascii="Times New Roman" w:hAnsi="Times New Roman"/>
          <w:sz w:val="24"/>
          <w:szCs w:val="24"/>
        </w:rPr>
        <w:t>”, in accordance with Article 20(5) of the CSDR, “</w:t>
      </w:r>
      <w:r w:rsidRPr="002417C1">
        <w:rPr>
          <w:rFonts w:ascii="Times New Roman" w:hAnsi="Times New Roman"/>
          <w:i/>
          <w:sz w:val="24"/>
          <w:szCs w:val="24"/>
        </w:rPr>
        <w:t>ensuring the timely and orderly settlement and transfer of the assets of clients and participants to another CSD in the event of a withdrawal of authorisation of the applicant CSD</w:t>
      </w:r>
      <w:r w:rsidRPr="002417C1">
        <w:rPr>
          <w:rFonts w:ascii="Times New Roman" w:hAnsi="Times New Roman"/>
          <w:sz w:val="24"/>
          <w:szCs w:val="24"/>
        </w:rPr>
        <w:t xml:space="preserve">”. Nevertheless, Level 1 legislation does not refer to “Portability” in line with Principle 14 of the PFMI that imposes portability only to CCPs (and therefore, EMIR includes an article on portability). </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Additionally, we follow ESCDA recommendation regarding the amendment of article 27 to give CSD participants </w:t>
      </w:r>
      <w:r w:rsidRPr="002417C1">
        <w:rPr>
          <w:rFonts w:ascii="Times New Roman" w:hAnsi="Times New Roman"/>
          <w:sz w:val="24"/>
          <w:szCs w:val="24"/>
          <w:lang w:val="en-US"/>
        </w:rPr>
        <w:t xml:space="preserve">a choice as regards the CSD to which their assets are transferred in case of a withdrawal of license. If a CSD loses its license, the continuity of critical services will be ensured under the recovery and resolution framework. Irrespective of the solution adopted (e.g. whether it involves transferring the notary and central maintenance services to another CSD or not), we believe that the failing CSD cannot impose the transfer of all participants’ assets to a single CSD entity, and that CSD clients should be given the choice as to where they hold their assets as a result of the CSD losing its </w:t>
      </w:r>
      <w:proofErr w:type="spellStart"/>
      <w:r w:rsidRPr="002417C1">
        <w:rPr>
          <w:rFonts w:ascii="Times New Roman" w:hAnsi="Times New Roman"/>
          <w:sz w:val="24"/>
          <w:szCs w:val="24"/>
          <w:lang w:val="en-US"/>
        </w:rPr>
        <w:t>licence</w:t>
      </w:r>
      <w:proofErr w:type="spellEnd"/>
      <w:r w:rsidRPr="002417C1">
        <w:rPr>
          <w:rFonts w:ascii="Times New Roman" w:hAnsi="Times New Roman"/>
          <w:sz w:val="24"/>
          <w:szCs w:val="24"/>
          <w:lang w:val="en-US"/>
        </w:rPr>
        <w:t xml:space="preserve">. The CSD’s duty, on the other hand, is to ensure that such </w:t>
      </w:r>
      <w:r w:rsidRPr="002417C1">
        <w:rPr>
          <w:rFonts w:ascii="Times New Roman" w:hAnsi="Times New Roman"/>
          <w:sz w:val="24"/>
          <w:szCs w:val="24"/>
          <w:lang w:val="en-US"/>
        </w:rPr>
        <w:lastRenderedPageBreak/>
        <w:t>transfer of assets is possible and that it occurs smoothly according to participants’ instruments, and with full respect of settlement finality rules.</w:t>
      </w:r>
    </w:p>
    <w:p w:rsidR="00154A34" w:rsidRPr="002417C1" w:rsidRDefault="00154A34" w:rsidP="00154A34">
      <w:pPr>
        <w:pStyle w:val="Textosimples"/>
        <w:widowControl w:val="0"/>
        <w:spacing w:line="360" w:lineRule="auto"/>
        <w:jc w:val="both"/>
        <w:rPr>
          <w:rFonts w:ascii="Times New Roman" w:hAnsi="Times New Roman"/>
          <w:sz w:val="24"/>
          <w:szCs w:val="24"/>
        </w:rPr>
      </w:pPr>
    </w:p>
    <w:p w:rsidR="00154A34" w:rsidRPr="002417C1" w:rsidRDefault="00154A34" w:rsidP="00154A34">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Draft ITS – Implementation Technical Standards</w:t>
      </w: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In general, we agree with the proposed Implementation Technical Standards on CSD authorisation, review and evaluation, and cooperation arrangements between authorities (ITS on CSD authorisation).</w:t>
      </w:r>
    </w:p>
    <w:p w:rsidR="00154A34" w:rsidRPr="002417C1" w:rsidRDefault="00154A34" w:rsidP="00154A34">
      <w:pPr>
        <w:pStyle w:val="Textosimples"/>
        <w:widowControl w:val="0"/>
        <w:spacing w:line="360" w:lineRule="auto"/>
        <w:jc w:val="both"/>
        <w:rPr>
          <w:rFonts w:ascii="Times New Roman" w:hAnsi="Times New Roman"/>
          <w:sz w:val="24"/>
          <w:szCs w:val="24"/>
        </w:rPr>
      </w:pPr>
    </w:p>
    <w:p w:rsidR="00154A34" w:rsidRPr="002417C1" w:rsidRDefault="00154A34" w:rsidP="00154A34">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Article 1, § 5 of the draft ITS on CSD authorisation refers that information should be submitted in the language indicated by the competent authority, but this entity can request the CSD to submit the same information in more than one language. Regarding this last point ESMA should be aware of the high costs of the translation. Therefore, the competent authority should not require the translation of all submitted documents but only of the relevant ones and if and when this is indispensable. </w:t>
      </w:r>
    </w:p>
    <w:permEnd w:id="17"/>
    <w:p w:rsidR="00D12AFD" w:rsidRDefault="00D12AFD" w:rsidP="00D12AFD">
      <w:r>
        <w:t>&lt;ESMA_QUESTION_TS_CSDR_15&gt;</w:t>
      </w:r>
    </w:p>
    <w:p w:rsidR="00D12AFD" w:rsidRPr="002C4F00" w:rsidRDefault="00D12AFD" w:rsidP="00965B03">
      <w:pPr>
        <w:pStyle w:val="Ttulo5"/>
        <w:ind w:left="567" w:hanging="567"/>
      </w:pPr>
      <w:r w:rsidRPr="00C8467F">
        <w:t>What are your views on the proposed draft RTS on CSD review and evaluation (Chapter III of Annex II) and draft ITS (Chapter II of Annex VI)?</w:t>
      </w:r>
    </w:p>
    <w:p w:rsidR="00D12AFD" w:rsidRDefault="00D12AFD" w:rsidP="00D12AFD"/>
    <w:p w:rsidR="00D12AFD" w:rsidRDefault="00D12AFD" w:rsidP="00D12AFD">
      <w:r>
        <w:t>&lt;ESMA_QUESTION_TS_CSDR_16&gt;</w:t>
      </w:r>
    </w:p>
    <w:p w:rsidR="00154A34" w:rsidRPr="002417C1" w:rsidRDefault="00154A34" w:rsidP="00154A34">
      <w:pPr>
        <w:pStyle w:val="Default"/>
        <w:spacing w:line="360" w:lineRule="auto"/>
        <w:jc w:val="both"/>
        <w:rPr>
          <w:rFonts w:ascii="Times New Roman" w:hAnsi="Times New Roman" w:cs="Times New Roman"/>
          <w:bCs/>
          <w:color w:val="auto"/>
          <w:lang w:val="en-US"/>
        </w:rPr>
      </w:pPr>
      <w:permStart w:id="18" w:edGrp="everyone"/>
      <w:r w:rsidRPr="002417C1">
        <w:rPr>
          <w:rFonts w:ascii="Times New Roman" w:hAnsi="Times New Roman" w:cs="Times New Roman"/>
          <w:bCs/>
          <w:i/>
          <w:color w:val="auto"/>
          <w:lang w:val="en-US"/>
        </w:rPr>
        <w:t>Article 38, §1 of the draft RTS on CSD authorization</w:t>
      </w:r>
      <w:r w:rsidRPr="002417C1">
        <w:rPr>
          <w:rFonts w:ascii="Times New Roman" w:hAnsi="Times New Roman" w:cs="Times New Roman"/>
          <w:bCs/>
          <w:color w:val="auto"/>
          <w:lang w:val="en-US"/>
        </w:rPr>
        <w:t xml:space="preserve"> – </w:t>
      </w:r>
      <w:r w:rsidRPr="002417C1">
        <w:rPr>
          <w:rFonts w:ascii="Times New Roman" w:hAnsi="Times New Roman" w:cs="Times New Roman"/>
          <w:bCs/>
          <w:i/>
          <w:color w:val="auto"/>
          <w:lang w:val="en-US"/>
        </w:rPr>
        <w:t>Access to data by the competent authority</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We think that for the purpose of the review and evaluation the submission by the CSD (annually) of “a </w:t>
      </w:r>
      <w:r w:rsidRPr="002417C1">
        <w:rPr>
          <w:rFonts w:ascii="Times New Roman" w:hAnsi="Times New Roman" w:cs="Times New Roman"/>
          <w:bCs/>
          <w:i/>
          <w:color w:val="auto"/>
          <w:lang w:val="en-US"/>
        </w:rPr>
        <w:t>self-assessment on the CSD’s activities overall compliance with the provisions</w:t>
      </w:r>
      <w:r w:rsidRPr="002417C1">
        <w:rPr>
          <w:rFonts w:ascii="Times New Roman" w:hAnsi="Times New Roman" w:cs="Times New Roman"/>
          <w:bCs/>
          <w:color w:val="auto"/>
          <w:lang w:val="en-US"/>
        </w:rPr>
        <w:t>” of the CSDR during the review period, referred under article 38, §1, seems redundant in terms of pract</w:t>
      </w:r>
      <w:r w:rsidRPr="002417C1">
        <w:rPr>
          <w:rFonts w:ascii="Times New Roman" w:hAnsi="Times New Roman" w:cs="Times New Roman"/>
          <w:bCs/>
          <w:color w:val="auto"/>
          <w:lang w:val="en-US"/>
        </w:rPr>
        <w:t>i</w:t>
      </w:r>
      <w:r w:rsidRPr="002417C1">
        <w:rPr>
          <w:rFonts w:ascii="Times New Roman" w:hAnsi="Times New Roman" w:cs="Times New Roman"/>
          <w:bCs/>
          <w:color w:val="auto"/>
          <w:lang w:val="en-US"/>
        </w:rPr>
        <w:t>cability and relevance with the “</w:t>
      </w:r>
      <w:r w:rsidRPr="002417C1">
        <w:rPr>
          <w:rFonts w:ascii="Times New Roman" w:hAnsi="Times New Roman" w:cs="Times New Roman"/>
          <w:bCs/>
          <w:i/>
          <w:color w:val="auto"/>
          <w:lang w:val="en-US"/>
        </w:rPr>
        <w:t>report summarizing material changes to the arrangements, stra</w:t>
      </w:r>
      <w:r w:rsidRPr="002417C1">
        <w:rPr>
          <w:rFonts w:ascii="Times New Roman" w:hAnsi="Times New Roman" w:cs="Times New Roman"/>
          <w:bCs/>
          <w:i/>
          <w:color w:val="auto"/>
          <w:lang w:val="en-US"/>
        </w:rPr>
        <w:t>t</w:t>
      </w:r>
      <w:r w:rsidRPr="002417C1">
        <w:rPr>
          <w:rFonts w:ascii="Times New Roman" w:hAnsi="Times New Roman" w:cs="Times New Roman"/>
          <w:bCs/>
          <w:i/>
          <w:color w:val="auto"/>
          <w:lang w:val="en-US"/>
        </w:rPr>
        <w:t>egies, processes and mechanisms which were introduced in the review period</w:t>
      </w:r>
      <w:r w:rsidRPr="002417C1">
        <w:rPr>
          <w:rFonts w:ascii="Times New Roman" w:hAnsi="Times New Roman" w:cs="Times New Roman"/>
          <w:bCs/>
          <w:color w:val="auto"/>
          <w:lang w:val="en-US"/>
        </w:rPr>
        <w:t>”.</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We think that should be more reasonable to request CSDs to submit to the competent authority, once </w:t>
      </w:r>
      <w:proofErr w:type="spellStart"/>
      <w:r w:rsidRPr="002417C1">
        <w:rPr>
          <w:rFonts w:ascii="Times New Roman" w:hAnsi="Times New Roman" w:cs="Times New Roman"/>
          <w:bCs/>
          <w:color w:val="auto"/>
          <w:lang w:val="en-US"/>
        </w:rPr>
        <w:t>authorised</w:t>
      </w:r>
      <w:proofErr w:type="spellEnd"/>
      <w:r w:rsidRPr="002417C1">
        <w:rPr>
          <w:rFonts w:ascii="Times New Roman" w:hAnsi="Times New Roman" w:cs="Times New Roman"/>
          <w:bCs/>
          <w:color w:val="auto"/>
          <w:lang w:val="en-US"/>
        </w:rPr>
        <w:t xml:space="preserve"> in accordance with CSDR (or one year upon that authorization), a self-assessment on the CSD’s activities overall compliance with the provisions of the CSDR. This self-assessment should be updated annually, during the process of review and evaluation.  </w:t>
      </w:r>
    </w:p>
    <w:p w:rsidR="00154A34" w:rsidRPr="002417C1" w:rsidRDefault="00154A34" w:rsidP="00154A34">
      <w:pPr>
        <w:pStyle w:val="Default"/>
        <w:spacing w:line="360" w:lineRule="auto"/>
        <w:jc w:val="both"/>
        <w:rPr>
          <w:rFonts w:ascii="Times New Roman" w:hAnsi="Times New Roman" w:cs="Times New Roman"/>
          <w:bCs/>
          <w:color w:val="auto"/>
          <w:lang w:val="en-US"/>
        </w:rPr>
      </w:pPr>
    </w:p>
    <w:p w:rsidR="00154A34" w:rsidRPr="002417C1" w:rsidRDefault="00154A34" w:rsidP="00154A34">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Article 41 of the draft RTS on CSD authorization – Information relating to periodic events</w:t>
      </w:r>
    </w:p>
    <w:p w:rsidR="00154A34" w:rsidRPr="002417C1" w:rsidRDefault="00154A34" w:rsidP="00154A34">
      <w:pPr>
        <w:pStyle w:val="Default"/>
        <w:spacing w:line="360" w:lineRule="auto"/>
        <w:ind w:firstLine="708"/>
        <w:jc w:val="both"/>
        <w:rPr>
          <w:rFonts w:ascii="Times New Roman" w:hAnsi="Times New Roman" w:cs="Times New Roman"/>
          <w:bCs/>
          <w:color w:val="auto"/>
          <w:lang w:val="en-US"/>
        </w:rPr>
      </w:pPr>
      <w:r w:rsidRPr="002417C1">
        <w:rPr>
          <w:rFonts w:ascii="Times New Roman" w:hAnsi="Times New Roman" w:cs="Times New Roman"/>
          <w:bCs/>
          <w:i/>
          <w:color w:val="auto"/>
          <w:lang w:val="en-US"/>
        </w:rPr>
        <w:t>Article 41, §1 (c) of the draft RTS on CSD authorization</w:t>
      </w:r>
      <w:r w:rsidRPr="002417C1">
        <w:rPr>
          <w:rFonts w:ascii="Times New Roman" w:hAnsi="Times New Roman" w:cs="Times New Roman"/>
          <w:bCs/>
          <w:color w:val="auto"/>
          <w:lang w:val="en-US"/>
        </w:rPr>
        <w:t xml:space="preserve"> </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lastRenderedPageBreak/>
        <w:t>We stress that “</w:t>
      </w:r>
      <w:r w:rsidRPr="002417C1">
        <w:rPr>
          <w:rFonts w:ascii="Times New Roman" w:hAnsi="Times New Roman" w:cs="Times New Roman"/>
          <w:bCs/>
          <w:i/>
          <w:color w:val="auto"/>
          <w:lang w:val="en-US"/>
        </w:rPr>
        <w:t>copies of the minutes from meetings of the management body that took place in the review period</w:t>
      </w:r>
      <w:r w:rsidRPr="002417C1">
        <w:rPr>
          <w:rFonts w:ascii="Times New Roman" w:hAnsi="Times New Roman" w:cs="Times New Roman"/>
          <w:bCs/>
          <w:color w:val="auto"/>
          <w:lang w:val="en-US"/>
        </w:rPr>
        <w:t>” (see article 40, §1 (c) of the draft RTS on CSD authorization) should not be provided to the competent authority. Nowadays, only relevant decisions taken namely related to change of rules, processes, membership, are disclosed to the Competent Authority (not the co</w:t>
      </w:r>
      <w:r w:rsidRPr="002417C1">
        <w:rPr>
          <w:rFonts w:ascii="Times New Roman" w:hAnsi="Times New Roman" w:cs="Times New Roman"/>
          <w:bCs/>
          <w:color w:val="auto"/>
          <w:lang w:val="en-US"/>
        </w:rPr>
        <w:t>m</w:t>
      </w:r>
      <w:r w:rsidRPr="002417C1">
        <w:rPr>
          <w:rFonts w:ascii="Times New Roman" w:hAnsi="Times New Roman" w:cs="Times New Roman"/>
          <w:bCs/>
          <w:color w:val="auto"/>
          <w:lang w:val="en-US"/>
        </w:rPr>
        <w:t>plete minutes but only an extract of the same). On the other hand, Level 1 legislation expressly refer (article 27, §5) that “</w:t>
      </w:r>
      <w:r w:rsidRPr="002417C1">
        <w:rPr>
          <w:rFonts w:ascii="Times New Roman" w:hAnsi="Times New Roman" w:cs="Times New Roman"/>
          <w:bCs/>
          <w:i/>
          <w:color w:val="auto"/>
          <w:lang w:val="en-US"/>
        </w:rPr>
        <w:t>A CSD shall clearly determine the role and responsibility of the ma</w:t>
      </w:r>
      <w:r w:rsidRPr="002417C1">
        <w:rPr>
          <w:rFonts w:ascii="Times New Roman" w:hAnsi="Times New Roman" w:cs="Times New Roman"/>
          <w:bCs/>
          <w:i/>
          <w:color w:val="auto"/>
          <w:lang w:val="en-US"/>
        </w:rPr>
        <w:t>n</w:t>
      </w:r>
      <w:r w:rsidRPr="002417C1">
        <w:rPr>
          <w:rFonts w:ascii="Times New Roman" w:hAnsi="Times New Roman" w:cs="Times New Roman"/>
          <w:bCs/>
          <w:i/>
          <w:color w:val="auto"/>
          <w:lang w:val="en-US"/>
        </w:rPr>
        <w:t>agement body in accordance with the relevant national law. A CSD shall make the minutes of the meetings of the management body available to the competent authority and the auditor upon request</w:t>
      </w:r>
      <w:r w:rsidRPr="002417C1">
        <w:rPr>
          <w:rFonts w:ascii="Times New Roman" w:hAnsi="Times New Roman" w:cs="Times New Roman"/>
          <w:bCs/>
          <w:color w:val="auto"/>
          <w:lang w:val="en-US"/>
        </w:rPr>
        <w:t>”. This is completely different from what is proposed in ESMA standards: “</w:t>
      </w:r>
      <w:r w:rsidRPr="002417C1">
        <w:rPr>
          <w:rFonts w:ascii="Times New Roman" w:hAnsi="Times New Roman" w:cs="Times New Roman"/>
          <w:bCs/>
          <w:i/>
          <w:color w:val="auto"/>
          <w:lang w:val="en-US"/>
        </w:rPr>
        <w:t>provide the competent authority with the copies</w:t>
      </w:r>
      <w:r w:rsidRPr="002417C1">
        <w:rPr>
          <w:rFonts w:ascii="Times New Roman" w:hAnsi="Times New Roman" w:cs="Times New Roman"/>
          <w:bCs/>
          <w:color w:val="auto"/>
          <w:lang w:val="en-US"/>
        </w:rPr>
        <w:t>”, is not the same of “</w:t>
      </w:r>
      <w:r w:rsidRPr="002417C1">
        <w:rPr>
          <w:rFonts w:ascii="Times New Roman" w:hAnsi="Times New Roman" w:cs="Times New Roman"/>
          <w:bCs/>
          <w:i/>
          <w:color w:val="auto"/>
          <w:lang w:val="en-US"/>
        </w:rPr>
        <w:t>make the minutes available</w:t>
      </w:r>
      <w:r w:rsidRPr="002417C1">
        <w:rPr>
          <w:rFonts w:ascii="Times New Roman" w:hAnsi="Times New Roman" w:cs="Times New Roman"/>
          <w:bCs/>
          <w:color w:val="auto"/>
          <w:lang w:val="en-US"/>
        </w:rPr>
        <w:t>”. This should be taken in consideration by ESMA on drafting the technical standards.</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Thus, we suggest to delete article 40, §1 (c).  </w:t>
      </w:r>
    </w:p>
    <w:p w:rsidR="00154A34" w:rsidRPr="002417C1" w:rsidRDefault="00154A34" w:rsidP="00154A34">
      <w:pPr>
        <w:pStyle w:val="Default"/>
        <w:spacing w:line="360" w:lineRule="auto"/>
        <w:ind w:firstLine="708"/>
        <w:jc w:val="both"/>
        <w:rPr>
          <w:rFonts w:ascii="Times New Roman" w:hAnsi="Times New Roman" w:cs="Times New Roman"/>
          <w:bCs/>
          <w:color w:val="auto"/>
          <w:lang w:val="en-US"/>
        </w:rPr>
      </w:pPr>
      <w:r w:rsidRPr="002417C1">
        <w:rPr>
          <w:rFonts w:ascii="Times New Roman" w:hAnsi="Times New Roman" w:cs="Times New Roman"/>
          <w:bCs/>
          <w:i/>
          <w:color w:val="auto"/>
          <w:lang w:val="en-US"/>
        </w:rPr>
        <w:t>Article 41, §1 (u) of the draft RTS on CSD authorization</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Please see our answer to question 15 on the issue related to the submission by the CSD of its “</w:t>
      </w:r>
      <w:r w:rsidRPr="002417C1">
        <w:rPr>
          <w:rFonts w:ascii="Times New Roman" w:hAnsi="Times New Roman" w:cs="Times New Roman"/>
          <w:bCs/>
          <w:i/>
          <w:color w:val="auto"/>
          <w:lang w:val="en-US"/>
        </w:rPr>
        <w:t>resolution plan</w:t>
      </w:r>
      <w:r w:rsidRPr="002417C1">
        <w:rPr>
          <w:rFonts w:ascii="Times New Roman" w:hAnsi="Times New Roman" w:cs="Times New Roman"/>
          <w:bCs/>
          <w:color w:val="auto"/>
          <w:lang w:val="en-US"/>
        </w:rPr>
        <w:t>”. This plan is drafted and maintained by the resolution entity and under its r</w:t>
      </w:r>
      <w:r w:rsidRPr="002417C1">
        <w:rPr>
          <w:rFonts w:ascii="Times New Roman" w:hAnsi="Times New Roman" w:cs="Times New Roman"/>
          <w:bCs/>
          <w:color w:val="auto"/>
          <w:lang w:val="en-US"/>
        </w:rPr>
        <w:t>e</w:t>
      </w:r>
      <w:r w:rsidRPr="002417C1">
        <w:rPr>
          <w:rFonts w:ascii="Times New Roman" w:hAnsi="Times New Roman" w:cs="Times New Roman"/>
          <w:bCs/>
          <w:color w:val="auto"/>
          <w:lang w:val="en-US"/>
        </w:rPr>
        <w:t>sponsibility. Should we do not have coincidence between the competent authority and the resol</w:t>
      </w:r>
      <w:r w:rsidRPr="002417C1">
        <w:rPr>
          <w:rFonts w:ascii="Times New Roman" w:hAnsi="Times New Roman" w:cs="Times New Roman"/>
          <w:bCs/>
          <w:color w:val="auto"/>
          <w:lang w:val="en-US"/>
        </w:rPr>
        <w:t>u</w:t>
      </w:r>
      <w:r w:rsidRPr="002417C1">
        <w:rPr>
          <w:rFonts w:ascii="Times New Roman" w:hAnsi="Times New Roman" w:cs="Times New Roman"/>
          <w:bCs/>
          <w:color w:val="auto"/>
          <w:lang w:val="en-US"/>
        </w:rPr>
        <w:t xml:space="preserve">tion entity an arrangement should be established between the two entities for the exchange of information.  </w:t>
      </w:r>
    </w:p>
    <w:p w:rsidR="00154A34" w:rsidRPr="002417C1" w:rsidRDefault="00154A34" w:rsidP="00154A34">
      <w:pPr>
        <w:pStyle w:val="Default"/>
        <w:spacing w:line="360" w:lineRule="auto"/>
        <w:jc w:val="both"/>
        <w:rPr>
          <w:rFonts w:ascii="Times New Roman" w:hAnsi="Times New Roman" w:cs="Times New Roman"/>
          <w:bCs/>
          <w:color w:val="auto"/>
          <w:lang w:val="en-US"/>
        </w:rPr>
      </w:pPr>
    </w:p>
    <w:p w:rsidR="00154A34" w:rsidRPr="002417C1" w:rsidRDefault="00154A34" w:rsidP="00154A34">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Article 42 of the draft RTS on CSD authorization – Statistical data to be delivered for each r</w:t>
      </w:r>
      <w:r w:rsidRPr="002417C1">
        <w:rPr>
          <w:rFonts w:ascii="Times New Roman" w:hAnsi="Times New Roman" w:cs="Times New Roman"/>
          <w:bCs/>
          <w:i/>
          <w:color w:val="auto"/>
          <w:lang w:val="en-US"/>
        </w:rPr>
        <w:t>e</w:t>
      </w:r>
      <w:r w:rsidRPr="002417C1">
        <w:rPr>
          <w:rFonts w:ascii="Times New Roman" w:hAnsi="Times New Roman" w:cs="Times New Roman"/>
          <w:bCs/>
          <w:i/>
          <w:color w:val="auto"/>
          <w:lang w:val="en-US"/>
        </w:rPr>
        <w:t>view and evaluation</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We support ECSDA point of view in what concerns the necessity to use identical methodology for collecting settlement and other information on CSD activities, namely the one currently used for the “</w:t>
      </w:r>
      <w:r w:rsidRPr="002417C1">
        <w:rPr>
          <w:rFonts w:ascii="Times New Roman" w:hAnsi="Times New Roman" w:cs="Times New Roman"/>
          <w:bCs/>
          <w:i/>
          <w:color w:val="auto"/>
          <w:lang w:val="en-US"/>
        </w:rPr>
        <w:t>Blue book</w:t>
      </w:r>
      <w:r w:rsidRPr="002417C1">
        <w:rPr>
          <w:rFonts w:ascii="Times New Roman" w:hAnsi="Times New Roman" w:cs="Times New Roman"/>
          <w:bCs/>
          <w:color w:val="auto"/>
          <w:lang w:val="en-US"/>
        </w:rPr>
        <w:t>” (report of information to ESCB central banks), in order to facilitate the co</w:t>
      </w:r>
      <w:r w:rsidRPr="002417C1">
        <w:rPr>
          <w:rFonts w:ascii="Times New Roman" w:hAnsi="Times New Roman" w:cs="Times New Roman"/>
          <w:bCs/>
          <w:color w:val="auto"/>
          <w:lang w:val="en-US"/>
        </w:rPr>
        <w:t>l</w:t>
      </w:r>
      <w:r w:rsidRPr="002417C1">
        <w:rPr>
          <w:rFonts w:ascii="Times New Roman" w:hAnsi="Times New Roman" w:cs="Times New Roman"/>
          <w:bCs/>
          <w:color w:val="auto"/>
          <w:lang w:val="en-US"/>
        </w:rPr>
        <w:t>lection and preparation of data by the CSDs and also to facilitate the comparability of data.</w:t>
      </w:r>
    </w:p>
    <w:p w:rsidR="00154A34" w:rsidRPr="002417C1" w:rsidRDefault="00154A34" w:rsidP="00154A34">
      <w:pPr>
        <w:pStyle w:val="Default"/>
        <w:spacing w:line="360" w:lineRule="auto"/>
        <w:jc w:val="both"/>
        <w:rPr>
          <w:rFonts w:ascii="Times New Roman" w:hAnsi="Times New Roman" w:cs="Times New Roman"/>
          <w:bCs/>
          <w:color w:val="auto"/>
          <w:lang w:val="en-US"/>
        </w:rPr>
      </w:pPr>
    </w:p>
    <w:p w:rsidR="00154A34" w:rsidRPr="002417C1" w:rsidRDefault="00154A34" w:rsidP="00154A34">
      <w:pPr>
        <w:pStyle w:val="Default"/>
        <w:spacing w:line="360" w:lineRule="auto"/>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Identified concerns:</w:t>
      </w:r>
    </w:p>
    <w:p w:rsidR="00154A34" w:rsidRPr="002417C1" w:rsidRDefault="00154A34" w:rsidP="00154A34">
      <w:pPr>
        <w:pStyle w:val="Default"/>
        <w:spacing w:line="360" w:lineRule="auto"/>
        <w:ind w:firstLine="708"/>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t xml:space="preserve">Article 42, §1 (c) to (h) of the draft RTS on CSD authorization </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We suggest including in the subparagraphs that have the reference to “</w:t>
      </w:r>
      <w:r w:rsidRPr="002417C1">
        <w:rPr>
          <w:rFonts w:ascii="Times New Roman" w:hAnsi="Times New Roman" w:cs="Times New Roman"/>
          <w:bCs/>
          <w:i/>
          <w:color w:val="auto"/>
          <w:lang w:val="en-US"/>
        </w:rPr>
        <w:t>nominal and market value</w:t>
      </w:r>
      <w:r w:rsidRPr="002417C1">
        <w:rPr>
          <w:rFonts w:ascii="Times New Roman" w:hAnsi="Times New Roman" w:cs="Times New Roman"/>
          <w:bCs/>
          <w:color w:val="auto"/>
          <w:lang w:val="en-US"/>
        </w:rPr>
        <w:t>” the possibility to provide both values, or, if those two values are not available to the CSD, to provide one or the other.</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Therefore, the subparagraphs should be amended to refer “</w:t>
      </w:r>
      <w:r w:rsidRPr="002417C1">
        <w:rPr>
          <w:rFonts w:ascii="Times New Roman" w:hAnsi="Times New Roman" w:cs="Times New Roman"/>
          <w:bCs/>
          <w:i/>
          <w:color w:val="auto"/>
          <w:lang w:val="en-US"/>
        </w:rPr>
        <w:t>nominal and/or market value</w:t>
      </w:r>
      <w:r w:rsidRPr="002417C1">
        <w:rPr>
          <w:rFonts w:ascii="Times New Roman" w:hAnsi="Times New Roman" w:cs="Times New Roman"/>
          <w:bCs/>
          <w:color w:val="auto"/>
          <w:lang w:val="en-US"/>
        </w:rPr>
        <w:t>”.</w:t>
      </w:r>
    </w:p>
    <w:p w:rsidR="00154A34" w:rsidRPr="002417C1" w:rsidRDefault="00154A34" w:rsidP="00154A34">
      <w:pPr>
        <w:pStyle w:val="Default"/>
        <w:spacing w:line="360" w:lineRule="auto"/>
        <w:ind w:firstLine="708"/>
        <w:jc w:val="both"/>
        <w:rPr>
          <w:rFonts w:ascii="Times New Roman" w:hAnsi="Times New Roman" w:cs="Times New Roman"/>
          <w:bCs/>
          <w:i/>
          <w:color w:val="auto"/>
          <w:lang w:val="en-US"/>
        </w:rPr>
      </w:pPr>
      <w:r w:rsidRPr="002417C1">
        <w:rPr>
          <w:rFonts w:ascii="Times New Roman" w:hAnsi="Times New Roman" w:cs="Times New Roman"/>
          <w:bCs/>
          <w:i/>
          <w:color w:val="auto"/>
          <w:lang w:val="en-US"/>
        </w:rPr>
        <w:lastRenderedPageBreak/>
        <w:t>Article 42, §1 (f) of the draft RTS on CSD authorization</w:t>
      </w:r>
    </w:p>
    <w:p w:rsidR="00154A34" w:rsidRPr="002417C1" w:rsidRDefault="00154A34" w:rsidP="00154A34">
      <w:pPr>
        <w:pStyle w:val="Default"/>
        <w:spacing w:line="360" w:lineRule="auto"/>
        <w:jc w:val="both"/>
        <w:rPr>
          <w:rFonts w:ascii="Times New Roman" w:hAnsi="Times New Roman" w:cs="Times New Roman"/>
          <w:bCs/>
          <w:color w:val="auto"/>
          <w:lang w:val="en-US"/>
        </w:rPr>
      </w:pPr>
      <w:r w:rsidRPr="002417C1">
        <w:rPr>
          <w:rFonts w:ascii="Times New Roman" w:hAnsi="Times New Roman" w:cs="Times New Roman"/>
          <w:bCs/>
          <w:color w:val="auto"/>
          <w:lang w:val="en-US"/>
        </w:rPr>
        <w:t xml:space="preserve">We do not have buy-in information and, as referred in our response to question 7, we do not want to play any role regarding the buy-in process. So this request to provide buy-in information should be read in conformity with the final solution on buy-in processes.  </w:t>
      </w:r>
    </w:p>
    <w:permEnd w:id="18"/>
    <w:p w:rsidR="00D12AFD" w:rsidRDefault="00D12AFD" w:rsidP="00D12AFD">
      <w:r>
        <w:t>&lt;ESMA_QUESTION_TS_CSDR_16&gt;</w:t>
      </w:r>
    </w:p>
    <w:p w:rsidR="00D12AFD" w:rsidRPr="002C4F00" w:rsidRDefault="00D12AFD" w:rsidP="00965B03">
      <w:pPr>
        <w:pStyle w:val="Ttulo5"/>
        <w:ind w:left="567" w:hanging="567"/>
      </w:pPr>
      <w:r w:rsidRPr="002C4F00">
        <w:t xml:space="preserve">What are your views on the proposed draft ITS </w:t>
      </w:r>
      <w:r>
        <w:t xml:space="preserve">on cooperation arrangements </w:t>
      </w:r>
      <w:r w:rsidRPr="002C4F00">
        <w:t>as in</w:t>
      </w:r>
      <w:r>
        <w:t xml:space="preserve">cluded in Chapter III of Annex </w:t>
      </w:r>
      <w:r w:rsidRPr="002C4F00">
        <w:t>VI?</w:t>
      </w:r>
    </w:p>
    <w:p w:rsidR="00D12AFD" w:rsidRDefault="00D12AFD" w:rsidP="00D12AFD"/>
    <w:p w:rsidR="00D12AFD" w:rsidRDefault="00D12AFD" w:rsidP="00D12AFD">
      <w:r>
        <w:t>&lt;ESMA_QUESTION_TS_CSDR_17&gt;</w:t>
      </w:r>
    </w:p>
    <w:p w:rsidR="00154A34" w:rsidRPr="002417C1" w:rsidRDefault="00154A34" w:rsidP="00154A34">
      <w:pPr>
        <w:tabs>
          <w:tab w:val="left" w:pos="3402"/>
        </w:tabs>
        <w:suppressAutoHyphens/>
        <w:spacing w:line="360" w:lineRule="auto"/>
        <w:jc w:val="both"/>
        <w:rPr>
          <w:rFonts w:ascii="Times New Roman" w:hAnsi="Times New Roman"/>
          <w:sz w:val="24"/>
          <w:lang w:val="en-US"/>
        </w:rPr>
      </w:pPr>
      <w:permStart w:id="19" w:edGrp="everyone"/>
      <w:r w:rsidRPr="002417C1">
        <w:rPr>
          <w:rFonts w:ascii="Times New Roman" w:hAnsi="Times New Roman"/>
          <w:sz w:val="24"/>
          <w:lang w:val="en-US"/>
        </w:rPr>
        <w:t>No comments regarding this issue since it relates to the communication among authorities.</w:t>
      </w:r>
    </w:p>
    <w:permEnd w:id="19"/>
    <w:p w:rsidR="00D12AFD" w:rsidRDefault="00D12AFD" w:rsidP="00D12AFD">
      <w:r>
        <w:t>&lt;ESMA_QUESTION_TS_CSDR_17&gt;</w:t>
      </w:r>
    </w:p>
    <w:p w:rsidR="00D12AFD" w:rsidRPr="002C4F00" w:rsidRDefault="00D12AFD" w:rsidP="00965B03">
      <w:pPr>
        <w:pStyle w:val="Ttulo5"/>
        <w:ind w:left="567" w:hanging="567"/>
      </w:pPr>
      <w:r w:rsidRPr="002C4F00">
        <w:t>What are your views on the proposed draft RTS</w:t>
      </w:r>
      <w:r>
        <w:t xml:space="preserve"> on CSD recognition (Chapter IV of Annex II)</w:t>
      </w:r>
      <w:r w:rsidRPr="002C4F00">
        <w:t>?</w:t>
      </w:r>
    </w:p>
    <w:p w:rsidR="00D12AFD" w:rsidRDefault="00D12AFD" w:rsidP="00D12AFD"/>
    <w:p w:rsidR="00D12AFD" w:rsidRDefault="00D12AFD" w:rsidP="00D12AFD">
      <w:r>
        <w:t>&lt;ESMA_QUESTION_TS_CSDR_18&gt;</w:t>
      </w:r>
    </w:p>
    <w:p w:rsidR="00154A34" w:rsidRPr="002417C1" w:rsidRDefault="00154A34" w:rsidP="00154A34">
      <w:pPr>
        <w:pStyle w:val="Default"/>
        <w:spacing w:line="360" w:lineRule="auto"/>
        <w:jc w:val="both"/>
        <w:rPr>
          <w:rFonts w:ascii="Times New Roman" w:hAnsi="Times New Roman" w:cs="Times New Roman"/>
          <w:bCs/>
          <w:color w:val="auto"/>
          <w:lang w:val="en-US"/>
        </w:rPr>
      </w:pPr>
      <w:permStart w:id="20" w:edGrp="everyone"/>
      <w:r w:rsidRPr="002417C1">
        <w:rPr>
          <w:rFonts w:ascii="Times New Roman" w:hAnsi="Times New Roman" w:cs="Times New Roman"/>
          <w:bCs/>
          <w:color w:val="auto"/>
          <w:lang w:val="en-US"/>
        </w:rPr>
        <w:t xml:space="preserve">We </w:t>
      </w:r>
      <w:r w:rsidRPr="002417C1">
        <w:rPr>
          <w:rFonts w:ascii="Times New Roman" w:hAnsi="Times New Roman" w:cs="Times New Roman"/>
          <w:color w:val="auto"/>
          <w:lang w:val="en-US"/>
        </w:rPr>
        <w:t>agree with the draft RTS on CSD recognition.</w:t>
      </w:r>
    </w:p>
    <w:permEnd w:id="20"/>
    <w:p w:rsidR="00D12AFD" w:rsidRDefault="00D12AFD" w:rsidP="00D12AFD">
      <w:r>
        <w:t>&lt;ESMA_QUESTION_TS_CSDR_18&gt;</w:t>
      </w:r>
    </w:p>
    <w:p w:rsidR="00D12AFD" w:rsidRPr="002C4F00" w:rsidRDefault="00D12AFD" w:rsidP="00965B03">
      <w:pPr>
        <w:pStyle w:val="Ttulo5"/>
        <w:ind w:left="567" w:hanging="567"/>
      </w:pPr>
      <w:r w:rsidRPr="002C4F00">
        <w:t>What are your views on the proposed approach regarding the determination of the most relevant currencies?</w:t>
      </w:r>
    </w:p>
    <w:p w:rsidR="00D12AFD" w:rsidRDefault="00D12AFD" w:rsidP="00D12AFD"/>
    <w:p w:rsidR="00D12AFD" w:rsidRDefault="00D12AFD" w:rsidP="00D12AFD">
      <w:r>
        <w:t>&lt;ESMA_QUESTION_TS_CSDR_19&gt;</w:t>
      </w:r>
    </w:p>
    <w:p w:rsidR="00154A34" w:rsidRPr="002417C1" w:rsidRDefault="00154A34" w:rsidP="00154A34">
      <w:pPr>
        <w:pStyle w:val="Default"/>
        <w:spacing w:line="360" w:lineRule="auto"/>
        <w:jc w:val="both"/>
        <w:rPr>
          <w:rFonts w:ascii="Times New Roman" w:hAnsi="Times New Roman" w:cs="Times New Roman"/>
          <w:color w:val="auto"/>
          <w:lang w:val="en-US"/>
        </w:rPr>
      </w:pPr>
      <w:permStart w:id="21" w:edGrp="everyone"/>
      <w:r w:rsidRPr="002417C1">
        <w:rPr>
          <w:rFonts w:ascii="Times New Roman" w:hAnsi="Times New Roman" w:cs="Times New Roman"/>
          <w:bCs/>
          <w:color w:val="auto"/>
          <w:lang w:val="en-US"/>
        </w:rPr>
        <w:t xml:space="preserve">We </w:t>
      </w:r>
      <w:r w:rsidRPr="002417C1">
        <w:rPr>
          <w:rFonts w:ascii="Times New Roman" w:hAnsi="Times New Roman" w:cs="Times New Roman"/>
          <w:color w:val="auto"/>
          <w:lang w:val="en-US"/>
        </w:rPr>
        <w:t>agree with current ESMA approach to consider that “</w:t>
      </w:r>
      <w:r w:rsidRPr="002417C1">
        <w:rPr>
          <w:rFonts w:ascii="Times New Roman" w:hAnsi="Times New Roman" w:cs="Times New Roman"/>
          <w:i/>
          <w:color w:val="auto"/>
          <w:lang w:val="en-US"/>
        </w:rPr>
        <w:t>The most relevant Union currencies shall be identified on the basis of the relative share of currency in the CSD’s total value of secur</w:t>
      </w:r>
      <w:r w:rsidRPr="002417C1">
        <w:rPr>
          <w:rFonts w:ascii="Times New Roman" w:hAnsi="Times New Roman" w:cs="Times New Roman"/>
          <w:i/>
          <w:color w:val="auto"/>
          <w:lang w:val="en-US"/>
        </w:rPr>
        <w:t>i</w:t>
      </w:r>
      <w:r w:rsidRPr="002417C1">
        <w:rPr>
          <w:rFonts w:ascii="Times New Roman" w:hAnsi="Times New Roman" w:cs="Times New Roman"/>
          <w:i/>
          <w:color w:val="auto"/>
          <w:lang w:val="en-US"/>
        </w:rPr>
        <w:t>ties settled on a delivery-versus-payment basis, calculated over a period of one year</w:t>
      </w:r>
      <w:r w:rsidRPr="002417C1">
        <w:rPr>
          <w:rFonts w:ascii="Times New Roman" w:hAnsi="Times New Roman" w:cs="Times New Roman"/>
          <w:color w:val="auto"/>
          <w:lang w:val="en-US"/>
        </w:rPr>
        <w:t xml:space="preserve">” (article 48, §1 on the draft RTS on CSD authorization). </w:t>
      </w:r>
    </w:p>
    <w:permEnd w:id="21"/>
    <w:p w:rsidR="00D12AFD" w:rsidRDefault="00D12AFD" w:rsidP="00D12AFD">
      <w:r>
        <w:t>&lt;ESMA_QUESTION_TS_CSDR_19&gt;</w:t>
      </w:r>
    </w:p>
    <w:p w:rsidR="00D12AFD" w:rsidRPr="002C4F00" w:rsidRDefault="00D12AFD" w:rsidP="00965B03">
      <w:pPr>
        <w:pStyle w:val="Ttulo5"/>
        <w:ind w:left="567" w:hanging="567"/>
      </w:pPr>
      <w:r w:rsidRPr="002C4F00">
        <w:t xml:space="preserve">What are your views on the proposed draft RTS </w:t>
      </w:r>
      <w:r>
        <w:t>on banking type of ancillary se</w:t>
      </w:r>
      <w:r>
        <w:t>r</w:t>
      </w:r>
      <w:r>
        <w:t xml:space="preserve">vices </w:t>
      </w:r>
      <w:r w:rsidRPr="002C4F00">
        <w:t xml:space="preserve">(Chapter VI of Annex II) and draft ITS </w:t>
      </w:r>
      <w:r>
        <w:t xml:space="preserve">on banking type of ancillary services </w:t>
      </w:r>
      <w:r w:rsidRPr="002C4F00">
        <w:t>(Chapter IV of Annex VI)?</w:t>
      </w:r>
    </w:p>
    <w:p w:rsidR="00D12AFD" w:rsidRDefault="00D12AFD" w:rsidP="00D12AFD"/>
    <w:p w:rsidR="00D12AFD" w:rsidRDefault="00D12AFD" w:rsidP="00D12AFD">
      <w:r>
        <w:t>&lt;ESMA_QUESTION_TS_CSDR_20&gt;</w:t>
      </w:r>
    </w:p>
    <w:p w:rsidR="00154A34" w:rsidRPr="002417C1" w:rsidRDefault="00154A34" w:rsidP="00154A34">
      <w:pPr>
        <w:tabs>
          <w:tab w:val="left" w:pos="3402"/>
        </w:tabs>
        <w:suppressAutoHyphens/>
        <w:spacing w:line="360" w:lineRule="auto"/>
        <w:jc w:val="both"/>
        <w:rPr>
          <w:rFonts w:ascii="Times New Roman" w:hAnsi="Times New Roman"/>
          <w:sz w:val="24"/>
          <w:lang w:val="en-US"/>
        </w:rPr>
      </w:pPr>
      <w:permStart w:id="22" w:edGrp="everyone"/>
      <w:r w:rsidRPr="002417C1">
        <w:rPr>
          <w:rFonts w:ascii="Times New Roman" w:hAnsi="Times New Roman"/>
          <w:sz w:val="24"/>
          <w:lang w:val="en-US"/>
        </w:rPr>
        <w:t>We broadly agree with the proposed procedure for granting and refusing authorization to provide banking type of ancillary services.</w:t>
      </w:r>
    </w:p>
    <w:p w:rsidR="00154A34" w:rsidRPr="002417C1" w:rsidRDefault="00154A34" w:rsidP="00154A34">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Nevertheless, and in specific terms, we also support ECSDA’s draft amendments to article 50 of the draft RTS on CSD authorization.</w:t>
      </w:r>
    </w:p>
    <w:permEnd w:id="22"/>
    <w:p w:rsidR="00D12AFD" w:rsidRDefault="00D12AFD" w:rsidP="00D12AFD">
      <w:r>
        <w:t>&lt;ESMA_QUESTION_TS_CSDR_20&gt;</w:t>
      </w:r>
    </w:p>
    <w:p w:rsidR="00D12AFD" w:rsidRPr="002C4F00" w:rsidRDefault="00D12AFD" w:rsidP="00965B03">
      <w:pPr>
        <w:pStyle w:val="Ttulo5"/>
        <w:ind w:left="567" w:hanging="567"/>
      </w:pPr>
      <w:r w:rsidRPr="002C4F00">
        <w:t>What are your views on the proposed draft RTS</w:t>
      </w:r>
      <w:r>
        <w:t xml:space="preserve"> on CSD participations</w:t>
      </w:r>
      <w:r w:rsidRPr="002C4F00">
        <w:t xml:space="preserve"> (Chapter II of Annex III)?</w:t>
      </w:r>
    </w:p>
    <w:p w:rsidR="00D12AFD" w:rsidRDefault="00D12AFD" w:rsidP="00D12AFD"/>
    <w:p w:rsidR="00D12AFD" w:rsidRDefault="00D12AFD" w:rsidP="00D12AFD">
      <w:r>
        <w:lastRenderedPageBreak/>
        <w:t>&lt;ESMA_QUESTION_TS_CSDR_21&gt;</w:t>
      </w:r>
    </w:p>
    <w:p w:rsidR="00704130" w:rsidRPr="002417C1" w:rsidRDefault="00704130" w:rsidP="00704130">
      <w:pPr>
        <w:pStyle w:val="Textosimples"/>
        <w:widowControl w:val="0"/>
        <w:spacing w:line="360" w:lineRule="auto"/>
        <w:jc w:val="both"/>
        <w:rPr>
          <w:rFonts w:ascii="Times New Roman" w:hAnsi="Times New Roman"/>
          <w:sz w:val="24"/>
          <w:szCs w:val="24"/>
        </w:rPr>
      </w:pPr>
      <w:permStart w:id="23" w:edGrp="everyone"/>
      <w:r w:rsidRPr="002417C1">
        <w:rPr>
          <w:rFonts w:ascii="Times New Roman" w:hAnsi="Times New Roman"/>
          <w:sz w:val="24"/>
          <w:szCs w:val="24"/>
        </w:rPr>
        <w:t xml:space="preserve">We agree that the participation of a CSD in another legal entity with activities other than those specified in annexes A and B should not be approved by the competent authorities if it increases significantly the risk profile of the CSD, putting the CSD activity at risk. Nevertheless, the analysis of the restrictions or conditions, under which the competent authorities may approve such participations, should be cautious in order to do not prevent CSDs from diversifying their business activities and to develop innovative solutions to problems faced by market participants. Sometimes the better solution to implement an initiative or project is to have participations in complementary businesses.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Nevertheless, we consider that the final solution should ensure that CSDs maintain a low risk profile.</w:t>
      </w:r>
    </w:p>
    <w:p w:rsidR="00704130" w:rsidRPr="002417C1" w:rsidRDefault="00704130" w:rsidP="00704130">
      <w:pPr>
        <w:pStyle w:val="Textosimples"/>
        <w:widowControl w:val="0"/>
        <w:spacing w:line="360" w:lineRule="auto"/>
        <w:jc w:val="both"/>
        <w:rPr>
          <w:rFonts w:ascii="Times New Roman" w:hAnsi="Times New Roman"/>
          <w:sz w:val="24"/>
          <w:szCs w:val="24"/>
        </w:rPr>
      </w:pP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Regarding ESMA proposals we agree to (i) prohibit any CSD guarantees that lead or may possibly lead to an unlimited liability in virtue of a participation and (ii) allow for limited liabilities, on the condition they are fully capitalised by means of liquid capital items. </w:t>
      </w:r>
    </w:p>
    <w:p w:rsidR="00704130" w:rsidRPr="002417C1" w:rsidRDefault="00704130" w:rsidP="00704130">
      <w:pPr>
        <w:pStyle w:val="Textosimples"/>
        <w:widowControl w:val="0"/>
        <w:spacing w:line="360" w:lineRule="auto"/>
        <w:jc w:val="both"/>
        <w:rPr>
          <w:rFonts w:ascii="Times New Roman" w:hAnsi="Times New Roman"/>
          <w:sz w:val="24"/>
          <w:szCs w:val="24"/>
        </w:rPr>
      </w:pP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Nevertheless, and considering the other proposals, we think that they do not seem justified or appropriate. Actually, and in what concerns the proposal to limit control, we believe that prohibiting</w:t>
      </w:r>
      <w:r w:rsidRPr="002417C1">
        <w:rPr>
          <w:rFonts w:ascii="Times New Roman" w:hAnsi="Times New Roman"/>
          <w:i/>
          <w:sz w:val="24"/>
          <w:szCs w:val="24"/>
        </w:rPr>
        <w:t xml:space="preserve"> “CSDs to have participations for which they have ensured control (or run the risk of being regarded as being in control by the relevant authorities or in a litigation case) unless covered by liquid capital items”</w:t>
      </w:r>
      <w:r w:rsidRPr="002417C1">
        <w:rPr>
          <w:rFonts w:ascii="Times New Roman" w:hAnsi="Times New Roman"/>
          <w:sz w:val="24"/>
          <w:szCs w:val="24"/>
        </w:rPr>
        <w:t xml:space="preserve"> do not seem a justified and adequate proposal. Actually, assuming control of an entity in which a CSD holds a participation can be seen, much of the times, as a way to better control the risks resulting from the same. These risks, resulting from the participation of the CSD in other entities, should be included by the CSDs in their recovery plans. </w:t>
      </w:r>
    </w:p>
    <w:permEnd w:id="23"/>
    <w:p w:rsidR="00D12AFD" w:rsidRDefault="00D12AFD" w:rsidP="00D12AFD">
      <w:r>
        <w:t>&lt;ESMA_QUESTION_TS_CSDR_21&gt;</w:t>
      </w:r>
    </w:p>
    <w:p w:rsidR="00D12AFD" w:rsidRDefault="00D12AFD" w:rsidP="00965B03">
      <w:pPr>
        <w:pStyle w:val="Ttulo5"/>
        <w:ind w:left="567" w:hanging="567"/>
      </w:pPr>
      <w:r w:rsidRPr="00C8467F">
        <w:t>What are your views on the proposed draft RTS on CSD risk monitoring tools (Cha</w:t>
      </w:r>
      <w:r w:rsidRPr="00C8467F">
        <w:t>p</w:t>
      </w:r>
      <w:r w:rsidRPr="00C8467F">
        <w:t>ter III of Annex III)?</w:t>
      </w:r>
    </w:p>
    <w:p w:rsidR="00D12AFD" w:rsidRDefault="00D12AFD" w:rsidP="00D12AFD"/>
    <w:p w:rsidR="00D12AFD" w:rsidRDefault="00D12AFD" w:rsidP="00D12AFD">
      <w:r>
        <w:t>&lt;ESMA_QUESTION_TS_CSDR_22&gt;</w:t>
      </w:r>
    </w:p>
    <w:p w:rsidR="00704130" w:rsidRPr="00704130" w:rsidRDefault="00704130" w:rsidP="00704130">
      <w:pPr>
        <w:pStyle w:val="Textosimples"/>
        <w:widowControl w:val="0"/>
        <w:spacing w:line="360" w:lineRule="auto"/>
        <w:jc w:val="both"/>
        <w:rPr>
          <w:rFonts w:ascii="Times New Roman" w:hAnsi="Times New Roman"/>
          <w:i/>
          <w:sz w:val="24"/>
          <w:szCs w:val="24"/>
        </w:rPr>
      </w:pPr>
      <w:permStart w:id="24" w:edGrp="everyone"/>
      <w:r w:rsidRPr="00704130">
        <w:rPr>
          <w:rFonts w:ascii="Times New Roman" w:hAnsi="Times New Roman"/>
          <w:i/>
          <w:sz w:val="24"/>
          <w:szCs w:val="24"/>
        </w:rPr>
        <w:t xml:space="preserve">Monitoring tools </w:t>
      </w:r>
    </w:p>
    <w:p w:rsidR="00704130" w:rsidRPr="00704130" w:rsidRDefault="00704130" w:rsidP="00704130">
      <w:pPr>
        <w:pStyle w:val="Textosimples"/>
        <w:widowControl w:val="0"/>
        <w:spacing w:line="360" w:lineRule="auto"/>
        <w:jc w:val="both"/>
        <w:rPr>
          <w:rFonts w:ascii="Times New Roman" w:hAnsi="Times New Roman"/>
          <w:sz w:val="24"/>
          <w:szCs w:val="24"/>
        </w:rPr>
      </w:pPr>
      <w:r w:rsidRPr="00704130">
        <w:rPr>
          <w:rFonts w:ascii="Times New Roman" w:hAnsi="Times New Roman"/>
          <w:sz w:val="24"/>
          <w:szCs w:val="24"/>
        </w:rPr>
        <w:t xml:space="preserve">We do not support the proposal made by ESMA which would require CSDs to monitor not only their own risks, but also to the risks they pose to participants and, to the extent practicable, clients, as well as the risks it may be exposed to and pose to other entities. </w:t>
      </w:r>
      <w:r w:rsidRPr="00704130">
        <w:rPr>
          <w:rFonts w:ascii="Times New Roman" w:hAnsi="Times New Roman"/>
          <w:sz w:val="24"/>
          <w:szCs w:val="24"/>
          <w:lang w:val="en-US"/>
        </w:rPr>
        <w:t xml:space="preserve">ESMA should keep in </w:t>
      </w:r>
      <w:r w:rsidRPr="00704130">
        <w:rPr>
          <w:rFonts w:ascii="Times New Roman" w:hAnsi="Times New Roman"/>
          <w:sz w:val="24"/>
          <w:szCs w:val="24"/>
          <w:lang w:val="en-US"/>
        </w:rPr>
        <w:lastRenderedPageBreak/>
        <w:t xml:space="preserve">mind that CSDs do not incur risks from the clients of their participants and </w:t>
      </w:r>
      <w:r w:rsidRPr="00704130">
        <w:rPr>
          <w:rFonts w:ascii="Times New Roman" w:hAnsi="Times New Roman"/>
          <w:sz w:val="24"/>
          <w:szCs w:val="24"/>
        </w:rPr>
        <w:t>would not be able to identify, and monitor risks in relation to participants’ clients (this should be the responsibility of the respective participant).</w:t>
      </w:r>
    </w:p>
    <w:p w:rsidR="00704130" w:rsidRPr="00704130" w:rsidRDefault="00704130" w:rsidP="00704130">
      <w:pPr>
        <w:pStyle w:val="Textosimples"/>
        <w:widowControl w:val="0"/>
        <w:spacing w:line="360" w:lineRule="auto"/>
        <w:jc w:val="both"/>
        <w:rPr>
          <w:rFonts w:ascii="Times New Roman" w:hAnsi="Times New Roman"/>
          <w:i/>
          <w:sz w:val="24"/>
          <w:szCs w:val="24"/>
        </w:rPr>
      </w:pPr>
      <w:r w:rsidRPr="00704130">
        <w:rPr>
          <w:rFonts w:ascii="Times New Roman" w:hAnsi="Times New Roman"/>
          <w:sz w:val="24"/>
          <w:szCs w:val="24"/>
        </w:rPr>
        <w:t>We consider, has already referred in our answer to the Discussion Paper that this goes beyond Article 26(1) in the Level 1 text of the CSD Regulation, which requires CSDs to</w:t>
      </w:r>
      <w:r w:rsidRPr="00704130">
        <w:rPr>
          <w:rFonts w:ascii="Times New Roman" w:hAnsi="Times New Roman"/>
          <w:i/>
          <w:sz w:val="24"/>
          <w:szCs w:val="24"/>
        </w:rPr>
        <w:t xml:space="preserve"> “identify, manage, monitor and report the risks to which it is or might be exposed”. </w:t>
      </w:r>
      <w:r w:rsidRPr="00704130">
        <w:rPr>
          <w:rFonts w:ascii="Times New Roman" w:hAnsi="Times New Roman"/>
          <w:sz w:val="24"/>
          <w:szCs w:val="24"/>
        </w:rPr>
        <w:t>Therefore we recommend that technical standards on monitoring tools should be limited to the risks faced by CSDs.</w:t>
      </w:r>
    </w:p>
    <w:p w:rsidR="00704130" w:rsidRPr="00704130" w:rsidRDefault="00704130" w:rsidP="00704130">
      <w:pPr>
        <w:pStyle w:val="Textosimples"/>
        <w:widowControl w:val="0"/>
        <w:spacing w:line="360" w:lineRule="auto"/>
        <w:jc w:val="both"/>
        <w:rPr>
          <w:rFonts w:ascii="Times New Roman" w:hAnsi="Times New Roman"/>
          <w:sz w:val="24"/>
          <w:szCs w:val="24"/>
        </w:rPr>
      </w:pPr>
    </w:p>
    <w:p w:rsidR="00704130" w:rsidRPr="00704130" w:rsidRDefault="00704130" w:rsidP="00704130">
      <w:pPr>
        <w:pStyle w:val="Textosimples"/>
        <w:widowControl w:val="0"/>
        <w:spacing w:line="360" w:lineRule="auto"/>
        <w:jc w:val="both"/>
        <w:rPr>
          <w:rFonts w:ascii="Times New Roman" w:hAnsi="Times New Roman"/>
          <w:i/>
          <w:sz w:val="24"/>
          <w:szCs w:val="24"/>
        </w:rPr>
      </w:pPr>
      <w:r w:rsidRPr="00704130">
        <w:rPr>
          <w:rFonts w:ascii="Times New Roman" w:hAnsi="Times New Roman"/>
          <w:i/>
          <w:sz w:val="24"/>
          <w:szCs w:val="24"/>
        </w:rPr>
        <w:t>Responsibilities of key personnel</w:t>
      </w:r>
    </w:p>
    <w:p w:rsidR="00704130" w:rsidRPr="00704130" w:rsidRDefault="00704130" w:rsidP="00704130">
      <w:pPr>
        <w:pStyle w:val="Textosimples"/>
        <w:widowControl w:val="0"/>
        <w:spacing w:line="360" w:lineRule="auto"/>
        <w:jc w:val="both"/>
        <w:rPr>
          <w:rFonts w:ascii="Times New Roman" w:hAnsi="Times New Roman"/>
          <w:sz w:val="24"/>
          <w:szCs w:val="24"/>
          <w:lang w:val="en-US"/>
        </w:rPr>
      </w:pPr>
      <w:r w:rsidRPr="00704130">
        <w:rPr>
          <w:rFonts w:ascii="Times New Roman" w:hAnsi="Times New Roman"/>
          <w:sz w:val="24"/>
          <w:szCs w:val="24"/>
        </w:rPr>
        <w:t xml:space="preserve">We agree with ESMA new and more flexible approach, concerning, namely the possibility to </w:t>
      </w:r>
      <w:r w:rsidRPr="00704130">
        <w:rPr>
          <w:rFonts w:ascii="Times New Roman" w:hAnsi="Times New Roman"/>
          <w:sz w:val="24"/>
          <w:szCs w:val="24"/>
          <w:lang w:val="en-US"/>
        </w:rPr>
        <w:t xml:space="preserve">the functions of Chief Risk Officer, Chief Compliance Officer, Chief Technology Officer can be carry out jointly with other tasks within the CSD,  provided that any conflicts of interests are sufficiently managed. We also welcome the recognition of the CSDs that are part of a group (as </w:t>
      </w:r>
      <w:proofErr w:type="spellStart"/>
      <w:r w:rsidRPr="00704130">
        <w:rPr>
          <w:rFonts w:ascii="Times New Roman" w:hAnsi="Times New Roman"/>
          <w:sz w:val="24"/>
          <w:szCs w:val="24"/>
          <w:lang w:val="en-US"/>
        </w:rPr>
        <w:t>Interbolsa</w:t>
      </w:r>
      <w:proofErr w:type="spellEnd"/>
      <w:r w:rsidRPr="00704130">
        <w:rPr>
          <w:rFonts w:ascii="Times New Roman" w:hAnsi="Times New Roman"/>
          <w:sz w:val="24"/>
          <w:szCs w:val="24"/>
          <w:lang w:val="en-US"/>
        </w:rPr>
        <w:t xml:space="preserve"> that is part of </w:t>
      </w:r>
      <w:proofErr w:type="spellStart"/>
      <w:r w:rsidRPr="00704130">
        <w:rPr>
          <w:rFonts w:ascii="Times New Roman" w:hAnsi="Times New Roman"/>
          <w:sz w:val="24"/>
          <w:szCs w:val="24"/>
          <w:lang w:val="en-US"/>
        </w:rPr>
        <w:t>Euronext</w:t>
      </w:r>
      <w:proofErr w:type="spellEnd"/>
      <w:r w:rsidRPr="00704130">
        <w:rPr>
          <w:rFonts w:ascii="Times New Roman" w:hAnsi="Times New Roman"/>
          <w:sz w:val="24"/>
          <w:szCs w:val="24"/>
          <w:lang w:val="en-US"/>
        </w:rPr>
        <w:t xml:space="preserve"> Group) creating the possibility that, in this situation, the CSD share any of these functions with the group.</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Nevertheless, we do not agree with the exclusion from this approach of the internal audit fun</w:t>
      </w:r>
      <w:r w:rsidRPr="00704130">
        <w:rPr>
          <w:rFonts w:ascii="Times New Roman" w:hAnsi="Times New Roman"/>
          <w:sz w:val="24"/>
          <w:lang w:val="en-US"/>
        </w:rPr>
        <w:t>c</w:t>
      </w:r>
      <w:r w:rsidRPr="00704130">
        <w:rPr>
          <w:rFonts w:ascii="Times New Roman" w:hAnsi="Times New Roman"/>
          <w:sz w:val="24"/>
          <w:lang w:val="en-US"/>
        </w:rPr>
        <w:t>tion. We understand that the same arguments that apply for the other functions should apply to the internal audit function and we stress that it should be allowed, namely for smaller CSDs, to combine the internal audit function with other functions, as long as a sufficient degree of ind</w:t>
      </w:r>
      <w:r w:rsidRPr="00704130">
        <w:rPr>
          <w:rFonts w:ascii="Times New Roman" w:hAnsi="Times New Roman"/>
          <w:sz w:val="24"/>
          <w:lang w:val="en-US"/>
        </w:rPr>
        <w:t>e</w:t>
      </w:r>
      <w:r w:rsidRPr="00704130">
        <w:rPr>
          <w:rFonts w:ascii="Times New Roman" w:hAnsi="Times New Roman"/>
          <w:sz w:val="24"/>
          <w:lang w:val="en-US"/>
        </w:rPr>
        <w:t xml:space="preserve">pendence is guaranteed. </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And, on the other hand, we also do not agree with the imposition for the functions of Chief Co</w:t>
      </w:r>
      <w:r w:rsidRPr="00704130">
        <w:rPr>
          <w:rFonts w:ascii="Times New Roman" w:hAnsi="Times New Roman"/>
          <w:sz w:val="24"/>
          <w:lang w:val="en-US"/>
        </w:rPr>
        <w:t>m</w:t>
      </w:r>
      <w:r w:rsidRPr="00704130">
        <w:rPr>
          <w:rFonts w:ascii="Times New Roman" w:hAnsi="Times New Roman"/>
          <w:sz w:val="24"/>
          <w:lang w:val="en-US"/>
        </w:rPr>
        <w:t>pliance Officer and Chief Risk Officer to be performed by different individuals. We consider that important synergies can arise from the junction of the two functions. To support this understan</w:t>
      </w:r>
      <w:r w:rsidRPr="00704130">
        <w:rPr>
          <w:rFonts w:ascii="Times New Roman" w:hAnsi="Times New Roman"/>
          <w:sz w:val="24"/>
          <w:lang w:val="en-US"/>
        </w:rPr>
        <w:t>d</w:t>
      </w:r>
      <w:r w:rsidRPr="00704130">
        <w:rPr>
          <w:rFonts w:ascii="Times New Roman" w:hAnsi="Times New Roman"/>
          <w:sz w:val="24"/>
          <w:lang w:val="en-US"/>
        </w:rPr>
        <w:t>ing we call your attention for what is expressly referred in the Directive 2006/73/EC (</w:t>
      </w:r>
      <w:proofErr w:type="spellStart"/>
      <w:r w:rsidRPr="00704130">
        <w:rPr>
          <w:rFonts w:ascii="Times New Roman" w:hAnsi="Times New Roman"/>
          <w:sz w:val="24"/>
          <w:lang w:val="en-US"/>
        </w:rPr>
        <w:t>MiFID</w:t>
      </w:r>
      <w:proofErr w:type="spellEnd"/>
      <w:r w:rsidRPr="00704130">
        <w:rPr>
          <w:rFonts w:ascii="Times New Roman" w:hAnsi="Times New Roman"/>
          <w:sz w:val="24"/>
          <w:lang w:val="en-US"/>
        </w:rPr>
        <w:t xml:space="preserve"> implementing Directive), in what concerns the compliance function in investment firms: “</w:t>
      </w:r>
      <w:r w:rsidRPr="00704130">
        <w:rPr>
          <w:rFonts w:ascii="Times New Roman" w:hAnsi="Times New Roman"/>
          <w:i/>
          <w:sz w:val="24"/>
          <w:lang w:val="en-US"/>
        </w:rPr>
        <w:t xml:space="preserve">The fact that risk management and compliance functions are performed by the same person does not necessarily </w:t>
      </w:r>
      <w:proofErr w:type="spellStart"/>
      <w:r w:rsidRPr="00704130">
        <w:rPr>
          <w:rFonts w:ascii="Times New Roman" w:hAnsi="Times New Roman"/>
          <w:i/>
          <w:sz w:val="24"/>
          <w:lang w:val="en-US"/>
        </w:rPr>
        <w:t>jeopardise</w:t>
      </w:r>
      <w:proofErr w:type="spellEnd"/>
      <w:r w:rsidRPr="00704130">
        <w:rPr>
          <w:rFonts w:ascii="Times New Roman" w:hAnsi="Times New Roman"/>
          <w:i/>
          <w:sz w:val="24"/>
          <w:lang w:val="en-US"/>
        </w:rPr>
        <w:t xml:space="preserve"> the independent functioning of each function”. </w:t>
      </w:r>
    </w:p>
    <w:p w:rsidR="00704130" w:rsidRPr="00704130" w:rsidRDefault="00704130" w:rsidP="00704130">
      <w:pPr>
        <w:pStyle w:val="Textosimples"/>
        <w:widowControl w:val="0"/>
        <w:spacing w:line="360" w:lineRule="auto"/>
        <w:jc w:val="both"/>
        <w:rPr>
          <w:rFonts w:ascii="Times New Roman" w:hAnsi="Times New Roman"/>
          <w:sz w:val="24"/>
          <w:szCs w:val="24"/>
          <w:lang w:val="en-US"/>
        </w:rPr>
      </w:pPr>
    </w:p>
    <w:p w:rsidR="00704130" w:rsidRPr="00704130" w:rsidRDefault="00704130" w:rsidP="00704130">
      <w:pPr>
        <w:pStyle w:val="Textosimples"/>
        <w:widowControl w:val="0"/>
        <w:spacing w:line="360" w:lineRule="auto"/>
        <w:jc w:val="both"/>
        <w:rPr>
          <w:rFonts w:ascii="Times New Roman" w:hAnsi="Times New Roman"/>
          <w:sz w:val="24"/>
          <w:szCs w:val="24"/>
        </w:rPr>
      </w:pPr>
      <w:r w:rsidRPr="00704130">
        <w:rPr>
          <w:rFonts w:ascii="Times New Roman" w:hAnsi="Times New Roman"/>
          <w:i/>
          <w:sz w:val="24"/>
          <w:szCs w:val="24"/>
        </w:rPr>
        <w:t>Potential conflicts of interest</w:t>
      </w:r>
      <w:r w:rsidRPr="00704130">
        <w:rPr>
          <w:rFonts w:ascii="Times New Roman" w:hAnsi="Times New Roman"/>
          <w:sz w:val="24"/>
          <w:szCs w:val="24"/>
        </w:rPr>
        <w:t xml:space="preserve"> </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 xml:space="preserve">We agree in general with ESMA’s approach on conflicts of interest. </w:t>
      </w:r>
    </w:p>
    <w:p w:rsidR="00704130" w:rsidRPr="00704130" w:rsidRDefault="00704130" w:rsidP="00704130">
      <w:pPr>
        <w:widowControl w:val="0"/>
        <w:spacing w:line="360" w:lineRule="auto"/>
        <w:jc w:val="both"/>
        <w:rPr>
          <w:rFonts w:ascii="Times New Roman" w:hAnsi="Times New Roman"/>
          <w:sz w:val="24"/>
          <w:lang w:val="en-US"/>
        </w:rPr>
      </w:pPr>
    </w:p>
    <w:p w:rsidR="00704130" w:rsidRPr="00704130" w:rsidRDefault="00704130" w:rsidP="00704130">
      <w:pPr>
        <w:pStyle w:val="Textosimples"/>
        <w:widowControl w:val="0"/>
        <w:spacing w:line="360" w:lineRule="auto"/>
        <w:jc w:val="both"/>
        <w:rPr>
          <w:rFonts w:ascii="Times New Roman" w:hAnsi="Times New Roman"/>
          <w:i/>
          <w:sz w:val="24"/>
          <w:szCs w:val="24"/>
        </w:rPr>
      </w:pPr>
      <w:r w:rsidRPr="00704130">
        <w:rPr>
          <w:rFonts w:ascii="Times New Roman" w:hAnsi="Times New Roman"/>
          <w:i/>
          <w:sz w:val="24"/>
          <w:szCs w:val="24"/>
        </w:rPr>
        <w:lastRenderedPageBreak/>
        <w:t xml:space="preserve">Audit methods </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 xml:space="preserve">We agree with ESMA on the importance of an independent internal audit function. </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 xml:space="preserve">We reiterate what we said above regarding the “dedicated function” and we stress that it should be allowed, namely for smaller CSDs, the exercise of other functions by the internal audit, as long as a sufficient degree of independence is guaranteed. </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 xml:space="preserve">  </w:t>
      </w:r>
    </w:p>
    <w:p w:rsidR="00704130" w:rsidRPr="00704130" w:rsidRDefault="00704130" w:rsidP="00704130">
      <w:pPr>
        <w:widowControl w:val="0"/>
        <w:spacing w:line="360" w:lineRule="auto"/>
        <w:jc w:val="both"/>
        <w:rPr>
          <w:rFonts w:ascii="Times New Roman" w:hAnsi="Times New Roman"/>
          <w:sz w:val="24"/>
          <w:lang w:val="en-US"/>
        </w:rPr>
      </w:pPr>
      <w:r w:rsidRPr="00704130">
        <w:rPr>
          <w:rFonts w:ascii="Times New Roman" w:hAnsi="Times New Roman"/>
          <w:sz w:val="24"/>
          <w:lang w:val="en-US"/>
        </w:rPr>
        <w:t>In what concerns the sharing of audit findings with the user committee, we welcome ESMA position (in line with our response to the Discussion Paper) to consider that CSDs should not share its audit findings with the user committee by default as this may compromise the effectiv</w:t>
      </w:r>
      <w:r w:rsidRPr="00704130">
        <w:rPr>
          <w:rFonts w:ascii="Times New Roman" w:hAnsi="Times New Roman"/>
          <w:sz w:val="24"/>
          <w:lang w:val="en-US"/>
        </w:rPr>
        <w:t>e</w:t>
      </w:r>
      <w:r w:rsidRPr="00704130">
        <w:rPr>
          <w:rFonts w:ascii="Times New Roman" w:hAnsi="Times New Roman"/>
          <w:sz w:val="24"/>
          <w:lang w:val="en-US"/>
        </w:rPr>
        <w:t>ness of the internal audit function and the contents of the reports.</w:t>
      </w:r>
    </w:p>
    <w:permEnd w:id="24"/>
    <w:p w:rsidR="00D12AFD" w:rsidRDefault="00D12AFD" w:rsidP="00D12AFD">
      <w:r>
        <w:t>&lt;ESMA_QUESTION_TS_CSDR_22&gt;</w:t>
      </w:r>
    </w:p>
    <w:p w:rsidR="00D12AFD" w:rsidRDefault="00D12AFD" w:rsidP="00965B03">
      <w:pPr>
        <w:pStyle w:val="Ttulo5"/>
        <w:ind w:left="567" w:hanging="567"/>
      </w:pPr>
      <w:r w:rsidRPr="00C8467F">
        <w:t>What are your views on the proposed draft RTS on CS</w:t>
      </w:r>
      <w:bookmarkStart w:id="3" w:name="_GoBack"/>
      <w:bookmarkEnd w:id="3"/>
      <w:r w:rsidRPr="00C8467F">
        <w:t>D record keeping (Chapter IV of Annex III) and draft ITS on CSD record keeping (Annex VII)?</w:t>
      </w:r>
    </w:p>
    <w:p w:rsidR="00D12AFD" w:rsidRDefault="00D12AFD" w:rsidP="00D12AFD"/>
    <w:p w:rsidR="00D12AFD" w:rsidRDefault="00D12AFD" w:rsidP="00D12AFD">
      <w:r>
        <w:t>&lt;ESMA_QUESTION_TS_CSDR_23&gt;</w:t>
      </w:r>
    </w:p>
    <w:p w:rsidR="00124278" w:rsidRPr="00704130" w:rsidRDefault="00704130" w:rsidP="00124278">
      <w:pPr>
        <w:rPr>
          <w:rFonts w:ascii="Times New Roman" w:hAnsi="Times New Roman"/>
          <w:sz w:val="24"/>
        </w:rPr>
      </w:pPr>
      <w:permStart w:id="25" w:edGrp="everyone"/>
      <w:r w:rsidRPr="00704130">
        <w:rPr>
          <w:rFonts w:ascii="Times New Roman" w:hAnsi="Times New Roman"/>
          <w:sz w:val="24"/>
        </w:rPr>
        <w:t xml:space="preserve">We have answered jointly to Q23 and Q24. See answer </w:t>
      </w:r>
      <w:r w:rsidR="00271C56">
        <w:rPr>
          <w:rFonts w:ascii="Times New Roman" w:hAnsi="Times New Roman"/>
          <w:sz w:val="24"/>
        </w:rPr>
        <w:t>below</w:t>
      </w:r>
      <w:r w:rsidRPr="00704130">
        <w:rPr>
          <w:rFonts w:ascii="Times New Roman" w:hAnsi="Times New Roman"/>
          <w:sz w:val="24"/>
        </w:rPr>
        <w:t xml:space="preserve"> to Q24.</w:t>
      </w:r>
    </w:p>
    <w:permEnd w:id="25"/>
    <w:p w:rsidR="00D12AFD" w:rsidRDefault="00D12AFD" w:rsidP="00D12AFD">
      <w:r>
        <w:t>&lt;ESMA_QUESTION_TS_CSDR_23&gt;</w:t>
      </w:r>
    </w:p>
    <w:p w:rsidR="00D12AFD" w:rsidRPr="002C4F00" w:rsidRDefault="00D12AFD" w:rsidP="00965B03">
      <w:pPr>
        <w:pStyle w:val="Ttulo5"/>
        <w:ind w:left="567" w:hanging="567"/>
      </w:pPr>
      <w:r w:rsidRPr="002C4F00">
        <w:t>What are your views on the types of records to be retained by CSDs in relation to ancillary services as included in the Annex to the draft RTS on CSD Requirements (Annex III)? Please provide examples regarding the formats of the records to be r</w:t>
      </w:r>
      <w:r w:rsidRPr="002C4F00">
        <w:t>e</w:t>
      </w:r>
      <w:r w:rsidRPr="002C4F00">
        <w:t>tained by CSDs in relation to ancillary services.</w:t>
      </w:r>
    </w:p>
    <w:p w:rsidR="00D12AFD" w:rsidRDefault="00D12AFD" w:rsidP="00D12AFD"/>
    <w:p w:rsidR="00D12AFD" w:rsidRDefault="00D12AFD" w:rsidP="00D12AFD">
      <w:r>
        <w:t>&lt;ESMA_QUESTION_TS_CSDR_25&gt;</w:t>
      </w:r>
    </w:p>
    <w:p w:rsidR="00704130" w:rsidRPr="002417C1" w:rsidRDefault="00704130" w:rsidP="00704130">
      <w:pPr>
        <w:pStyle w:val="Default"/>
        <w:spacing w:line="360" w:lineRule="auto"/>
        <w:jc w:val="both"/>
        <w:rPr>
          <w:rFonts w:ascii="Times New Roman" w:hAnsi="Times New Roman" w:cs="Times New Roman"/>
          <w:bCs/>
          <w:color w:val="auto"/>
          <w:lang w:val="en-US"/>
        </w:rPr>
      </w:pPr>
      <w:permStart w:id="26" w:edGrp="everyone"/>
      <w:r w:rsidRPr="002417C1">
        <w:rPr>
          <w:rFonts w:ascii="Times New Roman" w:hAnsi="Times New Roman" w:cs="Times New Roman"/>
          <w:bCs/>
          <w:color w:val="auto"/>
          <w:lang w:val="en-US"/>
        </w:rPr>
        <w:t>We support in general ESMA revised proposal on recordkeeping, namely in what concerns the items removed from the list presented in the Discussion Paper. However, we think that fields FR3 (identification of the client of the delivering participant) and FR9 (identification of the client of the receiving participant) should be removed from the list of compulsory recordkeeping, even having the expression “</w:t>
      </w:r>
      <w:r w:rsidRPr="002417C1">
        <w:rPr>
          <w:rFonts w:ascii="Times New Roman" w:hAnsi="Times New Roman" w:cs="Times New Roman"/>
          <w:bCs/>
          <w:i/>
          <w:color w:val="auto"/>
          <w:lang w:val="en-US"/>
        </w:rPr>
        <w:t>where applicable</w:t>
      </w:r>
      <w:r w:rsidRPr="002417C1">
        <w:rPr>
          <w:rFonts w:ascii="Times New Roman" w:hAnsi="Times New Roman" w:cs="Times New Roman"/>
          <w:bCs/>
          <w:color w:val="auto"/>
          <w:lang w:val="en-US"/>
        </w:rPr>
        <w:t>”. We disagree that the recordkeeping of this information will “</w:t>
      </w:r>
      <w:r w:rsidRPr="002417C1">
        <w:rPr>
          <w:rFonts w:ascii="Times New Roman" w:hAnsi="Times New Roman" w:cs="Times New Roman"/>
          <w:bCs/>
          <w:i/>
          <w:color w:val="auto"/>
          <w:lang w:val="en-US"/>
        </w:rPr>
        <w:t>ensure that CSDs keep adequate records enabling at the same time the CSD to comply with the applicable requirements depending on the services they provide, and the competent author</w:t>
      </w:r>
      <w:r w:rsidRPr="002417C1">
        <w:rPr>
          <w:rFonts w:ascii="Times New Roman" w:hAnsi="Times New Roman" w:cs="Times New Roman"/>
          <w:bCs/>
          <w:i/>
          <w:color w:val="auto"/>
          <w:lang w:val="en-US"/>
        </w:rPr>
        <w:t>i</w:t>
      </w:r>
      <w:r w:rsidRPr="002417C1">
        <w:rPr>
          <w:rFonts w:ascii="Times New Roman" w:hAnsi="Times New Roman" w:cs="Times New Roman"/>
          <w:bCs/>
          <w:i/>
          <w:color w:val="auto"/>
          <w:lang w:val="en-US"/>
        </w:rPr>
        <w:t>ties to monitor the CSD’s compliance</w:t>
      </w:r>
      <w:r w:rsidRPr="002417C1">
        <w:rPr>
          <w:rFonts w:ascii="Times New Roman" w:hAnsi="Times New Roman" w:cs="Times New Roman"/>
          <w:bCs/>
          <w:color w:val="auto"/>
          <w:lang w:val="en-US"/>
        </w:rPr>
        <w:t>”.</w:t>
      </w:r>
    </w:p>
    <w:p w:rsidR="00704130" w:rsidRPr="002417C1" w:rsidRDefault="00704130" w:rsidP="00704130">
      <w:pPr>
        <w:pStyle w:val="Textosimples"/>
        <w:widowControl w:val="0"/>
        <w:spacing w:line="360" w:lineRule="auto"/>
        <w:jc w:val="both"/>
        <w:rPr>
          <w:rFonts w:ascii="Times New Roman" w:hAnsi="Times New Roman"/>
          <w:sz w:val="24"/>
          <w:szCs w:val="24"/>
          <w:lang w:val="en-US"/>
        </w:rPr>
      </w:pP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Nevertheless the explanations given by ESMA in this Consultation Paper, we reiterate our understanding regarding the </w:t>
      </w:r>
      <w:r w:rsidRPr="002417C1">
        <w:rPr>
          <w:rFonts w:ascii="Times New Roman" w:hAnsi="Times New Roman"/>
          <w:sz w:val="24"/>
          <w:szCs w:val="24"/>
          <w:u w:val="single"/>
        </w:rPr>
        <w:t>“minimum requirements” approach</w:t>
      </w:r>
      <w:r w:rsidRPr="002417C1">
        <w:rPr>
          <w:rFonts w:ascii="Times New Roman" w:hAnsi="Times New Roman"/>
          <w:sz w:val="24"/>
          <w:szCs w:val="24"/>
        </w:rPr>
        <w:t xml:space="preserve"> proposed by ESMA for CSD recordkeeping.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This approach (as minimum requirements) can introduce some distortions among CSDs because </w:t>
      </w:r>
      <w:r w:rsidRPr="002417C1">
        <w:rPr>
          <w:rFonts w:ascii="Times New Roman" w:hAnsi="Times New Roman"/>
          <w:sz w:val="24"/>
          <w:szCs w:val="24"/>
        </w:rPr>
        <w:lastRenderedPageBreak/>
        <w:t>national regulators can add several other additional requirements to the ESMA list.</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Therefore, we consider that a </w:t>
      </w:r>
      <w:r w:rsidRPr="002417C1">
        <w:rPr>
          <w:rFonts w:ascii="Times New Roman" w:hAnsi="Times New Roman"/>
          <w:sz w:val="24"/>
          <w:szCs w:val="24"/>
          <w:u w:val="single"/>
        </w:rPr>
        <w:t>“maximum requirements” approach</w:t>
      </w:r>
      <w:r w:rsidRPr="002417C1">
        <w:rPr>
          <w:rFonts w:ascii="Times New Roman" w:hAnsi="Times New Roman"/>
          <w:sz w:val="24"/>
          <w:szCs w:val="24"/>
        </w:rPr>
        <w:t xml:space="preserve"> should be followed by ESMA, providing a harmonised list of records. Nevertheless, competent authorities should retain the possibility to request CSDs, whenever needed, to keep and provide information that is not part of regular recordkeeping, if and when necessary.</w:t>
      </w:r>
    </w:p>
    <w:p w:rsidR="00704130" w:rsidRPr="002417C1" w:rsidRDefault="00704130" w:rsidP="00704130">
      <w:pPr>
        <w:pStyle w:val="Textosimples"/>
        <w:widowControl w:val="0"/>
        <w:spacing w:line="360" w:lineRule="auto"/>
        <w:jc w:val="both"/>
        <w:rPr>
          <w:rFonts w:ascii="Times New Roman" w:hAnsi="Times New Roman"/>
          <w:sz w:val="24"/>
          <w:szCs w:val="24"/>
        </w:rPr>
      </w:pP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In what concerns the contents of the recordkeeping requirements, we assume that for CSDs, recordkeeping is essentially about data retention and archiving in order to be able to reply to inquiries by competent authorities. Therefore, we consider that (1) the reference to “</w:t>
      </w:r>
      <w:r w:rsidRPr="002417C1">
        <w:rPr>
          <w:rFonts w:ascii="Times New Roman" w:hAnsi="Times New Roman"/>
          <w:i/>
          <w:sz w:val="24"/>
          <w:szCs w:val="24"/>
        </w:rPr>
        <w:t>business continuity purposes</w:t>
      </w:r>
      <w:r w:rsidRPr="002417C1">
        <w:rPr>
          <w:rFonts w:ascii="Times New Roman" w:hAnsi="Times New Roman"/>
          <w:sz w:val="24"/>
          <w:szCs w:val="24"/>
        </w:rPr>
        <w:t xml:space="preserve">” (see article 8, §1 of the draft RTS on CSD requirements) is out of the scope of the recordkeeping; (2) the proposed </w:t>
      </w:r>
      <w:r w:rsidRPr="002417C1">
        <w:rPr>
          <w:rFonts w:ascii="Times New Roman" w:hAnsi="Times New Roman"/>
          <w:bCs/>
          <w:sz w:val="24"/>
          <w:szCs w:val="24"/>
          <w:lang w:val="en-US"/>
        </w:rPr>
        <w:t>list of compulsory recordkeeping</w:t>
      </w:r>
      <w:r w:rsidRPr="002417C1">
        <w:rPr>
          <w:rFonts w:ascii="Times New Roman" w:hAnsi="Times New Roman"/>
          <w:sz w:val="24"/>
          <w:szCs w:val="24"/>
          <w:lang w:val="en-US"/>
        </w:rPr>
        <w:t xml:space="preserve"> </w:t>
      </w:r>
      <w:r w:rsidRPr="002417C1">
        <w:rPr>
          <w:rFonts w:ascii="Times New Roman" w:hAnsi="Times New Roman"/>
          <w:sz w:val="24"/>
          <w:szCs w:val="24"/>
        </w:rPr>
        <w:t xml:space="preserve">is very extensive and goes beyond what is required by regulators today.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bCs/>
          <w:sz w:val="24"/>
          <w:szCs w:val="24"/>
        </w:rPr>
        <w:t>We also consider that ESMA should create a shorten list of records, that should only contain the</w:t>
      </w:r>
      <w:r w:rsidRPr="002417C1">
        <w:rPr>
          <w:rFonts w:ascii="Times New Roman" w:hAnsi="Times New Roman"/>
          <w:sz w:val="24"/>
          <w:szCs w:val="24"/>
        </w:rPr>
        <w:t xml:space="preserve"> items relevant for the purpose of ensuring compliance with CSDR. At a minimum, the following items should be removed from the list (CSDs typically do not have access to such information and it is unclear how such records would contribute to evidence CSD’s compliance with CSDR requirements):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ab/>
        <w:t>SR20 (Participants cash accounts – end of day balances)</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ab/>
        <w:t>FR3 (client of the delivering participant, where applicable)</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ab/>
        <w:t>FR9 (client of the receiving participant, where applicable)</w:t>
      </w:r>
    </w:p>
    <w:p w:rsidR="00704130" w:rsidRPr="002417C1" w:rsidRDefault="00704130" w:rsidP="00704130">
      <w:pPr>
        <w:pStyle w:val="Textosimples"/>
        <w:widowControl w:val="0"/>
        <w:spacing w:line="360" w:lineRule="auto"/>
        <w:jc w:val="both"/>
        <w:rPr>
          <w:rFonts w:ascii="Times New Roman" w:hAnsi="Times New Roman"/>
          <w:sz w:val="24"/>
          <w:szCs w:val="24"/>
        </w:rPr>
      </w:pP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i/>
          <w:sz w:val="24"/>
          <w:szCs w:val="24"/>
        </w:rPr>
        <w:t>Other specific concerns</w:t>
      </w:r>
      <w:r w:rsidRPr="002417C1">
        <w:rPr>
          <w:rFonts w:ascii="Times New Roman" w:hAnsi="Times New Roman"/>
          <w:sz w:val="24"/>
          <w:szCs w:val="24"/>
        </w:rPr>
        <w:t>:</w:t>
      </w:r>
    </w:p>
    <w:p w:rsidR="00704130" w:rsidRPr="002417C1" w:rsidRDefault="00704130" w:rsidP="00704130">
      <w:pPr>
        <w:pStyle w:val="Textosimples"/>
        <w:widowControl w:val="0"/>
        <w:spacing w:line="360" w:lineRule="auto"/>
        <w:jc w:val="both"/>
        <w:rPr>
          <w:rFonts w:ascii="Times New Roman" w:hAnsi="Times New Roman"/>
          <w:sz w:val="24"/>
          <w:szCs w:val="24"/>
          <w:u w:val="single"/>
        </w:rPr>
      </w:pPr>
      <w:r w:rsidRPr="002417C1">
        <w:rPr>
          <w:rFonts w:ascii="Times New Roman" w:hAnsi="Times New Roman"/>
          <w:sz w:val="24"/>
          <w:szCs w:val="24"/>
          <w:u w:val="single"/>
        </w:rPr>
        <w:t>Use of LEI – Legal Entity Identifier by CSDs in their records</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We agree with ECSDA response regarding the use of LEI by CSDs in their records to identify issuers and CSD participants. Actually, this identifier is not currently in use at CSD level, and their implementation has been limited so far to OTC derivatives markets.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We stress that the imposition of the use of the LEI for the purpose of recordkeeping would imply changes to current CSDs systems and also to the systems of their participants and, consequently, would imply an increase of costs. We think that a gradual implementation of LEIs, rather than imposition by binding regulation, should be conducted and may have a better effect.</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On the other hand, in our point of view, the usage of LEI codes should be well planned in order to </w:t>
      </w:r>
      <w:r w:rsidRPr="002417C1">
        <w:rPr>
          <w:rFonts w:ascii="Times New Roman" w:hAnsi="Times New Roman"/>
          <w:sz w:val="24"/>
          <w:szCs w:val="24"/>
        </w:rPr>
        <w:lastRenderedPageBreak/>
        <w:t>replace BIC codes, but globally extended to all market, avoiding that CSDs should be obliged to support the cost of translation of BIC codes, received from the participants, into LEI codes, namely in what concerns the report to the regulator, if it will be the case.</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 xml:space="preserve">In addition, we also stress that as in many countries (such as Portugal) where there are not yet an entity allocating effectively the LEI code , the costs faced by the entities that have to obtain this kind of identifier (in a pre-LOU of another country that already provides this kind of service) increase. </w:t>
      </w:r>
    </w:p>
    <w:p w:rsidR="00704130" w:rsidRPr="002417C1" w:rsidRDefault="00704130" w:rsidP="00704130">
      <w:pPr>
        <w:pStyle w:val="Textosimples"/>
        <w:widowControl w:val="0"/>
        <w:spacing w:line="360" w:lineRule="auto"/>
        <w:jc w:val="both"/>
        <w:rPr>
          <w:rFonts w:ascii="Times New Roman" w:hAnsi="Times New Roman"/>
          <w:sz w:val="24"/>
          <w:szCs w:val="24"/>
        </w:rPr>
      </w:pPr>
    </w:p>
    <w:p w:rsidR="00704130" w:rsidRPr="002417C1" w:rsidRDefault="00704130" w:rsidP="00704130">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lang w:val="en-US"/>
        </w:rPr>
        <w:t>Transaction /settlement instruction (flow) records</w:t>
      </w:r>
      <w:r w:rsidRPr="002417C1">
        <w:rPr>
          <w:rFonts w:ascii="Times New Roman" w:hAnsi="Times New Roman"/>
          <w:i/>
          <w:sz w:val="24"/>
          <w:szCs w:val="24"/>
        </w:rPr>
        <w:t xml:space="preserve">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i/>
          <w:sz w:val="24"/>
          <w:szCs w:val="24"/>
        </w:rPr>
        <w:t>Article 9, §2 of the draft RTS on CSD requirements</w:t>
      </w:r>
      <w:r w:rsidRPr="002417C1">
        <w:rPr>
          <w:rFonts w:ascii="Times New Roman" w:hAnsi="Times New Roman"/>
          <w:sz w:val="24"/>
          <w:szCs w:val="24"/>
        </w:rPr>
        <w:t xml:space="preserve"> – We consider this list to strict. The data to be recorded by the CSD should be the information received as part of the CSD participant instruction </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i/>
          <w:sz w:val="24"/>
          <w:szCs w:val="24"/>
        </w:rPr>
        <w:t>Article 9, §2, (w) of the draft RTS on CSD requirements</w:t>
      </w:r>
      <w:r w:rsidRPr="002417C1">
        <w:rPr>
          <w:rFonts w:ascii="Times New Roman" w:hAnsi="Times New Roman"/>
          <w:sz w:val="24"/>
          <w:szCs w:val="24"/>
        </w:rPr>
        <w:t xml:space="preserve"> – This subparagraph regarding buy-ins should be redrafted in the light of the final regime to be established.</w:t>
      </w:r>
    </w:p>
    <w:p w:rsidR="00704130" w:rsidRPr="002417C1" w:rsidRDefault="00704130" w:rsidP="00704130">
      <w:pPr>
        <w:pStyle w:val="Textosimples"/>
        <w:widowControl w:val="0"/>
        <w:spacing w:line="360" w:lineRule="auto"/>
        <w:jc w:val="both"/>
        <w:rPr>
          <w:rFonts w:ascii="Times New Roman" w:hAnsi="Times New Roman"/>
          <w:sz w:val="24"/>
          <w:szCs w:val="24"/>
        </w:rPr>
      </w:pPr>
    </w:p>
    <w:p w:rsidR="00704130" w:rsidRPr="002417C1" w:rsidRDefault="00704130" w:rsidP="00704130">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Type of securities accounts</w:t>
      </w:r>
    </w:p>
    <w:p w:rsidR="00704130" w:rsidRPr="002417C1" w:rsidRDefault="00704130" w:rsidP="00704130">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We believe that Article 10, §3 of the draft RTS on CSD requirements is not implementable in most CSDs (at least in indirect holding markets). As ECSDA refers in its response, that we fully subscribe, the definitions of "</w:t>
      </w:r>
      <w:r w:rsidRPr="002417C1">
        <w:rPr>
          <w:rFonts w:ascii="Times New Roman" w:hAnsi="Times New Roman"/>
          <w:i/>
          <w:sz w:val="24"/>
          <w:lang w:val="en-US"/>
        </w:rPr>
        <w:t>omnibus client segregation</w:t>
      </w:r>
      <w:r w:rsidRPr="002417C1">
        <w:rPr>
          <w:rFonts w:ascii="Times New Roman" w:hAnsi="Times New Roman"/>
          <w:sz w:val="24"/>
          <w:lang w:val="en-US"/>
        </w:rPr>
        <w:t>" and "</w:t>
      </w:r>
      <w:r w:rsidRPr="002417C1">
        <w:rPr>
          <w:rFonts w:ascii="Times New Roman" w:hAnsi="Times New Roman"/>
          <w:i/>
          <w:sz w:val="24"/>
          <w:lang w:val="en-US"/>
        </w:rPr>
        <w:t>individual client segregation</w:t>
      </w:r>
      <w:r w:rsidRPr="002417C1">
        <w:rPr>
          <w:rFonts w:ascii="Times New Roman" w:hAnsi="Times New Roman"/>
          <w:sz w:val="24"/>
          <w:lang w:val="en-US"/>
        </w:rPr>
        <w:t>" in article 38 of the CSDR only requires CSDs to offer the possibility for participants to maintain multiple accounts (segregated or not), and requires CSD participants to offer choice to their own client. But definitively it does not require CSD participants to inform the CSD about which a</w:t>
      </w:r>
      <w:r w:rsidRPr="002417C1">
        <w:rPr>
          <w:rFonts w:ascii="Times New Roman" w:hAnsi="Times New Roman"/>
          <w:sz w:val="24"/>
          <w:lang w:val="en-US"/>
        </w:rPr>
        <w:t>c</w:t>
      </w:r>
      <w:r w:rsidRPr="002417C1">
        <w:rPr>
          <w:rFonts w:ascii="Times New Roman" w:hAnsi="Times New Roman"/>
          <w:sz w:val="24"/>
          <w:lang w:val="en-US"/>
        </w:rPr>
        <w:t>counts are "</w:t>
      </w:r>
      <w:r w:rsidRPr="002417C1">
        <w:rPr>
          <w:rFonts w:ascii="Times New Roman" w:hAnsi="Times New Roman"/>
          <w:i/>
          <w:sz w:val="24"/>
          <w:lang w:val="en-US"/>
        </w:rPr>
        <w:t>omnibus accounts</w:t>
      </w:r>
      <w:r w:rsidRPr="002417C1">
        <w:rPr>
          <w:rFonts w:ascii="Times New Roman" w:hAnsi="Times New Roman"/>
          <w:sz w:val="24"/>
          <w:lang w:val="en-US"/>
        </w:rPr>
        <w:t>" and which accounts are "</w:t>
      </w:r>
      <w:r w:rsidRPr="002417C1">
        <w:rPr>
          <w:rFonts w:ascii="Times New Roman" w:hAnsi="Times New Roman"/>
          <w:i/>
          <w:sz w:val="24"/>
          <w:lang w:val="en-US"/>
        </w:rPr>
        <w:t>segregated</w:t>
      </w:r>
      <w:r w:rsidRPr="002417C1">
        <w:rPr>
          <w:rFonts w:ascii="Times New Roman" w:hAnsi="Times New Roman"/>
          <w:sz w:val="24"/>
          <w:lang w:val="en-US"/>
        </w:rPr>
        <w:t xml:space="preserve">" accounts. Therefore, the CSDs are not able to distinguish whether a participant account is an own account, an omnibus or individually segregated account. </w:t>
      </w:r>
    </w:p>
    <w:p w:rsidR="00704130" w:rsidRPr="002417C1" w:rsidRDefault="00704130" w:rsidP="00704130">
      <w:pPr>
        <w:pStyle w:val="Textosimples"/>
        <w:widowControl w:val="0"/>
        <w:spacing w:line="360" w:lineRule="auto"/>
        <w:jc w:val="both"/>
        <w:rPr>
          <w:rFonts w:ascii="Times New Roman" w:hAnsi="Times New Roman"/>
          <w:sz w:val="24"/>
          <w:szCs w:val="24"/>
          <w:lang w:val="en-US"/>
        </w:rPr>
      </w:pPr>
      <w:r w:rsidRPr="002417C1">
        <w:rPr>
          <w:rFonts w:ascii="Times New Roman" w:hAnsi="Times New Roman"/>
          <w:sz w:val="24"/>
          <w:szCs w:val="24"/>
          <w:lang w:val="en-US"/>
        </w:rPr>
        <w:t>As a result, Article 10, §3 of the RTS on CSD requirements should be deleted.</w:t>
      </w:r>
    </w:p>
    <w:p w:rsidR="00704130" w:rsidRPr="002417C1" w:rsidRDefault="00704130" w:rsidP="00704130">
      <w:pPr>
        <w:pStyle w:val="Textosimples"/>
        <w:widowControl w:val="0"/>
        <w:spacing w:line="360" w:lineRule="auto"/>
        <w:jc w:val="both"/>
        <w:rPr>
          <w:rFonts w:ascii="Times New Roman" w:hAnsi="Times New Roman"/>
          <w:sz w:val="24"/>
          <w:szCs w:val="24"/>
          <w:u w:val="single"/>
        </w:rPr>
      </w:pPr>
    </w:p>
    <w:p w:rsidR="00704130" w:rsidRPr="002417C1" w:rsidRDefault="00704130" w:rsidP="00704130">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Compatibility with global ISO standards</w:t>
      </w:r>
    </w:p>
    <w:p w:rsidR="00704130" w:rsidRPr="002417C1" w:rsidRDefault="00704130" w:rsidP="00704130">
      <w:pPr>
        <w:pStyle w:val="Textosimples"/>
        <w:widowControl w:val="0"/>
        <w:spacing w:line="360" w:lineRule="auto"/>
        <w:jc w:val="both"/>
        <w:rPr>
          <w:rFonts w:ascii="Times New Roman" w:hAnsi="Times New Roman"/>
          <w:sz w:val="24"/>
          <w:szCs w:val="24"/>
          <w:lang w:val="en-US"/>
        </w:rPr>
      </w:pPr>
      <w:r w:rsidRPr="002417C1">
        <w:rPr>
          <w:rFonts w:ascii="Times New Roman" w:hAnsi="Times New Roman"/>
          <w:sz w:val="24"/>
          <w:szCs w:val="24"/>
        </w:rPr>
        <w:t>We fully agree with ECSDA response to this point and with the suggestion “</w:t>
      </w:r>
      <w:r w:rsidRPr="002417C1">
        <w:rPr>
          <w:rFonts w:ascii="Times New Roman" w:hAnsi="Times New Roman"/>
          <w:i/>
          <w:sz w:val="24"/>
          <w:szCs w:val="24"/>
        </w:rPr>
        <w:t xml:space="preserve">that </w:t>
      </w:r>
      <w:r w:rsidRPr="002417C1">
        <w:rPr>
          <w:rFonts w:ascii="Times New Roman" w:hAnsi="Times New Roman"/>
          <w:i/>
          <w:sz w:val="24"/>
          <w:szCs w:val="24"/>
          <w:lang w:val="en-US"/>
        </w:rPr>
        <w:t>new codes should only be introduced following discussions with international standard-setters with a view to ensure that the new European standards are fully compatible with global market practice going forward</w:t>
      </w:r>
      <w:r w:rsidRPr="002417C1">
        <w:rPr>
          <w:rFonts w:ascii="Times New Roman" w:hAnsi="Times New Roman"/>
          <w:sz w:val="24"/>
          <w:szCs w:val="24"/>
          <w:lang w:val="en-US"/>
        </w:rPr>
        <w:t>”.</w:t>
      </w:r>
    </w:p>
    <w:p w:rsidR="00704130" w:rsidRPr="002417C1" w:rsidRDefault="00704130" w:rsidP="00704130">
      <w:pPr>
        <w:pStyle w:val="Textosimples"/>
        <w:widowControl w:val="0"/>
        <w:spacing w:line="360" w:lineRule="auto"/>
        <w:jc w:val="both"/>
        <w:rPr>
          <w:rFonts w:ascii="Times New Roman" w:hAnsi="Times New Roman"/>
          <w:sz w:val="24"/>
          <w:szCs w:val="24"/>
          <w:lang w:val="en-US"/>
        </w:rPr>
      </w:pPr>
    </w:p>
    <w:p w:rsidR="00704130" w:rsidRPr="002417C1" w:rsidRDefault="00704130" w:rsidP="00704130">
      <w:pPr>
        <w:pStyle w:val="Textosimples"/>
        <w:widowControl w:val="0"/>
        <w:spacing w:line="360" w:lineRule="auto"/>
        <w:jc w:val="both"/>
        <w:rPr>
          <w:rFonts w:ascii="Times New Roman" w:hAnsi="Times New Roman"/>
          <w:i/>
          <w:sz w:val="24"/>
          <w:szCs w:val="24"/>
        </w:rPr>
      </w:pPr>
      <w:r w:rsidRPr="002417C1">
        <w:rPr>
          <w:rFonts w:ascii="Times New Roman" w:hAnsi="Times New Roman"/>
          <w:i/>
          <w:sz w:val="24"/>
          <w:szCs w:val="24"/>
        </w:rPr>
        <w:t>Timing of implementation</w:t>
      </w:r>
    </w:p>
    <w:p w:rsidR="00704130" w:rsidRPr="002417C1" w:rsidRDefault="00704130" w:rsidP="00704130">
      <w:pPr>
        <w:pStyle w:val="Textosimples"/>
        <w:widowControl w:val="0"/>
        <w:spacing w:line="360" w:lineRule="auto"/>
        <w:jc w:val="both"/>
        <w:rPr>
          <w:rFonts w:ascii="Times New Roman" w:hAnsi="Times New Roman"/>
          <w:sz w:val="24"/>
          <w:szCs w:val="24"/>
        </w:rPr>
      </w:pPr>
      <w:r w:rsidRPr="002417C1">
        <w:rPr>
          <w:rFonts w:ascii="Times New Roman" w:hAnsi="Times New Roman"/>
          <w:sz w:val="24"/>
          <w:szCs w:val="24"/>
        </w:rPr>
        <w:t>ESMA should determine an appropriate transition period to allow CSDs to develop the required functionalities.</w:t>
      </w:r>
    </w:p>
    <w:p w:rsidR="00704130" w:rsidRPr="002417C1" w:rsidRDefault="00704130" w:rsidP="00704130">
      <w:pPr>
        <w:pStyle w:val="Default"/>
        <w:spacing w:line="360" w:lineRule="auto"/>
        <w:jc w:val="both"/>
        <w:rPr>
          <w:rFonts w:ascii="Times New Roman" w:hAnsi="Times New Roman" w:cs="Times New Roman"/>
          <w:color w:val="auto"/>
          <w:lang w:val="en-US"/>
        </w:rPr>
      </w:pPr>
      <w:r w:rsidRPr="002417C1">
        <w:rPr>
          <w:rFonts w:ascii="Times New Roman" w:hAnsi="Times New Roman" w:cs="Times New Roman"/>
          <w:bCs/>
          <w:color w:val="auto"/>
          <w:lang w:val="en-GB"/>
        </w:rPr>
        <w:t xml:space="preserve">Namely </w:t>
      </w:r>
      <w:r w:rsidRPr="002417C1">
        <w:rPr>
          <w:rFonts w:ascii="Times New Roman" w:hAnsi="Times New Roman" w:cs="Times New Roman"/>
          <w:color w:val="auto"/>
          <w:lang w:val="en-US"/>
        </w:rPr>
        <w:t xml:space="preserve">for CSDs participating in T2S, this is a very sensitive issue, and realistically we believe that it cannot be implemented by the time CSDs obtain their </w:t>
      </w:r>
      <w:proofErr w:type="spellStart"/>
      <w:r w:rsidRPr="002417C1">
        <w:rPr>
          <w:rFonts w:ascii="Times New Roman" w:hAnsi="Times New Roman" w:cs="Times New Roman"/>
          <w:color w:val="auto"/>
          <w:lang w:val="en-US"/>
        </w:rPr>
        <w:t>authorisation</w:t>
      </w:r>
      <w:proofErr w:type="spellEnd"/>
      <w:r w:rsidRPr="002417C1">
        <w:rPr>
          <w:rFonts w:ascii="Times New Roman" w:hAnsi="Times New Roman" w:cs="Times New Roman"/>
          <w:color w:val="auto"/>
          <w:lang w:val="en-US"/>
        </w:rPr>
        <w:t>, as they have to deve</w:t>
      </w:r>
      <w:r w:rsidRPr="002417C1">
        <w:rPr>
          <w:rFonts w:ascii="Times New Roman" w:hAnsi="Times New Roman" w:cs="Times New Roman"/>
          <w:color w:val="auto"/>
          <w:lang w:val="en-US"/>
        </w:rPr>
        <w:t>l</w:t>
      </w:r>
      <w:r w:rsidRPr="002417C1">
        <w:rPr>
          <w:rFonts w:ascii="Times New Roman" w:hAnsi="Times New Roman" w:cs="Times New Roman"/>
          <w:color w:val="auto"/>
          <w:lang w:val="en-US"/>
        </w:rPr>
        <w:t>op a parallel system outside T2S regarding recordkeeping, at the same time they are changing its systems to T2S.</w:t>
      </w:r>
    </w:p>
    <w:p w:rsidR="00704130" w:rsidRPr="002417C1" w:rsidRDefault="00704130" w:rsidP="00704130">
      <w:pPr>
        <w:tabs>
          <w:tab w:val="left" w:pos="567"/>
        </w:tabs>
        <w:spacing w:line="360" w:lineRule="auto"/>
        <w:jc w:val="both"/>
        <w:rPr>
          <w:rFonts w:ascii="Times New Roman" w:hAnsi="Times New Roman"/>
          <w:sz w:val="24"/>
          <w:lang w:val="en-US"/>
        </w:rPr>
      </w:pPr>
      <w:r w:rsidRPr="002417C1">
        <w:rPr>
          <w:rFonts w:ascii="Times New Roman" w:hAnsi="Times New Roman"/>
          <w:sz w:val="24"/>
          <w:lang w:val="en-US"/>
        </w:rPr>
        <w:t>We agree with ECSDA suggestion that (</w:t>
      </w:r>
      <w:proofErr w:type="spellStart"/>
      <w:r w:rsidRPr="002417C1">
        <w:rPr>
          <w:rFonts w:ascii="Times New Roman" w:hAnsi="Times New Roman"/>
          <w:sz w:val="24"/>
          <w:lang w:val="en-US"/>
        </w:rPr>
        <w:t>i</w:t>
      </w:r>
      <w:proofErr w:type="spellEnd"/>
      <w:r w:rsidRPr="002417C1">
        <w:rPr>
          <w:rFonts w:ascii="Times New Roman" w:hAnsi="Times New Roman"/>
          <w:sz w:val="24"/>
          <w:lang w:val="en-US"/>
        </w:rPr>
        <w:t>) CSDs should not be required to apply recordkeeping dispositions retroactively; (ii) given many records are related to compliance with the settlement discipline rules of the CSD Regulation, the timeline for implementing the draft technical stan</w:t>
      </w:r>
      <w:r w:rsidRPr="002417C1">
        <w:rPr>
          <w:rFonts w:ascii="Times New Roman" w:hAnsi="Times New Roman"/>
          <w:sz w:val="24"/>
          <w:lang w:val="en-US"/>
        </w:rPr>
        <w:t>d</w:t>
      </w:r>
      <w:r w:rsidRPr="002417C1">
        <w:rPr>
          <w:rFonts w:ascii="Times New Roman" w:hAnsi="Times New Roman"/>
          <w:sz w:val="24"/>
          <w:lang w:val="en-US"/>
        </w:rPr>
        <w:t>ards on recordkeeping should be aligned with the timeline for implementing the draft technical standards on settlement discipline (transition period of at least 24 months following publication of the relevant technical standards).</w:t>
      </w:r>
    </w:p>
    <w:permEnd w:id="26"/>
    <w:p w:rsidR="00D12AFD" w:rsidRDefault="00D12AFD" w:rsidP="00D12AFD">
      <w:r>
        <w:t>&lt;ESMA_QUESTION_TS_CSDR_25&gt;</w:t>
      </w:r>
    </w:p>
    <w:p w:rsidR="00D12AFD" w:rsidRPr="002C4F00" w:rsidRDefault="00D12AFD" w:rsidP="00965B03">
      <w:pPr>
        <w:pStyle w:val="Ttulo5"/>
        <w:ind w:left="567" w:hanging="567"/>
      </w:pPr>
      <w:r w:rsidRPr="002C4F00">
        <w:t>What are your views on the proposed draft RTS</w:t>
      </w:r>
      <w:r>
        <w:t xml:space="preserve"> on reconciliation measures</w:t>
      </w:r>
      <w:r w:rsidRPr="002C4F00">
        <w:t xml:space="preserve"> included in Chapter V of Annex III?</w:t>
      </w:r>
    </w:p>
    <w:p w:rsidR="00D12AFD" w:rsidRDefault="00D12AFD" w:rsidP="00D12AFD"/>
    <w:p w:rsidR="00D12AFD" w:rsidRDefault="00D12AFD" w:rsidP="00D12AFD">
      <w:r>
        <w:t>&lt;ESMA_QUESTION_TS_CSDR_25&gt;</w:t>
      </w:r>
    </w:p>
    <w:p w:rsidR="00704130" w:rsidRPr="00704130" w:rsidRDefault="00704130" w:rsidP="00704130">
      <w:pPr>
        <w:rPr>
          <w:rFonts w:ascii="Times New Roman" w:hAnsi="Times New Roman"/>
          <w:sz w:val="24"/>
        </w:rPr>
      </w:pPr>
      <w:permStart w:id="27" w:edGrp="everyone"/>
      <w:r w:rsidRPr="00704130">
        <w:rPr>
          <w:rFonts w:ascii="Times New Roman" w:hAnsi="Times New Roman"/>
          <w:sz w:val="24"/>
        </w:rPr>
        <w:t>We have</w:t>
      </w:r>
      <w:r>
        <w:rPr>
          <w:rFonts w:ascii="Times New Roman" w:hAnsi="Times New Roman"/>
          <w:sz w:val="24"/>
        </w:rPr>
        <w:t xml:space="preserve"> answered jointly to Q25 to Q27</w:t>
      </w:r>
      <w:r w:rsidRPr="00704130">
        <w:rPr>
          <w:rFonts w:ascii="Times New Roman" w:hAnsi="Times New Roman"/>
          <w:sz w:val="24"/>
        </w:rPr>
        <w:t xml:space="preserve">. See answer </w:t>
      </w:r>
      <w:r w:rsidR="00271C56">
        <w:rPr>
          <w:rFonts w:ascii="Times New Roman" w:hAnsi="Times New Roman"/>
          <w:sz w:val="24"/>
        </w:rPr>
        <w:t>below</w:t>
      </w:r>
      <w:r>
        <w:rPr>
          <w:rFonts w:ascii="Times New Roman" w:hAnsi="Times New Roman"/>
          <w:sz w:val="24"/>
        </w:rPr>
        <w:t xml:space="preserve"> to Q27</w:t>
      </w:r>
      <w:r w:rsidRPr="00704130">
        <w:rPr>
          <w:rFonts w:ascii="Times New Roman" w:hAnsi="Times New Roman"/>
          <w:sz w:val="24"/>
        </w:rPr>
        <w:t>.</w:t>
      </w:r>
    </w:p>
    <w:permEnd w:id="27"/>
    <w:p w:rsidR="00D12AFD" w:rsidRDefault="00D12AFD" w:rsidP="00D12AFD">
      <w:r>
        <w:t>&lt;ESMA_QUESTION_TS_CSDR_25&gt;</w:t>
      </w:r>
    </w:p>
    <w:p w:rsidR="00D12AFD" w:rsidRPr="002C4F00" w:rsidRDefault="00D12AFD" w:rsidP="00965B03">
      <w:pPr>
        <w:pStyle w:val="Ttulo5"/>
        <w:ind w:left="567" w:hanging="567"/>
      </w:pPr>
      <w:r w:rsidRPr="002C4F00">
        <w:t>Do you believe that the proposed reconciliation measures where other entities are involved in the reconciliation process for a certain securities issue within the mea</w:t>
      </w:r>
      <w:r w:rsidRPr="002C4F00">
        <w:t>n</w:t>
      </w:r>
      <w:r w:rsidRPr="002C4F00">
        <w:t>ing of Article 37(2) of CSDR are adequate? Please explain if you think that any of the proposed measures would not be applicable in the case of a specific entity. Please provide examples of any additional measures that would be relevant in the case of specific entities.</w:t>
      </w:r>
    </w:p>
    <w:p w:rsidR="00D12AFD" w:rsidRDefault="00D12AFD" w:rsidP="00D12AFD"/>
    <w:p w:rsidR="00D12AFD" w:rsidRDefault="00D12AFD" w:rsidP="00D12AFD">
      <w:r>
        <w:t>&lt;ESMA_QUESTION_TS_CSDR_26&gt;</w:t>
      </w:r>
    </w:p>
    <w:p w:rsidR="00704130" w:rsidRPr="00704130" w:rsidRDefault="00704130" w:rsidP="00704130">
      <w:pPr>
        <w:rPr>
          <w:rFonts w:ascii="Times New Roman" w:hAnsi="Times New Roman"/>
          <w:sz w:val="24"/>
        </w:rPr>
      </w:pPr>
      <w:permStart w:id="28" w:edGrp="everyone"/>
      <w:r w:rsidRPr="00704130">
        <w:rPr>
          <w:rFonts w:ascii="Times New Roman" w:hAnsi="Times New Roman"/>
          <w:sz w:val="24"/>
        </w:rPr>
        <w:t>We have</w:t>
      </w:r>
      <w:r>
        <w:rPr>
          <w:rFonts w:ascii="Times New Roman" w:hAnsi="Times New Roman"/>
          <w:sz w:val="24"/>
        </w:rPr>
        <w:t xml:space="preserve"> answered jointly to Q25 to Q27</w:t>
      </w:r>
      <w:r w:rsidRPr="00704130">
        <w:rPr>
          <w:rFonts w:ascii="Times New Roman" w:hAnsi="Times New Roman"/>
          <w:sz w:val="24"/>
        </w:rPr>
        <w:t xml:space="preserve">. See answer </w:t>
      </w:r>
      <w:r w:rsidR="00271C56">
        <w:rPr>
          <w:rFonts w:ascii="Times New Roman" w:hAnsi="Times New Roman"/>
          <w:sz w:val="24"/>
        </w:rPr>
        <w:t>below</w:t>
      </w:r>
      <w:r>
        <w:rPr>
          <w:rFonts w:ascii="Times New Roman" w:hAnsi="Times New Roman"/>
          <w:sz w:val="24"/>
        </w:rPr>
        <w:t xml:space="preserve"> to Q27</w:t>
      </w:r>
      <w:r w:rsidRPr="00704130">
        <w:rPr>
          <w:rFonts w:ascii="Times New Roman" w:hAnsi="Times New Roman"/>
          <w:sz w:val="24"/>
        </w:rPr>
        <w:t>.</w:t>
      </w:r>
    </w:p>
    <w:permEnd w:id="28"/>
    <w:p w:rsidR="00D12AFD" w:rsidRDefault="00D12AFD" w:rsidP="00D12AFD">
      <w:r>
        <w:t>&lt;ESMA_QUESTION_TS_CSDR_26&gt;</w:t>
      </w:r>
    </w:p>
    <w:p w:rsidR="00F1314C" w:rsidRDefault="00F1314C" w:rsidP="00F1314C">
      <w:pPr>
        <w:pStyle w:val="Ttulo5"/>
      </w:pPr>
      <w:r w:rsidRPr="00F1314C">
        <w:t>What are your views on the proposed reconciliation measures for corporate a</w:t>
      </w:r>
      <w:r w:rsidRPr="00F1314C">
        <w:t>c</w:t>
      </w:r>
      <w:r w:rsidRPr="00F1314C">
        <w:t>tions under Article 15 of the draft RTS included in Chapter V of Annex III?</w:t>
      </w:r>
    </w:p>
    <w:p w:rsidR="00F1314C" w:rsidRDefault="00F1314C" w:rsidP="00F1314C"/>
    <w:p w:rsidR="00252063" w:rsidRDefault="00252063" w:rsidP="00252063">
      <w:r>
        <w:t>&lt;ESMA_QUESTION_TS_CSDR_27&gt;</w:t>
      </w:r>
    </w:p>
    <w:p w:rsidR="00704130" w:rsidRPr="002417C1" w:rsidRDefault="00704130" w:rsidP="00704130">
      <w:pPr>
        <w:pStyle w:val="Default"/>
        <w:spacing w:line="360" w:lineRule="auto"/>
        <w:jc w:val="both"/>
        <w:rPr>
          <w:rFonts w:ascii="Times New Roman" w:hAnsi="Times New Roman" w:cs="Times New Roman"/>
          <w:b/>
          <w:bCs/>
          <w:color w:val="auto"/>
          <w:lang w:val="en-US"/>
        </w:rPr>
      </w:pPr>
      <w:permStart w:id="29" w:edGrp="everyone"/>
      <w:r w:rsidRPr="002417C1">
        <w:rPr>
          <w:rFonts w:ascii="Times New Roman" w:hAnsi="Times New Roman" w:cs="Times New Roman"/>
          <w:iCs/>
          <w:color w:val="auto"/>
          <w:lang w:val="en-US"/>
        </w:rPr>
        <w:t>We broadly agree with the reconciliation procedures proposed by ESMA</w:t>
      </w:r>
    </w:p>
    <w:p w:rsidR="00704130" w:rsidRPr="002417C1" w:rsidRDefault="00704130" w:rsidP="00704130">
      <w:pPr>
        <w:tabs>
          <w:tab w:val="left" w:pos="567"/>
        </w:tabs>
        <w:spacing w:line="360" w:lineRule="auto"/>
        <w:jc w:val="both"/>
        <w:rPr>
          <w:rFonts w:ascii="Times New Roman" w:hAnsi="Times New Roman"/>
          <w:kern w:val="1"/>
          <w:sz w:val="24"/>
          <w:lang w:eastAsia="ar-SA"/>
        </w:rPr>
      </w:pPr>
      <w:r w:rsidRPr="002417C1">
        <w:rPr>
          <w:rFonts w:ascii="Times New Roman" w:hAnsi="Times New Roman"/>
          <w:kern w:val="1"/>
          <w:sz w:val="24"/>
          <w:lang w:eastAsia="ar-SA"/>
        </w:rPr>
        <w:t>However we subscribe ECSDA concerns referred in its response to the Public Consultation and the suggested reformulation of some dispositions.</w:t>
      </w:r>
    </w:p>
    <w:permEnd w:id="29"/>
    <w:p w:rsidR="00252063" w:rsidRDefault="00252063" w:rsidP="00252063">
      <w:r>
        <w:lastRenderedPageBreak/>
        <w:t>&lt;ESMA_QUESTION_TS_CSDR_27&gt;</w:t>
      </w:r>
    </w:p>
    <w:p w:rsidR="00F1314C" w:rsidRPr="00F1314C" w:rsidRDefault="00F1314C" w:rsidP="00F1314C"/>
    <w:p w:rsidR="00D12AFD" w:rsidRPr="002C4F00" w:rsidRDefault="00D12AFD" w:rsidP="00965B03">
      <w:pPr>
        <w:pStyle w:val="Ttulo5"/>
        <w:ind w:left="567" w:hanging="567"/>
      </w:pPr>
      <w:r w:rsidRPr="00C8467F">
        <w:t>What are your views on the proposed draft RTS on CSD operational risks included in Chapter VI of Annex III?</w:t>
      </w:r>
    </w:p>
    <w:p w:rsidR="00D12AFD" w:rsidRDefault="00D12AFD" w:rsidP="00D12AFD"/>
    <w:p w:rsidR="00D12AFD" w:rsidRDefault="00D12AFD" w:rsidP="00D12AFD">
      <w:r>
        <w:t>&lt;ESMA_QUESTION_TS_CSDR_2</w:t>
      </w:r>
      <w:r w:rsidR="00252063">
        <w:t>8</w:t>
      </w:r>
      <w:r>
        <w:t>&gt;</w:t>
      </w:r>
    </w:p>
    <w:p w:rsidR="00704130" w:rsidRPr="002417C1" w:rsidRDefault="00704130" w:rsidP="00704130">
      <w:pPr>
        <w:tabs>
          <w:tab w:val="left" w:pos="567"/>
          <w:tab w:val="left" w:pos="3402"/>
        </w:tabs>
        <w:suppressAutoHyphens/>
        <w:spacing w:line="360" w:lineRule="auto"/>
        <w:jc w:val="both"/>
        <w:rPr>
          <w:rFonts w:ascii="Times New Roman" w:hAnsi="Times New Roman"/>
          <w:i/>
          <w:sz w:val="24"/>
        </w:rPr>
      </w:pPr>
      <w:permStart w:id="30" w:edGrp="everyone"/>
      <w:r w:rsidRPr="002417C1">
        <w:rPr>
          <w:rFonts w:ascii="Times New Roman" w:hAnsi="Times New Roman"/>
          <w:i/>
          <w:sz w:val="24"/>
          <w:lang w:val="en-US"/>
        </w:rPr>
        <w:t>Operational risks that may be posed by utilities and service providers</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We believe that ESMA should restrict the scope of article 20 of the draft RTS on CSD requirements to critical service providers. In this context it is important that the CSDs identify the utilities and service providers whose services are critical for the processing and settlement of instructions, critical to CSDs to comply with the regulatory requirements applied to the core services performed.</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p>
    <w:p w:rsidR="00704130" w:rsidRPr="002417C1" w:rsidRDefault="00704130" w:rsidP="00704130">
      <w:pPr>
        <w:tabs>
          <w:tab w:val="left" w:pos="3402"/>
        </w:tabs>
        <w:suppressAutoHyphens/>
        <w:spacing w:line="360" w:lineRule="auto"/>
        <w:jc w:val="both"/>
        <w:rPr>
          <w:rFonts w:ascii="Times New Roman" w:hAnsi="Times New Roman"/>
          <w:i/>
          <w:sz w:val="24"/>
          <w:lang w:val="en-US"/>
        </w:rPr>
      </w:pPr>
      <w:r w:rsidRPr="002417C1">
        <w:rPr>
          <w:rFonts w:ascii="Times New Roman" w:hAnsi="Times New Roman"/>
          <w:i/>
          <w:sz w:val="24"/>
          <w:lang w:val="en-US"/>
        </w:rPr>
        <w:t>IT systems – IT tools</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Regarding ESMA proposal that the “</w:t>
      </w:r>
      <w:r w:rsidRPr="002417C1">
        <w:rPr>
          <w:rFonts w:ascii="Times New Roman" w:hAnsi="Times New Roman"/>
          <w:i/>
          <w:sz w:val="24"/>
          <w:lang w:val="en-US"/>
        </w:rPr>
        <w:t>IT systems and the information security framework shall be reviewed, at a minimum, on an annual basis</w:t>
      </w:r>
      <w:r w:rsidRPr="002417C1">
        <w:rPr>
          <w:rFonts w:ascii="Times New Roman" w:hAnsi="Times New Roman"/>
          <w:sz w:val="24"/>
          <w:lang w:val="en-US"/>
        </w:rPr>
        <w:t xml:space="preserve">”, we want to stress that this review should only be applied to the core IT systems related to the provision of core services by the CSD. </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In what concerns the other IT systems the appropriate timeframe for the periodical review should be left up to each CSD to decide.</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p>
    <w:p w:rsidR="00704130" w:rsidRPr="002417C1" w:rsidRDefault="00704130" w:rsidP="00704130">
      <w:pPr>
        <w:tabs>
          <w:tab w:val="left" w:pos="3402"/>
        </w:tabs>
        <w:suppressAutoHyphens/>
        <w:spacing w:line="360" w:lineRule="auto"/>
        <w:jc w:val="both"/>
        <w:rPr>
          <w:rFonts w:ascii="Times New Roman" w:hAnsi="Times New Roman"/>
          <w:i/>
          <w:sz w:val="24"/>
          <w:lang w:val="en-US"/>
        </w:rPr>
      </w:pPr>
      <w:r w:rsidRPr="002417C1">
        <w:rPr>
          <w:rFonts w:ascii="Times New Roman" w:hAnsi="Times New Roman"/>
          <w:i/>
          <w:sz w:val="24"/>
          <w:lang w:val="en-US"/>
        </w:rPr>
        <w:t>Business Continuity Plan</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 xml:space="preserve">We agree with ESMA that the definition of the timeframe for disaster recovery (the two hours recovery-time) should be different in the case of a cyber-attack. Nevertheless, we stress that other exceptional crisis, such as a terrorist attack or a pandemic situation, should be also considered as exceptional situations in this context. </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 xml:space="preserve">We suggest a generic reference to exceptional crises/events, and to some examples (such as cyber-attack, terrorist attack, pandemic situation). </w:t>
      </w:r>
    </w:p>
    <w:p w:rsidR="00704130" w:rsidRPr="002417C1" w:rsidRDefault="00704130" w:rsidP="00704130">
      <w:pPr>
        <w:tabs>
          <w:tab w:val="left" w:pos="3402"/>
        </w:tabs>
        <w:suppressAutoHyphens/>
        <w:spacing w:line="360" w:lineRule="auto"/>
        <w:jc w:val="both"/>
        <w:rPr>
          <w:rFonts w:ascii="Times New Roman" w:hAnsi="Times New Roman"/>
          <w:i/>
          <w:sz w:val="24"/>
          <w:lang w:val="en-US"/>
        </w:rPr>
      </w:pPr>
      <w:r w:rsidRPr="002417C1">
        <w:rPr>
          <w:rFonts w:ascii="Times New Roman" w:hAnsi="Times New Roman"/>
          <w:sz w:val="24"/>
          <w:lang w:val="en-US"/>
        </w:rPr>
        <w:t xml:space="preserve"> </w:t>
      </w:r>
    </w:p>
    <w:p w:rsidR="00704130" w:rsidRPr="002417C1" w:rsidRDefault="00704130" w:rsidP="00704130">
      <w:pPr>
        <w:tabs>
          <w:tab w:val="left" w:pos="3402"/>
        </w:tabs>
        <w:suppressAutoHyphens/>
        <w:spacing w:line="360" w:lineRule="auto"/>
        <w:jc w:val="both"/>
        <w:rPr>
          <w:rFonts w:ascii="Times New Roman" w:hAnsi="Times New Roman"/>
          <w:i/>
          <w:sz w:val="24"/>
          <w:lang w:val="en-US"/>
        </w:rPr>
      </w:pPr>
      <w:r w:rsidRPr="002417C1">
        <w:rPr>
          <w:rFonts w:ascii="Times New Roman" w:hAnsi="Times New Roman"/>
          <w:i/>
          <w:sz w:val="24"/>
          <w:lang w:val="en-US"/>
        </w:rPr>
        <w:t>Duty to notify</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r w:rsidRPr="002417C1">
        <w:rPr>
          <w:rFonts w:ascii="Times New Roman" w:hAnsi="Times New Roman"/>
          <w:sz w:val="24"/>
          <w:lang w:val="en-US"/>
        </w:rPr>
        <w:t>We consider that the imposition in article 33 of the draft RTS on CSD requirements that a “</w:t>
      </w:r>
      <w:r w:rsidRPr="002417C1">
        <w:rPr>
          <w:rFonts w:ascii="Times New Roman" w:hAnsi="Times New Roman"/>
          <w:i/>
          <w:sz w:val="24"/>
          <w:lang w:val="en-US"/>
        </w:rPr>
        <w:t xml:space="preserve">CSD shall promptly notify the competent authority of the </w:t>
      </w:r>
      <w:r w:rsidRPr="002417C1">
        <w:rPr>
          <w:rFonts w:ascii="Times New Roman" w:hAnsi="Times New Roman"/>
          <w:i/>
          <w:sz w:val="24"/>
          <w:u w:val="single"/>
          <w:lang w:val="en-US"/>
        </w:rPr>
        <w:t>results of any tests</w:t>
      </w:r>
      <w:r w:rsidRPr="002417C1">
        <w:rPr>
          <w:rFonts w:ascii="Times New Roman" w:hAnsi="Times New Roman"/>
          <w:i/>
          <w:sz w:val="24"/>
          <w:lang w:val="en-US"/>
        </w:rPr>
        <w:t xml:space="preserve"> performed in the context</w:t>
      </w:r>
      <w:r w:rsidRPr="002417C1">
        <w:rPr>
          <w:rFonts w:ascii="Times New Roman" w:hAnsi="Times New Roman"/>
          <w:sz w:val="24"/>
          <w:lang w:val="en-US"/>
        </w:rPr>
        <w:t xml:space="preserve">” of chapter VI of the draft RTS on CSD requirements related to operational risk, should be </w:t>
      </w:r>
      <w:r w:rsidRPr="002417C1">
        <w:rPr>
          <w:rFonts w:ascii="Times New Roman" w:hAnsi="Times New Roman"/>
          <w:sz w:val="24"/>
          <w:lang w:val="en-US"/>
        </w:rPr>
        <w:lastRenderedPageBreak/>
        <w:t xml:space="preserve">restricted to the substantial tests performed in the context of the business continuity (Section 4, of Chapter VI of the draft RTS on CSD requirements). </w:t>
      </w:r>
    </w:p>
    <w:permEnd w:id="30"/>
    <w:p w:rsidR="00D12AFD" w:rsidRDefault="00D12AFD" w:rsidP="00D12AFD">
      <w:r>
        <w:t>&lt;ESMA_QUESTION_TS_CSDR_2</w:t>
      </w:r>
      <w:r w:rsidR="00252063">
        <w:t>8</w:t>
      </w:r>
      <w:r>
        <w:t>&gt;</w:t>
      </w:r>
    </w:p>
    <w:p w:rsidR="00D12AFD" w:rsidRPr="002C4F00" w:rsidRDefault="00D12AFD" w:rsidP="00965B03">
      <w:pPr>
        <w:pStyle w:val="Ttulo5"/>
        <w:ind w:left="567" w:hanging="567"/>
      </w:pPr>
      <w:r w:rsidRPr="00C8467F">
        <w:t>What are your views on the proposed draft RTS on CSD investment policy (Chapter VII of Annex III)?</w:t>
      </w:r>
    </w:p>
    <w:p w:rsidR="00D12AFD" w:rsidRDefault="00D12AFD" w:rsidP="00D12AFD"/>
    <w:p w:rsidR="00D12AFD" w:rsidRDefault="00D12AFD" w:rsidP="00D12AFD">
      <w:r>
        <w:t>&lt;ESMA_QUESTION_TS_CSDR_2</w:t>
      </w:r>
      <w:r w:rsidR="00252063">
        <w:t>9</w:t>
      </w:r>
      <w:r>
        <w:t>&gt;</w:t>
      </w:r>
    </w:p>
    <w:p w:rsidR="00704130" w:rsidRPr="002417C1" w:rsidRDefault="00704130" w:rsidP="00704130">
      <w:pPr>
        <w:tabs>
          <w:tab w:val="left" w:pos="3402"/>
        </w:tabs>
        <w:suppressAutoHyphens/>
        <w:spacing w:line="360" w:lineRule="auto"/>
        <w:jc w:val="both"/>
        <w:rPr>
          <w:rFonts w:ascii="Times New Roman" w:hAnsi="Times New Roman"/>
          <w:sz w:val="24"/>
          <w:lang w:val="en-US"/>
        </w:rPr>
      </w:pPr>
      <w:permStart w:id="31" w:edGrp="everyone"/>
      <w:r w:rsidRPr="002417C1">
        <w:rPr>
          <w:rFonts w:ascii="Times New Roman" w:hAnsi="Times New Roman"/>
          <w:sz w:val="24"/>
          <w:lang w:val="en-US"/>
        </w:rPr>
        <w:t>We agree with the response of ECSDA regarding this issue.</w:t>
      </w:r>
    </w:p>
    <w:permEnd w:id="31"/>
    <w:p w:rsidR="00D12AFD" w:rsidRDefault="00D12AFD" w:rsidP="00D12AFD">
      <w:r>
        <w:t>&lt;ESMA_QUESTION_TS_CSDR_2</w:t>
      </w:r>
      <w:r w:rsidR="00252063">
        <w:t>9</w:t>
      </w:r>
      <w:r>
        <w:t>&gt;</w:t>
      </w:r>
    </w:p>
    <w:p w:rsidR="00D12AFD" w:rsidRPr="002C4F00" w:rsidRDefault="00D12AFD" w:rsidP="00965B03">
      <w:pPr>
        <w:pStyle w:val="Ttulo5"/>
        <w:ind w:left="567" w:hanging="567"/>
      </w:pPr>
      <w:r w:rsidRPr="002C4F00">
        <w:t>What are your views on the proposed draft RTS on access (Chapters I-III of Annex IV) and draft ITS on access (Annex VIII)?</w:t>
      </w:r>
    </w:p>
    <w:p w:rsidR="00D12AFD" w:rsidRDefault="00D12AFD" w:rsidP="00D12AFD"/>
    <w:p w:rsidR="00D12AFD" w:rsidRDefault="00D12AFD" w:rsidP="00D12AFD">
      <w:r>
        <w:t>&lt;ESMA_QUESTION_TS_CSDR_</w:t>
      </w:r>
      <w:r w:rsidR="00252063">
        <w:t>30</w:t>
      </w:r>
      <w:r>
        <w:t>&gt;</w:t>
      </w:r>
    </w:p>
    <w:p w:rsidR="00A106F3" w:rsidRPr="00214C0B" w:rsidRDefault="00A106F3" w:rsidP="00A106F3">
      <w:pPr>
        <w:pStyle w:val="Default"/>
        <w:spacing w:line="360" w:lineRule="auto"/>
        <w:jc w:val="both"/>
        <w:rPr>
          <w:rFonts w:ascii="Times New Roman" w:hAnsi="Times New Roman" w:cs="Times New Roman"/>
          <w:bCs/>
          <w:color w:val="auto"/>
          <w:lang w:val="en-US"/>
        </w:rPr>
      </w:pPr>
      <w:permStart w:id="32" w:edGrp="everyone"/>
      <w:r w:rsidRPr="00214C0B">
        <w:rPr>
          <w:rFonts w:ascii="Times New Roman" w:hAnsi="Times New Roman" w:cs="Times New Roman"/>
          <w:bCs/>
          <w:color w:val="auto"/>
          <w:lang w:val="en-US"/>
        </w:rPr>
        <w:t>Aligned with ECSDA response, we also agree that article 1 of the draft RTS on access and links should not define “</w:t>
      </w:r>
      <w:r w:rsidRPr="00214C0B">
        <w:rPr>
          <w:rFonts w:ascii="Times New Roman" w:hAnsi="Times New Roman" w:cs="Times New Roman"/>
          <w:bCs/>
          <w:i/>
          <w:color w:val="auto"/>
          <w:lang w:val="en-US"/>
        </w:rPr>
        <w:t>issuer CSD</w:t>
      </w:r>
      <w:r w:rsidRPr="00214C0B">
        <w:rPr>
          <w:rFonts w:ascii="Times New Roman" w:hAnsi="Times New Roman" w:cs="Times New Roman"/>
          <w:bCs/>
          <w:color w:val="auto"/>
          <w:lang w:val="en-US"/>
        </w:rPr>
        <w:t>” and “</w:t>
      </w:r>
      <w:r w:rsidRPr="00214C0B">
        <w:rPr>
          <w:rFonts w:ascii="Times New Roman" w:hAnsi="Times New Roman" w:cs="Times New Roman"/>
          <w:bCs/>
          <w:i/>
          <w:color w:val="auto"/>
          <w:lang w:val="en-US"/>
        </w:rPr>
        <w:t>investor CSD</w:t>
      </w:r>
      <w:r w:rsidRPr="00214C0B">
        <w:rPr>
          <w:rFonts w:ascii="Times New Roman" w:hAnsi="Times New Roman" w:cs="Times New Roman"/>
          <w:bCs/>
          <w:color w:val="auto"/>
          <w:lang w:val="en-US"/>
        </w:rPr>
        <w:t>” and the draft RTS should instead rely on the notion of “</w:t>
      </w:r>
      <w:r w:rsidRPr="00214C0B">
        <w:rPr>
          <w:rFonts w:ascii="Times New Roman" w:hAnsi="Times New Roman" w:cs="Times New Roman"/>
          <w:bCs/>
          <w:i/>
          <w:color w:val="auto"/>
          <w:lang w:val="en-US"/>
        </w:rPr>
        <w:t>central maintenance</w:t>
      </w:r>
      <w:r w:rsidRPr="00214C0B">
        <w:rPr>
          <w:rFonts w:ascii="Times New Roman" w:hAnsi="Times New Roman" w:cs="Times New Roman"/>
          <w:bCs/>
          <w:color w:val="auto"/>
          <w:lang w:val="en-US"/>
        </w:rPr>
        <w:t xml:space="preserve">” introduced in Level 1 text.  </w:t>
      </w:r>
    </w:p>
    <w:permEnd w:id="32"/>
    <w:p w:rsidR="00D12AFD" w:rsidRDefault="00D12AFD" w:rsidP="00D12AFD">
      <w:r>
        <w:t>&lt;ESMA_QUESTION_TS_CSDR_</w:t>
      </w:r>
      <w:r w:rsidR="00252063">
        <w:t>30</w:t>
      </w:r>
      <w:r>
        <w:t>&gt;</w:t>
      </w:r>
    </w:p>
    <w:p w:rsidR="00D12AFD" w:rsidRPr="002C4F00" w:rsidRDefault="00D12AFD" w:rsidP="00965B03">
      <w:pPr>
        <w:pStyle w:val="Ttulo5"/>
        <w:ind w:left="567" w:hanging="567"/>
      </w:pPr>
      <w:r w:rsidRPr="002C4F00">
        <w:t>What are your views on the proposed draft RTS on CSD links as included in Chapter IV of Annex IV?</w:t>
      </w:r>
    </w:p>
    <w:p w:rsidR="00D12AFD" w:rsidRDefault="00D12AFD" w:rsidP="00D12AFD"/>
    <w:p w:rsidR="00D12AFD" w:rsidRDefault="00D12AFD" w:rsidP="00D12AFD">
      <w:r>
        <w:t>&lt;ESMA_QUESTION_TS_CSDR_3</w:t>
      </w:r>
      <w:r w:rsidR="00252063">
        <w:t>1</w:t>
      </w:r>
      <w:r>
        <w:t>&gt;</w:t>
      </w:r>
    </w:p>
    <w:p w:rsidR="00A106F3" w:rsidRPr="00214C0B" w:rsidRDefault="00A106F3" w:rsidP="00A106F3">
      <w:pPr>
        <w:tabs>
          <w:tab w:val="left" w:pos="3402"/>
        </w:tabs>
        <w:suppressAutoHyphens/>
        <w:spacing w:line="360" w:lineRule="auto"/>
        <w:jc w:val="both"/>
        <w:rPr>
          <w:rFonts w:ascii="Times New Roman" w:hAnsi="Times New Roman"/>
          <w:bCs/>
          <w:i/>
          <w:sz w:val="24"/>
          <w:lang w:val="en-US"/>
        </w:rPr>
      </w:pPr>
      <w:permStart w:id="33" w:edGrp="everyone"/>
      <w:r w:rsidRPr="00214C0B">
        <w:rPr>
          <w:rFonts w:ascii="Times New Roman" w:hAnsi="Times New Roman"/>
          <w:bCs/>
          <w:i/>
          <w:sz w:val="24"/>
          <w:lang w:val="en-US"/>
        </w:rPr>
        <w:t>Article 4 of the draft RTS on access and links, on conditions for the adequate protection of linked CSDs and of their participants</w:t>
      </w: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r w:rsidRPr="00214C0B">
        <w:rPr>
          <w:rFonts w:ascii="Times New Roman" w:hAnsi="Times New Roman"/>
          <w:bCs/>
          <w:sz w:val="24"/>
          <w:lang w:val="en-US"/>
        </w:rPr>
        <w:t>The expression “</w:t>
      </w:r>
      <w:r w:rsidRPr="00214C0B">
        <w:rPr>
          <w:rFonts w:ascii="Times New Roman" w:hAnsi="Times New Roman"/>
          <w:bCs/>
          <w:i/>
          <w:sz w:val="24"/>
          <w:lang w:val="en-US"/>
        </w:rPr>
        <w:t>comparable effects</w:t>
      </w:r>
      <w:r w:rsidRPr="00214C0B">
        <w:rPr>
          <w:rFonts w:ascii="Times New Roman" w:hAnsi="Times New Roman"/>
          <w:bCs/>
          <w:sz w:val="24"/>
          <w:lang w:val="en-US"/>
        </w:rPr>
        <w:t>” used in article 4, §1 (e) can be misleading because sometimes is very difficult to compare different legal regimes. The fact that one regime is different and no comparable to one other does not mean that both regimes are not “safe regimes”.  The RTS should refer to a “</w:t>
      </w:r>
      <w:r w:rsidRPr="00214C0B">
        <w:rPr>
          <w:rFonts w:ascii="Times New Roman" w:hAnsi="Times New Roman"/>
          <w:bCs/>
          <w:i/>
          <w:sz w:val="24"/>
          <w:lang w:val="en-US"/>
        </w:rPr>
        <w:t>legally sound level of asset protection</w:t>
      </w:r>
      <w:r w:rsidRPr="00214C0B">
        <w:rPr>
          <w:rFonts w:ascii="Times New Roman" w:hAnsi="Times New Roman"/>
          <w:bCs/>
          <w:sz w:val="24"/>
          <w:lang w:val="en-US"/>
        </w:rPr>
        <w:t>”.</w:t>
      </w: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r w:rsidRPr="00214C0B">
        <w:rPr>
          <w:rFonts w:ascii="Times New Roman" w:hAnsi="Times New Roman"/>
          <w:bCs/>
          <w:sz w:val="24"/>
          <w:lang w:val="en-US"/>
        </w:rPr>
        <w:t xml:space="preserve">RTS on access and links shall not prevent the use of </w:t>
      </w:r>
      <w:proofErr w:type="spellStart"/>
      <w:r w:rsidRPr="00214C0B">
        <w:rPr>
          <w:rFonts w:ascii="Times New Roman" w:hAnsi="Times New Roman"/>
          <w:bCs/>
          <w:sz w:val="24"/>
          <w:lang w:val="en-US"/>
        </w:rPr>
        <w:t>DvP</w:t>
      </w:r>
      <w:proofErr w:type="spellEnd"/>
      <w:r w:rsidRPr="00214C0B">
        <w:rPr>
          <w:rFonts w:ascii="Times New Roman" w:hAnsi="Times New Roman"/>
          <w:bCs/>
          <w:sz w:val="24"/>
          <w:lang w:val="en-US"/>
        </w:rPr>
        <w:t xml:space="preserve"> links in commercial bank money [see article 4, §1 (f)]. Currently this kind of links exist, namely between CSDs without a banking license and the ICSDs, without concerns raised by the regulators. This limitation will eliminate the value related to </w:t>
      </w:r>
      <w:proofErr w:type="spellStart"/>
      <w:r w:rsidRPr="00214C0B">
        <w:rPr>
          <w:rFonts w:ascii="Times New Roman" w:hAnsi="Times New Roman"/>
          <w:bCs/>
          <w:sz w:val="24"/>
          <w:lang w:val="en-US"/>
        </w:rPr>
        <w:t>DvP</w:t>
      </w:r>
      <w:proofErr w:type="spellEnd"/>
      <w:r w:rsidRPr="00214C0B">
        <w:rPr>
          <w:rFonts w:ascii="Times New Roman" w:hAnsi="Times New Roman"/>
          <w:bCs/>
          <w:sz w:val="24"/>
          <w:lang w:val="en-US"/>
        </w:rPr>
        <w:t xml:space="preserve"> settlement in foreign currencies. </w:t>
      </w: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r w:rsidRPr="00214C0B">
        <w:rPr>
          <w:rFonts w:ascii="Times New Roman" w:hAnsi="Times New Roman"/>
          <w:bCs/>
          <w:sz w:val="24"/>
          <w:lang w:val="en-US"/>
        </w:rPr>
        <w:t>In what concerns article 4, §1 (b) of the draft RTS on access and links we consider that the interpretation, regarding CSDs established in the EU, should be that the CSD should rely on in the receiving CSD’s regulatory authorization under the CSDR and will not be obliged to “</w:t>
      </w:r>
      <w:r w:rsidRPr="00214C0B">
        <w:rPr>
          <w:rFonts w:ascii="Times New Roman" w:hAnsi="Times New Roman"/>
          <w:bCs/>
          <w:i/>
          <w:sz w:val="24"/>
          <w:lang w:val="en-US"/>
        </w:rPr>
        <w:t xml:space="preserve">conduct </w:t>
      </w:r>
      <w:r w:rsidRPr="00214C0B">
        <w:rPr>
          <w:rFonts w:ascii="Times New Roman" w:hAnsi="Times New Roman"/>
          <w:bCs/>
          <w:i/>
          <w:sz w:val="24"/>
          <w:lang w:val="en-US"/>
        </w:rPr>
        <w:lastRenderedPageBreak/>
        <w:t>an analysis of the receiving CSD’s financial soundness, governance arrangements, processing capacity, operational reliability and any reliance on a critical service provider</w:t>
      </w:r>
      <w:r w:rsidRPr="00214C0B">
        <w:rPr>
          <w:rFonts w:ascii="Times New Roman" w:hAnsi="Times New Roman"/>
          <w:bCs/>
          <w:sz w:val="24"/>
          <w:lang w:val="en-US"/>
        </w:rPr>
        <w:t xml:space="preserve">”. </w:t>
      </w: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p>
    <w:p w:rsidR="00A106F3" w:rsidRPr="00214C0B" w:rsidRDefault="00A106F3" w:rsidP="00A106F3">
      <w:pPr>
        <w:tabs>
          <w:tab w:val="left" w:pos="3402"/>
        </w:tabs>
        <w:suppressAutoHyphens/>
        <w:spacing w:line="360" w:lineRule="auto"/>
        <w:jc w:val="both"/>
        <w:rPr>
          <w:rFonts w:ascii="Times New Roman" w:hAnsi="Times New Roman"/>
          <w:bCs/>
          <w:i/>
          <w:sz w:val="24"/>
          <w:lang w:val="en-US"/>
        </w:rPr>
      </w:pPr>
      <w:r w:rsidRPr="00214C0B">
        <w:rPr>
          <w:rFonts w:ascii="Times New Roman" w:hAnsi="Times New Roman"/>
          <w:bCs/>
          <w:i/>
          <w:sz w:val="24"/>
          <w:lang w:val="en-US"/>
        </w:rPr>
        <w:t>Article 5 of the draft RTS on access and links, on Risk monitoring and management when using indirect links or an intermediary to operate a CSD link</w:t>
      </w:r>
    </w:p>
    <w:p w:rsidR="00A106F3" w:rsidRPr="00214C0B" w:rsidRDefault="00A106F3" w:rsidP="00A106F3">
      <w:pPr>
        <w:tabs>
          <w:tab w:val="left" w:pos="3402"/>
        </w:tabs>
        <w:suppressAutoHyphens/>
        <w:spacing w:line="360" w:lineRule="auto"/>
        <w:jc w:val="both"/>
        <w:rPr>
          <w:rFonts w:ascii="Times New Roman" w:hAnsi="Times New Roman"/>
          <w:bCs/>
          <w:sz w:val="24"/>
          <w:lang w:val="en-US"/>
        </w:rPr>
      </w:pPr>
      <w:r w:rsidRPr="00214C0B">
        <w:rPr>
          <w:rFonts w:ascii="Times New Roman" w:hAnsi="Times New Roman"/>
          <w:bCs/>
          <w:sz w:val="24"/>
          <w:lang w:val="en-US"/>
        </w:rPr>
        <w:t>Article 5 does not have in consideration the current distinction between indirect links and direct links and the fact that an operated link is a subset of direct CSD links and, treated as direct links for supervisory purposes. The role of the operator in a direct operated link is completely different from the role of the intermediary in an indirect link, namely in terms of risk implications. Therefore, we believe that the scope of this article should be restricted to indirect links.</w:t>
      </w:r>
    </w:p>
    <w:permEnd w:id="33"/>
    <w:p w:rsidR="00D12AFD" w:rsidRPr="002C4F00" w:rsidRDefault="00D12AFD" w:rsidP="00D12AFD">
      <w:r>
        <w:t>&lt;ESMA_QUESTION_TS_CSDR_3</w:t>
      </w:r>
      <w:r w:rsidR="00252063">
        <w:t>1</w:t>
      </w:r>
      <w:r>
        <w:t>&gt;</w:t>
      </w:r>
    </w:p>
    <w:p w:rsidR="00D12AFD" w:rsidRPr="002C4F00" w:rsidRDefault="00D12AFD" w:rsidP="00965B03">
      <w:pPr>
        <w:pStyle w:val="Ttulo5"/>
        <w:ind w:left="567" w:hanging="567"/>
      </w:pPr>
      <w:r w:rsidRPr="00C8467F">
        <w:t>What are your views on the proposed draft RTS on internalised settlement (Annex V) and draft ITS on internalised settlement (Annex IX)?</w:t>
      </w:r>
    </w:p>
    <w:p w:rsidR="00D12AFD" w:rsidRDefault="00D12AFD" w:rsidP="00D12AFD"/>
    <w:p w:rsidR="00D12AFD" w:rsidRDefault="00D12AFD" w:rsidP="00D12AFD">
      <w:r>
        <w:t>&lt;ESMA_QUESTION_TS_CSDR_3</w:t>
      </w:r>
      <w:r w:rsidR="00252063">
        <w:t>2</w:t>
      </w:r>
      <w:r>
        <w:t>&gt;</w:t>
      </w:r>
    </w:p>
    <w:p w:rsidR="00A106F3" w:rsidRPr="00214C0B" w:rsidRDefault="00A106F3" w:rsidP="00A106F3">
      <w:pPr>
        <w:spacing w:line="360" w:lineRule="auto"/>
        <w:jc w:val="both"/>
        <w:rPr>
          <w:rFonts w:ascii="Times New Roman" w:hAnsi="Times New Roman"/>
          <w:bCs/>
          <w:sz w:val="24"/>
          <w:lang w:val="en-US"/>
        </w:rPr>
      </w:pPr>
      <w:permStart w:id="34" w:edGrp="everyone"/>
      <w:r w:rsidRPr="00214C0B">
        <w:rPr>
          <w:rFonts w:ascii="Times New Roman" w:hAnsi="Times New Roman"/>
          <w:sz w:val="24"/>
          <w:lang w:val="en-US"/>
        </w:rPr>
        <w:t>This is not a CSD issue and as such we do not comment on the requirements established.</w:t>
      </w:r>
    </w:p>
    <w:p w:rsidR="00A106F3" w:rsidRPr="00214C0B" w:rsidRDefault="00A106F3" w:rsidP="00A106F3">
      <w:pPr>
        <w:spacing w:line="360" w:lineRule="auto"/>
        <w:jc w:val="both"/>
        <w:rPr>
          <w:rFonts w:ascii="Times New Roman" w:hAnsi="Times New Roman"/>
          <w:bCs/>
          <w:sz w:val="24"/>
          <w:lang w:val="en-US"/>
        </w:rPr>
      </w:pPr>
      <w:r w:rsidRPr="00214C0B">
        <w:rPr>
          <w:rFonts w:ascii="Times New Roman" w:hAnsi="Times New Roman"/>
          <w:bCs/>
          <w:sz w:val="24"/>
          <w:lang w:val="en-US"/>
        </w:rPr>
        <w:t xml:space="preserve">The only note is that we support that is important for competent authorities and ESMA to monitor the settlement </w:t>
      </w:r>
      <w:proofErr w:type="spellStart"/>
      <w:r w:rsidRPr="00214C0B">
        <w:rPr>
          <w:rFonts w:ascii="Times New Roman" w:hAnsi="Times New Roman"/>
          <w:bCs/>
          <w:sz w:val="24"/>
          <w:lang w:val="en-US"/>
        </w:rPr>
        <w:t>internalisers</w:t>
      </w:r>
      <w:proofErr w:type="spellEnd"/>
      <w:r w:rsidRPr="00214C0B">
        <w:rPr>
          <w:rFonts w:ascii="Times New Roman" w:hAnsi="Times New Roman"/>
          <w:bCs/>
          <w:sz w:val="24"/>
          <w:lang w:val="en-US"/>
        </w:rPr>
        <w:t>’ activity, in order to determine the scale of this activity and, more important, to be able to identify any related systemic risk to the market.</w:t>
      </w:r>
    </w:p>
    <w:permEnd w:id="34"/>
    <w:p w:rsidR="00F05A8C" w:rsidRDefault="00D12AFD" w:rsidP="00CE149D">
      <w:r>
        <w:t>&lt;ESMA_QUESTION_TS_CSDR_3</w:t>
      </w:r>
      <w:r w:rsidR="00252063">
        <w:t>2</w:t>
      </w:r>
      <w:r>
        <w:t>&gt;</w:t>
      </w:r>
    </w:p>
    <w:sectPr w:rsidR="00F05A8C" w:rsidSect="000D17AA">
      <w:headerReference w:type="even" r:id="rId15"/>
      <w:headerReference w:type="first" r:id="rId16"/>
      <w:footerReference w:type="first" r:id="rId17"/>
      <w:pgSz w:w="11906" w:h="16838" w:code="9"/>
      <w:pgMar w:top="2552"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347" w:rsidRDefault="00A15347">
      <w:r>
        <w:separator/>
      </w:r>
    </w:p>
    <w:p w:rsidR="00A15347" w:rsidRDefault="00A15347"/>
  </w:endnote>
  <w:endnote w:type="continuationSeparator" w:id="0">
    <w:p w:rsidR="00A15347" w:rsidRDefault="00A15347">
      <w:r>
        <w:continuationSeparator/>
      </w:r>
    </w:p>
    <w:p w:rsidR="00A15347" w:rsidRDefault="00A15347"/>
  </w:endnote>
  <w:endnote w:type="continuationNotice" w:id="1">
    <w:p w:rsidR="00A15347" w:rsidRDefault="00A1534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54A34" w:rsidRPr="00315E96" w:rsidTr="00315E96">
      <w:trPr>
        <w:trHeight w:val="284"/>
      </w:trPr>
      <w:tc>
        <w:tcPr>
          <w:tcW w:w="8460" w:type="dxa"/>
        </w:tcPr>
        <w:p w:rsidR="00154A34" w:rsidRPr="00315E96" w:rsidRDefault="00154A34" w:rsidP="00315E96">
          <w:pPr>
            <w:pStyle w:val="00Footer"/>
            <w:rPr>
              <w:lang w:val="fr-FR"/>
            </w:rPr>
          </w:pPr>
        </w:p>
      </w:tc>
      <w:tc>
        <w:tcPr>
          <w:tcW w:w="952" w:type="dxa"/>
        </w:tcPr>
        <w:p w:rsidR="00154A34" w:rsidRPr="002C5B2D" w:rsidRDefault="00612FFD" w:rsidP="002C5B2D">
          <w:pPr>
            <w:pStyle w:val="00aPagenumber"/>
          </w:pPr>
          <w:fldSimple w:instr=" PAGE ">
            <w:r w:rsidR="00271C56">
              <w:rPr>
                <w:noProof/>
              </w:rPr>
              <w:t>15</w:t>
            </w:r>
          </w:fldSimple>
        </w:p>
      </w:tc>
    </w:tr>
  </w:tbl>
  <w:p w:rsidR="00154A34" w:rsidRDefault="00154A3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A34" w:rsidRDefault="00154A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347" w:rsidRDefault="00A15347">
      <w:r>
        <w:separator/>
      </w:r>
    </w:p>
    <w:p w:rsidR="00A15347" w:rsidRDefault="00A15347"/>
  </w:footnote>
  <w:footnote w:type="continuationSeparator" w:id="0">
    <w:p w:rsidR="00A15347" w:rsidRDefault="00A15347">
      <w:r>
        <w:continuationSeparator/>
      </w:r>
    </w:p>
    <w:p w:rsidR="00A15347" w:rsidRDefault="00A15347"/>
  </w:footnote>
  <w:footnote w:type="continuationNotice" w:id="1">
    <w:p w:rsidR="00A15347" w:rsidRDefault="00A153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A34" w:rsidRDefault="00154A34">
    <w:pPr>
      <w:pStyle w:val="Cabealho"/>
    </w:pPr>
    <w:r>
      <w:rPr>
        <w:noProof/>
        <w:lang w:val="pt-PT" w:eastAsia="pt-PT"/>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612FFD" w:rsidRPr="00612FFD">
      <w:rPr>
        <w:noProof/>
        <w:lang w:eastAsia="en-GB"/>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A34" w:rsidRDefault="00154A34" w:rsidP="00013CCE">
    <w:pPr>
      <w:pStyle w:val="Cabealho"/>
      <w:jc w:val="right"/>
    </w:pPr>
    <w:r>
      <w:rPr>
        <w:noProof/>
        <w:lang w:val="pt-PT" w:eastAsia="pt-PT"/>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pt-PT" w:eastAsia="pt-P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A34" w:rsidRDefault="00154A3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54A34" w:rsidRPr="002F4496" w:rsidTr="000C06C9">
      <w:trPr>
        <w:trHeight w:val="284"/>
      </w:trPr>
      <w:tc>
        <w:tcPr>
          <w:tcW w:w="8460" w:type="dxa"/>
        </w:tcPr>
        <w:p w:rsidR="00154A34" w:rsidRPr="000C3B6D" w:rsidRDefault="00154A34" w:rsidP="000C06C9">
          <w:pPr>
            <w:pStyle w:val="00Footer"/>
            <w:rPr>
              <w:lang w:val="fr-FR"/>
            </w:rPr>
          </w:pPr>
        </w:p>
      </w:tc>
      <w:tc>
        <w:tcPr>
          <w:tcW w:w="952" w:type="dxa"/>
        </w:tcPr>
        <w:p w:rsidR="00154A34" w:rsidRPr="00146B34" w:rsidRDefault="00154A34" w:rsidP="000C06C9">
          <w:pPr>
            <w:pStyle w:val="00aPagenumber"/>
            <w:rPr>
              <w:lang w:val="fr-FR"/>
            </w:rPr>
          </w:pPr>
        </w:p>
      </w:tc>
    </w:tr>
  </w:tbl>
  <w:p w:rsidR="00154A34" w:rsidRPr="00DB46C3" w:rsidRDefault="00154A34">
    <w:pPr>
      <w:rPr>
        <w:lang w:val="fr-FR"/>
      </w:rPr>
    </w:pPr>
  </w:p>
  <w:p w:rsidR="00154A34" w:rsidRPr="002F4496" w:rsidRDefault="00154A34">
    <w:pPr>
      <w:pStyle w:val="Cabealho"/>
      <w:rPr>
        <w:lang w:val="fr-FR"/>
      </w:rPr>
    </w:pPr>
  </w:p>
  <w:p w:rsidR="00154A34" w:rsidRPr="002F4496" w:rsidRDefault="00154A34" w:rsidP="000C06C9">
    <w:pPr>
      <w:pStyle w:val="Cabealho"/>
      <w:tabs>
        <w:tab w:val="clear" w:pos="4536"/>
        <w:tab w:val="clear" w:pos="9072"/>
        <w:tab w:val="left" w:pos="8227"/>
      </w:tabs>
      <w:rPr>
        <w:lang w:val="fr-FR"/>
      </w:rPr>
    </w:pPr>
  </w:p>
  <w:p w:rsidR="00154A34" w:rsidRPr="002F4496" w:rsidRDefault="00154A34" w:rsidP="000C06C9">
    <w:pPr>
      <w:pStyle w:val="Cabealho"/>
      <w:tabs>
        <w:tab w:val="clear" w:pos="4536"/>
        <w:tab w:val="clear" w:pos="9072"/>
        <w:tab w:val="left" w:pos="8227"/>
      </w:tabs>
      <w:rPr>
        <w:lang w:val="fr-FR"/>
      </w:rPr>
    </w:pPr>
  </w:p>
  <w:p w:rsidR="00154A34" w:rsidRPr="002F4496" w:rsidRDefault="00154A34">
    <w:pPr>
      <w:pStyle w:val="Cabealho"/>
      <w:rPr>
        <w:lang w:val="fr-FR"/>
      </w:rPr>
    </w:pPr>
  </w:p>
  <w:p w:rsidR="00154A34" w:rsidRPr="002F4496" w:rsidRDefault="00154A34">
    <w:pPr>
      <w:pStyle w:val="Cabealho"/>
      <w:rPr>
        <w:lang w:val="fr-FR"/>
      </w:rPr>
    </w:pPr>
  </w:p>
  <w:p w:rsidR="00154A34" w:rsidRPr="002F4496" w:rsidRDefault="00154A34">
    <w:pPr>
      <w:pStyle w:val="Cabealho"/>
      <w:rPr>
        <w:lang w:val="fr-FR"/>
      </w:rPr>
    </w:pPr>
  </w:p>
  <w:p w:rsidR="00154A34" w:rsidRPr="002F4496" w:rsidRDefault="00154A34">
    <w:pPr>
      <w:pStyle w:val="Cabealho"/>
      <w:rPr>
        <w:lang w:val="fr-FR"/>
      </w:rPr>
    </w:pPr>
  </w:p>
  <w:p w:rsidR="00154A34" w:rsidRPr="002F4496" w:rsidRDefault="00154A34">
    <w:pPr>
      <w:pStyle w:val="Cabealho"/>
      <w:rPr>
        <w:highlight w:val="yellow"/>
        <w:lang w:val="fr-FR"/>
      </w:rPr>
    </w:pPr>
  </w:p>
  <w:p w:rsidR="00154A34" w:rsidRDefault="00612FFD">
    <w:pPr>
      <w:pStyle w:val="Cabealho"/>
    </w:pPr>
    <w:r w:rsidRPr="00612FFD">
      <w:rPr>
        <w:noProof/>
        <w:lang w:eastAsia="en-GB"/>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154A34">
      <w:rPr>
        <w:noProof/>
        <w:lang w:val="pt-PT" w:eastAsia="pt-PT"/>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mmarc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177237"/>
    <w:multiLevelType w:val="hybridMultilevel"/>
    <w:tmpl w:val="BBF8CB16"/>
    <w:lvl w:ilvl="0" w:tplc="08BC5A26">
      <w:start w:val="1"/>
      <w:numFmt w:val="lowerRoman"/>
      <w:lvlText w:val="(%1)"/>
      <w:lvlJc w:val="left"/>
      <w:pPr>
        <w:ind w:left="1287" w:hanging="72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CF51F6C"/>
    <w:multiLevelType w:val="hybridMultilevel"/>
    <w:tmpl w:val="024EC164"/>
    <w:lvl w:ilvl="0" w:tplc="B68A6D3C">
      <w:start w:val="1"/>
      <w:numFmt w:val="lowerRoman"/>
      <w:lvlText w:val="(%1)"/>
      <w:lvlJc w:val="left"/>
      <w:pPr>
        <w:ind w:left="1080" w:hanging="72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DAE53C8"/>
    <w:multiLevelType w:val="multilevel"/>
    <w:tmpl w:val="ACFA87A8"/>
    <w:lvl w:ilvl="0">
      <w:start w:val="1"/>
      <w:numFmt w:val="decimal"/>
      <w:pStyle w:val="Corpodetex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commarc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3D22067B"/>
    <w:multiLevelType w:val="hybridMultilevel"/>
    <w:tmpl w:val="7B88A23E"/>
    <w:lvl w:ilvl="0" w:tplc="C666AA7A">
      <w:start w:val="1"/>
      <w:numFmt w:val="lowerRoman"/>
      <w:lvlText w:val="(%1)"/>
      <w:lvlJc w:val="left"/>
      <w:pPr>
        <w:ind w:left="1284" w:hanging="720"/>
      </w:pPr>
      <w:rPr>
        <w:rFonts w:hint="default"/>
      </w:rPr>
    </w:lvl>
    <w:lvl w:ilvl="1" w:tplc="08160019" w:tentative="1">
      <w:start w:val="1"/>
      <w:numFmt w:val="lowerLetter"/>
      <w:lvlText w:val="%2."/>
      <w:lvlJc w:val="left"/>
      <w:pPr>
        <w:ind w:left="1644" w:hanging="360"/>
      </w:pPr>
    </w:lvl>
    <w:lvl w:ilvl="2" w:tplc="0816001B" w:tentative="1">
      <w:start w:val="1"/>
      <w:numFmt w:val="lowerRoman"/>
      <w:lvlText w:val="%3."/>
      <w:lvlJc w:val="right"/>
      <w:pPr>
        <w:ind w:left="2364" w:hanging="180"/>
      </w:pPr>
    </w:lvl>
    <w:lvl w:ilvl="3" w:tplc="0816000F" w:tentative="1">
      <w:start w:val="1"/>
      <w:numFmt w:val="decimal"/>
      <w:lvlText w:val="%4."/>
      <w:lvlJc w:val="left"/>
      <w:pPr>
        <w:ind w:left="3084" w:hanging="360"/>
      </w:pPr>
    </w:lvl>
    <w:lvl w:ilvl="4" w:tplc="08160019" w:tentative="1">
      <w:start w:val="1"/>
      <w:numFmt w:val="lowerLetter"/>
      <w:lvlText w:val="%5."/>
      <w:lvlJc w:val="left"/>
      <w:pPr>
        <w:ind w:left="3804" w:hanging="360"/>
      </w:pPr>
    </w:lvl>
    <w:lvl w:ilvl="5" w:tplc="0816001B" w:tentative="1">
      <w:start w:val="1"/>
      <w:numFmt w:val="lowerRoman"/>
      <w:lvlText w:val="%6."/>
      <w:lvlJc w:val="right"/>
      <w:pPr>
        <w:ind w:left="4524" w:hanging="180"/>
      </w:pPr>
    </w:lvl>
    <w:lvl w:ilvl="6" w:tplc="0816000F" w:tentative="1">
      <w:start w:val="1"/>
      <w:numFmt w:val="decimal"/>
      <w:lvlText w:val="%7."/>
      <w:lvlJc w:val="left"/>
      <w:pPr>
        <w:ind w:left="5244" w:hanging="360"/>
      </w:pPr>
    </w:lvl>
    <w:lvl w:ilvl="7" w:tplc="08160019" w:tentative="1">
      <w:start w:val="1"/>
      <w:numFmt w:val="lowerLetter"/>
      <w:lvlText w:val="%8."/>
      <w:lvlJc w:val="left"/>
      <w:pPr>
        <w:ind w:left="5964" w:hanging="360"/>
      </w:pPr>
    </w:lvl>
    <w:lvl w:ilvl="8" w:tplc="0816001B" w:tentative="1">
      <w:start w:val="1"/>
      <w:numFmt w:val="lowerRoman"/>
      <w:lvlText w:val="%9."/>
      <w:lvlJc w:val="right"/>
      <w:pPr>
        <w:ind w:left="6684" w:hanging="180"/>
      </w:pPr>
    </w:lvl>
  </w:abstractNum>
  <w:abstractNum w:abstractNumId="20">
    <w:nsid w:val="3FA96CF1"/>
    <w:multiLevelType w:val="hybridMultilevel"/>
    <w:tmpl w:val="CBA2963C"/>
    <w:lvl w:ilvl="0" w:tplc="0258677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5D50DF"/>
    <w:multiLevelType w:val="hybridMultilevel"/>
    <w:tmpl w:val="A9F22C3A"/>
    <w:lvl w:ilvl="0" w:tplc="6F14DD8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acommarc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FE2226F2"/>
    <w:lvl w:ilvl="0" w:tplc="659EE572">
      <w:start w:val="1"/>
      <w:numFmt w:val="decimal"/>
      <w:pStyle w:val="Ttulo5"/>
      <w:lvlText w:val="Q%1:"/>
      <w:lvlJc w:val="left"/>
      <w:pPr>
        <w:ind w:left="502" w:hanging="360"/>
      </w:pPr>
      <w:rPr>
        <w:rFonts w:ascii="Arial" w:hAnsi="Arial" w:hint="default"/>
        <w:b/>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15DB0"/>
    <w:multiLevelType w:val="hybridMultilevel"/>
    <w:tmpl w:val="BDC24176"/>
    <w:lvl w:ilvl="0" w:tplc="7228E480">
      <w:start w:val="1"/>
      <w:numFmt w:val="lowerRoman"/>
      <w:lvlText w:val="(%1)"/>
      <w:lvlJc w:val="left"/>
      <w:pPr>
        <w:ind w:left="1428" w:hanging="72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5">
    <w:nsid w:val="62970F71"/>
    <w:multiLevelType w:val="singleLevel"/>
    <w:tmpl w:val="A8CADBFA"/>
    <w:name w:val="Bullet 0"/>
    <w:lvl w:ilvl="0">
      <w:start w:val="1"/>
      <w:numFmt w:val="bullet"/>
      <w:pStyle w:val="Listanumerada"/>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D3962B0"/>
    <w:multiLevelType w:val="hybridMultilevel"/>
    <w:tmpl w:val="9BFCBF90"/>
    <w:lvl w:ilvl="0" w:tplc="56A43D72">
      <w:start w:val="1"/>
      <w:numFmt w:val="lowerRoman"/>
      <w:lvlText w:val="(%1)"/>
      <w:lvlJc w:val="left"/>
      <w:pPr>
        <w:ind w:left="1428" w:hanging="72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9075A8E"/>
    <w:multiLevelType w:val="hybridMultilevel"/>
    <w:tmpl w:val="A8D20384"/>
    <w:lvl w:ilvl="0" w:tplc="A5F41180">
      <w:start w:val="1"/>
      <w:numFmt w:val="lowerRoman"/>
      <w:lvlText w:val="(%1)"/>
      <w:lvlJc w:val="left"/>
      <w:pPr>
        <w:ind w:left="1080" w:hanging="72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nsid w:val="7F7F757B"/>
    <w:multiLevelType w:val="hybridMultilevel"/>
    <w:tmpl w:val="A816E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3"/>
  </w:num>
  <w:num w:numId="4">
    <w:abstractNumId w:val="26"/>
  </w:num>
  <w:num w:numId="5">
    <w:abstractNumId w:val="3"/>
  </w:num>
  <w:num w:numId="6">
    <w:abstractNumId w:val="28"/>
  </w:num>
  <w:num w:numId="7">
    <w:abstractNumId w:val="0"/>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5"/>
  </w:num>
  <w:num w:numId="16">
    <w:abstractNumId w:val="12"/>
  </w:num>
  <w:num w:numId="17">
    <w:abstractNumId w:val="1"/>
  </w:num>
  <w:num w:numId="18">
    <w:abstractNumId w:val="15"/>
  </w:num>
  <w:num w:numId="19">
    <w:abstractNumId w:val="16"/>
  </w:num>
  <w:num w:numId="20">
    <w:abstractNumId w:val="18"/>
  </w:num>
  <w:num w:numId="21">
    <w:abstractNumId w:val="29"/>
  </w:num>
  <w:num w:numId="22">
    <w:abstractNumId w:val="38"/>
  </w:num>
  <w:num w:numId="23">
    <w:abstractNumId w:val="27"/>
  </w:num>
  <w:num w:numId="24">
    <w:abstractNumId w:val="11"/>
  </w:num>
  <w:num w:numId="25">
    <w:abstractNumId w:val="32"/>
  </w:num>
  <w:num w:numId="26">
    <w:abstractNumId w:val="31"/>
  </w:num>
  <w:num w:numId="27">
    <w:abstractNumId w:val="23"/>
  </w:num>
  <w:num w:numId="28">
    <w:abstractNumId w:val="36"/>
  </w:num>
  <w:num w:numId="29">
    <w:abstractNumId w:val="41"/>
  </w:num>
  <w:num w:numId="30">
    <w:abstractNumId w:val="9"/>
  </w:num>
  <w:num w:numId="31">
    <w:abstractNumId w:val="4"/>
  </w:num>
  <w:num w:numId="32">
    <w:abstractNumId w:val="24"/>
  </w:num>
  <w:num w:numId="33">
    <w:abstractNumId w:val="2"/>
  </w:num>
  <w:num w:numId="34">
    <w:abstractNumId w:val="5"/>
  </w:num>
  <w:num w:numId="35">
    <w:abstractNumId w:val="37"/>
  </w:num>
  <w:num w:numId="36">
    <w:abstractNumId w:val="34"/>
  </w:num>
  <w:num w:numId="37">
    <w:abstractNumId w:val="20"/>
  </w:num>
  <w:num w:numId="38">
    <w:abstractNumId w:val="40"/>
  </w:num>
  <w:num w:numId="39">
    <w:abstractNumId w:val="19"/>
  </w:num>
  <w:num w:numId="40">
    <w:abstractNumId w:val="42"/>
  </w:num>
  <w:num w:numId="41">
    <w:abstractNumId w:val="22"/>
  </w:num>
  <w:num w:numId="42">
    <w:abstractNumId w:val="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68IPXscLkNoz6f8cSWrvcDQ2IE8=" w:salt="vJSWgQEkbBNy9ANyilTFkg=="/>
  <w:defaultTabStop w:val="709"/>
  <w:autoHyphenation/>
  <w:hyphenationZone w:val="567"/>
  <w:characterSpacingControl w:val="doNotCompress"/>
  <w:hdrShapeDefaults>
    <o:shapedefaults v:ext="edit" spidmax="7170">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278"/>
    <w:rsid w:val="001244CD"/>
    <w:rsid w:val="0012566F"/>
    <w:rsid w:val="001260DB"/>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A34"/>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946"/>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64F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063"/>
    <w:rsid w:val="00252843"/>
    <w:rsid w:val="002543F8"/>
    <w:rsid w:val="002551A4"/>
    <w:rsid w:val="002559F3"/>
    <w:rsid w:val="00256DFE"/>
    <w:rsid w:val="00261D56"/>
    <w:rsid w:val="00261FD3"/>
    <w:rsid w:val="00264077"/>
    <w:rsid w:val="00264558"/>
    <w:rsid w:val="00266B9A"/>
    <w:rsid w:val="00270E54"/>
    <w:rsid w:val="00271C56"/>
    <w:rsid w:val="00273681"/>
    <w:rsid w:val="002754B5"/>
    <w:rsid w:val="002764C5"/>
    <w:rsid w:val="002772AE"/>
    <w:rsid w:val="00280613"/>
    <w:rsid w:val="0028274D"/>
    <w:rsid w:val="00282B96"/>
    <w:rsid w:val="002833D6"/>
    <w:rsid w:val="00283F51"/>
    <w:rsid w:val="00284E9B"/>
    <w:rsid w:val="00286064"/>
    <w:rsid w:val="002867B1"/>
    <w:rsid w:val="00287BBB"/>
    <w:rsid w:val="00287E3B"/>
    <w:rsid w:val="00290638"/>
    <w:rsid w:val="00291763"/>
    <w:rsid w:val="00291D80"/>
    <w:rsid w:val="00293156"/>
    <w:rsid w:val="00293BE7"/>
    <w:rsid w:val="002946DC"/>
    <w:rsid w:val="0029515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0386"/>
    <w:rsid w:val="0033194F"/>
    <w:rsid w:val="00332406"/>
    <w:rsid w:val="00332D8D"/>
    <w:rsid w:val="0033502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0F5E"/>
    <w:rsid w:val="003926C1"/>
    <w:rsid w:val="00392900"/>
    <w:rsid w:val="00393357"/>
    <w:rsid w:val="00395E7B"/>
    <w:rsid w:val="00395F4C"/>
    <w:rsid w:val="003A6591"/>
    <w:rsid w:val="003A6E9A"/>
    <w:rsid w:val="003B08C8"/>
    <w:rsid w:val="003B2567"/>
    <w:rsid w:val="003B381A"/>
    <w:rsid w:val="003B4976"/>
    <w:rsid w:val="003B4B3F"/>
    <w:rsid w:val="003B4C4A"/>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91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364"/>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2FFD"/>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2ED1"/>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130"/>
    <w:rsid w:val="0070421B"/>
    <w:rsid w:val="007043F0"/>
    <w:rsid w:val="0070482E"/>
    <w:rsid w:val="00704D25"/>
    <w:rsid w:val="00710519"/>
    <w:rsid w:val="00710F6E"/>
    <w:rsid w:val="00711663"/>
    <w:rsid w:val="007116B4"/>
    <w:rsid w:val="0071179F"/>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F04"/>
    <w:rsid w:val="00777046"/>
    <w:rsid w:val="007770DA"/>
    <w:rsid w:val="007805B9"/>
    <w:rsid w:val="00780C3A"/>
    <w:rsid w:val="007834A1"/>
    <w:rsid w:val="00786187"/>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DCC"/>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BCC"/>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106"/>
    <w:rsid w:val="007F5066"/>
    <w:rsid w:val="007F621C"/>
    <w:rsid w:val="007F7155"/>
    <w:rsid w:val="00800C28"/>
    <w:rsid w:val="0080245E"/>
    <w:rsid w:val="00803480"/>
    <w:rsid w:val="0080359C"/>
    <w:rsid w:val="008037AE"/>
    <w:rsid w:val="008043F4"/>
    <w:rsid w:val="00804BB4"/>
    <w:rsid w:val="00805D9F"/>
    <w:rsid w:val="00805DF1"/>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A83"/>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EDE"/>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5B03"/>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6F3"/>
    <w:rsid w:val="00A113FD"/>
    <w:rsid w:val="00A11DDE"/>
    <w:rsid w:val="00A127A7"/>
    <w:rsid w:val="00A129F4"/>
    <w:rsid w:val="00A136F4"/>
    <w:rsid w:val="00A15347"/>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D"/>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4B2"/>
    <w:rsid w:val="00B91B86"/>
    <w:rsid w:val="00B927CA"/>
    <w:rsid w:val="00B928AE"/>
    <w:rsid w:val="00B93CDA"/>
    <w:rsid w:val="00B942E9"/>
    <w:rsid w:val="00B9433A"/>
    <w:rsid w:val="00B948EE"/>
    <w:rsid w:val="00B94BF3"/>
    <w:rsid w:val="00B94F90"/>
    <w:rsid w:val="00B95DC5"/>
    <w:rsid w:val="00B97E34"/>
    <w:rsid w:val="00B97FEF"/>
    <w:rsid w:val="00BA1354"/>
    <w:rsid w:val="00BA1DEE"/>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3046"/>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0D38"/>
    <w:rsid w:val="00C413FC"/>
    <w:rsid w:val="00C43D33"/>
    <w:rsid w:val="00C44407"/>
    <w:rsid w:val="00C456E8"/>
    <w:rsid w:val="00C46630"/>
    <w:rsid w:val="00C47A2F"/>
    <w:rsid w:val="00C50D18"/>
    <w:rsid w:val="00C51179"/>
    <w:rsid w:val="00C5282C"/>
    <w:rsid w:val="00C52FBE"/>
    <w:rsid w:val="00C5355E"/>
    <w:rsid w:val="00C53FC1"/>
    <w:rsid w:val="00C56438"/>
    <w:rsid w:val="00C56C65"/>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7F5"/>
    <w:rsid w:val="00C94D4C"/>
    <w:rsid w:val="00CA012C"/>
    <w:rsid w:val="00CA0AA6"/>
    <w:rsid w:val="00CA2897"/>
    <w:rsid w:val="00CA44F3"/>
    <w:rsid w:val="00CA56F7"/>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49D"/>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2AF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250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BCC"/>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14C"/>
    <w:rsid w:val="00F13200"/>
    <w:rsid w:val="00F13411"/>
    <w:rsid w:val="00F143BA"/>
    <w:rsid w:val="00F14D98"/>
    <w:rsid w:val="00F16C2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B11"/>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Ttulo1">
    <w:name w:val="heading 1"/>
    <w:basedOn w:val="Normal"/>
    <w:next w:val="Normal"/>
    <w:link w:val="Ttulo1Carcter"/>
    <w:qFormat/>
    <w:rsid w:val="009E7724"/>
    <w:pPr>
      <w:keepNext/>
      <w:numPr>
        <w:numId w:val="6"/>
      </w:numPr>
      <w:spacing w:before="240" w:after="60"/>
      <w:outlineLvl w:val="0"/>
    </w:pPr>
    <w:rPr>
      <w:rFonts w:cs="Arial"/>
      <w:b/>
      <w:bCs/>
      <w:kern w:val="32"/>
      <w:sz w:val="24"/>
      <w:szCs w:val="32"/>
    </w:rPr>
  </w:style>
  <w:style w:type="paragraph" w:styleId="Ttulo2">
    <w:name w:val="heading 2"/>
    <w:basedOn w:val="Normal"/>
    <w:next w:val="Normal"/>
    <w:link w:val="Ttulo2Carcter"/>
    <w:qFormat/>
    <w:rsid w:val="00886A60"/>
    <w:pPr>
      <w:keepNext/>
      <w:keepLines/>
      <w:spacing w:before="200" w:after="120"/>
      <w:outlineLvl w:val="1"/>
    </w:pPr>
    <w:rPr>
      <w:b/>
      <w:bCs/>
      <w:szCs w:val="26"/>
    </w:rPr>
  </w:style>
  <w:style w:type="paragraph" w:styleId="Ttulo3">
    <w:name w:val="heading 3"/>
    <w:basedOn w:val="Normal"/>
    <w:next w:val="Normal"/>
    <w:link w:val="Ttulo3Carcte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cte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cter"/>
    <w:qFormat/>
    <w:rsid w:val="00E9344E"/>
    <w:pPr>
      <w:keepNext/>
      <w:keepLines/>
      <w:numPr>
        <w:numId w:val="14"/>
      </w:numPr>
      <w:spacing w:before="200"/>
      <w:jc w:val="both"/>
      <w:outlineLvl w:val="4"/>
    </w:pPr>
    <w:rPr>
      <w:b/>
    </w:rPr>
  </w:style>
  <w:style w:type="paragraph" w:styleId="Ttulo6">
    <w:name w:val="heading 6"/>
    <w:basedOn w:val="Normal"/>
    <w:next w:val="Normal"/>
    <w:link w:val="Ttulo6Carcte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cte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cte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cter"/>
    <w:qFormat/>
    <w:rsid w:val="00A06867"/>
    <w:pPr>
      <w:tabs>
        <w:tab w:val="num" w:pos="1584"/>
      </w:tabs>
      <w:spacing w:before="240" w:after="60"/>
      <w:ind w:left="1584" w:hanging="1584"/>
      <w:outlineLvl w:val="8"/>
    </w:pPr>
    <w:rPr>
      <w:rFonts w:cs="Arial"/>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rsid w:val="005B64CB"/>
    <w:pPr>
      <w:tabs>
        <w:tab w:val="center" w:pos="4536"/>
        <w:tab w:val="right" w:pos="9072"/>
      </w:tabs>
    </w:pPr>
  </w:style>
  <w:style w:type="paragraph" w:styleId="Rodap">
    <w:name w:val="footer"/>
    <w:basedOn w:val="Normal"/>
    <w:link w:val="RodapCarcter"/>
    <w:rsid w:val="005B64CB"/>
    <w:pPr>
      <w:tabs>
        <w:tab w:val="center" w:pos="4536"/>
        <w:tab w:val="right" w:pos="9072"/>
      </w:tabs>
    </w:pPr>
  </w:style>
  <w:style w:type="table" w:styleId="Tabelacomgrelha">
    <w:name w:val="Table Grid"/>
    <w:basedOn w:val="Tabela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Tipodeletrapredefinidodopar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ndice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ligao">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denotaderodap">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denotaderodapCarcter"/>
    <w:uiPriority w:val="99"/>
    <w:rsid w:val="001725A5"/>
    <w:pPr>
      <w:spacing w:line="200" w:lineRule="exact"/>
    </w:pPr>
    <w:rPr>
      <w:sz w:val="16"/>
      <w:szCs w:val="20"/>
    </w:rPr>
  </w:style>
  <w:style w:type="character" w:styleId="Refdenotaderoda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ndice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rio">
    <w:name w:val="annotation reference"/>
    <w:rsid w:val="004B1E61"/>
    <w:rPr>
      <w:sz w:val="16"/>
      <w:szCs w:val="16"/>
    </w:rPr>
  </w:style>
  <w:style w:type="paragraph" w:styleId="Textodecomentrio">
    <w:name w:val="annotation text"/>
    <w:basedOn w:val="Normal"/>
    <w:link w:val="TextodecomentrioCarcter"/>
    <w:rsid w:val="004B1E61"/>
    <w:rPr>
      <w:sz w:val="20"/>
      <w:szCs w:val="20"/>
    </w:rPr>
  </w:style>
  <w:style w:type="character" w:customStyle="1" w:styleId="TextodecomentrioCarcter">
    <w:name w:val="Texto de comentário Carácter"/>
    <w:link w:val="Textodecomentrio"/>
    <w:uiPriority w:val="99"/>
    <w:rsid w:val="004B1E61"/>
    <w:rPr>
      <w:rFonts w:ascii="Georgia" w:hAnsi="Georgia"/>
      <w:lang w:eastAsia="de-DE"/>
    </w:rPr>
  </w:style>
  <w:style w:type="paragraph" w:styleId="Assuntodecomentrio">
    <w:name w:val="annotation subject"/>
    <w:basedOn w:val="Textodecomentrio"/>
    <w:next w:val="Textodecomentrio"/>
    <w:link w:val="AssuntodecomentrioCarcter"/>
    <w:rsid w:val="004B1E61"/>
    <w:rPr>
      <w:b/>
      <w:bCs/>
    </w:rPr>
  </w:style>
  <w:style w:type="character" w:customStyle="1" w:styleId="AssuntodecomentrioCarcter">
    <w:name w:val="Assunto de comentário Carácter"/>
    <w:link w:val="Assuntodecomentrio"/>
    <w:rsid w:val="004B1E61"/>
    <w:rPr>
      <w:rFonts w:ascii="Georgia" w:hAnsi="Georgia"/>
      <w:b/>
      <w:bCs/>
      <w:lang w:eastAsia="de-DE"/>
    </w:rPr>
  </w:style>
  <w:style w:type="paragraph" w:styleId="Textodebalo">
    <w:name w:val="Balloon Text"/>
    <w:basedOn w:val="Normal"/>
    <w:link w:val="TextodebaloCarcter"/>
    <w:rsid w:val="004B1E61"/>
    <w:rPr>
      <w:rFonts w:ascii="Tahoma" w:hAnsi="Tahoma" w:cs="Tahoma"/>
      <w:sz w:val="16"/>
      <w:szCs w:val="16"/>
    </w:rPr>
  </w:style>
  <w:style w:type="character" w:customStyle="1" w:styleId="TextodebaloCarcter">
    <w:name w:val="Texto de balão Carácter"/>
    <w:link w:val="Textodebalo"/>
    <w:rsid w:val="004B1E61"/>
    <w:rPr>
      <w:rFonts w:ascii="Tahoma" w:hAnsi="Tahoma" w:cs="Tahoma"/>
      <w:sz w:val="16"/>
      <w:szCs w:val="16"/>
      <w:lang w:eastAsia="de-DE"/>
    </w:rPr>
  </w:style>
  <w:style w:type="paragraph" w:styleId="PargrafodaLista">
    <w:name w:val="List Paragraph"/>
    <w:aliases w:val="Paragraphe EI,Paragraphe de liste1,EC,List Paragraph"/>
    <w:basedOn w:val="Normal"/>
    <w:link w:val="PargrafodaListaCarcter"/>
    <w:uiPriority w:val="34"/>
    <w:qFormat/>
    <w:rsid w:val="002A0C82"/>
    <w:pPr>
      <w:ind w:left="720"/>
      <w:contextualSpacing/>
    </w:pPr>
  </w:style>
  <w:style w:type="paragraph" w:styleId="Ttulodondice">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denotaderodapCarcter">
    <w:name w:val="Texto de nota de rodapé Carácter"/>
    <w:aliases w:val="Char3 Carácter, Char3 Carácter,Fußnotentextf Carácter,Fußnotentextr Carácter,stile 1 Carácter,Footnote1 Carácter,Footnote2 Carácter,Footnote3 Carácter,Footnote4 Carácter,Footnote5 Carácter,Footnote6 Carácter"/>
    <w:link w:val="Textodenotaderodap"/>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Tipodeletrapredefinidodopargrafo"/>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cter">
    <w:name w:val="Título 1 Carácte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e">
    <w:name w:val="Emphasis"/>
    <w:uiPriority w:val="20"/>
    <w:qFormat/>
    <w:rsid w:val="005F028E"/>
    <w:rPr>
      <w:i/>
      <w:iCs/>
    </w:rPr>
  </w:style>
  <w:style w:type="paragraph" w:styleId="Reviso">
    <w:name w:val="Revision"/>
    <w:link w:val="RevisoCarcter"/>
    <w:hidden/>
    <w:uiPriority w:val="99"/>
    <w:semiHidden/>
    <w:rsid w:val="008E6A37"/>
    <w:rPr>
      <w:rFonts w:ascii="Georgia" w:hAnsi="Georgia"/>
      <w:sz w:val="22"/>
      <w:szCs w:val="24"/>
      <w:lang w:eastAsia="de-DE"/>
    </w:rPr>
  </w:style>
  <w:style w:type="paragraph" w:styleId="ndice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ndice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ndice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ndice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ndice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ndice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ndice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documento">
    <w:name w:val="Document Map"/>
    <w:basedOn w:val="Normal"/>
    <w:link w:val="MapadodocumentoCarcter"/>
    <w:rsid w:val="00AA016B"/>
    <w:rPr>
      <w:rFonts w:ascii="Tahoma" w:hAnsi="Tahoma" w:cs="Tahoma"/>
      <w:sz w:val="16"/>
      <w:szCs w:val="16"/>
    </w:rPr>
  </w:style>
  <w:style w:type="character" w:customStyle="1" w:styleId="MapadodocumentoCarcter">
    <w:name w:val="Mapa do documento Carácter"/>
    <w:link w:val="Mapadodocumento"/>
    <w:rsid w:val="00AA016B"/>
    <w:rPr>
      <w:rFonts w:ascii="Tahoma" w:hAnsi="Tahoma" w:cs="Tahoma"/>
      <w:sz w:val="16"/>
      <w:szCs w:val="16"/>
      <w:lang w:eastAsia="de-DE"/>
    </w:rPr>
  </w:style>
  <w:style w:type="paragraph" w:styleId="Textosimples">
    <w:name w:val="Plain Text"/>
    <w:basedOn w:val="Normal"/>
    <w:link w:val="TextosimplesCarcter"/>
    <w:unhideWhenUsed/>
    <w:rsid w:val="00AA016B"/>
    <w:rPr>
      <w:rFonts w:ascii="Consolas" w:hAnsi="Consolas"/>
      <w:sz w:val="21"/>
      <w:szCs w:val="21"/>
      <w:lang w:val="de-DE"/>
    </w:rPr>
  </w:style>
  <w:style w:type="character" w:customStyle="1" w:styleId="TextosimplesCarcter">
    <w:name w:val="Texto simples Carácter"/>
    <w:link w:val="Textosimples"/>
    <w:rsid w:val="00AA016B"/>
    <w:rPr>
      <w:rFonts w:ascii="Consolas" w:hAnsi="Consolas"/>
      <w:sz w:val="21"/>
      <w:szCs w:val="21"/>
      <w:lang w:val="de-DE" w:eastAsia="de-DE"/>
    </w:rPr>
  </w:style>
  <w:style w:type="paragraph" w:styleId="Corpodetexto">
    <w:name w:val="Body Text"/>
    <w:basedOn w:val="Normal"/>
    <w:link w:val="CorpodetextoCarcter"/>
    <w:unhideWhenUsed/>
    <w:rsid w:val="00AA016B"/>
    <w:pPr>
      <w:numPr>
        <w:numId w:val="9"/>
      </w:numPr>
      <w:spacing w:after="240"/>
      <w:jc w:val="both"/>
    </w:pPr>
    <w:rPr>
      <w:rFonts w:ascii="Times New Roman" w:hAnsi="Times New Roman"/>
      <w:sz w:val="24"/>
      <w:szCs w:val="20"/>
      <w:lang w:eastAsia="en-GB"/>
    </w:rPr>
  </w:style>
  <w:style w:type="character" w:customStyle="1" w:styleId="CorpodetextoCarcter">
    <w:name w:val="Corpo de texto Carácter"/>
    <w:link w:val="Corpodetexto"/>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ort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cter">
    <w:name w:val="Título 2 Carácte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cter">
    <w:name w:val="Título 9 Carácte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cter">
    <w:name w:val="Título 7 Carácter"/>
    <w:link w:val="Ttulo7"/>
    <w:rsid w:val="002D6E1A"/>
    <w:rPr>
      <w:sz w:val="22"/>
      <w:szCs w:val="24"/>
      <w:lang w:eastAsia="de-DE"/>
    </w:rPr>
  </w:style>
  <w:style w:type="character" w:customStyle="1" w:styleId="Ttulo6Carcter">
    <w:name w:val="Título 6 Carácter"/>
    <w:link w:val="Ttulo6"/>
    <w:rsid w:val="002D6E1A"/>
    <w:rPr>
      <w:b/>
      <w:bCs/>
      <w:sz w:val="22"/>
      <w:szCs w:val="22"/>
      <w:lang w:eastAsia="de-DE"/>
    </w:rPr>
  </w:style>
  <w:style w:type="character" w:customStyle="1" w:styleId="Ttulo8Carcter">
    <w:name w:val="Título 8 Carácter"/>
    <w:link w:val="Ttulo8"/>
    <w:rsid w:val="002D6E1A"/>
    <w:rPr>
      <w:i/>
      <w:iCs/>
      <w:sz w:val="22"/>
      <w:szCs w:val="24"/>
      <w:lang w:eastAsia="de-DE"/>
    </w:rPr>
  </w:style>
  <w:style w:type="numbering" w:customStyle="1" w:styleId="NoList1">
    <w:name w:val="No List1"/>
    <w:next w:val="Semlista"/>
    <w:uiPriority w:val="99"/>
    <w:semiHidden/>
    <w:unhideWhenUsed/>
    <w:rsid w:val="002D6E1A"/>
  </w:style>
  <w:style w:type="character" w:styleId="Hiperligaovisitada">
    <w:name w:val="FollowedHyperlink"/>
    <w:unhideWhenUsed/>
    <w:rsid w:val="002D6E1A"/>
    <w:rPr>
      <w:color w:val="800080"/>
      <w:u w:val="single"/>
    </w:rPr>
  </w:style>
  <w:style w:type="character" w:customStyle="1" w:styleId="CabealhoCarcter">
    <w:name w:val="Cabeçalho Carácter"/>
    <w:link w:val="Cabealho"/>
    <w:rsid w:val="002D6E1A"/>
    <w:rPr>
      <w:rFonts w:ascii="Georgia" w:hAnsi="Georgia"/>
      <w:sz w:val="22"/>
      <w:szCs w:val="24"/>
      <w:lang w:eastAsia="de-DE"/>
    </w:rPr>
  </w:style>
  <w:style w:type="character" w:customStyle="1" w:styleId="RodapCarcter">
    <w:name w:val="Rodapé Carácter"/>
    <w:link w:val="Rodap"/>
    <w:rsid w:val="002D6E1A"/>
    <w:rPr>
      <w:rFonts w:ascii="Georgia" w:hAnsi="Georgia"/>
      <w:sz w:val="22"/>
      <w:szCs w:val="24"/>
      <w:lang w:eastAsia="de-DE"/>
    </w:rPr>
  </w:style>
  <w:style w:type="paragraph" w:styleId="Textodenotadefim">
    <w:name w:val="endnote text"/>
    <w:basedOn w:val="Normal"/>
    <w:link w:val="TextodenotadefimCarcter"/>
    <w:unhideWhenUsed/>
    <w:rsid w:val="002D6E1A"/>
    <w:rPr>
      <w:sz w:val="20"/>
      <w:szCs w:val="20"/>
    </w:rPr>
  </w:style>
  <w:style w:type="character" w:customStyle="1" w:styleId="TextodenotadefimCarcter">
    <w:name w:val="Texto de nota de fim Carácter"/>
    <w:link w:val="Textodenotadefim"/>
    <w:rsid w:val="002D6E1A"/>
    <w:rPr>
      <w:rFonts w:ascii="Georgia" w:hAnsi="Georgia"/>
      <w:lang w:eastAsia="de-DE"/>
    </w:rPr>
  </w:style>
  <w:style w:type="paragraph" w:styleId="Listanumerada">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grafodaListaCarcter">
    <w:name w:val="Parágrafo da Lista Carácter"/>
    <w:aliases w:val="Paragraphe EI Carácter,Paragraphe de liste1 Carácter,EC Carácter,List Paragraph Carácter"/>
    <w:link w:val="Pargrafoda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grafodaLista"/>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Refdenotadefim">
    <w:name w:val="endnote reference"/>
    <w:unhideWhenUsed/>
    <w:rsid w:val="002D6E1A"/>
    <w:rPr>
      <w:vertAlign w:val="superscript"/>
    </w:rPr>
  </w:style>
  <w:style w:type="character" w:styleId="TextodoMarcadordePosi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a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em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inha">
    <w:name w:val="line number"/>
    <w:basedOn w:val="Tipodeletrapredefinidodopargrafo"/>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cter">
    <w:name w:val="Título 5 Carácter"/>
    <w:aliases w:val="Questions Carácter"/>
    <w:link w:val="Ttulo5"/>
    <w:rsid w:val="00E9344E"/>
    <w:rPr>
      <w:rFonts w:ascii="Arial" w:hAnsi="Arial"/>
      <w:b/>
      <w:sz w:val="22"/>
      <w:szCs w:val="24"/>
      <w:lang w:eastAsia="de-DE"/>
    </w:rPr>
  </w:style>
  <w:style w:type="character" w:customStyle="1" w:styleId="Ttulo3Carcter">
    <w:name w:val="Título 3 Carácter"/>
    <w:link w:val="Ttulo3"/>
    <w:rsid w:val="003865E5"/>
    <w:rPr>
      <w:rFonts w:ascii="Cambria" w:eastAsia="Times New Roman" w:hAnsi="Cambria" w:cs="Times New Roman"/>
      <w:b/>
      <w:bCs/>
      <w:color w:val="4F81BD"/>
      <w:sz w:val="22"/>
      <w:szCs w:val="24"/>
      <w:lang w:eastAsia="de-DE"/>
    </w:rPr>
  </w:style>
  <w:style w:type="character" w:customStyle="1" w:styleId="Ttulo4Carcter">
    <w:name w:val="Título 4 Carácter"/>
    <w:link w:val="Ttulo4"/>
    <w:rsid w:val="00CB7286"/>
    <w:rPr>
      <w:b/>
      <w:bCs/>
      <w:sz w:val="28"/>
      <w:szCs w:val="28"/>
      <w:lang w:eastAsia="de-DE"/>
    </w:rPr>
  </w:style>
  <w:style w:type="table" w:styleId="ListaClara-Cor3">
    <w:name w:val="Light List Accent 3"/>
    <w:basedOn w:val="Tabela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a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numerad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numerad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numerad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mmarca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acommarc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mmarca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acommarca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ndicedeilustra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rPr>
  </w:style>
  <w:style w:type="character" w:customStyle="1" w:styleId="aStyle1Char">
    <w:name w:val="a. Style1 Char"/>
    <w:link w:val="aStyle1"/>
    <w:rsid w:val="000D2D0B"/>
    <w:rPr>
      <w:rFonts w:ascii="Arial" w:hAnsi="Arial"/>
    </w:rPr>
  </w:style>
  <w:style w:type="paragraph" w:styleId="Ttulo">
    <w:name w:val="Title"/>
    <w:basedOn w:val="Normal"/>
    <w:next w:val="Normal"/>
    <w:link w:val="TtuloCarcte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cter">
    <w:name w:val="Título Carácte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oCarcter">
    <w:name w:val="Revisão Carácter"/>
    <w:link w:val="Reviso"/>
    <w:uiPriority w:val="99"/>
    <w:semiHidden/>
    <w:locked/>
    <w:rsid w:val="000D2D0B"/>
    <w:rPr>
      <w:rFonts w:ascii="Georgia" w:hAnsi="Georgia"/>
      <w:sz w:val="22"/>
      <w:szCs w:val="24"/>
      <w:lang w:eastAsia="de-DE"/>
    </w:rPr>
  </w:style>
  <w:style w:type="table" w:customStyle="1" w:styleId="TableGrid2">
    <w:name w:val="Table Grid2"/>
    <w:basedOn w:val="Tabelanormal"/>
    <w:next w:val="Tabelacomgrelh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Discreto">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mail.interbolsa.pt/owa/redir.aspx?C=p2yDk168Tk-GT_Da7kLHVY-zJGqRHtIIxwREE2dP5-BuiQ5r7gjoklUwziq4DihW1kR7VCg0x7Q.&amp;URL=http%3a%2f%2fec.europa.eu%2ffinance%2ffinancial-markets%2fdocs%2fcsdr%2f20141003-csdr-faq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E85BD11FA34C35ABE725446C5BAEC5"/>
        <w:category>
          <w:name w:val="General"/>
          <w:gallery w:val="placeholder"/>
        </w:category>
        <w:types>
          <w:type w:val="bbPlcHdr"/>
        </w:types>
        <w:behaviors>
          <w:behavior w:val="content"/>
        </w:behaviors>
        <w:guid w:val="{58B88D84-326A-40AF-A15B-47C410EA3821}"/>
      </w:docPartPr>
      <w:docPartBody>
        <w:p w:rsidR="008917E2" w:rsidRDefault="006A5A0A" w:rsidP="006A5A0A">
          <w:pPr>
            <w:pStyle w:val="65E85BD11FA34C35ABE725446C5BAEC5"/>
          </w:pPr>
          <w:r w:rsidRPr="000E3791">
            <w:rPr>
              <w:rStyle w:val="TextodoMarcadordePosio"/>
            </w:rPr>
            <w:t>Choose an item.</w:t>
          </w:r>
        </w:p>
      </w:docPartBody>
    </w:docPart>
    <w:docPart>
      <w:docPartPr>
        <w:name w:val="98048A7DD8DF4A6B8C6CF00D9B1940F8"/>
        <w:category>
          <w:name w:val="General"/>
          <w:gallery w:val="placeholder"/>
        </w:category>
        <w:types>
          <w:type w:val="bbPlcHdr"/>
        </w:types>
        <w:behaviors>
          <w:behavior w:val="content"/>
        </w:behaviors>
        <w:guid w:val="{61EC2123-8C0C-4584-B757-952EBCA8739B}"/>
      </w:docPartPr>
      <w:docPartBody>
        <w:p w:rsidR="008917E2" w:rsidRDefault="006A5A0A" w:rsidP="006A5A0A">
          <w:pPr>
            <w:pStyle w:val="98048A7DD8DF4A6B8C6CF00D9B1940F8"/>
          </w:pPr>
          <w:r w:rsidRPr="000E3791">
            <w:rPr>
              <w:rStyle w:val="TextodoMarcadordePosio"/>
            </w:rPr>
            <w:t>Choose an item.</w:t>
          </w:r>
        </w:p>
      </w:docPartBody>
    </w:docPart>
    <w:docPart>
      <w:docPartPr>
        <w:name w:val="5EAC301EA3224F67909AA00721C3F8B7"/>
        <w:category>
          <w:name w:val="General"/>
          <w:gallery w:val="placeholder"/>
        </w:category>
        <w:types>
          <w:type w:val="bbPlcHdr"/>
        </w:types>
        <w:behaviors>
          <w:behavior w:val="content"/>
        </w:behaviors>
        <w:guid w:val="{46FF2BF0-777C-4B97-B3E4-17DE1AA19E86}"/>
      </w:docPartPr>
      <w:docPartBody>
        <w:p w:rsidR="008917E2" w:rsidRDefault="006A5A0A" w:rsidP="006A5A0A">
          <w:pPr>
            <w:pStyle w:val="5EAC301EA3224F67909AA00721C3F8B7"/>
          </w:pPr>
          <w:r w:rsidRPr="000E3791">
            <w:rPr>
              <w:rStyle w:val="TextodoMarcadordePosio"/>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B4208E"/>
    <w:rsid w:val="00026C92"/>
    <w:rsid w:val="00064A17"/>
    <w:rsid w:val="00115F64"/>
    <w:rsid w:val="004B2C78"/>
    <w:rsid w:val="006A5A0A"/>
    <w:rsid w:val="008437E4"/>
    <w:rsid w:val="008917E2"/>
    <w:rsid w:val="00953A5F"/>
    <w:rsid w:val="00AF2479"/>
    <w:rsid w:val="00B4208E"/>
    <w:rsid w:val="00ED2DC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9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C7ED-44E6-4E23-8BDE-5A49AF2D2D2D}">
  <ds:schemaRefs>
    <ds:schemaRef ds:uri="http://schemas.openxmlformats.org/officeDocument/2006/bibliography"/>
  </ds:schemaRefs>
</ds:datastoreItem>
</file>

<file path=customXml/itemProps2.xml><?xml version="1.0" encoding="utf-8"?>
<ds:datastoreItem xmlns:ds="http://schemas.openxmlformats.org/officeDocument/2006/customXml" ds:itemID="{CBBAC000-AB39-492D-8355-4F63C90B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11243</Words>
  <Characters>60715</Characters>
  <Application>Microsoft Office Word</Application>
  <DocSecurity>8</DocSecurity>
  <Lines>505</Lines>
  <Paragraphs>143</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71815</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Helena Lopes</cp:lastModifiedBy>
  <cp:revision>4</cp:revision>
  <cp:lastPrinted>2014-05-08T16:06:00Z</cp:lastPrinted>
  <dcterms:created xsi:type="dcterms:W3CDTF">2015-02-02T09:45:00Z</dcterms:created>
  <dcterms:modified xsi:type="dcterms:W3CDTF">2015-02-18T16:45:00Z</dcterms:modified>
</cp:coreProperties>
</file>