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142ED" w14:textId="77777777" w:rsidR="005749E4" w:rsidRPr="00260A53" w:rsidRDefault="005749E4" w:rsidP="001129FE">
      <w:pPr>
        <w:autoSpaceDE w:val="0"/>
        <w:autoSpaceDN w:val="0"/>
        <w:adjustRightInd w:val="0"/>
        <w:spacing w:after="0" w:line="240" w:lineRule="auto"/>
        <w:rPr>
          <w:rFonts w:ascii="Garamond" w:hAnsi="Garamond" w:cs="Garamond Premr Pro"/>
          <w:color w:val="000000"/>
          <w:sz w:val="24"/>
          <w:szCs w:val="24"/>
          <w:lang w:val="en-GB"/>
        </w:rPr>
      </w:pPr>
      <w:r w:rsidRPr="00260A53">
        <w:rPr>
          <w:rFonts w:ascii="Garamond" w:hAnsi="Garamond" w:cs="Garamond Premr Pro"/>
          <w:color w:val="000000"/>
          <w:sz w:val="24"/>
          <w:szCs w:val="24"/>
          <w:lang w:val="en-GB"/>
        </w:rPr>
        <w:t xml:space="preserve">Submitted online at </w:t>
      </w:r>
      <w:r w:rsidRPr="00260A53">
        <w:rPr>
          <w:rStyle w:val="Hyperlink"/>
          <w:rFonts w:ascii="Garamond" w:hAnsi="Garamond" w:cs="Garamond Premr Pro"/>
          <w:sz w:val="24"/>
          <w:szCs w:val="24"/>
          <w:lang w:val="en-GB"/>
        </w:rPr>
        <w:t>www.esma.europa.eu</w:t>
      </w:r>
      <w:r w:rsidRPr="00260A53">
        <w:rPr>
          <w:rFonts w:ascii="Garamond" w:hAnsi="Garamond" w:cs="Garamond Premr Pro"/>
          <w:color w:val="000000"/>
          <w:sz w:val="24"/>
          <w:szCs w:val="24"/>
          <w:lang w:val="en-GB"/>
        </w:rPr>
        <w:t xml:space="preserve"> </w:t>
      </w:r>
    </w:p>
    <w:p w14:paraId="5C8142EE" w14:textId="77777777" w:rsidR="005749E4" w:rsidRPr="00260A53" w:rsidRDefault="005749E4" w:rsidP="001129FE">
      <w:pPr>
        <w:autoSpaceDE w:val="0"/>
        <w:autoSpaceDN w:val="0"/>
        <w:adjustRightInd w:val="0"/>
        <w:spacing w:after="0" w:line="240" w:lineRule="auto"/>
        <w:rPr>
          <w:rFonts w:ascii="Garamond" w:hAnsi="Garamond" w:cs="Garamond Premr Pro"/>
          <w:color w:val="000000"/>
          <w:sz w:val="24"/>
          <w:szCs w:val="24"/>
          <w:lang w:val="en-GB"/>
        </w:rPr>
      </w:pPr>
    </w:p>
    <w:tbl>
      <w:tblPr>
        <w:tblStyle w:val="TableGrid"/>
        <w:tblW w:w="90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495"/>
        <w:gridCol w:w="3544"/>
      </w:tblGrid>
      <w:tr w:rsidR="005749E4" w:rsidRPr="00260A53" w14:paraId="5C8142F9" w14:textId="77777777" w:rsidTr="00DA6272">
        <w:tc>
          <w:tcPr>
            <w:tcW w:w="5495" w:type="dxa"/>
          </w:tcPr>
          <w:p w14:paraId="5C8142EF" w14:textId="77777777" w:rsidR="005749E4" w:rsidRPr="00260A53" w:rsidRDefault="00DA6272" w:rsidP="001129FE">
            <w:pPr>
              <w:autoSpaceDE w:val="0"/>
              <w:autoSpaceDN w:val="0"/>
              <w:adjustRightInd w:val="0"/>
              <w:spacing w:after="0" w:line="240" w:lineRule="auto"/>
              <w:rPr>
                <w:rFonts w:ascii="Garamond" w:hAnsi="Garamond" w:cs="Garamond Premr Pro"/>
                <w:color w:val="000000"/>
                <w:sz w:val="24"/>
                <w:szCs w:val="24"/>
                <w:lang w:val="en-GB"/>
              </w:rPr>
            </w:pPr>
            <w:r w:rsidRPr="00260A53">
              <w:rPr>
                <w:rFonts w:ascii="Garamond" w:hAnsi="Garamond" w:cs="Garamond Premr Pro"/>
                <w:color w:val="000000"/>
                <w:sz w:val="24"/>
                <w:szCs w:val="24"/>
                <w:lang w:val="en-GB"/>
              </w:rPr>
              <w:t>Mr. Steven Maijoor</w:t>
            </w:r>
          </w:p>
          <w:p w14:paraId="5C8142F0" w14:textId="77777777" w:rsidR="00DA6272" w:rsidRPr="00260A53" w:rsidRDefault="00DA6272" w:rsidP="001129FE">
            <w:pPr>
              <w:autoSpaceDE w:val="0"/>
              <w:autoSpaceDN w:val="0"/>
              <w:adjustRightInd w:val="0"/>
              <w:spacing w:after="0" w:line="240" w:lineRule="auto"/>
              <w:rPr>
                <w:rFonts w:ascii="Garamond" w:hAnsi="Garamond" w:cs="Garamond Premr Pro"/>
                <w:color w:val="000000"/>
                <w:sz w:val="24"/>
                <w:szCs w:val="24"/>
                <w:lang w:val="en-GB"/>
              </w:rPr>
            </w:pPr>
            <w:r w:rsidRPr="00260A53">
              <w:rPr>
                <w:rFonts w:ascii="Garamond" w:hAnsi="Garamond" w:cs="Garamond Premr Pro"/>
                <w:color w:val="000000"/>
                <w:sz w:val="24"/>
                <w:szCs w:val="24"/>
                <w:lang w:val="en-GB"/>
              </w:rPr>
              <w:t>Chairman</w:t>
            </w:r>
          </w:p>
          <w:p w14:paraId="5C8142F1" w14:textId="77777777" w:rsidR="00DA6272" w:rsidRPr="00260A53" w:rsidRDefault="00DA6272" w:rsidP="00DA6272">
            <w:pPr>
              <w:autoSpaceDE w:val="0"/>
              <w:autoSpaceDN w:val="0"/>
              <w:adjustRightInd w:val="0"/>
              <w:spacing w:after="0" w:line="240" w:lineRule="auto"/>
              <w:rPr>
                <w:rFonts w:ascii="Garamond" w:hAnsi="Garamond" w:cs="Garamond Premr Pro"/>
                <w:color w:val="000000"/>
                <w:sz w:val="24"/>
                <w:szCs w:val="24"/>
                <w:lang w:val="en-GB"/>
              </w:rPr>
            </w:pPr>
            <w:r w:rsidRPr="00260A53">
              <w:rPr>
                <w:rFonts w:ascii="Garamond" w:hAnsi="Garamond" w:cs="Garamond Premr Pro"/>
                <w:color w:val="000000"/>
                <w:sz w:val="24"/>
                <w:szCs w:val="24"/>
                <w:lang w:val="en-GB"/>
              </w:rPr>
              <w:t>European Securities and Markets Authority</w:t>
            </w:r>
          </w:p>
          <w:p w14:paraId="5C8142F2" w14:textId="77777777" w:rsidR="00DA6272" w:rsidRPr="00260A53" w:rsidRDefault="00DA6272" w:rsidP="00DA6272">
            <w:pPr>
              <w:autoSpaceDE w:val="0"/>
              <w:autoSpaceDN w:val="0"/>
              <w:adjustRightInd w:val="0"/>
              <w:spacing w:after="0" w:line="240" w:lineRule="auto"/>
              <w:rPr>
                <w:rFonts w:ascii="Garamond" w:eastAsia="Times New Roman" w:hAnsi="Garamond"/>
                <w:sz w:val="24"/>
                <w:szCs w:val="24"/>
                <w:lang w:val="en-GB" w:eastAsia="en-GB"/>
              </w:rPr>
            </w:pPr>
            <w:r w:rsidRPr="00260A53">
              <w:rPr>
                <w:rFonts w:ascii="Garamond" w:eastAsia="Times New Roman" w:hAnsi="Garamond"/>
                <w:sz w:val="24"/>
                <w:szCs w:val="24"/>
                <w:lang w:val="en-GB" w:eastAsia="en-GB"/>
              </w:rPr>
              <w:t>103 Rue de Grenelle</w:t>
            </w:r>
          </w:p>
          <w:p w14:paraId="5C8142F3" w14:textId="77777777" w:rsidR="00DA6272" w:rsidRPr="00260A53" w:rsidRDefault="00DA6272" w:rsidP="00DA6272">
            <w:pPr>
              <w:autoSpaceDE w:val="0"/>
              <w:autoSpaceDN w:val="0"/>
              <w:adjustRightInd w:val="0"/>
              <w:spacing w:after="0" w:line="240" w:lineRule="auto"/>
              <w:rPr>
                <w:rFonts w:ascii="Garamond" w:eastAsia="Times New Roman" w:hAnsi="Garamond"/>
                <w:sz w:val="24"/>
                <w:szCs w:val="24"/>
                <w:lang w:val="en-GB" w:eastAsia="en-GB"/>
              </w:rPr>
            </w:pPr>
            <w:r w:rsidRPr="00260A53">
              <w:rPr>
                <w:rFonts w:ascii="Garamond" w:eastAsia="Times New Roman" w:hAnsi="Garamond"/>
                <w:sz w:val="24"/>
                <w:szCs w:val="24"/>
                <w:lang w:val="en-GB" w:eastAsia="en-GB"/>
              </w:rPr>
              <w:t>75007 Paris</w:t>
            </w:r>
          </w:p>
          <w:p w14:paraId="5C8142F4" w14:textId="77777777" w:rsidR="00DA6272" w:rsidRPr="00260A53" w:rsidRDefault="00DA6272" w:rsidP="001129FE">
            <w:pPr>
              <w:autoSpaceDE w:val="0"/>
              <w:autoSpaceDN w:val="0"/>
              <w:adjustRightInd w:val="0"/>
              <w:spacing w:after="0" w:line="240" w:lineRule="auto"/>
              <w:rPr>
                <w:rFonts w:ascii="Garamond" w:hAnsi="Garamond" w:cs="Garamond Premr Pro"/>
                <w:color w:val="000000"/>
                <w:sz w:val="24"/>
                <w:szCs w:val="24"/>
                <w:lang w:val="en-GB"/>
              </w:rPr>
            </w:pPr>
            <w:r w:rsidRPr="00260A53">
              <w:rPr>
                <w:rFonts w:ascii="Garamond" w:eastAsia="Times New Roman" w:hAnsi="Garamond"/>
                <w:sz w:val="24"/>
                <w:szCs w:val="24"/>
                <w:lang w:val="en-GB" w:eastAsia="en-GB"/>
              </w:rPr>
              <w:t>France</w:t>
            </w:r>
          </w:p>
        </w:tc>
        <w:tc>
          <w:tcPr>
            <w:tcW w:w="3544" w:type="dxa"/>
          </w:tcPr>
          <w:p w14:paraId="5C8142F5" w14:textId="77777777" w:rsidR="005749E4" w:rsidRPr="00260A53" w:rsidRDefault="00DA6272" w:rsidP="001129FE">
            <w:pPr>
              <w:autoSpaceDE w:val="0"/>
              <w:autoSpaceDN w:val="0"/>
              <w:adjustRightInd w:val="0"/>
              <w:spacing w:after="0" w:line="240" w:lineRule="auto"/>
              <w:rPr>
                <w:rFonts w:ascii="Garamond" w:hAnsi="Garamond" w:cs="Garamond Premr Pro"/>
                <w:color w:val="000000"/>
                <w:sz w:val="24"/>
                <w:szCs w:val="24"/>
                <w:lang w:val="en-GB"/>
              </w:rPr>
            </w:pPr>
            <w:r w:rsidRPr="00260A53">
              <w:rPr>
                <w:rFonts w:ascii="Garamond" w:hAnsi="Garamond" w:cs="Garamond Premr Pro"/>
                <w:color w:val="000000"/>
                <w:sz w:val="24"/>
                <w:szCs w:val="24"/>
                <w:lang w:val="en-GB"/>
              </w:rPr>
              <w:t>Mr Andrea Enria</w:t>
            </w:r>
          </w:p>
          <w:p w14:paraId="5C8142F6" w14:textId="77777777" w:rsidR="00DA6272" w:rsidRPr="00260A53" w:rsidRDefault="00DA6272" w:rsidP="001129FE">
            <w:pPr>
              <w:autoSpaceDE w:val="0"/>
              <w:autoSpaceDN w:val="0"/>
              <w:adjustRightInd w:val="0"/>
              <w:spacing w:after="0" w:line="240" w:lineRule="auto"/>
              <w:rPr>
                <w:rFonts w:ascii="Garamond" w:hAnsi="Garamond" w:cs="Garamond Premr Pro"/>
                <w:color w:val="000000"/>
                <w:sz w:val="24"/>
                <w:szCs w:val="24"/>
                <w:lang w:val="en-GB"/>
              </w:rPr>
            </w:pPr>
            <w:r w:rsidRPr="00260A53">
              <w:rPr>
                <w:rFonts w:ascii="Garamond" w:hAnsi="Garamond" w:cs="Garamond Premr Pro"/>
                <w:color w:val="000000"/>
                <w:sz w:val="24"/>
                <w:szCs w:val="24"/>
                <w:lang w:val="en-GB"/>
              </w:rPr>
              <w:t>Chairman</w:t>
            </w:r>
          </w:p>
          <w:p w14:paraId="5C8142F7" w14:textId="77777777" w:rsidR="00DA6272" w:rsidRPr="00260A53" w:rsidRDefault="00DA6272" w:rsidP="001129FE">
            <w:pPr>
              <w:autoSpaceDE w:val="0"/>
              <w:autoSpaceDN w:val="0"/>
              <w:adjustRightInd w:val="0"/>
              <w:spacing w:after="0" w:line="240" w:lineRule="auto"/>
              <w:rPr>
                <w:rFonts w:ascii="Garamond" w:hAnsi="Garamond" w:cs="Garamond Premr Pro"/>
                <w:color w:val="000000"/>
                <w:sz w:val="24"/>
                <w:szCs w:val="24"/>
                <w:lang w:val="en-GB"/>
              </w:rPr>
            </w:pPr>
            <w:r w:rsidRPr="00260A53">
              <w:rPr>
                <w:rFonts w:ascii="Garamond" w:hAnsi="Garamond" w:cs="Garamond Premr Pro"/>
                <w:color w:val="000000"/>
                <w:sz w:val="24"/>
                <w:szCs w:val="24"/>
                <w:lang w:val="en-GB"/>
              </w:rPr>
              <w:t>European Banking Authority</w:t>
            </w:r>
          </w:p>
          <w:p w14:paraId="5C8142F8" w14:textId="77777777" w:rsidR="00DA6272" w:rsidRPr="00260A53" w:rsidRDefault="00DA6272" w:rsidP="001129FE">
            <w:pPr>
              <w:autoSpaceDE w:val="0"/>
              <w:autoSpaceDN w:val="0"/>
              <w:adjustRightInd w:val="0"/>
              <w:spacing w:after="0" w:line="240" w:lineRule="auto"/>
              <w:rPr>
                <w:rFonts w:ascii="Garamond" w:hAnsi="Garamond"/>
                <w:sz w:val="24"/>
                <w:szCs w:val="24"/>
                <w:lang w:val="en-GB"/>
              </w:rPr>
            </w:pPr>
            <w:r w:rsidRPr="00260A53">
              <w:rPr>
                <w:rFonts w:ascii="Garamond" w:hAnsi="Garamond"/>
                <w:sz w:val="24"/>
                <w:szCs w:val="24"/>
                <w:lang w:val="en-GB"/>
              </w:rPr>
              <w:t>Tower 42 (level 18)</w:t>
            </w:r>
            <w:r w:rsidRPr="00260A53">
              <w:rPr>
                <w:rFonts w:ascii="Garamond" w:hAnsi="Garamond"/>
                <w:sz w:val="24"/>
                <w:szCs w:val="24"/>
                <w:lang w:val="en-GB"/>
              </w:rPr>
              <w:br/>
              <w:t>25 Old Broad Street</w:t>
            </w:r>
            <w:r w:rsidRPr="00260A53">
              <w:rPr>
                <w:rFonts w:ascii="Garamond" w:hAnsi="Garamond"/>
                <w:sz w:val="24"/>
                <w:szCs w:val="24"/>
                <w:lang w:val="en-GB"/>
              </w:rPr>
              <w:br/>
              <w:t>London EC2N 1HQ</w:t>
            </w:r>
            <w:r w:rsidRPr="00260A53">
              <w:rPr>
                <w:rFonts w:ascii="Garamond" w:hAnsi="Garamond"/>
                <w:sz w:val="24"/>
                <w:szCs w:val="24"/>
                <w:lang w:val="en-GB"/>
              </w:rPr>
              <w:br/>
              <w:t>United Kingdom</w:t>
            </w:r>
          </w:p>
        </w:tc>
      </w:tr>
    </w:tbl>
    <w:p w14:paraId="5C8142FA" w14:textId="77777777" w:rsidR="005749E4" w:rsidRPr="00260A53" w:rsidRDefault="005749E4" w:rsidP="001129FE">
      <w:pPr>
        <w:autoSpaceDE w:val="0"/>
        <w:autoSpaceDN w:val="0"/>
        <w:adjustRightInd w:val="0"/>
        <w:spacing w:after="0" w:line="240" w:lineRule="auto"/>
        <w:rPr>
          <w:rFonts w:ascii="Garamond" w:hAnsi="Garamond" w:cs="Garamond Premr Pro"/>
          <w:color w:val="000000"/>
          <w:sz w:val="24"/>
          <w:szCs w:val="24"/>
          <w:lang w:val="en-GB"/>
        </w:rPr>
      </w:pPr>
    </w:p>
    <w:p w14:paraId="5C8142FB" w14:textId="39BBD43E" w:rsidR="00DA6272" w:rsidRPr="00260A53" w:rsidRDefault="00C12138" w:rsidP="00DA6272">
      <w:pPr>
        <w:spacing w:after="240" w:line="240" w:lineRule="auto"/>
        <w:rPr>
          <w:rFonts w:ascii="Garamond" w:hAnsi="Garamond"/>
          <w:sz w:val="24"/>
          <w:szCs w:val="24"/>
          <w:lang w:val="en-GB"/>
        </w:rPr>
      </w:pPr>
      <w:r w:rsidRPr="00C12138">
        <w:rPr>
          <w:rFonts w:ascii="Garamond" w:hAnsi="Garamond"/>
          <w:sz w:val="24"/>
          <w:szCs w:val="24"/>
          <w:lang w:val="en-GB"/>
        </w:rPr>
        <w:t>13</w:t>
      </w:r>
      <w:r w:rsidR="00DA6272" w:rsidRPr="00C12138">
        <w:rPr>
          <w:rFonts w:ascii="Garamond" w:hAnsi="Garamond"/>
          <w:sz w:val="24"/>
          <w:szCs w:val="24"/>
          <w:lang w:val="en-GB"/>
        </w:rPr>
        <w:t xml:space="preserve"> February 2013 </w:t>
      </w:r>
    </w:p>
    <w:p w14:paraId="5C8142FC" w14:textId="77777777" w:rsidR="00934005" w:rsidRPr="00260A53" w:rsidRDefault="00934005" w:rsidP="00D13392">
      <w:pPr>
        <w:spacing w:after="240" w:line="240" w:lineRule="auto"/>
        <w:rPr>
          <w:rFonts w:ascii="Garamond" w:hAnsi="Garamond"/>
          <w:sz w:val="24"/>
          <w:szCs w:val="24"/>
          <w:lang w:val="en-GB"/>
        </w:rPr>
      </w:pPr>
      <w:r w:rsidRPr="00260A53">
        <w:rPr>
          <w:rFonts w:ascii="Garamond" w:hAnsi="Garamond"/>
          <w:sz w:val="24"/>
          <w:szCs w:val="24"/>
          <w:lang w:val="en-GB"/>
        </w:rPr>
        <w:t>Re:</w:t>
      </w:r>
      <w:r w:rsidR="00260FB2" w:rsidRPr="00260A53">
        <w:rPr>
          <w:rFonts w:ascii="Garamond" w:hAnsi="Garamond"/>
          <w:sz w:val="24"/>
          <w:szCs w:val="24"/>
          <w:lang w:val="en-GB"/>
        </w:rPr>
        <w:t xml:space="preserve">  </w:t>
      </w:r>
      <w:r w:rsidR="00DA6272" w:rsidRPr="00260A53">
        <w:rPr>
          <w:rFonts w:ascii="Garamond" w:hAnsi="Garamond"/>
          <w:sz w:val="24"/>
          <w:szCs w:val="24"/>
          <w:lang w:val="en-GB"/>
        </w:rPr>
        <w:t xml:space="preserve">Consultation on Principles </w:t>
      </w:r>
      <w:bookmarkStart w:id="0" w:name="_GoBack"/>
      <w:bookmarkEnd w:id="0"/>
      <w:r w:rsidR="00DA6272" w:rsidRPr="00260A53">
        <w:rPr>
          <w:rFonts w:ascii="Garamond" w:hAnsi="Garamond"/>
          <w:sz w:val="24"/>
          <w:szCs w:val="24"/>
          <w:lang w:val="en-GB"/>
        </w:rPr>
        <w:t>for Benchmarks-Setting Processes in the EU</w:t>
      </w:r>
    </w:p>
    <w:p w14:paraId="5C8142FD" w14:textId="77777777" w:rsidR="00934005" w:rsidRPr="00260A53" w:rsidRDefault="00934005" w:rsidP="001129FE">
      <w:pPr>
        <w:spacing w:after="240" w:line="240" w:lineRule="auto"/>
        <w:rPr>
          <w:rFonts w:ascii="Garamond" w:hAnsi="Garamond"/>
          <w:sz w:val="24"/>
          <w:szCs w:val="24"/>
          <w:lang w:val="en-GB"/>
        </w:rPr>
      </w:pPr>
      <w:r w:rsidRPr="00260A53">
        <w:rPr>
          <w:rFonts w:ascii="Garamond" w:hAnsi="Garamond"/>
          <w:sz w:val="24"/>
          <w:szCs w:val="24"/>
          <w:lang w:val="en-GB"/>
        </w:rPr>
        <w:t xml:space="preserve">Dear </w:t>
      </w:r>
      <w:r w:rsidR="00216FD6" w:rsidRPr="00260A53">
        <w:rPr>
          <w:rFonts w:ascii="Garamond" w:hAnsi="Garamond"/>
          <w:sz w:val="24"/>
          <w:szCs w:val="24"/>
          <w:lang w:val="en-GB"/>
        </w:rPr>
        <w:t xml:space="preserve">Mr. </w:t>
      </w:r>
      <w:r w:rsidR="00DA6272" w:rsidRPr="00260A53">
        <w:rPr>
          <w:rFonts w:ascii="Garamond" w:hAnsi="Garamond"/>
          <w:sz w:val="24"/>
          <w:szCs w:val="24"/>
          <w:lang w:val="en-GB"/>
        </w:rPr>
        <w:t>Maijoor and Mr. Enria,</w:t>
      </w:r>
    </w:p>
    <w:p w14:paraId="5C8142FE" w14:textId="77777777" w:rsidR="000A7C82" w:rsidRPr="00260A53" w:rsidRDefault="00092F76" w:rsidP="00D13392">
      <w:pPr>
        <w:spacing w:after="240" w:line="240" w:lineRule="auto"/>
        <w:rPr>
          <w:rFonts w:ascii="Garamond" w:hAnsi="Garamond"/>
          <w:sz w:val="24"/>
          <w:szCs w:val="24"/>
          <w:lang w:val="en-GB"/>
        </w:rPr>
      </w:pPr>
      <w:r w:rsidRPr="00260A53">
        <w:rPr>
          <w:rFonts w:ascii="Garamond" w:hAnsi="Garamond"/>
          <w:sz w:val="24"/>
          <w:szCs w:val="24"/>
          <w:lang w:val="en-GB"/>
        </w:rPr>
        <w:t>ICI Global</w:t>
      </w:r>
      <w:r w:rsidRPr="00260A53">
        <w:rPr>
          <w:rStyle w:val="FootnoteReference"/>
          <w:rFonts w:ascii="Garamond" w:hAnsi="Garamond"/>
          <w:sz w:val="24"/>
          <w:szCs w:val="24"/>
          <w:lang w:val="en-GB"/>
        </w:rPr>
        <w:footnoteReference w:id="1"/>
      </w:r>
      <w:r w:rsidR="00E62A38" w:rsidRPr="00260A53">
        <w:rPr>
          <w:rFonts w:ascii="Garamond" w:hAnsi="Garamond"/>
          <w:sz w:val="24"/>
          <w:szCs w:val="24"/>
          <w:lang w:val="en-GB"/>
        </w:rPr>
        <w:t xml:space="preserve"> </w:t>
      </w:r>
      <w:r w:rsidRPr="00260A53">
        <w:rPr>
          <w:rFonts w:ascii="Garamond" w:hAnsi="Garamond"/>
          <w:sz w:val="24"/>
          <w:szCs w:val="24"/>
          <w:lang w:val="en-GB"/>
        </w:rPr>
        <w:t>appreciate</w:t>
      </w:r>
      <w:r w:rsidR="00DA6272" w:rsidRPr="00260A53">
        <w:rPr>
          <w:rFonts w:ascii="Garamond" w:hAnsi="Garamond"/>
          <w:sz w:val="24"/>
          <w:szCs w:val="24"/>
          <w:lang w:val="en-GB"/>
        </w:rPr>
        <w:t>s</w:t>
      </w:r>
      <w:r w:rsidR="005D5849" w:rsidRPr="00260A53">
        <w:rPr>
          <w:rFonts w:ascii="Garamond" w:hAnsi="Garamond"/>
          <w:sz w:val="24"/>
          <w:szCs w:val="24"/>
          <w:lang w:val="en-GB"/>
        </w:rPr>
        <w:t xml:space="preserve"> the opportunity to comment on</w:t>
      </w:r>
      <w:r w:rsidR="00DA6272" w:rsidRPr="00260A53">
        <w:rPr>
          <w:rFonts w:ascii="Garamond" w:hAnsi="Garamond"/>
          <w:sz w:val="24"/>
          <w:szCs w:val="24"/>
          <w:lang w:val="en-GB"/>
        </w:rPr>
        <w:t xml:space="preserve"> the joint European Securities and Markets Authority (ESMA) and European Banking Authority (EBA) consultation on principles for benchmark-setting processes in the European Union (EU) </w:t>
      </w:r>
      <w:r w:rsidR="000A7C82" w:rsidRPr="00260A53">
        <w:rPr>
          <w:rFonts w:ascii="Garamond" w:hAnsi="Garamond"/>
          <w:sz w:val="24"/>
          <w:szCs w:val="24"/>
          <w:lang w:val="en-GB"/>
        </w:rPr>
        <w:t>(</w:t>
      </w:r>
      <w:r w:rsidR="00DA6272" w:rsidRPr="00260A53">
        <w:rPr>
          <w:rFonts w:ascii="Garamond" w:hAnsi="Garamond"/>
          <w:sz w:val="24"/>
          <w:szCs w:val="24"/>
          <w:lang w:val="en-GB"/>
        </w:rPr>
        <w:t xml:space="preserve">referred to hereafter as </w:t>
      </w:r>
      <w:r w:rsidR="000A7C82" w:rsidRPr="00260A53">
        <w:rPr>
          <w:rFonts w:ascii="Garamond" w:hAnsi="Garamond"/>
          <w:sz w:val="24"/>
          <w:szCs w:val="24"/>
          <w:lang w:val="en-GB"/>
        </w:rPr>
        <w:t>the “Consultation”).</w:t>
      </w:r>
      <w:r w:rsidR="002770DB" w:rsidRPr="00260A53">
        <w:rPr>
          <w:rStyle w:val="FootnoteReference"/>
          <w:rFonts w:ascii="Garamond" w:hAnsi="Garamond"/>
          <w:sz w:val="24"/>
          <w:szCs w:val="24"/>
          <w:lang w:val="en-GB"/>
        </w:rPr>
        <w:footnoteReference w:id="2"/>
      </w:r>
      <w:r w:rsidR="000A7C82" w:rsidRPr="00260A53">
        <w:rPr>
          <w:rFonts w:ascii="Garamond" w:hAnsi="Garamond"/>
          <w:sz w:val="24"/>
          <w:szCs w:val="24"/>
          <w:lang w:val="en-GB"/>
        </w:rPr>
        <w:t xml:space="preserve"> </w:t>
      </w:r>
      <w:r w:rsidR="002770DB" w:rsidRPr="00260A53">
        <w:rPr>
          <w:rFonts w:ascii="Garamond" w:hAnsi="Garamond"/>
          <w:sz w:val="24"/>
          <w:szCs w:val="24"/>
          <w:lang w:val="en-GB"/>
        </w:rPr>
        <w:t xml:space="preserve"> </w:t>
      </w:r>
      <w:r w:rsidR="00C62233" w:rsidRPr="00260A53">
        <w:rPr>
          <w:rFonts w:ascii="Garamond" w:hAnsi="Garamond"/>
          <w:sz w:val="24"/>
          <w:szCs w:val="24"/>
          <w:lang w:val="en-GB"/>
        </w:rPr>
        <w:t xml:space="preserve">ICI Global members manage </w:t>
      </w:r>
      <w:r w:rsidR="006D2844" w:rsidRPr="00260A53">
        <w:rPr>
          <w:rFonts w:ascii="Garamond" w:hAnsi="Garamond"/>
          <w:sz w:val="24"/>
          <w:szCs w:val="24"/>
          <w:lang w:val="en-GB"/>
        </w:rPr>
        <w:t>over</w:t>
      </w:r>
      <w:r w:rsidR="00DA6272" w:rsidRPr="00260A53">
        <w:rPr>
          <w:rFonts w:ascii="Garamond" w:hAnsi="Garamond"/>
          <w:sz w:val="24"/>
          <w:szCs w:val="24"/>
          <w:lang w:val="en-GB"/>
        </w:rPr>
        <w:t xml:space="preserve"> €750 billion </w:t>
      </w:r>
      <w:r w:rsidR="00A379CF" w:rsidRPr="00260A53">
        <w:rPr>
          <w:rFonts w:ascii="Garamond" w:hAnsi="Garamond"/>
          <w:sz w:val="24"/>
          <w:szCs w:val="24"/>
          <w:lang w:val="en-GB"/>
        </w:rPr>
        <w:t xml:space="preserve">in </w:t>
      </w:r>
      <w:r w:rsidR="00DA6272" w:rsidRPr="00260A53">
        <w:rPr>
          <w:rFonts w:ascii="Garamond" w:hAnsi="Garamond"/>
          <w:sz w:val="24"/>
          <w:szCs w:val="24"/>
          <w:lang w:val="en-GB"/>
        </w:rPr>
        <w:t xml:space="preserve">publicly available regulated investment funds. </w:t>
      </w:r>
      <w:r w:rsidR="001C4626" w:rsidRPr="00260A53">
        <w:rPr>
          <w:rFonts w:ascii="Garamond" w:hAnsi="Garamond"/>
          <w:sz w:val="24"/>
          <w:szCs w:val="24"/>
          <w:lang w:val="en-GB"/>
        </w:rPr>
        <w:t xml:space="preserve">Many </w:t>
      </w:r>
      <w:r w:rsidR="00F6398D" w:rsidRPr="00260A53">
        <w:rPr>
          <w:rFonts w:ascii="Garamond" w:hAnsi="Garamond"/>
          <w:sz w:val="24"/>
          <w:szCs w:val="24"/>
          <w:lang w:val="en-GB"/>
        </w:rPr>
        <w:t xml:space="preserve">of these funds </w:t>
      </w:r>
      <w:r w:rsidR="001C4626" w:rsidRPr="00260A53">
        <w:rPr>
          <w:rFonts w:ascii="Garamond" w:hAnsi="Garamond"/>
          <w:sz w:val="24"/>
          <w:szCs w:val="24"/>
          <w:lang w:val="en-GB"/>
        </w:rPr>
        <w:t xml:space="preserve">invest and trade in financial contracts referenced to benchmarks such as LIBOR and EURIBOR, and some also manage funds that are designed to track the performance of </w:t>
      </w:r>
      <w:r w:rsidR="00050B06" w:rsidRPr="00260A53">
        <w:rPr>
          <w:rFonts w:ascii="Garamond" w:hAnsi="Garamond"/>
          <w:sz w:val="24"/>
          <w:szCs w:val="24"/>
          <w:lang w:val="en-GB"/>
        </w:rPr>
        <w:t>indices</w:t>
      </w:r>
      <w:r w:rsidR="00CD292E" w:rsidRPr="00260A53">
        <w:rPr>
          <w:rFonts w:ascii="Garamond" w:hAnsi="Garamond"/>
          <w:sz w:val="24"/>
          <w:szCs w:val="24"/>
          <w:lang w:val="en-GB"/>
        </w:rPr>
        <w:t xml:space="preserve"> more generally</w:t>
      </w:r>
      <w:r w:rsidR="001C4626" w:rsidRPr="00260A53">
        <w:rPr>
          <w:rFonts w:ascii="Garamond" w:hAnsi="Garamond"/>
          <w:sz w:val="24"/>
          <w:szCs w:val="24"/>
          <w:lang w:val="en-GB"/>
        </w:rPr>
        <w:t xml:space="preserve">. </w:t>
      </w:r>
      <w:r w:rsidR="00DA6272" w:rsidRPr="00260A53">
        <w:rPr>
          <w:rFonts w:ascii="Garamond" w:hAnsi="Garamond"/>
          <w:sz w:val="24"/>
          <w:szCs w:val="24"/>
          <w:lang w:val="en-GB"/>
        </w:rPr>
        <w:t xml:space="preserve"> Therefore,</w:t>
      </w:r>
      <w:r w:rsidR="001C4626" w:rsidRPr="00260A53">
        <w:rPr>
          <w:rFonts w:ascii="Garamond" w:hAnsi="Garamond"/>
          <w:sz w:val="24"/>
          <w:szCs w:val="24"/>
          <w:lang w:val="en-GB"/>
        </w:rPr>
        <w:t xml:space="preserve"> ICI Global members have a strong interest in </w:t>
      </w:r>
      <w:r w:rsidR="00112E57" w:rsidRPr="00260A53">
        <w:rPr>
          <w:rFonts w:ascii="Garamond" w:hAnsi="Garamond"/>
          <w:sz w:val="24"/>
          <w:szCs w:val="24"/>
          <w:lang w:val="en-GB"/>
        </w:rPr>
        <w:t>the recommendations on benchmarks setting processes put forward by EBA-ESMA Task Force (referred to hereafter as “the Task Force”)</w:t>
      </w:r>
      <w:r w:rsidR="001C4626" w:rsidRPr="00260A53">
        <w:rPr>
          <w:rFonts w:ascii="Garamond" w:hAnsi="Garamond"/>
          <w:sz w:val="24"/>
          <w:szCs w:val="24"/>
          <w:lang w:val="en-GB"/>
        </w:rPr>
        <w:t>.</w:t>
      </w:r>
    </w:p>
    <w:p w14:paraId="5C8142FF" w14:textId="77777777" w:rsidR="00CD292E" w:rsidRPr="00260A53" w:rsidRDefault="00CD292E" w:rsidP="00D13392">
      <w:pPr>
        <w:spacing w:after="240" w:line="240" w:lineRule="auto"/>
        <w:rPr>
          <w:rFonts w:ascii="Garamond" w:hAnsi="Garamond"/>
          <w:sz w:val="24"/>
          <w:szCs w:val="24"/>
          <w:lang w:val="en-GB"/>
        </w:rPr>
      </w:pPr>
      <w:r w:rsidRPr="00260A53">
        <w:rPr>
          <w:rFonts w:ascii="Garamond" w:hAnsi="Garamond"/>
          <w:sz w:val="24"/>
          <w:szCs w:val="24"/>
          <w:lang w:val="en-GB"/>
        </w:rPr>
        <w:t xml:space="preserve">For </w:t>
      </w:r>
      <w:r w:rsidR="00F6398D" w:rsidRPr="00260A53">
        <w:rPr>
          <w:rFonts w:ascii="Garamond" w:hAnsi="Garamond"/>
          <w:sz w:val="24"/>
          <w:szCs w:val="24"/>
          <w:lang w:val="en-GB"/>
        </w:rPr>
        <w:t xml:space="preserve">the </w:t>
      </w:r>
      <w:r w:rsidRPr="00260A53">
        <w:rPr>
          <w:rFonts w:ascii="Garamond" w:hAnsi="Garamond"/>
          <w:sz w:val="24"/>
          <w:szCs w:val="24"/>
          <w:lang w:val="en-GB"/>
        </w:rPr>
        <w:t xml:space="preserve">reasons explained below, we strongly believe that one size </w:t>
      </w:r>
      <w:r w:rsidRPr="00260A53">
        <w:rPr>
          <w:rFonts w:ascii="Garamond" w:hAnsi="Garamond"/>
          <w:i/>
          <w:sz w:val="24"/>
          <w:szCs w:val="24"/>
          <w:lang w:val="en-GB"/>
        </w:rPr>
        <w:t>does</w:t>
      </w:r>
      <w:r w:rsidRPr="00260A53">
        <w:rPr>
          <w:rFonts w:ascii="Garamond" w:hAnsi="Garamond"/>
          <w:sz w:val="24"/>
          <w:szCs w:val="24"/>
          <w:lang w:val="en-GB"/>
        </w:rPr>
        <w:t xml:space="preserve"> </w:t>
      </w:r>
      <w:r w:rsidRPr="00260A53">
        <w:rPr>
          <w:rFonts w:ascii="Garamond" w:hAnsi="Garamond"/>
          <w:i/>
          <w:sz w:val="24"/>
          <w:szCs w:val="24"/>
          <w:lang w:val="en-GB"/>
        </w:rPr>
        <w:t>not</w:t>
      </w:r>
      <w:r w:rsidRPr="00260A53">
        <w:rPr>
          <w:rFonts w:ascii="Garamond" w:hAnsi="Garamond"/>
          <w:sz w:val="24"/>
          <w:szCs w:val="24"/>
          <w:lang w:val="en-GB"/>
        </w:rPr>
        <w:t xml:space="preserve"> fit all when it comes to the regulation of benchmarks, and that </w:t>
      </w:r>
      <w:r w:rsidR="00112E57" w:rsidRPr="00260A53">
        <w:rPr>
          <w:rFonts w:ascii="Garamond" w:hAnsi="Garamond"/>
          <w:sz w:val="24"/>
          <w:szCs w:val="24"/>
          <w:lang w:val="en-GB"/>
        </w:rPr>
        <w:t xml:space="preserve">the Task Force </w:t>
      </w:r>
      <w:r w:rsidRPr="00260A53">
        <w:rPr>
          <w:rFonts w:ascii="Garamond" w:hAnsi="Garamond"/>
          <w:sz w:val="24"/>
          <w:szCs w:val="24"/>
          <w:lang w:val="en-GB"/>
        </w:rPr>
        <w:t>can and should draw distinctions between survey-based benchmarks</w:t>
      </w:r>
      <w:r w:rsidR="002770DB" w:rsidRPr="00260A53">
        <w:rPr>
          <w:rFonts w:ascii="Garamond" w:hAnsi="Garamond"/>
          <w:sz w:val="24"/>
          <w:szCs w:val="24"/>
          <w:lang w:val="en-GB"/>
        </w:rPr>
        <w:t>,</w:t>
      </w:r>
      <w:r w:rsidRPr="00260A53">
        <w:rPr>
          <w:rFonts w:ascii="Garamond" w:hAnsi="Garamond"/>
          <w:sz w:val="24"/>
          <w:szCs w:val="24"/>
          <w:lang w:val="en-GB"/>
        </w:rPr>
        <w:t xml:space="preserve"> such as LIBOR</w:t>
      </w:r>
      <w:r w:rsidR="002770DB" w:rsidRPr="00260A53">
        <w:rPr>
          <w:rFonts w:ascii="Garamond" w:hAnsi="Garamond"/>
          <w:sz w:val="24"/>
          <w:szCs w:val="24"/>
          <w:lang w:val="en-GB"/>
        </w:rPr>
        <w:t>,</w:t>
      </w:r>
      <w:r w:rsidRPr="00260A53">
        <w:rPr>
          <w:rFonts w:ascii="Garamond" w:hAnsi="Garamond"/>
          <w:sz w:val="24"/>
          <w:szCs w:val="24"/>
          <w:lang w:val="en-GB"/>
        </w:rPr>
        <w:t xml:space="preserve"> and other types of benchmarks, such as commercial </w:t>
      </w:r>
      <w:r w:rsidR="002770DB" w:rsidRPr="00260A53">
        <w:rPr>
          <w:rFonts w:ascii="Garamond" w:hAnsi="Garamond"/>
          <w:sz w:val="24"/>
          <w:szCs w:val="24"/>
          <w:lang w:val="en-GB"/>
        </w:rPr>
        <w:t xml:space="preserve">indices licensed by </w:t>
      </w:r>
      <w:r w:rsidRPr="00260A53">
        <w:rPr>
          <w:rFonts w:ascii="Garamond" w:hAnsi="Garamond"/>
          <w:sz w:val="24"/>
          <w:szCs w:val="24"/>
          <w:lang w:val="en-GB"/>
        </w:rPr>
        <w:t>regulated funds</w:t>
      </w:r>
      <w:r w:rsidR="002770DB" w:rsidRPr="00260A53">
        <w:rPr>
          <w:rFonts w:ascii="Garamond" w:hAnsi="Garamond"/>
          <w:sz w:val="24"/>
          <w:szCs w:val="24"/>
          <w:lang w:val="en-GB"/>
        </w:rPr>
        <w:t>.</w:t>
      </w:r>
      <w:r w:rsidR="002770DB" w:rsidRPr="00260A53">
        <w:rPr>
          <w:rStyle w:val="FootnoteReference"/>
          <w:rFonts w:ascii="Garamond" w:hAnsi="Garamond"/>
          <w:sz w:val="24"/>
          <w:szCs w:val="24"/>
          <w:lang w:val="en-GB"/>
        </w:rPr>
        <w:footnoteReference w:id="3"/>
      </w:r>
      <w:r w:rsidRPr="00260A53">
        <w:rPr>
          <w:rFonts w:ascii="Garamond" w:hAnsi="Garamond"/>
          <w:sz w:val="24"/>
          <w:szCs w:val="24"/>
          <w:lang w:val="en-GB"/>
        </w:rPr>
        <w:t xml:space="preserve">  The Consultation identifies a number of serious concerns with respect to survey-based benchmarks, and </w:t>
      </w:r>
      <w:r w:rsidR="00112E57" w:rsidRPr="00260A53">
        <w:rPr>
          <w:rFonts w:ascii="Garamond" w:hAnsi="Garamond"/>
          <w:sz w:val="24"/>
          <w:szCs w:val="24"/>
          <w:lang w:val="en-GB"/>
        </w:rPr>
        <w:t>the Task Force</w:t>
      </w:r>
      <w:r w:rsidRPr="00260A53">
        <w:rPr>
          <w:rFonts w:ascii="Garamond" w:hAnsi="Garamond"/>
          <w:sz w:val="24"/>
          <w:szCs w:val="24"/>
          <w:lang w:val="en-GB"/>
        </w:rPr>
        <w:t xml:space="preserve"> is to be commended for seeking to address them.  To the extent</w:t>
      </w:r>
      <w:r w:rsidR="00112E57" w:rsidRPr="00260A53">
        <w:rPr>
          <w:rFonts w:ascii="Garamond" w:hAnsi="Garamond"/>
          <w:sz w:val="24"/>
          <w:szCs w:val="24"/>
          <w:lang w:val="en-GB"/>
        </w:rPr>
        <w:t xml:space="preserve"> the Task Force</w:t>
      </w:r>
      <w:r w:rsidRPr="00260A53">
        <w:rPr>
          <w:rFonts w:ascii="Garamond" w:hAnsi="Garamond"/>
          <w:sz w:val="24"/>
          <w:szCs w:val="24"/>
          <w:lang w:val="en-GB"/>
        </w:rPr>
        <w:t xml:space="preserve"> wishes to expand its review to other categories of benchmarks that have not exhibited the same types of failures (</w:t>
      </w:r>
      <w:r w:rsidRPr="00260A53">
        <w:rPr>
          <w:rFonts w:ascii="Garamond" w:hAnsi="Garamond"/>
          <w:i/>
          <w:sz w:val="24"/>
          <w:szCs w:val="24"/>
          <w:lang w:val="en-GB"/>
        </w:rPr>
        <w:t>e.g.,</w:t>
      </w:r>
      <w:r w:rsidRPr="00260A53">
        <w:rPr>
          <w:rFonts w:ascii="Garamond" w:hAnsi="Garamond"/>
          <w:sz w:val="24"/>
          <w:szCs w:val="24"/>
          <w:lang w:val="en-GB"/>
        </w:rPr>
        <w:t xml:space="preserve"> commercial indices), it should begin by identifying specific, tangible concerns that warrant regulatory intervention</w:t>
      </w:r>
      <w:r w:rsidR="00C1617D" w:rsidRPr="00260A53">
        <w:rPr>
          <w:rFonts w:ascii="Garamond" w:hAnsi="Garamond"/>
          <w:sz w:val="24"/>
          <w:szCs w:val="24"/>
          <w:lang w:val="en-GB"/>
        </w:rPr>
        <w:t xml:space="preserve">.  Only then should it seek to develop regulatory recommendations, and such regulations should be </w:t>
      </w:r>
      <w:r w:rsidR="004D49FB" w:rsidRPr="00260A53">
        <w:rPr>
          <w:rFonts w:ascii="Garamond" w:hAnsi="Garamond"/>
          <w:sz w:val="24"/>
          <w:szCs w:val="24"/>
          <w:lang w:val="en-GB"/>
        </w:rPr>
        <w:t>specifically</w:t>
      </w:r>
      <w:r w:rsidR="00C1617D" w:rsidRPr="00260A53">
        <w:rPr>
          <w:rFonts w:ascii="Garamond" w:hAnsi="Garamond"/>
          <w:sz w:val="24"/>
          <w:szCs w:val="24"/>
          <w:lang w:val="en-GB"/>
        </w:rPr>
        <w:t xml:space="preserve"> designed</w:t>
      </w:r>
      <w:r w:rsidRPr="00260A53">
        <w:rPr>
          <w:rFonts w:ascii="Garamond" w:hAnsi="Garamond"/>
          <w:sz w:val="24"/>
          <w:szCs w:val="24"/>
          <w:lang w:val="en-GB"/>
        </w:rPr>
        <w:t xml:space="preserve"> to address those concerns.  </w:t>
      </w:r>
    </w:p>
    <w:p w14:paraId="43B51502" w14:textId="77777777" w:rsidR="00C12138" w:rsidRDefault="00C12138" w:rsidP="00D13392">
      <w:pPr>
        <w:spacing w:after="240" w:line="240" w:lineRule="auto"/>
        <w:rPr>
          <w:rFonts w:ascii="Garamond" w:hAnsi="Garamond"/>
          <w:sz w:val="24"/>
          <w:szCs w:val="24"/>
          <w:lang w:val="en-GB"/>
        </w:rPr>
      </w:pPr>
    </w:p>
    <w:p w14:paraId="7BF983C3" w14:textId="77777777" w:rsidR="00C12138" w:rsidRDefault="00C12138" w:rsidP="00D13392">
      <w:pPr>
        <w:spacing w:after="240" w:line="240" w:lineRule="auto"/>
        <w:rPr>
          <w:rFonts w:ascii="Garamond" w:hAnsi="Garamond"/>
          <w:sz w:val="24"/>
          <w:szCs w:val="24"/>
          <w:lang w:val="en-GB"/>
        </w:rPr>
      </w:pPr>
    </w:p>
    <w:p w14:paraId="5C814300" w14:textId="39065206" w:rsidR="00D52914" w:rsidRPr="00260A53" w:rsidRDefault="00D52914" w:rsidP="00D13392">
      <w:pPr>
        <w:spacing w:after="240" w:line="240" w:lineRule="auto"/>
        <w:rPr>
          <w:rFonts w:ascii="Garamond" w:hAnsi="Garamond"/>
          <w:sz w:val="24"/>
          <w:szCs w:val="24"/>
          <w:lang w:val="en-GB"/>
        </w:rPr>
      </w:pPr>
      <w:r w:rsidRPr="00260A53">
        <w:rPr>
          <w:rFonts w:ascii="Garamond" w:hAnsi="Garamond"/>
          <w:sz w:val="24"/>
          <w:szCs w:val="24"/>
          <w:lang w:val="en-GB"/>
        </w:rPr>
        <w:t xml:space="preserve">As the Task Force </w:t>
      </w:r>
      <w:r w:rsidR="006155DA" w:rsidRPr="00260A53">
        <w:rPr>
          <w:rFonts w:ascii="Garamond" w:hAnsi="Garamond"/>
          <w:sz w:val="24"/>
          <w:szCs w:val="24"/>
          <w:lang w:val="en-GB"/>
        </w:rPr>
        <w:t>has acknowledged</w:t>
      </w:r>
      <w:r w:rsidRPr="00260A53">
        <w:rPr>
          <w:rFonts w:ascii="Garamond" w:hAnsi="Garamond"/>
          <w:sz w:val="24"/>
          <w:szCs w:val="24"/>
          <w:lang w:val="en-GB"/>
        </w:rPr>
        <w:t>, a number of other reviews into financial benchmarks are being undertaken by various policymaking bodies</w:t>
      </w:r>
      <w:r w:rsidR="00F6398D" w:rsidRPr="00260A53">
        <w:rPr>
          <w:rFonts w:ascii="Garamond" w:hAnsi="Garamond"/>
          <w:sz w:val="24"/>
          <w:szCs w:val="24"/>
          <w:lang w:val="en-GB"/>
        </w:rPr>
        <w:t>. These include</w:t>
      </w:r>
      <w:r w:rsidR="002327AC" w:rsidRPr="00260A53">
        <w:rPr>
          <w:rFonts w:ascii="Garamond" w:hAnsi="Garamond"/>
          <w:sz w:val="24"/>
          <w:szCs w:val="24"/>
          <w:lang w:val="en-GB"/>
        </w:rPr>
        <w:t xml:space="preserve"> reviews</w:t>
      </w:r>
      <w:r w:rsidRPr="00260A53">
        <w:rPr>
          <w:rFonts w:ascii="Garamond" w:hAnsi="Garamond"/>
          <w:sz w:val="24"/>
          <w:szCs w:val="24"/>
          <w:lang w:val="en-GB"/>
        </w:rPr>
        <w:t xml:space="preserve"> at international level by </w:t>
      </w:r>
      <w:r w:rsidRPr="00260A53">
        <w:rPr>
          <w:rFonts w:ascii="Garamond" w:hAnsi="Garamond"/>
          <w:sz w:val="24"/>
          <w:szCs w:val="24"/>
          <w:lang w:val="en-GB"/>
        </w:rPr>
        <w:lastRenderedPageBreak/>
        <w:t>IOSCO</w:t>
      </w:r>
      <w:r w:rsidRPr="00260A53">
        <w:rPr>
          <w:rStyle w:val="FootnoteReference"/>
          <w:rFonts w:ascii="Garamond" w:hAnsi="Garamond"/>
          <w:sz w:val="24"/>
          <w:szCs w:val="24"/>
          <w:lang w:val="en-GB"/>
        </w:rPr>
        <w:footnoteReference w:id="4"/>
      </w:r>
      <w:r w:rsidRPr="00260A53">
        <w:rPr>
          <w:rFonts w:ascii="Garamond" w:hAnsi="Garamond"/>
          <w:sz w:val="24"/>
          <w:szCs w:val="24"/>
          <w:lang w:val="en-GB"/>
        </w:rPr>
        <w:t>, at regional level by the European Commission</w:t>
      </w:r>
      <w:r w:rsidRPr="00260A53">
        <w:rPr>
          <w:rStyle w:val="FootnoteReference"/>
          <w:rFonts w:ascii="Garamond" w:hAnsi="Garamond"/>
          <w:sz w:val="24"/>
          <w:szCs w:val="24"/>
          <w:lang w:val="en-GB"/>
        </w:rPr>
        <w:footnoteReference w:id="5"/>
      </w:r>
      <w:r w:rsidRPr="00260A53">
        <w:rPr>
          <w:rFonts w:ascii="Garamond" w:hAnsi="Garamond"/>
          <w:sz w:val="24"/>
          <w:szCs w:val="24"/>
          <w:lang w:val="en-GB"/>
        </w:rPr>
        <w:t xml:space="preserve">, and </w:t>
      </w:r>
      <w:r w:rsidR="002327AC" w:rsidRPr="00260A53">
        <w:rPr>
          <w:rFonts w:ascii="Garamond" w:hAnsi="Garamond"/>
          <w:sz w:val="24"/>
          <w:szCs w:val="24"/>
          <w:lang w:val="en-GB"/>
        </w:rPr>
        <w:t xml:space="preserve">in various jurisdictions </w:t>
      </w:r>
      <w:r w:rsidRPr="00260A53">
        <w:rPr>
          <w:rFonts w:ascii="Garamond" w:hAnsi="Garamond"/>
          <w:sz w:val="24"/>
          <w:szCs w:val="24"/>
          <w:lang w:val="en-GB"/>
        </w:rPr>
        <w:t>including notably the Wheatley Review in the UK</w:t>
      </w:r>
      <w:r w:rsidR="000C0D21" w:rsidRPr="00260A53">
        <w:rPr>
          <w:rFonts w:ascii="Garamond" w:hAnsi="Garamond"/>
          <w:sz w:val="24"/>
          <w:szCs w:val="24"/>
          <w:lang w:val="en-GB"/>
        </w:rPr>
        <w:t>.</w:t>
      </w:r>
      <w:r w:rsidR="000C0D21" w:rsidRPr="00260A53">
        <w:rPr>
          <w:rStyle w:val="FootnoteReference"/>
          <w:rFonts w:ascii="Garamond" w:hAnsi="Garamond"/>
          <w:sz w:val="24"/>
          <w:szCs w:val="24"/>
          <w:lang w:val="en-GB"/>
        </w:rPr>
        <w:footnoteReference w:id="6"/>
      </w:r>
      <w:r w:rsidRPr="00260A53">
        <w:rPr>
          <w:rFonts w:ascii="Garamond" w:hAnsi="Garamond"/>
          <w:sz w:val="24"/>
          <w:szCs w:val="24"/>
          <w:lang w:val="en-GB"/>
        </w:rPr>
        <w:t xml:space="preserve"> We have submitted our specific comments in response to each of these reviews in turn but</w:t>
      </w:r>
      <w:r w:rsidR="00F04D63">
        <w:rPr>
          <w:rFonts w:ascii="Garamond" w:hAnsi="Garamond"/>
          <w:sz w:val="24"/>
          <w:szCs w:val="24"/>
          <w:lang w:val="en-GB"/>
        </w:rPr>
        <w:t>,</w:t>
      </w:r>
      <w:r w:rsidRPr="00260A53">
        <w:rPr>
          <w:rFonts w:ascii="Garamond" w:hAnsi="Garamond"/>
          <w:sz w:val="24"/>
          <w:szCs w:val="24"/>
          <w:lang w:val="en-GB"/>
        </w:rPr>
        <w:t xml:space="preserve"> as a general </w:t>
      </w:r>
      <w:r w:rsidR="00000228" w:rsidRPr="00260A53">
        <w:rPr>
          <w:rFonts w:ascii="Garamond" w:hAnsi="Garamond"/>
          <w:sz w:val="24"/>
          <w:szCs w:val="24"/>
          <w:lang w:val="en-GB"/>
        </w:rPr>
        <w:t>comment, we</w:t>
      </w:r>
      <w:r w:rsidRPr="00260A53">
        <w:rPr>
          <w:rFonts w:ascii="Garamond" w:hAnsi="Garamond"/>
          <w:sz w:val="24"/>
          <w:szCs w:val="24"/>
          <w:lang w:val="en-GB"/>
        </w:rPr>
        <w:t xml:space="preserve"> would strongly urge the Task Force to ensur</w:t>
      </w:r>
      <w:r w:rsidR="002D032C" w:rsidRPr="00260A53">
        <w:rPr>
          <w:rFonts w:ascii="Garamond" w:hAnsi="Garamond"/>
          <w:sz w:val="24"/>
          <w:szCs w:val="24"/>
          <w:lang w:val="en-GB"/>
        </w:rPr>
        <w:t>e that its</w:t>
      </w:r>
      <w:r w:rsidRPr="00260A53">
        <w:rPr>
          <w:rFonts w:ascii="Garamond" w:hAnsi="Garamond"/>
          <w:sz w:val="24"/>
          <w:szCs w:val="24"/>
          <w:lang w:val="en-GB"/>
        </w:rPr>
        <w:t xml:space="preserve"> p</w:t>
      </w:r>
      <w:r w:rsidR="002D032C" w:rsidRPr="00260A53">
        <w:rPr>
          <w:rFonts w:ascii="Garamond" w:hAnsi="Garamond"/>
          <w:sz w:val="24"/>
          <w:szCs w:val="24"/>
          <w:lang w:val="en-GB"/>
        </w:rPr>
        <w:t xml:space="preserve">olicy responses are as coordinated and </w:t>
      </w:r>
      <w:r w:rsidR="002327AC" w:rsidRPr="00260A53">
        <w:rPr>
          <w:rFonts w:ascii="Garamond" w:hAnsi="Garamond"/>
          <w:sz w:val="24"/>
          <w:szCs w:val="24"/>
          <w:lang w:val="en-GB"/>
        </w:rPr>
        <w:t>consistent as possible with those</w:t>
      </w:r>
      <w:r w:rsidR="002D032C" w:rsidRPr="00260A53">
        <w:rPr>
          <w:rFonts w:ascii="Garamond" w:hAnsi="Garamond"/>
          <w:sz w:val="24"/>
          <w:szCs w:val="24"/>
          <w:lang w:val="en-GB"/>
        </w:rPr>
        <w:t xml:space="preserve"> of these other reviews. </w:t>
      </w:r>
    </w:p>
    <w:p w14:paraId="5C814301" w14:textId="77777777" w:rsidR="002327AC" w:rsidRPr="00260A53" w:rsidRDefault="004257BC" w:rsidP="00112E57">
      <w:pPr>
        <w:spacing w:after="240" w:line="240" w:lineRule="auto"/>
        <w:rPr>
          <w:rFonts w:ascii="Garamond" w:hAnsi="Garamond"/>
          <w:sz w:val="24"/>
          <w:szCs w:val="24"/>
          <w:lang w:val="en-GB"/>
        </w:rPr>
      </w:pPr>
      <w:r w:rsidRPr="00260A53">
        <w:rPr>
          <w:rFonts w:ascii="Garamond" w:hAnsi="Garamond"/>
          <w:sz w:val="24"/>
          <w:szCs w:val="24"/>
          <w:lang w:val="en-GB"/>
        </w:rPr>
        <w:t xml:space="preserve">Our comments on the Consultation </w:t>
      </w:r>
      <w:r w:rsidR="002D032C" w:rsidRPr="00260A53">
        <w:rPr>
          <w:rFonts w:ascii="Garamond" w:hAnsi="Garamond"/>
          <w:sz w:val="24"/>
          <w:szCs w:val="24"/>
          <w:lang w:val="en-GB"/>
        </w:rPr>
        <w:t>are set out below</w:t>
      </w:r>
      <w:r w:rsidR="00F04D63">
        <w:rPr>
          <w:rFonts w:ascii="Garamond" w:hAnsi="Garamond"/>
          <w:sz w:val="24"/>
          <w:szCs w:val="24"/>
          <w:lang w:val="en-GB"/>
        </w:rPr>
        <w:t>.</w:t>
      </w:r>
      <w:r w:rsidR="002D032C" w:rsidRPr="00260A53">
        <w:rPr>
          <w:rFonts w:ascii="Garamond" w:hAnsi="Garamond"/>
          <w:sz w:val="24"/>
          <w:szCs w:val="24"/>
          <w:lang w:val="en-GB"/>
        </w:rPr>
        <w:t xml:space="preserve"> All of our comments are consistent with those we have provided in response to the consultation published by IOSCO and we note that the Task Force considers that the Principles it develops will be aligned to those of IOSCO.</w:t>
      </w:r>
      <w:r w:rsidR="002D032C" w:rsidRPr="00260A53">
        <w:rPr>
          <w:rStyle w:val="FootnoteReference"/>
          <w:rFonts w:ascii="Garamond" w:hAnsi="Garamond"/>
          <w:sz w:val="24"/>
          <w:szCs w:val="24"/>
          <w:lang w:val="en-GB"/>
        </w:rPr>
        <w:footnoteReference w:id="7"/>
      </w:r>
      <w:r w:rsidRPr="00260A53">
        <w:rPr>
          <w:rFonts w:ascii="Garamond" w:hAnsi="Garamond"/>
          <w:sz w:val="24"/>
          <w:szCs w:val="24"/>
          <w:lang w:val="en-GB"/>
        </w:rPr>
        <w:t xml:space="preserve">  In general, we focus on the Consultation as it could be interpreted to relate to commercial indices used to measure the performance of a security, and specifically, a security issued by a regulated “index” or “tracker” fund.</w:t>
      </w:r>
      <w:r w:rsidRPr="00260A53">
        <w:rPr>
          <w:rStyle w:val="FootnoteReference"/>
          <w:rFonts w:ascii="Garamond" w:hAnsi="Garamond"/>
          <w:sz w:val="24"/>
          <w:szCs w:val="24"/>
          <w:lang w:val="en-GB"/>
        </w:rPr>
        <w:footnoteReference w:id="8"/>
      </w:r>
      <w:r w:rsidRPr="00260A53">
        <w:rPr>
          <w:rFonts w:ascii="Garamond" w:hAnsi="Garamond"/>
          <w:sz w:val="24"/>
          <w:szCs w:val="24"/>
          <w:lang w:val="en-GB"/>
        </w:rPr>
        <w:t xml:space="preserve">  </w:t>
      </w:r>
      <w:r w:rsidR="00F04D63">
        <w:rPr>
          <w:rFonts w:ascii="Garamond" w:hAnsi="Garamond"/>
          <w:sz w:val="24"/>
          <w:szCs w:val="24"/>
          <w:lang w:val="en-GB"/>
        </w:rPr>
        <w:t xml:space="preserve">As </w:t>
      </w:r>
      <w:r w:rsidR="00402CB3">
        <w:rPr>
          <w:rFonts w:ascii="Garamond" w:hAnsi="Garamond"/>
          <w:sz w:val="24"/>
          <w:szCs w:val="24"/>
          <w:lang w:val="en-GB"/>
        </w:rPr>
        <w:t xml:space="preserve">will be clear from our comments </w:t>
      </w:r>
      <w:r w:rsidR="00F04D63">
        <w:rPr>
          <w:rFonts w:ascii="Garamond" w:hAnsi="Garamond"/>
          <w:sz w:val="24"/>
          <w:szCs w:val="24"/>
          <w:lang w:val="en-GB"/>
        </w:rPr>
        <w:t xml:space="preserve">below, </w:t>
      </w:r>
      <w:r w:rsidR="002327AC" w:rsidRPr="00260A53">
        <w:rPr>
          <w:rFonts w:ascii="Garamond" w:hAnsi="Garamond"/>
          <w:sz w:val="24"/>
          <w:szCs w:val="24"/>
          <w:lang w:val="en-GB"/>
        </w:rPr>
        <w:t>the</w:t>
      </w:r>
      <w:r w:rsidR="00402CB3">
        <w:rPr>
          <w:rFonts w:ascii="Garamond" w:hAnsi="Garamond"/>
          <w:sz w:val="24"/>
          <w:szCs w:val="24"/>
          <w:lang w:val="en-GB"/>
        </w:rPr>
        <w:t xml:space="preserve">re is a </w:t>
      </w:r>
      <w:r w:rsidR="002327AC" w:rsidRPr="00260A53">
        <w:rPr>
          <w:rFonts w:ascii="Garamond" w:hAnsi="Garamond"/>
          <w:sz w:val="24"/>
          <w:szCs w:val="24"/>
          <w:lang w:val="en-GB"/>
        </w:rPr>
        <w:t>significant body of existing regulatory requirements and guidelines in the EU that govern the investment in or the replication of indices by</w:t>
      </w:r>
      <w:r w:rsidR="00402CB3">
        <w:rPr>
          <w:rFonts w:ascii="Garamond" w:hAnsi="Garamond"/>
          <w:sz w:val="24"/>
          <w:szCs w:val="24"/>
          <w:lang w:val="en-GB"/>
        </w:rPr>
        <w:t xml:space="preserve"> these funds.</w:t>
      </w:r>
    </w:p>
    <w:p w14:paraId="5C814302" w14:textId="77777777" w:rsidR="00050B06" w:rsidRPr="00260A53" w:rsidRDefault="00DF44F7" w:rsidP="00050B06">
      <w:pPr>
        <w:spacing w:after="240" w:line="240" w:lineRule="auto"/>
        <w:rPr>
          <w:rFonts w:ascii="Garamond" w:hAnsi="Garamond"/>
          <w:sz w:val="24"/>
          <w:szCs w:val="24"/>
          <w:lang w:val="en-GB"/>
        </w:rPr>
      </w:pPr>
      <w:r>
        <w:rPr>
          <w:rFonts w:ascii="Garamond" w:hAnsi="Garamond"/>
          <w:b/>
          <w:sz w:val="24"/>
          <w:szCs w:val="24"/>
          <w:lang w:val="en-GB"/>
        </w:rPr>
        <w:t>Definitions and Scope</w:t>
      </w:r>
    </w:p>
    <w:p w14:paraId="5C814303" w14:textId="77777777" w:rsidR="001C4626" w:rsidRPr="00260A53" w:rsidRDefault="001C4626" w:rsidP="00112E57">
      <w:pPr>
        <w:spacing w:after="240" w:line="240" w:lineRule="auto"/>
        <w:rPr>
          <w:rFonts w:ascii="Garamond" w:hAnsi="Garamond"/>
          <w:sz w:val="24"/>
          <w:szCs w:val="24"/>
          <w:lang w:val="en-GB"/>
        </w:rPr>
      </w:pPr>
      <w:r w:rsidRPr="00260A53">
        <w:rPr>
          <w:rFonts w:ascii="Garamond" w:hAnsi="Garamond"/>
          <w:sz w:val="24"/>
          <w:szCs w:val="24"/>
          <w:lang w:val="en-GB"/>
        </w:rPr>
        <w:t xml:space="preserve">The Consultation clearly has roots in recent events that have eroded confidence in the credibility of LIBOR and similar survey-based benchmarks.  </w:t>
      </w:r>
      <w:r w:rsidR="002D032C" w:rsidRPr="00260A53">
        <w:rPr>
          <w:rFonts w:ascii="Garamond" w:hAnsi="Garamond"/>
          <w:sz w:val="24"/>
          <w:szCs w:val="24"/>
          <w:lang w:val="en-GB"/>
        </w:rPr>
        <w:t>As is the case with IOSCO’s consultation</w:t>
      </w:r>
      <w:r w:rsidR="00F6398D" w:rsidRPr="00260A53">
        <w:rPr>
          <w:rFonts w:ascii="Garamond" w:hAnsi="Garamond"/>
          <w:sz w:val="24"/>
          <w:szCs w:val="24"/>
          <w:lang w:val="en-GB"/>
        </w:rPr>
        <w:t xml:space="preserve"> and</w:t>
      </w:r>
      <w:r w:rsidR="002D032C" w:rsidRPr="00260A53">
        <w:rPr>
          <w:rFonts w:ascii="Garamond" w:hAnsi="Garamond"/>
          <w:sz w:val="24"/>
          <w:szCs w:val="24"/>
          <w:lang w:val="en-GB"/>
        </w:rPr>
        <w:t xml:space="preserve"> the definition of </w:t>
      </w:r>
      <w:r w:rsidR="00F6398D" w:rsidRPr="00260A53">
        <w:rPr>
          <w:rFonts w:ascii="Garamond" w:hAnsi="Garamond"/>
          <w:sz w:val="24"/>
          <w:szCs w:val="24"/>
          <w:lang w:val="en-GB"/>
        </w:rPr>
        <w:t>“</w:t>
      </w:r>
      <w:r w:rsidR="002D032C" w:rsidRPr="00260A53">
        <w:rPr>
          <w:rFonts w:ascii="Garamond" w:hAnsi="Garamond"/>
          <w:sz w:val="24"/>
          <w:szCs w:val="24"/>
          <w:lang w:val="en-GB"/>
        </w:rPr>
        <w:t>benchmarks</w:t>
      </w:r>
      <w:r w:rsidR="00F6398D" w:rsidRPr="00260A53">
        <w:rPr>
          <w:rFonts w:ascii="Garamond" w:hAnsi="Garamond"/>
          <w:sz w:val="24"/>
          <w:szCs w:val="24"/>
          <w:lang w:val="en-GB"/>
        </w:rPr>
        <w:t xml:space="preserve">” proposed by the European Commission in the recent EU market abuse legislative reforms, the scope of this Consultation is </w:t>
      </w:r>
      <w:r w:rsidRPr="00260A53">
        <w:rPr>
          <w:rFonts w:ascii="Garamond" w:hAnsi="Garamond"/>
          <w:sz w:val="24"/>
          <w:szCs w:val="24"/>
          <w:lang w:val="en-GB"/>
        </w:rPr>
        <w:t>however</w:t>
      </w:r>
      <w:r w:rsidR="00F6398D" w:rsidRPr="00260A53">
        <w:rPr>
          <w:rFonts w:ascii="Garamond" w:hAnsi="Garamond"/>
          <w:sz w:val="24"/>
          <w:szCs w:val="24"/>
          <w:lang w:val="en-GB"/>
        </w:rPr>
        <w:t xml:space="preserve"> far broader. Specifically, </w:t>
      </w:r>
      <w:r w:rsidR="00F04D63">
        <w:rPr>
          <w:rFonts w:ascii="Garamond" w:hAnsi="Garamond"/>
          <w:sz w:val="24"/>
          <w:szCs w:val="24"/>
          <w:lang w:val="en-GB"/>
        </w:rPr>
        <w:t>the definition</w:t>
      </w:r>
      <w:r w:rsidR="00F6398D" w:rsidRPr="00260A53">
        <w:rPr>
          <w:rFonts w:ascii="Garamond" w:hAnsi="Garamond"/>
          <w:sz w:val="24"/>
          <w:szCs w:val="24"/>
          <w:lang w:val="en-GB"/>
        </w:rPr>
        <w:t xml:space="preserve"> </w:t>
      </w:r>
      <w:r w:rsidR="00F04D63">
        <w:rPr>
          <w:rFonts w:ascii="Garamond" w:hAnsi="Garamond"/>
          <w:sz w:val="24"/>
          <w:szCs w:val="24"/>
          <w:lang w:val="en-GB"/>
        </w:rPr>
        <w:t xml:space="preserve">of what constitutes a benchmark </w:t>
      </w:r>
      <w:r w:rsidR="004D7A58">
        <w:rPr>
          <w:rFonts w:ascii="Garamond" w:hAnsi="Garamond"/>
          <w:sz w:val="24"/>
          <w:szCs w:val="24"/>
          <w:lang w:val="en-GB"/>
        </w:rPr>
        <w:t>refers to the concept of</w:t>
      </w:r>
      <w:r w:rsidR="00F6398D" w:rsidRPr="00260A53">
        <w:rPr>
          <w:rFonts w:ascii="Garamond" w:hAnsi="Garamond"/>
          <w:sz w:val="24"/>
          <w:szCs w:val="24"/>
          <w:lang w:val="en-GB"/>
        </w:rPr>
        <w:t xml:space="preserve"> measuring or assessing the performance </w:t>
      </w:r>
      <w:r w:rsidR="009D77DA" w:rsidRPr="00260A53">
        <w:rPr>
          <w:rFonts w:ascii="Garamond" w:hAnsi="Garamond"/>
          <w:sz w:val="24"/>
          <w:szCs w:val="24"/>
          <w:lang w:val="en-GB"/>
        </w:rPr>
        <w:t>of a financial instrument.</w:t>
      </w:r>
      <w:r w:rsidR="00F6398D" w:rsidRPr="00260A53">
        <w:rPr>
          <w:rFonts w:ascii="Garamond" w:hAnsi="Garamond"/>
          <w:sz w:val="24"/>
          <w:szCs w:val="24"/>
          <w:lang w:val="en-GB"/>
        </w:rPr>
        <w:t xml:space="preserve"> </w:t>
      </w:r>
      <w:r w:rsidRPr="00260A53">
        <w:rPr>
          <w:rFonts w:ascii="Garamond" w:hAnsi="Garamond"/>
          <w:sz w:val="24"/>
          <w:szCs w:val="24"/>
          <w:lang w:val="en-GB"/>
        </w:rPr>
        <w:t xml:space="preserve">IOSCO contemplates </w:t>
      </w:r>
      <w:r w:rsidR="00F6398D" w:rsidRPr="00260A53">
        <w:rPr>
          <w:rFonts w:ascii="Garamond" w:hAnsi="Garamond"/>
          <w:sz w:val="24"/>
          <w:szCs w:val="24"/>
          <w:lang w:val="en-GB"/>
        </w:rPr>
        <w:t xml:space="preserve">that its </w:t>
      </w:r>
      <w:r w:rsidRPr="00260A53">
        <w:rPr>
          <w:rFonts w:ascii="Garamond" w:hAnsi="Garamond"/>
          <w:sz w:val="24"/>
          <w:szCs w:val="24"/>
          <w:lang w:val="en-GB"/>
        </w:rPr>
        <w:t xml:space="preserve">recommendations would apply not only to benchmarks such as LIBOR, but also to exchange-traded products that track </w:t>
      </w:r>
      <w:r w:rsidR="00050B06" w:rsidRPr="00260A53">
        <w:rPr>
          <w:rFonts w:ascii="Garamond" w:hAnsi="Garamond"/>
          <w:sz w:val="24"/>
          <w:szCs w:val="24"/>
          <w:lang w:val="en-GB"/>
        </w:rPr>
        <w:t>indices</w:t>
      </w:r>
      <w:r w:rsidR="00222848" w:rsidRPr="00260A53">
        <w:rPr>
          <w:rFonts w:ascii="Garamond" w:hAnsi="Garamond"/>
          <w:sz w:val="24"/>
          <w:szCs w:val="24"/>
          <w:lang w:val="en-GB"/>
        </w:rPr>
        <w:t>, such as ETFs</w:t>
      </w:r>
      <w:r w:rsidRPr="00260A53">
        <w:rPr>
          <w:rFonts w:ascii="Garamond" w:hAnsi="Garamond"/>
          <w:sz w:val="24"/>
          <w:szCs w:val="24"/>
          <w:lang w:val="en-GB"/>
        </w:rPr>
        <w:t>.</w:t>
      </w:r>
      <w:r w:rsidR="009D77DA" w:rsidRPr="00260A53">
        <w:rPr>
          <w:rStyle w:val="FootnoteReference"/>
          <w:rFonts w:ascii="Garamond" w:hAnsi="Garamond"/>
          <w:sz w:val="24"/>
          <w:szCs w:val="24"/>
          <w:lang w:val="en-GB"/>
        </w:rPr>
        <w:footnoteReference w:id="9"/>
      </w:r>
      <w:r w:rsidR="009D77DA" w:rsidRPr="00260A53">
        <w:rPr>
          <w:rFonts w:ascii="Garamond" w:hAnsi="Garamond"/>
          <w:sz w:val="24"/>
          <w:szCs w:val="24"/>
          <w:lang w:val="en-GB"/>
        </w:rPr>
        <w:t xml:space="preserve">  </w:t>
      </w:r>
      <w:r w:rsidR="004D7A58">
        <w:rPr>
          <w:rFonts w:ascii="Garamond" w:hAnsi="Garamond"/>
          <w:sz w:val="24"/>
          <w:szCs w:val="24"/>
          <w:lang w:val="en-GB"/>
        </w:rPr>
        <w:t>The references in the Consultation to the activities of individual and collective portfolio management activities</w:t>
      </w:r>
      <w:r w:rsidR="004D7A58">
        <w:rPr>
          <w:rStyle w:val="FootnoteReference"/>
          <w:rFonts w:ascii="Garamond" w:hAnsi="Garamond"/>
          <w:sz w:val="24"/>
          <w:szCs w:val="24"/>
          <w:lang w:val="en-GB"/>
        </w:rPr>
        <w:footnoteReference w:id="10"/>
      </w:r>
      <w:r w:rsidR="004D7A58">
        <w:rPr>
          <w:rFonts w:ascii="Garamond" w:hAnsi="Garamond"/>
          <w:sz w:val="24"/>
          <w:szCs w:val="24"/>
          <w:lang w:val="en-GB"/>
        </w:rPr>
        <w:t xml:space="preserve"> would appear to capture an even broad</w:t>
      </w:r>
      <w:r w:rsidR="00402CB3">
        <w:rPr>
          <w:rFonts w:ascii="Garamond" w:hAnsi="Garamond"/>
          <w:sz w:val="24"/>
          <w:szCs w:val="24"/>
          <w:lang w:val="en-GB"/>
        </w:rPr>
        <w:t>er</w:t>
      </w:r>
      <w:r w:rsidR="004D7A58">
        <w:rPr>
          <w:rFonts w:ascii="Garamond" w:hAnsi="Garamond"/>
          <w:sz w:val="24"/>
          <w:szCs w:val="24"/>
          <w:lang w:val="en-GB"/>
        </w:rPr>
        <w:t xml:space="preserve"> range of products in the EU.</w:t>
      </w:r>
    </w:p>
    <w:p w14:paraId="5C814304" w14:textId="77777777" w:rsidR="002770DB" w:rsidRPr="00260A53" w:rsidRDefault="002770DB" w:rsidP="00112E57">
      <w:pPr>
        <w:spacing w:after="240" w:line="240" w:lineRule="auto"/>
        <w:rPr>
          <w:rFonts w:ascii="Garamond" w:hAnsi="Garamond"/>
          <w:sz w:val="24"/>
          <w:szCs w:val="24"/>
          <w:lang w:val="en-GB"/>
        </w:rPr>
      </w:pPr>
      <w:r w:rsidRPr="00260A53">
        <w:rPr>
          <w:rFonts w:ascii="Garamond" w:hAnsi="Garamond"/>
          <w:sz w:val="24"/>
          <w:szCs w:val="24"/>
          <w:lang w:val="en-GB"/>
        </w:rPr>
        <w:t xml:space="preserve">The very first question in the Consultation is whether we agree with this scope.  As suggested above, we see it as overly broad.  </w:t>
      </w:r>
      <w:r w:rsidR="00C1617D" w:rsidRPr="00260A53">
        <w:rPr>
          <w:rFonts w:ascii="Garamond" w:hAnsi="Garamond"/>
          <w:sz w:val="24"/>
          <w:szCs w:val="24"/>
          <w:lang w:val="en-GB"/>
        </w:rPr>
        <w:t>Commercial indices do not share the characteristics that underlie the erosion of confidence in LIBOR, namely, a survey-based methodology that is susceptible to manipulation.  As a result, a</w:t>
      </w:r>
      <w:r w:rsidRPr="00260A53">
        <w:rPr>
          <w:rFonts w:ascii="Garamond" w:hAnsi="Garamond"/>
          <w:sz w:val="24"/>
          <w:szCs w:val="24"/>
          <w:lang w:val="en-GB"/>
        </w:rPr>
        <w:t xml:space="preserve">ny attempt to develop of a single set of regulatory principles to address the entire diverse universe of benchmarks and commercial indices </w:t>
      </w:r>
      <w:r w:rsidR="00C1617D" w:rsidRPr="00260A53">
        <w:rPr>
          <w:rFonts w:ascii="Garamond" w:hAnsi="Garamond"/>
          <w:sz w:val="24"/>
          <w:szCs w:val="24"/>
          <w:lang w:val="en-GB"/>
        </w:rPr>
        <w:t>would be</w:t>
      </w:r>
      <w:r w:rsidRPr="00260A53">
        <w:rPr>
          <w:rFonts w:ascii="Garamond" w:hAnsi="Garamond"/>
          <w:sz w:val="24"/>
          <w:szCs w:val="24"/>
          <w:lang w:val="en-GB"/>
        </w:rPr>
        <w:t xml:space="preserve"> ill advised, in our view.  </w:t>
      </w:r>
    </w:p>
    <w:p w14:paraId="5C814305" w14:textId="77777777" w:rsidR="00B2761C" w:rsidRPr="00260A53" w:rsidRDefault="00B2761C" w:rsidP="00112E57">
      <w:pPr>
        <w:spacing w:after="240" w:line="240" w:lineRule="auto"/>
        <w:rPr>
          <w:rFonts w:ascii="Garamond" w:hAnsi="Garamond"/>
          <w:sz w:val="24"/>
          <w:szCs w:val="24"/>
          <w:lang w:val="en-GB"/>
        </w:rPr>
      </w:pPr>
      <w:r w:rsidRPr="00260A53">
        <w:rPr>
          <w:rFonts w:ascii="Garamond" w:hAnsi="Garamond"/>
          <w:sz w:val="24"/>
          <w:szCs w:val="24"/>
          <w:lang w:val="en-GB"/>
        </w:rPr>
        <w:lastRenderedPageBreak/>
        <w:t>ICI and ICI Global have supported efforts to reform the process for establishing LIBOR and other survey-based benchmarks.</w:t>
      </w:r>
      <w:r w:rsidRPr="00260A53">
        <w:rPr>
          <w:rStyle w:val="FootnoteReference"/>
          <w:rFonts w:ascii="Garamond" w:hAnsi="Garamond"/>
          <w:sz w:val="24"/>
          <w:szCs w:val="24"/>
          <w:lang w:val="en-GB"/>
        </w:rPr>
        <w:footnoteReference w:id="11"/>
      </w:r>
      <w:r w:rsidRPr="00260A53">
        <w:rPr>
          <w:rFonts w:ascii="Garamond" w:hAnsi="Garamond"/>
          <w:sz w:val="24"/>
          <w:szCs w:val="24"/>
          <w:lang w:val="en-GB"/>
        </w:rPr>
        <w:t xml:space="preserve">  In particular, we support measures that could strengthen the credibility of those benchmarks, make the rate-setting process more fact-based and transparent by using transaction data to the greatest extent possible, and improve governance over rate submissions and calculations.  </w:t>
      </w:r>
    </w:p>
    <w:p w14:paraId="5C814306" w14:textId="77777777" w:rsidR="00050B06" w:rsidRPr="00260A53" w:rsidRDefault="002770DB" w:rsidP="00112E57">
      <w:pPr>
        <w:spacing w:after="240" w:line="240" w:lineRule="auto"/>
        <w:rPr>
          <w:rFonts w:ascii="Garamond" w:hAnsi="Garamond"/>
          <w:sz w:val="24"/>
          <w:szCs w:val="24"/>
          <w:lang w:val="en-GB"/>
        </w:rPr>
      </w:pPr>
      <w:r w:rsidRPr="00260A53">
        <w:rPr>
          <w:rFonts w:ascii="Garamond" w:hAnsi="Garamond"/>
          <w:sz w:val="24"/>
          <w:szCs w:val="24"/>
          <w:lang w:val="en-GB"/>
        </w:rPr>
        <w:t>C</w:t>
      </w:r>
      <w:r w:rsidR="00CD292E" w:rsidRPr="00260A53">
        <w:rPr>
          <w:rFonts w:ascii="Garamond" w:hAnsi="Garamond"/>
          <w:sz w:val="24"/>
          <w:szCs w:val="24"/>
          <w:lang w:val="en-GB"/>
        </w:rPr>
        <w:t>ommercial indices</w:t>
      </w:r>
      <w:r w:rsidRPr="00260A53">
        <w:rPr>
          <w:rFonts w:ascii="Garamond" w:hAnsi="Garamond"/>
          <w:sz w:val="24"/>
          <w:szCs w:val="24"/>
          <w:lang w:val="en-GB"/>
        </w:rPr>
        <w:t>, on the other hand,</w:t>
      </w:r>
      <w:r w:rsidR="00CD292E" w:rsidRPr="00260A53">
        <w:rPr>
          <w:rFonts w:ascii="Garamond" w:hAnsi="Garamond"/>
          <w:sz w:val="24"/>
          <w:szCs w:val="24"/>
          <w:lang w:val="en-GB"/>
        </w:rPr>
        <w:t xml:space="preserve"> </w:t>
      </w:r>
      <w:r w:rsidRPr="00260A53">
        <w:rPr>
          <w:rFonts w:ascii="Garamond" w:hAnsi="Garamond"/>
          <w:sz w:val="24"/>
          <w:szCs w:val="24"/>
          <w:lang w:val="en-GB"/>
        </w:rPr>
        <w:t xml:space="preserve">are subject to existing regulation and market forces that provide </w:t>
      </w:r>
      <w:r w:rsidR="00260FB2" w:rsidRPr="00260A53">
        <w:rPr>
          <w:rFonts w:ascii="Garamond" w:hAnsi="Garamond"/>
          <w:sz w:val="24"/>
          <w:szCs w:val="24"/>
          <w:lang w:val="en-GB"/>
        </w:rPr>
        <w:t xml:space="preserve">a number checks and balances that mitigate </w:t>
      </w:r>
      <w:r w:rsidRPr="00260A53">
        <w:rPr>
          <w:rFonts w:ascii="Garamond" w:hAnsi="Garamond"/>
          <w:sz w:val="24"/>
          <w:szCs w:val="24"/>
          <w:lang w:val="en-GB"/>
        </w:rPr>
        <w:t>the</w:t>
      </w:r>
      <w:r w:rsidR="00260FB2" w:rsidRPr="00260A53">
        <w:rPr>
          <w:rFonts w:ascii="Garamond" w:hAnsi="Garamond"/>
          <w:sz w:val="24"/>
          <w:szCs w:val="24"/>
          <w:lang w:val="en-GB"/>
        </w:rPr>
        <w:t xml:space="preserve"> concerns</w:t>
      </w:r>
      <w:r w:rsidRPr="00260A53">
        <w:rPr>
          <w:rFonts w:ascii="Garamond" w:hAnsi="Garamond"/>
          <w:sz w:val="24"/>
          <w:szCs w:val="24"/>
          <w:lang w:val="en-GB"/>
        </w:rPr>
        <w:t xml:space="preserve"> expressed over LIBOR and other survey-based benchmarks</w:t>
      </w:r>
      <w:r w:rsidR="00260FB2" w:rsidRPr="00260A53">
        <w:rPr>
          <w:rFonts w:ascii="Garamond" w:hAnsi="Garamond"/>
          <w:sz w:val="24"/>
          <w:szCs w:val="24"/>
          <w:lang w:val="en-GB"/>
        </w:rPr>
        <w:t xml:space="preserve">.  We therefore urge </w:t>
      </w:r>
      <w:r w:rsidR="004D7A58">
        <w:rPr>
          <w:rFonts w:ascii="Garamond" w:hAnsi="Garamond"/>
          <w:sz w:val="24"/>
          <w:szCs w:val="24"/>
          <w:lang w:val="en-GB"/>
        </w:rPr>
        <w:t>the Task Force</w:t>
      </w:r>
      <w:r w:rsidR="00260FB2" w:rsidRPr="00260A53">
        <w:rPr>
          <w:rFonts w:ascii="Garamond" w:hAnsi="Garamond"/>
          <w:sz w:val="24"/>
          <w:szCs w:val="24"/>
          <w:lang w:val="en-GB"/>
        </w:rPr>
        <w:t xml:space="preserve"> to evaluate benchmarks </w:t>
      </w:r>
      <w:r w:rsidR="00CD292E" w:rsidRPr="00260A53">
        <w:rPr>
          <w:rFonts w:ascii="Garamond" w:hAnsi="Garamond"/>
          <w:sz w:val="24"/>
          <w:szCs w:val="24"/>
          <w:lang w:val="en-GB"/>
        </w:rPr>
        <w:t xml:space="preserve">and commercial indices </w:t>
      </w:r>
      <w:r w:rsidRPr="00260A53">
        <w:rPr>
          <w:rFonts w:ascii="Garamond" w:hAnsi="Garamond"/>
          <w:sz w:val="24"/>
          <w:szCs w:val="24"/>
          <w:lang w:val="en-GB"/>
        </w:rPr>
        <w:t>separately</w:t>
      </w:r>
      <w:r w:rsidR="004D49FB" w:rsidRPr="00260A53">
        <w:rPr>
          <w:rFonts w:ascii="Garamond" w:hAnsi="Garamond"/>
          <w:sz w:val="24"/>
          <w:szCs w:val="24"/>
          <w:lang w:val="en-GB"/>
        </w:rPr>
        <w:t xml:space="preserve">.  Should </w:t>
      </w:r>
      <w:r w:rsidR="004D7A58">
        <w:rPr>
          <w:rFonts w:ascii="Garamond" w:hAnsi="Garamond"/>
          <w:sz w:val="24"/>
          <w:szCs w:val="24"/>
          <w:lang w:val="en-GB"/>
        </w:rPr>
        <w:t>the Task Force</w:t>
      </w:r>
      <w:r w:rsidR="004D49FB" w:rsidRPr="00260A53">
        <w:rPr>
          <w:rFonts w:ascii="Garamond" w:hAnsi="Garamond"/>
          <w:sz w:val="24"/>
          <w:szCs w:val="24"/>
          <w:lang w:val="en-GB"/>
        </w:rPr>
        <w:t xml:space="preserve"> identify any concerns specific to commercial indices, it should then examine whether </w:t>
      </w:r>
      <w:r w:rsidR="00260FB2" w:rsidRPr="00260A53">
        <w:rPr>
          <w:rFonts w:ascii="Garamond" w:hAnsi="Garamond"/>
          <w:sz w:val="24"/>
          <w:szCs w:val="24"/>
          <w:lang w:val="en-GB"/>
        </w:rPr>
        <w:t xml:space="preserve">regulatory </w:t>
      </w:r>
      <w:r w:rsidR="004D49FB" w:rsidRPr="00260A53">
        <w:rPr>
          <w:rFonts w:ascii="Garamond" w:hAnsi="Garamond"/>
          <w:sz w:val="24"/>
          <w:szCs w:val="24"/>
          <w:lang w:val="en-GB"/>
        </w:rPr>
        <w:t xml:space="preserve">or market-based </w:t>
      </w:r>
      <w:r w:rsidR="00260FB2" w:rsidRPr="00260A53">
        <w:rPr>
          <w:rFonts w:ascii="Garamond" w:hAnsi="Garamond"/>
          <w:sz w:val="24"/>
          <w:szCs w:val="24"/>
          <w:lang w:val="en-GB"/>
        </w:rPr>
        <w:t xml:space="preserve">solutions already exist to address </w:t>
      </w:r>
      <w:r w:rsidR="004D49FB" w:rsidRPr="00260A53">
        <w:rPr>
          <w:rFonts w:ascii="Garamond" w:hAnsi="Garamond"/>
          <w:sz w:val="24"/>
          <w:szCs w:val="24"/>
          <w:lang w:val="en-GB"/>
        </w:rPr>
        <w:t>those</w:t>
      </w:r>
      <w:r w:rsidR="00B2761C" w:rsidRPr="00260A53">
        <w:rPr>
          <w:rFonts w:ascii="Garamond" w:hAnsi="Garamond"/>
          <w:sz w:val="24"/>
          <w:szCs w:val="24"/>
          <w:lang w:val="en-GB"/>
        </w:rPr>
        <w:t xml:space="preserve"> concerns</w:t>
      </w:r>
      <w:r w:rsidR="004D49FB" w:rsidRPr="00260A53">
        <w:rPr>
          <w:rFonts w:ascii="Garamond" w:hAnsi="Garamond"/>
          <w:sz w:val="24"/>
          <w:szCs w:val="24"/>
          <w:lang w:val="en-GB"/>
        </w:rPr>
        <w:t xml:space="preserve">.  Only if </w:t>
      </w:r>
      <w:r w:rsidR="004D7A58">
        <w:rPr>
          <w:rFonts w:ascii="Garamond" w:hAnsi="Garamond"/>
          <w:sz w:val="24"/>
          <w:szCs w:val="24"/>
          <w:lang w:val="en-GB"/>
        </w:rPr>
        <w:t>the Task Force</w:t>
      </w:r>
      <w:r w:rsidR="004D49FB" w:rsidRPr="00260A53">
        <w:rPr>
          <w:rFonts w:ascii="Garamond" w:hAnsi="Garamond"/>
          <w:sz w:val="24"/>
          <w:szCs w:val="24"/>
          <w:lang w:val="en-GB"/>
        </w:rPr>
        <w:t xml:space="preserve"> finds that its concerns are not adequately addressed should it consider </w:t>
      </w:r>
      <w:r w:rsidR="00B2761C" w:rsidRPr="00260A53">
        <w:rPr>
          <w:rFonts w:ascii="Garamond" w:hAnsi="Garamond"/>
          <w:sz w:val="24"/>
          <w:szCs w:val="24"/>
          <w:lang w:val="en-GB"/>
        </w:rPr>
        <w:t xml:space="preserve">regulatory </w:t>
      </w:r>
      <w:r w:rsidR="004D49FB" w:rsidRPr="00260A53">
        <w:rPr>
          <w:rFonts w:ascii="Garamond" w:hAnsi="Garamond"/>
          <w:sz w:val="24"/>
          <w:szCs w:val="24"/>
          <w:lang w:val="en-GB"/>
        </w:rPr>
        <w:t>recommendations</w:t>
      </w:r>
      <w:r w:rsidR="00260FB2" w:rsidRPr="00260A53">
        <w:rPr>
          <w:rFonts w:ascii="Garamond" w:hAnsi="Garamond"/>
          <w:sz w:val="24"/>
          <w:szCs w:val="24"/>
          <w:lang w:val="en-GB"/>
        </w:rPr>
        <w:t>.</w:t>
      </w:r>
      <w:r w:rsidR="006D0945" w:rsidRPr="00260A53">
        <w:rPr>
          <w:rFonts w:ascii="Garamond" w:hAnsi="Garamond"/>
          <w:sz w:val="24"/>
          <w:szCs w:val="24"/>
          <w:lang w:val="en-GB"/>
        </w:rPr>
        <w:t xml:space="preserve"> </w:t>
      </w:r>
    </w:p>
    <w:p w14:paraId="5C814307" w14:textId="77777777" w:rsidR="002327AC" w:rsidRPr="00260A53" w:rsidRDefault="00402CB3" w:rsidP="00112E57">
      <w:pPr>
        <w:spacing w:after="240" w:line="240" w:lineRule="auto"/>
        <w:rPr>
          <w:rFonts w:ascii="Garamond" w:hAnsi="Garamond"/>
          <w:sz w:val="24"/>
          <w:szCs w:val="24"/>
          <w:lang w:val="en-GB"/>
        </w:rPr>
      </w:pPr>
      <w:r>
        <w:rPr>
          <w:rFonts w:ascii="Garamond" w:hAnsi="Garamond"/>
          <w:sz w:val="24"/>
          <w:szCs w:val="24"/>
          <w:lang w:val="en-GB"/>
        </w:rPr>
        <w:t>For example, t</w:t>
      </w:r>
      <w:r w:rsidR="00260A53" w:rsidRPr="00260A53">
        <w:rPr>
          <w:rFonts w:ascii="Garamond" w:hAnsi="Garamond"/>
          <w:sz w:val="24"/>
          <w:szCs w:val="24"/>
          <w:lang w:val="en-GB"/>
        </w:rPr>
        <w:t>he UCITS Directive sets ou</w:t>
      </w:r>
      <w:r>
        <w:rPr>
          <w:rFonts w:ascii="Garamond" w:hAnsi="Garamond"/>
          <w:sz w:val="24"/>
          <w:szCs w:val="24"/>
          <w:lang w:val="en-GB"/>
        </w:rPr>
        <w:t>t</w:t>
      </w:r>
      <w:r w:rsidR="00260A53" w:rsidRPr="00260A53">
        <w:rPr>
          <w:rFonts w:ascii="Garamond" w:hAnsi="Garamond"/>
          <w:sz w:val="24"/>
          <w:szCs w:val="24"/>
          <w:lang w:val="en-GB"/>
        </w:rPr>
        <w:t xml:space="preserve"> criteria for investment funds whose policy is to replicate the composition of a certain stock or debt securities index which in turn has to be </w:t>
      </w:r>
      <w:r w:rsidR="00260A53">
        <w:rPr>
          <w:rFonts w:ascii="Garamond" w:hAnsi="Garamond"/>
          <w:sz w:val="24"/>
          <w:szCs w:val="24"/>
          <w:lang w:val="en-GB"/>
        </w:rPr>
        <w:t>recognis</w:t>
      </w:r>
      <w:r w:rsidR="00260A53" w:rsidRPr="00260A53">
        <w:rPr>
          <w:rFonts w:ascii="Garamond" w:hAnsi="Garamond"/>
          <w:sz w:val="24"/>
          <w:szCs w:val="24"/>
          <w:lang w:val="en-GB"/>
        </w:rPr>
        <w:t>ed by regulatory authorities.</w:t>
      </w:r>
      <w:r w:rsidR="00260A53">
        <w:rPr>
          <w:rStyle w:val="FootnoteReference"/>
          <w:rFonts w:ascii="Garamond" w:hAnsi="Garamond"/>
          <w:sz w:val="24"/>
          <w:szCs w:val="24"/>
          <w:lang w:val="en-GB"/>
        </w:rPr>
        <w:footnoteReference w:id="12"/>
      </w:r>
      <w:r w:rsidR="00BE404B">
        <w:rPr>
          <w:rFonts w:ascii="Garamond" w:hAnsi="Garamond"/>
          <w:sz w:val="24"/>
          <w:szCs w:val="24"/>
          <w:lang w:val="en-GB"/>
        </w:rPr>
        <w:t xml:space="preserve"> Furthermore, the Eligible Assets Directive (EAD) lays down a number of additional criteria concerning the diversification, adequacy and publication of financial indices into which UCITS may invest or replicate.</w:t>
      </w:r>
      <w:r w:rsidR="00BE404B">
        <w:rPr>
          <w:rStyle w:val="FootnoteReference"/>
          <w:rFonts w:ascii="Garamond" w:hAnsi="Garamond"/>
          <w:sz w:val="24"/>
          <w:szCs w:val="24"/>
          <w:lang w:val="en-GB"/>
        </w:rPr>
        <w:footnoteReference w:id="13"/>
      </w:r>
      <w:r w:rsidR="00BE404B">
        <w:rPr>
          <w:rFonts w:ascii="Garamond" w:hAnsi="Garamond"/>
          <w:sz w:val="24"/>
          <w:szCs w:val="24"/>
          <w:lang w:val="en-GB"/>
        </w:rPr>
        <w:t xml:space="preserve"> This is in turn supplemented by CESR guidelines </w:t>
      </w:r>
      <w:r w:rsidR="003938BE">
        <w:rPr>
          <w:rFonts w:ascii="Garamond" w:hAnsi="Garamond"/>
          <w:sz w:val="24"/>
          <w:szCs w:val="24"/>
          <w:lang w:val="en-GB"/>
        </w:rPr>
        <w:t>governing the eligibility of financial indices as investments for UCITS including where they are comprised of specific underlying assets such as financial derivatives on commodities and property</w:t>
      </w:r>
      <w:r w:rsidR="003938BE">
        <w:rPr>
          <w:rStyle w:val="FootnoteReference"/>
          <w:rFonts w:ascii="Garamond" w:hAnsi="Garamond"/>
          <w:sz w:val="24"/>
          <w:szCs w:val="24"/>
          <w:lang w:val="en-GB"/>
        </w:rPr>
        <w:footnoteReference w:id="14"/>
      </w:r>
      <w:r w:rsidR="003938BE">
        <w:rPr>
          <w:rFonts w:ascii="Garamond" w:hAnsi="Garamond"/>
          <w:sz w:val="24"/>
          <w:szCs w:val="24"/>
          <w:lang w:val="en-GB"/>
        </w:rPr>
        <w:t xml:space="preserve"> and </w:t>
      </w:r>
      <w:r w:rsidR="00F24D58">
        <w:rPr>
          <w:rFonts w:ascii="Garamond" w:hAnsi="Garamond"/>
          <w:sz w:val="24"/>
          <w:szCs w:val="24"/>
          <w:lang w:val="en-GB"/>
        </w:rPr>
        <w:t xml:space="preserve">based </w:t>
      </w:r>
      <w:r w:rsidR="003938BE">
        <w:rPr>
          <w:rFonts w:ascii="Garamond" w:hAnsi="Garamond"/>
          <w:sz w:val="24"/>
          <w:szCs w:val="24"/>
          <w:lang w:val="en-GB"/>
        </w:rPr>
        <w:t>on hedge funds.</w:t>
      </w:r>
      <w:r w:rsidR="003938BE">
        <w:rPr>
          <w:rStyle w:val="FootnoteReference"/>
          <w:rFonts w:ascii="Garamond" w:hAnsi="Garamond"/>
          <w:sz w:val="24"/>
          <w:szCs w:val="24"/>
          <w:lang w:val="en-GB"/>
        </w:rPr>
        <w:footnoteReference w:id="15"/>
      </w:r>
    </w:p>
    <w:p w14:paraId="5C814308" w14:textId="77777777" w:rsidR="00545F15" w:rsidRDefault="00F24D58" w:rsidP="001129FE">
      <w:pPr>
        <w:spacing w:after="240" w:line="240" w:lineRule="auto"/>
        <w:rPr>
          <w:rFonts w:ascii="Garamond" w:hAnsi="Garamond"/>
          <w:sz w:val="24"/>
          <w:szCs w:val="24"/>
          <w:lang w:val="en-GB"/>
        </w:rPr>
      </w:pPr>
      <w:r>
        <w:rPr>
          <w:rFonts w:ascii="Garamond" w:hAnsi="Garamond"/>
          <w:sz w:val="24"/>
          <w:szCs w:val="24"/>
          <w:lang w:val="en-GB"/>
        </w:rPr>
        <w:t>As we have outlined in further detail below, we</w:t>
      </w:r>
      <w:r w:rsidR="00545F15" w:rsidRPr="00545F15">
        <w:rPr>
          <w:rFonts w:ascii="Garamond" w:hAnsi="Garamond"/>
          <w:sz w:val="24"/>
          <w:szCs w:val="24"/>
          <w:lang w:val="en-GB"/>
        </w:rPr>
        <w:t xml:space="preserve"> consider that the Task Force should </w:t>
      </w:r>
      <w:r w:rsidR="00545F15">
        <w:rPr>
          <w:rFonts w:ascii="Garamond" w:hAnsi="Garamond"/>
          <w:sz w:val="24"/>
          <w:szCs w:val="24"/>
          <w:lang w:val="en-GB"/>
        </w:rPr>
        <w:t>take account of the e</w:t>
      </w:r>
      <w:r>
        <w:rPr>
          <w:rFonts w:ascii="Garamond" w:hAnsi="Garamond"/>
          <w:sz w:val="24"/>
          <w:szCs w:val="24"/>
          <w:lang w:val="en-GB"/>
        </w:rPr>
        <w:t>xisting framework of regulation in determining whether it is necessary to impose additional layers of regulation through the interim Principles it is proposing.</w:t>
      </w:r>
    </w:p>
    <w:p w14:paraId="5C814309" w14:textId="77777777" w:rsidR="00F24D58" w:rsidRPr="00260A53" w:rsidRDefault="00F24D58" w:rsidP="00F24D58">
      <w:pPr>
        <w:spacing w:after="240" w:line="240" w:lineRule="auto"/>
        <w:rPr>
          <w:rFonts w:ascii="Garamond" w:hAnsi="Garamond"/>
          <w:b/>
          <w:sz w:val="24"/>
          <w:szCs w:val="24"/>
          <w:lang w:val="en-GB"/>
        </w:rPr>
      </w:pPr>
      <w:r>
        <w:rPr>
          <w:rFonts w:ascii="Garamond" w:hAnsi="Garamond"/>
          <w:b/>
          <w:sz w:val="24"/>
          <w:szCs w:val="24"/>
          <w:lang w:val="en-GB"/>
        </w:rPr>
        <w:t>Benchmarks-setting processes</w:t>
      </w:r>
    </w:p>
    <w:p w14:paraId="5C81430A" w14:textId="77777777" w:rsidR="00F24D58" w:rsidRPr="00260A53" w:rsidRDefault="00F24D58" w:rsidP="00F24D58">
      <w:pPr>
        <w:spacing w:after="240" w:line="240" w:lineRule="auto"/>
        <w:rPr>
          <w:rFonts w:ascii="Garamond" w:hAnsi="Garamond"/>
          <w:sz w:val="24"/>
          <w:szCs w:val="24"/>
          <w:lang w:val="en-GB"/>
        </w:rPr>
      </w:pPr>
      <w:r>
        <w:rPr>
          <w:rFonts w:ascii="Garamond" w:hAnsi="Garamond"/>
          <w:sz w:val="24"/>
          <w:szCs w:val="24"/>
          <w:lang w:val="en-GB"/>
        </w:rPr>
        <w:t xml:space="preserve">The Consultation sets out the Task Force’s concerns and outlines a number of general considerations on benchmarks. </w:t>
      </w:r>
      <w:r w:rsidR="002878E6">
        <w:rPr>
          <w:rFonts w:ascii="Garamond" w:hAnsi="Garamond"/>
          <w:sz w:val="24"/>
          <w:szCs w:val="24"/>
          <w:lang w:val="en-GB"/>
        </w:rPr>
        <w:t xml:space="preserve">While the Consultation lists the range of different types of benchmarks to illustrate the breadth of different asset classes, the Task Force should furthermore </w:t>
      </w:r>
      <w:r w:rsidRPr="00260A53">
        <w:rPr>
          <w:rFonts w:ascii="Garamond" w:hAnsi="Garamond"/>
          <w:sz w:val="24"/>
          <w:szCs w:val="24"/>
          <w:lang w:val="en-GB"/>
        </w:rPr>
        <w:t>draw an initial distinction among benchmarks based upon the documented failures in the governance and controls around survey-based benchmarks</w:t>
      </w:r>
      <w:r w:rsidR="002878E6">
        <w:rPr>
          <w:rFonts w:ascii="Garamond" w:hAnsi="Garamond"/>
          <w:sz w:val="24"/>
          <w:szCs w:val="24"/>
          <w:lang w:val="en-GB"/>
        </w:rPr>
        <w:t>.</w:t>
      </w:r>
      <w:r w:rsidRPr="00260A53">
        <w:rPr>
          <w:rFonts w:ascii="Garamond" w:hAnsi="Garamond"/>
          <w:sz w:val="24"/>
          <w:szCs w:val="24"/>
          <w:lang w:val="en-GB"/>
        </w:rPr>
        <w:t xml:space="preserve">  To the extent</w:t>
      </w:r>
      <w:r w:rsidR="002878E6">
        <w:rPr>
          <w:rFonts w:ascii="Garamond" w:hAnsi="Garamond"/>
          <w:sz w:val="24"/>
          <w:szCs w:val="24"/>
          <w:lang w:val="en-GB"/>
        </w:rPr>
        <w:t xml:space="preserve"> the Task Force</w:t>
      </w:r>
      <w:r w:rsidRPr="00260A53">
        <w:rPr>
          <w:rFonts w:ascii="Garamond" w:hAnsi="Garamond"/>
          <w:sz w:val="24"/>
          <w:szCs w:val="24"/>
          <w:lang w:val="en-GB"/>
        </w:rPr>
        <w:t xml:space="preserve"> wishes to expand its review to other categories of benchmarks that have not exhibited the same types of failures (</w:t>
      </w:r>
      <w:r w:rsidRPr="00260A53">
        <w:rPr>
          <w:rFonts w:ascii="Garamond" w:hAnsi="Garamond"/>
          <w:i/>
          <w:sz w:val="24"/>
          <w:szCs w:val="24"/>
          <w:lang w:val="en-GB"/>
        </w:rPr>
        <w:t>e.g.,</w:t>
      </w:r>
      <w:r w:rsidRPr="00260A53">
        <w:rPr>
          <w:rFonts w:ascii="Garamond" w:hAnsi="Garamond"/>
          <w:sz w:val="24"/>
          <w:szCs w:val="24"/>
          <w:lang w:val="en-GB"/>
        </w:rPr>
        <w:t xml:space="preserve"> commercial indices), it should begin by identifying specific, tangible concerns that warrant regulatory intervention.  Only then should it seek to develop regulatory recommendations, and such regulations should be specifically designed to address those concerns.   </w:t>
      </w:r>
    </w:p>
    <w:p w14:paraId="2ED2AC90" w14:textId="77777777" w:rsidR="00C12138" w:rsidRDefault="00C12138" w:rsidP="001129FE">
      <w:pPr>
        <w:spacing w:after="240" w:line="240" w:lineRule="auto"/>
        <w:rPr>
          <w:rFonts w:ascii="Garamond" w:hAnsi="Garamond"/>
          <w:b/>
          <w:sz w:val="24"/>
          <w:szCs w:val="24"/>
          <w:lang w:val="en-GB"/>
        </w:rPr>
      </w:pPr>
    </w:p>
    <w:p w14:paraId="5C81430B" w14:textId="77777777" w:rsidR="00481F20" w:rsidRPr="00260A53" w:rsidRDefault="00F24D58" w:rsidP="001129FE">
      <w:pPr>
        <w:spacing w:after="240" w:line="240" w:lineRule="auto"/>
        <w:rPr>
          <w:rFonts w:ascii="Garamond" w:hAnsi="Garamond"/>
          <w:b/>
          <w:sz w:val="24"/>
          <w:szCs w:val="24"/>
          <w:lang w:val="en-GB"/>
        </w:rPr>
      </w:pPr>
      <w:r>
        <w:rPr>
          <w:rFonts w:ascii="Garamond" w:hAnsi="Garamond"/>
          <w:b/>
          <w:sz w:val="24"/>
          <w:szCs w:val="24"/>
          <w:lang w:val="en-GB"/>
        </w:rPr>
        <w:t>Principles of good conduct for benchmark setting</w:t>
      </w:r>
    </w:p>
    <w:p w14:paraId="5C81430C" w14:textId="77777777" w:rsidR="00545F15" w:rsidRDefault="00545F15" w:rsidP="00112E57">
      <w:pPr>
        <w:spacing w:after="240" w:line="240" w:lineRule="auto"/>
        <w:rPr>
          <w:rFonts w:ascii="Garamond" w:hAnsi="Garamond"/>
          <w:sz w:val="24"/>
          <w:szCs w:val="24"/>
          <w:lang w:val="en-GB"/>
        </w:rPr>
      </w:pPr>
      <w:r>
        <w:rPr>
          <w:rFonts w:ascii="Garamond" w:hAnsi="Garamond"/>
          <w:sz w:val="24"/>
          <w:szCs w:val="24"/>
          <w:lang w:val="en-GB"/>
        </w:rPr>
        <w:lastRenderedPageBreak/>
        <w:t>The remainder of the Consultation proposes a number of Principles concerning the general framework for benchmark setting and those firms involved in the submission of benchmark data and the administration, calculation, publication and use of benchmarks.</w:t>
      </w:r>
    </w:p>
    <w:p w14:paraId="5C81430D" w14:textId="77777777" w:rsidR="00107D5D" w:rsidRPr="00260A53" w:rsidRDefault="00CB3A77" w:rsidP="00112E57">
      <w:pPr>
        <w:spacing w:after="240" w:line="240" w:lineRule="auto"/>
        <w:rPr>
          <w:rFonts w:ascii="Garamond" w:hAnsi="Garamond"/>
          <w:sz w:val="24"/>
          <w:szCs w:val="24"/>
          <w:lang w:val="en-GB"/>
        </w:rPr>
      </w:pPr>
      <w:r>
        <w:rPr>
          <w:rFonts w:ascii="Garamond" w:hAnsi="Garamond"/>
          <w:sz w:val="24"/>
          <w:szCs w:val="24"/>
          <w:lang w:val="en-GB"/>
        </w:rPr>
        <w:t xml:space="preserve">Question 2 of the Consultation asks whether a set of Principles is a useful interim measure until a possible formal regulatory and supervisory framework has been established in the EU. In </w:t>
      </w:r>
      <w:r w:rsidR="003B2535">
        <w:rPr>
          <w:rFonts w:ascii="Garamond" w:hAnsi="Garamond"/>
          <w:sz w:val="24"/>
          <w:szCs w:val="24"/>
          <w:lang w:val="en-GB"/>
        </w:rPr>
        <w:t>response, we</w:t>
      </w:r>
      <w:r>
        <w:rPr>
          <w:rFonts w:ascii="Garamond" w:hAnsi="Garamond"/>
          <w:sz w:val="24"/>
          <w:szCs w:val="24"/>
          <w:lang w:val="en-GB"/>
        </w:rPr>
        <w:t xml:space="preserve"> would challenge the extent to which </w:t>
      </w:r>
      <w:r w:rsidR="00FF1C59" w:rsidRPr="00260A53">
        <w:rPr>
          <w:rFonts w:ascii="Garamond" w:hAnsi="Garamond"/>
          <w:sz w:val="24"/>
          <w:szCs w:val="24"/>
          <w:lang w:val="en-GB"/>
        </w:rPr>
        <w:t xml:space="preserve">additional </w:t>
      </w:r>
      <w:r w:rsidR="002770DB" w:rsidRPr="00260A53">
        <w:rPr>
          <w:rFonts w:ascii="Garamond" w:hAnsi="Garamond"/>
          <w:sz w:val="24"/>
          <w:szCs w:val="24"/>
          <w:lang w:val="en-GB"/>
        </w:rPr>
        <w:t xml:space="preserve">regulation </w:t>
      </w:r>
      <w:r>
        <w:rPr>
          <w:rFonts w:ascii="Garamond" w:hAnsi="Garamond"/>
          <w:sz w:val="24"/>
          <w:szCs w:val="24"/>
          <w:lang w:val="en-GB"/>
        </w:rPr>
        <w:t>in any form, including a set of interim Principles, is necessary</w:t>
      </w:r>
      <w:r w:rsidR="00FF1C59" w:rsidRPr="00260A53">
        <w:rPr>
          <w:rFonts w:ascii="Garamond" w:hAnsi="Garamond"/>
          <w:sz w:val="24"/>
          <w:szCs w:val="24"/>
          <w:lang w:val="en-GB"/>
        </w:rPr>
        <w:t xml:space="preserve"> to ensure</w:t>
      </w:r>
      <w:r w:rsidR="002770DB" w:rsidRPr="00260A53">
        <w:rPr>
          <w:rFonts w:ascii="Garamond" w:hAnsi="Garamond"/>
          <w:sz w:val="24"/>
          <w:szCs w:val="24"/>
          <w:lang w:val="en-GB"/>
        </w:rPr>
        <w:t xml:space="preserve"> the utility or credibility</w:t>
      </w:r>
      <w:r>
        <w:rPr>
          <w:rFonts w:ascii="Garamond" w:hAnsi="Garamond"/>
          <w:sz w:val="24"/>
          <w:szCs w:val="24"/>
          <w:lang w:val="en-GB"/>
        </w:rPr>
        <w:t xml:space="preserve"> </w:t>
      </w:r>
      <w:r w:rsidRPr="00260A53">
        <w:rPr>
          <w:rFonts w:ascii="Garamond" w:hAnsi="Garamond"/>
          <w:sz w:val="24"/>
          <w:szCs w:val="24"/>
          <w:lang w:val="en-GB"/>
        </w:rPr>
        <w:t>of commercial indices</w:t>
      </w:r>
      <w:r w:rsidR="002770DB" w:rsidRPr="00260A53">
        <w:rPr>
          <w:rFonts w:ascii="Garamond" w:hAnsi="Garamond"/>
          <w:sz w:val="24"/>
          <w:szCs w:val="24"/>
          <w:lang w:val="en-GB"/>
        </w:rPr>
        <w:t xml:space="preserve">.  </w:t>
      </w:r>
      <w:r w:rsidR="00402CB3">
        <w:rPr>
          <w:rFonts w:ascii="Garamond" w:hAnsi="Garamond"/>
          <w:sz w:val="24"/>
          <w:szCs w:val="24"/>
          <w:lang w:val="en-GB"/>
        </w:rPr>
        <w:t>We do not believe that ESMA has identified concerns with respect to commercial indices, nor considered any factors that may mitigate those concerns.  Such factors may include existing regulations or market forces.  For example, a</w:t>
      </w:r>
      <w:r w:rsidR="00996E36">
        <w:rPr>
          <w:rFonts w:ascii="Garamond" w:hAnsi="Garamond"/>
          <w:sz w:val="24"/>
          <w:szCs w:val="24"/>
          <w:lang w:val="en-GB"/>
        </w:rPr>
        <w:t xml:space="preserve">s set out above, </w:t>
      </w:r>
      <w:r w:rsidR="00402CB3">
        <w:rPr>
          <w:rFonts w:ascii="Garamond" w:hAnsi="Garamond"/>
          <w:sz w:val="24"/>
          <w:szCs w:val="24"/>
          <w:lang w:val="en-GB"/>
        </w:rPr>
        <w:t xml:space="preserve">UCITS </w:t>
      </w:r>
      <w:r w:rsidR="00996E36">
        <w:rPr>
          <w:rFonts w:ascii="Garamond" w:hAnsi="Garamond"/>
          <w:sz w:val="24"/>
          <w:szCs w:val="24"/>
          <w:lang w:val="en-GB"/>
        </w:rPr>
        <w:t xml:space="preserve">are already subject to a considerable framework of regulation in connection with their investment in and replication of </w:t>
      </w:r>
      <w:r w:rsidR="00996E36" w:rsidRPr="00260A53">
        <w:rPr>
          <w:rFonts w:ascii="Garamond" w:hAnsi="Garamond"/>
          <w:sz w:val="24"/>
          <w:szCs w:val="24"/>
          <w:lang w:val="en-GB"/>
        </w:rPr>
        <w:t>commercial indices</w:t>
      </w:r>
      <w:r w:rsidR="00996E36">
        <w:rPr>
          <w:rFonts w:ascii="Garamond" w:hAnsi="Garamond"/>
          <w:sz w:val="24"/>
          <w:szCs w:val="24"/>
          <w:lang w:val="en-GB"/>
        </w:rPr>
        <w:t xml:space="preserve">. </w:t>
      </w:r>
      <w:r w:rsidR="00402CB3">
        <w:rPr>
          <w:rFonts w:ascii="Garamond" w:hAnsi="Garamond"/>
          <w:sz w:val="24"/>
          <w:szCs w:val="24"/>
          <w:lang w:val="en-GB"/>
        </w:rPr>
        <w:t xml:space="preserve">Moreover, </w:t>
      </w:r>
      <w:r w:rsidR="002770DB" w:rsidRPr="00260A53">
        <w:rPr>
          <w:rFonts w:ascii="Garamond" w:hAnsi="Garamond"/>
          <w:sz w:val="24"/>
          <w:szCs w:val="24"/>
          <w:lang w:val="en-GB"/>
        </w:rPr>
        <w:t>l</w:t>
      </w:r>
      <w:r w:rsidR="008B70D9" w:rsidRPr="00260A53">
        <w:rPr>
          <w:rFonts w:ascii="Garamond" w:hAnsi="Garamond"/>
          <w:sz w:val="24"/>
          <w:szCs w:val="24"/>
          <w:lang w:val="en-GB"/>
        </w:rPr>
        <w:t>icensee</w:t>
      </w:r>
      <w:r w:rsidR="00F12481" w:rsidRPr="00260A53">
        <w:rPr>
          <w:rFonts w:ascii="Garamond" w:hAnsi="Garamond"/>
          <w:sz w:val="24"/>
          <w:szCs w:val="24"/>
          <w:lang w:val="en-GB"/>
        </w:rPr>
        <w:t xml:space="preserve">s are sophisticated investors that </w:t>
      </w:r>
      <w:r w:rsidR="003574CA" w:rsidRPr="00260A53">
        <w:rPr>
          <w:rFonts w:ascii="Garamond" w:hAnsi="Garamond"/>
          <w:sz w:val="24"/>
          <w:szCs w:val="24"/>
          <w:lang w:val="en-GB"/>
        </w:rPr>
        <w:t xml:space="preserve">will only pay for </w:t>
      </w:r>
      <w:r w:rsidR="00F12481" w:rsidRPr="00260A53">
        <w:rPr>
          <w:rFonts w:ascii="Garamond" w:hAnsi="Garamond"/>
          <w:sz w:val="24"/>
          <w:szCs w:val="24"/>
          <w:lang w:val="en-GB"/>
        </w:rPr>
        <w:t xml:space="preserve">a high quality product.  </w:t>
      </w:r>
      <w:r w:rsidR="002770DB" w:rsidRPr="00260A53">
        <w:rPr>
          <w:rFonts w:ascii="Garamond" w:hAnsi="Garamond"/>
          <w:sz w:val="24"/>
          <w:szCs w:val="24"/>
          <w:lang w:val="en-GB"/>
        </w:rPr>
        <w:t xml:space="preserve">Unless they are satisfied, the index will not gain traction in the marketplace.  </w:t>
      </w:r>
    </w:p>
    <w:p w14:paraId="5C81430E" w14:textId="77777777" w:rsidR="00222848" w:rsidRPr="00260A53" w:rsidRDefault="00996E36" w:rsidP="00112E57">
      <w:pPr>
        <w:spacing w:after="240" w:line="240" w:lineRule="auto"/>
        <w:rPr>
          <w:rFonts w:ascii="Garamond" w:hAnsi="Garamond"/>
          <w:sz w:val="24"/>
          <w:szCs w:val="24"/>
          <w:lang w:val="en-GB"/>
        </w:rPr>
      </w:pPr>
      <w:r>
        <w:rPr>
          <w:rFonts w:ascii="Garamond" w:hAnsi="Garamond"/>
          <w:iCs/>
          <w:sz w:val="24"/>
          <w:szCs w:val="24"/>
          <w:lang w:val="en-GB"/>
        </w:rPr>
        <w:t>Rather than comment on each of the Principles</w:t>
      </w:r>
      <w:r w:rsidR="00324335">
        <w:rPr>
          <w:rFonts w:ascii="Garamond" w:hAnsi="Garamond"/>
          <w:iCs/>
          <w:sz w:val="24"/>
          <w:szCs w:val="24"/>
          <w:lang w:val="en-GB"/>
        </w:rPr>
        <w:t xml:space="preserve"> </w:t>
      </w:r>
      <w:r w:rsidR="003D318A">
        <w:rPr>
          <w:rFonts w:ascii="Garamond" w:hAnsi="Garamond"/>
          <w:iCs/>
          <w:sz w:val="24"/>
          <w:szCs w:val="24"/>
          <w:lang w:val="en-GB"/>
        </w:rPr>
        <w:t>outlined in the general framework for benchmark setting</w:t>
      </w:r>
      <w:r>
        <w:rPr>
          <w:rFonts w:ascii="Garamond" w:hAnsi="Garamond"/>
          <w:iCs/>
          <w:sz w:val="24"/>
          <w:szCs w:val="24"/>
          <w:lang w:val="en-GB"/>
        </w:rPr>
        <w:t xml:space="preserve"> proposed</w:t>
      </w:r>
      <w:r w:rsidR="003D318A">
        <w:rPr>
          <w:rFonts w:ascii="Garamond" w:hAnsi="Garamond"/>
          <w:iCs/>
          <w:sz w:val="24"/>
          <w:szCs w:val="24"/>
          <w:lang w:val="en-GB"/>
        </w:rPr>
        <w:t xml:space="preserve"> in Box A</w:t>
      </w:r>
      <w:r>
        <w:rPr>
          <w:rFonts w:ascii="Garamond" w:hAnsi="Garamond"/>
          <w:iCs/>
          <w:sz w:val="24"/>
          <w:szCs w:val="24"/>
          <w:lang w:val="en-GB"/>
        </w:rPr>
        <w:t xml:space="preserve"> in the Consultation, we have set out below why we consider that these </w:t>
      </w:r>
      <w:r w:rsidR="00E74E55" w:rsidRPr="00260A53">
        <w:rPr>
          <w:rFonts w:ascii="Garamond" w:hAnsi="Garamond"/>
          <w:iCs/>
          <w:sz w:val="24"/>
          <w:szCs w:val="24"/>
          <w:lang w:val="en-GB"/>
        </w:rPr>
        <w:t xml:space="preserve">concerns, while valid with respect to survey-based benchmarks such as LIBOR, are simply not </w:t>
      </w:r>
      <w:r w:rsidR="00107D5D" w:rsidRPr="00260A53">
        <w:rPr>
          <w:rFonts w:ascii="Garamond" w:hAnsi="Garamond"/>
          <w:iCs/>
          <w:sz w:val="24"/>
          <w:szCs w:val="24"/>
          <w:lang w:val="en-GB"/>
        </w:rPr>
        <w:t>relevant to the production</w:t>
      </w:r>
      <w:r w:rsidR="00C1617D" w:rsidRPr="00260A53">
        <w:rPr>
          <w:rFonts w:ascii="Garamond" w:hAnsi="Garamond"/>
          <w:iCs/>
          <w:sz w:val="24"/>
          <w:szCs w:val="24"/>
          <w:lang w:val="en-GB"/>
        </w:rPr>
        <w:t xml:space="preserve"> of</w:t>
      </w:r>
      <w:r w:rsidR="00107D5D" w:rsidRPr="00260A53">
        <w:rPr>
          <w:rFonts w:ascii="Garamond" w:hAnsi="Garamond"/>
          <w:iCs/>
          <w:sz w:val="24"/>
          <w:szCs w:val="24"/>
          <w:lang w:val="en-GB"/>
        </w:rPr>
        <w:t xml:space="preserve"> commercial </w:t>
      </w:r>
      <w:r w:rsidR="00E74E55" w:rsidRPr="00260A53">
        <w:rPr>
          <w:rFonts w:ascii="Garamond" w:hAnsi="Garamond"/>
          <w:sz w:val="24"/>
          <w:szCs w:val="24"/>
          <w:lang w:val="en-GB"/>
        </w:rPr>
        <w:t>indices used by asset managers</w:t>
      </w:r>
      <w:r>
        <w:rPr>
          <w:rFonts w:ascii="Garamond" w:hAnsi="Garamond"/>
          <w:sz w:val="24"/>
          <w:szCs w:val="24"/>
          <w:lang w:val="en-GB"/>
        </w:rPr>
        <w:t>.</w:t>
      </w:r>
    </w:p>
    <w:p w14:paraId="5C81430F" w14:textId="77777777" w:rsidR="00222848" w:rsidRPr="00260A53" w:rsidRDefault="00222848" w:rsidP="00112E57">
      <w:pPr>
        <w:pStyle w:val="ListParagraph"/>
        <w:numPr>
          <w:ilvl w:val="0"/>
          <w:numId w:val="22"/>
        </w:numPr>
        <w:spacing w:after="240"/>
        <w:ind w:left="426" w:hanging="284"/>
        <w:rPr>
          <w:rFonts w:ascii="Garamond" w:hAnsi="Garamond"/>
          <w:sz w:val="24"/>
          <w:szCs w:val="24"/>
          <w:lang w:val="en-GB"/>
        </w:rPr>
      </w:pPr>
      <w:r w:rsidRPr="00260A53">
        <w:rPr>
          <w:rFonts w:ascii="Garamond" w:hAnsi="Garamond"/>
          <w:i/>
          <w:sz w:val="24"/>
          <w:szCs w:val="24"/>
          <w:lang w:val="en-GB"/>
        </w:rPr>
        <w:t xml:space="preserve">The data is more robust. </w:t>
      </w:r>
      <w:r w:rsidRPr="00260A53">
        <w:rPr>
          <w:rFonts w:ascii="Garamond" w:hAnsi="Garamond"/>
          <w:sz w:val="24"/>
          <w:szCs w:val="24"/>
          <w:lang w:val="en-GB"/>
        </w:rPr>
        <w:t xml:space="preserve"> </w:t>
      </w:r>
      <w:r w:rsidR="00107D5D" w:rsidRPr="00260A53">
        <w:rPr>
          <w:rFonts w:ascii="Garamond" w:hAnsi="Garamond"/>
          <w:sz w:val="24"/>
          <w:szCs w:val="24"/>
          <w:lang w:val="en-GB"/>
        </w:rPr>
        <w:t xml:space="preserve">The </w:t>
      </w:r>
      <w:r w:rsidR="00E74E55" w:rsidRPr="00260A53">
        <w:rPr>
          <w:rFonts w:ascii="Garamond" w:hAnsi="Garamond"/>
          <w:sz w:val="24"/>
          <w:szCs w:val="24"/>
          <w:lang w:val="en-GB"/>
        </w:rPr>
        <w:t xml:space="preserve">underlying data </w:t>
      </w:r>
      <w:r w:rsidR="00107D5D" w:rsidRPr="00260A53">
        <w:rPr>
          <w:rFonts w:ascii="Garamond" w:hAnsi="Garamond"/>
          <w:sz w:val="24"/>
          <w:szCs w:val="24"/>
          <w:lang w:val="en-GB"/>
        </w:rPr>
        <w:t xml:space="preserve">for securities indices is typically </w:t>
      </w:r>
      <w:r w:rsidR="00E74E55" w:rsidRPr="00260A53">
        <w:rPr>
          <w:rFonts w:ascii="Garamond" w:hAnsi="Garamond"/>
          <w:sz w:val="24"/>
          <w:szCs w:val="24"/>
          <w:lang w:val="en-GB"/>
        </w:rPr>
        <w:t>taken from a regulated exchange or other source of market bids, offers, or executed prices.</w:t>
      </w:r>
      <w:r w:rsidR="002770DB" w:rsidRPr="00260A53">
        <w:rPr>
          <w:rFonts w:ascii="Garamond" w:hAnsi="Garamond"/>
          <w:sz w:val="24"/>
          <w:szCs w:val="24"/>
          <w:lang w:val="en-GB"/>
        </w:rPr>
        <w:t xml:space="preserve">  </w:t>
      </w:r>
      <w:r w:rsidR="00324335">
        <w:rPr>
          <w:rFonts w:ascii="Garamond" w:hAnsi="Garamond"/>
          <w:sz w:val="24"/>
          <w:szCs w:val="24"/>
          <w:lang w:val="en-GB"/>
        </w:rPr>
        <w:t>The Eligible Assets Directive explicitly requires that financial indices as referenced in the UCITS Directive rely on “sound procedures to collect prices” and furthermore include “pricing procedures for components where a market price is not available”.</w:t>
      </w:r>
      <w:r w:rsidR="00324335">
        <w:rPr>
          <w:rStyle w:val="FootnoteReference"/>
          <w:rFonts w:ascii="Garamond" w:hAnsi="Garamond"/>
          <w:sz w:val="24"/>
          <w:szCs w:val="24"/>
          <w:lang w:val="en-GB"/>
        </w:rPr>
        <w:footnoteReference w:id="16"/>
      </w:r>
      <w:r w:rsidR="00324335">
        <w:rPr>
          <w:rFonts w:ascii="Garamond" w:hAnsi="Garamond"/>
          <w:sz w:val="24"/>
          <w:szCs w:val="24"/>
          <w:lang w:val="en-GB"/>
        </w:rPr>
        <w:t xml:space="preserve"> </w:t>
      </w:r>
      <w:r w:rsidR="002770DB" w:rsidRPr="00260A53">
        <w:rPr>
          <w:rFonts w:ascii="Garamond" w:hAnsi="Garamond"/>
          <w:sz w:val="24"/>
          <w:szCs w:val="24"/>
          <w:lang w:val="en-GB"/>
        </w:rPr>
        <w:t>T</w:t>
      </w:r>
      <w:r w:rsidR="00E74E55" w:rsidRPr="00260A53">
        <w:rPr>
          <w:rFonts w:ascii="Garamond" w:hAnsi="Garamond"/>
          <w:sz w:val="24"/>
          <w:szCs w:val="24"/>
          <w:lang w:val="en-GB"/>
        </w:rPr>
        <w:t>his is in stark contrast to survey-based benchmarks such as LIBOR, which require subjective estimates of the price of theoretical transactions.</w:t>
      </w:r>
      <w:r w:rsidR="00E74E55" w:rsidRPr="00260A53">
        <w:rPr>
          <w:rStyle w:val="FootnoteReference"/>
          <w:rFonts w:ascii="Garamond" w:hAnsi="Garamond"/>
          <w:sz w:val="24"/>
          <w:szCs w:val="24"/>
          <w:lang w:val="en-GB"/>
        </w:rPr>
        <w:footnoteReference w:id="17"/>
      </w:r>
      <w:r w:rsidR="005F070D" w:rsidRPr="00260A53">
        <w:rPr>
          <w:rFonts w:ascii="Garamond" w:hAnsi="Garamond"/>
          <w:sz w:val="24"/>
          <w:szCs w:val="24"/>
          <w:lang w:val="en-GB"/>
        </w:rPr>
        <w:t xml:space="preserve">  </w:t>
      </w:r>
    </w:p>
    <w:p w14:paraId="5C814310" w14:textId="77777777" w:rsidR="00222848" w:rsidRPr="00260A53" w:rsidRDefault="00222848" w:rsidP="00112E57">
      <w:pPr>
        <w:pStyle w:val="ListParagraph"/>
        <w:numPr>
          <w:ilvl w:val="0"/>
          <w:numId w:val="22"/>
        </w:numPr>
        <w:spacing w:after="240"/>
        <w:ind w:left="426" w:hanging="284"/>
        <w:rPr>
          <w:rFonts w:ascii="Garamond" w:hAnsi="Garamond"/>
          <w:sz w:val="24"/>
          <w:szCs w:val="24"/>
          <w:lang w:val="en-GB"/>
        </w:rPr>
      </w:pPr>
      <w:r w:rsidRPr="00260A53">
        <w:rPr>
          <w:rFonts w:ascii="Garamond" w:hAnsi="Garamond"/>
          <w:i/>
          <w:sz w:val="24"/>
          <w:szCs w:val="24"/>
          <w:lang w:val="en-GB"/>
        </w:rPr>
        <w:t>Administrators have less discretion.</w:t>
      </w:r>
      <w:r w:rsidRPr="00260A53">
        <w:rPr>
          <w:rFonts w:ascii="Garamond" w:hAnsi="Garamond"/>
          <w:sz w:val="24"/>
          <w:szCs w:val="24"/>
          <w:lang w:val="en-GB"/>
        </w:rPr>
        <w:t xml:space="preserve">  </w:t>
      </w:r>
      <w:r w:rsidR="005F070D" w:rsidRPr="00260A53">
        <w:rPr>
          <w:rFonts w:ascii="Garamond" w:hAnsi="Garamond"/>
          <w:sz w:val="24"/>
          <w:szCs w:val="24"/>
          <w:lang w:val="en-GB"/>
        </w:rPr>
        <w:t xml:space="preserve">There is far less </w:t>
      </w:r>
      <w:r w:rsidR="00E74E55" w:rsidRPr="00260A53">
        <w:rPr>
          <w:rFonts w:ascii="Garamond" w:hAnsi="Garamond"/>
          <w:sz w:val="24"/>
          <w:szCs w:val="24"/>
          <w:lang w:val="en-GB"/>
        </w:rPr>
        <w:t>administrator discretion</w:t>
      </w:r>
      <w:r w:rsidR="005F070D" w:rsidRPr="00260A53">
        <w:rPr>
          <w:rFonts w:ascii="Garamond" w:hAnsi="Garamond"/>
          <w:sz w:val="24"/>
          <w:szCs w:val="24"/>
          <w:lang w:val="en-GB"/>
        </w:rPr>
        <w:t xml:space="preserve"> with respect to a commercial securities index</w:t>
      </w:r>
      <w:r w:rsidR="00390C61" w:rsidRPr="00260A53">
        <w:rPr>
          <w:rFonts w:ascii="Garamond" w:hAnsi="Garamond"/>
          <w:sz w:val="24"/>
          <w:szCs w:val="24"/>
          <w:lang w:val="en-GB"/>
        </w:rPr>
        <w:t xml:space="preserve">, and what minor discretion the administrator has presents </w:t>
      </w:r>
      <w:r w:rsidR="00E74E55" w:rsidRPr="00260A53">
        <w:rPr>
          <w:rFonts w:ascii="Garamond" w:hAnsi="Garamond"/>
          <w:sz w:val="24"/>
          <w:szCs w:val="24"/>
          <w:lang w:val="en-GB"/>
        </w:rPr>
        <w:t>little opportunity for manipulation</w:t>
      </w:r>
      <w:r w:rsidR="005F070D" w:rsidRPr="00260A53">
        <w:rPr>
          <w:rFonts w:ascii="Garamond" w:hAnsi="Garamond"/>
          <w:sz w:val="24"/>
          <w:szCs w:val="24"/>
          <w:lang w:val="en-GB"/>
        </w:rPr>
        <w:t>.</w:t>
      </w:r>
      <w:r w:rsidR="00390C61" w:rsidRPr="00260A53">
        <w:rPr>
          <w:rStyle w:val="FootnoteReference"/>
          <w:rFonts w:ascii="Garamond" w:hAnsi="Garamond"/>
          <w:sz w:val="24"/>
          <w:szCs w:val="24"/>
          <w:lang w:val="en-GB"/>
        </w:rPr>
        <w:footnoteReference w:id="18"/>
      </w:r>
      <w:r w:rsidR="00390C61" w:rsidRPr="00260A53">
        <w:rPr>
          <w:rFonts w:ascii="Garamond" w:hAnsi="Garamond"/>
          <w:sz w:val="24"/>
          <w:szCs w:val="24"/>
          <w:lang w:val="en-GB"/>
        </w:rPr>
        <w:t xml:space="preserve"> </w:t>
      </w:r>
      <w:r w:rsidR="005F070D" w:rsidRPr="00260A53">
        <w:rPr>
          <w:rFonts w:ascii="Garamond" w:hAnsi="Garamond"/>
          <w:sz w:val="24"/>
          <w:szCs w:val="24"/>
          <w:lang w:val="en-GB"/>
        </w:rPr>
        <w:t xml:space="preserve"> </w:t>
      </w:r>
      <w:bookmarkStart w:id="1" w:name="_DV_M49"/>
      <w:bookmarkEnd w:id="1"/>
      <w:r w:rsidR="00324335">
        <w:rPr>
          <w:rFonts w:ascii="Garamond" w:hAnsi="Garamond"/>
          <w:sz w:val="24"/>
          <w:szCs w:val="24"/>
          <w:lang w:val="en-GB"/>
        </w:rPr>
        <w:t>The UCITS Directive explicitly requires that financial indices “represent an adequate benchmark for the market to which they refer”.</w:t>
      </w:r>
      <w:r w:rsidR="00324335">
        <w:rPr>
          <w:rStyle w:val="FootnoteReference"/>
          <w:rFonts w:ascii="Garamond" w:hAnsi="Garamond"/>
          <w:sz w:val="24"/>
          <w:szCs w:val="24"/>
          <w:lang w:val="en-GB"/>
        </w:rPr>
        <w:footnoteReference w:id="19"/>
      </w:r>
    </w:p>
    <w:p w14:paraId="5C814311" w14:textId="77777777" w:rsidR="00222848" w:rsidRPr="00C12138" w:rsidRDefault="00107D5D" w:rsidP="00112E57">
      <w:pPr>
        <w:pStyle w:val="ListParagraph"/>
        <w:numPr>
          <w:ilvl w:val="0"/>
          <w:numId w:val="22"/>
        </w:numPr>
        <w:spacing w:after="240"/>
        <w:ind w:left="426" w:hanging="284"/>
        <w:rPr>
          <w:rFonts w:ascii="Garamond" w:hAnsi="Garamond"/>
          <w:sz w:val="24"/>
          <w:szCs w:val="24"/>
          <w:lang w:val="en-GB"/>
        </w:rPr>
      </w:pPr>
      <w:r w:rsidRPr="00260A53">
        <w:rPr>
          <w:rFonts w:ascii="Garamond" w:hAnsi="Garamond"/>
          <w:i/>
          <w:sz w:val="24"/>
          <w:szCs w:val="24"/>
          <w:lang w:val="en-GB"/>
        </w:rPr>
        <w:t>Interested parties</w:t>
      </w:r>
      <w:r w:rsidR="003D7726" w:rsidRPr="00260A53">
        <w:rPr>
          <w:rFonts w:ascii="Garamond" w:hAnsi="Garamond"/>
          <w:i/>
          <w:sz w:val="24"/>
          <w:szCs w:val="24"/>
          <w:lang w:val="en-GB"/>
        </w:rPr>
        <w:t xml:space="preserve"> </w:t>
      </w:r>
      <w:r w:rsidR="00222848" w:rsidRPr="00260A53">
        <w:rPr>
          <w:rFonts w:ascii="Garamond" w:hAnsi="Garamond"/>
          <w:i/>
          <w:sz w:val="24"/>
          <w:szCs w:val="24"/>
          <w:lang w:val="en-GB"/>
        </w:rPr>
        <w:t>have no meaningful opportunity to influence.</w:t>
      </w:r>
      <w:r w:rsidR="00222848" w:rsidRPr="00260A53">
        <w:rPr>
          <w:rFonts w:ascii="Garamond" w:hAnsi="Garamond"/>
          <w:color w:val="000000"/>
          <w:sz w:val="24"/>
          <w:szCs w:val="24"/>
          <w:lang w:val="en-GB"/>
        </w:rPr>
        <w:t xml:space="preserve">  </w:t>
      </w:r>
      <w:r w:rsidR="005F070D" w:rsidRPr="00260A53">
        <w:rPr>
          <w:rFonts w:ascii="Garamond" w:hAnsi="Garamond"/>
          <w:color w:val="000000"/>
          <w:sz w:val="24"/>
          <w:szCs w:val="24"/>
          <w:lang w:val="en-GB"/>
        </w:rPr>
        <w:t xml:space="preserve">Asset managers and others may be invited to participate on advisory committees organized by the index providers to share market insight, but such committees are advisory in nature and have broad participation, such that attempts at manipulation would be neither effective nor unnoticed.  </w:t>
      </w:r>
      <w:r w:rsidR="003D7726" w:rsidRPr="00260A53">
        <w:rPr>
          <w:rFonts w:ascii="Garamond" w:hAnsi="Garamond"/>
          <w:color w:val="000000"/>
          <w:sz w:val="24"/>
          <w:szCs w:val="24"/>
          <w:lang w:val="en-GB"/>
        </w:rPr>
        <w:t>Moreover, the asset managers are not submitters of the data underlying the indices.</w:t>
      </w:r>
    </w:p>
    <w:p w14:paraId="2620CC68" w14:textId="77777777" w:rsidR="00C12138" w:rsidRPr="00C12138" w:rsidRDefault="00C12138" w:rsidP="00C12138">
      <w:pPr>
        <w:spacing w:after="240"/>
        <w:rPr>
          <w:rFonts w:ascii="Garamond" w:hAnsi="Garamond"/>
          <w:sz w:val="24"/>
          <w:szCs w:val="24"/>
          <w:lang w:val="en-GB"/>
        </w:rPr>
      </w:pPr>
    </w:p>
    <w:p w14:paraId="5C814312" w14:textId="77777777" w:rsidR="00222848" w:rsidRPr="00260A53" w:rsidRDefault="00222848" w:rsidP="00112E57">
      <w:pPr>
        <w:pStyle w:val="ListParagraph"/>
        <w:numPr>
          <w:ilvl w:val="0"/>
          <w:numId w:val="22"/>
        </w:numPr>
        <w:spacing w:after="240"/>
        <w:ind w:left="426" w:hanging="284"/>
        <w:rPr>
          <w:rFonts w:ascii="Garamond" w:hAnsi="Garamond"/>
          <w:sz w:val="24"/>
          <w:szCs w:val="24"/>
          <w:lang w:val="en-GB"/>
        </w:rPr>
      </w:pPr>
      <w:r w:rsidRPr="00260A53">
        <w:rPr>
          <w:rFonts w:ascii="Garamond" w:hAnsi="Garamond"/>
          <w:i/>
          <w:sz w:val="24"/>
          <w:szCs w:val="24"/>
          <w:lang w:val="en-GB"/>
        </w:rPr>
        <w:t>Administrators have every incentive to prevent manipulation.</w:t>
      </w:r>
      <w:r w:rsidRPr="00260A53">
        <w:rPr>
          <w:rFonts w:ascii="Garamond" w:hAnsi="Garamond"/>
          <w:color w:val="000000"/>
          <w:sz w:val="24"/>
          <w:szCs w:val="24"/>
          <w:lang w:val="en-GB"/>
        </w:rPr>
        <w:t xml:space="preserve">  </w:t>
      </w:r>
      <w:r w:rsidR="003D7726" w:rsidRPr="00260A53">
        <w:rPr>
          <w:rFonts w:ascii="Garamond" w:hAnsi="Garamond"/>
          <w:color w:val="000000"/>
          <w:sz w:val="24"/>
          <w:szCs w:val="24"/>
          <w:lang w:val="en-GB"/>
        </w:rPr>
        <w:t>M</w:t>
      </w:r>
      <w:r w:rsidR="005F070D" w:rsidRPr="00260A53">
        <w:rPr>
          <w:rFonts w:ascii="Garamond" w:hAnsi="Garamond"/>
          <w:color w:val="000000"/>
          <w:sz w:val="24"/>
          <w:szCs w:val="24"/>
          <w:lang w:val="en-GB"/>
        </w:rPr>
        <w:t>ost importantly, index provider</w:t>
      </w:r>
      <w:r w:rsidR="003D7726" w:rsidRPr="00260A53">
        <w:rPr>
          <w:rFonts w:ascii="Garamond" w:hAnsi="Garamond"/>
          <w:color w:val="000000"/>
          <w:sz w:val="24"/>
          <w:szCs w:val="24"/>
          <w:lang w:val="en-GB"/>
        </w:rPr>
        <w:t>s</w:t>
      </w:r>
      <w:r w:rsidR="005F070D" w:rsidRPr="00260A53">
        <w:rPr>
          <w:rFonts w:ascii="Garamond" w:hAnsi="Garamond"/>
          <w:color w:val="000000"/>
          <w:sz w:val="24"/>
          <w:szCs w:val="24"/>
          <w:lang w:val="en-GB"/>
        </w:rPr>
        <w:t xml:space="preserve"> ha</w:t>
      </w:r>
      <w:r w:rsidR="003D7726" w:rsidRPr="00260A53">
        <w:rPr>
          <w:rFonts w:ascii="Garamond" w:hAnsi="Garamond"/>
          <w:color w:val="000000"/>
          <w:sz w:val="24"/>
          <w:szCs w:val="24"/>
          <w:lang w:val="en-GB"/>
        </w:rPr>
        <w:t>ve</w:t>
      </w:r>
      <w:r w:rsidR="005F070D" w:rsidRPr="00260A53">
        <w:rPr>
          <w:rFonts w:ascii="Garamond" w:hAnsi="Garamond"/>
          <w:color w:val="000000"/>
          <w:sz w:val="24"/>
          <w:szCs w:val="24"/>
          <w:lang w:val="en-GB"/>
        </w:rPr>
        <w:t xml:space="preserve"> a strong commercial incentive to provide high quality indices for asset managers.  Any commercial index provider that allowed—or was even perceived to allow—manipulation of </w:t>
      </w:r>
      <w:r w:rsidR="005F070D" w:rsidRPr="00260A53">
        <w:rPr>
          <w:rFonts w:ascii="Garamond" w:hAnsi="Garamond"/>
          <w:color w:val="000000"/>
          <w:sz w:val="24"/>
          <w:szCs w:val="24"/>
          <w:lang w:val="en-GB"/>
        </w:rPr>
        <w:lastRenderedPageBreak/>
        <w:t xml:space="preserve">its benchmarks would stand to lose far more than it could gain from any potential manipulation.  </w:t>
      </w:r>
    </w:p>
    <w:p w14:paraId="5C814313" w14:textId="77777777" w:rsidR="005F070D" w:rsidRPr="00260A53" w:rsidRDefault="003D7726" w:rsidP="00112E57">
      <w:pPr>
        <w:spacing w:after="240" w:line="240" w:lineRule="auto"/>
        <w:rPr>
          <w:rFonts w:ascii="Garamond" w:hAnsi="Garamond"/>
          <w:sz w:val="24"/>
          <w:szCs w:val="24"/>
          <w:lang w:val="en-GB"/>
        </w:rPr>
      </w:pPr>
      <w:r w:rsidRPr="00260A53">
        <w:rPr>
          <w:rFonts w:ascii="Garamond" w:hAnsi="Garamond"/>
          <w:color w:val="000000"/>
          <w:sz w:val="24"/>
          <w:szCs w:val="24"/>
          <w:lang w:val="en-GB"/>
        </w:rPr>
        <w:t>These characteristics of commercial indices used by asset managers</w:t>
      </w:r>
      <w:r w:rsidR="005F070D" w:rsidRPr="00260A53">
        <w:rPr>
          <w:rFonts w:ascii="Garamond" w:hAnsi="Garamond"/>
          <w:color w:val="000000"/>
          <w:sz w:val="24"/>
          <w:szCs w:val="24"/>
          <w:lang w:val="en-GB"/>
        </w:rPr>
        <w:t xml:space="preserve"> provide effecti</w:t>
      </w:r>
      <w:r w:rsidRPr="00260A53">
        <w:rPr>
          <w:rFonts w:ascii="Garamond" w:hAnsi="Garamond"/>
          <w:color w:val="000000"/>
          <w:sz w:val="24"/>
          <w:szCs w:val="24"/>
          <w:lang w:val="en-GB"/>
        </w:rPr>
        <w:t>ve checks against the concerns detailed</w:t>
      </w:r>
      <w:r w:rsidR="005F070D" w:rsidRPr="00260A53">
        <w:rPr>
          <w:rFonts w:ascii="Garamond" w:hAnsi="Garamond"/>
          <w:color w:val="000000"/>
          <w:sz w:val="24"/>
          <w:szCs w:val="24"/>
          <w:lang w:val="en-GB"/>
        </w:rPr>
        <w:t xml:space="preserve"> in </w:t>
      </w:r>
      <w:r w:rsidR="00324335">
        <w:rPr>
          <w:rFonts w:ascii="Garamond" w:hAnsi="Garamond"/>
          <w:color w:val="000000"/>
          <w:sz w:val="24"/>
          <w:szCs w:val="24"/>
          <w:lang w:val="en-GB"/>
        </w:rPr>
        <w:t>the Consultation.</w:t>
      </w:r>
    </w:p>
    <w:p w14:paraId="5C814314" w14:textId="77777777" w:rsidR="00F24D58" w:rsidRPr="00260A53" w:rsidRDefault="00F24D58" w:rsidP="00F24D58">
      <w:pPr>
        <w:spacing w:after="240" w:line="240" w:lineRule="auto"/>
        <w:rPr>
          <w:rFonts w:ascii="Garamond" w:hAnsi="Garamond"/>
          <w:b/>
          <w:sz w:val="24"/>
          <w:szCs w:val="24"/>
          <w:lang w:val="en-GB"/>
        </w:rPr>
      </w:pPr>
      <w:r>
        <w:rPr>
          <w:rFonts w:ascii="Garamond" w:hAnsi="Garamond"/>
          <w:b/>
          <w:sz w:val="24"/>
          <w:szCs w:val="24"/>
          <w:lang w:val="en-GB"/>
        </w:rPr>
        <w:t>Principles for firms involved in benchmark data submissions</w:t>
      </w:r>
    </w:p>
    <w:p w14:paraId="5C814315" w14:textId="05E69546" w:rsidR="00F24D58" w:rsidRPr="00260A53" w:rsidRDefault="00F24D58" w:rsidP="00F24D58">
      <w:pPr>
        <w:spacing w:after="240" w:line="240" w:lineRule="auto"/>
        <w:rPr>
          <w:rFonts w:ascii="Garamond" w:hAnsi="Garamond"/>
          <w:color w:val="000000"/>
          <w:sz w:val="24"/>
          <w:szCs w:val="24"/>
          <w:lang w:val="en-GB"/>
        </w:rPr>
      </w:pPr>
      <w:r>
        <w:rPr>
          <w:rFonts w:ascii="Garamond" w:hAnsi="Garamond"/>
          <w:color w:val="000000"/>
          <w:sz w:val="24"/>
          <w:szCs w:val="24"/>
          <w:lang w:val="en-GB"/>
        </w:rPr>
        <w:t xml:space="preserve">The Consultation sets out a number of concerns </w:t>
      </w:r>
      <w:r w:rsidRPr="00260A53">
        <w:rPr>
          <w:rFonts w:ascii="Garamond" w:hAnsi="Garamond"/>
          <w:color w:val="000000"/>
          <w:sz w:val="24"/>
          <w:szCs w:val="24"/>
          <w:lang w:val="en-GB"/>
        </w:rPr>
        <w:t>over potential conflicts of interest that may arise in the benchmark setting process</w:t>
      </w:r>
      <w:r>
        <w:rPr>
          <w:rFonts w:ascii="Garamond" w:hAnsi="Garamond"/>
          <w:color w:val="000000"/>
          <w:sz w:val="24"/>
          <w:szCs w:val="24"/>
          <w:lang w:val="en-GB"/>
        </w:rPr>
        <w:t xml:space="preserve"> and Principle</w:t>
      </w:r>
      <w:r w:rsidR="00402CB3">
        <w:rPr>
          <w:rFonts w:ascii="Garamond" w:hAnsi="Garamond"/>
          <w:color w:val="000000"/>
          <w:sz w:val="24"/>
          <w:szCs w:val="24"/>
          <w:lang w:val="en-GB"/>
        </w:rPr>
        <w:t>s B.2. – B.4. propose</w:t>
      </w:r>
      <w:r>
        <w:rPr>
          <w:rFonts w:ascii="Garamond" w:hAnsi="Garamond"/>
          <w:color w:val="000000"/>
          <w:sz w:val="24"/>
          <w:szCs w:val="24"/>
          <w:lang w:val="en-GB"/>
        </w:rPr>
        <w:t xml:space="preserve"> a number of measures concerning organisation and administration arrangements and conflicts of interest policies.</w:t>
      </w:r>
      <w:r w:rsidRPr="00260A53">
        <w:rPr>
          <w:rFonts w:ascii="Garamond" w:hAnsi="Garamond"/>
          <w:color w:val="000000"/>
          <w:sz w:val="24"/>
          <w:szCs w:val="24"/>
          <w:lang w:val="en-GB"/>
        </w:rPr>
        <w:t xml:space="preserve">  We agree that conflicts may arise, but </w:t>
      </w:r>
      <w:r>
        <w:rPr>
          <w:rFonts w:ascii="Garamond" w:hAnsi="Garamond"/>
          <w:color w:val="000000"/>
          <w:sz w:val="24"/>
          <w:szCs w:val="24"/>
          <w:lang w:val="en-GB"/>
        </w:rPr>
        <w:t xml:space="preserve">as we have </w:t>
      </w:r>
      <w:r w:rsidR="004D7A58">
        <w:rPr>
          <w:rFonts w:ascii="Garamond" w:hAnsi="Garamond"/>
          <w:color w:val="000000"/>
          <w:sz w:val="24"/>
          <w:szCs w:val="24"/>
          <w:lang w:val="en-GB"/>
        </w:rPr>
        <w:t xml:space="preserve">also </w:t>
      </w:r>
      <w:r>
        <w:rPr>
          <w:rFonts w:ascii="Garamond" w:hAnsi="Garamond"/>
          <w:color w:val="000000"/>
          <w:sz w:val="24"/>
          <w:szCs w:val="24"/>
          <w:lang w:val="en-GB"/>
        </w:rPr>
        <w:t xml:space="preserve">suggested </w:t>
      </w:r>
      <w:r w:rsidR="00000228">
        <w:rPr>
          <w:rFonts w:ascii="Garamond" w:hAnsi="Garamond"/>
          <w:color w:val="000000"/>
          <w:sz w:val="24"/>
          <w:szCs w:val="24"/>
          <w:lang w:val="en-GB"/>
        </w:rPr>
        <w:t xml:space="preserve">to IOSCO we urge the Task Force </w:t>
      </w:r>
      <w:r w:rsidRPr="00260A53">
        <w:rPr>
          <w:rFonts w:ascii="Garamond" w:hAnsi="Garamond"/>
          <w:color w:val="000000"/>
          <w:sz w:val="24"/>
          <w:szCs w:val="24"/>
          <w:lang w:val="en-GB"/>
        </w:rPr>
        <w:t>to take care in distinguishing the nature and types of conflicts that may arise with survey-based benchmarks, such as LIBOR, from those that may arise in the context of commercial indices.</w:t>
      </w:r>
    </w:p>
    <w:p w14:paraId="5C814316" w14:textId="77777777" w:rsidR="00F24D58" w:rsidRPr="00260A53" w:rsidRDefault="00F24D58" w:rsidP="00F24D58">
      <w:pPr>
        <w:spacing w:after="240" w:line="240" w:lineRule="auto"/>
        <w:rPr>
          <w:rFonts w:ascii="Garamond" w:hAnsi="Garamond"/>
          <w:color w:val="000000"/>
          <w:sz w:val="24"/>
          <w:szCs w:val="24"/>
          <w:lang w:val="en-GB"/>
        </w:rPr>
      </w:pPr>
      <w:r w:rsidRPr="00260A53">
        <w:rPr>
          <w:rFonts w:ascii="Garamond" w:hAnsi="Garamond"/>
          <w:color w:val="000000"/>
          <w:sz w:val="24"/>
          <w:szCs w:val="24"/>
          <w:lang w:val="en-GB"/>
        </w:rPr>
        <w:t xml:space="preserve">As discussed above, there is little opportunity or incentive for an asset manager—or anyone else that might have an interest—to manipulate commercial securities indices.  As a preliminary matter, </w:t>
      </w:r>
      <w:r w:rsidRPr="00260A53">
        <w:rPr>
          <w:rFonts w:ascii="Garamond" w:hAnsi="Garamond"/>
          <w:sz w:val="24"/>
          <w:szCs w:val="24"/>
          <w:lang w:val="en-GB"/>
        </w:rPr>
        <w:t>the underlying data for securities indices is typically taken from a regulated exchange or other source of market bids, offers, or executed prices, and any index reconstitutions follow a stated methodology and generally are announced in advance of their effective dates.  These features leave little opportunity for manipulation.  Additionally, u</w:t>
      </w:r>
      <w:r w:rsidRPr="00260A53">
        <w:rPr>
          <w:rFonts w:ascii="Garamond" w:hAnsi="Garamond"/>
          <w:color w:val="000000"/>
          <w:sz w:val="24"/>
          <w:szCs w:val="24"/>
          <w:lang w:val="en-GB"/>
        </w:rPr>
        <w:t>nlike benchmarks on which financial contracts are based, these indices do not dictate payments from one party to another, so there would be no direct gain associated from any manipulation.  The performance of an index fund—and by extension the fund’s manager—is primarily measured by how well it tracks the target index,</w:t>
      </w:r>
      <w:r w:rsidRPr="00260A53">
        <w:rPr>
          <w:rStyle w:val="FootnoteReference"/>
          <w:rFonts w:ascii="Garamond" w:hAnsi="Garamond"/>
          <w:sz w:val="24"/>
          <w:szCs w:val="24"/>
          <w:lang w:val="en-GB"/>
        </w:rPr>
        <w:footnoteReference w:id="20"/>
      </w:r>
      <w:bookmarkStart w:id="3" w:name="_DV_M61"/>
      <w:bookmarkEnd w:id="3"/>
      <w:r w:rsidRPr="00260A53">
        <w:rPr>
          <w:rFonts w:ascii="Garamond" w:hAnsi="Garamond"/>
          <w:color w:val="000000"/>
          <w:sz w:val="24"/>
          <w:szCs w:val="24"/>
          <w:lang w:val="en-GB"/>
        </w:rPr>
        <w:t xml:space="preserve"> rather than the direction the fund moves; thus, an index fund manager has little incentive to seek to manipulate the index.  </w:t>
      </w:r>
    </w:p>
    <w:p w14:paraId="2B38393B" w14:textId="76AA2E5A" w:rsidR="00C12138" w:rsidRDefault="00F24D58" w:rsidP="00F24D58">
      <w:pPr>
        <w:spacing w:after="240" w:line="240" w:lineRule="auto"/>
        <w:rPr>
          <w:rFonts w:ascii="Garamond" w:hAnsi="Garamond"/>
          <w:color w:val="000000"/>
          <w:sz w:val="24"/>
          <w:szCs w:val="24"/>
          <w:lang w:val="en-GB"/>
        </w:rPr>
      </w:pPr>
      <w:r w:rsidRPr="00260A53">
        <w:rPr>
          <w:rFonts w:ascii="Garamond" w:hAnsi="Garamond"/>
          <w:color w:val="000000"/>
          <w:sz w:val="24"/>
          <w:szCs w:val="24"/>
          <w:lang w:val="en-GB"/>
        </w:rPr>
        <w:t xml:space="preserve">Moreover, commercial index administrators have every incentive to prevent such manipulation.  The index business is extremely competitive; any loss of faith in the integrity of an index would mean commercial ruin to the index provider.  At the same time, there is little self-serving benefit to the provider in allowing an index to be manipulated.  That is, while an entity that relies on a benchmark to establish a price paid or received for an instrument may benefit from a reduction (if paying) or an increase (if receiving) in the value of the benchmark, the business interests of commercial index providers, as well as those of the asset managers relying on the indices, are best served if the performance of an index accurately reflects the financial value it is intended to measure. </w:t>
      </w:r>
    </w:p>
    <w:p w14:paraId="10BE7C10" w14:textId="77777777" w:rsidR="00000228" w:rsidRDefault="00000228" w:rsidP="00F24D58">
      <w:pPr>
        <w:spacing w:after="240" w:line="240" w:lineRule="auto"/>
        <w:rPr>
          <w:rFonts w:ascii="Garamond" w:hAnsi="Garamond"/>
          <w:color w:val="000000"/>
          <w:sz w:val="24"/>
          <w:szCs w:val="24"/>
          <w:lang w:val="en-GB"/>
        </w:rPr>
      </w:pPr>
    </w:p>
    <w:p w14:paraId="44CC9B86" w14:textId="77777777" w:rsidR="00000228" w:rsidRDefault="00000228" w:rsidP="00F24D58">
      <w:pPr>
        <w:spacing w:after="240" w:line="240" w:lineRule="auto"/>
        <w:rPr>
          <w:rFonts w:ascii="Garamond" w:hAnsi="Garamond"/>
          <w:color w:val="000000"/>
          <w:sz w:val="24"/>
          <w:szCs w:val="24"/>
          <w:lang w:val="en-GB"/>
        </w:rPr>
      </w:pPr>
    </w:p>
    <w:p w14:paraId="4B353C95" w14:textId="77777777" w:rsidR="00000228" w:rsidRDefault="00000228" w:rsidP="00F24D58">
      <w:pPr>
        <w:spacing w:after="240" w:line="240" w:lineRule="auto"/>
        <w:rPr>
          <w:rFonts w:ascii="Garamond" w:hAnsi="Garamond"/>
          <w:color w:val="000000"/>
          <w:sz w:val="24"/>
          <w:szCs w:val="24"/>
          <w:lang w:val="en-GB"/>
        </w:rPr>
      </w:pPr>
    </w:p>
    <w:p w14:paraId="5C814318" w14:textId="77777777" w:rsidR="00F24D58" w:rsidRPr="00260A53" w:rsidRDefault="00F24D58" w:rsidP="00F24D58">
      <w:pPr>
        <w:spacing w:after="240" w:line="240" w:lineRule="auto"/>
        <w:rPr>
          <w:rFonts w:ascii="Garamond" w:hAnsi="Garamond"/>
          <w:color w:val="000000"/>
          <w:sz w:val="24"/>
          <w:szCs w:val="24"/>
          <w:lang w:val="en-GB"/>
        </w:rPr>
      </w:pPr>
      <w:r w:rsidRPr="00260A53">
        <w:rPr>
          <w:rFonts w:ascii="Garamond" w:hAnsi="Garamond"/>
          <w:color w:val="000000"/>
          <w:sz w:val="24"/>
          <w:szCs w:val="24"/>
          <w:lang w:val="en-GB"/>
        </w:rPr>
        <w:t>Potential conflicts may be greater in the context of funds that track indices administered by an affiliate—a context that fund regulators have carefully considered and addressed.  In the United States, for example, the SEC imposes a number of conditions relating to transparency and separation of tasks on “self-indexed” ETFs regulated under the Investment Company Act, which are specifically designed to prevent manipulation of the index to benefit (or harm) the fund</w:t>
      </w:r>
      <w:r w:rsidRPr="00260A53">
        <w:rPr>
          <w:rFonts w:ascii="Garamond" w:hAnsi="Garamond"/>
          <w:sz w:val="24"/>
          <w:szCs w:val="24"/>
          <w:lang w:val="en-GB"/>
        </w:rPr>
        <w:t>.</w:t>
      </w:r>
      <w:r w:rsidRPr="00260A53">
        <w:rPr>
          <w:rStyle w:val="FootnoteReference"/>
          <w:rFonts w:ascii="Garamond" w:hAnsi="Garamond"/>
          <w:sz w:val="24"/>
          <w:szCs w:val="24"/>
          <w:lang w:val="en-GB"/>
        </w:rPr>
        <w:footnoteReference w:id="21"/>
      </w:r>
      <w:bookmarkStart w:id="4" w:name="_DV_M56"/>
      <w:bookmarkEnd w:id="4"/>
      <w:r w:rsidRPr="00260A53">
        <w:rPr>
          <w:rFonts w:ascii="Garamond" w:hAnsi="Garamond"/>
          <w:color w:val="000000"/>
          <w:sz w:val="24"/>
          <w:szCs w:val="24"/>
          <w:lang w:val="en-GB"/>
        </w:rPr>
        <w:t xml:space="preserve">  </w:t>
      </w:r>
      <w:r w:rsidRPr="00260A53">
        <w:rPr>
          <w:rFonts w:ascii="Garamond" w:hAnsi="Garamond"/>
          <w:color w:val="000000"/>
          <w:sz w:val="24"/>
          <w:szCs w:val="24"/>
          <w:lang w:val="en-GB"/>
        </w:rPr>
        <w:lastRenderedPageBreak/>
        <w:t>These conditions leave little opportunity for a fund manager to manipulate the index.  In addition, a framework of federal securities laws and exchange rules protect against conflicts of interest and misuse of non-public information.</w:t>
      </w:r>
      <w:r w:rsidRPr="00260A53">
        <w:rPr>
          <w:rStyle w:val="FootnoteReference"/>
          <w:rFonts w:ascii="Garamond" w:hAnsi="Garamond"/>
          <w:sz w:val="24"/>
          <w:szCs w:val="24"/>
          <w:lang w:val="en-GB"/>
        </w:rPr>
        <w:footnoteReference w:id="22"/>
      </w:r>
      <w:r w:rsidRPr="00260A53">
        <w:rPr>
          <w:rFonts w:ascii="Garamond" w:hAnsi="Garamond"/>
          <w:color w:val="000000"/>
          <w:sz w:val="24"/>
          <w:szCs w:val="24"/>
          <w:lang w:val="en-GB"/>
        </w:rPr>
        <w:t xml:space="preserve">  Similarly, as ESMA recently noted, specific provisions in the UCITS Directive address conflicts of interest when an index provider is affiliated with an index fund’s manager, including transparency requirements, published policies and procedures, and independent valuation</w:t>
      </w:r>
      <w:r w:rsidRPr="00260A53">
        <w:rPr>
          <w:rFonts w:ascii="Garamond" w:hAnsi="Garamond"/>
          <w:sz w:val="24"/>
          <w:szCs w:val="24"/>
          <w:lang w:val="en-GB"/>
        </w:rPr>
        <w:t>.</w:t>
      </w:r>
      <w:r w:rsidRPr="00260A53">
        <w:rPr>
          <w:rStyle w:val="FootnoteReference"/>
          <w:rFonts w:ascii="Garamond" w:hAnsi="Garamond"/>
          <w:sz w:val="24"/>
          <w:szCs w:val="24"/>
          <w:lang w:val="en-GB"/>
        </w:rPr>
        <w:footnoteReference w:id="23"/>
      </w:r>
    </w:p>
    <w:p w14:paraId="5C814319" w14:textId="77777777" w:rsidR="00F24D58" w:rsidRPr="00260A53" w:rsidRDefault="00F24D58" w:rsidP="00F24D58">
      <w:pPr>
        <w:spacing w:after="240" w:line="240" w:lineRule="auto"/>
        <w:rPr>
          <w:rFonts w:ascii="Garamond" w:hAnsi="Garamond"/>
          <w:color w:val="000000"/>
          <w:sz w:val="24"/>
          <w:szCs w:val="24"/>
          <w:lang w:val="en-GB"/>
        </w:rPr>
      </w:pPr>
      <w:bookmarkStart w:id="5" w:name="_DV_M59"/>
      <w:bookmarkEnd w:id="5"/>
      <w:r w:rsidRPr="00260A53">
        <w:rPr>
          <w:rFonts w:ascii="Garamond" w:hAnsi="Garamond"/>
          <w:color w:val="000000"/>
          <w:sz w:val="24"/>
          <w:szCs w:val="24"/>
          <w:lang w:val="en-GB"/>
        </w:rPr>
        <w:t xml:space="preserve">Ultimately, while the potential for conflicts of interest clearly is an appropriate area for securities regulators to evaluate, we do not believe that this Consultation identifies a sufficient basis for concern with respect to the potential for conflicts of interest in commercially provided securities indices.  </w:t>
      </w:r>
    </w:p>
    <w:p w14:paraId="5C81431A" w14:textId="77777777" w:rsidR="00390C61" w:rsidRPr="00260A53" w:rsidRDefault="003D318A" w:rsidP="001129FE">
      <w:pPr>
        <w:spacing w:after="240" w:line="240" w:lineRule="auto"/>
        <w:rPr>
          <w:rFonts w:ascii="Garamond" w:hAnsi="Garamond"/>
          <w:b/>
          <w:sz w:val="24"/>
          <w:szCs w:val="24"/>
          <w:lang w:val="en-GB"/>
        </w:rPr>
      </w:pPr>
      <w:r>
        <w:rPr>
          <w:rFonts w:ascii="Garamond" w:hAnsi="Garamond"/>
          <w:b/>
          <w:sz w:val="24"/>
          <w:szCs w:val="24"/>
          <w:lang w:val="en-GB"/>
        </w:rPr>
        <w:t>Principles for benchmark administrators</w:t>
      </w:r>
    </w:p>
    <w:p w14:paraId="5C81431B" w14:textId="77777777" w:rsidR="00390C61" w:rsidRPr="00260A53" w:rsidRDefault="003D318A" w:rsidP="00112E57">
      <w:pPr>
        <w:spacing w:after="240" w:line="240" w:lineRule="auto"/>
        <w:rPr>
          <w:rFonts w:ascii="Garamond" w:hAnsi="Garamond"/>
          <w:sz w:val="24"/>
          <w:szCs w:val="24"/>
          <w:lang w:val="en-GB"/>
        </w:rPr>
      </w:pPr>
      <w:r>
        <w:rPr>
          <w:rFonts w:ascii="Garamond" w:hAnsi="Garamond"/>
          <w:sz w:val="24"/>
          <w:szCs w:val="24"/>
          <w:lang w:val="en-GB"/>
        </w:rPr>
        <w:t xml:space="preserve">Box C sets out a number of Principles for benchmark administrators. These require in general terms that administrators ensure the existence of robust methodologies for the calculation of </w:t>
      </w:r>
      <w:r w:rsidR="00B102B9">
        <w:rPr>
          <w:rFonts w:ascii="Garamond" w:hAnsi="Garamond"/>
          <w:sz w:val="24"/>
          <w:szCs w:val="24"/>
          <w:lang w:val="en-GB"/>
        </w:rPr>
        <w:t xml:space="preserve">the </w:t>
      </w:r>
      <w:r>
        <w:rPr>
          <w:rFonts w:ascii="Garamond" w:hAnsi="Garamond"/>
          <w:sz w:val="24"/>
          <w:szCs w:val="24"/>
          <w:lang w:val="en-GB"/>
        </w:rPr>
        <w:t xml:space="preserve">benchmarks, appropriately oversee the operation of this methodology </w:t>
      </w:r>
      <w:r w:rsidR="00B102B9">
        <w:rPr>
          <w:rFonts w:ascii="Garamond" w:hAnsi="Garamond"/>
          <w:sz w:val="24"/>
          <w:szCs w:val="24"/>
          <w:lang w:val="en-GB"/>
        </w:rPr>
        <w:t>and ensure an</w:t>
      </w:r>
      <w:r>
        <w:rPr>
          <w:rFonts w:ascii="Garamond" w:hAnsi="Garamond"/>
          <w:sz w:val="24"/>
          <w:szCs w:val="24"/>
          <w:lang w:val="en-GB"/>
        </w:rPr>
        <w:t xml:space="preserve"> appropriate level of transparency </w:t>
      </w:r>
      <w:r w:rsidR="00B102B9">
        <w:rPr>
          <w:rFonts w:ascii="Garamond" w:hAnsi="Garamond"/>
          <w:sz w:val="24"/>
          <w:szCs w:val="24"/>
          <w:lang w:val="en-GB"/>
        </w:rPr>
        <w:t xml:space="preserve">to the market regarding the benchmark’s rules. These are </w:t>
      </w:r>
      <w:r w:rsidR="00E36C65" w:rsidRPr="00260A53">
        <w:rPr>
          <w:rFonts w:ascii="Garamond" w:hAnsi="Garamond"/>
          <w:sz w:val="24"/>
          <w:szCs w:val="24"/>
          <w:lang w:val="en-GB"/>
        </w:rPr>
        <w:t>important question</w:t>
      </w:r>
      <w:r w:rsidR="00B102B9">
        <w:rPr>
          <w:rFonts w:ascii="Garamond" w:hAnsi="Garamond"/>
          <w:sz w:val="24"/>
          <w:szCs w:val="24"/>
          <w:lang w:val="en-GB"/>
        </w:rPr>
        <w:t>s but a</w:t>
      </w:r>
      <w:r w:rsidR="00555B9D" w:rsidRPr="00260A53">
        <w:rPr>
          <w:rFonts w:ascii="Garamond" w:hAnsi="Garamond"/>
          <w:sz w:val="24"/>
          <w:szCs w:val="24"/>
          <w:lang w:val="en-GB"/>
        </w:rPr>
        <w:t xml:space="preserve">gain we encourage </w:t>
      </w:r>
      <w:r w:rsidR="00402CB3">
        <w:rPr>
          <w:rFonts w:ascii="Garamond" w:hAnsi="Garamond"/>
          <w:sz w:val="24"/>
          <w:szCs w:val="24"/>
          <w:lang w:val="en-GB"/>
        </w:rPr>
        <w:t>the Task Force</w:t>
      </w:r>
      <w:r w:rsidR="00555B9D" w:rsidRPr="00260A53">
        <w:rPr>
          <w:rFonts w:ascii="Garamond" w:hAnsi="Garamond"/>
          <w:sz w:val="24"/>
          <w:szCs w:val="24"/>
          <w:lang w:val="en-GB"/>
        </w:rPr>
        <w:t xml:space="preserve"> to</w:t>
      </w:r>
      <w:r w:rsidR="00B102B9">
        <w:rPr>
          <w:rFonts w:ascii="Garamond" w:hAnsi="Garamond"/>
          <w:sz w:val="24"/>
          <w:szCs w:val="24"/>
          <w:lang w:val="en-GB"/>
        </w:rPr>
        <w:t xml:space="preserve"> focus not just on transparency</w:t>
      </w:r>
      <w:r w:rsidR="00555B9D" w:rsidRPr="00260A53">
        <w:rPr>
          <w:rFonts w:ascii="Garamond" w:hAnsi="Garamond"/>
          <w:sz w:val="24"/>
          <w:szCs w:val="24"/>
          <w:lang w:val="en-GB"/>
        </w:rPr>
        <w:t xml:space="preserve"> but also on the </w:t>
      </w:r>
      <w:r w:rsidR="004257BC" w:rsidRPr="00260A53">
        <w:rPr>
          <w:rFonts w:ascii="Garamond" w:hAnsi="Garamond"/>
          <w:sz w:val="24"/>
          <w:szCs w:val="24"/>
          <w:lang w:val="en-GB"/>
        </w:rPr>
        <w:t xml:space="preserve">appropriate </w:t>
      </w:r>
      <w:r w:rsidR="00555B9D" w:rsidRPr="00260A53">
        <w:rPr>
          <w:rFonts w:ascii="Garamond" w:hAnsi="Garamond"/>
          <w:sz w:val="24"/>
          <w:szCs w:val="24"/>
          <w:lang w:val="en-GB"/>
        </w:rPr>
        <w:t>role of regulation in achieving that transparency.</w:t>
      </w:r>
    </w:p>
    <w:p w14:paraId="5C81431C" w14:textId="77777777" w:rsidR="00390C61" w:rsidRPr="00260A53" w:rsidRDefault="00555B9D" w:rsidP="00112E57">
      <w:pPr>
        <w:spacing w:after="240" w:line="240" w:lineRule="auto"/>
        <w:rPr>
          <w:rFonts w:ascii="Garamond" w:hAnsi="Garamond"/>
          <w:sz w:val="24"/>
          <w:szCs w:val="24"/>
          <w:lang w:val="en-GB"/>
        </w:rPr>
      </w:pPr>
      <w:r w:rsidRPr="00260A53">
        <w:rPr>
          <w:rFonts w:ascii="Garamond" w:hAnsi="Garamond"/>
          <w:sz w:val="24"/>
          <w:szCs w:val="24"/>
          <w:lang w:val="en-GB"/>
        </w:rPr>
        <w:t>In this regard, w</w:t>
      </w:r>
      <w:r w:rsidR="00E36C65" w:rsidRPr="00260A53">
        <w:rPr>
          <w:rFonts w:ascii="Garamond" w:hAnsi="Garamond"/>
          <w:sz w:val="24"/>
          <w:szCs w:val="24"/>
          <w:lang w:val="en-GB"/>
        </w:rPr>
        <w:t xml:space="preserve">e do not believe </w:t>
      </w:r>
      <w:r w:rsidRPr="00260A53">
        <w:rPr>
          <w:rFonts w:ascii="Garamond" w:hAnsi="Garamond"/>
          <w:sz w:val="24"/>
          <w:szCs w:val="24"/>
          <w:lang w:val="en-GB"/>
        </w:rPr>
        <w:t xml:space="preserve">additional </w:t>
      </w:r>
      <w:r w:rsidR="00E36C65" w:rsidRPr="00260A53">
        <w:rPr>
          <w:rFonts w:ascii="Garamond" w:hAnsi="Garamond"/>
          <w:sz w:val="24"/>
          <w:szCs w:val="24"/>
          <w:lang w:val="en-GB"/>
        </w:rPr>
        <w:t xml:space="preserve">regulation is necessary to ensure sufficient transparency with respect to commercial securities </w:t>
      </w:r>
      <w:r w:rsidR="00050B06" w:rsidRPr="00260A53">
        <w:rPr>
          <w:rFonts w:ascii="Garamond" w:hAnsi="Garamond"/>
          <w:sz w:val="24"/>
          <w:szCs w:val="24"/>
          <w:lang w:val="en-GB"/>
        </w:rPr>
        <w:t>indices</w:t>
      </w:r>
      <w:r w:rsidR="00E36C65" w:rsidRPr="00260A53">
        <w:rPr>
          <w:rFonts w:ascii="Garamond" w:hAnsi="Garamond"/>
          <w:sz w:val="24"/>
          <w:szCs w:val="24"/>
          <w:lang w:val="en-GB"/>
        </w:rPr>
        <w:t xml:space="preserve">. </w:t>
      </w:r>
      <w:r w:rsidR="00402CB3">
        <w:rPr>
          <w:rFonts w:ascii="Garamond" w:hAnsi="Garamond"/>
          <w:sz w:val="24"/>
          <w:szCs w:val="24"/>
          <w:lang w:val="en-GB"/>
        </w:rPr>
        <w:t>A</w:t>
      </w:r>
      <w:r w:rsidR="00222848" w:rsidRPr="00260A53">
        <w:rPr>
          <w:rFonts w:ascii="Garamond" w:hAnsi="Garamond"/>
          <w:sz w:val="24"/>
          <w:szCs w:val="24"/>
          <w:lang w:val="en-GB"/>
        </w:rPr>
        <w:t>dministrators</w:t>
      </w:r>
      <w:r w:rsidR="00390C61" w:rsidRPr="00260A53">
        <w:rPr>
          <w:rFonts w:ascii="Garamond" w:hAnsi="Garamond"/>
          <w:color w:val="000000"/>
          <w:sz w:val="24"/>
          <w:szCs w:val="24"/>
          <w:lang w:val="en-GB"/>
        </w:rPr>
        <w:t xml:space="preserve"> that license their indices to asset managers provide a great deal of information about their methodology and selection criteria—far more information than is available about the methodology of LIBOR—and asset managers carefully monitor the index formulation and constituents to ensure that the criteria are being followed.  This information certainly allows the </w:t>
      </w:r>
      <w:r w:rsidR="00C37A63" w:rsidRPr="00260A53">
        <w:rPr>
          <w:rFonts w:ascii="Garamond" w:hAnsi="Garamond"/>
          <w:color w:val="000000"/>
          <w:sz w:val="24"/>
          <w:szCs w:val="24"/>
          <w:lang w:val="en-GB"/>
        </w:rPr>
        <w:t xml:space="preserve">licensing </w:t>
      </w:r>
      <w:r w:rsidR="00390C61" w:rsidRPr="00260A53">
        <w:rPr>
          <w:rFonts w:ascii="Garamond" w:hAnsi="Garamond"/>
          <w:color w:val="000000"/>
          <w:sz w:val="24"/>
          <w:szCs w:val="24"/>
          <w:lang w:val="en-GB"/>
        </w:rPr>
        <w:t xml:space="preserve">asset manager to </w:t>
      </w:r>
      <w:r w:rsidR="00390C61" w:rsidRPr="00260A53">
        <w:rPr>
          <w:rFonts w:ascii="Garamond" w:hAnsi="Garamond"/>
          <w:sz w:val="24"/>
          <w:szCs w:val="24"/>
          <w:lang w:val="en-GB"/>
        </w:rPr>
        <w:t>assess the credibility, representativeness, relevance, and suitability of a benchmark on an ongoing basi</w:t>
      </w:r>
      <w:r w:rsidR="00E36C65" w:rsidRPr="00260A53">
        <w:rPr>
          <w:rFonts w:ascii="Garamond" w:hAnsi="Garamond"/>
          <w:sz w:val="24"/>
          <w:szCs w:val="24"/>
          <w:lang w:val="en-GB"/>
        </w:rPr>
        <w:t>s</w:t>
      </w:r>
      <w:r w:rsidR="00B102B9">
        <w:rPr>
          <w:rFonts w:ascii="Garamond" w:hAnsi="Garamond"/>
          <w:color w:val="000000"/>
          <w:sz w:val="24"/>
          <w:szCs w:val="24"/>
          <w:lang w:val="en-GB"/>
        </w:rPr>
        <w:t xml:space="preserve">. </w:t>
      </w:r>
      <w:r w:rsidR="00C37A63" w:rsidRPr="00260A53">
        <w:rPr>
          <w:rFonts w:ascii="Garamond" w:hAnsi="Garamond"/>
          <w:sz w:val="24"/>
          <w:szCs w:val="24"/>
          <w:lang w:val="en-GB"/>
        </w:rPr>
        <w:t>Asset managers demand this information as part of their due diligence in selecting and monitoring their investment portfolios.</w:t>
      </w:r>
    </w:p>
    <w:p w14:paraId="4F9EED9D" w14:textId="77777777" w:rsidR="00C12138" w:rsidRDefault="00C12138" w:rsidP="00112E57">
      <w:pPr>
        <w:spacing w:after="240" w:line="240" w:lineRule="auto"/>
        <w:rPr>
          <w:rFonts w:ascii="Garamond" w:hAnsi="Garamond"/>
          <w:sz w:val="24"/>
          <w:szCs w:val="24"/>
          <w:lang w:val="en-GB"/>
        </w:rPr>
      </w:pPr>
    </w:p>
    <w:p w14:paraId="72B79902" w14:textId="77777777" w:rsidR="00C12138" w:rsidRDefault="00C12138" w:rsidP="00112E57">
      <w:pPr>
        <w:spacing w:after="240" w:line="240" w:lineRule="auto"/>
        <w:rPr>
          <w:rFonts w:ascii="Garamond" w:hAnsi="Garamond"/>
          <w:sz w:val="24"/>
          <w:szCs w:val="24"/>
          <w:lang w:val="en-GB"/>
        </w:rPr>
      </w:pPr>
    </w:p>
    <w:p w14:paraId="5C81431D" w14:textId="77777777" w:rsidR="008B70D9" w:rsidRPr="00260A53" w:rsidRDefault="008B70D9" w:rsidP="00112E57">
      <w:pPr>
        <w:spacing w:after="240" w:line="240" w:lineRule="auto"/>
        <w:rPr>
          <w:rFonts w:ascii="Garamond" w:hAnsi="Garamond"/>
          <w:sz w:val="24"/>
          <w:szCs w:val="24"/>
          <w:lang w:val="en-GB"/>
        </w:rPr>
      </w:pPr>
      <w:r w:rsidRPr="00260A53">
        <w:rPr>
          <w:rFonts w:ascii="Garamond" w:hAnsi="Garamond"/>
          <w:sz w:val="24"/>
          <w:szCs w:val="24"/>
          <w:lang w:val="en-GB"/>
        </w:rPr>
        <w:t>The</w:t>
      </w:r>
      <w:r w:rsidR="00E36C65" w:rsidRPr="00260A53">
        <w:rPr>
          <w:rFonts w:ascii="Garamond" w:hAnsi="Garamond"/>
          <w:sz w:val="24"/>
          <w:szCs w:val="24"/>
          <w:lang w:val="en-GB"/>
        </w:rPr>
        <w:t xml:space="preserve"> Consultation’s suggestion that the </w:t>
      </w:r>
      <w:r w:rsidR="00B102B9">
        <w:rPr>
          <w:rFonts w:ascii="Garamond" w:hAnsi="Garamond"/>
          <w:sz w:val="24"/>
          <w:szCs w:val="24"/>
          <w:lang w:val="en-GB"/>
        </w:rPr>
        <w:t>benchmark administrator should fully disclose the methodology</w:t>
      </w:r>
      <w:r w:rsidR="00B102B9">
        <w:rPr>
          <w:rStyle w:val="FootnoteReference"/>
          <w:rFonts w:ascii="Garamond" w:hAnsi="Garamond"/>
          <w:sz w:val="24"/>
          <w:szCs w:val="24"/>
          <w:lang w:val="en-GB"/>
        </w:rPr>
        <w:footnoteReference w:id="24"/>
      </w:r>
      <w:r w:rsidR="00B102B9">
        <w:rPr>
          <w:rFonts w:ascii="Garamond" w:hAnsi="Garamond"/>
          <w:sz w:val="24"/>
          <w:szCs w:val="24"/>
          <w:lang w:val="en-GB"/>
        </w:rPr>
        <w:t>, including as appropriate to the market</w:t>
      </w:r>
      <w:r w:rsidR="00B102B9">
        <w:rPr>
          <w:rStyle w:val="FootnoteReference"/>
          <w:rFonts w:ascii="Garamond" w:hAnsi="Garamond"/>
          <w:sz w:val="24"/>
          <w:szCs w:val="24"/>
          <w:lang w:val="en-GB"/>
        </w:rPr>
        <w:footnoteReference w:id="25"/>
      </w:r>
      <w:r w:rsidR="00B102B9">
        <w:rPr>
          <w:rFonts w:ascii="Garamond" w:hAnsi="Garamond"/>
          <w:sz w:val="24"/>
          <w:szCs w:val="24"/>
          <w:lang w:val="en-GB"/>
        </w:rPr>
        <w:t xml:space="preserve">, </w:t>
      </w:r>
      <w:r w:rsidRPr="00260A53">
        <w:rPr>
          <w:rFonts w:ascii="Garamond" w:hAnsi="Garamond"/>
          <w:sz w:val="24"/>
          <w:szCs w:val="24"/>
          <w:lang w:val="en-GB"/>
        </w:rPr>
        <w:t>is unnecessary and</w:t>
      </w:r>
      <w:r w:rsidR="00050B06" w:rsidRPr="00260A53">
        <w:rPr>
          <w:rFonts w:ascii="Garamond" w:hAnsi="Garamond"/>
          <w:sz w:val="24"/>
          <w:szCs w:val="24"/>
          <w:lang w:val="en-GB"/>
        </w:rPr>
        <w:t>, moreover,</w:t>
      </w:r>
      <w:r w:rsidRPr="00260A53">
        <w:rPr>
          <w:rFonts w:ascii="Garamond" w:hAnsi="Garamond"/>
          <w:sz w:val="24"/>
          <w:szCs w:val="24"/>
          <w:lang w:val="en-GB"/>
        </w:rPr>
        <w:t xml:space="preserve"> </w:t>
      </w:r>
      <w:r w:rsidR="00390C61" w:rsidRPr="00260A53">
        <w:rPr>
          <w:rFonts w:ascii="Garamond" w:hAnsi="Garamond"/>
          <w:sz w:val="24"/>
          <w:szCs w:val="24"/>
          <w:lang w:val="en-GB"/>
        </w:rPr>
        <w:t xml:space="preserve">would have significant negative consequences.  </w:t>
      </w:r>
      <w:r w:rsidR="00C37A63" w:rsidRPr="00260A53">
        <w:rPr>
          <w:rFonts w:ascii="Garamond" w:hAnsi="Garamond"/>
          <w:sz w:val="24"/>
          <w:szCs w:val="24"/>
          <w:lang w:val="en-GB"/>
        </w:rPr>
        <w:t>First, r</w:t>
      </w:r>
      <w:r w:rsidR="00702D9C" w:rsidRPr="00260A53">
        <w:rPr>
          <w:rFonts w:ascii="Garamond" w:hAnsi="Garamond"/>
          <w:sz w:val="24"/>
          <w:szCs w:val="24"/>
          <w:lang w:val="en-GB"/>
        </w:rPr>
        <w:t>equiring benchmark administrators</w:t>
      </w:r>
      <w:r w:rsidR="00C37A63" w:rsidRPr="00260A53">
        <w:rPr>
          <w:rFonts w:ascii="Garamond" w:hAnsi="Garamond"/>
          <w:sz w:val="24"/>
          <w:szCs w:val="24"/>
          <w:lang w:val="en-GB"/>
        </w:rPr>
        <w:t xml:space="preserve"> to</w:t>
      </w:r>
      <w:r w:rsidR="00702D9C" w:rsidRPr="00260A53">
        <w:rPr>
          <w:rFonts w:ascii="Garamond" w:hAnsi="Garamond"/>
          <w:sz w:val="24"/>
          <w:szCs w:val="24"/>
          <w:lang w:val="en-GB"/>
        </w:rPr>
        <w:t xml:space="preserve"> publicly disclose methodologi</w:t>
      </w:r>
      <w:r w:rsidRPr="00260A53">
        <w:rPr>
          <w:rFonts w:ascii="Garamond" w:hAnsi="Garamond"/>
          <w:sz w:val="24"/>
          <w:szCs w:val="24"/>
          <w:lang w:val="en-GB"/>
        </w:rPr>
        <w:t>es in such detail that any user</w:t>
      </w:r>
      <w:r w:rsidR="00555B9D" w:rsidRPr="00260A53">
        <w:rPr>
          <w:rFonts w:ascii="Garamond" w:hAnsi="Garamond"/>
          <w:color w:val="000000"/>
          <w:sz w:val="24"/>
          <w:szCs w:val="24"/>
          <w:lang w:val="en-GB"/>
        </w:rPr>
        <w:t>—</w:t>
      </w:r>
      <w:r w:rsidRPr="00260A53">
        <w:rPr>
          <w:rFonts w:ascii="Garamond" w:hAnsi="Garamond"/>
          <w:sz w:val="24"/>
          <w:szCs w:val="24"/>
          <w:lang w:val="en-GB"/>
        </w:rPr>
        <w:t>not just a licensee</w:t>
      </w:r>
      <w:r w:rsidR="00555B9D" w:rsidRPr="00260A53">
        <w:rPr>
          <w:rFonts w:ascii="Garamond" w:hAnsi="Garamond"/>
          <w:color w:val="000000"/>
          <w:sz w:val="24"/>
          <w:szCs w:val="24"/>
          <w:lang w:val="en-GB"/>
        </w:rPr>
        <w:t>—</w:t>
      </w:r>
      <w:r w:rsidR="00702D9C" w:rsidRPr="00260A53">
        <w:rPr>
          <w:rFonts w:ascii="Garamond" w:hAnsi="Garamond"/>
          <w:sz w:val="24"/>
          <w:szCs w:val="24"/>
          <w:lang w:val="en-GB"/>
        </w:rPr>
        <w:t>could replicate their ind</w:t>
      </w:r>
      <w:r w:rsidR="00050B06" w:rsidRPr="00260A53">
        <w:rPr>
          <w:rFonts w:ascii="Garamond" w:hAnsi="Garamond"/>
          <w:sz w:val="24"/>
          <w:szCs w:val="24"/>
          <w:lang w:val="en-GB"/>
        </w:rPr>
        <w:t>ex</w:t>
      </w:r>
      <w:r w:rsidR="00702D9C" w:rsidRPr="00260A53">
        <w:rPr>
          <w:rFonts w:ascii="Garamond" w:hAnsi="Garamond"/>
          <w:sz w:val="24"/>
          <w:szCs w:val="24"/>
          <w:lang w:val="en-GB"/>
        </w:rPr>
        <w:t xml:space="preserve"> </w:t>
      </w:r>
      <w:r w:rsidR="00B6764F" w:rsidRPr="00260A53">
        <w:rPr>
          <w:rFonts w:ascii="Garamond" w:hAnsi="Garamond"/>
          <w:sz w:val="24"/>
          <w:szCs w:val="24"/>
          <w:lang w:val="en-GB"/>
        </w:rPr>
        <w:t>harms fund investors by facilitating “free riding” (in which investors outside an index fund can replicate the strategy, while investors in the fund pay for the development of the strategy) and “front running” (in which investors outside of a fund are able to place trades ahead of the fund).</w:t>
      </w:r>
      <w:bookmarkStart w:id="6" w:name="_Ref347754810"/>
      <w:r w:rsidR="00B6764F" w:rsidRPr="00260A53">
        <w:rPr>
          <w:rStyle w:val="FootnoteReference"/>
          <w:rFonts w:ascii="Garamond" w:hAnsi="Garamond"/>
          <w:sz w:val="24"/>
          <w:szCs w:val="24"/>
          <w:lang w:val="en-GB"/>
        </w:rPr>
        <w:footnoteReference w:id="26"/>
      </w:r>
      <w:bookmarkEnd w:id="6"/>
      <w:r w:rsidR="00B6764F" w:rsidRPr="00260A53">
        <w:rPr>
          <w:rFonts w:ascii="Garamond" w:hAnsi="Garamond"/>
          <w:sz w:val="24"/>
          <w:szCs w:val="24"/>
          <w:lang w:val="en-GB"/>
        </w:rPr>
        <w:t xml:space="preserve">  Requiring such public disclosure also </w:t>
      </w:r>
      <w:r w:rsidR="00702D9C" w:rsidRPr="00260A53">
        <w:rPr>
          <w:rFonts w:ascii="Garamond" w:hAnsi="Garamond"/>
          <w:sz w:val="24"/>
          <w:szCs w:val="24"/>
          <w:lang w:val="en-GB"/>
        </w:rPr>
        <w:t>risks severe damage to the value of the administrators’ intellectual property and index licenses</w:t>
      </w:r>
      <w:r w:rsidR="0068313B" w:rsidRPr="00260A53">
        <w:rPr>
          <w:rFonts w:ascii="Garamond" w:hAnsi="Garamond"/>
          <w:sz w:val="24"/>
          <w:szCs w:val="24"/>
          <w:lang w:val="en-GB"/>
        </w:rPr>
        <w:t>.</w:t>
      </w:r>
      <w:r w:rsidR="0068313B" w:rsidRPr="00260A53">
        <w:rPr>
          <w:rStyle w:val="FootnoteReference"/>
          <w:rFonts w:ascii="Garamond" w:hAnsi="Garamond"/>
          <w:sz w:val="24"/>
          <w:szCs w:val="24"/>
          <w:lang w:val="en-GB"/>
        </w:rPr>
        <w:footnoteReference w:id="27"/>
      </w:r>
      <w:r w:rsidRPr="00260A53">
        <w:rPr>
          <w:rFonts w:ascii="Garamond" w:hAnsi="Garamond"/>
          <w:sz w:val="24"/>
          <w:szCs w:val="24"/>
          <w:lang w:val="en-GB"/>
        </w:rPr>
        <w:t xml:space="preserve">  A</w:t>
      </w:r>
      <w:r w:rsidR="004257BC" w:rsidRPr="00260A53">
        <w:rPr>
          <w:rFonts w:ascii="Garamond" w:hAnsi="Garamond"/>
          <w:sz w:val="24"/>
          <w:szCs w:val="24"/>
          <w:lang w:val="en-GB"/>
        </w:rPr>
        <w:t xml:space="preserve">nd finally, as discussed in more detail </w:t>
      </w:r>
      <w:r w:rsidR="004257BC" w:rsidRPr="00260A53">
        <w:rPr>
          <w:rFonts w:ascii="Garamond" w:hAnsi="Garamond"/>
          <w:sz w:val="24"/>
          <w:szCs w:val="24"/>
          <w:lang w:val="en-GB"/>
        </w:rPr>
        <w:lastRenderedPageBreak/>
        <w:t xml:space="preserve">below, </w:t>
      </w:r>
      <w:r w:rsidRPr="00260A53">
        <w:rPr>
          <w:rFonts w:ascii="Garamond" w:hAnsi="Garamond"/>
          <w:sz w:val="24"/>
          <w:szCs w:val="24"/>
          <w:lang w:val="en-GB"/>
        </w:rPr>
        <w:t>imposing such costs on index providers could harm investors by reducing competition and stifling the development of new a</w:t>
      </w:r>
      <w:r w:rsidR="00B6764F" w:rsidRPr="00260A53">
        <w:rPr>
          <w:rFonts w:ascii="Garamond" w:hAnsi="Garamond"/>
          <w:sz w:val="24"/>
          <w:szCs w:val="24"/>
          <w:lang w:val="en-GB"/>
        </w:rPr>
        <w:t xml:space="preserve">nd innovative market </w:t>
      </w:r>
      <w:r w:rsidR="00050B06" w:rsidRPr="00260A53">
        <w:rPr>
          <w:rFonts w:ascii="Garamond" w:hAnsi="Garamond"/>
          <w:sz w:val="24"/>
          <w:szCs w:val="24"/>
          <w:lang w:val="en-GB"/>
        </w:rPr>
        <w:t>indices</w:t>
      </w:r>
      <w:r w:rsidR="00B6764F" w:rsidRPr="00260A53">
        <w:rPr>
          <w:rFonts w:ascii="Garamond" w:hAnsi="Garamond"/>
          <w:sz w:val="24"/>
          <w:szCs w:val="24"/>
          <w:lang w:val="en-GB"/>
        </w:rPr>
        <w:t xml:space="preserve">.  </w:t>
      </w:r>
      <w:r w:rsidR="00050B06" w:rsidRPr="00260A53">
        <w:rPr>
          <w:rFonts w:ascii="Garamond" w:hAnsi="Garamond"/>
          <w:sz w:val="24"/>
          <w:szCs w:val="24"/>
          <w:lang w:val="en-GB"/>
        </w:rPr>
        <w:t xml:space="preserve">These costs and negative consequences are not justified by any potential benefits, as </w:t>
      </w:r>
      <w:r w:rsidR="00B6764F" w:rsidRPr="00260A53">
        <w:rPr>
          <w:rFonts w:ascii="Garamond" w:hAnsi="Garamond"/>
          <w:sz w:val="24"/>
          <w:szCs w:val="24"/>
          <w:lang w:val="en-GB"/>
        </w:rPr>
        <w:t xml:space="preserve">this level of public disclosure is unnecessary to </w:t>
      </w:r>
      <w:r w:rsidR="00402CB3">
        <w:rPr>
          <w:rFonts w:ascii="Garamond" w:hAnsi="Garamond"/>
          <w:sz w:val="24"/>
          <w:szCs w:val="24"/>
          <w:lang w:val="en-GB"/>
        </w:rPr>
        <w:t>enable</w:t>
      </w:r>
      <w:r w:rsidR="00B6764F" w:rsidRPr="00260A53">
        <w:rPr>
          <w:rFonts w:ascii="Garamond" w:hAnsi="Garamond"/>
          <w:sz w:val="24"/>
          <w:szCs w:val="24"/>
          <w:lang w:val="en-GB"/>
        </w:rPr>
        <w:t xml:space="preserve"> users to assess the credibility, representativeness, relevance, and suitability of a benchmark on an ongoing basis.</w:t>
      </w:r>
    </w:p>
    <w:p w14:paraId="5C81431E" w14:textId="77777777" w:rsidR="003C1847" w:rsidRPr="00260A53" w:rsidRDefault="003C1847" w:rsidP="003C1847">
      <w:pPr>
        <w:spacing w:after="240" w:line="240" w:lineRule="auto"/>
        <w:rPr>
          <w:rFonts w:ascii="Garamond" w:hAnsi="Garamond"/>
          <w:b/>
          <w:sz w:val="24"/>
          <w:szCs w:val="24"/>
          <w:lang w:val="en-GB"/>
        </w:rPr>
      </w:pPr>
      <w:r w:rsidRPr="00260A53">
        <w:rPr>
          <w:rFonts w:ascii="Garamond" w:hAnsi="Garamond"/>
          <w:b/>
          <w:sz w:val="24"/>
          <w:szCs w:val="24"/>
          <w:lang w:val="en-GB"/>
        </w:rPr>
        <w:t>Conclusion—</w:t>
      </w:r>
      <w:r w:rsidR="00555B9D" w:rsidRPr="00260A53">
        <w:rPr>
          <w:rFonts w:ascii="Garamond" w:hAnsi="Garamond"/>
          <w:b/>
          <w:sz w:val="24"/>
          <w:szCs w:val="24"/>
          <w:lang w:val="en-GB"/>
        </w:rPr>
        <w:t>t</w:t>
      </w:r>
      <w:r w:rsidRPr="00260A53">
        <w:rPr>
          <w:rFonts w:ascii="Garamond" w:hAnsi="Garamond"/>
          <w:b/>
          <w:sz w:val="24"/>
          <w:szCs w:val="24"/>
          <w:lang w:val="en-GB"/>
        </w:rPr>
        <w:t>he Costs of Unnecessary Regulation</w:t>
      </w:r>
    </w:p>
    <w:p w14:paraId="5C81431F" w14:textId="77777777" w:rsidR="003C1847" w:rsidRPr="00260A53" w:rsidRDefault="003C1847" w:rsidP="00112E57">
      <w:pPr>
        <w:spacing w:after="240" w:line="240" w:lineRule="auto"/>
        <w:rPr>
          <w:rFonts w:ascii="Garamond" w:hAnsi="Garamond"/>
          <w:sz w:val="24"/>
          <w:szCs w:val="24"/>
          <w:lang w:val="en-GB"/>
        </w:rPr>
      </w:pPr>
      <w:r w:rsidRPr="00260A53">
        <w:rPr>
          <w:rFonts w:ascii="Garamond" w:hAnsi="Garamond"/>
          <w:sz w:val="24"/>
          <w:szCs w:val="24"/>
          <w:lang w:val="en-GB"/>
        </w:rPr>
        <w:t xml:space="preserve">The fact that reforms are needed in the LIBOR context does not, in and of itself, suggest that those same reforms are necessary or appropriate with respect to </w:t>
      </w:r>
      <w:r w:rsidRPr="00260A53">
        <w:rPr>
          <w:rFonts w:ascii="Garamond" w:hAnsi="Garamond"/>
          <w:i/>
          <w:sz w:val="24"/>
          <w:szCs w:val="24"/>
          <w:lang w:val="en-GB"/>
        </w:rPr>
        <w:t>all</w:t>
      </w:r>
      <w:r w:rsidRPr="00260A53">
        <w:rPr>
          <w:rFonts w:ascii="Garamond" w:hAnsi="Garamond"/>
          <w:sz w:val="24"/>
          <w:szCs w:val="24"/>
          <w:lang w:val="en-GB"/>
        </w:rPr>
        <w:t xml:space="preserve"> securities indices or the firms that sponsor or administer them.  The imposition on market indices of unnecessary regulations is not just an issue for index administrators, but also for regulated funds that license the use of their indices and ultimately, their investors.  Regulation has the potential to increase costs, which would be passed through to the funds in the form of higher license fees, increasing fund expenses that ultimately are paid by fund investors.  Increased regulatory costs also would raise barriers to entry in the index administration business, reducing competition and stifling the development of new and innovative market indices and indexing techniques—to the detriment of index licensees and ultimately fund investors.</w:t>
      </w:r>
      <w:r w:rsidRPr="00260A53">
        <w:rPr>
          <w:rStyle w:val="FootnoteReference"/>
          <w:rFonts w:ascii="Garamond" w:hAnsi="Garamond"/>
          <w:sz w:val="24"/>
          <w:szCs w:val="24"/>
          <w:lang w:val="en-GB"/>
        </w:rPr>
        <w:footnoteReference w:id="28"/>
      </w:r>
      <w:r w:rsidRPr="00260A53">
        <w:rPr>
          <w:rFonts w:ascii="Garamond" w:hAnsi="Garamond"/>
          <w:sz w:val="24"/>
          <w:szCs w:val="24"/>
          <w:lang w:val="en-GB"/>
        </w:rPr>
        <w:t xml:space="preserve">   </w:t>
      </w:r>
    </w:p>
    <w:p w14:paraId="5C814320" w14:textId="77777777" w:rsidR="003C1847" w:rsidRPr="00260A53" w:rsidRDefault="003C1847" w:rsidP="00112E57">
      <w:pPr>
        <w:spacing w:after="240" w:line="240" w:lineRule="auto"/>
        <w:rPr>
          <w:rFonts w:ascii="Garamond" w:hAnsi="Garamond"/>
          <w:b/>
          <w:sz w:val="24"/>
          <w:szCs w:val="24"/>
          <w:lang w:val="en-GB"/>
        </w:rPr>
      </w:pPr>
      <w:r w:rsidRPr="00260A53">
        <w:rPr>
          <w:rFonts w:ascii="Garamond" w:hAnsi="Garamond"/>
          <w:sz w:val="24"/>
          <w:szCs w:val="24"/>
          <w:lang w:val="en-GB"/>
        </w:rPr>
        <w:t>The Consultation identifies a number of important considerations regarding the quality and integrity of a benchmark’s methodology</w:t>
      </w:r>
      <w:r w:rsidR="00555B9D" w:rsidRPr="00260A53">
        <w:rPr>
          <w:rFonts w:ascii="Garamond" w:hAnsi="Garamond"/>
          <w:sz w:val="24"/>
          <w:szCs w:val="24"/>
          <w:lang w:val="en-GB"/>
        </w:rPr>
        <w:t>,</w:t>
      </w:r>
      <w:r w:rsidRPr="00260A53">
        <w:rPr>
          <w:rFonts w:ascii="Garamond" w:hAnsi="Garamond"/>
          <w:sz w:val="24"/>
          <w:szCs w:val="24"/>
          <w:lang w:val="en-GB"/>
        </w:rPr>
        <w:t xml:space="preserve"> the ability of market participants to understand a benchmark</w:t>
      </w:r>
      <w:r w:rsidR="00555B9D" w:rsidRPr="00260A53">
        <w:rPr>
          <w:rFonts w:ascii="Garamond" w:hAnsi="Garamond"/>
          <w:sz w:val="24"/>
          <w:szCs w:val="24"/>
          <w:lang w:val="en-GB"/>
        </w:rPr>
        <w:t xml:space="preserve">, </w:t>
      </w:r>
      <w:r w:rsidRPr="00260A53">
        <w:rPr>
          <w:rFonts w:ascii="Garamond" w:hAnsi="Garamond"/>
          <w:sz w:val="24"/>
          <w:szCs w:val="24"/>
          <w:lang w:val="en-GB"/>
        </w:rPr>
        <w:t>the potential for conflicts of interest or other weaknesses</w:t>
      </w:r>
      <w:r w:rsidR="00555B9D" w:rsidRPr="00260A53">
        <w:rPr>
          <w:rFonts w:ascii="Garamond" w:hAnsi="Garamond"/>
          <w:sz w:val="24"/>
          <w:szCs w:val="24"/>
          <w:lang w:val="en-GB"/>
        </w:rPr>
        <w:t>,</w:t>
      </w:r>
      <w:r w:rsidRPr="00260A53">
        <w:rPr>
          <w:rFonts w:ascii="Garamond" w:hAnsi="Garamond"/>
          <w:sz w:val="24"/>
          <w:szCs w:val="24"/>
          <w:lang w:val="en-GB"/>
        </w:rPr>
        <w:t xml:space="preserve"> and the presence of a governance or oversight structure to identify and mitigate such conflicts or weaknesses.  These are legitimate concerns, but we strongly urge </w:t>
      </w:r>
      <w:r w:rsidR="00402CB3">
        <w:rPr>
          <w:rFonts w:ascii="Garamond" w:hAnsi="Garamond"/>
          <w:sz w:val="24"/>
          <w:szCs w:val="24"/>
          <w:lang w:val="en-GB"/>
        </w:rPr>
        <w:t>the Task Force</w:t>
      </w:r>
      <w:r w:rsidRPr="00260A53">
        <w:rPr>
          <w:rFonts w:ascii="Garamond" w:hAnsi="Garamond"/>
          <w:sz w:val="24"/>
          <w:szCs w:val="24"/>
          <w:lang w:val="en-GB"/>
        </w:rPr>
        <w:t xml:space="preserve"> to resist treating the entire, diverse universe of benchmarks and commercial indices together</w:t>
      </w:r>
      <w:r w:rsidR="00555B9D" w:rsidRPr="00260A53">
        <w:rPr>
          <w:rFonts w:ascii="Garamond" w:hAnsi="Garamond"/>
          <w:sz w:val="24"/>
          <w:szCs w:val="24"/>
          <w:lang w:val="en-GB"/>
        </w:rPr>
        <w:t xml:space="preserve">.  It should treat benchmarks and commercial indices separately, identifying </w:t>
      </w:r>
      <w:r w:rsidRPr="00260A53">
        <w:rPr>
          <w:rFonts w:ascii="Garamond" w:hAnsi="Garamond"/>
          <w:sz w:val="24"/>
          <w:szCs w:val="24"/>
          <w:lang w:val="en-GB"/>
        </w:rPr>
        <w:t xml:space="preserve">in each instance whether potential issues exist and, if so, whether a regulatory approach is necessary.  </w:t>
      </w:r>
    </w:p>
    <w:p w14:paraId="7BBB19F1" w14:textId="77777777" w:rsidR="00C12138" w:rsidRDefault="00C12138" w:rsidP="00112E57">
      <w:pPr>
        <w:spacing w:line="240" w:lineRule="auto"/>
        <w:rPr>
          <w:rFonts w:ascii="Garamond" w:hAnsi="Garamond"/>
          <w:lang w:val="en-GB"/>
        </w:rPr>
      </w:pPr>
    </w:p>
    <w:p w14:paraId="25CAE63E" w14:textId="77777777" w:rsidR="00C12138" w:rsidRDefault="00C12138" w:rsidP="00112E57">
      <w:pPr>
        <w:spacing w:line="240" w:lineRule="auto"/>
        <w:rPr>
          <w:rFonts w:ascii="Garamond" w:hAnsi="Garamond"/>
          <w:lang w:val="en-GB"/>
        </w:rPr>
      </w:pPr>
    </w:p>
    <w:p w14:paraId="5C814321" w14:textId="77777777" w:rsidR="00112E57" w:rsidRPr="00260A53" w:rsidRDefault="00112E57" w:rsidP="00112E57">
      <w:pPr>
        <w:spacing w:line="240" w:lineRule="auto"/>
        <w:rPr>
          <w:rFonts w:ascii="Garamond" w:hAnsi="Garamond"/>
          <w:lang w:val="en-GB"/>
        </w:rPr>
      </w:pPr>
      <w:r w:rsidRPr="00260A53">
        <w:rPr>
          <w:rFonts w:ascii="Garamond" w:hAnsi="Garamond"/>
          <w:lang w:val="en-GB"/>
        </w:rPr>
        <w:t>We appreciate the opportunity to provide comments on the Consultation. If you have any questions about our comments or would like additional information please contact me (</w:t>
      </w:r>
      <w:r w:rsidR="00A104BB" w:rsidRPr="00260A53">
        <w:rPr>
          <w:rStyle w:val="Hyperlink"/>
          <w:rFonts w:ascii="Garamond" w:hAnsi="Garamond"/>
          <w:lang w:val="en-GB"/>
        </w:rPr>
        <w:t>dan.waters@iciglobal.org</w:t>
      </w:r>
      <w:r w:rsidRPr="00260A53">
        <w:rPr>
          <w:rFonts w:ascii="Garamond" w:hAnsi="Garamond"/>
          <w:lang w:val="en-GB"/>
        </w:rPr>
        <w:t xml:space="preserve"> or +44 203 009 3101) or Giles Swan, Director of Global Funds Policy (</w:t>
      </w:r>
      <w:r w:rsidRPr="00260A53">
        <w:rPr>
          <w:rStyle w:val="Hyperlink"/>
          <w:rFonts w:ascii="Garamond" w:hAnsi="Garamond"/>
          <w:lang w:val="en-GB"/>
        </w:rPr>
        <w:t>giles.swan@iciglobal.org</w:t>
      </w:r>
      <w:r w:rsidRPr="00260A53">
        <w:rPr>
          <w:rFonts w:ascii="Garamond" w:hAnsi="Garamond"/>
          <w:lang w:val="en-GB"/>
        </w:rPr>
        <w:t xml:space="preserve"> or +44 203 009 3103).</w:t>
      </w:r>
    </w:p>
    <w:p w14:paraId="5C814322" w14:textId="77777777" w:rsidR="00B611EE" w:rsidRPr="00260A53" w:rsidRDefault="00112E57" w:rsidP="001129FE">
      <w:pPr>
        <w:pStyle w:val="NoSpacing"/>
        <w:rPr>
          <w:rFonts w:ascii="Garamond" w:hAnsi="Garamond"/>
        </w:rPr>
      </w:pPr>
      <w:r w:rsidRPr="00260A53">
        <w:rPr>
          <w:rFonts w:ascii="Garamond" w:hAnsi="Garamond"/>
        </w:rPr>
        <w:t xml:space="preserve">Yours </w:t>
      </w:r>
      <w:r w:rsidR="00B611EE" w:rsidRPr="00260A53">
        <w:rPr>
          <w:rFonts w:ascii="Garamond" w:hAnsi="Garamond"/>
        </w:rPr>
        <w:t>Sincerely,</w:t>
      </w:r>
    </w:p>
    <w:p w14:paraId="5C814323" w14:textId="77777777" w:rsidR="00B611EE" w:rsidRPr="00260A53" w:rsidRDefault="00B611EE" w:rsidP="001129FE">
      <w:pPr>
        <w:pStyle w:val="NoSpacing"/>
        <w:rPr>
          <w:rFonts w:ascii="Garamond" w:hAnsi="Garamond"/>
        </w:rPr>
      </w:pPr>
    </w:p>
    <w:p w14:paraId="5C814324" w14:textId="77777777" w:rsidR="00B611EE" w:rsidRPr="00260A53" w:rsidRDefault="00B611EE" w:rsidP="001129FE">
      <w:pPr>
        <w:pStyle w:val="NoSpacing"/>
        <w:rPr>
          <w:rFonts w:ascii="Garamond" w:hAnsi="Garamond"/>
        </w:rPr>
      </w:pPr>
      <w:r w:rsidRPr="00260A53">
        <w:rPr>
          <w:rFonts w:ascii="Garamond" w:hAnsi="Garamond"/>
        </w:rPr>
        <w:t xml:space="preserve">/s/ </w:t>
      </w:r>
    </w:p>
    <w:p w14:paraId="5C814325" w14:textId="77777777" w:rsidR="00B611EE" w:rsidRPr="00260A53" w:rsidRDefault="00B611EE" w:rsidP="001129FE">
      <w:pPr>
        <w:pStyle w:val="NoSpacing"/>
        <w:rPr>
          <w:rFonts w:ascii="Garamond" w:hAnsi="Garamond"/>
        </w:rPr>
      </w:pPr>
    </w:p>
    <w:p w14:paraId="5C814326" w14:textId="77777777" w:rsidR="00B611EE" w:rsidRPr="00260A53" w:rsidRDefault="00B611EE" w:rsidP="001129FE">
      <w:pPr>
        <w:pStyle w:val="NoSpacing"/>
        <w:jc w:val="left"/>
        <w:rPr>
          <w:rFonts w:ascii="Garamond" w:hAnsi="Garamond"/>
        </w:rPr>
      </w:pPr>
      <w:r w:rsidRPr="00260A53">
        <w:rPr>
          <w:rFonts w:ascii="Garamond" w:hAnsi="Garamond"/>
        </w:rPr>
        <w:t>Dan Waters</w:t>
      </w:r>
    </w:p>
    <w:p w14:paraId="5C814327" w14:textId="77777777" w:rsidR="00B611EE" w:rsidRPr="00260A53" w:rsidRDefault="00B611EE" w:rsidP="001129FE">
      <w:pPr>
        <w:pStyle w:val="NoSpacing"/>
        <w:jc w:val="left"/>
        <w:rPr>
          <w:rFonts w:ascii="Garamond" w:hAnsi="Garamond"/>
        </w:rPr>
      </w:pPr>
      <w:r w:rsidRPr="00260A53">
        <w:rPr>
          <w:rFonts w:ascii="Garamond" w:hAnsi="Garamond"/>
        </w:rPr>
        <w:t>Managing Director</w:t>
      </w:r>
    </w:p>
    <w:p w14:paraId="5C814328" w14:textId="77777777" w:rsidR="00B611EE" w:rsidRPr="00260A53" w:rsidRDefault="00B611EE" w:rsidP="001129FE">
      <w:pPr>
        <w:pStyle w:val="NoSpacing"/>
        <w:jc w:val="left"/>
        <w:rPr>
          <w:rFonts w:ascii="Garamond" w:hAnsi="Garamond"/>
        </w:rPr>
      </w:pPr>
      <w:r w:rsidRPr="00260A53">
        <w:rPr>
          <w:rFonts w:ascii="Garamond" w:hAnsi="Garamond"/>
        </w:rPr>
        <w:t>ICI Global</w:t>
      </w:r>
    </w:p>
    <w:p w14:paraId="5C814329" w14:textId="77777777" w:rsidR="00E6702B" w:rsidRPr="00260A53" w:rsidRDefault="00E6702B" w:rsidP="001129FE">
      <w:pPr>
        <w:spacing w:line="240" w:lineRule="auto"/>
        <w:rPr>
          <w:rFonts w:ascii="Garamond" w:hAnsi="Garamond" w:cs="GaramondPremrPro"/>
          <w:sz w:val="24"/>
          <w:szCs w:val="24"/>
          <w:lang w:val="en-GB"/>
        </w:rPr>
      </w:pPr>
    </w:p>
    <w:sectPr w:rsidR="00E6702B" w:rsidRPr="00260A53" w:rsidSect="00F04D63">
      <w:headerReference w:type="default" r:id="rId12"/>
      <w:headerReference w:type="firs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1432C" w14:textId="77777777" w:rsidR="002327AC" w:rsidRDefault="002327AC" w:rsidP="00934005">
      <w:pPr>
        <w:spacing w:after="0" w:line="240" w:lineRule="auto"/>
      </w:pPr>
      <w:r>
        <w:separator/>
      </w:r>
    </w:p>
  </w:endnote>
  <w:endnote w:type="continuationSeparator" w:id="0">
    <w:p w14:paraId="5C81432D" w14:textId="77777777" w:rsidR="002327AC" w:rsidRDefault="002327AC" w:rsidP="0093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Premr Pro">
    <w:panose1 w:val="02020402060506020403"/>
    <w:charset w:val="00"/>
    <w:family w:val="roman"/>
    <w:notTrueType/>
    <w:pitch w:val="variable"/>
    <w:sig w:usb0="E00002BF" w:usb1="5000E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PremrPro">
    <w:panose1 w:val="02020402060506020403"/>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EUAlbertina_Bold">
    <w:panose1 w:val="00000000000000000000"/>
    <w:charset w:val="00"/>
    <w:family w:val="roman"/>
    <w:notTrueType/>
    <w:pitch w:val="default"/>
    <w:sig w:usb0="00000003" w:usb1="00000000" w:usb2="00000000" w:usb3="00000000" w:csb0="00000001" w:csb1="00000000"/>
  </w:font>
  <w:font w:name="FootlightMT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1432A" w14:textId="77777777" w:rsidR="002327AC" w:rsidRDefault="002327AC" w:rsidP="00934005">
      <w:pPr>
        <w:spacing w:after="0" w:line="240" w:lineRule="auto"/>
      </w:pPr>
      <w:r>
        <w:separator/>
      </w:r>
    </w:p>
  </w:footnote>
  <w:footnote w:type="continuationSeparator" w:id="0">
    <w:p w14:paraId="5C81432B" w14:textId="77777777" w:rsidR="002327AC" w:rsidRDefault="002327AC" w:rsidP="00934005">
      <w:pPr>
        <w:spacing w:after="0" w:line="240" w:lineRule="auto"/>
      </w:pPr>
      <w:r>
        <w:continuationSeparator/>
      </w:r>
    </w:p>
  </w:footnote>
  <w:footnote w:id="1">
    <w:p w14:paraId="5C814335" w14:textId="77777777" w:rsidR="002327AC" w:rsidRPr="00B014D9" w:rsidRDefault="002327AC" w:rsidP="00112E57">
      <w:pPr>
        <w:autoSpaceDE w:val="0"/>
        <w:autoSpaceDN w:val="0"/>
        <w:adjustRightInd w:val="0"/>
        <w:spacing w:after="0" w:line="240" w:lineRule="auto"/>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cs="GaramondPremrPro"/>
          <w:sz w:val="16"/>
          <w:szCs w:val="16"/>
        </w:rPr>
        <w:t xml:space="preserve">ICI Global is the global association of regulated funds publicly offered to investors in leading jurisdictions worldwide. ICI Global seeks to advance the common interests and promote public understanding of global investment funds, their managers, and investors. </w:t>
      </w:r>
    </w:p>
  </w:footnote>
  <w:footnote w:id="2">
    <w:p w14:paraId="5C814336" w14:textId="77777777" w:rsidR="002327AC" w:rsidRPr="00B014D9" w:rsidRDefault="002327AC" w:rsidP="00112E57">
      <w:pPr>
        <w:tabs>
          <w:tab w:val="left" w:pos="1440"/>
        </w:tabs>
        <w:autoSpaceDE w:val="0"/>
        <w:autoSpaceDN w:val="0"/>
        <w:adjustRightInd w:val="0"/>
        <w:spacing w:after="0" w:line="240" w:lineRule="auto"/>
        <w:ind w:left="142" w:hanging="142"/>
        <w:rPr>
          <w:rFonts w:ascii="Garamond" w:hAnsi="Garamond" w:cs="Arial"/>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Consultation Paper – Principles for Benchmarks-Setting Processes in the EU, 11 January 2013 (available from </w:t>
      </w:r>
      <w:r w:rsidRPr="00B014D9">
        <w:rPr>
          <w:rStyle w:val="Hyperlink"/>
          <w:rFonts w:ascii="Garamond" w:hAnsi="Garamond"/>
          <w:sz w:val="16"/>
          <w:szCs w:val="16"/>
        </w:rPr>
        <w:t>http://www.esma.europa.eu/system/files/2013-12.pdf</w:t>
      </w:r>
      <w:r w:rsidRPr="00B014D9">
        <w:rPr>
          <w:rFonts w:ascii="Garamond" w:hAnsi="Garamond"/>
          <w:sz w:val="16"/>
          <w:szCs w:val="16"/>
        </w:rPr>
        <w:t xml:space="preserve">) </w:t>
      </w:r>
    </w:p>
  </w:footnote>
  <w:footnote w:id="3">
    <w:p w14:paraId="5C814337" w14:textId="77777777" w:rsidR="002327AC" w:rsidRPr="00B014D9" w:rsidRDefault="002327AC" w:rsidP="00112E57">
      <w:pPr>
        <w:tabs>
          <w:tab w:val="left" w:pos="1440"/>
        </w:tabs>
        <w:autoSpaceDE w:val="0"/>
        <w:autoSpaceDN w:val="0"/>
        <w:adjustRightInd w:val="0"/>
        <w:spacing w:after="0" w:line="240" w:lineRule="auto"/>
        <w:ind w:left="142" w:hanging="142"/>
        <w:rPr>
          <w:rFonts w:ascii="Garamond" w:hAnsi="Garamond" w:cs="Arial"/>
          <w:sz w:val="16"/>
          <w:szCs w:val="16"/>
        </w:rPr>
      </w:pPr>
      <w:r w:rsidRPr="00B014D9">
        <w:rPr>
          <w:rStyle w:val="FootnoteReference"/>
          <w:rFonts w:ascii="Garamond" w:hAnsi="Garamond"/>
          <w:sz w:val="16"/>
          <w:szCs w:val="16"/>
        </w:rPr>
        <w:footnoteRef/>
      </w:r>
      <w:r w:rsidRPr="00B014D9">
        <w:rPr>
          <w:rFonts w:ascii="Garamond" w:hAnsi="Garamond" w:cs="GaramondPremrPro"/>
          <w:sz w:val="16"/>
          <w:szCs w:val="16"/>
        </w:rPr>
        <w:t xml:space="preserve">  In this letter, we use the term “survey-based benchmark” to refer to benchmarks, such as LIBOR, that are determined based on surveys or other subjective submissions.  We use the term “commercial index” to refer to commercially provided indices that are licensed for a fee, such as the S&amp;P 500 or FTSE 100.  Unlike survey-based benchmarks, the data for commercial indexes is typically taken from a regulated exchange or other source of market bids, offers, or executed prices, and is not based on voluntary submissions.</w:t>
      </w:r>
    </w:p>
  </w:footnote>
  <w:footnote w:id="4">
    <w:p w14:paraId="1A7FA058" w14:textId="7F32F7ED" w:rsidR="00B014D9" w:rsidRPr="00B014D9" w:rsidRDefault="002327AC" w:rsidP="000C0D21">
      <w:pPr>
        <w:pStyle w:val="FootnoteText"/>
        <w:ind w:left="142" w:hanging="142"/>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 xml:space="preserve">Consultation Report on Financial Benchmarks, IOSCO, January 2013 (available from </w:t>
      </w:r>
      <w:r w:rsidRPr="00B014D9">
        <w:rPr>
          <w:rStyle w:val="Hyperlink"/>
          <w:rFonts w:ascii="Garamond" w:hAnsi="Garamond"/>
          <w:sz w:val="16"/>
          <w:szCs w:val="16"/>
          <w:lang w:val="en-GB"/>
        </w:rPr>
        <w:t>http://www.iosco.org/library/pubdocs/pdf/IOSCOPD399.pdf</w:t>
      </w:r>
      <w:r w:rsidRPr="00B014D9">
        <w:rPr>
          <w:rFonts w:ascii="Garamond" w:hAnsi="Garamond"/>
          <w:sz w:val="16"/>
          <w:szCs w:val="16"/>
          <w:lang w:val="en-GB"/>
        </w:rPr>
        <w:t xml:space="preserve">). </w:t>
      </w:r>
      <w:r w:rsidR="00B014D9" w:rsidRPr="00B014D9">
        <w:rPr>
          <w:rFonts w:ascii="Garamond" w:hAnsi="Garamond"/>
          <w:sz w:val="16"/>
          <w:szCs w:val="16"/>
          <w:lang w:val="en-GB"/>
        </w:rPr>
        <w:t xml:space="preserve">Comment Letter from Karrie McMillan, General Counsel – ICI and Dan Waters, Managing Director – ICI Global to Mr Alp Eroglu, IOSCO, dated 11 February 2013 (available from </w:t>
      </w:r>
      <w:hyperlink r:id="rId1" w:history="1">
        <w:r w:rsidR="00B014D9" w:rsidRPr="00B014D9">
          <w:rPr>
            <w:rStyle w:val="Hyperlink"/>
            <w:rFonts w:ascii="Garamond" w:hAnsi="Garamond"/>
            <w:sz w:val="16"/>
            <w:szCs w:val="16"/>
          </w:rPr>
          <w:t>http://www.ici.org/pdf/27001.pdf</w:t>
        </w:r>
      </w:hyperlink>
      <w:r w:rsidR="00B014D9" w:rsidRPr="00B014D9">
        <w:rPr>
          <w:rFonts w:ascii="Garamond" w:hAnsi="Garamond"/>
          <w:color w:val="1F497D"/>
          <w:sz w:val="16"/>
          <w:szCs w:val="16"/>
        </w:rPr>
        <w:t>)</w:t>
      </w:r>
      <w:r w:rsidR="00B014D9" w:rsidRPr="00B014D9">
        <w:rPr>
          <w:rFonts w:ascii="Garamond" w:hAnsi="Garamond"/>
          <w:color w:val="1F497D"/>
          <w:sz w:val="16"/>
          <w:szCs w:val="16"/>
        </w:rPr>
        <w:t> </w:t>
      </w:r>
    </w:p>
  </w:footnote>
  <w:footnote w:id="5">
    <w:p w14:paraId="5C814339" w14:textId="77777777" w:rsidR="002327AC" w:rsidRPr="00B014D9" w:rsidRDefault="002327AC" w:rsidP="000C0D21">
      <w:pPr>
        <w:pStyle w:val="FootnoteText"/>
        <w:ind w:left="142" w:hanging="142"/>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Consultation Document on the Regulation of Indices, European Commission, 5 September 2012 (available from </w:t>
      </w:r>
      <w:r w:rsidRPr="00B014D9">
        <w:rPr>
          <w:rStyle w:val="Hyperlink"/>
          <w:rFonts w:ascii="Garamond" w:hAnsi="Garamond"/>
          <w:sz w:val="16"/>
          <w:szCs w:val="16"/>
        </w:rPr>
        <w:t>http://ec.europa.eu/internal_market/consultations/docs/2012/benchmarks/consultation-document_en.pdf</w:t>
      </w:r>
      <w:r w:rsidRPr="00B014D9">
        <w:rPr>
          <w:rFonts w:ascii="Garamond" w:hAnsi="Garamond"/>
          <w:sz w:val="16"/>
          <w:szCs w:val="16"/>
        </w:rPr>
        <w:t xml:space="preserve">). Comment letter </w:t>
      </w:r>
      <w:r w:rsidRPr="00B014D9">
        <w:rPr>
          <w:rFonts w:ascii="Garamond" w:hAnsi="Garamond" w:cs="GaramondPremrPro"/>
          <w:sz w:val="16"/>
          <w:szCs w:val="16"/>
        </w:rPr>
        <w:t xml:space="preserve">from Paul Stevens, President and CEO, Investment Company Institute, and Dan Waters, Managing Director, ICI Global, to the European Commission, dated 29 November 2012 (available from </w:t>
      </w:r>
      <w:r w:rsidRPr="00B014D9">
        <w:rPr>
          <w:rStyle w:val="Hyperlink"/>
          <w:rFonts w:ascii="Garamond" w:hAnsi="Garamond" w:cs="GaramondPremrPro"/>
          <w:sz w:val="16"/>
          <w:szCs w:val="16"/>
        </w:rPr>
        <w:t>http://www.ici.org/pdf/26738.pdf)</w:t>
      </w:r>
    </w:p>
  </w:footnote>
  <w:footnote w:id="6">
    <w:p w14:paraId="5C81433A" w14:textId="77777777" w:rsidR="002327AC" w:rsidRPr="00B014D9" w:rsidRDefault="002327AC" w:rsidP="000C0D21">
      <w:pPr>
        <w:pStyle w:val="FootnoteText"/>
        <w:ind w:left="142" w:hanging="142"/>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The Wheatley Review of LIBOR: Initial Discussion Paper, August 2012, available from </w:t>
      </w:r>
      <w:r w:rsidRPr="00B014D9">
        <w:rPr>
          <w:rStyle w:val="Hyperlink"/>
          <w:rFonts w:ascii="Garamond" w:hAnsi="Garamond"/>
          <w:sz w:val="16"/>
          <w:szCs w:val="16"/>
        </w:rPr>
        <w:t>http://hm-treasury.gov.uk/d/condoc_wheatley_review.pdf</w:t>
      </w:r>
      <w:r w:rsidRPr="00B014D9">
        <w:rPr>
          <w:rFonts w:ascii="Garamond" w:hAnsi="Garamond"/>
          <w:sz w:val="16"/>
          <w:szCs w:val="16"/>
        </w:rPr>
        <w:t xml:space="preserve">. </w:t>
      </w:r>
      <w:r w:rsidRPr="00B014D9">
        <w:rPr>
          <w:rFonts w:ascii="Garamond" w:hAnsi="Garamond" w:cs="GaramondPremrPro"/>
          <w:sz w:val="16"/>
          <w:szCs w:val="16"/>
        </w:rPr>
        <w:t xml:space="preserve">Comment Letter from Paul Stevens, President and CEO, Investment Company Institute, and Dan Waters, Managing Director, ICI Global, to The Wheatley Review, dated 7 September 2012, available from </w:t>
      </w:r>
      <w:r w:rsidRPr="00B014D9">
        <w:rPr>
          <w:rStyle w:val="Hyperlink"/>
          <w:rFonts w:ascii="Garamond" w:hAnsi="Garamond" w:cs="GaramondPremrPro"/>
          <w:sz w:val="16"/>
          <w:szCs w:val="16"/>
        </w:rPr>
        <w:t>http://www.ici.org/pdf/26495.pdf</w:t>
      </w:r>
      <w:r w:rsidRPr="00B014D9">
        <w:rPr>
          <w:rFonts w:ascii="Garamond" w:hAnsi="Garamond" w:cs="GaramondPremrPro"/>
          <w:sz w:val="16"/>
          <w:szCs w:val="16"/>
        </w:rPr>
        <w:t xml:space="preserve"> (the “ICI/ICI Global Wheatley Review Letter”).  </w:t>
      </w:r>
    </w:p>
  </w:footnote>
  <w:footnote w:id="7">
    <w:p w14:paraId="5C81433B" w14:textId="77777777" w:rsidR="002327AC" w:rsidRPr="00B014D9" w:rsidRDefault="002327AC">
      <w:pPr>
        <w:pStyle w:val="FootnoteText"/>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Paragraph 8 of the Consultation</w:t>
      </w:r>
    </w:p>
  </w:footnote>
  <w:footnote w:id="8">
    <w:p w14:paraId="5C81433C" w14:textId="77777777" w:rsidR="002327AC" w:rsidRPr="00B014D9" w:rsidRDefault="002327AC" w:rsidP="000C0D21">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We use the term “regulated fund” to refer to funds and ETFs that are registered in the United States under the Investment Company Act of 1940, in Europe pursuant to the Undertakings for Collective Investment in Transferrable Securities (“UCITS”), or elsewhere in the world under similar regulatory regimes.  Funds that are designed to closely track the performance of a benchmark are commonly referred to as “index” or “tracker” funds.  </w:t>
      </w:r>
    </w:p>
  </w:footnote>
  <w:footnote w:id="9">
    <w:p w14:paraId="5C81433D" w14:textId="77777777" w:rsidR="002327AC" w:rsidRPr="00B014D9" w:rsidRDefault="002327AC" w:rsidP="000C0D21">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i/>
          <w:sz w:val="16"/>
          <w:szCs w:val="16"/>
        </w:rPr>
        <w:t>See</w:t>
      </w:r>
      <w:r w:rsidRPr="00B014D9">
        <w:rPr>
          <w:rFonts w:ascii="Garamond" w:hAnsi="Garamond"/>
          <w:sz w:val="16"/>
          <w:szCs w:val="16"/>
        </w:rPr>
        <w:t xml:space="preserve"> Consultation at pages 9 (for Exhibit 1) and 48 (for the definition of “benchmark”).</w:t>
      </w:r>
    </w:p>
  </w:footnote>
  <w:footnote w:id="10">
    <w:p w14:paraId="5C81433E" w14:textId="77777777" w:rsidR="004D7A58" w:rsidRPr="00B014D9" w:rsidRDefault="004D7A58">
      <w:pPr>
        <w:pStyle w:val="FootnoteText"/>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Paragraph 11(x) of the Consultation</w:t>
      </w:r>
    </w:p>
  </w:footnote>
  <w:footnote w:id="11">
    <w:p w14:paraId="5C81433F" w14:textId="77777777" w:rsidR="002327AC" w:rsidRPr="00B014D9" w:rsidRDefault="002327AC" w:rsidP="00260A53">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See t</w:t>
      </w:r>
      <w:r w:rsidRPr="00B014D9">
        <w:rPr>
          <w:rFonts w:ascii="Garamond" w:hAnsi="Garamond" w:cs="GaramondPremrPro"/>
          <w:sz w:val="16"/>
          <w:szCs w:val="16"/>
        </w:rPr>
        <w:t>he ICI/ICI Global Wheatley Review Letter.</w:t>
      </w:r>
    </w:p>
  </w:footnote>
  <w:footnote w:id="12">
    <w:p w14:paraId="5C814340" w14:textId="77777777" w:rsidR="00260A53" w:rsidRPr="00B014D9" w:rsidRDefault="00260A53" w:rsidP="00260A53">
      <w:pPr>
        <w:pStyle w:val="Default"/>
        <w:ind w:left="142" w:hanging="142"/>
        <w:rPr>
          <w:rFonts w:ascii="Garamond" w:hAnsi="Garamond" w:cs="EUAlbertina"/>
          <w:color w:val="221E1F"/>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 xml:space="preserve">Article 53 of </w:t>
      </w:r>
      <w:r w:rsidRPr="00B014D9">
        <w:rPr>
          <w:rFonts w:ascii="Garamond" w:hAnsi="Garamond" w:cs="EUAlbertina"/>
          <w:bCs/>
          <w:color w:val="221E1F"/>
          <w:sz w:val="16"/>
          <w:szCs w:val="16"/>
          <w:lang w:val="en-GB"/>
        </w:rPr>
        <w:t>DIRECTIVE 2009/65/EC OF THE EUROPEAN PARLIAMENT AND OF THE COUNCIL of 13 July 2009 on the coordination of laws, regulations and administrative provisions relating to undertakings for collective investment in transferable securities (referred to hereafter as the “UCITS Directive”)</w:t>
      </w:r>
      <w:r w:rsidRPr="00B014D9">
        <w:rPr>
          <w:rFonts w:ascii="Garamond" w:hAnsi="Garamond"/>
          <w:sz w:val="16"/>
          <w:szCs w:val="16"/>
          <w:lang w:val="en-GB"/>
        </w:rPr>
        <w:t xml:space="preserve">, available from </w:t>
      </w:r>
      <w:r w:rsidRPr="00B014D9">
        <w:rPr>
          <w:rStyle w:val="Hyperlink"/>
          <w:rFonts w:ascii="Garamond" w:hAnsi="Garamond"/>
          <w:sz w:val="16"/>
          <w:szCs w:val="16"/>
          <w:lang w:val="en-GB"/>
        </w:rPr>
        <w:t>http://eur-lex.europa.eu/LexUriServ/LexUriServ.do?uri=OJ:L:2009:302:0032:0096:en:PDF</w:t>
      </w:r>
      <w:r w:rsidRPr="00B014D9">
        <w:rPr>
          <w:rFonts w:ascii="Garamond" w:hAnsi="Garamond"/>
          <w:sz w:val="16"/>
          <w:szCs w:val="16"/>
          <w:lang w:val="en-GB"/>
        </w:rPr>
        <w:t xml:space="preserve"> </w:t>
      </w:r>
    </w:p>
  </w:footnote>
  <w:footnote w:id="13">
    <w:p w14:paraId="5C814341" w14:textId="77777777" w:rsidR="00BE404B" w:rsidRPr="00B014D9" w:rsidRDefault="00BE404B" w:rsidP="00BE404B">
      <w:pPr>
        <w:autoSpaceDE w:val="0"/>
        <w:autoSpaceDN w:val="0"/>
        <w:adjustRightInd w:val="0"/>
        <w:spacing w:after="0" w:line="240" w:lineRule="auto"/>
        <w:ind w:left="142" w:hanging="142"/>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 xml:space="preserve">Article 9 of </w:t>
      </w:r>
      <w:r w:rsidRPr="00B014D9">
        <w:rPr>
          <w:rFonts w:ascii="Garamond" w:hAnsi="Garamond" w:cs="EUAlbertina_Bold"/>
          <w:bCs/>
          <w:sz w:val="16"/>
          <w:szCs w:val="16"/>
          <w:lang w:val="en-GB"/>
        </w:rPr>
        <w:t xml:space="preserve">COMMISSION DIRECTIVE 2007/16/EC of 19 March 2007 implementing Council Directive 85/611/EEC on the coordination of laws, regulations and administrative provisions relating to undertakings for collective investment in transferable securities (UCITS) as regards the clarification of certain definitions (referred to hereafter as the “Eligible Assets Directive”), available from </w:t>
      </w:r>
      <w:r w:rsidRPr="00B014D9">
        <w:rPr>
          <w:rStyle w:val="Hyperlink"/>
          <w:rFonts w:ascii="Garamond" w:hAnsi="Garamond" w:cs="EUAlbertina_Bold"/>
          <w:bCs/>
          <w:sz w:val="16"/>
          <w:szCs w:val="16"/>
          <w:lang w:val="en-GB"/>
        </w:rPr>
        <w:t>http://eur-lex.europa.eu/LexUriServ/LexUriServ.do?uri=OJ:L:2007:079:0011:0019:EN:PDF</w:t>
      </w:r>
      <w:r w:rsidRPr="00B014D9">
        <w:rPr>
          <w:rFonts w:ascii="Garamond" w:hAnsi="Garamond" w:cs="EUAlbertina_Bold"/>
          <w:b/>
          <w:bCs/>
          <w:sz w:val="16"/>
          <w:szCs w:val="16"/>
          <w:lang w:val="en-GB"/>
        </w:rPr>
        <w:t xml:space="preserve"> </w:t>
      </w:r>
    </w:p>
  </w:footnote>
  <w:footnote w:id="14">
    <w:p w14:paraId="5C814342" w14:textId="77777777" w:rsidR="003938BE" w:rsidRPr="00B014D9" w:rsidRDefault="003938BE" w:rsidP="003938BE">
      <w:pPr>
        <w:pStyle w:val="FootnoteText"/>
        <w:ind w:left="142" w:hanging="142"/>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CESR Guidelines Concerning Eligible Assets for Investment by UCITS, March 2007 (available from </w:t>
      </w:r>
      <w:r w:rsidRPr="00B014D9">
        <w:rPr>
          <w:rStyle w:val="Hyperlink"/>
          <w:rFonts w:ascii="Garamond" w:hAnsi="Garamond"/>
          <w:sz w:val="16"/>
          <w:szCs w:val="16"/>
        </w:rPr>
        <w:t>http://www.esma.europa.eu/system/files/07_044.pdf</w:t>
      </w:r>
      <w:r w:rsidRPr="00B014D9">
        <w:rPr>
          <w:rFonts w:ascii="Garamond" w:hAnsi="Garamond"/>
          <w:sz w:val="16"/>
          <w:szCs w:val="16"/>
        </w:rPr>
        <w:t>)</w:t>
      </w:r>
    </w:p>
  </w:footnote>
  <w:footnote w:id="15">
    <w:p w14:paraId="5C814343" w14:textId="77777777" w:rsidR="003938BE" w:rsidRPr="00B014D9" w:rsidRDefault="003938BE" w:rsidP="003938BE">
      <w:pPr>
        <w:autoSpaceDE w:val="0"/>
        <w:autoSpaceDN w:val="0"/>
        <w:adjustRightInd w:val="0"/>
        <w:spacing w:after="0" w:line="240" w:lineRule="auto"/>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 xml:space="preserve">CESR Guidelines Concerning Eligible Assets for Investment by UCITS - </w:t>
      </w:r>
      <w:r w:rsidRPr="00B014D9">
        <w:rPr>
          <w:rFonts w:ascii="Garamond" w:hAnsi="Garamond" w:cs="FootlightMTLight"/>
          <w:sz w:val="16"/>
          <w:szCs w:val="16"/>
          <w:lang w:val="en-GB"/>
        </w:rPr>
        <w:t>The classification of hedge fund indices as Financial Indices,</w:t>
      </w:r>
      <w:r w:rsidRPr="00B014D9">
        <w:rPr>
          <w:rFonts w:ascii="Garamond" w:hAnsi="Garamond"/>
          <w:sz w:val="16"/>
          <w:szCs w:val="16"/>
          <w:lang w:val="en-GB"/>
        </w:rPr>
        <w:t xml:space="preserve"> July 2007 (available from </w:t>
      </w:r>
      <w:r w:rsidRPr="00B014D9">
        <w:rPr>
          <w:rStyle w:val="Hyperlink"/>
          <w:rFonts w:ascii="Garamond" w:hAnsi="Garamond"/>
          <w:sz w:val="16"/>
          <w:szCs w:val="16"/>
          <w:lang w:val="en-GB"/>
        </w:rPr>
        <w:t>http://www.esma.europa.eu/system/files/07_434.pdf</w:t>
      </w:r>
      <w:r w:rsidRPr="00B014D9">
        <w:rPr>
          <w:rFonts w:ascii="Garamond" w:hAnsi="Garamond"/>
          <w:sz w:val="16"/>
          <w:szCs w:val="16"/>
          <w:lang w:val="en-GB"/>
        </w:rPr>
        <w:t xml:space="preserve">) </w:t>
      </w:r>
    </w:p>
  </w:footnote>
  <w:footnote w:id="16">
    <w:p w14:paraId="5C814344" w14:textId="77777777" w:rsidR="00324335" w:rsidRPr="00B014D9" w:rsidRDefault="00324335">
      <w:pPr>
        <w:pStyle w:val="FootnoteText"/>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Article 9(1)(c)(i) of the Eligible Assets Directive</w:t>
      </w:r>
    </w:p>
  </w:footnote>
  <w:footnote w:id="17">
    <w:p w14:paraId="5C814345" w14:textId="77777777" w:rsidR="002327AC" w:rsidRPr="00B014D9" w:rsidRDefault="002327AC" w:rsidP="00112E57">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In our letter to the Wheatley Review, we expressed support for the concept of using available transaction data on bank borrowings to corroborate LIBOR, and recommended further exploration of whether LIBOR rates should be maintained for maturities and currencies for which insufficient transaction data is available.  </w:t>
      </w:r>
      <w:r w:rsidRPr="00B014D9">
        <w:rPr>
          <w:rFonts w:ascii="Garamond" w:hAnsi="Garamond" w:cs="GaramondPremrPro"/>
          <w:i/>
          <w:sz w:val="16"/>
          <w:szCs w:val="16"/>
        </w:rPr>
        <w:t>See</w:t>
      </w:r>
      <w:r w:rsidRPr="00B014D9">
        <w:rPr>
          <w:rFonts w:ascii="Garamond" w:hAnsi="Garamond" w:cs="GaramondPremrPro"/>
          <w:sz w:val="16"/>
          <w:szCs w:val="16"/>
        </w:rPr>
        <w:t xml:space="preserve"> the ICI/ICI Global Wheatley Review Letter, </w:t>
      </w:r>
      <w:r w:rsidRPr="00B014D9">
        <w:rPr>
          <w:rFonts w:ascii="Garamond" w:hAnsi="Garamond" w:cs="GaramondPremrPro"/>
          <w:i/>
          <w:sz w:val="16"/>
          <w:szCs w:val="16"/>
        </w:rPr>
        <w:t>supra</w:t>
      </w:r>
      <w:r w:rsidRPr="00B014D9">
        <w:rPr>
          <w:rFonts w:ascii="Garamond" w:hAnsi="Garamond" w:cs="GaramondPremrPro"/>
          <w:sz w:val="16"/>
          <w:szCs w:val="16"/>
        </w:rPr>
        <w:t xml:space="preserve"> note 4, at 3-4.</w:t>
      </w:r>
    </w:p>
  </w:footnote>
  <w:footnote w:id="18">
    <w:p w14:paraId="5C814346" w14:textId="77777777" w:rsidR="002327AC" w:rsidRPr="00B014D9" w:rsidRDefault="002327AC" w:rsidP="00112E57">
      <w:pPr>
        <w:spacing w:after="0" w:line="240" w:lineRule="auto"/>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For example, administrators might have discretion with regard to the precise parameters for the categorization of countries (</w:t>
      </w:r>
      <w:r w:rsidRPr="00B014D9">
        <w:rPr>
          <w:rFonts w:ascii="Garamond" w:hAnsi="Garamond"/>
          <w:i/>
          <w:sz w:val="16"/>
          <w:szCs w:val="16"/>
        </w:rPr>
        <w:t>e.g.</w:t>
      </w:r>
      <w:r w:rsidRPr="00B014D9">
        <w:rPr>
          <w:rFonts w:ascii="Garamond" w:hAnsi="Garamond"/>
          <w:sz w:val="16"/>
          <w:szCs w:val="16"/>
        </w:rPr>
        <w:t>, which countries should be considered “frontier,” “emerging,” or “developed” markets) or appropriate capitalization ranges (</w:t>
      </w:r>
      <w:r w:rsidRPr="00B014D9">
        <w:rPr>
          <w:rFonts w:ascii="Garamond" w:hAnsi="Garamond"/>
          <w:i/>
          <w:sz w:val="16"/>
          <w:szCs w:val="16"/>
        </w:rPr>
        <w:t>e.g.</w:t>
      </w:r>
      <w:r w:rsidRPr="00B014D9">
        <w:rPr>
          <w:rFonts w:ascii="Garamond" w:hAnsi="Garamond"/>
          <w:sz w:val="16"/>
          <w:szCs w:val="16"/>
        </w:rPr>
        <w:t>, how to distinguish “large cap,” “mid cap,” and “small cap” securities), but these decisions are made in accordance with the administrator’s disclosed methodologies.</w:t>
      </w:r>
    </w:p>
  </w:footnote>
  <w:footnote w:id="19">
    <w:p w14:paraId="5C814347" w14:textId="77777777" w:rsidR="00324335" w:rsidRPr="00B014D9" w:rsidRDefault="00324335">
      <w:pPr>
        <w:pStyle w:val="FootnoteText"/>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Article 53(1)(b) of the UCITS Directive.</w:t>
      </w:r>
    </w:p>
  </w:footnote>
  <w:footnote w:id="20">
    <w:p w14:paraId="5C814348" w14:textId="77777777" w:rsidR="00F24D58" w:rsidRPr="00B014D9" w:rsidRDefault="00F24D58" w:rsidP="00F24D58">
      <w:pPr>
        <w:pStyle w:val="FootnoteText"/>
        <w:ind w:left="142" w:hanging="142"/>
        <w:rPr>
          <w:rFonts w:ascii="Garamond" w:hAnsi="Garamond"/>
          <w:sz w:val="16"/>
          <w:szCs w:val="16"/>
        </w:rPr>
      </w:pPr>
      <w:bookmarkStart w:id="2" w:name="_DV_C33"/>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color w:val="000000"/>
          <w:sz w:val="16"/>
          <w:szCs w:val="16"/>
        </w:rPr>
        <w:t xml:space="preserve">Indeed, index funds that sample their index typically state that a principal risk of the fund is a divergence of the fund’s performance from that the index. Some index fund disclosures further explain that because the fund seeks to track an index, the fund will not seek temporary defensive positions when markets decline or seem overvalued.  </w:t>
      </w:r>
      <w:r w:rsidRPr="00B014D9">
        <w:rPr>
          <w:rFonts w:ascii="Garamond" w:hAnsi="Garamond"/>
          <w:i/>
          <w:color w:val="000000"/>
          <w:sz w:val="16"/>
          <w:szCs w:val="16"/>
        </w:rPr>
        <w:t>See, e.g.,</w:t>
      </w:r>
      <w:r w:rsidRPr="00B014D9">
        <w:rPr>
          <w:rFonts w:ascii="Garamond" w:hAnsi="Garamond"/>
          <w:color w:val="000000"/>
          <w:sz w:val="16"/>
          <w:szCs w:val="16"/>
        </w:rPr>
        <w:t xml:space="preserve"> iShares Russell 1000 Growth Index Fund Prospectus, available at   </w:t>
      </w:r>
      <w:r w:rsidRPr="00B014D9">
        <w:rPr>
          <w:rStyle w:val="Hyperlink"/>
          <w:rFonts w:ascii="Garamond" w:hAnsi="Garamond"/>
          <w:sz w:val="16"/>
          <w:szCs w:val="16"/>
        </w:rPr>
        <w:t>http://us.ishares.com/content/stream.jsp?url=/content/en_us/repository/resource/prospectus/is_p_iwf.pdf&amp;mimeType=application/pdf</w:t>
      </w:r>
      <w:r w:rsidRPr="00B014D9">
        <w:rPr>
          <w:rFonts w:ascii="Garamond" w:hAnsi="Garamond"/>
          <w:color w:val="000000"/>
          <w:sz w:val="16"/>
          <w:szCs w:val="16"/>
        </w:rPr>
        <w:t>, at S-2.</w:t>
      </w:r>
      <w:bookmarkEnd w:id="2"/>
    </w:p>
  </w:footnote>
  <w:footnote w:id="21">
    <w:p w14:paraId="5C814349" w14:textId="77777777" w:rsidR="00F24D58" w:rsidRPr="00B014D9" w:rsidRDefault="00F24D58" w:rsidP="00F24D58">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cs="GaramondPremrPro"/>
          <w:sz w:val="16"/>
          <w:szCs w:val="16"/>
        </w:rPr>
        <w:t>These include requiring the index provider to (</w:t>
      </w:r>
      <w:proofErr w:type="spellStart"/>
      <w:r w:rsidRPr="00B014D9">
        <w:rPr>
          <w:rFonts w:ascii="Garamond" w:hAnsi="Garamond" w:cs="GaramondPremrPro"/>
          <w:sz w:val="16"/>
          <w:szCs w:val="16"/>
        </w:rPr>
        <w:t>i</w:t>
      </w:r>
      <w:proofErr w:type="spellEnd"/>
      <w:r w:rsidRPr="00B014D9">
        <w:rPr>
          <w:rFonts w:ascii="Garamond" w:hAnsi="Garamond" w:cs="GaramondPremrPro"/>
          <w:sz w:val="16"/>
          <w:szCs w:val="16"/>
        </w:rPr>
        <w:t xml:space="preserve">) make publicly available all of the rules governing inclusion and weighting of securities in each index; (ii) limit the ability to change such rules and provide public notice before any changes are made; (iii) impose "firewalls” between the staff responsible for index design and the portfolio management staff; (iv) maintain an unaffiliated “calculation agent” who is responsible for all index maintenance, calculation, dissemination, and reconstitution activities; and (v) specify a limited periodic basis on which the components of the index may be changed.  </w:t>
      </w:r>
      <w:r w:rsidRPr="00B014D9">
        <w:rPr>
          <w:rFonts w:ascii="Garamond" w:hAnsi="Garamond" w:cs="GaramondPremrPro"/>
          <w:i/>
          <w:sz w:val="16"/>
          <w:szCs w:val="16"/>
        </w:rPr>
        <w:t>See, e.g.,</w:t>
      </w:r>
      <w:r w:rsidRPr="00B014D9">
        <w:rPr>
          <w:rFonts w:ascii="Garamond" w:hAnsi="Garamond"/>
          <w:i/>
          <w:sz w:val="16"/>
          <w:szCs w:val="16"/>
        </w:rPr>
        <w:t xml:space="preserve"> </w:t>
      </w:r>
      <w:proofErr w:type="spellStart"/>
      <w:r w:rsidRPr="00B014D9">
        <w:rPr>
          <w:rFonts w:ascii="Garamond" w:hAnsi="Garamond"/>
          <w:sz w:val="16"/>
          <w:szCs w:val="16"/>
        </w:rPr>
        <w:t>WisdomTree</w:t>
      </w:r>
      <w:proofErr w:type="spellEnd"/>
      <w:r w:rsidRPr="00B014D9">
        <w:rPr>
          <w:rFonts w:ascii="Garamond" w:hAnsi="Garamond"/>
          <w:sz w:val="16"/>
          <w:szCs w:val="16"/>
        </w:rPr>
        <w:t xml:space="preserve"> Investments, Investment Company Act Release Nos. 27324 (May 18, 2006) (notice) and 27391 (June 12, 2006) (order).</w:t>
      </w:r>
    </w:p>
  </w:footnote>
  <w:footnote w:id="22">
    <w:p w14:paraId="5C81434A" w14:textId="77777777" w:rsidR="00F24D58" w:rsidRPr="00B014D9" w:rsidRDefault="00F24D58" w:rsidP="00F24D58">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Indeed, the SEC has indicated that the self-indexed ETF conditions are arguably unnecessary in light of these provisions in the federal securities laws and exchange rules.  </w:t>
      </w:r>
      <w:r w:rsidRPr="00B014D9">
        <w:rPr>
          <w:rFonts w:ascii="Garamond" w:hAnsi="Garamond" w:cs="GaramondPremrPro"/>
          <w:sz w:val="16"/>
          <w:szCs w:val="16"/>
        </w:rPr>
        <w:t xml:space="preserve">In a 2008 ETF rule proposal, the SEC proposed eliminating the conditions on the basis that these laws and regulations are sufficient.  </w:t>
      </w:r>
      <w:r w:rsidRPr="00B014D9">
        <w:rPr>
          <w:rFonts w:ascii="Garamond" w:hAnsi="Garamond" w:cs="GaramondPremrPro"/>
          <w:i/>
          <w:sz w:val="16"/>
          <w:szCs w:val="16"/>
        </w:rPr>
        <w:t>See</w:t>
      </w:r>
      <w:r w:rsidRPr="00B014D9">
        <w:rPr>
          <w:rFonts w:ascii="Garamond" w:hAnsi="Garamond" w:cs="GaramondPremrPro"/>
          <w:sz w:val="16"/>
          <w:szCs w:val="16"/>
        </w:rPr>
        <w:t xml:space="preserve"> Exchange-Traded Funds, Proposed Rule, </w:t>
      </w:r>
      <w:r w:rsidRPr="00B014D9">
        <w:rPr>
          <w:rFonts w:ascii="Garamond" w:hAnsi="Garamond" w:cs="GaramondPremrPro"/>
          <w:i/>
          <w:sz w:val="16"/>
          <w:szCs w:val="16"/>
        </w:rPr>
        <w:t>supra</w:t>
      </w:r>
      <w:r w:rsidRPr="00B014D9">
        <w:rPr>
          <w:rFonts w:ascii="Garamond" w:hAnsi="Garamond" w:cs="GaramondPremrPro"/>
          <w:sz w:val="16"/>
          <w:szCs w:val="16"/>
        </w:rPr>
        <w:t xml:space="preserve"> note </w:t>
      </w:r>
      <w:r w:rsidR="00DE499C" w:rsidRPr="00B014D9">
        <w:rPr>
          <w:rFonts w:ascii="Garamond" w:hAnsi="Garamond"/>
          <w:sz w:val="16"/>
          <w:szCs w:val="16"/>
        </w:rPr>
        <w:fldChar w:fldCharType="begin"/>
      </w:r>
      <w:r w:rsidR="00DE499C" w:rsidRPr="00B014D9">
        <w:rPr>
          <w:rFonts w:ascii="Garamond" w:hAnsi="Garamond"/>
          <w:sz w:val="16"/>
          <w:szCs w:val="16"/>
        </w:rPr>
        <w:instrText xml:space="preserve"> NOTEREF _Ref347754810 \h  \</w:instrText>
      </w:r>
      <w:r w:rsidR="00DE499C" w:rsidRPr="00B014D9">
        <w:rPr>
          <w:rFonts w:ascii="Garamond" w:hAnsi="Garamond"/>
          <w:sz w:val="16"/>
          <w:szCs w:val="16"/>
        </w:rPr>
        <w:instrText xml:space="preserve">* MERGEFORMAT </w:instrText>
      </w:r>
      <w:r w:rsidR="00DE499C" w:rsidRPr="00B014D9">
        <w:rPr>
          <w:rFonts w:ascii="Garamond" w:hAnsi="Garamond"/>
          <w:sz w:val="16"/>
          <w:szCs w:val="16"/>
        </w:rPr>
      </w:r>
      <w:r w:rsidR="00DE499C" w:rsidRPr="00B014D9">
        <w:rPr>
          <w:rFonts w:ascii="Garamond" w:hAnsi="Garamond"/>
          <w:sz w:val="16"/>
          <w:szCs w:val="16"/>
        </w:rPr>
        <w:fldChar w:fldCharType="separate"/>
      </w:r>
      <w:r w:rsidR="00F04D63" w:rsidRPr="00B014D9">
        <w:rPr>
          <w:rFonts w:ascii="Garamond" w:hAnsi="Garamond" w:cs="GaramondPremrPro"/>
          <w:sz w:val="16"/>
          <w:szCs w:val="16"/>
        </w:rPr>
        <w:t>27</w:t>
      </w:r>
      <w:r w:rsidR="00DE499C" w:rsidRPr="00B014D9">
        <w:rPr>
          <w:rFonts w:ascii="Garamond" w:hAnsi="Garamond"/>
          <w:sz w:val="16"/>
          <w:szCs w:val="16"/>
        </w:rPr>
        <w:fldChar w:fldCharType="end"/>
      </w:r>
      <w:r w:rsidRPr="00B014D9">
        <w:rPr>
          <w:rFonts w:ascii="Garamond" w:hAnsi="Garamond" w:cs="GaramondPremrPro"/>
          <w:sz w:val="16"/>
          <w:szCs w:val="16"/>
        </w:rPr>
        <w:t>.  The proposal has not been adopted.</w:t>
      </w:r>
    </w:p>
  </w:footnote>
  <w:footnote w:id="23">
    <w:p w14:paraId="5C81434B" w14:textId="77777777" w:rsidR="00F24D58" w:rsidRPr="00B014D9" w:rsidRDefault="00F24D58" w:rsidP="00F24D58">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i/>
          <w:color w:val="000000"/>
          <w:sz w:val="16"/>
          <w:szCs w:val="16"/>
        </w:rPr>
        <w:t xml:space="preserve">See </w:t>
      </w:r>
      <w:r w:rsidRPr="00B014D9">
        <w:rPr>
          <w:rFonts w:ascii="Garamond" w:hAnsi="Garamond"/>
          <w:color w:val="000000"/>
          <w:sz w:val="16"/>
          <w:szCs w:val="16"/>
        </w:rPr>
        <w:t xml:space="preserve">ESMA Report and Consultation Paper, Guidelines on ETFs and other UCITS Issues, </w:t>
      </w:r>
      <w:r w:rsidRPr="00B014D9">
        <w:rPr>
          <w:rFonts w:ascii="Garamond" w:hAnsi="Garamond"/>
          <w:i/>
          <w:color w:val="000000"/>
          <w:sz w:val="16"/>
          <w:szCs w:val="16"/>
        </w:rPr>
        <w:t xml:space="preserve">supra </w:t>
      </w:r>
      <w:r w:rsidRPr="00B014D9">
        <w:rPr>
          <w:rFonts w:ascii="Garamond" w:hAnsi="Garamond"/>
          <w:color w:val="000000"/>
          <w:sz w:val="16"/>
          <w:szCs w:val="16"/>
        </w:rPr>
        <w:t>note 5, at 16-17 (further stating that no further consideration of these conflicts of interest by ESMA is necessary).</w:t>
      </w:r>
    </w:p>
  </w:footnote>
  <w:footnote w:id="24">
    <w:p w14:paraId="5C81434C" w14:textId="77777777" w:rsidR="00B102B9" w:rsidRPr="00B014D9" w:rsidRDefault="00B102B9">
      <w:pPr>
        <w:pStyle w:val="FootnoteText"/>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sz w:val="16"/>
          <w:szCs w:val="16"/>
          <w:lang w:val="en-GB"/>
        </w:rPr>
        <w:t>Principle C.6 in the Consultation</w:t>
      </w:r>
    </w:p>
  </w:footnote>
  <w:footnote w:id="25">
    <w:p w14:paraId="5C81434D" w14:textId="77777777" w:rsidR="00B102B9" w:rsidRPr="00B014D9" w:rsidRDefault="00B102B9">
      <w:pPr>
        <w:pStyle w:val="FootnoteText"/>
        <w:rPr>
          <w:rFonts w:ascii="Garamond" w:hAnsi="Garamond"/>
          <w:sz w:val="16"/>
          <w:szCs w:val="16"/>
          <w:lang w:val="en-GB"/>
        </w:rPr>
      </w:pPr>
      <w:r w:rsidRPr="00B014D9">
        <w:rPr>
          <w:rStyle w:val="FootnoteReference"/>
          <w:rFonts w:ascii="Garamond" w:hAnsi="Garamond"/>
          <w:sz w:val="16"/>
          <w:szCs w:val="16"/>
        </w:rPr>
        <w:footnoteRef/>
      </w:r>
      <w:r w:rsidRPr="00B014D9">
        <w:rPr>
          <w:rFonts w:ascii="Garamond" w:hAnsi="Garamond"/>
          <w:sz w:val="16"/>
          <w:szCs w:val="16"/>
        </w:rPr>
        <w:t xml:space="preserve"> </w:t>
      </w:r>
      <w:proofErr w:type="gramStart"/>
      <w:r w:rsidRPr="00B014D9">
        <w:rPr>
          <w:rFonts w:ascii="Garamond" w:hAnsi="Garamond"/>
          <w:sz w:val="16"/>
          <w:szCs w:val="16"/>
          <w:lang w:val="en-GB"/>
        </w:rPr>
        <w:t>Principle C.1.</w:t>
      </w:r>
      <w:proofErr w:type="gramEnd"/>
      <w:r w:rsidRPr="00B014D9">
        <w:rPr>
          <w:rFonts w:ascii="Garamond" w:hAnsi="Garamond"/>
          <w:sz w:val="16"/>
          <w:szCs w:val="16"/>
          <w:lang w:val="en-GB"/>
        </w:rPr>
        <w:t xml:space="preserve"> in the Consultation</w:t>
      </w:r>
    </w:p>
  </w:footnote>
  <w:footnote w:id="26">
    <w:p w14:paraId="5C81434E" w14:textId="77777777" w:rsidR="002327AC" w:rsidRPr="00B014D9" w:rsidRDefault="002327AC" w:rsidP="00112E57">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i/>
          <w:sz w:val="16"/>
          <w:szCs w:val="16"/>
        </w:rPr>
        <w:t>See, e.g.,</w:t>
      </w:r>
      <w:r w:rsidRPr="00B014D9">
        <w:rPr>
          <w:rFonts w:ascii="Garamond" w:hAnsi="Garamond"/>
          <w:sz w:val="16"/>
          <w:szCs w:val="16"/>
        </w:rPr>
        <w:t xml:space="preserve"> </w:t>
      </w:r>
      <w:r w:rsidRPr="00B014D9">
        <w:rPr>
          <w:rFonts w:ascii="Garamond" w:hAnsi="Garamond" w:cs="GaramondPremrPro"/>
          <w:sz w:val="16"/>
          <w:szCs w:val="16"/>
        </w:rPr>
        <w:t xml:space="preserve">Exchange-Traded Funds, Proposed Rule, SEC Release Nos. 33-8901 and IC-28193 (March 11, 2008), 73 Fed. Reg. 14618 (March 18, 2008), available at </w:t>
      </w:r>
      <w:r w:rsidRPr="00B014D9">
        <w:rPr>
          <w:rStyle w:val="Hyperlink"/>
          <w:rFonts w:ascii="Garamond" w:hAnsi="Garamond" w:cs="GaramondPremrPro"/>
          <w:sz w:val="16"/>
          <w:szCs w:val="16"/>
        </w:rPr>
        <w:t>http://www.sec.gov/rules/proposed/2008/33-</w:t>
      </w:r>
      <w:proofErr w:type="gramStart"/>
      <w:r w:rsidRPr="00B014D9">
        <w:rPr>
          <w:rStyle w:val="Hyperlink"/>
          <w:rFonts w:ascii="Garamond" w:hAnsi="Garamond" w:cs="GaramondPremrPro"/>
          <w:sz w:val="16"/>
          <w:szCs w:val="16"/>
        </w:rPr>
        <w:t>8901.pdf</w:t>
      </w:r>
      <w:r w:rsidRPr="00B014D9">
        <w:rPr>
          <w:rFonts w:ascii="Garamond" w:hAnsi="Garamond" w:cs="GaramondPremrPro"/>
          <w:sz w:val="16"/>
          <w:szCs w:val="16"/>
        </w:rPr>
        <w:t xml:space="preserve">  at</w:t>
      </w:r>
      <w:proofErr w:type="gramEnd"/>
      <w:r w:rsidRPr="00B014D9">
        <w:rPr>
          <w:rFonts w:ascii="Garamond" w:hAnsi="Garamond" w:cs="GaramondPremrPro"/>
          <w:sz w:val="16"/>
          <w:szCs w:val="16"/>
        </w:rPr>
        <w:t xml:space="preserve"> page 26 and note 42 (discussing the potential detrimental impact of real-time portfolio disclosure on fund investors).</w:t>
      </w:r>
    </w:p>
  </w:footnote>
  <w:footnote w:id="27">
    <w:p w14:paraId="5C81434F" w14:textId="77777777" w:rsidR="002327AC" w:rsidRPr="00B014D9" w:rsidRDefault="002327AC" w:rsidP="00112E57">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i/>
          <w:sz w:val="16"/>
          <w:szCs w:val="16"/>
        </w:rPr>
        <w:t>See, e.g.,</w:t>
      </w:r>
      <w:r w:rsidRPr="00B014D9">
        <w:rPr>
          <w:rFonts w:ascii="Garamond" w:hAnsi="Garamond"/>
          <w:sz w:val="16"/>
          <w:szCs w:val="16"/>
        </w:rPr>
        <w:t xml:space="preserve"> letter from MSCI in Response to the European Commission Consultation on the Regulation of Indices, available at </w:t>
      </w:r>
      <w:r w:rsidRPr="00B014D9">
        <w:rPr>
          <w:rStyle w:val="Hyperlink"/>
          <w:rFonts w:ascii="Garamond" w:hAnsi="Garamond"/>
          <w:sz w:val="16"/>
          <w:szCs w:val="16"/>
        </w:rPr>
        <w:t>http://ec.europa.eu/internal_market/consultations/2012/benchmarks/individual-others/msci_en.pdf</w:t>
      </w:r>
      <w:r w:rsidRPr="00B014D9">
        <w:rPr>
          <w:rFonts w:ascii="Garamond" w:hAnsi="Garamond"/>
          <w:sz w:val="16"/>
          <w:szCs w:val="16"/>
        </w:rPr>
        <w:t xml:space="preserve"> (stating that “equity indices constitute intellectual property which is protected by national and international laws and conventions,” and warning the EC that “regulation that requires index providers to make their intellectual property (for which they normally charge a fee to access) freely available without restriction, allowing others to free-ride, could result in index providers exiting the European market”).  </w:t>
      </w:r>
    </w:p>
  </w:footnote>
  <w:footnote w:id="28">
    <w:p w14:paraId="5C814350" w14:textId="77777777" w:rsidR="002327AC" w:rsidRPr="00B014D9" w:rsidRDefault="002327AC" w:rsidP="00112E57">
      <w:pPr>
        <w:pStyle w:val="FootnoteText"/>
        <w:ind w:left="142" w:hanging="142"/>
        <w:rPr>
          <w:rFonts w:ascii="Garamond" w:hAnsi="Garamond"/>
          <w:sz w:val="16"/>
          <w:szCs w:val="16"/>
        </w:rPr>
      </w:pPr>
      <w:r w:rsidRPr="00B014D9">
        <w:rPr>
          <w:rStyle w:val="FootnoteReference"/>
          <w:rFonts w:ascii="Garamond" w:hAnsi="Garamond"/>
          <w:sz w:val="16"/>
          <w:szCs w:val="16"/>
        </w:rPr>
        <w:footnoteRef/>
      </w:r>
      <w:r w:rsidRPr="00B014D9">
        <w:rPr>
          <w:rFonts w:ascii="Garamond" w:hAnsi="Garamond"/>
          <w:sz w:val="16"/>
          <w:szCs w:val="16"/>
        </w:rPr>
        <w:t xml:space="preserve"> </w:t>
      </w:r>
      <w:r w:rsidRPr="00B014D9">
        <w:rPr>
          <w:rFonts w:ascii="Garamond" w:hAnsi="Garamond" w:cs="GaramondPremrPro"/>
          <w:sz w:val="16"/>
          <w:szCs w:val="16"/>
        </w:rPr>
        <w:t xml:space="preserve">For a more detailed discussion of the potential costs of unnecessary regulation of index providers, </w:t>
      </w:r>
      <w:r w:rsidRPr="00B014D9">
        <w:rPr>
          <w:rFonts w:ascii="Garamond" w:hAnsi="Garamond" w:cs="GaramondPremrPro"/>
          <w:i/>
          <w:sz w:val="16"/>
          <w:szCs w:val="16"/>
        </w:rPr>
        <w:t>see</w:t>
      </w:r>
      <w:r w:rsidRPr="00B014D9">
        <w:rPr>
          <w:rFonts w:ascii="Garamond" w:hAnsi="Garamond" w:cs="GaramondPremrPro"/>
          <w:sz w:val="16"/>
          <w:szCs w:val="16"/>
        </w:rPr>
        <w:t xml:space="preserve"> letter from Vanguard </w:t>
      </w:r>
      <w:r w:rsidRPr="00B014D9">
        <w:rPr>
          <w:rFonts w:ascii="Garamond" w:hAnsi="Garamond"/>
          <w:sz w:val="16"/>
          <w:szCs w:val="16"/>
        </w:rPr>
        <w:t>in Response to the European Commission Consultation on the Regulation of Indices</w:t>
      </w:r>
      <w:r w:rsidRPr="00B014D9">
        <w:rPr>
          <w:rFonts w:ascii="Garamond" w:hAnsi="Garamond" w:cs="GaramondPremrPro"/>
          <w:sz w:val="16"/>
          <w:szCs w:val="16"/>
        </w:rPr>
        <w:t xml:space="preserve">, available at </w:t>
      </w:r>
      <w:r w:rsidRPr="00B014D9">
        <w:rPr>
          <w:rStyle w:val="Hyperlink"/>
          <w:rFonts w:ascii="Garamond" w:hAnsi="Garamond" w:cs="GaramondPremrPro"/>
          <w:sz w:val="16"/>
          <w:szCs w:val="16"/>
        </w:rPr>
        <w:t>http://ec.europa.eu/internal_market/consultations/2012/benchmarks/individual-others/vanguard_en.pdf</w:t>
      </w:r>
      <w:r w:rsidRPr="00B014D9">
        <w:rPr>
          <w:rFonts w:ascii="Garamond" w:hAnsi="Garamond" w:cs="GaramondPremrPro"/>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432E" w14:textId="77777777" w:rsidR="002327AC" w:rsidRPr="00112E57" w:rsidRDefault="002327AC" w:rsidP="00826829">
    <w:pPr>
      <w:pStyle w:val="Header"/>
      <w:spacing w:after="0" w:line="240" w:lineRule="auto"/>
      <w:rPr>
        <w:rFonts w:ascii="Garamond" w:hAnsi="Garamond"/>
        <w:b/>
        <w:sz w:val="24"/>
        <w:szCs w:val="24"/>
      </w:rPr>
    </w:pPr>
    <w:r w:rsidRPr="00112E57">
      <w:rPr>
        <w:rFonts w:ascii="Garamond" w:hAnsi="Garamond"/>
        <w:sz w:val="24"/>
        <w:szCs w:val="24"/>
      </w:rPr>
      <w:t xml:space="preserve">Mr. </w:t>
    </w:r>
    <w:proofErr w:type="spellStart"/>
    <w:r w:rsidRPr="00112E57">
      <w:rPr>
        <w:rFonts w:ascii="Garamond" w:hAnsi="Garamond"/>
        <w:sz w:val="24"/>
        <w:szCs w:val="24"/>
      </w:rPr>
      <w:t>Maijoor</w:t>
    </w:r>
    <w:proofErr w:type="spellEnd"/>
    <w:r w:rsidRPr="00112E57">
      <w:rPr>
        <w:rFonts w:ascii="Garamond" w:hAnsi="Garamond"/>
        <w:sz w:val="24"/>
        <w:szCs w:val="24"/>
      </w:rPr>
      <w:t xml:space="preserve"> and Mr. </w:t>
    </w:r>
    <w:proofErr w:type="spellStart"/>
    <w:r w:rsidRPr="00112E57">
      <w:rPr>
        <w:rFonts w:ascii="Garamond" w:hAnsi="Garamond"/>
        <w:sz w:val="24"/>
        <w:szCs w:val="24"/>
      </w:rPr>
      <w:t>Enria</w:t>
    </w:r>
    <w:proofErr w:type="spellEnd"/>
    <w:r w:rsidRPr="00112E57">
      <w:rPr>
        <w:rFonts w:ascii="Garamond" w:hAnsi="Garamond"/>
        <w:sz w:val="24"/>
        <w:szCs w:val="24"/>
      </w:rPr>
      <w:tab/>
    </w:r>
    <w:r w:rsidRPr="00112E57">
      <w:rPr>
        <w:rFonts w:ascii="Garamond" w:hAnsi="Garamond"/>
        <w:sz w:val="24"/>
        <w:szCs w:val="24"/>
      </w:rPr>
      <w:tab/>
    </w:r>
    <w:r w:rsidRPr="00112E57">
      <w:rPr>
        <w:rFonts w:ascii="Garamond" w:hAnsi="Garamond"/>
        <w:sz w:val="24"/>
        <w:szCs w:val="24"/>
      </w:rPr>
      <w:tab/>
    </w:r>
    <w:r w:rsidRPr="00112E57">
      <w:rPr>
        <w:rFonts w:ascii="Garamond" w:hAnsi="Garamond"/>
        <w:sz w:val="24"/>
        <w:szCs w:val="24"/>
      </w:rPr>
      <w:tab/>
    </w:r>
    <w:r w:rsidRPr="00112E57">
      <w:rPr>
        <w:rFonts w:ascii="Garamond" w:hAnsi="Garamond"/>
        <w:sz w:val="24"/>
        <w:szCs w:val="24"/>
      </w:rPr>
      <w:tab/>
    </w:r>
    <w:r w:rsidRPr="00112E57">
      <w:rPr>
        <w:rFonts w:ascii="Garamond" w:hAnsi="Garamond"/>
        <w:sz w:val="24"/>
        <w:szCs w:val="24"/>
      </w:rPr>
      <w:tab/>
    </w:r>
    <w:r w:rsidRPr="00112E57">
      <w:rPr>
        <w:rFonts w:ascii="Garamond" w:hAnsi="Garamond"/>
        <w:sz w:val="24"/>
        <w:szCs w:val="24"/>
      </w:rPr>
      <w:tab/>
    </w:r>
    <w:r w:rsidRPr="00112E57">
      <w:rPr>
        <w:rFonts w:ascii="Garamond" w:hAnsi="Garamond"/>
        <w:sz w:val="24"/>
        <w:szCs w:val="24"/>
      </w:rPr>
      <w:tab/>
    </w:r>
    <w:r w:rsidRPr="00112E57">
      <w:rPr>
        <w:rFonts w:ascii="Garamond" w:hAnsi="Garamond"/>
        <w:sz w:val="24"/>
        <w:szCs w:val="24"/>
      </w:rPr>
      <w:tab/>
    </w:r>
    <w:r w:rsidRPr="00112E57">
      <w:rPr>
        <w:rFonts w:ascii="Garamond" w:hAnsi="Garamond"/>
        <w:sz w:val="24"/>
        <w:szCs w:val="24"/>
      </w:rPr>
      <w:tab/>
    </w:r>
  </w:p>
  <w:p w14:paraId="5C81432F" w14:textId="2F2F469F" w:rsidR="002327AC" w:rsidRPr="00112E57" w:rsidRDefault="00C12138" w:rsidP="00826829">
    <w:pPr>
      <w:pStyle w:val="Header"/>
      <w:spacing w:after="0" w:line="240" w:lineRule="auto"/>
      <w:rPr>
        <w:rFonts w:ascii="Garamond" w:hAnsi="Garamond"/>
        <w:sz w:val="24"/>
        <w:szCs w:val="24"/>
      </w:rPr>
    </w:pPr>
    <w:r>
      <w:rPr>
        <w:rFonts w:ascii="Garamond" w:hAnsi="Garamond"/>
        <w:sz w:val="24"/>
        <w:szCs w:val="24"/>
      </w:rPr>
      <w:t>13</w:t>
    </w:r>
    <w:r w:rsidR="002327AC" w:rsidRPr="00112E57">
      <w:rPr>
        <w:rFonts w:ascii="Garamond" w:hAnsi="Garamond"/>
        <w:sz w:val="24"/>
        <w:szCs w:val="24"/>
      </w:rPr>
      <w:t xml:space="preserve"> February 2013</w:t>
    </w:r>
  </w:p>
  <w:p w14:paraId="5C814330" w14:textId="069EBAEC" w:rsidR="002327AC" w:rsidRPr="00112E57" w:rsidRDefault="002327AC" w:rsidP="00826829">
    <w:pPr>
      <w:pStyle w:val="Header"/>
      <w:spacing w:after="0" w:line="240" w:lineRule="auto"/>
      <w:rPr>
        <w:rStyle w:val="PageNumber"/>
        <w:rFonts w:ascii="Garamond" w:hAnsi="Garamond"/>
        <w:sz w:val="24"/>
        <w:szCs w:val="24"/>
      </w:rPr>
    </w:pPr>
    <w:r w:rsidRPr="00112E57">
      <w:rPr>
        <w:rFonts w:ascii="Garamond" w:hAnsi="Garamond"/>
        <w:sz w:val="24"/>
        <w:szCs w:val="24"/>
      </w:rPr>
      <w:t xml:space="preserve">Page </w:t>
    </w:r>
    <w:r w:rsidR="003D32E8" w:rsidRPr="00112E57">
      <w:rPr>
        <w:rFonts w:ascii="Garamond" w:hAnsi="Garamond"/>
        <w:sz w:val="24"/>
        <w:szCs w:val="24"/>
      </w:rPr>
      <w:fldChar w:fldCharType="begin"/>
    </w:r>
    <w:r w:rsidRPr="00112E57">
      <w:rPr>
        <w:rFonts w:ascii="Garamond" w:hAnsi="Garamond"/>
        <w:sz w:val="24"/>
        <w:szCs w:val="24"/>
      </w:rPr>
      <w:instrText xml:space="preserve"> PAGE   \* MERGEFORMAT </w:instrText>
    </w:r>
    <w:r w:rsidR="003D32E8" w:rsidRPr="00112E57">
      <w:rPr>
        <w:rFonts w:ascii="Garamond" w:hAnsi="Garamond"/>
        <w:sz w:val="24"/>
        <w:szCs w:val="24"/>
      </w:rPr>
      <w:fldChar w:fldCharType="separate"/>
    </w:r>
    <w:r w:rsidR="00DE499C">
      <w:rPr>
        <w:rFonts w:ascii="Garamond" w:hAnsi="Garamond"/>
        <w:noProof/>
        <w:sz w:val="24"/>
        <w:szCs w:val="24"/>
      </w:rPr>
      <w:t>2</w:t>
    </w:r>
    <w:r w:rsidR="003D32E8" w:rsidRPr="00112E57">
      <w:rPr>
        <w:rFonts w:ascii="Garamond" w:hAnsi="Garamond"/>
        <w:sz w:val="24"/>
        <w:szCs w:val="24"/>
      </w:rPr>
      <w:fldChar w:fldCharType="end"/>
    </w:r>
    <w:r w:rsidRPr="00112E57">
      <w:rPr>
        <w:rFonts w:ascii="Garamond" w:hAnsi="Garamond"/>
        <w:sz w:val="24"/>
        <w:szCs w:val="24"/>
      </w:rPr>
      <w:t xml:space="preserve"> of </w:t>
    </w:r>
    <w:r w:rsidR="00C12138">
      <w:rPr>
        <w:rStyle w:val="PageNumber"/>
        <w:rFonts w:ascii="Garamond" w:hAnsi="Garamond"/>
        <w:noProof/>
        <w:sz w:val="24"/>
        <w:szCs w:val="24"/>
      </w:rPr>
      <w:t>8</w:t>
    </w:r>
  </w:p>
  <w:p w14:paraId="5C814331" w14:textId="77777777" w:rsidR="002327AC" w:rsidRPr="007A5FDB" w:rsidRDefault="002327AC" w:rsidP="00BC5855">
    <w:pPr>
      <w:pStyle w:val="Header"/>
      <w:spacing w:after="0"/>
      <w:rPr>
        <w:rFonts w:ascii="Garamond Premr Pro" w:hAnsi="Garamond Premr Pro"/>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4332" w14:textId="77777777" w:rsidR="002327AC" w:rsidRDefault="002327AC">
    <w:pPr>
      <w:pStyle w:val="Header"/>
    </w:pPr>
    <w:r>
      <w:rPr>
        <w:noProof/>
        <w:lang w:val="en-GB" w:eastAsia="en-GB"/>
      </w:rPr>
      <w:drawing>
        <wp:anchor distT="0" distB="274320" distL="114300" distR="114300" simplePos="0" relativeHeight="251658240" behindDoc="0" locked="0" layoutInCell="1" allowOverlap="1" wp14:anchorId="5C814333" wp14:editId="5C814334">
          <wp:simplePos x="0" y="0"/>
          <wp:positionH relativeFrom="column">
            <wp:posOffset>-261620</wp:posOffset>
          </wp:positionH>
          <wp:positionV relativeFrom="paragraph">
            <wp:posOffset>-16510</wp:posOffset>
          </wp:positionV>
          <wp:extent cx="6858000" cy="996315"/>
          <wp:effectExtent l="0" t="0" r="0" b="0"/>
          <wp:wrapTopAndBottom/>
          <wp:docPr id="2" name="Picture 2" descr="generic_ici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ci_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963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36184E"/>
    <w:lvl w:ilvl="0">
      <w:start w:val="1"/>
      <w:numFmt w:val="decimal"/>
      <w:lvlText w:val="%1."/>
      <w:lvlJc w:val="left"/>
      <w:pPr>
        <w:tabs>
          <w:tab w:val="num" w:pos="1800"/>
        </w:tabs>
        <w:ind w:left="1800" w:hanging="360"/>
      </w:pPr>
    </w:lvl>
  </w:abstractNum>
  <w:abstractNum w:abstractNumId="1">
    <w:nsid w:val="FFFFFF7D"/>
    <w:multiLevelType w:val="singleLevel"/>
    <w:tmpl w:val="44B89FE2"/>
    <w:lvl w:ilvl="0">
      <w:start w:val="1"/>
      <w:numFmt w:val="decimal"/>
      <w:lvlText w:val="%1."/>
      <w:lvlJc w:val="left"/>
      <w:pPr>
        <w:tabs>
          <w:tab w:val="num" w:pos="1440"/>
        </w:tabs>
        <w:ind w:left="1440" w:hanging="360"/>
      </w:pPr>
    </w:lvl>
  </w:abstractNum>
  <w:abstractNum w:abstractNumId="2">
    <w:nsid w:val="FFFFFF7E"/>
    <w:multiLevelType w:val="singleLevel"/>
    <w:tmpl w:val="B7907F00"/>
    <w:lvl w:ilvl="0">
      <w:start w:val="1"/>
      <w:numFmt w:val="decimal"/>
      <w:lvlText w:val="%1."/>
      <w:lvlJc w:val="left"/>
      <w:pPr>
        <w:tabs>
          <w:tab w:val="num" w:pos="1080"/>
        </w:tabs>
        <w:ind w:left="1080" w:hanging="360"/>
      </w:pPr>
    </w:lvl>
  </w:abstractNum>
  <w:abstractNum w:abstractNumId="3">
    <w:nsid w:val="FFFFFF7F"/>
    <w:multiLevelType w:val="singleLevel"/>
    <w:tmpl w:val="00E82EAA"/>
    <w:lvl w:ilvl="0">
      <w:start w:val="1"/>
      <w:numFmt w:val="decimal"/>
      <w:lvlText w:val="%1."/>
      <w:lvlJc w:val="left"/>
      <w:pPr>
        <w:tabs>
          <w:tab w:val="num" w:pos="720"/>
        </w:tabs>
        <w:ind w:left="720" w:hanging="360"/>
      </w:pPr>
    </w:lvl>
  </w:abstractNum>
  <w:abstractNum w:abstractNumId="4">
    <w:nsid w:val="FFFFFF80"/>
    <w:multiLevelType w:val="singleLevel"/>
    <w:tmpl w:val="C7BAE1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1222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6E10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AC69C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7DE186A"/>
    <w:lvl w:ilvl="0">
      <w:start w:val="1"/>
      <w:numFmt w:val="decimal"/>
      <w:lvlText w:val="%1."/>
      <w:lvlJc w:val="left"/>
      <w:pPr>
        <w:tabs>
          <w:tab w:val="num" w:pos="360"/>
        </w:tabs>
        <w:ind w:left="360" w:hanging="360"/>
      </w:pPr>
    </w:lvl>
  </w:abstractNum>
  <w:abstractNum w:abstractNumId="9">
    <w:nsid w:val="FFFFFF89"/>
    <w:multiLevelType w:val="singleLevel"/>
    <w:tmpl w:val="D2A21D18"/>
    <w:lvl w:ilvl="0">
      <w:start w:val="1"/>
      <w:numFmt w:val="bullet"/>
      <w:lvlText w:val=""/>
      <w:lvlJc w:val="left"/>
      <w:pPr>
        <w:tabs>
          <w:tab w:val="num" w:pos="360"/>
        </w:tabs>
        <w:ind w:left="360" w:hanging="360"/>
      </w:pPr>
      <w:rPr>
        <w:rFonts w:ascii="Symbol" w:hAnsi="Symbol" w:hint="default"/>
      </w:rPr>
    </w:lvl>
  </w:abstractNum>
  <w:abstractNum w:abstractNumId="10">
    <w:nsid w:val="0912294D"/>
    <w:multiLevelType w:val="hybridMultilevel"/>
    <w:tmpl w:val="32684212"/>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1">
    <w:nsid w:val="0C9B3C3B"/>
    <w:multiLevelType w:val="hybridMultilevel"/>
    <w:tmpl w:val="DBB07F0A"/>
    <w:lvl w:ilvl="0" w:tplc="B99E6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6327E8"/>
    <w:multiLevelType w:val="hybridMultilevel"/>
    <w:tmpl w:val="51A805C0"/>
    <w:lvl w:ilvl="0" w:tplc="86FCF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8F41F2"/>
    <w:multiLevelType w:val="hybridMultilevel"/>
    <w:tmpl w:val="0262B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40025"/>
    <w:multiLevelType w:val="hybridMultilevel"/>
    <w:tmpl w:val="60B4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AA03AB"/>
    <w:multiLevelType w:val="hybridMultilevel"/>
    <w:tmpl w:val="A56CD0B2"/>
    <w:lvl w:ilvl="0" w:tplc="27D69304">
      <w:numFmt w:val="bullet"/>
      <w:lvlText w:val="-"/>
      <w:lvlJc w:val="left"/>
      <w:pPr>
        <w:ind w:left="720" w:hanging="360"/>
      </w:pPr>
      <w:rPr>
        <w:rFonts w:ascii="Garamond Premr Pro" w:eastAsia="Calibri" w:hAnsi="Garamond Premr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13B38"/>
    <w:multiLevelType w:val="hybridMultilevel"/>
    <w:tmpl w:val="BE984BF6"/>
    <w:lvl w:ilvl="0" w:tplc="F13E9814">
      <w:start w:val="1"/>
      <w:numFmt w:val="bullet"/>
      <w:lvlText w:val="-"/>
      <w:lvlJc w:val="left"/>
      <w:pPr>
        <w:ind w:left="720" w:hanging="360"/>
      </w:pPr>
      <w:rPr>
        <w:rFonts w:ascii="Garamond Premr Pro" w:eastAsia="Calibri" w:hAnsi="Garamond Premr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1A41F9"/>
    <w:multiLevelType w:val="hybridMultilevel"/>
    <w:tmpl w:val="55F05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9563AFA"/>
    <w:multiLevelType w:val="multilevel"/>
    <w:tmpl w:val="A2E2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441D89"/>
    <w:multiLevelType w:val="hybridMultilevel"/>
    <w:tmpl w:val="88BAB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F65C08"/>
    <w:multiLevelType w:val="hybridMultilevel"/>
    <w:tmpl w:val="1B12EAC8"/>
    <w:lvl w:ilvl="0" w:tplc="35CC2314">
      <w:start w:val="1"/>
      <w:numFmt w:val="bullet"/>
      <w:lvlText w:val="-"/>
      <w:lvlJc w:val="left"/>
      <w:pPr>
        <w:ind w:left="720" w:hanging="360"/>
      </w:pPr>
      <w:rPr>
        <w:rFonts w:ascii="Garamond Premr Pro" w:eastAsia="Calibri" w:hAnsi="Garamond Premr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8"/>
  </w:num>
  <w:num w:numId="5">
    <w:abstractNumId w:val="10"/>
  </w:num>
  <w:num w:numId="6">
    <w:abstractNumId w:val="16"/>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20"/>
  </w:num>
  <w:num w:numId="20">
    <w:abstractNumId w:val="15"/>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05"/>
    <w:rsid w:val="00000228"/>
    <w:rsid w:val="000054C5"/>
    <w:rsid w:val="000078EB"/>
    <w:rsid w:val="0001269B"/>
    <w:rsid w:val="000133FC"/>
    <w:rsid w:val="000138DA"/>
    <w:rsid w:val="000167BC"/>
    <w:rsid w:val="00016AB5"/>
    <w:rsid w:val="00020E15"/>
    <w:rsid w:val="00021211"/>
    <w:rsid w:val="00022B87"/>
    <w:rsid w:val="00024014"/>
    <w:rsid w:val="0002514F"/>
    <w:rsid w:val="000255F1"/>
    <w:rsid w:val="000326B7"/>
    <w:rsid w:val="00036B00"/>
    <w:rsid w:val="00040177"/>
    <w:rsid w:val="000401D2"/>
    <w:rsid w:val="00040DEC"/>
    <w:rsid w:val="00044350"/>
    <w:rsid w:val="000453D2"/>
    <w:rsid w:val="0004680A"/>
    <w:rsid w:val="00047062"/>
    <w:rsid w:val="00050B06"/>
    <w:rsid w:val="0005227D"/>
    <w:rsid w:val="0005275E"/>
    <w:rsid w:val="000572AF"/>
    <w:rsid w:val="00061A18"/>
    <w:rsid w:val="00063813"/>
    <w:rsid w:val="00066522"/>
    <w:rsid w:val="00070427"/>
    <w:rsid w:val="00070719"/>
    <w:rsid w:val="00074F89"/>
    <w:rsid w:val="000752FB"/>
    <w:rsid w:val="00075AB3"/>
    <w:rsid w:val="00077627"/>
    <w:rsid w:val="00080952"/>
    <w:rsid w:val="00082306"/>
    <w:rsid w:val="00085E03"/>
    <w:rsid w:val="00092F76"/>
    <w:rsid w:val="00093CF3"/>
    <w:rsid w:val="00097966"/>
    <w:rsid w:val="000A3050"/>
    <w:rsid w:val="000A5838"/>
    <w:rsid w:val="000A6FAF"/>
    <w:rsid w:val="000A7C82"/>
    <w:rsid w:val="000B03C5"/>
    <w:rsid w:val="000B0BCD"/>
    <w:rsid w:val="000B0FDC"/>
    <w:rsid w:val="000B1826"/>
    <w:rsid w:val="000B36C3"/>
    <w:rsid w:val="000B42AA"/>
    <w:rsid w:val="000C079B"/>
    <w:rsid w:val="000C0D21"/>
    <w:rsid w:val="000C272A"/>
    <w:rsid w:val="000C4C04"/>
    <w:rsid w:val="000C4FF3"/>
    <w:rsid w:val="000C5909"/>
    <w:rsid w:val="000C7666"/>
    <w:rsid w:val="000F3303"/>
    <w:rsid w:val="000F3B7D"/>
    <w:rsid w:val="00103197"/>
    <w:rsid w:val="0010323C"/>
    <w:rsid w:val="0010485F"/>
    <w:rsid w:val="00107990"/>
    <w:rsid w:val="00107AC1"/>
    <w:rsid w:val="00107D5D"/>
    <w:rsid w:val="00110E1C"/>
    <w:rsid w:val="00111136"/>
    <w:rsid w:val="0011146E"/>
    <w:rsid w:val="001123CF"/>
    <w:rsid w:val="001129FE"/>
    <w:rsid w:val="00112A25"/>
    <w:rsid w:val="00112E57"/>
    <w:rsid w:val="00113407"/>
    <w:rsid w:val="001156E4"/>
    <w:rsid w:val="00117810"/>
    <w:rsid w:val="00120BB4"/>
    <w:rsid w:val="00121247"/>
    <w:rsid w:val="00121E0C"/>
    <w:rsid w:val="001245B7"/>
    <w:rsid w:val="00125056"/>
    <w:rsid w:val="00125358"/>
    <w:rsid w:val="00127343"/>
    <w:rsid w:val="0012742E"/>
    <w:rsid w:val="00142BFF"/>
    <w:rsid w:val="0014348E"/>
    <w:rsid w:val="00151D38"/>
    <w:rsid w:val="001642B0"/>
    <w:rsid w:val="001650DA"/>
    <w:rsid w:val="00171C10"/>
    <w:rsid w:val="0017327E"/>
    <w:rsid w:val="00175F6B"/>
    <w:rsid w:val="00180640"/>
    <w:rsid w:val="00180A81"/>
    <w:rsid w:val="00182AC4"/>
    <w:rsid w:val="001853D4"/>
    <w:rsid w:val="0018634E"/>
    <w:rsid w:val="00190099"/>
    <w:rsid w:val="001A319B"/>
    <w:rsid w:val="001A4380"/>
    <w:rsid w:val="001A69ED"/>
    <w:rsid w:val="001A710B"/>
    <w:rsid w:val="001B0E20"/>
    <w:rsid w:val="001B129A"/>
    <w:rsid w:val="001B1E34"/>
    <w:rsid w:val="001B2F0C"/>
    <w:rsid w:val="001C4241"/>
    <w:rsid w:val="001C4626"/>
    <w:rsid w:val="001C78E5"/>
    <w:rsid w:val="001D11BE"/>
    <w:rsid w:val="001D17FD"/>
    <w:rsid w:val="001D2089"/>
    <w:rsid w:val="001D5072"/>
    <w:rsid w:val="001D522C"/>
    <w:rsid w:val="001D5C65"/>
    <w:rsid w:val="001E1065"/>
    <w:rsid w:val="001E440C"/>
    <w:rsid w:val="001E48B6"/>
    <w:rsid w:val="001E6F72"/>
    <w:rsid w:val="001F4386"/>
    <w:rsid w:val="002012F7"/>
    <w:rsid w:val="002043E5"/>
    <w:rsid w:val="002053D6"/>
    <w:rsid w:val="00206934"/>
    <w:rsid w:val="00214E52"/>
    <w:rsid w:val="002168AE"/>
    <w:rsid w:val="00216FD6"/>
    <w:rsid w:val="00217408"/>
    <w:rsid w:val="00222848"/>
    <w:rsid w:val="0022431D"/>
    <w:rsid w:val="00224D61"/>
    <w:rsid w:val="00225628"/>
    <w:rsid w:val="0023086B"/>
    <w:rsid w:val="002327AC"/>
    <w:rsid w:val="00232CC8"/>
    <w:rsid w:val="00235914"/>
    <w:rsid w:val="002412D9"/>
    <w:rsid w:val="002510FE"/>
    <w:rsid w:val="00253012"/>
    <w:rsid w:val="00253FCD"/>
    <w:rsid w:val="00256591"/>
    <w:rsid w:val="00260A53"/>
    <w:rsid w:val="00260FB2"/>
    <w:rsid w:val="00261610"/>
    <w:rsid w:val="00261736"/>
    <w:rsid w:val="00265360"/>
    <w:rsid w:val="00267B30"/>
    <w:rsid w:val="00272692"/>
    <w:rsid w:val="00275E2C"/>
    <w:rsid w:val="00276032"/>
    <w:rsid w:val="002770DB"/>
    <w:rsid w:val="002878E6"/>
    <w:rsid w:val="00290AA2"/>
    <w:rsid w:val="00292122"/>
    <w:rsid w:val="00294773"/>
    <w:rsid w:val="002A05F7"/>
    <w:rsid w:val="002A0E05"/>
    <w:rsid w:val="002A1117"/>
    <w:rsid w:val="002A2972"/>
    <w:rsid w:val="002A7A9C"/>
    <w:rsid w:val="002A7DF2"/>
    <w:rsid w:val="002B0A53"/>
    <w:rsid w:val="002B31B5"/>
    <w:rsid w:val="002C23D3"/>
    <w:rsid w:val="002C28DA"/>
    <w:rsid w:val="002C6661"/>
    <w:rsid w:val="002C7748"/>
    <w:rsid w:val="002C78CA"/>
    <w:rsid w:val="002D032C"/>
    <w:rsid w:val="002D3853"/>
    <w:rsid w:val="002D44D1"/>
    <w:rsid w:val="002D51F0"/>
    <w:rsid w:val="002D5D55"/>
    <w:rsid w:val="002D7665"/>
    <w:rsid w:val="002E02A6"/>
    <w:rsid w:val="002E11D2"/>
    <w:rsid w:val="002E19B4"/>
    <w:rsid w:val="002E3634"/>
    <w:rsid w:val="002E3D23"/>
    <w:rsid w:val="002E46E4"/>
    <w:rsid w:val="002E4FD8"/>
    <w:rsid w:val="002F0BA9"/>
    <w:rsid w:val="002F5657"/>
    <w:rsid w:val="002F59D7"/>
    <w:rsid w:val="002F6BDB"/>
    <w:rsid w:val="00302CA4"/>
    <w:rsid w:val="00304789"/>
    <w:rsid w:val="003050A4"/>
    <w:rsid w:val="003104E1"/>
    <w:rsid w:val="0031443D"/>
    <w:rsid w:val="0031472B"/>
    <w:rsid w:val="003166D2"/>
    <w:rsid w:val="00321928"/>
    <w:rsid w:val="00324335"/>
    <w:rsid w:val="00327B75"/>
    <w:rsid w:val="00333818"/>
    <w:rsid w:val="00337923"/>
    <w:rsid w:val="003409DC"/>
    <w:rsid w:val="003414C6"/>
    <w:rsid w:val="00341DF2"/>
    <w:rsid w:val="00345504"/>
    <w:rsid w:val="00345688"/>
    <w:rsid w:val="0034583C"/>
    <w:rsid w:val="003518F9"/>
    <w:rsid w:val="0035209D"/>
    <w:rsid w:val="00354D11"/>
    <w:rsid w:val="003574CA"/>
    <w:rsid w:val="00361945"/>
    <w:rsid w:val="0036214C"/>
    <w:rsid w:val="00363490"/>
    <w:rsid w:val="003652DD"/>
    <w:rsid w:val="00366EBF"/>
    <w:rsid w:val="0037248A"/>
    <w:rsid w:val="00380AA7"/>
    <w:rsid w:val="0038208F"/>
    <w:rsid w:val="003834A7"/>
    <w:rsid w:val="00383897"/>
    <w:rsid w:val="00386076"/>
    <w:rsid w:val="0038788D"/>
    <w:rsid w:val="00390C61"/>
    <w:rsid w:val="00392551"/>
    <w:rsid w:val="003938BE"/>
    <w:rsid w:val="00394571"/>
    <w:rsid w:val="00395759"/>
    <w:rsid w:val="003A396C"/>
    <w:rsid w:val="003A76C2"/>
    <w:rsid w:val="003B2535"/>
    <w:rsid w:val="003B3D9F"/>
    <w:rsid w:val="003B4EFE"/>
    <w:rsid w:val="003C02BE"/>
    <w:rsid w:val="003C131F"/>
    <w:rsid w:val="003C1847"/>
    <w:rsid w:val="003C4DF6"/>
    <w:rsid w:val="003D00B8"/>
    <w:rsid w:val="003D156E"/>
    <w:rsid w:val="003D318A"/>
    <w:rsid w:val="003D32E8"/>
    <w:rsid w:val="003D366B"/>
    <w:rsid w:val="003D3FDD"/>
    <w:rsid w:val="003D48F5"/>
    <w:rsid w:val="003D642E"/>
    <w:rsid w:val="003D7726"/>
    <w:rsid w:val="003E288A"/>
    <w:rsid w:val="003F018D"/>
    <w:rsid w:val="003F7C30"/>
    <w:rsid w:val="00402CB3"/>
    <w:rsid w:val="004048BD"/>
    <w:rsid w:val="00404C8C"/>
    <w:rsid w:val="00415A82"/>
    <w:rsid w:val="004161F5"/>
    <w:rsid w:val="004239DA"/>
    <w:rsid w:val="004257BC"/>
    <w:rsid w:val="0042774B"/>
    <w:rsid w:val="004322CB"/>
    <w:rsid w:val="00432C4C"/>
    <w:rsid w:val="00433B90"/>
    <w:rsid w:val="00440C5A"/>
    <w:rsid w:val="004412B0"/>
    <w:rsid w:val="004426F7"/>
    <w:rsid w:val="00451E3C"/>
    <w:rsid w:val="004534A2"/>
    <w:rsid w:val="00454148"/>
    <w:rsid w:val="00454644"/>
    <w:rsid w:val="0045593C"/>
    <w:rsid w:val="004560A7"/>
    <w:rsid w:val="004622EF"/>
    <w:rsid w:val="0046372D"/>
    <w:rsid w:val="00463C65"/>
    <w:rsid w:val="00463FF9"/>
    <w:rsid w:val="00476FC5"/>
    <w:rsid w:val="004775E0"/>
    <w:rsid w:val="00481F20"/>
    <w:rsid w:val="00484160"/>
    <w:rsid w:val="00485FB3"/>
    <w:rsid w:val="00491031"/>
    <w:rsid w:val="00491E38"/>
    <w:rsid w:val="00496A18"/>
    <w:rsid w:val="00497121"/>
    <w:rsid w:val="004A27E0"/>
    <w:rsid w:val="004A3DEC"/>
    <w:rsid w:val="004A4AC3"/>
    <w:rsid w:val="004A5E49"/>
    <w:rsid w:val="004A6423"/>
    <w:rsid w:val="004A683B"/>
    <w:rsid w:val="004B07EE"/>
    <w:rsid w:val="004B2D6C"/>
    <w:rsid w:val="004C3205"/>
    <w:rsid w:val="004C42B0"/>
    <w:rsid w:val="004C498D"/>
    <w:rsid w:val="004D0FAB"/>
    <w:rsid w:val="004D2E51"/>
    <w:rsid w:val="004D43BD"/>
    <w:rsid w:val="004D49FB"/>
    <w:rsid w:val="004D510A"/>
    <w:rsid w:val="004D7A58"/>
    <w:rsid w:val="004E05C0"/>
    <w:rsid w:val="004E291D"/>
    <w:rsid w:val="004E2CA8"/>
    <w:rsid w:val="004E2CBE"/>
    <w:rsid w:val="004E32B2"/>
    <w:rsid w:val="004E463B"/>
    <w:rsid w:val="004E5B74"/>
    <w:rsid w:val="004F24E7"/>
    <w:rsid w:val="00500F15"/>
    <w:rsid w:val="005018E3"/>
    <w:rsid w:val="00503E4F"/>
    <w:rsid w:val="005040EA"/>
    <w:rsid w:val="005052D2"/>
    <w:rsid w:val="00512743"/>
    <w:rsid w:val="005161FA"/>
    <w:rsid w:val="00516915"/>
    <w:rsid w:val="0052072A"/>
    <w:rsid w:val="005210F6"/>
    <w:rsid w:val="00522339"/>
    <w:rsid w:val="00523118"/>
    <w:rsid w:val="00524383"/>
    <w:rsid w:val="005246B6"/>
    <w:rsid w:val="0052540A"/>
    <w:rsid w:val="005255F3"/>
    <w:rsid w:val="00527B11"/>
    <w:rsid w:val="00527D8C"/>
    <w:rsid w:val="00531ACB"/>
    <w:rsid w:val="00545F15"/>
    <w:rsid w:val="00551B10"/>
    <w:rsid w:val="00555B9D"/>
    <w:rsid w:val="005613D9"/>
    <w:rsid w:val="00562124"/>
    <w:rsid w:val="005629CE"/>
    <w:rsid w:val="005629DB"/>
    <w:rsid w:val="00562E4D"/>
    <w:rsid w:val="00563852"/>
    <w:rsid w:val="005645D5"/>
    <w:rsid w:val="005725C4"/>
    <w:rsid w:val="005726F7"/>
    <w:rsid w:val="005748EE"/>
    <w:rsid w:val="005749E4"/>
    <w:rsid w:val="0058190D"/>
    <w:rsid w:val="0059520B"/>
    <w:rsid w:val="0059612C"/>
    <w:rsid w:val="005973DA"/>
    <w:rsid w:val="005A1C79"/>
    <w:rsid w:val="005A30B2"/>
    <w:rsid w:val="005A4609"/>
    <w:rsid w:val="005B170E"/>
    <w:rsid w:val="005B1866"/>
    <w:rsid w:val="005B757E"/>
    <w:rsid w:val="005B7829"/>
    <w:rsid w:val="005B7BA5"/>
    <w:rsid w:val="005C3179"/>
    <w:rsid w:val="005C3305"/>
    <w:rsid w:val="005D5849"/>
    <w:rsid w:val="005E038A"/>
    <w:rsid w:val="005E03FD"/>
    <w:rsid w:val="005F048E"/>
    <w:rsid w:val="005F070D"/>
    <w:rsid w:val="005F0F7D"/>
    <w:rsid w:val="006012C5"/>
    <w:rsid w:val="00601BE0"/>
    <w:rsid w:val="00602794"/>
    <w:rsid w:val="006035B1"/>
    <w:rsid w:val="006039BD"/>
    <w:rsid w:val="00603FFB"/>
    <w:rsid w:val="006040AE"/>
    <w:rsid w:val="00604F72"/>
    <w:rsid w:val="006074B8"/>
    <w:rsid w:val="006155DA"/>
    <w:rsid w:val="00615A5F"/>
    <w:rsid w:val="006263C2"/>
    <w:rsid w:val="0063292A"/>
    <w:rsid w:val="00634B91"/>
    <w:rsid w:val="00635EB6"/>
    <w:rsid w:val="00640A66"/>
    <w:rsid w:val="00647772"/>
    <w:rsid w:val="00647832"/>
    <w:rsid w:val="006501F4"/>
    <w:rsid w:val="00650AD2"/>
    <w:rsid w:val="00651ECF"/>
    <w:rsid w:val="00660481"/>
    <w:rsid w:val="00661AF6"/>
    <w:rsid w:val="006646C9"/>
    <w:rsid w:val="006657BC"/>
    <w:rsid w:val="00666423"/>
    <w:rsid w:val="00671C5A"/>
    <w:rsid w:val="0068313B"/>
    <w:rsid w:val="00683844"/>
    <w:rsid w:val="00686259"/>
    <w:rsid w:val="006921D7"/>
    <w:rsid w:val="006946CD"/>
    <w:rsid w:val="00697C5A"/>
    <w:rsid w:val="006A03A3"/>
    <w:rsid w:val="006A46AC"/>
    <w:rsid w:val="006A507D"/>
    <w:rsid w:val="006A5D2B"/>
    <w:rsid w:val="006B180F"/>
    <w:rsid w:val="006B29F0"/>
    <w:rsid w:val="006B3CBF"/>
    <w:rsid w:val="006B3E3D"/>
    <w:rsid w:val="006B4E85"/>
    <w:rsid w:val="006C0223"/>
    <w:rsid w:val="006C08A8"/>
    <w:rsid w:val="006C14D7"/>
    <w:rsid w:val="006C2BD1"/>
    <w:rsid w:val="006C31B2"/>
    <w:rsid w:val="006C70EE"/>
    <w:rsid w:val="006C7F4B"/>
    <w:rsid w:val="006D0945"/>
    <w:rsid w:val="006D2844"/>
    <w:rsid w:val="006D2D18"/>
    <w:rsid w:val="006D55BC"/>
    <w:rsid w:val="006D74E7"/>
    <w:rsid w:val="006E2A14"/>
    <w:rsid w:val="006E32C6"/>
    <w:rsid w:val="006E6436"/>
    <w:rsid w:val="006E71C3"/>
    <w:rsid w:val="006F19BA"/>
    <w:rsid w:val="006F3F39"/>
    <w:rsid w:val="006F4C7D"/>
    <w:rsid w:val="007020CA"/>
    <w:rsid w:val="00702D9C"/>
    <w:rsid w:val="007040BA"/>
    <w:rsid w:val="00706619"/>
    <w:rsid w:val="00706B1B"/>
    <w:rsid w:val="00707407"/>
    <w:rsid w:val="007124CC"/>
    <w:rsid w:val="00712B5F"/>
    <w:rsid w:val="00715492"/>
    <w:rsid w:val="0071549D"/>
    <w:rsid w:val="007172AD"/>
    <w:rsid w:val="00717B26"/>
    <w:rsid w:val="00717C1D"/>
    <w:rsid w:val="0072020F"/>
    <w:rsid w:val="00721064"/>
    <w:rsid w:val="0072165B"/>
    <w:rsid w:val="00723829"/>
    <w:rsid w:val="00733472"/>
    <w:rsid w:val="00733D61"/>
    <w:rsid w:val="00734427"/>
    <w:rsid w:val="00735CD7"/>
    <w:rsid w:val="0073736D"/>
    <w:rsid w:val="0074469F"/>
    <w:rsid w:val="0075083D"/>
    <w:rsid w:val="00752F90"/>
    <w:rsid w:val="0075387B"/>
    <w:rsid w:val="00755361"/>
    <w:rsid w:val="00755904"/>
    <w:rsid w:val="00760C7F"/>
    <w:rsid w:val="00761712"/>
    <w:rsid w:val="00763031"/>
    <w:rsid w:val="00763E97"/>
    <w:rsid w:val="00764445"/>
    <w:rsid w:val="00764801"/>
    <w:rsid w:val="0076560A"/>
    <w:rsid w:val="00765C2A"/>
    <w:rsid w:val="00770A98"/>
    <w:rsid w:val="00774B00"/>
    <w:rsid w:val="00775D26"/>
    <w:rsid w:val="007841B0"/>
    <w:rsid w:val="00785AC4"/>
    <w:rsid w:val="0078625F"/>
    <w:rsid w:val="007867A2"/>
    <w:rsid w:val="0079040E"/>
    <w:rsid w:val="00792FB4"/>
    <w:rsid w:val="007967E9"/>
    <w:rsid w:val="007A342D"/>
    <w:rsid w:val="007A3B7A"/>
    <w:rsid w:val="007A5DAF"/>
    <w:rsid w:val="007A5FDB"/>
    <w:rsid w:val="007A6780"/>
    <w:rsid w:val="007A6889"/>
    <w:rsid w:val="007B7875"/>
    <w:rsid w:val="007B7DAC"/>
    <w:rsid w:val="007C2B6D"/>
    <w:rsid w:val="007D29F7"/>
    <w:rsid w:val="007D2F49"/>
    <w:rsid w:val="007D4841"/>
    <w:rsid w:val="007D4981"/>
    <w:rsid w:val="007E1A7B"/>
    <w:rsid w:val="007E25FB"/>
    <w:rsid w:val="007E65F0"/>
    <w:rsid w:val="007E71CD"/>
    <w:rsid w:val="007E76BC"/>
    <w:rsid w:val="007F04FE"/>
    <w:rsid w:val="007F207C"/>
    <w:rsid w:val="007F3AAA"/>
    <w:rsid w:val="007F3C93"/>
    <w:rsid w:val="00800E68"/>
    <w:rsid w:val="0080259E"/>
    <w:rsid w:val="00813A95"/>
    <w:rsid w:val="008168BE"/>
    <w:rsid w:val="00817A14"/>
    <w:rsid w:val="00817C7E"/>
    <w:rsid w:val="00821298"/>
    <w:rsid w:val="0082382C"/>
    <w:rsid w:val="0082626C"/>
    <w:rsid w:val="00826829"/>
    <w:rsid w:val="00835597"/>
    <w:rsid w:val="0083630D"/>
    <w:rsid w:val="008402A6"/>
    <w:rsid w:val="0084233C"/>
    <w:rsid w:val="00844CA0"/>
    <w:rsid w:val="00847E3D"/>
    <w:rsid w:val="00853D22"/>
    <w:rsid w:val="00855DF9"/>
    <w:rsid w:val="008608E9"/>
    <w:rsid w:val="008635D8"/>
    <w:rsid w:val="0086390E"/>
    <w:rsid w:val="008666BC"/>
    <w:rsid w:val="00870B45"/>
    <w:rsid w:val="00872D00"/>
    <w:rsid w:val="008741A3"/>
    <w:rsid w:val="00875AF9"/>
    <w:rsid w:val="0087696E"/>
    <w:rsid w:val="00880319"/>
    <w:rsid w:val="0088042D"/>
    <w:rsid w:val="008846B6"/>
    <w:rsid w:val="0088695C"/>
    <w:rsid w:val="0088699E"/>
    <w:rsid w:val="008873CC"/>
    <w:rsid w:val="0089310D"/>
    <w:rsid w:val="008937E1"/>
    <w:rsid w:val="008A000F"/>
    <w:rsid w:val="008A10D5"/>
    <w:rsid w:val="008A1A6D"/>
    <w:rsid w:val="008A4AA6"/>
    <w:rsid w:val="008A51EB"/>
    <w:rsid w:val="008A765D"/>
    <w:rsid w:val="008B0B53"/>
    <w:rsid w:val="008B19D8"/>
    <w:rsid w:val="008B2913"/>
    <w:rsid w:val="008B70D9"/>
    <w:rsid w:val="008C1213"/>
    <w:rsid w:val="008C1BEE"/>
    <w:rsid w:val="008C2686"/>
    <w:rsid w:val="008C7E58"/>
    <w:rsid w:val="008D04E5"/>
    <w:rsid w:val="008D11AC"/>
    <w:rsid w:val="008D1261"/>
    <w:rsid w:val="008D4FF2"/>
    <w:rsid w:val="008E0980"/>
    <w:rsid w:val="008E54EE"/>
    <w:rsid w:val="008F52D5"/>
    <w:rsid w:val="008F5B30"/>
    <w:rsid w:val="008F5D29"/>
    <w:rsid w:val="008F7996"/>
    <w:rsid w:val="00907D56"/>
    <w:rsid w:val="00915CBB"/>
    <w:rsid w:val="0091660D"/>
    <w:rsid w:val="009259D3"/>
    <w:rsid w:val="00925B59"/>
    <w:rsid w:val="0093262D"/>
    <w:rsid w:val="009328C1"/>
    <w:rsid w:val="00932F8C"/>
    <w:rsid w:val="00934005"/>
    <w:rsid w:val="00934889"/>
    <w:rsid w:val="0093616C"/>
    <w:rsid w:val="009362DF"/>
    <w:rsid w:val="0093676C"/>
    <w:rsid w:val="00937D30"/>
    <w:rsid w:val="0094368B"/>
    <w:rsid w:val="00944919"/>
    <w:rsid w:val="0094590C"/>
    <w:rsid w:val="00947D1E"/>
    <w:rsid w:val="009544A3"/>
    <w:rsid w:val="00966378"/>
    <w:rsid w:val="009663F3"/>
    <w:rsid w:val="009733E0"/>
    <w:rsid w:val="00977B5F"/>
    <w:rsid w:val="009814A3"/>
    <w:rsid w:val="00984650"/>
    <w:rsid w:val="009953CD"/>
    <w:rsid w:val="00996E36"/>
    <w:rsid w:val="009A0251"/>
    <w:rsid w:val="009A25A7"/>
    <w:rsid w:val="009A2E9A"/>
    <w:rsid w:val="009A3F56"/>
    <w:rsid w:val="009A49BA"/>
    <w:rsid w:val="009B79CD"/>
    <w:rsid w:val="009C1523"/>
    <w:rsid w:val="009C5C4E"/>
    <w:rsid w:val="009C7377"/>
    <w:rsid w:val="009C73A7"/>
    <w:rsid w:val="009D0043"/>
    <w:rsid w:val="009D1BA2"/>
    <w:rsid w:val="009D2441"/>
    <w:rsid w:val="009D2FFD"/>
    <w:rsid w:val="009D6A4B"/>
    <w:rsid w:val="009D77DA"/>
    <w:rsid w:val="009E5068"/>
    <w:rsid w:val="009E5735"/>
    <w:rsid w:val="009E63AE"/>
    <w:rsid w:val="009F02BE"/>
    <w:rsid w:val="009F3AC0"/>
    <w:rsid w:val="009F479F"/>
    <w:rsid w:val="009F516D"/>
    <w:rsid w:val="009F6525"/>
    <w:rsid w:val="009F7A3C"/>
    <w:rsid w:val="00A02A1D"/>
    <w:rsid w:val="00A02AC5"/>
    <w:rsid w:val="00A039AD"/>
    <w:rsid w:val="00A05060"/>
    <w:rsid w:val="00A104BB"/>
    <w:rsid w:val="00A1086A"/>
    <w:rsid w:val="00A10AAC"/>
    <w:rsid w:val="00A10AF3"/>
    <w:rsid w:val="00A140B7"/>
    <w:rsid w:val="00A16F36"/>
    <w:rsid w:val="00A23F99"/>
    <w:rsid w:val="00A25D2F"/>
    <w:rsid w:val="00A3081A"/>
    <w:rsid w:val="00A309C4"/>
    <w:rsid w:val="00A31825"/>
    <w:rsid w:val="00A3244C"/>
    <w:rsid w:val="00A32C33"/>
    <w:rsid w:val="00A330E3"/>
    <w:rsid w:val="00A33D8C"/>
    <w:rsid w:val="00A345FD"/>
    <w:rsid w:val="00A379CF"/>
    <w:rsid w:val="00A40E9D"/>
    <w:rsid w:val="00A53501"/>
    <w:rsid w:val="00A7318C"/>
    <w:rsid w:val="00A7373A"/>
    <w:rsid w:val="00A76BBA"/>
    <w:rsid w:val="00A80BE0"/>
    <w:rsid w:val="00A91E1B"/>
    <w:rsid w:val="00A950C0"/>
    <w:rsid w:val="00A955EB"/>
    <w:rsid w:val="00AA0B54"/>
    <w:rsid w:val="00AA6558"/>
    <w:rsid w:val="00AB1C51"/>
    <w:rsid w:val="00AB1CFD"/>
    <w:rsid w:val="00AB2BC0"/>
    <w:rsid w:val="00AB34F0"/>
    <w:rsid w:val="00AB7ED8"/>
    <w:rsid w:val="00AC0507"/>
    <w:rsid w:val="00AC5088"/>
    <w:rsid w:val="00AC5C21"/>
    <w:rsid w:val="00AC5F1D"/>
    <w:rsid w:val="00AC74B7"/>
    <w:rsid w:val="00AD252D"/>
    <w:rsid w:val="00AD3167"/>
    <w:rsid w:val="00AD45A3"/>
    <w:rsid w:val="00AD724A"/>
    <w:rsid w:val="00AD77FE"/>
    <w:rsid w:val="00AE15A0"/>
    <w:rsid w:val="00AF240C"/>
    <w:rsid w:val="00AF580C"/>
    <w:rsid w:val="00B014D9"/>
    <w:rsid w:val="00B01E55"/>
    <w:rsid w:val="00B03092"/>
    <w:rsid w:val="00B03475"/>
    <w:rsid w:val="00B07B8A"/>
    <w:rsid w:val="00B102B9"/>
    <w:rsid w:val="00B25045"/>
    <w:rsid w:val="00B2761C"/>
    <w:rsid w:val="00B32F13"/>
    <w:rsid w:val="00B33C2E"/>
    <w:rsid w:val="00B3577E"/>
    <w:rsid w:val="00B364D5"/>
    <w:rsid w:val="00B404B6"/>
    <w:rsid w:val="00B42556"/>
    <w:rsid w:val="00B43D52"/>
    <w:rsid w:val="00B44E36"/>
    <w:rsid w:val="00B611EE"/>
    <w:rsid w:val="00B644F9"/>
    <w:rsid w:val="00B6764F"/>
    <w:rsid w:val="00B83CD0"/>
    <w:rsid w:val="00B8634A"/>
    <w:rsid w:val="00B90B6D"/>
    <w:rsid w:val="00B93501"/>
    <w:rsid w:val="00B9639C"/>
    <w:rsid w:val="00BA0536"/>
    <w:rsid w:val="00BA3F9E"/>
    <w:rsid w:val="00BA7210"/>
    <w:rsid w:val="00BB243D"/>
    <w:rsid w:val="00BB4DE3"/>
    <w:rsid w:val="00BB74BD"/>
    <w:rsid w:val="00BC2E42"/>
    <w:rsid w:val="00BC4167"/>
    <w:rsid w:val="00BC5855"/>
    <w:rsid w:val="00BC78FD"/>
    <w:rsid w:val="00BD2356"/>
    <w:rsid w:val="00BD3D3F"/>
    <w:rsid w:val="00BE121E"/>
    <w:rsid w:val="00BE3C0D"/>
    <w:rsid w:val="00BE404B"/>
    <w:rsid w:val="00BE586F"/>
    <w:rsid w:val="00BE724C"/>
    <w:rsid w:val="00BE7A5E"/>
    <w:rsid w:val="00BF2AFB"/>
    <w:rsid w:val="00BF766F"/>
    <w:rsid w:val="00C00908"/>
    <w:rsid w:val="00C06086"/>
    <w:rsid w:val="00C10C7E"/>
    <w:rsid w:val="00C12138"/>
    <w:rsid w:val="00C129B9"/>
    <w:rsid w:val="00C13002"/>
    <w:rsid w:val="00C1617D"/>
    <w:rsid w:val="00C17656"/>
    <w:rsid w:val="00C1799C"/>
    <w:rsid w:val="00C21398"/>
    <w:rsid w:val="00C23005"/>
    <w:rsid w:val="00C27400"/>
    <w:rsid w:val="00C304C0"/>
    <w:rsid w:val="00C3356E"/>
    <w:rsid w:val="00C340F4"/>
    <w:rsid w:val="00C34A3F"/>
    <w:rsid w:val="00C36A81"/>
    <w:rsid w:val="00C37A63"/>
    <w:rsid w:val="00C424F7"/>
    <w:rsid w:val="00C42815"/>
    <w:rsid w:val="00C51893"/>
    <w:rsid w:val="00C524C6"/>
    <w:rsid w:val="00C5763E"/>
    <w:rsid w:val="00C57849"/>
    <w:rsid w:val="00C62233"/>
    <w:rsid w:val="00C629DD"/>
    <w:rsid w:val="00C701E0"/>
    <w:rsid w:val="00C70927"/>
    <w:rsid w:val="00C720AB"/>
    <w:rsid w:val="00C721F4"/>
    <w:rsid w:val="00C72C3A"/>
    <w:rsid w:val="00C7564A"/>
    <w:rsid w:val="00C80561"/>
    <w:rsid w:val="00C82652"/>
    <w:rsid w:val="00C8322B"/>
    <w:rsid w:val="00C8446A"/>
    <w:rsid w:val="00C904D7"/>
    <w:rsid w:val="00CA1B73"/>
    <w:rsid w:val="00CB200A"/>
    <w:rsid w:val="00CB3050"/>
    <w:rsid w:val="00CB3A77"/>
    <w:rsid w:val="00CB3AEB"/>
    <w:rsid w:val="00CB4C05"/>
    <w:rsid w:val="00CB56DC"/>
    <w:rsid w:val="00CB57EE"/>
    <w:rsid w:val="00CB6A8F"/>
    <w:rsid w:val="00CB6F69"/>
    <w:rsid w:val="00CC0E99"/>
    <w:rsid w:val="00CC12BD"/>
    <w:rsid w:val="00CC2DFC"/>
    <w:rsid w:val="00CC5477"/>
    <w:rsid w:val="00CC7091"/>
    <w:rsid w:val="00CD1686"/>
    <w:rsid w:val="00CD2315"/>
    <w:rsid w:val="00CD292E"/>
    <w:rsid w:val="00CE1300"/>
    <w:rsid w:val="00CE1AFC"/>
    <w:rsid w:val="00CE3DB8"/>
    <w:rsid w:val="00CE64CD"/>
    <w:rsid w:val="00CF0E55"/>
    <w:rsid w:val="00CF6422"/>
    <w:rsid w:val="00D008B2"/>
    <w:rsid w:val="00D013D6"/>
    <w:rsid w:val="00D01560"/>
    <w:rsid w:val="00D06FBE"/>
    <w:rsid w:val="00D13392"/>
    <w:rsid w:val="00D1686A"/>
    <w:rsid w:val="00D16A74"/>
    <w:rsid w:val="00D21F18"/>
    <w:rsid w:val="00D224CC"/>
    <w:rsid w:val="00D24B09"/>
    <w:rsid w:val="00D26F87"/>
    <w:rsid w:val="00D3410B"/>
    <w:rsid w:val="00D350C4"/>
    <w:rsid w:val="00D361F8"/>
    <w:rsid w:val="00D36BB9"/>
    <w:rsid w:val="00D46476"/>
    <w:rsid w:val="00D465F3"/>
    <w:rsid w:val="00D47CBB"/>
    <w:rsid w:val="00D525AB"/>
    <w:rsid w:val="00D52914"/>
    <w:rsid w:val="00D54C44"/>
    <w:rsid w:val="00D576AF"/>
    <w:rsid w:val="00D70A70"/>
    <w:rsid w:val="00D70E29"/>
    <w:rsid w:val="00D71E03"/>
    <w:rsid w:val="00D7328E"/>
    <w:rsid w:val="00D743A2"/>
    <w:rsid w:val="00D758F2"/>
    <w:rsid w:val="00D77ADB"/>
    <w:rsid w:val="00D86FBC"/>
    <w:rsid w:val="00D93B9B"/>
    <w:rsid w:val="00DA1DAB"/>
    <w:rsid w:val="00DA4B32"/>
    <w:rsid w:val="00DA6272"/>
    <w:rsid w:val="00DB2149"/>
    <w:rsid w:val="00DB384D"/>
    <w:rsid w:val="00DB3F81"/>
    <w:rsid w:val="00DB7008"/>
    <w:rsid w:val="00DB77B5"/>
    <w:rsid w:val="00DD5EAA"/>
    <w:rsid w:val="00DD606F"/>
    <w:rsid w:val="00DE2FCA"/>
    <w:rsid w:val="00DE395B"/>
    <w:rsid w:val="00DE395D"/>
    <w:rsid w:val="00DE439C"/>
    <w:rsid w:val="00DE499C"/>
    <w:rsid w:val="00DE5FC9"/>
    <w:rsid w:val="00DE7B03"/>
    <w:rsid w:val="00DF3F6C"/>
    <w:rsid w:val="00DF44F7"/>
    <w:rsid w:val="00E00335"/>
    <w:rsid w:val="00E0478E"/>
    <w:rsid w:val="00E06837"/>
    <w:rsid w:val="00E111A6"/>
    <w:rsid w:val="00E16C81"/>
    <w:rsid w:val="00E21272"/>
    <w:rsid w:val="00E22F3E"/>
    <w:rsid w:val="00E24BD9"/>
    <w:rsid w:val="00E271B0"/>
    <w:rsid w:val="00E31675"/>
    <w:rsid w:val="00E33593"/>
    <w:rsid w:val="00E36C65"/>
    <w:rsid w:val="00E37C53"/>
    <w:rsid w:val="00E44BAA"/>
    <w:rsid w:val="00E4514C"/>
    <w:rsid w:val="00E451D3"/>
    <w:rsid w:val="00E50212"/>
    <w:rsid w:val="00E53A76"/>
    <w:rsid w:val="00E57FB5"/>
    <w:rsid w:val="00E62A38"/>
    <w:rsid w:val="00E63F23"/>
    <w:rsid w:val="00E6702B"/>
    <w:rsid w:val="00E74E55"/>
    <w:rsid w:val="00E75581"/>
    <w:rsid w:val="00E7583D"/>
    <w:rsid w:val="00E77834"/>
    <w:rsid w:val="00E81470"/>
    <w:rsid w:val="00E87832"/>
    <w:rsid w:val="00E902AC"/>
    <w:rsid w:val="00E91767"/>
    <w:rsid w:val="00E91E74"/>
    <w:rsid w:val="00E93E3E"/>
    <w:rsid w:val="00E93EC8"/>
    <w:rsid w:val="00E95D22"/>
    <w:rsid w:val="00E95E35"/>
    <w:rsid w:val="00E96742"/>
    <w:rsid w:val="00EA02F5"/>
    <w:rsid w:val="00EA0BAE"/>
    <w:rsid w:val="00EA23E7"/>
    <w:rsid w:val="00EA27BC"/>
    <w:rsid w:val="00EA3415"/>
    <w:rsid w:val="00EA3930"/>
    <w:rsid w:val="00EB16B2"/>
    <w:rsid w:val="00EB1D28"/>
    <w:rsid w:val="00EC1861"/>
    <w:rsid w:val="00EC4BEE"/>
    <w:rsid w:val="00EC4EE4"/>
    <w:rsid w:val="00EC783E"/>
    <w:rsid w:val="00ED7CF4"/>
    <w:rsid w:val="00EE3264"/>
    <w:rsid w:val="00EE44F9"/>
    <w:rsid w:val="00EE58B9"/>
    <w:rsid w:val="00EE66FF"/>
    <w:rsid w:val="00EF08DE"/>
    <w:rsid w:val="00EF2D89"/>
    <w:rsid w:val="00EF6DCE"/>
    <w:rsid w:val="00EF6E04"/>
    <w:rsid w:val="00F02E73"/>
    <w:rsid w:val="00F04128"/>
    <w:rsid w:val="00F04D63"/>
    <w:rsid w:val="00F0583C"/>
    <w:rsid w:val="00F110C6"/>
    <w:rsid w:val="00F12481"/>
    <w:rsid w:val="00F12BB1"/>
    <w:rsid w:val="00F13ED4"/>
    <w:rsid w:val="00F16D65"/>
    <w:rsid w:val="00F220BF"/>
    <w:rsid w:val="00F23179"/>
    <w:rsid w:val="00F24D58"/>
    <w:rsid w:val="00F2788E"/>
    <w:rsid w:val="00F27C59"/>
    <w:rsid w:val="00F30A23"/>
    <w:rsid w:val="00F32304"/>
    <w:rsid w:val="00F32385"/>
    <w:rsid w:val="00F32DE3"/>
    <w:rsid w:val="00F42C17"/>
    <w:rsid w:val="00F45B6C"/>
    <w:rsid w:val="00F46653"/>
    <w:rsid w:val="00F46705"/>
    <w:rsid w:val="00F47112"/>
    <w:rsid w:val="00F50806"/>
    <w:rsid w:val="00F50E49"/>
    <w:rsid w:val="00F52A0E"/>
    <w:rsid w:val="00F60D31"/>
    <w:rsid w:val="00F6398D"/>
    <w:rsid w:val="00F643FD"/>
    <w:rsid w:val="00F675CB"/>
    <w:rsid w:val="00F6798C"/>
    <w:rsid w:val="00F74A3D"/>
    <w:rsid w:val="00F8658F"/>
    <w:rsid w:val="00F87241"/>
    <w:rsid w:val="00F90070"/>
    <w:rsid w:val="00F91240"/>
    <w:rsid w:val="00FA0AF7"/>
    <w:rsid w:val="00FA15AC"/>
    <w:rsid w:val="00FA357F"/>
    <w:rsid w:val="00FA5309"/>
    <w:rsid w:val="00FA77E3"/>
    <w:rsid w:val="00FB2FEF"/>
    <w:rsid w:val="00FB530C"/>
    <w:rsid w:val="00FB5D6F"/>
    <w:rsid w:val="00FB61D7"/>
    <w:rsid w:val="00FB6D4D"/>
    <w:rsid w:val="00FC2551"/>
    <w:rsid w:val="00FC4808"/>
    <w:rsid w:val="00FC568F"/>
    <w:rsid w:val="00FC5D6F"/>
    <w:rsid w:val="00FC69E0"/>
    <w:rsid w:val="00FC74BE"/>
    <w:rsid w:val="00FD3503"/>
    <w:rsid w:val="00FD62DA"/>
    <w:rsid w:val="00FD6FB1"/>
    <w:rsid w:val="00FD79CC"/>
    <w:rsid w:val="00FE5D72"/>
    <w:rsid w:val="00FF1C59"/>
    <w:rsid w:val="00FF1CCF"/>
    <w:rsid w:val="00FF33C6"/>
    <w:rsid w:val="00FF676C"/>
    <w:rsid w:val="00FF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81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9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34005"/>
    <w:pPr>
      <w:spacing w:after="0" w:line="240" w:lineRule="auto"/>
    </w:pPr>
    <w:rPr>
      <w:sz w:val="20"/>
      <w:szCs w:val="20"/>
    </w:rPr>
  </w:style>
  <w:style w:type="character" w:customStyle="1" w:styleId="FootnoteTextChar">
    <w:name w:val="Footnote Text Char"/>
    <w:basedOn w:val="DefaultParagraphFont"/>
    <w:link w:val="FootnoteText"/>
    <w:uiPriority w:val="99"/>
    <w:rsid w:val="00934005"/>
    <w:rPr>
      <w:sz w:val="20"/>
      <w:szCs w:val="20"/>
    </w:rPr>
  </w:style>
  <w:style w:type="character" w:styleId="FootnoteReference">
    <w:name w:val="footnote reference"/>
    <w:basedOn w:val="DefaultParagraphFont"/>
    <w:uiPriority w:val="99"/>
    <w:unhideWhenUsed/>
    <w:rsid w:val="00934005"/>
    <w:rPr>
      <w:vertAlign w:val="superscript"/>
    </w:rPr>
  </w:style>
  <w:style w:type="character" w:styleId="Hyperlink">
    <w:name w:val="Hyperlink"/>
    <w:basedOn w:val="DefaultParagraphFont"/>
    <w:uiPriority w:val="99"/>
    <w:unhideWhenUsed/>
    <w:rsid w:val="006040AE"/>
    <w:rPr>
      <w:color w:val="0000FF"/>
      <w:u w:val="single"/>
    </w:rPr>
  </w:style>
  <w:style w:type="paragraph" w:styleId="Header">
    <w:name w:val="header"/>
    <w:basedOn w:val="Normal"/>
    <w:link w:val="HeaderChar"/>
    <w:uiPriority w:val="99"/>
    <w:unhideWhenUsed/>
    <w:rsid w:val="00BC5855"/>
    <w:pPr>
      <w:tabs>
        <w:tab w:val="center" w:pos="4680"/>
        <w:tab w:val="right" w:pos="9360"/>
      </w:tabs>
    </w:pPr>
  </w:style>
  <w:style w:type="character" w:customStyle="1" w:styleId="HeaderChar">
    <w:name w:val="Header Char"/>
    <w:basedOn w:val="DefaultParagraphFont"/>
    <w:link w:val="Header"/>
    <w:uiPriority w:val="99"/>
    <w:rsid w:val="00BC5855"/>
    <w:rPr>
      <w:sz w:val="22"/>
      <w:szCs w:val="22"/>
    </w:rPr>
  </w:style>
  <w:style w:type="paragraph" w:styleId="Footer">
    <w:name w:val="footer"/>
    <w:basedOn w:val="Normal"/>
    <w:link w:val="FooterChar"/>
    <w:uiPriority w:val="99"/>
    <w:unhideWhenUsed/>
    <w:rsid w:val="00BC5855"/>
    <w:pPr>
      <w:tabs>
        <w:tab w:val="center" w:pos="4680"/>
        <w:tab w:val="right" w:pos="9360"/>
      </w:tabs>
    </w:pPr>
  </w:style>
  <w:style w:type="character" w:customStyle="1" w:styleId="FooterChar">
    <w:name w:val="Footer Char"/>
    <w:basedOn w:val="DefaultParagraphFont"/>
    <w:link w:val="Footer"/>
    <w:uiPriority w:val="99"/>
    <w:rsid w:val="00BC5855"/>
    <w:rPr>
      <w:sz w:val="22"/>
      <w:szCs w:val="22"/>
    </w:rPr>
  </w:style>
  <w:style w:type="paragraph" w:styleId="BalloonText">
    <w:name w:val="Balloon Text"/>
    <w:basedOn w:val="Normal"/>
    <w:link w:val="BalloonTextChar"/>
    <w:uiPriority w:val="99"/>
    <w:semiHidden/>
    <w:unhideWhenUsed/>
    <w:rsid w:val="00BC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855"/>
    <w:rPr>
      <w:rFonts w:ascii="Tahoma" w:hAnsi="Tahoma" w:cs="Tahoma"/>
      <w:sz w:val="16"/>
      <w:szCs w:val="16"/>
    </w:rPr>
  </w:style>
  <w:style w:type="character" w:styleId="PageNumber">
    <w:name w:val="page number"/>
    <w:basedOn w:val="DefaultParagraphFont"/>
    <w:rsid w:val="00BC5855"/>
  </w:style>
  <w:style w:type="character" w:styleId="Strong">
    <w:name w:val="Strong"/>
    <w:basedOn w:val="DefaultParagraphFont"/>
    <w:uiPriority w:val="22"/>
    <w:qFormat/>
    <w:rsid w:val="00451E3C"/>
    <w:rPr>
      <w:b/>
      <w:bCs/>
    </w:rPr>
  </w:style>
  <w:style w:type="paragraph" w:styleId="ListParagraph">
    <w:name w:val="List Paragraph"/>
    <w:basedOn w:val="Normal"/>
    <w:uiPriority w:val="34"/>
    <w:qFormat/>
    <w:rsid w:val="00647832"/>
    <w:pPr>
      <w:spacing w:after="0" w:line="240" w:lineRule="auto"/>
      <w:ind w:left="720"/>
    </w:pPr>
  </w:style>
  <w:style w:type="paragraph" w:styleId="NormalWeb">
    <w:name w:val="Normal (Web)"/>
    <w:basedOn w:val="Normal"/>
    <w:uiPriority w:val="99"/>
    <w:semiHidden/>
    <w:unhideWhenUsed/>
    <w:rsid w:val="00E57FB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F479F"/>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FA5309"/>
    <w:rPr>
      <w:sz w:val="16"/>
      <w:szCs w:val="16"/>
    </w:rPr>
  </w:style>
  <w:style w:type="paragraph" w:styleId="CommentText">
    <w:name w:val="annotation text"/>
    <w:basedOn w:val="Normal"/>
    <w:link w:val="CommentTextChar"/>
    <w:uiPriority w:val="99"/>
    <w:semiHidden/>
    <w:unhideWhenUsed/>
    <w:rsid w:val="00FA5309"/>
    <w:pPr>
      <w:spacing w:line="240" w:lineRule="auto"/>
    </w:pPr>
    <w:rPr>
      <w:sz w:val="20"/>
      <w:szCs w:val="20"/>
    </w:rPr>
  </w:style>
  <w:style w:type="character" w:customStyle="1" w:styleId="CommentTextChar">
    <w:name w:val="Comment Text Char"/>
    <w:basedOn w:val="DefaultParagraphFont"/>
    <w:link w:val="CommentText"/>
    <w:uiPriority w:val="99"/>
    <w:semiHidden/>
    <w:rsid w:val="00FA5309"/>
  </w:style>
  <w:style w:type="paragraph" w:styleId="CommentSubject">
    <w:name w:val="annotation subject"/>
    <w:basedOn w:val="CommentText"/>
    <w:next w:val="CommentText"/>
    <w:link w:val="CommentSubjectChar"/>
    <w:uiPriority w:val="99"/>
    <w:semiHidden/>
    <w:unhideWhenUsed/>
    <w:rsid w:val="00FA5309"/>
    <w:rPr>
      <w:b/>
      <w:bCs/>
    </w:rPr>
  </w:style>
  <w:style w:type="character" w:customStyle="1" w:styleId="CommentSubjectChar">
    <w:name w:val="Comment Subject Char"/>
    <w:basedOn w:val="CommentTextChar"/>
    <w:link w:val="CommentSubject"/>
    <w:uiPriority w:val="99"/>
    <w:semiHidden/>
    <w:rsid w:val="00FA5309"/>
    <w:rPr>
      <w:b/>
      <w:bCs/>
    </w:rPr>
  </w:style>
  <w:style w:type="character" w:styleId="FollowedHyperlink">
    <w:name w:val="FollowedHyperlink"/>
    <w:basedOn w:val="DefaultParagraphFont"/>
    <w:uiPriority w:val="99"/>
    <w:semiHidden/>
    <w:unhideWhenUsed/>
    <w:rsid w:val="00121247"/>
    <w:rPr>
      <w:color w:val="800080"/>
      <w:u w:val="single"/>
    </w:rPr>
  </w:style>
  <w:style w:type="paragraph" w:styleId="NoSpacing">
    <w:name w:val="No Spacing"/>
    <w:link w:val="NoSpacingChar"/>
    <w:uiPriority w:val="1"/>
    <w:qFormat/>
    <w:rsid w:val="00B611EE"/>
    <w:pPr>
      <w:jc w:val="both"/>
    </w:pPr>
    <w:rPr>
      <w:rFonts w:ascii="Times New Roman" w:eastAsia="Times New Roman" w:hAnsi="Times New Roman"/>
      <w:sz w:val="24"/>
      <w:szCs w:val="24"/>
      <w:lang w:val="en-GB" w:eastAsia="en-GB"/>
    </w:rPr>
  </w:style>
  <w:style w:type="character" w:customStyle="1" w:styleId="NoSpacingChar">
    <w:name w:val="No Spacing Char"/>
    <w:basedOn w:val="DefaultParagraphFont"/>
    <w:link w:val="NoSpacing"/>
    <w:uiPriority w:val="1"/>
    <w:locked/>
    <w:rsid w:val="00B611EE"/>
    <w:rPr>
      <w:rFonts w:ascii="Times New Roman" w:eastAsia="Times New Roman" w:hAnsi="Times New Roman"/>
      <w:sz w:val="24"/>
      <w:szCs w:val="24"/>
      <w:lang w:val="en-GB" w:eastAsia="en-GB" w:bidi="ar-SA"/>
    </w:rPr>
  </w:style>
  <w:style w:type="character" w:customStyle="1" w:styleId="DeltaViewInsertion">
    <w:name w:val="DeltaView Insertion"/>
    <w:uiPriority w:val="99"/>
    <w:rsid w:val="0068313B"/>
    <w:rPr>
      <w:color w:val="0000FF"/>
      <w:u w:val="double"/>
    </w:rPr>
  </w:style>
  <w:style w:type="character" w:customStyle="1" w:styleId="DeltaViewDeletion">
    <w:name w:val="DeltaView Deletion"/>
    <w:uiPriority w:val="99"/>
    <w:rsid w:val="0068313B"/>
    <w:rPr>
      <w:strike/>
      <w:color w:val="FF0000"/>
    </w:rPr>
  </w:style>
  <w:style w:type="table" w:styleId="TableGrid">
    <w:name w:val="Table Grid"/>
    <w:basedOn w:val="TableNormal"/>
    <w:uiPriority w:val="59"/>
    <w:rsid w:val="00574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9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34005"/>
    <w:pPr>
      <w:spacing w:after="0" w:line="240" w:lineRule="auto"/>
    </w:pPr>
    <w:rPr>
      <w:sz w:val="20"/>
      <w:szCs w:val="20"/>
    </w:rPr>
  </w:style>
  <w:style w:type="character" w:customStyle="1" w:styleId="FootnoteTextChar">
    <w:name w:val="Footnote Text Char"/>
    <w:basedOn w:val="DefaultParagraphFont"/>
    <w:link w:val="FootnoteText"/>
    <w:uiPriority w:val="99"/>
    <w:rsid w:val="00934005"/>
    <w:rPr>
      <w:sz w:val="20"/>
      <w:szCs w:val="20"/>
    </w:rPr>
  </w:style>
  <w:style w:type="character" w:styleId="FootnoteReference">
    <w:name w:val="footnote reference"/>
    <w:basedOn w:val="DefaultParagraphFont"/>
    <w:uiPriority w:val="99"/>
    <w:unhideWhenUsed/>
    <w:rsid w:val="00934005"/>
    <w:rPr>
      <w:vertAlign w:val="superscript"/>
    </w:rPr>
  </w:style>
  <w:style w:type="character" w:styleId="Hyperlink">
    <w:name w:val="Hyperlink"/>
    <w:basedOn w:val="DefaultParagraphFont"/>
    <w:uiPriority w:val="99"/>
    <w:unhideWhenUsed/>
    <w:rsid w:val="006040AE"/>
    <w:rPr>
      <w:color w:val="0000FF"/>
      <w:u w:val="single"/>
    </w:rPr>
  </w:style>
  <w:style w:type="paragraph" w:styleId="Header">
    <w:name w:val="header"/>
    <w:basedOn w:val="Normal"/>
    <w:link w:val="HeaderChar"/>
    <w:uiPriority w:val="99"/>
    <w:unhideWhenUsed/>
    <w:rsid w:val="00BC5855"/>
    <w:pPr>
      <w:tabs>
        <w:tab w:val="center" w:pos="4680"/>
        <w:tab w:val="right" w:pos="9360"/>
      </w:tabs>
    </w:pPr>
  </w:style>
  <w:style w:type="character" w:customStyle="1" w:styleId="HeaderChar">
    <w:name w:val="Header Char"/>
    <w:basedOn w:val="DefaultParagraphFont"/>
    <w:link w:val="Header"/>
    <w:uiPriority w:val="99"/>
    <w:rsid w:val="00BC5855"/>
    <w:rPr>
      <w:sz w:val="22"/>
      <w:szCs w:val="22"/>
    </w:rPr>
  </w:style>
  <w:style w:type="paragraph" w:styleId="Footer">
    <w:name w:val="footer"/>
    <w:basedOn w:val="Normal"/>
    <w:link w:val="FooterChar"/>
    <w:uiPriority w:val="99"/>
    <w:unhideWhenUsed/>
    <w:rsid w:val="00BC5855"/>
    <w:pPr>
      <w:tabs>
        <w:tab w:val="center" w:pos="4680"/>
        <w:tab w:val="right" w:pos="9360"/>
      </w:tabs>
    </w:pPr>
  </w:style>
  <w:style w:type="character" w:customStyle="1" w:styleId="FooterChar">
    <w:name w:val="Footer Char"/>
    <w:basedOn w:val="DefaultParagraphFont"/>
    <w:link w:val="Footer"/>
    <w:uiPriority w:val="99"/>
    <w:rsid w:val="00BC5855"/>
    <w:rPr>
      <w:sz w:val="22"/>
      <w:szCs w:val="22"/>
    </w:rPr>
  </w:style>
  <w:style w:type="paragraph" w:styleId="BalloonText">
    <w:name w:val="Balloon Text"/>
    <w:basedOn w:val="Normal"/>
    <w:link w:val="BalloonTextChar"/>
    <w:uiPriority w:val="99"/>
    <w:semiHidden/>
    <w:unhideWhenUsed/>
    <w:rsid w:val="00BC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855"/>
    <w:rPr>
      <w:rFonts w:ascii="Tahoma" w:hAnsi="Tahoma" w:cs="Tahoma"/>
      <w:sz w:val="16"/>
      <w:szCs w:val="16"/>
    </w:rPr>
  </w:style>
  <w:style w:type="character" w:styleId="PageNumber">
    <w:name w:val="page number"/>
    <w:basedOn w:val="DefaultParagraphFont"/>
    <w:rsid w:val="00BC5855"/>
  </w:style>
  <w:style w:type="character" w:styleId="Strong">
    <w:name w:val="Strong"/>
    <w:basedOn w:val="DefaultParagraphFont"/>
    <w:uiPriority w:val="22"/>
    <w:qFormat/>
    <w:rsid w:val="00451E3C"/>
    <w:rPr>
      <w:b/>
      <w:bCs/>
    </w:rPr>
  </w:style>
  <w:style w:type="paragraph" w:styleId="ListParagraph">
    <w:name w:val="List Paragraph"/>
    <w:basedOn w:val="Normal"/>
    <w:uiPriority w:val="34"/>
    <w:qFormat/>
    <w:rsid w:val="00647832"/>
    <w:pPr>
      <w:spacing w:after="0" w:line="240" w:lineRule="auto"/>
      <w:ind w:left="720"/>
    </w:pPr>
  </w:style>
  <w:style w:type="paragraph" w:styleId="NormalWeb">
    <w:name w:val="Normal (Web)"/>
    <w:basedOn w:val="Normal"/>
    <w:uiPriority w:val="99"/>
    <w:semiHidden/>
    <w:unhideWhenUsed/>
    <w:rsid w:val="00E57FB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F479F"/>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FA5309"/>
    <w:rPr>
      <w:sz w:val="16"/>
      <w:szCs w:val="16"/>
    </w:rPr>
  </w:style>
  <w:style w:type="paragraph" w:styleId="CommentText">
    <w:name w:val="annotation text"/>
    <w:basedOn w:val="Normal"/>
    <w:link w:val="CommentTextChar"/>
    <w:uiPriority w:val="99"/>
    <w:semiHidden/>
    <w:unhideWhenUsed/>
    <w:rsid w:val="00FA5309"/>
    <w:pPr>
      <w:spacing w:line="240" w:lineRule="auto"/>
    </w:pPr>
    <w:rPr>
      <w:sz w:val="20"/>
      <w:szCs w:val="20"/>
    </w:rPr>
  </w:style>
  <w:style w:type="character" w:customStyle="1" w:styleId="CommentTextChar">
    <w:name w:val="Comment Text Char"/>
    <w:basedOn w:val="DefaultParagraphFont"/>
    <w:link w:val="CommentText"/>
    <w:uiPriority w:val="99"/>
    <w:semiHidden/>
    <w:rsid w:val="00FA5309"/>
  </w:style>
  <w:style w:type="paragraph" w:styleId="CommentSubject">
    <w:name w:val="annotation subject"/>
    <w:basedOn w:val="CommentText"/>
    <w:next w:val="CommentText"/>
    <w:link w:val="CommentSubjectChar"/>
    <w:uiPriority w:val="99"/>
    <w:semiHidden/>
    <w:unhideWhenUsed/>
    <w:rsid w:val="00FA5309"/>
    <w:rPr>
      <w:b/>
      <w:bCs/>
    </w:rPr>
  </w:style>
  <w:style w:type="character" w:customStyle="1" w:styleId="CommentSubjectChar">
    <w:name w:val="Comment Subject Char"/>
    <w:basedOn w:val="CommentTextChar"/>
    <w:link w:val="CommentSubject"/>
    <w:uiPriority w:val="99"/>
    <w:semiHidden/>
    <w:rsid w:val="00FA5309"/>
    <w:rPr>
      <w:b/>
      <w:bCs/>
    </w:rPr>
  </w:style>
  <w:style w:type="character" w:styleId="FollowedHyperlink">
    <w:name w:val="FollowedHyperlink"/>
    <w:basedOn w:val="DefaultParagraphFont"/>
    <w:uiPriority w:val="99"/>
    <w:semiHidden/>
    <w:unhideWhenUsed/>
    <w:rsid w:val="00121247"/>
    <w:rPr>
      <w:color w:val="800080"/>
      <w:u w:val="single"/>
    </w:rPr>
  </w:style>
  <w:style w:type="paragraph" w:styleId="NoSpacing">
    <w:name w:val="No Spacing"/>
    <w:link w:val="NoSpacingChar"/>
    <w:uiPriority w:val="1"/>
    <w:qFormat/>
    <w:rsid w:val="00B611EE"/>
    <w:pPr>
      <w:jc w:val="both"/>
    </w:pPr>
    <w:rPr>
      <w:rFonts w:ascii="Times New Roman" w:eastAsia="Times New Roman" w:hAnsi="Times New Roman"/>
      <w:sz w:val="24"/>
      <w:szCs w:val="24"/>
      <w:lang w:val="en-GB" w:eastAsia="en-GB"/>
    </w:rPr>
  </w:style>
  <w:style w:type="character" w:customStyle="1" w:styleId="NoSpacingChar">
    <w:name w:val="No Spacing Char"/>
    <w:basedOn w:val="DefaultParagraphFont"/>
    <w:link w:val="NoSpacing"/>
    <w:uiPriority w:val="1"/>
    <w:locked/>
    <w:rsid w:val="00B611EE"/>
    <w:rPr>
      <w:rFonts w:ascii="Times New Roman" w:eastAsia="Times New Roman" w:hAnsi="Times New Roman"/>
      <w:sz w:val="24"/>
      <w:szCs w:val="24"/>
      <w:lang w:val="en-GB" w:eastAsia="en-GB" w:bidi="ar-SA"/>
    </w:rPr>
  </w:style>
  <w:style w:type="character" w:customStyle="1" w:styleId="DeltaViewInsertion">
    <w:name w:val="DeltaView Insertion"/>
    <w:uiPriority w:val="99"/>
    <w:rsid w:val="0068313B"/>
    <w:rPr>
      <w:color w:val="0000FF"/>
      <w:u w:val="double"/>
    </w:rPr>
  </w:style>
  <w:style w:type="character" w:customStyle="1" w:styleId="DeltaViewDeletion">
    <w:name w:val="DeltaView Deletion"/>
    <w:uiPriority w:val="99"/>
    <w:rsid w:val="0068313B"/>
    <w:rPr>
      <w:strike/>
      <w:color w:val="FF0000"/>
    </w:rPr>
  </w:style>
  <w:style w:type="table" w:styleId="TableGrid">
    <w:name w:val="Table Grid"/>
    <w:basedOn w:val="TableNormal"/>
    <w:uiPriority w:val="59"/>
    <w:rsid w:val="00574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6992">
      <w:bodyDiv w:val="1"/>
      <w:marLeft w:val="0"/>
      <w:marRight w:val="0"/>
      <w:marTop w:val="0"/>
      <w:marBottom w:val="0"/>
      <w:divBdr>
        <w:top w:val="none" w:sz="0" w:space="0" w:color="auto"/>
        <w:left w:val="none" w:sz="0" w:space="0" w:color="auto"/>
        <w:bottom w:val="none" w:sz="0" w:space="0" w:color="auto"/>
        <w:right w:val="none" w:sz="0" w:space="0" w:color="auto"/>
      </w:divBdr>
    </w:div>
    <w:div w:id="177815548">
      <w:bodyDiv w:val="1"/>
      <w:marLeft w:val="0"/>
      <w:marRight w:val="0"/>
      <w:marTop w:val="0"/>
      <w:marBottom w:val="0"/>
      <w:divBdr>
        <w:top w:val="none" w:sz="0" w:space="0" w:color="auto"/>
        <w:left w:val="none" w:sz="0" w:space="0" w:color="auto"/>
        <w:bottom w:val="none" w:sz="0" w:space="0" w:color="auto"/>
        <w:right w:val="none" w:sz="0" w:space="0" w:color="auto"/>
      </w:divBdr>
    </w:div>
    <w:div w:id="178348374">
      <w:bodyDiv w:val="1"/>
      <w:marLeft w:val="0"/>
      <w:marRight w:val="0"/>
      <w:marTop w:val="0"/>
      <w:marBottom w:val="0"/>
      <w:divBdr>
        <w:top w:val="none" w:sz="0" w:space="0" w:color="auto"/>
        <w:left w:val="none" w:sz="0" w:space="0" w:color="auto"/>
        <w:bottom w:val="none" w:sz="0" w:space="0" w:color="auto"/>
        <w:right w:val="none" w:sz="0" w:space="0" w:color="auto"/>
      </w:divBdr>
    </w:div>
    <w:div w:id="278218959">
      <w:bodyDiv w:val="1"/>
      <w:marLeft w:val="0"/>
      <w:marRight w:val="0"/>
      <w:marTop w:val="0"/>
      <w:marBottom w:val="0"/>
      <w:divBdr>
        <w:top w:val="none" w:sz="0" w:space="0" w:color="auto"/>
        <w:left w:val="none" w:sz="0" w:space="0" w:color="auto"/>
        <w:bottom w:val="none" w:sz="0" w:space="0" w:color="auto"/>
        <w:right w:val="none" w:sz="0" w:space="0" w:color="auto"/>
      </w:divBdr>
    </w:div>
    <w:div w:id="509637884">
      <w:bodyDiv w:val="1"/>
      <w:marLeft w:val="0"/>
      <w:marRight w:val="0"/>
      <w:marTop w:val="0"/>
      <w:marBottom w:val="0"/>
      <w:divBdr>
        <w:top w:val="none" w:sz="0" w:space="0" w:color="auto"/>
        <w:left w:val="none" w:sz="0" w:space="0" w:color="auto"/>
        <w:bottom w:val="none" w:sz="0" w:space="0" w:color="auto"/>
        <w:right w:val="none" w:sz="0" w:space="0" w:color="auto"/>
      </w:divBdr>
    </w:div>
    <w:div w:id="538007718">
      <w:bodyDiv w:val="1"/>
      <w:marLeft w:val="0"/>
      <w:marRight w:val="0"/>
      <w:marTop w:val="0"/>
      <w:marBottom w:val="0"/>
      <w:divBdr>
        <w:top w:val="none" w:sz="0" w:space="0" w:color="auto"/>
        <w:left w:val="none" w:sz="0" w:space="0" w:color="auto"/>
        <w:bottom w:val="none" w:sz="0" w:space="0" w:color="auto"/>
        <w:right w:val="none" w:sz="0" w:space="0" w:color="auto"/>
      </w:divBdr>
    </w:div>
    <w:div w:id="553153403">
      <w:bodyDiv w:val="1"/>
      <w:marLeft w:val="0"/>
      <w:marRight w:val="0"/>
      <w:marTop w:val="0"/>
      <w:marBottom w:val="0"/>
      <w:divBdr>
        <w:top w:val="none" w:sz="0" w:space="0" w:color="auto"/>
        <w:left w:val="none" w:sz="0" w:space="0" w:color="auto"/>
        <w:bottom w:val="none" w:sz="0" w:space="0" w:color="auto"/>
        <w:right w:val="none" w:sz="0" w:space="0" w:color="auto"/>
      </w:divBdr>
    </w:div>
    <w:div w:id="639457895">
      <w:bodyDiv w:val="1"/>
      <w:marLeft w:val="0"/>
      <w:marRight w:val="0"/>
      <w:marTop w:val="0"/>
      <w:marBottom w:val="0"/>
      <w:divBdr>
        <w:top w:val="none" w:sz="0" w:space="0" w:color="auto"/>
        <w:left w:val="none" w:sz="0" w:space="0" w:color="auto"/>
        <w:bottom w:val="none" w:sz="0" w:space="0" w:color="auto"/>
        <w:right w:val="none" w:sz="0" w:space="0" w:color="auto"/>
      </w:divBdr>
    </w:div>
    <w:div w:id="1598249720">
      <w:bodyDiv w:val="1"/>
      <w:marLeft w:val="0"/>
      <w:marRight w:val="0"/>
      <w:marTop w:val="0"/>
      <w:marBottom w:val="0"/>
      <w:divBdr>
        <w:top w:val="none" w:sz="0" w:space="0" w:color="auto"/>
        <w:left w:val="none" w:sz="0" w:space="0" w:color="auto"/>
        <w:bottom w:val="none" w:sz="0" w:space="0" w:color="auto"/>
        <w:right w:val="none" w:sz="0" w:space="0" w:color="auto"/>
      </w:divBdr>
    </w:div>
    <w:div w:id="1665088267">
      <w:bodyDiv w:val="1"/>
      <w:marLeft w:val="0"/>
      <w:marRight w:val="0"/>
      <w:marTop w:val="0"/>
      <w:marBottom w:val="0"/>
      <w:divBdr>
        <w:top w:val="none" w:sz="0" w:space="0" w:color="auto"/>
        <w:left w:val="none" w:sz="0" w:space="0" w:color="auto"/>
        <w:bottom w:val="none" w:sz="0" w:space="0" w:color="auto"/>
        <w:right w:val="none" w:sz="0" w:space="0" w:color="auto"/>
      </w:divBdr>
    </w:div>
    <w:div w:id="1760367645">
      <w:bodyDiv w:val="1"/>
      <w:marLeft w:val="0"/>
      <w:marRight w:val="0"/>
      <w:marTop w:val="0"/>
      <w:marBottom w:val="0"/>
      <w:divBdr>
        <w:top w:val="none" w:sz="0" w:space="0" w:color="auto"/>
        <w:left w:val="none" w:sz="0" w:space="0" w:color="auto"/>
        <w:bottom w:val="none" w:sz="0" w:space="0" w:color="auto"/>
        <w:right w:val="none" w:sz="0" w:space="0" w:color="auto"/>
      </w:divBdr>
    </w:div>
    <w:div w:id="1969166083">
      <w:bodyDiv w:val="1"/>
      <w:marLeft w:val="0"/>
      <w:marRight w:val="0"/>
      <w:marTop w:val="0"/>
      <w:marBottom w:val="0"/>
      <w:divBdr>
        <w:top w:val="none" w:sz="0" w:space="0" w:color="auto"/>
        <w:left w:val="none" w:sz="0" w:space="0" w:color="auto"/>
        <w:bottom w:val="none" w:sz="0" w:space="0" w:color="auto"/>
        <w:right w:val="none" w:sz="0" w:space="0" w:color="auto"/>
      </w:divBdr>
    </w:div>
    <w:div w:id="1972176378">
      <w:bodyDiv w:val="1"/>
      <w:marLeft w:val="0"/>
      <w:marRight w:val="0"/>
      <w:marTop w:val="0"/>
      <w:marBottom w:val="0"/>
      <w:divBdr>
        <w:top w:val="none" w:sz="0" w:space="0" w:color="auto"/>
        <w:left w:val="none" w:sz="0" w:space="0" w:color="auto"/>
        <w:bottom w:val="none" w:sz="0" w:space="0" w:color="auto"/>
        <w:right w:val="none" w:sz="0" w:space="0" w:color="auto"/>
      </w:divBdr>
    </w:div>
    <w:div w:id="209119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i.org/pdf/270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8CE3B0EEEEF4CB5C0C708B3D78D9B" ma:contentTypeVersion="0" ma:contentTypeDescription="Create a new document." ma:contentTypeScope="" ma:versionID="390fea0e19f2bcc995f36cce9a4ef1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708B-BB50-4866-A691-7263F61D8B79}">
  <ds:schemaRef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40F0797-2D62-4BFD-9E8D-BB5A4BB9060E}">
  <ds:schemaRefs>
    <ds:schemaRef ds:uri="http://schemas.microsoft.com/sharepoint/v3/contenttype/forms"/>
  </ds:schemaRefs>
</ds:datastoreItem>
</file>

<file path=customXml/itemProps3.xml><?xml version="1.0" encoding="utf-8"?>
<ds:datastoreItem xmlns:ds="http://schemas.openxmlformats.org/officeDocument/2006/customXml" ds:itemID="{898F70D2-4BE2-48CF-A5AA-7576AA1F5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82320C-77D1-468C-AAF9-D98566EC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19486</CharactersWithSpaces>
  <SharedDoc>false</SharedDoc>
  <HLinks>
    <vt:vector size="36" baseType="variant">
      <vt:variant>
        <vt:i4>6684701</vt:i4>
      </vt:variant>
      <vt:variant>
        <vt:i4>3</vt:i4>
      </vt:variant>
      <vt:variant>
        <vt:i4>0</vt:i4>
      </vt:variant>
      <vt:variant>
        <vt:i4>5</vt:i4>
      </vt:variant>
      <vt:variant>
        <vt:lpwstr>mailto:dan.waters@ici.org</vt:lpwstr>
      </vt:variant>
      <vt:variant>
        <vt:lpwstr/>
      </vt:variant>
      <vt:variant>
        <vt:i4>3932238</vt:i4>
      </vt:variant>
      <vt:variant>
        <vt:i4>0</vt:i4>
      </vt:variant>
      <vt:variant>
        <vt:i4>0</vt:i4>
      </vt:variant>
      <vt:variant>
        <vt:i4>5</vt:i4>
      </vt:variant>
      <vt:variant>
        <vt:lpwstr>mailto:karrie.mcmillan@ici.org</vt:lpwstr>
      </vt:variant>
      <vt:variant>
        <vt:lpwstr/>
      </vt:variant>
      <vt:variant>
        <vt:i4>7667757</vt:i4>
      </vt:variant>
      <vt:variant>
        <vt:i4>9</vt:i4>
      </vt:variant>
      <vt:variant>
        <vt:i4>0</vt:i4>
      </vt:variant>
      <vt:variant>
        <vt:i4>5</vt:i4>
      </vt:variant>
      <vt:variant>
        <vt:lpwstr>http://www.sec.gov/rules/proposed/2008/33-8901.pdf</vt:lpwstr>
      </vt:variant>
      <vt:variant>
        <vt:lpwstr/>
      </vt:variant>
      <vt:variant>
        <vt:i4>6160389</vt:i4>
      </vt:variant>
      <vt:variant>
        <vt:i4>6</vt:i4>
      </vt:variant>
      <vt:variant>
        <vt:i4>0</vt:i4>
      </vt:variant>
      <vt:variant>
        <vt:i4>5</vt:i4>
      </vt:variant>
      <vt:variant>
        <vt:lpwstr>http://www.indexuniverse.com/sections/features/14699-vanguard-to-drop-msci-index-on-vwo.html</vt:lpwstr>
      </vt:variant>
      <vt:variant>
        <vt:lpwstr/>
      </vt:variant>
      <vt:variant>
        <vt:i4>3276903</vt:i4>
      </vt:variant>
      <vt:variant>
        <vt:i4>3</vt:i4>
      </vt:variant>
      <vt:variant>
        <vt:i4>0</vt:i4>
      </vt:variant>
      <vt:variant>
        <vt:i4>5</vt:i4>
      </vt:variant>
      <vt:variant>
        <vt:lpwstr>http://www.icifactbook.org/</vt:lpwstr>
      </vt:variant>
      <vt:variant>
        <vt:lpwstr/>
      </vt:variant>
      <vt:variant>
        <vt:i4>1048654</vt:i4>
      </vt:variant>
      <vt:variant>
        <vt:i4>0</vt:i4>
      </vt:variant>
      <vt:variant>
        <vt:i4>0</vt:i4>
      </vt:variant>
      <vt:variant>
        <vt:i4>5</vt:i4>
      </vt:variant>
      <vt:variant>
        <vt:lpwstr>http://www.ici.org/pdf/26495.pdf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 Giles</dc:creator>
  <cp:lastModifiedBy>gilesswan</cp:lastModifiedBy>
  <cp:revision>6</cp:revision>
  <dcterms:created xsi:type="dcterms:W3CDTF">2013-02-13T15:02:00Z</dcterms:created>
  <dcterms:modified xsi:type="dcterms:W3CDTF">2013-02-13T15:08:00Z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UFAAPw6bUgrQkNHbgkkmY0/mvb0xARJp7dAY0Mh0wKCHZccimDFOfbnklPDLrPCqQScPMkyxcVRDaGeg
MTD4eC+X9OberEOSx20/sNq0JkJ7nTZowL/FSRhj+uNx6iYGPWHKdD5G1d2AedlrlAkJNyVDrP6H
Jt1z2GDNt3+F7u06y9Vi+z/6Fftsm1gnKbCG6bn0GJurIDhTkYaL8C3PvRDC+XKDjlhuOwZ48r92
utA3kqFthkQtC5tIJ</vt:lpwstr>
  </property>
  <property fmtid="{D5CDD505-2E9C-101B-9397-08002B2CF9AE}" pid="3" name="MAIL_MSG_ID2">
    <vt:lpwstr>0VXWATWokaUHDOzQgmsLPElDY8IXeSyk/fSOmXZTqtWBin49Jt/q4XJnN7U
vjpuD+BQ8CYMaD4kc2Vc333ACZ0=</vt:lpwstr>
  </property>
  <property fmtid="{D5CDD505-2E9C-101B-9397-08002B2CF9AE}" pid="4" name="RESPONSE_SENDER_NAME">
    <vt:lpwstr>sAAAb0xRtPDW5UvMYXur98d+j7JGLODwxhZ6WxszyXiscFs=</vt:lpwstr>
  </property>
  <property fmtid="{D5CDD505-2E9C-101B-9397-08002B2CF9AE}" pid="5" name="EMAIL_OWNER_ADDRESS">
    <vt:lpwstr>sAAAXRTqSjcrLApOJruHdx8uK1K64Rps9cRmmg8woM5+W1E=</vt:lpwstr>
  </property>
  <property fmtid="{D5CDD505-2E9C-101B-9397-08002B2CF9AE}" pid="6" name="ContentTypeId">
    <vt:lpwstr>0x0101009B78CE3B0EEEEF4CB5C0C708B3D78D9B</vt:lpwstr>
  </property>
</Properties>
</file>