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E679BA" w:rsidTr="00315E96">
        <w:trPr>
          <w:trHeight w:val="284"/>
        </w:trPr>
        <w:tc>
          <w:tcPr>
            <w:tcW w:w="9412" w:type="dxa"/>
          </w:tcPr>
          <w:p w:rsidR="00C2094B" w:rsidRPr="00376B02" w:rsidRDefault="00F77601" w:rsidP="00F77601">
            <w:pPr>
              <w:pStyle w:val="00bDBInfo"/>
            </w:pPr>
            <w:r>
              <w:t>1</w:t>
            </w:r>
            <w:r w:rsidR="001C31C3">
              <w:t xml:space="preserve"> </w:t>
            </w:r>
            <w:r>
              <w:t xml:space="preserve">October </w:t>
            </w:r>
            <w:r w:rsidR="001C31C3">
              <w:t>2014</w:t>
            </w:r>
            <w:r w:rsidR="001C31C3" w:rsidRPr="00AA6DAE">
              <w:t>|</w:t>
            </w:r>
            <w:r w:rsidR="006B342B">
              <w:t>ESMA/</w:t>
            </w:r>
            <w:r w:rsidR="001C31C3">
              <w:t>2014/1185 Reply Form</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A47063" w:rsidRPr="00CC1C71" w:rsidTr="00885696">
        <w:trPr>
          <w:trHeight w:val="1672"/>
        </w:trPr>
        <w:tc>
          <w:tcPr>
            <w:tcW w:w="9397" w:type="dxa"/>
            <w:vAlign w:val="bottom"/>
          </w:tcPr>
          <w:p w:rsidR="00CC1C71" w:rsidRPr="00CC1C71" w:rsidRDefault="00A47063" w:rsidP="00CC1C71">
            <w:pPr>
              <w:pStyle w:val="01aDBTitle"/>
              <w:rPr>
                <w:sz w:val="36"/>
                <w:szCs w:val="36"/>
              </w:rPr>
            </w:pPr>
            <w:r w:rsidRPr="00CC1C71">
              <w:rPr>
                <w:sz w:val="36"/>
                <w:szCs w:val="36"/>
              </w:rPr>
              <w:t xml:space="preserve">Reply form for the </w:t>
            </w:r>
            <w:r w:rsidR="00CC1C71" w:rsidRPr="00CC1C71">
              <w:rPr>
                <w:sz w:val="36"/>
                <w:szCs w:val="36"/>
              </w:rPr>
              <w:t>Consultation Paper</w:t>
            </w:r>
          </w:p>
          <w:p w:rsidR="00A47063" w:rsidRPr="00CC1C71" w:rsidRDefault="001C31C3" w:rsidP="00CC1C71">
            <w:pPr>
              <w:pStyle w:val="01aDBTitle"/>
              <w:rPr>
                <w:sz w:val="36"/>
                <w:szCs w:val="36"/>
              </w:rPr>
            </w:pPr>
            <w:r>
              <w:rPr>
                <w:sz w:val="36"/>
                <w:szCs w:val="36"/>
              </w:rPr>
              <w:t xml:space="preserve">On the </w:t>
            </w:r>
            <w:r w:rsidR="00CC1C71" w:rsidRPr="00CC1C71">
              <w:rPr>
                <w:sz w:val="36"/>
                <w:szCs w:val="36"/>
              </w:rPr>
              <w:t>Clearing Obligation under EMIR (no. 3)</w:t>
            </w:r>
            <w:r w:rsidR="00A47063" w:rsidRPr="00CC1C71">
              <w:rPr>
                <w:sz w:val="36"/>
                <w:szCs w:val="36"/>
              </w:rPr>
              <w:t xml:space="preserve"> </w:t>
            </w:r>
          </w:p>
          <w:p w:rsidR="00A47063" w:rsidRPr="00CC1C71" w:rsidRDefault="00A47063" w:rsidP="00885696">
            <w:pPr>
              <w:pStyle w:val="01bDBSubtitle"/>
              <w:rPr>
                <w:sz w:val="36"/>
                <w:szCs w:val="36"/>
              </w:rPr>
            </w:pP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foot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E679BA" w:rsidTr="00315E96">
        <w:trPr>
          <w:trHeight w:hRule="exact" w:val="964"/>
        </w:trPr>
        <w:tc>
          <w:tcPr>
            <w:tcW w:w="2325" w:type="dxa"/>
          </w:tcPr>
          <w:p w:rsidR="00620D7C" w:rsidRDefault="00620D7C" w:rsidP="002777CA">
            <w:pPr>
              <w:pStyle w:val="02Date"/>
            </w:pPr>
            <w:r w:rsidRPr="00222D9B">
              <w:lastRenderedPageBreak/>
              <w:t xml:space="preserve">Date: </w:t>
            </w:r>
            <w:r w:rsidR="00F77601">
              <w:t>1</w:t>
            </w:r>
            <w:r w:rsidR="00395EF9">
              <w:t xml:space="preserve"> </w:t>
            </w:r>
            <w:r w:rsidR="00F77601">
              <w:t xml:space="preserve">October </w:t>
            </w:r>
            <w:r w:rsidR="00486C17" w:rsidRPr="00222D9B">
              <w:t>201</w:t>
            </w:r>
            <w:r w:rsidR="006F57F2" w:rsidRPr="00222D9B">
              <w:t>4</w:t>
            </w:r>
          </w:p>
          <w:p w:rsidR="001C31C3" w:rsidRPr="00E679BA" w:rsidRDefault="006B342B" w:rsidP="002777CA">
            <w:pPr>
              <w:pStyle w:val="02Date"/>
            </w:pPr>
            <w:r>
              <w:t>ESMA/</w:t>
            </w:r>
            <w:r w:rsidR="001C31C3">
              <w:t>2014/1185 Reply Form</w:t>
            </w:r>
          </w:p>
        </w:tc>
      </w:tr>
    </w:tbl>
    <w:p w:rsidR="00F574D0" w:rsidRPr="00321CD3" w:rsidRDefault="00F574D0" w:rsidP="00F574D0">
      <w:pPr>
        <w:pStyle w:val="05HeadlinenoIndex"/>
      </w:pPr>
      <w:bookmarkStart w:id="0" w:name="_Toc280628648"/>
      <w:r w:rsidRPr="00321CD3">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w:t>
      </w:r>
      <w:r w:rsidR="005F01C0">
        <w:t>Consultation Paper -</w:t>
      </w:r>
      <w:r w:rsidR="005F01C0" w:rsidRPr="005F01C0">
        <w:t xml:space="preserve"> </w:t>
      </w:r>
      <w:r w:rsidR="0004462D" w:rsidRPr="0004462D">
        <w:t>Clearing Obligation under EMIR (no. 3)</w:t>
      </w:r>
      <w:r w:rsidR="00015B5E">
        <w:t xml:space="preserve">, </w:t>
      </w:r>
      <w:r w:rsidR="00015B5E" w:rsidRPr="00015B5E">
        <w:t>published</w:t>
      </w:r>
      <w:r w:rsidR="00015B5E">
        <w:t xml:space="preserve"> on the ESMA we</w:t>
      </w:r>
      <w:r w:rsidR="00015B5E">
        <w:t>b</w:t>
      </w:r>
      <w:r w:rsidR="00015B5E">
        <w:t>site</w:t>
      </w:r>
      <w:r w:rsidR="001C31C3">
        <w:t>.</w:t>
      </w:r>
    </w:p>
    <w:p w:rsidR="001C31C3" w:rsidRPr="0081710D" w:rsidRDefault="001C31C3" w:rsidP="001C31C3">
      <w:pPr>
        <w:pStyle w:val="04bList"/>
        <w:numPr>
          <w:ilvl w:val="0"/>
          <w:numId w:val="0"/>
        </w:numPr>
        <w:spacing w:before="120" w:after="120"/>
      </w:pPr>
      <w:r w:rsidRPr="0081710D">
        <w:t>Responses are most helpful:</w:t>
      </w:r>
    </w:p>
    <w:p w:rsidR="001C31C3" w:rsidRPr="0081710D" w:rsidRDefault="001C31C3" w:rsidP="001C31C3">
      <w:pPr>
        <w:pStyle w:val="04bList"/>
        <w:numPr>
          <w:ilvl w:val="0"/>
          <w:numId w:val="32"/>
        </w:numPr>
        <w:spacing w:before="120" w:after="120"/>
      </w:pPr>
      <w:r w:rsidRPr="0081710D">
        <w:t>if they respond to the question stated;</w:t>
      </w:r>
    </w:p>
    <w:p w:rsidR="001C31C3" w:rsidRPr="0081710D" w:rsidRDefault="001C31C3" w:rsidP="001C31C3">
      <w:pPr>
        <w:pStyle w:val="04bList"/>
        <w:numPr>
          <w:ilvl w:val="0"/>
          <w:numId w:val="32"/>
        </w:numPr>
        <w:spacing w:before="120" w:after="120"/>
      </w:pPr>
      <w:r w:rsidRPr="0081710D">
        <w:t>contain a clear rationale, including on any related costs and benefits; and</w:t>
      </w:r>
    </w:p>
    <w:p w:rsidR="001C31C3" w:rsidRPr="0081710D" w:rsidRDefault="001C31C3" w:rsidP="001C31C3">
      <w:pPr>
        <w:pStyle w:val="04bList"/>
        <w:numPr>
          <w:ilvl w:val="0"/>
          <w:numId w:val="32"/>
        </w:numPr>
        <w:spacing w:before="120" w:after="120"/>
      </w:pPr>
      <w:r w:rsidRPr="0081710D">
        <w:t>describe any alternatives that ESMA should consider</w:t>
      </w:r>
    </w:p>
    <w:p w:rsidR="001C31C3" w:rsidRPr="0081710D" w:rsidRDefault="001C31C3" w:rsidP="001C31C3">
      <w:pPr>
        <w:pStyle w:val="04bList"/>
        <w:numPr>
          <w:ilvl w:val="0"/>
          <w:numId w:val="0"/>
        </w:numPr>
        <w:spacing w:before="120" w:after="120"/>
      </w:pPr>
      <w:r w:rsidRPr="004E1A0F">
        <w:t>To help you navigate this document more easily, bookmarks are available in “Navigation Pane” for Word 2010 and in “Document Map” for Word 2007.</w:t>
      </w:r>
    </w:p>
    <w:p w:rsidR="001C31C3" w:rsidRPr="0081710D" w:rsidRDefault="001C31C3" w:rsidP="001C31C3">
      <w:pPr>
        <w:pStyle w:val="04BodyText"/>
        <w:spacing w:before="120" w:after="120"/>
      </w:pPr>
      <w:r w:rsidRPr="0081710D">
        <w:t xml:space="preserve">Responses must reach us by </w:t>
      </w:r>
      <w:r>
        <w:rPr>
          <w:b/>
        </w:rPr>
        <w:t>6 November 2014</w:t>
      </w:r>
      <w:r w:rsidRPr="0081710D">
        <w:t xml:space="preserve">. </w:t>
      </w:r>
    </w:p>
    <w:p w:rsidR="00F574D0" w:rsidRDefault="001C31C3" w:rsidP="00F574D0">
      <w:pPr>
        <w:pStyle w:val="04BodyText"/>
        <w:spacing w:before="120" w:after="120"/>
      </w:pPr>
      <w:r w:rsidRPr="00321CD3">
        <w:t xml:space="preserve">All contributions should be submitted online at </w:t>
      </w:r>
      <w:hyperlink r:id="rId13" w:history="1">
        <w:r w:rsidRPr="00321CD3">
          <w:rPr>
            <w:rStyle w:val="Hyperlink"/>
          </w:rPr>
          <w:t>www.esma.europa.eu</w:t>
        </w:r>
      </w:hyperlink>
      <w:r w:rsidRPr="00321CD3">
        <w:t xml:space="preserve"> under the heading ‘Your i</w:t>
      </w:r>
      <w:r w:rsidRPr="00321CD3">
        <w:t>n</w:t>
      </w:r>
      <w:r w:rsidRPr="00321CD3">
        <w:t xml:space="preserve">put/Consultations’. </w:t>
      </w:r>
    </w:p>
    <w:p w:rsidR="00F574D0" w:rsidRPr="00F574D0" w:rsidRDefault="00F574D0" w:rsidP="001C31C3">
      <w:pPr>
        <w:pStyle w:val="05HeadlinenoIndex"/>
        <w:rPr>
          <w:rFonts w:cs="Georgia"/>
          <w:b w:val="0"/>
          <w:bCs/>
          <w:i/>
          <w:color w:val="000000"/>
          <w:szCs w:val="20"/>
          <w:lang w:eastAsia="en-GB"/>
        </w:rPr>
      </w:pPr>
      <w:r w:rsidRPr="001C31C3">
        <w:t>Instructions</w:t>
      </w:r>
    </w:p>
    <w:p w:rsidR="00F574D0" w:rsidRPr="0081710D" w:rsidRDefault="00D75FEE" w:rsidP="00F574D0">
      <w:pPr>
        <w:pStyle w:val="04BodyText"/>
        <w:spacing w:before="120" w:after="120"/>
      </w:pPr>
      <w:r w:rsidRPr="00D75FEE">
        <w:t xml:space="preserve">Please note that, in order to facilitate the analysis of the responses, you are requested to use this file to send your response to ESMA so as to allow us to process it properly. Therefore, please follow </w:t>
      </w:r>
      <w:r>
        <w:t>the instru</w:t>
      </w:r>
      <w:r>
        <w:t>c</w:t>
      </w:r>
      <w:r>
        <w:t>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w:t>
      </w:r>
      <w:r w:rsidR="00395EF9" w:rsidRPr="00395EF9">
        <w:t xml:space="preserve"> </w:t>
      </w:r>
      <w:r w:rsidR="00395EF9">
        <w:t>ESMA_</w:t>
      </w:r>
      <w:r w:rsidR="002777CA">
        <w:t>CA3</w:t>
      </w:r>
      <w:r w:rsidR="00395EF9">
        <w:t>_QUESTION</w:t>
      </w:r>
      <w:r w:rsidR="00E9344E">
        <w:t>_</w:t>
      </w:r>
      <w:r w:rsidR="00F574D0" w:rsidRPr="0081710D">
        <w:t>1&gt; - i.e. the response to one question has to be framed by the 2 tags corresponding to the question; and</w:t>
      </w:r>
    </w:p>
    <w:p w:rsidR="00F574D0" w:rsidRPr="00321CD3"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1C31C3" w:rsidRDefault="00F574D0" w:rsidP="001C31C3">
      <w:pPr>
        <w:pStyle w:val="05HeadlinenoIndex"/>
      </w:pPr>
      <w:bookmarkStart w:id="1" w:name="_Toc335141334"/>
      <w:r w:rsidRPr="001C31C3">
        <w:t>Publication of responses</w:t>
      </w:r>
      <w:bookmarkEnd w:id="1"/>
    </w:p>
    <w:p w:rsidR="00F574D0" w:rsidRPr="0081710D"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1C31C3" w:rsidRDefault="00F574D0" w:rsidP="001C31C3">
      <w:pPr>
        <w:pStyle w:val="05HeadlinenoIndex"/>
      </w:pPr>
      <w:bookmarkStart w:id="2" w:name="_Toc335141335"/>
      <w:r w:rsidRPr="001C31C3">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Hyperlink"/>
            <w:szCs w:val="20"/>
          </w:rPr>
          <w:t>www.esma.europa.eu</w:t>
        </w:r>
      </w:hyperlink>
      <w:r w:rsidRPr="00321CD3">
        <w:rPr>
          <w:szCs w:val="20"/>
        </w:rPr>
        <w:t xml:space="preserve"> under the heading ‘Disclaimer’.</w:t>
      </w:r>
    </w:p>
    <w:bookmarkEnd w:id="0"/>
    <w:p w:rsidR="001C31C3" w:rsidRDefault="001C31C3">
      <w:pPr>
        <w:rPr>
          <w:rFonts w:cs="Arial"/>
          <w:b/>
          <w:bCs/>
          <w:kern w:val="32"/>
          <w:sz w:val="24"/>
          <w:szCs w:val="32"/>
        </w:rPr>
      </w:pPr>
      <w:r>
        <w:br w:type="page"/>
      </w:r>
    </w:p>
    <w:p w:rsidR="00F45029" w:rsidRDefault="00F45029" w:rsidP="00F45029">
      <w:pPr>
        <w:pStyle w:val="Heading1"/>
        <w:numPr>
          <w:ilvl w:val="0"/>
          <w:numId w:val="0"/>
        </w:numPr>
      </w:pPr>
      <w:r>
        <w:lastRenderedPageBreak/>
        <w:t>General information about respondent</w:t>
      </w:r>
    </w:p>
    <w:tbl>
      <w:tblPr>
        <w:tblStyle w:val="TableGrid"/>
        <w:tblW w:w="0" w:type="auto"/>
        <w:tblLook w:val="04A0"/>
      </w:tblPr>
      <w:tblGrid>
        <w:gridCol w:w="3510"/>
        <w:gridCol w:w="6118"/>
      </w:tblGrid>
      <w:tr w:rsidR="00F45029" w:rsidTr="007E28FD">
        <w:tc>
          <w:tcPr>
            <w:tcW w:w="3510" w:type="dxa"/>
          </w:tcPr>
          <w:p w:rsidR="00F45029" w:rsidRDefault="00F45029" w:rsidP="007E28FD">
            <w:r>
              <w:t>Are you representing an association?</w:t>
            </w:r>
          </w:p>
        </w:tc>
        <w:tc>
          <w:tcPr>
            <w:tcW w:w="6118" w:type="dxa"/>
          </w:tcPr>
          <w:p w:rsidR="00F45029" w:rsidRDefault="00AE1D87" w:rsidP="007E28FD">
            <w:sdt>
              <w:sdtPr>
                <w:alias w:val="Association"/>
                <w:tag w:val="Association"/>
                <w:id w:val="-1769143793"/>
                <w:placeholder>
                  <w:docPart w:val="3B73C2B6D27B46D9B117EDC939FB0C8D"/>
                </w:placeholder>
                <w:comboBox>
                  <w:listItem w:displayText="Yes" w:value="Yes"/>
                  <w:listItem w:displayText="No" w:value="No"/>
                </w:comboBox>
              </w:sdtPr>
              <w:sdtContent>
                <w:permStart w:id="0" w:edGrp="everyone"/>
                <w:r w:rsidR="007E28FD">
                  <w:t>Yes</w:t>
                </w:r>
                <w:permEnd w:id="0"/>
              </w:sdtContent>
            </w:sdt>
          </w:p>
        </w:tc>
      </w:tr>
      <w:tr w:rsidR="00F45029" w:rsidTr="007E28FD">
        <w:tc>
          <w:tcPr>
            <w:tcW w:w="3510" w:type="dxa"/>
          </w:tcPr>
          <w:p w:rsidR="00F45029" w:rsidRDefault="00F45029" w:rsidP="007E28FD">
            <w:r>
              <w:t>Activity:</w:t>
            </w:r>
          </w:p>
        </w:tc>
        <w:tc>
          <w:tcPr>
            <w:tcW w:w="6118" w:type="dxa"/>
          </w:tcPr>
          <w:p w:rsidR="00F45029" w:rsidRDefault="00AE1D87" w:rsidP="007E28FD">
            <w:sdt>
              <w:sdtPr>
                <w:alias w:val="Activity"/>
                <w:tag w:val="Activity"/>
                <w:id w:val="1654095920"/>
                <w:placeholder>
                  <w:docPart w:val="5D7A0B6D2E2348BAA8507A46929D13BC"/>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 w:edGrp="everyone"/>
                <w:r w:rsidR="007E28FD">
                  <w:t>Banking sector</w:t>
                </w:r>
                <w:permEnd w:id="1"/>
              </w:sdtContent>
            </w:sdt>
          </w:p>
        </w:tc>
      </w:tr>
      <w:tr w:rsidR="00F45029" w:rsidTr="007E28FD">
        <w:tc>
          <w:tcPr>
            <w:tcW w:w="3510" w:type="dxa"/>
          </w:tcPr>
          <w:p w:rsidR="00F45029" w:rsidRDefault="00F45029" w:rsidP="007E28FD">
            <w:r>
              <w:t>Country/Region</w:t>
            </w:r>
          </w:p>
        </w:tc>
        <w:sdt>
          <w:sdtPr>
            <w:alias w:val="Country"/>
            <w:tag w:val="Country"/>
            <w:id w:val="-1549134410"/>
            <w:placeholder>
              <w:docPart w:val="2601290A809E4F0FA43C90989CB57F4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2" w:edGrp="everyone" w:displacedByCustomXml="prev"/>
            <w:tc>
              <w:tcPr>
                <w:tcW w:w="6118" w:type="dxa"/>
              </w:tcPr>
              <w:p w:rsidR="00F45029" w:rsidRDefault="007E28FD" w:rsidP="007E28FD">
                <w:r>
                  <w:t>International</w:t>
                </w:r>
              </w:p>
            </w:tc>
            <w:permEnd w:id="2" w:displacedByCustomXml="next"/>
          </w:sdtContent>
        </w:sdt>
      </w:tr>
    </w:tbl>
    <w:p w:rsidR="00CC1C71" w:rsidRDefault="00CC1C71" w:rsidP="00CC1C71"/>
    <w:p w:rsidR="00C7564E" w:rsidRDefault="00C7564E">
      <w:pPr>
        <w:rPr>
          <w:rFonts w:cs="Arial"/>
          <w:b/>
          <w:bCs/>
          <w:kern w:val="32"/>
          <w:sz w:val="24"/>
          <w:szCs w:val="32"/>
        </w:rPr>
      </w:pPr>
      <w:bookmarkStart w:id="3" w:name="_Toc392599420"/>
      <w:bookmarkStart w:id="4" w:name="_Toc390701574"/>
      <w:bookmarkStart w:id="5" w:name="_Toc398140744"/>
      <w:r>
        <w:br w:type="page"/>
      </w:r>
    </w:p>
    <w:p w:rsidR="00C7564E" w:rsidRDefault="00C7564E" w:rsidP="00C7564E">
      <w:pPr>
        <w:pStyle w:val="Heading1"/>
        <w:numPr>
          <w:ilvl w:val="0"/>
          <w:numId w:val="0"/>
        </w:numPr>
      </w:pPr>
      <w:r w:rsidRPr="004C2CD3">
        <w:lastRenderedPageBreak/>
        <w:t>Introduction</w:t>
      </w:r>
      <w:bookmarkEnd w:id="3"/>
    </w:p>
    <w:p w:rsidR="00C7564E" w:rsidRDefault="00C7564E" w:rsidP="00C7564E"/>
    <w:p w:rsidR="00C7564E" w:rsidRPr="008203F7" w:rsidRDefault="00C7564E" w:rsidP="00C7564E">
      <w:pPr>
        <w:rPr>
          <w:b/>
        </w:rPr>
      </w:pPr>
      <w:r w:rsidRPr="008203F7">
        <w:rPr>
          <w:b/>
        </w:rPr>
        <w:t>Please make your introductory comments below:</w:t>
      </w:r>
    </w:p>
    <w:p w:rsidR="00C7564E" w:rsidRDefault="00C7564E" w:rsidP="00C7564E"/>
    <w:p w:rsidR="00C7564E" w:rsidRDefault="00C7564E" w:rsidP="00C7564E">
      <w:r>
        <w:t>&lt;ESMA_CO3_COMMENT_1&gt;</w:t>
      </w:r>
    </w:p>
    <w:p w:rsidR="007E28FD" w:rsidRPr="007E28FD" w:rsidRDefault="007E28FD" w:rsidP="007E28FD">
      <w:pPr>
        <w:jc w:val="both"/>
        <w:rPr>
          <w:rFonts w:ascii="Garamond" w:hAnsi="Garamond"/>
          <w:b/>
          <w:sz w:val="22"/>
          <w:szCs w:val="22"/>
        </w:rPr>
      </w:pPr>
      <w:permStart w:id="3" w:edGrp="everyone"/>
      <w:r w:rsidRPr="007E28FD">
        <w:rPr>
          <w:rFonts w:ascii="Garamond" w:hAnsi="Garamond"/>
          <w:b/>
          <w:sz w:val="22"/>
          <w:szCs w:val="22"/>
        </w:rPr>
        <w:t>BACKGROUND</w:t>
      </w:r>
    </w:p>
    <w:p w:rsidR="007E28FD" w:rsidRPr="007E28FD" w:rsidRDefault="007E28FD" w:rsidP="007E28FD">
      <w:pPr>
        <w:jc w:val="both"/>
        <w:rPr>
          <w:rFonts w:ascii="Garamond" w:hAnsi="Garamond"/>
          <w:b/>
          <w:sz w:val="22"/>
          <w:szCs w:val="22"/>
        </w:rPr>
      </w:pPr>
    </w:p>
    <w:p w:rsidR="0060364A" w:rsidRDefault="007E28FD" w:rsidP="0060364A">
      <w:pPr>
        <w:jc w:val="both"/>
        <w:rPr>
          <w:rFonts w:ascii="Garamond" w:hAnsi="Garamond"/>
          <w:sz w:val="22"/>
          <w:szCs w:val="22"/>
        </w:rPr>
      </w:pPr>
      <w:r w:rsidRPr="007E28FD">
        <w:rPr>
          <w:rFonts w:ascii="Garamond" w:eastAsiaTheme="minorHAnsi" w:hAnsi="Garamond"/>
          <w:sz w:val="22"/>
          <w:szCs w:val="22"/>
          <w:lang w:val="en-US" w:eastAsia="en-US"/>
        </w:rPr>
        <w:t xml:space="preserve">The </w:t>
      </w:r>
      <w:r w:rsidRPr="005F0814">
        <w:rPr>
          <w:rFonts w:ascii="Garamond" w:eastAsiaTheme="minorHAnsi" w:hAnsi="Garamond"/>
          <w:b/>
          <w:sz w:val="22"/>
          <w:szCs w:val="22"/>
          <w:lang w:val="en-US" w:eastAsia="en-US"/>
        </w:rPr>
        <w:t>Global FX Division (“</w:t>
      </w:r>
      <w:r w:rsidRPr="005F0814">
        <w:rPr>
          <w:rFonts w:ascii="Garamond" w:eastAsiaTheme="minorHAnsi" w:hAnsi="Garamond"/>
          <w:b/>
          <w:sz w:val="22"/>
          <w:szCs w:val="22"/>
          <w:u w:val="single"/>
          <w:lang w:val="en-US" w:eastAsia="en-US"/>
        </w:rPr>
        <w:t>GFXD</w:t>
      </w:r>
      <w:r w:rsidRPr="005F0814">
        <w:rPr>
          <w:rFonts w:ascii="Garamond" w:eastAsiaTheme="minorHAnsi" w:hAnsi="Garamond"/>
          <w:b/>
          <w:sz w:val="22"/>
          <w:szCs w:val="22"/>
          <w:lang w:val="en-US" w:eastAsia="en-US"/>
        </w:rPr>
        <w:t>”) of the Global Financial Markets Association (“</w:t>
      </w:r>
      <w:r w:rsidRPr="005F0814">
        <w:rPr>
          <w:rFonts w:ascii="Garamond" w:eastAsiaTheme="minorHAnsi" w:hAnsi="Garamond"/>
          <w:b/>
          <w:sz w:val="22"/>
          <w:szCs w:val="22"/>
          <w:u w:val="single"/>
          <w:lang w:val="en-US" w:eastAsia="en-US"/>
        </w:rPr>
        <w:t>GFMA</w:t>
      </w:r>
      <w:r w:rsidRPr="005F0814">
        <w:rPr>
          <w:rFonts w:ascii="Garamond" w:eastAsiaTheme="minorHAnsi" w:hAnsi="Garamond"/>
          <w:b/>
          <w:sz w:val="22"/>
          <w:szCs w:val="22"/>
          <w:lang w:val="en-US" w:eastAsia="en-US"/>
        </w:rPr>
        <w:t xml:space="preserve">”) </w:t>
      </w:r>
      <w:r w:rsidRPr="007E28FD">
        <w:rPr>
          <w:rFonts w:ascii="Garamond" w:eastAsiaTheme="minorHAnsi" w:hAnsi="Garamond"/>
          <w:sz w:val="22"/>
          <w:szCs w:val="22"/>
          <w:lang w:val="en-US" w:eastAsia="en-US"/>
        </w:rPr>
        <w:t>welcomes the opportunity to comment on the Consultation Paper issued by the European Securities and Markets A</w:t>
      </w:r>
      <w:r w:rsidRPr="007E28FD">
        <w:rPr>
          <w:rFonts w:ascii="Garamond" w:eastAsiaTheme="minorHAnsi" w:hAnsi="Garamond"/>
          <w:sz w:val="22"/>
          <w:szCs w:val="22"/>
          <w:lang w:val="en-US" w:eastAsia="en-US"/>
        </w:rPr>
        <w:t>u</w:t>
      </w:r>
      <w:r w:rsidRPr="007E28FD">
        <w:rPr>
          <w:rFonts w:ascii="Garamond" w:eastAsiaTheme="minorHAnsi" w:hAnsi="Garamond"/>
          <w:sz w:val="22"/>
          <w:szCs w:val="22"/>
          <w:lang w:val="en-US" w:eastAsia="en-US"/>
        </w:rPr>
        <w:t>thority (“</w:t>
      </w:r>
      <w:r w:rsidRPr="007E28FD">
        <w:rPr>
          <w:rFonts w:ascii="Garamond" w:eastAsiaTheme="minorHAnsi" w:hAnsi="Garamond"/>
          <w:sz w:val="22"/>
          <w:szCs w:val="22"/>
          <w:u w:val="single"/>
          <w:lang w:val="en-US" w:eastAsia="en-US"/>
        </w:rPr>
        <w:t>ESMA</w:t>
      </w:r>
      <w:r w:rsidRPr="007E28FD">
        <w:rPr>
          <w:rFonts w:ascii="Garamond" w:eastAsiaTheme="minorHAnsi" w:hAnsi="Garamond"/>
          <w:sz w:val="22"/>
          <w:szCs w:val="22"/>
          <w:lang w:val="en-US" w:eastAsia="en-US"/>
        </w:rPr>
        <w:t>”) on Clearing Obligation under EMIR (no. 3) (“</w:t>
      </w:r>
      <w:r w:rsidRPr="007E28FD">
        <w:rPr>
          <w:rFonts w:ascii="Garamond" w:eastAsiaTheme="minorHAnsi" w:hAnsi="Garamond"/>
          <w:sz w:val="22"/>
          <w:szCs w:val="22"/>
          <w:u w:val="single"/>
          <w:lang w:val="en-US" w:eastAsia="en-US"/>
        </w:rPr>
        <w:t>Consultation Paper</w:t>
      </w:r>
      <w:r w:rsidRPr="007E28FD">
        <w:rPr>
          <w:rFonts w:ascii="Garamond" w:eastAsiaTheme="minorHAnsi" w:hAnsi="Garamond"/>
          <w:sz w:val="22"/>
          <w:szCs w:val="22"/>
          <w:lang w:val="en-US" w:eastAsia="en-US"/>
        </w:rPr>
        <w:t xml:space="preserve">”).  </w:t>
      </w:r>
      <w:r w:rsidRPr="007E28FD">
        <w:rPr>
          <w:rFonts w:ascii="Garamond" w:hAnsi="Garamond"/>
          <w:sz w:val="22"/>
          <w:szCs w:val="22"/>
        </w:rPr>
        <w:t>The GFXD was formed in cooperation with the Association for Financial Markets in Europe (“</w:t>
      </w:r>
      <w:r w:rsidRPr="007E28FD">
        <w:rPr>
          <w:rFonts w:ascii="Garamond" w:hAnsi="Garamond"/>
          <w:sz w:val="22"/>
          <w:szCs w:val="22"/>
          <w:u w:val="single"/>
        </w:rPr>
        <w:t>AFME</w:t>
      </w:r>
      <w:r w:rsidRPr="007E28FD">
        <w:rPr>
          <w:rFonts w:ascii="Garamond" w:hAnsi="Garamond"/>
          <w:sz w:val="22"/>
          <w:szCs w:val="22"/>
        </w:rPr>
        <w:t>”), the Securities Indu</w:t>
      </w:r>
      <w:r w:rsidRPr="007E28FD">
        <w:rPr>
          <w:rFonts w:ascii="Garamond" w:hAnsi="Garamond"/>
          <w:sz w:val="22"/>
          <w:szCs w:val="22"/>
        </w:rPr>
        <w:t>s</w:t>
      </w:r>
      <w:r w:rsidRPr="007E28FD">
        <w:rPr>
          <w:rFonts w:ascii="Garamond" w:hAnsi="Garamond"/>
          <w:sz w:val="22"/>
          <w:szCs w:val="22"/>
        </w:rPr>
        <w:t>try and Financial Markets Association (“</w:t>
      </w:r>
      <w:r w:rsidRPr="007E28FD">
        <w:rPr>
          <w:rFonts w:ascii="Garamond" w:hAnsi="Garamond"/>
          <w:sz w:val="22"/>
          <w:szCs w:val="22"/>
          <w:u w:val="single"/>
        </w:rPr>
        <w:t>SIFMA</w:t>
      </w:r>
      <w:r w:rsidRPr="007E28FD">
        <w:rPr>
          <w:rFonts w:ascii="Garamond" w:hAnsi="Garamond"/>
          <w:sz w:val="22"/>
          <w:szCs w:val="22"/>
        </w:rPr>
        <w:t>”) and the Asia Securities Industry and Financial Markets Association (“</w:t>
      </w:r>
      <w:r w:rsidRPr="007E28FD">
        <w:rPr>
          <w:rFonts w:ascii="Garamond" w:hAnsi="Garamond"/>
          <w:sz w:val="22"/>
          <w:szCs w:val="22"/>
          <w:u w:val="single"/>
        </w:rPr>
        <w:t>ASIFMA</w:t>
      </w:r>
      <w:r w:rsidRPr="007E28FD">
        <w:rPr>
          <w:rFonts w:ascii="Garamond" w:hAnsi="Garamond"/>
          <w:sz w:val="22"/>
          <w:szCs w:val="22"/>
        </w:rPr>
        <w:t>”).  Its members comprise 24 global foreign exchange (“</w:t>
      </w:r>
      <w:r w:rsidRPr="007E28FD">
        <w:rPr>
          <w:rFonts w:ascii="Garamond" w:hAnsi="Garamond"/>
          <w:sz w:val="22"/>
          <w:szCs w:val="22"/>
          <w:u w:val="single"/>
        </w:rPr>
        <w:t>FX</w:t>
      </w:r>
      <w:r w:rsidRPr="007E28FD">
        <w:rPr>
          <w:rFonts w:ascii="Garamond" w:hAnsi="Garamond"/>
          <w:sz w:val="22"/>
          <w:szCs w:val="22"/>
        </w:rPr>
        <w:t>”) market participants,</w:t>
      </w:r>
      <w:r w:rsidRPr="007E28FD">
        <w:rPr>
          <w:rFonts w:ascii="Garamond" w:hAnsi="Garamond"/>
          <w:sz w:val="22"/>
          <w:szCs w:val="22"/>
          <w:vertAlign w:val="superscript"/>
        </w:rPr>
        <w:footnoteReference w:id="2"/>
      </w:r>
      <w:r w:rsidRPr="007E28FD">
        <w:rPr>
          <w:rFonts w:ascii="Garamond" w:hAnsi="Garamond"/>
          <w:sz w:val="22"/>
          <w:szCs w:val="22"/>
        </w:rPr>
        <w:t xml:space="preserve"> collectively representing more than 90% of the FX dealer market.</w:t>
      </w:r>
      <w:r w:rsidRPr="007E28FD">
        <w:rPr>
          <w:rFonts w:ascii="Garamond" w:hAnsi="Garamond"/>
          <w:sz w:val="22"/>
          <w:szCs w:val="22"/>
          <w:vertAlign w:val="superscript"/>
        </w:rPr>
        <w:footnoteReference w:id="3"/>
      </w:r>
      <w:r w:rsidRPr="007E28FD">
        <w:rPr>
          <w:rFonts w:ascii="Garamond" w:hAnsi="Garamond"/>
          <w:sz w:val="22"/>
          <w:szCs w:val="22"/>
        </w:rPr>
        <w:t xml:space="preserve">  Both the GFXD and its members are committed to ensuring a robust, open and fair marketplace and welcome the opportunity for continued di</w:t>
      </w:r>
      <w:r w:rsidRPr="007E28FD">
        <w:rPr>
          <w:rFonts w:ascii="Garamond" w:hAnsi="Garamond"/>
          <w:sz w:val="22"/>
          <w:szCs w:val="22"/>
        </w:rPr>
        <w:t>a</w:t>
      </w:r>
      <w:r w:rsidRPr="007E28FD">
        <w:rPr>
          <w:rFonts w:ascii="Garamond" w:hAnsi="Garamond"/>
          <w:sz w:val="22"/>
          <w:szCs w:val="22"/>
        </w:rPr>
        <w:t>logue with global regulators.</w:t>
      </w:r>
    </w:p>
    <w:p w:rsidR="0060364A" w:rsidRDefault="0060364A" w:rsidP="0060364A">
      <w:pPr>
        <w:jc w:val="both"/>
        <w:rPr>
          <w:rFonts w:ascii="Garamond" w:hAnsi="Garamond"/>
          <w:sz w:val="22"/>
          <w:szCs w:val="22"/>
        </w:rPr>
      </w:pPr>
    </w:p>
    <w:p w:rsidR="007E28FD" w:rsidRPr="0060364A" w:rsidRDefault="007E28FD" w:rsidP="0060364A">
      <w:pPr>
        <w:jc w:val="both"/>
        <w:rPr>
          <w:rFonts w:ascii="Garamond" w:hAnsi="Garamond" w:cstheme="majorHAnsi"/>
          <w:sz w:val="22"/>
          <w:szCs w:val="22"/>
        </w:rPr>
      </w:pPr>
      <w:r w:rsidRPr="007E28FD">
        <w:rPr>
          <w:rFonts w:ascii="Garamond" w:hAnsi="Garamond"/>
          <w:sz w:val="22"/>
          <w:szCs w:val="22"/>
        </w:rPr>
        <w:t>The FX market is the world’s largest financial market.  Effective and efficient exchange of currencies unde</w:t>
      </w:r>
      <w:r w:rsidRPr="007E28FD">
        <w:rPr>
          <w:rFonts w:ascii="Garamond" w:hAnsi="Garamond"/>
          <w:sz w:val="22"/>
          <w:szCs w:val="22"/>
        </w:rPr>
        <w:t>r</w:t>
      </w:r>
      <w:r w:rsidRPr="007E28FD">
        <w:rPr>
          <w:rFonts w:ascii="Garamond" w:hAnsi="Garamond"/>
          <w:sz w:val="22"/>
          <w:szCs w:val="22"/>
        </w:rPr>
        <w:t>pins the world’s financial system.  Sovereign entities, central banks and other government sponsored entities rely on this market being well-functioning and available at all times.  Corporations and investors regularly participate in the market for operational needs:  to reduce risk by hedging currency exposures; to convert their returns from international investments into domestic currencies; and to make cross-border investments and raise funding outside home markets.</w:t>
      </w:r>
      <w:r w:rsidRPr="007E28FD">
        <w:rPr>
          <w:rFonts w:ascii="Garamond" w:hAnsi="Garamond" w:cstheme="majorHAnsi"/>
          <w:sz w:val="22"/>
          <w:szCs w:val="22"/>
        </w:rPr>
        <w:t xml:space="preserve">  </w:t>
      </w:r>
      <w:r w:rsidRPr="007E28FD">
        <w:rPr>
          <w:rFonts w:ascii="Garamond" w:hAnsi="Garamond"/>
          <w:sz w:val="22"/>
          <w:szCs w:val="22"/>
        </w:rPr>
        <w:t>Many of the current legislative and regulatory reforms have had, and will continue to have, a significant impact upon the operation of the global FX market, and the potential cons</w:t>
      </w:r>
      <w:r w:rsidRPr="007E28FD">
        <w:rPr>
          <w:rFonts w:ascii="Garamond" w:hAnsi="Garamond"/>
          <w:sz w:val="22"/>
          <w:szCs w:val="22"/>
        </w:rPr>
        <w:t>e</w:t>
      </w:r>
      <w:r w:rsidRPr="007E28FD">
        <w:rPr>
          <w:rFonts w:ascii="Garamond" w:hAnsi="Garamond"/>
          <w:sz w:val="22"/>
          <w:szCs w:val="22"/>
        </w:rPr>
        <w:t>quences reforms should be carefully evaluated.</w:t>
      </w:r>
    </w:p>
    <w:p w:rsidR="0060364A" w:rsidRDefault="0060364A" w:rsidP="007E28FD">
      <w:pPr>
        <w:jc w:val="both"/>
        <w:rPr>
          <w:rFonts w:ascii="Garamond" w:eastAsiaTheme="minorHAnsi" w:hAnsi="Garamond"/>
          <w:b/>
          <w:sz w:val="22"/>
          <w:szCs w:val="22"/>
          <w:lang w:val="en-US" w:eastAsia="en-US"/>
        </w:rPr>
      </w:pPr>
    </w:p>
    <w:p w:rsidR="007E28FD" w:rsidRPr="007E28FD" w:rsidRDefault="007E28FD" w:rsidP="007E28FD">
      <w:pPr>
        <w:jc w:val="both"/>
        <w:rPr>
          <w:rFonts w:ascii="Garamond" w:eastAsiaTheme="minorHAnsi" w:hAnsi="Garamond"/>
          <w:b/>
          <w:sz w:val="22"/>
          <w:szCs w:val="22"/>
          <w:lang w:val="en-US" w:eastAsia="en-US"/>
        </w:rPr>
      </w:pPr>
      <w:r w:rsidRPr="007E28FD">
        <w:rPr>
          <w:rFonts w:ascii="Garamond" w:eastAsiaTheme="minorHAnsi" w:hAnsi="Garamond"/>
          <w:b/>
          <w:sz w:val="22"/>
          <w:szCs w:val="22"/>
          <w:lang w:val="en-US" w:eastAsia="en-US"/>
        </w:rPr>
        <w:t>SUMMARY</w:t>
      </w:r>
    </w:p>
    <w:p w:rsidR="007E28FD" w:rsidRPr="007E28FD" w:rsidRDefault="007E28FD" w:rsidP="007E28FD">
      <w:pPr>
        <w:jc w:val="both"/>
        <w:rPr>
          <w:rFonts w:ascii="Garamond" w:eastAsiaTheme="minorHAnsi" w:hAnsi="Garamond"/>
          <w:b/>
          <w:i/>
          <w:sz w:val="22"/>
          <w:szCs w:val="22"/>
          <w:lang w:val="en-US" w:eastAsia="en-US"/>
        </w:rPr>
      </w:pPr>
    </w:p>
    <w:p w:rsidR="007E28FD" w:rsidRPr="007E28FD" w:rsidRDefault="007E28FD" w:rsidP="007E28FD">
      <w:pPr>
        <w:jc w:val="both"/>
        <w:rPr>
          <w:rFonts w:ascii="Garamond" w:eastAsiaTheme="minorHAnsi" w:hAnsi="Garamond"/>
          <w:sz w:val="22"/>
          <w:szCs w:val="22"/>
        </w:rPr>
      </w:pPr>
      <w:r w:rsidRPr="007E28FD">
        <w:rPr>
          <w:rFonts w:ascii="Garamond" w:eastAsiaTheme="minorHAnsi" w:hAnsi="Garamond"/>
          <w:b/>
          <w:i/>
          <w:sz w:val="22"/>
          <w:szCs w:val="22"/>
          <w:lang w:val="en-US" w:eastAsia="en-US"/>
        </w:rPr>
        <w:t>Distinguishing characteristics of the FX NDF market.</w:t>
      </w:r>
      <w:r w:rsidRPr="007E28FD">
        <w:rPr>
          <w:rFonts w:ascii="Garamond" w:eastAsiaTheme="minorHAnsi" w:hAnsi="Garamond"/>
          <w:sz w:val="22"/>
          <w:szCs w:val="22"/>
          <w:lang w:val="en-US" w:eastAsia="en-US"/>
        </w:rPr>
        <w:t xml:space="preserve">  In the view of the GFXD, certain characteristics of non-deliverable FX forward (“</w:t>
      </w:r>
      <w:r w:rsidRPr="007E28FD">
        <w:rPr>
          <w:rFonts w:ascii="Garamond" w:eastAsiaTheme="minorHAnsi" w:hAnsi="Garamond"/>
          <w:sz w:val="22"/>
          <w:szCs w:val="22"/>
          <w:u w:val="single"/>
          <w:lang w:val="en-US" w:eastAsia="en-US"/>
        </w:rPr>
        <w:t>FX NDF</w:t>
      </w:r>
      <w:r w:rsidRPr="007E28FD">
        <w:rPr>
          <w:rFonts w:ascii="Garamond" w:eastAsiaTheme="minorHAnsi" w:hAnsi="Garamond"/>
          <w:sz w:val="22"/>
          <w:szCs w:val="22"/>
          <w:lang w:val="en-US" w:eastAsia="en-US"/>
        </w:rPr>
        <w:t>”) contracts distinguish the this market from the markets for inte</w:t>
      </w:r>
      <w:r w:rsidRPr="007E28FD">
        <w:rPr>
          <w:rFonts w:ascii="Garamond" w:eastAsiaTheme="minorHAnsi" w:hAnsi="Garamond"/>
          <w:sz w:val="22"/>
          <w:szCs w:val="22"/>
          <w:lang w:val="en-US" w:eastAsia="en-US"/>
        </w:rPr>
        <w:t>r</w:t>
      </w:r>
      <w:r w:rsidRPr="007E28FD">
        <w:rPr>
          <w:rFonts w:ascii="Garamond" w:eastAsiaTheme="minorHAnsi" w:hAnsi="Garamond"/>
          <w:sz w:val="22"/>
          <w:szCs w:val="22"/>
          <w:lang w:val="en-US" w:eastAsia="en-US"/>
        </w:rPr>
        <w:t xml:space="preserve">est rate and credit derivatives and those differences should necessarily be reflected in any recommendation by ESMA to introduce a clearing obligation for these contracts.  These characteristics of the FX NDF market include:  (1) </w:t>
      </w:r>
      <w:r w:rsidRPr="007E28FD">
        <w:rPr>
          <w:rFonts w:ascii="Garamond" w:eastAsiaTheme="minorHAnsi" w:hAnsi="Garamond"/>
          <w:sz w:val="22"/>
          <w:szCs w:val="22"/>
        </w:rPr>
        <w:t>the standardisation of its contracts; (2) the relatively small size of this market, particularly as compared to other OTC derivative asset classes; (3) the limited development of pre-existing voluntary clearing in this market, particularly client-clearing; (4) the relative unfamiliarity of CCPs with managing disruption events affecting the currencies of emerging market jurisdictions and thus the valuation and settlement of these contracts; (5) the concentration of trading in short-dated tenors; and (6) the importance of emerging market financial institutions as liquidity providers.</w:t>
      </w:r>
    </w:p>
    <w:p w:rsidR="007E28FD" w:rsidRPr="007E28FD" w:rsidRDefault="007E28FD" w:rsidP="007E28FD">
      <w:pPr>
        <w:jc w:val="both"/>
        <w:rPr>
          <w:rFonts w:ascii="Garamond" w:eastAsiaTheme="minorHAnsi" w:hAnsi="Garamond"/>
          <w:sz w:val="22"/>
          <w:szCs w:val="22"/>
        </w:rPr>
      </w:pPr>
    </w:p>
    <w:p w:rsidR="007E28FD" w:rsidRPr="007E28FD" w:rsidRDefault="007E28FD" w:rsidP="007E28FD">
      <w:pPr>
        <w:jc w:val="both"/>
        <w:rPr>
          <w:rFonts w:ascii="Garamond" w:eastAsiaTheme="minorHAnsi" w:hAnsi="Garamond"/>
          <w:sz w:val="22"/>
          <w:szCs w:val="22"/>
        </w:rPr>
      </w:pPr>
      <w:r w:rsidRPr="007E28FD">
        <w:rPr>
          <w:rFonts w:ascii="Garamond" w:eastAsiaTheme="minorHAnsi" w:hAnsi="Garamond"/>
          <w:b/>
          <w:i/>
          <w:sz w:val="22"/>
          <w:szCs w:val="22"/>
        </w:rPr>
        <w:t>Because of the relatively undeveloped status of FX NDF clearing, a clearing obligation applied to FX NDF contracts would have to be implemented with great care.</w:t>
      </w:r>
      <w:r w:rsidRPr="007E28FD">
        <w:rPr>
          <w:rFonts w:ascii="Garamond" w:eastAsiaTheme="minorHAnsi" w:hAnsi="Garamond"/>
          <w:i/>
          <w:sz w:val="22"/>
          <w:szCs w:val="22"/>
        </w:rPr>
        <w:t xml:space="preserve">  </w:t>
      </w:r>
      <w:r w:rsidRPr="007E28FD">
        <w:rPr>
          <w:rFonts w:ascii="Garamond" w:eastAsiaTheme="minorHAnsi" w:hAnsi="Garamond"/>
          <w:sz w:val="22"/>
          <w:szCs w:val="22"/>
        </w:rPr>
        <w:t>As a result of the above and other factors detailed in our response to this Consultation Paper, any clearing obligation introduced at this time for FX NDF contracts would need to be sufficiently tailored to cover only standardised and sufficiently liquid products; accompanied by a sufficient phase-in period to address fundamental operational issues; and impl</w:t>
      </w:r>
      <w:r w:rsidRPr="007E28FD">
        <w:rPr>
          <w:rFonts w:ascii="Garamond" w:eastAsiaTheme="minorHAnsi" w:hAnsi="Garamond"/>
          <w:sz w:val="22"/>
          <w:szCs w:val="22"/>
        </w:rPr>
        <w:t>e</w:t>
      </w:r>
      <w:r w:rsidRPr="007E28FD">
        <w:rPr>
          <w:rFonts w:ascii="Garamond" w:eastAsiaTheme="minorHAnsi" w:hAnsi="Garamond"/>
          <w:sz w:val="22"/>
          <w:szCs w:val="22"/>
        </w:rPr>
        <w:lastRenderedPageBreak/>
        <w:t>mented in a well-coordinated fashion among global regulator and with due consideration of potential trad</w:t>
      </w:r>
      <w:r w:rsidR="00DA7A0D">
        <w:rPr>
          <w:rFonts w:ascii="Garamond" w:eastAsiaTheme="minorHAnsi" w:hAnsi="Garamond"/>
          <w:sz w:val="22"/>
          <w:szCs w:val="22"/>
        </w:rPr>
        <w:t>ing mandates for such contracts.</w:t>
      </w:r>
      <w:bookmarkStart w:id="6" w:name="_GoBack"/>
      <w:bookmarkEnd w:id="6"/>
    </w:p>
    <w:p w:rsidR="007E28FD" w:rsidRPr="007E28FD" w:rsidRDefault="007E28FD" w:rsidP="007E28FD">
      <w:pPr>
        <w:jc w:val="both"/>
        <w:rPr>
          <w:rFonts w:ascii="Garamond" w:eastAsiaTheme="minorHAnsi" w:hAnsi="Garamond"/>
          <w:sz w:val="22"/>
          <w:szCs w:val="22"/>
        </w:rPr>
      </w:pPr>
    </w:p>
    <w:p w:rsidR="007E28FD" w:rsidRPr="007E28FD" w:rsidRDefault="007E28FD" w:rsidP="007E28FD">
      <w:pPr>
        <w:pStyle w:val="ListParagraph"/>
        <w:numPr>
          <w:ilvl w:val="0"/>
          <w:numId w:val="38"/>
        </w:numPr>
        <w:contextualSpacing w:val="0"/>
        <w:jc w:val="both"/>
        <w:rPr>
          <w:rFonts w:ascii="Garamond" w:hAnsi="Garamond"/>
          <w:sz w:val="22"/>
          <w:szCs w:val="22"/>
        </w:rPr>
      </w:pPr>
      <w:r w:rsidRPr="007E28FD">
        <w:rPr>
          <w:rFonts w:ascii="Garamond" w:hAnsi="Garamond"/>
          <w:i/>
          <w:sz w:val="22"/>
          <w:szCs w:val="22"/>
        </w:rPr>
        <w:t>Application of EMTA published currency templates, without modification.</w:t>
      </w:r>
      <w:r w:rsidRPr="007E28FD">
        <w:rPr>
          <w:rFonts w:ascii="Garamond" w:hAnsi="Garamond"/>
          <w:sz w:val="22"/>
          <w:szCs w:val="22"/>
        </w:rPr>
        <w:t xml:space="preserve">   To ensure the level of standardis</w:t>
      </w:r>
      <w:r w:rsidRPr="007E28FD">
        <w:rPr>
          <w:rFonts w:ascii="Garamond" w:hAnsi="Garamond"/>
          <w:sz w:val="22"/>
          <w:szCs w:val="22"/>
        </w:rPr>
        <w:t>a</w:t>
      </w:r>
      <w:r w:rsidRPr="007E28FD">
        <w:rPr>
          <w:rFonts w:ascii="Garamond" w:hAnsi="Garamond"/>
          <w:sz w:val="22"/>
          <w:szCs w:val="22"/>
        </w:rPr>
        <w:t>tion achieved to date for in the FX NDF market is preserved, any clearing obligation for FX NDF contracts must be sufficiently clear that it only applies to standardised contracts which incorporate i</w:t>
      </w:r>
      <w:r w:rsidRPr="007E28FD">
        <w:rPr>
          <w:rFonts w:ascii="Garamond" w:hAnsi="Garamond"/>
          <w:sz w:val="22"/>
          <w:szCs w:val="22"/>
        </w:rPr>
        <w:t>n</w:t>
      </w:r>
      <w:r w:rsidRPr="007E28FD">
        <w:rPr>
          <w:rFonts w:ascii="Garamond" w:hAnsi="Garamond"/>
          <w:sz w:val="22"/>
          <w:szCs w:val="22"/>
        </w:rPr>
        <w:t>dustry standardised currency templates, in the form published by EMTA (i.e., without modification).  This ensures the clearing obligation does not encompass instruments with different economic terms.</w:t>
      </w:r>
    </w:p>
    <w:p w:rsidR="007E28FD" w:rsidRPr="007E28FD" w:rsidRDefault="007E28FD" w:rsidP="007E28FD">
      <w:pPr>
        <w:pStyle w:val="ListParagraph"/>
        <w:jc w:val="both"/>
        <w:rPr>
          <w:rFonts w:ascii="Garamond" w:hAnsi="Garamond"/>
          <w:sz w:val="22"/>
          <w:szCs w:val="22"/>
        </w:rPr>
      </w:pPr>
    </w:p>
    <w:p w:rsidR="007E28FD" w:rsidRPr="007E28FD" w:rsidRDefault="007E28FD" w:rsidP="007E28FD">
      <w:pPr>
        <w:pStyle w:val="ListParagraph"/>
        <w:numPr>
          <w:ilvl w:val="0"/>
          <w:numId w:val="38"/>
        </w:numPr>
        <w:contextualSpacing w:val="0"/>
        <w:jc w:val="both"/>
        <w:rPr>
          <w:rFonts w:ascii="Garamond" w:hAnsi="Garamond"/>
          <w:sz w:val="22"/>
          <w:szCs w:val="22"/>
        </w:rPr>
      </w:pPr>
      <w:r w:rsidRPr="007E28FD">
        <w:rPr>
          <w:rFonts w:ascii="Garamond" w:hAnsi="Garamond"/>
          <w:i/>
          <w:sz w:val="22"/>
          <w:szCs w:val="22"/>
        </w:rPr>
        <w:t>Tenor of One-Year.</w:t>
      </w:r>
      <w:r w:rsidRPr="007E28FD">
        <w:rPr>
          <w:rFonts w:ascii="Garamond" w:hAnsi="Garamond"/>
          <w:sz w:val="22"/>
          <w:szCs w:val="22"/>
        </w:rPr>
        <w:t xml:space="preserve">  Any clearing obligation for FX NDFs should be limited to contracts with a tenor of one year or less.  Open interest in these contracts is concentrated in shorter-dated tenors, there is i</w:t>
      </w:r>
      <w:r w:rsidRPr="007E28FD">
        <w:rPr>
          <w:rFonts w:ascii="Garamond" w:hAnsi="Garamond"/>
          <w:sz w:val="22"/>
          <w:szCs w:val="22"/>
        </w:rPr>
        <w:t>n</w:t>
      </w:r>
      <w:r w:rsidRPr="007E28FD">
        <w:rPr>
          <w:rFonts w:ascii="Garamond" w:hAnsi="Garamond"/>
          <w:sz w:val="22"/>
          <w:szCs w:val="22"/>
        </w:rPr>
        <w:t>sufficient liquidity in these contracts beyond one year to support clearing and, given the limited liqui</w:t>
      </w:r>
      <w:r w:rsidRPr="007E28FD">
        <w:rPr>
          <w:rFonts w:ascii="Garamond" w:hAnsi="Garamond"/>
          <w:sz w:val="22"/>
          <w:szCs w:val="22"/>
        </w:rPr>
        <w:t>d</w:t>
      </w:r>
      <w:r w:rsidRPr="007E28FD">
        <w:rPr>
          <w:rFonts w:ascii="Garamond" w:hAnsi="Garamond"/>
          <w:sz w:val="22"/>
          <w:szCs w:val="22"/>
        </w:rPr>
        <w:t>ity, CCPs would find it difficult to manage the default of a clearing member responsible for transa</w:t>
      </w:r>
      <w:r w:rsidRPr="007E28FD">
        <w:rPr>
          <w:rFonts w:ascii="Garamond" w:hAnsi="Garamond"/>
          <w:sz w:val="22"/>
          <w:szCs w:val="22"/>
        </w:rPr>
        <w:t>c</w:t>
      </w:r>
      <w:r w:rsidRPr="007E28FD">
        <w:rPr>
          <w:rFonts w:ascii="Garamond" w:hAnsi="Garamond"/>
          <w:sz w:val="22"/>
          <w:szCs w:val="22"/>
        </w:rPr>
        <w:t xml:space="preserve">tions with maturities greater than one-year. </w:t>
      </w:r>
    </w:p>
    <w:p w:rsidR="007E28FD" w:rsidRPr="007E28FD" w:rsidRDefault="007E28FD" w:rsidP="007E28FD">
      <w:pPr>
        <w:pStyle w:val="ListParagraph"/>
        <w:jc w:val="both"/>
        <w:rPr>
          <w:rFonts w:ascii="Garamond" w:hAnsi="Garamond"/>
          <w:sz w:val="22"/>
          <w:szCs w:val="22"/>
        </w:rPr>
      </w:pPr>
    </w:p>
    <w:p w:rsidR="007E28FD" w:rsidRPr="007E28FD" w:rsidRDefault="007E28FD" w:rsidP="007E28FD">
      <w:pPr>
        <w:pStyle w:val="ListParagraph"/>
        <w:numPr>
          <w:ilvl w:val="0"/>
          <w:numId w:val="38"/>
        </w:numPr>
        <w:contextualSpacing w:val="0"/>
        <w:jc w:val="both"/>
        <w:rPr>
          <w:rFonts w:ascii="Garamond" w:hAnsi="Garamond"/>
          <w:sz w:val="22"/>
          <w:szCs w:val="22"/>
        </w:rPr>
      </w:pPr>
      <w:r w:rsidRPr="007E28FD">
        <w:rPr>
          <w:rFonts w:ascii="Garamond" w:hAnsi="Garamond"/>
          <w:i/>
          <w:sz w:val="22"/>
          <w:szCs w:val="22"/>
        </w:rPr>
        <w:t>Extended Phase-In Period.</w:t>
      </w:r>
      <w:r w:rsidRPr="007E28FD">
        <w:rPr>
          <w:rFonts w:ascii="Garamond" w:hAnsi="Garamond"/>
          <w:sz w:val="22"/>
          <w:szCs w:val="22"/>
        </w:rPr>
        <w:t xml:space="preserve">  Any determination to introduce a clearing obligation for FX NDFs at this time requires a sufficiently extended phase-in period to allow for market participants to address fu</w:t>
      </w:r>
      <w:r w:rsidRPr="007E28FD">
        <w:rPr>
          <w:rFonts w:ascii="Garamond" w:hAnsi="Garamond"/>
          <w:sz w:val="22"/>
          <w:szCs w:val="22"/>
        </w:rPr>
        <w:t>n</w:t>
      </w:r>
      <w:r w:rsidRPr="007E28FD">
        <w:rPr>
          <w:rFonts w:ascii="Garamond" w:hAnsi="Garamond"/>
          <w:sz w:val="22"/>
          <w:szCs w:val="22"/>
        </w:rPr>
        <w:t>damental outstanding issues.  These issues arise, largely, from the fact that FX NDF clearing is in its infancy. Currently, the single CCP authorised under EMIR to clear these contracts clears an estimated 0.4%-3.6% of these contracts, almost none of which includes client business.</w:t>
      </w:r>
    </w:p>
    <w:p w:rsidR="007E28FD" w:rsidRPr="007E28FD" w:rsidRDefault="007E28FD" w:rsidP="007E28FD">
      <w:pPr>
        <w:jc w:val="both"/>
        <w:rPr>
          <w:rFonts w:ascii="Garamond" w:eastAsiaTheme="minorHAnsi" w:hAnsi="Garamond"/>
          <w:sz w:val="22"/>
          <w:szCs w:val="22"/>
        </w:rPr>
      </w:pPr>
    </w:p>
    <w:p w:rsidR="007E28FD" w:rsidRPr="007E28FD" w:rsidRDefault="007E28FD" w:rsidP="007E28FD">
      <w:pPr>
        <w:jc w:val="both"/>
        <w:rPr>
          <w:rFonts w:ascii="Garamond" w:hAnsi="Garamond"/>
          <w:sz w:val="22"/>
          <w:szCs w:val="22"/>
        </w:rPr>
      </w:pPr>
      <w:r w:rsidRPr="007E28FD">
        <w:rPr>
          <w:rFonts w:ascii="Garamond" w:eastAsiaTheme="minorHAnsi" w:hAnsi="Garamond"/>
          <w:b/>
          <w:i/>
          <w:sz w:val="22"/>
          <w:szCs w:val="22"/>
        </w:rPr>
        <w:t xml:space="preserve">It important that there be a high degree of confidence that the introduction of a clearing obligation at this time for FX NDF contracts would in fact reduce risk, in the aggregate, </w:t>
      </w:r>
      <w:r w:rsidRPr="007E28FD">
        <w:rPr>
          <w:rFonts w:ascii="Garamond" w:eastAsiaTheme="minorHAnsi" w:hAnsi="Garamond"/>
          <w:b/>
          <w:i/>
          <w:sz w:val="22"/>
          <w:szCs w:val="22"/>
          <w:u w:val="single"/>
        </w:rPr>
        <w:t>and</w:t>
      </w:r>
      <w:r w:rsidRPr="007E28FD">
        <w:rPr>
          <w:rFonts w:ascii="Garamond" w:eastAsiaTheme="minorHAnsi" w:hAnsi="Garamond"/>
          <w:b/>
          <w:i/>
          <w:sz w:val="22"/>
          <w:szCs w:val="22"/>
        </w:rPr>
        <w:t xml:space="preserve"> reduce systemic risk before these contracts are moved into a mandatory clearing regime.  </w:t>
      </w:r>
      <w:r w:rsidRPr="007E28FD">
        <w:rPr>
          <w:rFonts w:ascii="Garamond" w:hAnsi="Garamond"/>
          <w:sz w:val="22"/>
          <w:szCs w:val="22"/>
        </w:rPr>
        <w:t xml:space="preserve">While GFXD is supportive of central clearing, where appropriate, and the benefits it can bring to the OTC derivatives markets in such areas as operational efficiencies and counterparty credit risk reduction, GFXD believes it is not clear whether a clearing mandate for these contracts at this time would appropriately address the objective of reducing </w:t>
      </w:r>
      <w:r w:rsidRPr="007E28FD">
        <w:rPr>
          <w:rFonts w:ascii="Garamond" w:hAnsi="Garamond"/>
          <w:i/>
          <w:sz w:val="22"/>
          <w:szCs w:val="22"/>
        </w:rPr>
        <w:t>systemic</w:t>
      </w:r>
      <w:r w:rsidRPr="007E28FD">
        <w:rPr>
          <w:rFonts w:ascii="Garamond" w:hAnsi="Garamond"/>
          <w:sz w:val="22"/>
          <w:szCs w:val="22"/>
        </w:rPr>
        <w:t xml:space="preserve"> risk as required by EMIR Article 5(4).</w:t>
      </w:r>
    </w:p>
    <w:p w:rsidR="007E28FD" w:rsidRPr="007E28FD" w:rsidRDefault="007E28FD" w:rsidP="007E28FD">
      <w:pPr>
        <w:jc w:val="both"/>
        <w:rPr>
          <w:rFonts w:ascii="Garamond" w:hAnsi="Garamond"/>
          <w:sz w:val="22"/>
          <w:szCs w:val="22"/>
        </w:rPr>
      </w:pPr>
    </w:p>
    <w:p w:rsidR="007E28FD" w:rsidRPr="007E28FD" w:rsidRDefault="007E28FD" w:rsidP="007E28FD">
      <w:pPr>
        <w:pStyle w:val="ListParagraph"/>
        <w:numPr>
          <w:ilvl w:val="0"/>
          <w:numId w:val="39"/>
        </w:numPr>
        <w:contextualSpacing w:val="0"/>
        <w:jc w:val="both"/>
        <w:rPr>
          <w:rFonts w:ascii="Garamond" w:hAnsi="Garamond"/>
          <w:b/>
          <w:sz w:val="22"/>
          <w:szCs w:val="22"/>
        </w:rPr>
      </w:pPr>
      <w:r w:rsidRPr="007E28FD">
        <w:rPr>
          <w:rFonts w:ascii="Garamond" w:hAnsi="Garamond"/>
          <w:i/>
          <w:sz w:val="22"/>
          <w:szCs w:val="22"/>
        </w:rPr>
        <w:t xml:space="preserve">FX NDF clearing is in its infancy.  </w:t>
      </w:r>
      <w:r w:rsidRPr="007E28FD">
        <w:rPr>
          <w:rFonts w:ascii="Garamond" w:hAnsi="Garamond"/>
          <w:sz w:val="22"/>
          <w:szCs w:val="22"/>
        </w:rPr>
        <w:t>FX NDF clearing is relatively new and therefore has not achieved the same depth as IRS and CDS clearing had when the clearing mandate was, or is being, introduced to those asset classes in the U.S. by the CFTC and in Europe by ESMA.  While an estimated 0.4%-3.6% FX NDF contracts are currently being cleared, the introduction of the clearing mandate for the IRS and CDS was predicated on far more developed markets with many start-up issues addressed while clearing was still voluntary (i.e., approximately 60% of IRS contracts and 30% of CDS contracts were being voluntarily cleared since 1999 and 2009, respectively, when such mandates were or are being i</w:t>
      </w:r>
      <w:r w:rsidRPr="007E28FD">
        <w:rPr>
          <w:rFonts w:ascii="Garamond" w:hAnsi="Garamond"/>
          <w:sz w:val="22"/>
          <w:szCs w:val="22"/>
        </w:rPr>
        <w:t>n</w:t>
      </w:r>
      <w:r w:rsidRPr="007E28FD">
        <w:rPr>
          <w:rFonts w:ascii="Garamond" w:hAnsi="Garamond"/>
          <w:sz w:val="22"/>
          <w:szCs w:val="22"/>
        </w:rPr>
        <w:t>troduced).  Further, key technical matters associated with FX NDF clearing remain unresolved.  B</w:t>
      </w:r>
      <w:r w:rsidRPr="007E28FD">
        <w:rPr>
          <w:rFonts w:ascii="Garamond" w:hAnsi="Garamond"/>
          <w:sz w:val="22"/>
          <w:szCs w:val="22"/>
        </w:rPr>
        <w:t>e</w:t>
      </w:r>
      <w:r w:rsidRPr="007E28FD">
        <w:rPr>
          <w:rFonts w:ascii="Garamond" w:hAnsi="Garamond"/>
          <w:sz w:val="22"/>
          <w:szCs w:val="22"/>
        </w:rPr>
        <w:t xml:space="preserve">cause FX clearing services need time to mature, for their practices to be properly bedded down and “battle-tested” and for fundamental unresolved issues to be properly addressed, GFXD is concerned that additional risk may be unnecessarily introduced to this global currency market and, as a result, undermine the benefits of central clearing.  </w:t>
      </w:r>
    </w:p>
    <w:p w:rsidR="007E28FD" w:rsidRPr="007E28FD" w:rsidRDefault="007E28FD" w:rsidP="007E28FD">
      <w:pPr>
        <w:jc w:val="both"/>
        <w:rPr>
          <w:rFonts w:ascii="Garamond" w:hAnsi="Garamond"/>
          <w:b/>
          <w:sz w:val="22"/>
          <w:szCs w:val="22"/>
        </w:rPr>
      </w:pPr>
    </w:p>
    <w:p w:rsidR="007E28FD" w:rsidRPr="007E28FD" w:rsidRDefault="007E28FD" w:rsidP="007E28FD">
      <w:pPr>
        <w:pStyle w:val="ListParagraph"/>
        <w:numPr>
          <w:ilvl w:val="0"/>
          <w:numId w:val="39"/>
        </w:numPr>
        <w:contextualSpacing w:val="0"/>
        <w:jc w:val="both"/>
        <w:rPr>
          <w:rFonts w:ascii="Garamond" w:hAnsi="Garamond"/>
          <w:b/>
          <w:sz w:val="22"/>
          <w:szCs w:val="22"/>
        </w:rPr>
      </w:pPr>
      <w:r w:rsidRPr="007E28FD">
        <w:rPr>
          <w:rFonts w:ascii="Garamond" w:hAnsi="Garamond"/>
          <w:i/>
          <w:sz w:val="22"/>
          <w:szCs w:val="22"/>
        </w:rPr>
        <w:t xml:space="preserve">Relatively limited credit risk reduction to be achieved with FX NDF clearing.  </w:t>
      </w:r>
      <w:r w:rsidRPr="007E28FD">
        <w:rPr>
          <w:rFonts w:ascii="Garamond" w:hAnsi="Garamond"/>
          <w:sz w:val="22"/>
          <w:szCs w:val="22"/>
        </w:rPr>
        <w:t>As illustrated in the table below, while mandating FX NDF clearing would transfer a certain amount of bilateral exposure which exists between market participants to CCPs, the amount of risk in the FX NDF market is orders of magn</w:t>
      </w:r>
      <w:r w:rsidRPr="007E28FD">
        <w:rPr>
          <w:rFonts w:ascii="Garamond" w:hAnsi="Garamond"/>
          <w:sz w:val="22"/>
          <w:szCs w:val="22"/>
        </w:rPr>
        <w:t>i</w:t>
      </w:r>
      <w:r w:rsidRPr="007E28FD">
        <w:rPr>
          <w:rFonts w:ascii="Garamond" w:hAnsi="Garamond"/>
          <w:sz w:val="22"/>
          <w:szCs w:val="22"/>
        </w:rPr>
        <w:t>tude less than in rates and credit derivatives markets.</w:t>
      </w:r>
    </w:p>
    <w:p w:rsidR="007E28FD" w:rsidRPr="007E28FD" w:rsidRDefault="007E28FD" w:rsidP="007E28FD">
      <w:pPr>
        <w:jc w:val="both"/>
        <w:rPr>
          <w:rFonts w:ascii="Garamond" w:hAnsi="Garamond"/>
          <w:b/>
          <w:sz w:val="22"/>
          <w:szCs w:val="22"/>
        </w:rPr>
      </w:pPr>
    </w:p>
    <w:p w:rsidR="007E28FD" w:rsidRPr="007E28FD" w:rsidRDefault="007E28FD" w:rsidP="007E28FD">
      <w:pPr>
        <w:keepNext/>
        <w:keepLines/>
        <w:jc w:val="both"/>
        <w:rPr>
          <w:rFonts w:ascii="Garamond" w:hAnsi="Garamond"/>
          <w:i/>
          <w:sz w:val="22"/>
          <w:szCs w:val="22"/>
        </w:rPr>
      </w:pPr>
      <w:r w:rsidRPr="007E28FD">
        <w:rPr>
          <w:rFonts w:ascii="Garamond" w:hAnsi="Garamond"/>
          <w:i/>
          <w:sz w:val="22"/>
          <w:szCs w:val="22"/>
        </w:rPr>
        <w:lastRenderedPageBreak/>
        <w:t>figures in billions</w:t>
      </w: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4A0"/>
      </w:tblPr>
      <w:tblGrid>
        <w:gridCol w:w="3060"/>
        <w:gridCol w:w="2700"/>
        <w:gridCol w:w="1710"/>
        <w:gridCol w:w="1890"/>
      </w:tblGrid>
      <w:tr w:rsidR="007E28FD" w:rsidRPr="007E28FD" w:rsidTr="007E28FD">
        <w:tc>
          <w:tcPr>
            <w:tcW w:w="3060" w:type="dxa"/>
            <w:tcBorders>
              <w:top w:val="single" w:sz="12" w:space="0" w:color="auto"/>
              <w:bottom w:val="single" w:sz="12" w:space="0" w:color="auto"/>
            </w:tcBorders>
            <w:shd w:val="clear" w:color="auto" w:fill="C6D9F1" w:themeFill="text2" w:themeFillTint="33"/>
          </w:tcPr>
          <w:p w:rsidR="007E28FD" w:rsidRPr="007E28FD" w:rsidRDefault="007E28FD" w:rsidP="00FC66D3">
            <w:pPr>
              <w:keepNext/>
              <w:keepLines/>
              <w:tabs>
                <w:tab w:val="right" w:pos="2844"/>
              </w:tabs>
              <w:spacing w:before="15" w:after="15"/>
              <w:jc w:val="both"/>
              <w:rPr>
                <w:rFonts w:ascii="Garamond" w:hAnsi="Garamond"/>
                <w:b/>
                <w:sz w:val="18"/>
                <w:szCs w:val="18"/>
              </w:rPr>
            </w:pPr>
            <w:r w:rsidRPr="007E28FD">
              <w:rPr>
                <w:rFonts w:ascii="Garamond" w:hAnsi="Garamond"/>
                <w:b/>
                <w:sz w:val="18"/>
                <w:szCs w:val="18"/>
              </w:rPr>
              <w:t>OTC Derivatives</w:t>
            </w:r>
            <w:r w:rsidR="00FC66D3" w:rsidRPr="00FC66D3">
              <w:rPr>
                <w:rStyle w:val="FootnoteReference"/>
                <w:rFonts w:ascii="Garamond" w:hAnsi="Garamond"/>
                <w:sz w:val="18"/>
                <w:szCs w:val="18"/>
              </w:rPr>
              <w:footnoteReference w:id="4"/>
            </w:r>
          </w:p>
        </w:tc>
        <w:tc>
          <w:tcPr>
            <w:tcW w:w="2700" w:type="dxa"/>
            <w:tcBorders>
              <w:top w:val="single" w:sz="12" w:space="0" w:color="auto"/>
              <w:bottom w:val="single" w:sz="12" w:space="0" w:color="auto"/>
            </w:tcBorders>
            <w:shd w:val="clear" w:color="auto" w:fill="C6D9F1" w:themeFill="text2" w:themeFillTint="33"/>
          </w:tcPr>
          <w:p w:rsidR="007E28FD" w:rsidRPr="007E28FD" w:rsidRDefault="007E28FD" w:rsidP="007E28FD">
            <w:pPr>
              <w:keepNext/>
              <w:keepLines/>
              <w:spacing w:before="15" w:after="15"/>
              <w:jc w:val="both"/>
              <w:rPr>
                <w:rFonts w:ascii="Garamond" w:hAnsi="Garamond"/>
                <w:b/>
                <w:sz w:val="18"/>
                <w:szCs w:val="18"/>
              </w:rPr>
            </w:pPr>
            <w:r w:rsidRPr="007E28FD">
              <w:rPr>
                <w:rFonts w:ascii="Garamond" w:hAnsi="Garamond"/>
                <w:b/>
                <w:sz w:val="18"/>
                <w:szCs w:val="18"/>
              </w:rPr>
              <w:t>Rates</w:t>
            </w:r>
          </w:p>
        </w:tc>
        <w:tc>
          <w:tcPr>
            <w:tcW w:w="1710" w:type="dxa"/>
            <w:tcBorders>
              <w:top w:val="single" w:sz="12" w:space="0" w:color="auto"/>
              <w:bottom w:val="single" w:sz="12" w:space="0" w:color="auto"/>
            </w:tcBorders>
            <w:shd w:val="clear" w:color="auto" w:fill="C6D9F1" w:themeFill="text2" w:themeFillTint="33"/>
          </w:tcPr>
          <w:p w:rsidR="007E28FD" w:rsidRPr="007E28FD" w:rsidRDefault="007E28FD" w:rsidP="007E28FD">
            <w:pPr>
              <w:keepNext/>
              <w:keepLines/>
              <w:tabs>
                <w:tab w:val="left" w:pos="882"/>
              </w:tabs>
              <w:spacing w:before="15" w:after="15"/>
              <w:jc w:val="both"/>
              <w:rPr>
                <w:rFonts w:ascii="Garamond" w:hAnsi="Garamond"/>
                <w:b/>
                <w:sz w:val="18"/>
                <w:szCs w:val="18"/>
              </w:rPr>
            </w:pPr>
            <w:r w:rsidRPr="007E28FD">
              <w:rPr>
                <w:rFonts w:ascii="Garamond" w:hAnsi="Garamond"/>
                <w:b/>
                <w:sz w:val="18"/>
                <w:szCs w:val="18"/>
              </w:rPr>
              <w:t>Credit</w:t>
            </w:r>
          </w:p>
        </w:tc>
        <w:tc>
          <w:tcPr>
            <w:tcW w:w="1890" w:type="dxa"/>
            <w:tcBorders>
              <w:top w:val="single" w:sz="12" w:space="0" w:color="auto"/>
              <w:bottom w:val="single" w:sz="12" w:space="0" w:color="auto"/>
            </w:tcBorders>
            <w:shd w:val="clear" w:color="auto" w:fill="C6D9F1" w:themeFill="text2" w:themeFillTint="33"/>
          </w:tcPr>
          <w:p w:rsidR="007E28FD" w:rsidRPr="007E28FD" w:rsidRDefault="007E28FD" w:rsidP="007E28FD">
            <w:pPr>
              <w:keepNext/>
              <w:keepLines/>
              <w:spacing w:before="15" w:after="15"/>
              <w:jc w:val="both"/>
              <w:rPr>
                <w:rFonts w:ascii="Garamond" w:hAnsi="Garamond"/>
                <w:b/>
                <w:sz w:val="18"/>
                <w:szCs w:val="18"/>
              </w:rPr>
            </w:pPr>
            <w:r w:rsidRPr="007E28FD">
              <w:rPr>
                <w:rFonts w:ascii="Garamond" w:hAnsi="Garamond"/>
                <w:b/>
                <w:sz w:val="18"/>
                <w:szCs w:val="18"/>
              </w:rPr>
              <w:t>FX NDFs</w:t>
            </w:r>
          </w:p>
        </w:tc>
      </w:tr>
      <w:tr w:rsidR="007E28FD" w:rsidRPr="007E28FD" w:rsidTr="007E28FD">
        <w:tc>
          <w:tcPr>
            <w:tcW w:w="3060" w:type="dxa"/>
            <w:tcBorders>
              <w:top w:val="single" w:sz="12" w:space="0" w:color="auto"/>
              <w:bottom w:val="single" w:sz="4" w:space="0" w:color="auto"/>
            </w:tcBorders>
          </w:tcPr>
          <w:p w:rsidR="007E28FD" w:rsidRPr="007E28FD" w:rsidRDefault="007E28FD" w:rsidP="007E28FD">
            <w:pPr>
              <w:keepNext/>
              <w:keepLines/>
              <w:spacing w:before="15" w:after="15"/>
              <w:jc w:val="both"/>
              <w:rPr>
                <w:rFonts w:ascii="Garamond" w:hAnsi="Garamond"/>
                <w:b/>
                <w:sz w:val="18"/>
                <w:szCs w:val="18"/>
              </w:rPr>
            </w:pPr>
            <w:r w:rsidRPr="007E28FD">
              <w:rPr>
                <w:rFonts w:ascii="Garamond" w:hAnsi="Garamond"/>
                <w:b/>
                <w:sz w:val="18"/>
                <w:szCs w:val="18"/>
              </w:rPr>
              <w:t>Average daily turnover</w:t>
            </w:r>
          </w:p>
        </w:tc>
        <w:tc>
          <w:tcPr>
            <w:tcW w:w="2700" w:type="dxa"/>
            <w:tcBorders>
              <w:top w:val="single" w:sz="12" w:space="0" w:color="auto"/>
              <w:bottom w:val="single" w:sz="4" w:space="0" w:color="auto"/>
            </w:tcBorders>
          </w:tcPr>
          <w:p w:rsidR="007E28FD" w:rsidRPr="007E28FD" w:rsidRDefault="007E28FD" w:rsidP="007E28FD">
            <w:pPr>
              <w:keepNext/>
              <w:keepLines/>
              <w:tabs>
                <w:tab w:val="left" w:pos="1602"/>
              </w:tabs>
              <w:spacing w:before="15" w:after="15"/>
              <w:jc w:val="both"/>
              <w:rPr>
                <w:rFonts w:ascii="Garamond" w:hAnsi="Garamond"/>
                <w:sz w:val="18"/>
                <w:szCs w:val="18"/>
              </w:rPr>
            </w:pPr>
            <w:r w:rsidRPr="007E28FD">
              <w:rPr>
                <w:rFonts w:ascii="Garamond" w:hAnsi="Garamond"/>
                <w:sz w:val="18"/>
                <w:szCs w:val="18"/>
              </w:rPr>
              <w:t>$2,000</w:t>
            </w:r>
          </w:p>
        </w:tc>
        <w:tc>
          <w:tcPr>
            <w:tcW w:w="1710" w:type="dxa"/>
            <w:tcBorders>
              <w:top w:val="single" w:sz="12" w:space="0" w:color="auto"/>
              <w:bottom w:val="single" w:sz="4"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p>
        </w:tc>
        <w:tc>
          <w:tcPr>
            <w:tcW w:w="1890" w:type="dxa"/>
            <w:tcBorders>
              <w:top w:val="single" w:sz="12" w:space="0" w:color="auto"/>
              <w:bottom w:val="single" w:sz="4"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$127</w:t>
            </w:r>
          </w:p>
        </w:tc>
      </w:tr>
      <w:tr w:rsidR="007E28FD" w:rsidRPr="007E28FD" w:rsidTr="007E28FD">
        <w:tc>
          <w:tcPr>
            <w:tcW w:w="3060" w:type="dxa"/>
            <w:tcBorders>
              <w:top w:val="single" w:sz="4" w:space="0" w:color="auto"/>
              <w:bottom w:val="single" w:sz="4" w:space="0" w:color="auto"/>
            </w:tcBorders>
          </w:tcPr>
          <w:p w:rsidR="007E28FD" w:rsidRPr="007E28FD" w:rsidRDefault="007E28FD" w:rsidP="007E28FD">
            <w:pPr>
              <w:keepNext/>
              <w:keepLines/>
              <w:spacing w:before="15" w:after="15"/>
              <w:jc w:val="both"/>
              <w:rPr>
                <w:rFonts w:ascii="Garamond" w:hAnsi="Garamond"/>
                <w:sz w:val="18"/>
                <w:szCs w:val="18"/>
              </w:rPr>
            </w:pPr>
            <w:r w:rsidRPr="007E28FD">
              <w:rPr>
                <w:rFonts w:ascii="Garamond" w:hAnsi="Garamond"/>
                <w:sz w:val="18"/>
                <w:szCs w:val="18"/>
              </w:rPr>
              <w:t xml:space="preserve">     Cleared</w:t>
            </w:r>
          </w:p>
        </w:tc>
        <w:tc>
          <w:tcPr>
            <w:tcW w:w="2700" w:type="dxa"/>
            <w:tcBorders>
              <w:top w:val="single" w:sz="4" w:space="0" w:color="auto"/>
              <w:bottom w:val="single" w:sz="4" w:space="0" w:color="auto"/>
            </w:tcBorders>
          </w:tcPr>
          <w:p w:rsidR="007E28FD" w:rsidRPr="007E28FD" w:rsidRDefault="007E28FD" w:rsidP="007E28FD">
            <w:pPr>
              <w:keepNext/>
              <w:keepLines/>
              <w:tabs>
                <w:tab w:val="left" w:pos="1602"/>
              </w:tabs>
              <w:spacing w:before="15" w:after="15"/>
              <w:jc w:val="both"/>
              <w:rPr>
                <w:rFonts w:ascii="Garamond" w:hAnsi="Garamond"/>
                <w:sz w:val="18"/>
                <w:szCs w:val="18"/>
              </w:rPr>
            </w:pPr>
            <w:r w:rsidRPr="007E28FD">
              <w:rPr>
                <w:rFonts w:ascii="Garamond" w:hAnsi="Garamond"/>
                <w:sz w:val="18"/>
                <w:szCs w:val="18"/>
              </w:rPr>
              <w:t xml:space="preserve">   $1,700-1,800</w:t>
            </w:r>
            <w:r w:rsidRPr="007E28FD">
              <w:rPr>
                <w:rFonts w:ascii="Garamond" w:hAnsi="Garamond"/>
                <w:sz w:val="18"/>
                <w:szCs w:val="18"/>
              </w:rPr>
              <w:tab/>
              <w:t>(76-79%)</w:t>
            </w:r>
          </w:p>
        </w:tc>
        <w:tc>
          <w:tcPr>
            <w:tcW w:w="1710" w:type="dxa"/>
            <w:tcBorders>
              <w:top w:val="single" w:sz="4" w:space="0" w:color="auto"/>
              <w:bottom w:val="single" w:sz="4"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p>
        </w:tc>
        <w:tc>
          <w:tcPr>
            <w:tcW w:w="1890" w:type="dxa"/>
            <w:tcBorders>
              <w:top w:val="single" w:sz="4" w:space="0" w:color="auto"/>
              <w:bottom w:val="single" w:sz="4"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 xml:space="preserve">   $4.6</w:t>
            </w:r>
            <w:r w:rsidRPr="007E28FD">
              <w:rPr>
                <w:rFonts w:ascii="Garamond" w:hAnsi="Garamond"/>
                <w:sz w:val="18"/>
                <w:szCs w:val="18"/>
              </w:rPr>
              <w:tab/>
              <w:t>(3.6%)</w:t>
            </w:r>
          </w:p>
        </w:tc>
      </w:tr>
      <w:tr w:rsidR="007E28FD" w:rsidRPr="007E28FD" w:rsidTr="007E28FD">
        <w:tc>
          <w:tcPr>
            <w:tcW w:w="3060" w:type="dxa"/>
            <w:tcBorders>
              <w:top w:val="single" w:sz="4" w:space="0" w:color="auto"/>
              <w:bottom w:val="single" w:sz="12" w:space="0" w:color="auto"/>
            </w:tcBorders>
          </w:tcPr>
          <w:p w:rsidR="007E28FD" w:rsidRPr="007E28FD" w:rsidRDefault="007E28FD" w:rsidP="007E28FD">
            <w:pPr>
              <w:keepNext/>
              <w:keepLines/>
              <w:spacing w:before="15" w:after="15"/>
              <w:jc w:val="both"/>
              <w:rPr>
                <w:rFonts w:ascii="Garamond" w:hAnsi="Garamond"/>
                <w:sz w:val="18"/>
                <w:szCs w:val="18"/>
              </w:rPr>
            </w:pPr>
            <w:r w:rsidRPr="007E28FD">
              <w:rPr>
                <w:rFonts w:ascii="Garamond" w:hAnsi="Garamond"/>
                <w:sz w:val="18"/>
                <w:szCs w:val="18"/>
              </w:rPr>
              <w:t xml:space="preserve">     Uncleared</w:t>
            </w:r>
          </w:p>
        </w:tc>
        <w:tc>
          <w:tcPr>
            <w:tcW w:w="2700" w:type="dxa"/>
            <w:tcBorders>
              <w:top w:val="single" w:sz="4" w:space="0" w:color="auto"/>
              <w:bottom w:val="single" w:sz="12" w:space="0" w:color="auto"/>
            </w:tcBorders>
          </w:tcPr>
          <w:p w:rsidR="007E28FD" w:rsidRPr="007E28FD" w:rsidRDefault="007E28FD" w:rsidP="007E28FD">
            <w:pPr>
              <w:keepNext/>
              <w:keepLines/>
              <w:tabs>
                <w:tab w:val="left" w:pos="1602"/>
              </w:tabs>
              <w:spacing w:before="15" w:after="15"/>
              <w:jc w:val="both"/>
              <w:rPr>
                <w:rFonts w:ascii="Garamond" w:hAnsi="Garamond"/>
                <w:sz w:val="18"/>
                <w:szCs w:val="18"/>
              </w:rPr>
            </w:pPr>
            <w:r w:rsidRPr="007E28FD">
              <w:rPr>
                <w:rFonts w:ascii="Garamond" w:hAnsi="Garamond"/>
                <w:sz w:val="18"/>
                <w:szCs w:val="18"/>
              </w:rPr>
              <w:t xml:space="preserve">   $500-600</w:t>
            </w:r>
            <w:r w:rsidRPr="007E28FD">
              <w:rPr>
                <w:rFonts w:ascii="Garamond" w:hAnsi="Garamond"/>
                <w:sz w:val="18"/>
                <w:szCs w:val="18"/>
              </w:rPr>
              <w:tab/>
              <w:t>(21-24%)</w:t>
            </w:r>
          </w:p>
        </w:tc>
        <w:tc>
          <w:tcPr>
            <w:tcW w:w="1710" w:type="dxa"/>
            <w:tcBorders>
              <w:top w:val="single" w:sz="4" w:space="0" w:color="auto"/>
              <w:bottom w:val="single" w:sz="12"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p>
        </w:tc>
        <w:tc>
          <w:tcPr>
            <w:tcW w:w="1890" w:type="dxa"/>
            <w:tcBorders>
              <w:top w:val="single" w:sz="4" w:space="0" w:color="auto"/>
              <w:bottom w:val="single" w:sz="12"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 xml:space="preserve">   $122.4</w:t>
            </w:r>
            <w:r w:rsidRPr="007E28FD">
              <w:rPr>
                <w:rFonts w:ascii="Garamond" w:hAnsi="Garamond"/>
                <w:sz w:val="18"/>
                <w:szCs w:val="18"/>
              </w:rPr>
              <w:tab/>
              <w:t>(96.4%)</w:t>
            </w:r>
          </w:p>
        </w:tc>
      </w:tr>
      <w:tr w:rsidR="007E28FD" w:rsidRPr="007E28FD" w:rsidTr="007E28FD">
        <w:tc>
          <w:tcPr>
            <w:tcW w:w="3060" w:type="dxa"/>
            <w:tcBorders>
              <w:top w:val="single" w:sz="12" w:space="0" w:color="auto"/>
              <w:bottom w:val="single" w:sz="12" w:space="0" w:color="auto"/>
            </w:tcBorders>
          </w:tcPr>
          <w:p w:rsidR="007E28FD" w:rsidRPr="007E28FD" w:rsidRDefault="007E28FD" w:rsidP="007E28FD">
            <w:pPr>
              <w:keepNext/>
              <w:keepLines/>
              <w:spacing w:before="15" w:after="15"/>
              <w:jc w:val="both"/>
              <w:rPr>
                <w:rFonts w:ascii="Garamond" w:hAnsi="Garamond"/>
                <w:b/>
                <w:sz w:val="18"/>
                <w:szCs w:val="18"/>
              </w:rPr>
            </w:pPr>
            <w:r w:rsidRPr="007E28FD">
              <w:rPr>
                <w:rFonts w:ascii="Garamond" w:hAnsi="Garamond"/>
                <w:b/>
                <w:sz w:val="18"/>
                <w:szCs w:val="18"/>
              </w:rPr>
              <w:t xml:space="preserve">Total market value </w:t>
            </w:r>
          </w:p>
        </w:tc>
        <w:tc>
          <w:tcPr>
            <w:tcW w:w="2700" w:type="dxa"/>
            <w:tcBorders>
              <w:top w:val="single" w:sz="12" w:space="0" w:color="auto"/>
              <w:bottom w:val="single" w:sz="12" w:space="0" w:color="auto"/>
            </w:tcBorders>
          </w:tcPr>
          <w:p w:rsidR="007E28FD" w:rsidRPr="007E28FD" w:rsidRDefault="007E28FD" w:rsidP="007E28FD">
            <w:pPr>
              <w:keepNext/>
              <w:keepLines/>
              <w:tabs>
                <w:tab w:val="left" w:pos="1602"/>
              </w:tabs>
              <w:spacing w:before="15" w:after="15"/>
              <w:jc w:val="both"/>
              <w:rPr>
                <w:rFonts w:ascii="Garamond" w:hAnsi="Garamond"/>
                <w:sz w:val="18"/>
                <w:szCs w:val="18"/>
              </w:rPr>
            </w:pPr>
            <w:r w:rsidRPr="007E28FD">
              <w:rPr>
                <w:rFonts w:ascii="Garamond" w:hAnsi="Garamond"/>
                <w:sz w:val="18"/>
                <w:szCs w:val="18"/>
              </w:rPr>
              <w:t>$14,000</w:t>
            </w:r>
          </w:p>
        </w:tc>
        <w:tc>
          <w:tcPr>
            <w:tcW w:w="1710" w:type="dxa"/>
            <w:tcBorders>
              <w:top w:val="single" w:sz="12" w:space="0" w:color="auto"/>
              <w:bottom w:val="single" w:sz="12"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$700</w:t>
            </w:r>
          </w:p>
        </w:tc>
        <w:tc>
          <w:tcPr>
            <w:tcW w:w="1890" w:type="dxa"/>
            <w:tcBorders>
              <w:top w:val="single" w:sz="12" w:space="0" w:color="auto"/>
              <w:bottom w:val="single" w:sz="12"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$90</w:t>
            </w:r>
          </w:p>
        </w:tc>
      </w:tr>
      <w:tr w:rsidR="007E28FD" w:rsidRPr="007E28FD" w:rsidTr="007E28FD">
        <w:tc>
          <w:tcPr>
            <w:tcW w:w="3060" w:type="dxa"/>
            <w:tcBorders>
              <w:top w:val="single" w:sz="12" w:space="0" w:color="auto"/>
              <w:bottom w:val="single" w:sz="4" w:space="0" w:color="auto"/>
            </w:tcBorders>
          </w:tcPr>
          <w:p w:rsidR="007E28FD" w:rsidRPr="007E28FD" w:rsidRDefault="007E28FD" w:rsidP="007E28FD">
            <w:pPr>
              <w:keepNext/>
              <w:keepLines/>
              <w:spacing w:before="15" w:after="15"/>
              <w:jc w:val="both"/>
              <w:rPr>
                <w:rFonts w:ascii="Garamond" w:hAnsi="Garamond"/>
                <w:b/>
                <w:sz w:val="18"/>
                <w:szCs w:val="18"/>
              </w:rPr>
            </w:pPr>
            <w:r w:rsidRPr="007E28FD">
              <w:rPr>
                <w:rFonts w:ascii="Garamond" w:hAnsi="Garamond"/>
                <w:b/>
                <w:sz w:val="18"/>
                <w:szCs w:val="18"/>
              </w:rPr>
              <w:t>Total notional outstanding</w:t>
            </w:r>
          </w:p>
        </w:tc>
        <w:tc>
          <w:tcPr>
            <w:tcW w:w="2700" w:type="dxa"/>
            <w:tcBorders>
              <w:top w:val="single" w:sz="12" w:space="0" w:color="auto"/>
              <w:bottom w:val="single" w:sz="4" w:space="0" w:color="auto"/>
            </w:tcBorders>
          </w:tcPr>
          <w:p w:rsidR="007E28FD" w:rsidRPr="007E28FD" w:rsidRDefault="007E28FD" w:rsidP="007E28FD">
            <w:pPr>
              <w:keepNext/>
              <w:keepLines/>
              <w:tabs>
                <w:tab w:val="left" w:pos="1602"/>
              </w:tabs>
              <w:spacing w:before="15" w:after="15"/>
              <w:jc w:val="both"/>
              <w:rPr>
                <w:rFonts w:ascii="Garamond" w:hAnsi="Garamond"/>
                <w:sz w:val="18"/>
                <w:szCs w:val="18"/>
              </w:rPr>
            </w:pPr>
            <w:r w:rsidRPr="007E28FD">
              <w:rPr>
                <w:rFonts w:ascii="Garamond" w:hAnsi="Garamond"/>
                <w:sz w:val="18"/>
                <w:szCs w:val="18"/>
              </w:rPr>
              <w:t>$584,000</w:t>
            </w:r>
          </w:p>
        </w:tc>
        <w:tc>
          <w:tcPr>
            <w:tcW w:w="1710" w:type="dxa"/>
            <w:tcBorders>
              <w:top w:val="single" w:sz="12" w:space="0" w:color="auto"/>
              <w:bottom w:val="single" w:sz="4"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 xml:space="preserve">$21,000 </w:t>
            </w:r>
          </w:p>
        </w:tc>
        <w:tc>
          <w:tcPr>
            <w:tcW w:w="1890" w:type="dxa"/>
            <w:tcBorders>
              <w:top w:val="single" w:sz="12" w:space="0" w:color="auto"/>
              <w:bottom w:val="single" w:sz="4"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$2,800</w:t>
            </w:r>
          </w:p>
        </w:tc>
      </w:tr>
      <w:tr w:rsidR="007E28FD" w:rsidRPr="007E28FD" w:rsidTr="007E28FD">
        <w:tc>
          <w:tcPr>
            <w:tcW w:w="3060" w:type="dxa"/>
            <w:tcBorders>
              <w:top w:val="single" w:sz="4" w:space="0" w:color="auto"/>
              <w:bottom w:val="single" w:sz="4" w:space="0" w:color="auto"/>
            </w:tcBorders>
          </w:tcPr>
          <w:p w:rsidR="007E28FD" w:rsidRPr="007E28FD" w:rsidRDefault="007E28FD" w:rsidP="007E28FD">
            <w:pPr>
              <w:keepNext/>
              <w:keepLines/>
              <w:spacing w:before="15" w:after="15"/>
              <w:jc w:val="both"/>
              <w:rPr>
                <w:rFonts w:ascii="Garamond" w:hAnsi="Garamond"/>
                <w:sz w:val="18"/>
                <w:szCs w:val="18"/>
              </w:rPr>
            </w:pPr>
            <w:r w:rsidRPr="007E28FD">
              <w:rPr>
                <w:rFonts w:ascii="Garamond" w:hAnsi="Garamond"/>
                <w:sz w:val="18"/>
                <w:szCs w:val="18"/>
              </w:rPr>
              <w:t xml:space="preserve">     Cleared</w:t>
            </w:r>
          </w:p>
        </w:tc>
        <w:tc>
          <w:tcPr>
            <w:tcW w:w="2700" w:type="dxa"/>
            <w:tcBorders>
              <w:top w:val="single" w:sz="4" w:space="0" w:color="auto"/>
              <w:bottom w:val="single" w:sz="4" w:space="0" w:color="auto"/>
            </w:tcBorders>
          </w:tcPr>
          <w:p w:rsidR="007E28FD" w:rsidRPr="007E28FD" w:rsidRDefault="007E28FD" w:rsidP="007E28FD">
            <w:pPr>
              <w:keepNext/>
              <w:keepLines/>
              <w:tabs>
                <w:tab w:val="left" w:pos="1602"/>
              </w:tabs>
              <w:spacing w:before="15" w:after="15"/>
              <w:jc w:val="both"/>
              <w:rPr>
                <w:rFonts w:ascii="Garamond" w:hAnsi="Garamond"/>
                <w:sz w:val="18"/>
                <w:szCs w:val="18"/>
              </w:rPr>
            </w:pPr>
            <w:r w:rsidRPr="007E28FD">
              <w:rPr>
                <w:rFonts w:ascii="Garamond" w:hAnsi="Garamond"/>
                <w:sz w:val="18"/>
                <w:szCs w:val="18"/>
              </w:rPr>
              <w:t xml:space="preserve">   $443,000-461,000</w:t>
            </w:r>
            <w:r w:rsidRPr="007E28FD">
              <w:rPr>
                <w:rFonts w:ascii="Garamond" w:hAnsi="Garamond"/>
                <w:sz w:val="18"/>
                <w:szCs w:val="18"/>
              </w:rPr>
              <w:tab/>
              <w:t>(76-79%)</w:t>
            </w:r>
          </w:p>
        </w:tc>
        <w:tc>
          <w:tcPr>
            <w:tcW w:w="1710" w:type="dxa"/>
            <w:tcBorders>
              <w:top w:val="single" w:sz="4" w:space="0" w:color="auto"/>
              <w:bottom w:val="single" w:sz="4"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 xml:space="preserve">   $5,500 </w:t>
            </w:r>
            <w:r w:rsidRPr="007E28FD">
              <w:rPr>
                <w:rFonts w:ascii="Garamond" w:hAnsi="Garamond"/>
                <w:sz w:val="18"/>
                <w:szCs w:val="18"/>
              </w:rPr>
              <w:tab/>
              <w:t>(26%)</w:t>
            </w:r>
          </w:p>
        </w:tc>
        <w:tc>
          <w:tcPr>
            <w:tcW w:w="1890" w:type="dxa"/>
            <w:tcBorders>
              <w:top w:val="single" w:sz="4" w:space="0" w:color="auto"/>
              <w:bottom w:val="single" w:sz="4"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 xml:space="preserve">   $101</w:t>
            </w:r>
            <w:r w:rsidRPr="007E28FD">
              <w:rPr>
                <w:rFonts w:ascii="Garamond" w:hAnsi="Garamond"/>
                <w:sz w:val="18"/>
                <w:szCs w:val="18"/>
              </w:rPr>
              <w:tab/>
              <w:t>(4%)</w:t>
            </w:r>
          </w:p>
        </w:tc>
      </w:tr>
      <w:tr w:rsidR="007E28FD" w:rsidRPr="007E28FD" w:rsidTr="007E28FD">
        <w:tc>
          <w:tcPr>
            <w:tcW w:w="3060" w:type="dxa"/>
            <w:tcBorders>
              <w:top w:val="single" w:sz="4" w:space="0" w:color="auto"/>
              <w:bottom w:val="single" w:sz="12" w:space="0" w:color="auto"/>
            </w:tcBorders>
          </w:tcPr>
          <w:p w:rsidR="007E28FD" w:rsidRPr="007E28FD" w:rsidRDefault="007E28FD" w:rsidP="007E28FD">
            <w:pPr>
              <w:keepNext/>
              <w:keepLines/>
              <w:spacing w:before="15" w:after="15"/>
              <w:jc w:val="both"/>
              <w:rPr>
                <w:rFonts w:ascii="Garamond" w:hAnsi="Garamond"/>
                <w:sz w:val="18"/>
                <w:szCs w:val="18"/>
              </w:rPr>
            </w:pPr>
            <w:r w:rsidRPr="007E28FD">
              <w:rPr>
                <w:rFonts w:ascii="Garamond" w:hAnsi="Garamond"/>
                <w:sz w:val="18"/>
                <w:szCs w:val="18"/>
              </w:rPr>
              <w:t xml:space="preserve">     Uncleared</w:t>
            </w:r>
          </w:p>
        </w:tc>
        <w:tc>
          <w:tcPr>
            <w:tcW w:w="2700" w:type="dxa"/>
            <w:tcBorders>
              <w:top w:val="single" w:sz="4" w:space="0" w:color="auto"/>
              <w:bottom w:val="single" w:sz="12" w:space="0" w:color="auto"/>
            </w:tcBorders>
          </w:tcPr>
          <w:p w:rsidR="007E28FD" w:rsidRPr="007E28FD" w:rsidRDefault="007E28FD" w:rsidP="007E28FD">
            <w:pPr>
              <w:keepNext/>
              <w:keepLines/>
              <w:tabs>
                <w:tab w:val="left" w:pos="1602"/>
              </w:tabs>
              <w:spacing w:before="15" w:after="15"/>
              <w:jc w:val="both"/>
              <w:rPr>
                <w:rFonts w:ascii="Garamond" w:hAnsi="Garamond"/>
                <w:sz w:val="18"/>
                <w:szCs w:val="18"/>
              </w:rPr>
            </w:pPr>
            <w:r w:rsidRPr="007E28FD">
              <w:rPr>
                <w:rFonts w:ascii="Garamond" w:hAnsi="Garamond"/>
                <w:sz w:val="18"/>
                <w:szCs w:val="18"/>
              </w:rPr>
              <w:t xml:space="preserve">   $123,000-141,000</w:t>
            </w:r>
            <w:r w:rsidRPr="007E28FD">
              <w:rPr>
                <w:rFonts w:ascii="Garamond" w:hAnsi="Garamond"/>
                <w:sz w:val="18"/>
                <w:szCs w:val="18"/>
              </w:rPr>
              <w:tab/>
              <w:t>(21-24%)</w:t>
            </w:r>
          </w:p>
        </w:tc>
        <w:tc>
          <w:tcPr>
            <w:tcW w:w="1710" w:type="dxa"/>
            <w:tcBorders>
              <w:top w:val="single" w:sz="4" w:space="0" w:color="auto"/>
              <w:bottom w:val="single" w:sz="12"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 xml:space="preserve">   $15,500 </w:t>
            </w:r>
            <w:r w:rsidRPr="007E28FD">
              <w:rPr>
                <w:rFonts w:ascii="Garamond" w:hAnsi="Garamond"/>
                <w:sz w:val="18"/>
                <w:szCs w:val="18"/>
              </w:rPr>
              <w:tab/>
              <w:t>(74%)</w:t>
            </w:r>
          </w:p>
        </w:tc>
        <w:tc>
          <w:tcPr>
            <w:tcW w:w="1890" w:type="dxa"/>
            <w:tcBorders>
              <w:top w:val="single" w:sz="4" w:space="0" w:color="auto"/>
              <w:bottom w:val="single" w:sz="12"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 xml:space="preserve">   $2,700</w:t>
            </w:r>
            <w:r w:rsidRPr="007E28FD">
              <w:rPr>
                <w:rFonts w:ascii="Garamond" w:hAnsi="Garamond"/>
                <w:sz w:val="18"/>
                <w:szCs w:val="18"/>
              </w:rPr>
              <w:tab/>
              <w:t>(96%)</w:t>
            </w:r>
          </w:p>
        </w:tc>
      </w:tr>
      <w:tr w:rsidR="007E28FD" w:rsidRPr="007E28FD" w:rsidTr="000E5F8D">
        <w:tc>
          <w:tcPr>
            <w:tcW w:w="3060" w:type="dxa"/>
            <w:tcBorders>
              <w:top w:val="single" w:sz="12" w:space="0" w:color="auto"/>
              <w:bottom w:val="single" w:sz="4" w:space="0" w:color="auto"/>
            </w:tcBorders>
          </w:tcPr>
          <w:p w:rsidR="007E28FD" w:rsidRPr="007E28FD" w:rsidRDefault="007E28FD" w:rsidP="007E28FD">
            <w:pPr>
              <w:keepNext/>
              <w:keepLines/>
              <w:spacing w:before="15" w:after="15"/>
              <w:jc w:val="both"/>
              <w:rPr>
                <w:rFonts w:ascii="Garamond" w:hAnsi="Garamond"/>
                <w:b/>
                <w:sz w:val="18"/>
                <w:szCs w:val="18"/>
              </w:rPr>
            </w:pPr>
            <w:r w:rsidRPr="007E28FD">
              <w:rPr>
                <w:rFonts w:ascii="Garamond" w:hAnsi="Garamond"/>
                <w:b/>
                <w:sz w:val="18"/>
                <w:szCs w:val="18"/>
              </w:rPr>
              <w:t>Tenor of total notional outstanding</w:t>
            </w:r>
          </w:p>
        </w:tc>
        <w:tc>
          <w:tcPr>
            <w:tcW w:w="2700" w:type="dxa"/>
            <w:tcBorders>
              <w:top w:val="single" w:sz="12" w:space="0" w:color="auto"/>
              <w:bottom w:val="single" w:sz="4" w:space="0" w:color="auto"/>
            </w:tcBorders>
          </w:tcPr>
          <w:p w:rsidR="007E28FD" w:rsidRPr="007E28FD" w:rsidRDefault="007E28FD" w:rsidP="007E28FD">
            <w:pPr>
              <w:keepNext/>
              <w:keepLines/>
              <w:tabs>
                <w:tab w:val="left" w:pos="1602"/>
              </w:tabs>
              <w:spacing w:before="15" w:after="15"/>
              <w:jc w:val="both"/>
              <w:rPr>
                <w:rFonts w:ascii="Garamond" w:hAnsi="Garamond"/>
                <w:i/>
                <w:sz w:val="18"/>
                <w:szCs w:val="18"/>
              </w:rPr>
            </w:pPr>
          </w:p>
        </w:tc>
        <w:tc>
          <w:tcPr>
            <w:tcW w:w="1710" w:type="dxa"/>
            <w:tcBorders>
              <w:top w:val="single" w:sz="12" w:space="0" w:color="auto"/>
              <w:bottom w:val="single" w:sz="4" w:space="0" w:color="auto"/>
            </w:tcBorders>
          </w:tcPr>
          <w:p w:rsidR="007E28FD" w:rsidRPr="007E28FD" w:rsidRDefault="007E28FD" w:rsidP="007E28FD">
            <w:pPr>
              <w:keepNext/>
              <w:keepLines/>
              <w:tabs>
                <w:tab w:val="left" w:pos="792"/>
              </w:tabs>
              <w:spacing w:before="15" w:after="15"/>
              <w:jc w:val="both"/>
              <w:rPr>
                <w:rFonts w:ascii="Garamond" w:hAnsi="Garamond"/>
                <w:i/>
                <w:sz w:val="18"/>
                <w:szCs w:val="18"/>
              </w:rPr>
            </w:pPr>
          </w:p>
        </w:tc>
        <w:tc>
          <w:tcPr>
            <w:tcW w:w="1890" w:type="dxa"/>
            <w:tcBorders>
              <w:top w:val="single" w:sz="12" w:space="0" w:color="auto"/>
              <w:bottom w:val="single" w:sz="4" w:space="0" w:color="auto"/>
            </w:tcBorders>
          </w:tcPr>
          <w:p w:rsidR="007E28FD" w:rsidRPr="007E28FD" w:rsidRDefault="007E28FD" w:rsidP="007E28FD">
            <w:pPr>
              <w:keepNext/>
              <w:keepLines/>
              <w:tabs>
                <w:tab w:val="left" w:pos="792"/>
              </w:tabs>
              <w:spacing w:before="15" w:after="15"/>
              <w:jc w:val="both"/>
              <w:rPr>
                <w:rFonts w:ascii="Garamond" w:hAnsi="Garamond"/>
                <w:sz w:val="18"/>
                <w:szCs w:val="18"/>
              </w:rPr>
            </w:pPr>
            <w:r w:rsidRPr="007E28FD">
              <w:rPr>
                <w:rFonts w:ascii="Garamond" w:hAnsi="Garamond"/>
                <w:i/>
                <w:sz w:val="18"/>
                <w:szCs w:val="18"/>
              </w:rPr>
              <w:t>Based on DTCC dataset</w:t>
            </w:r>
            <w:r w:rsidRPr="007E28FD">
              <w:rPr>
                <w:rStyle w:val="FootnoteReference"/>
                <w:rFonts w:ascii="Garamond" w:hAnsi="Garamond"/>
                <w:sz w:val="18"/>
                <w:szCs w:val="18"/>
              </w:rPr>
              <w:footnoteReference w:id="5"/>
            </w:r>
          </w:p>
        </w:tc>
      </w:tr>
      <w:tr w:rsidR="00DF1C08" w:rsidRPr="007E28FD" w:rsidTr="000E5F8D">
        <w:tc>
          <w:tcPr>
            <w:tcW w:w="3060" w:type="dxa"/>
            <w:tcBorders>
              <w:top w:val="single" w:sz="4" w:space="0" w:color="auto"/>
            </w:tcBorders>
          </w:tcPr>
          <w:p w:rsidR="00DF1C08" w:rsidRPr="007E28FD" w:rsidRDefault="00DF1C08" w:rsidP="007E28FD">
            <w:pPr>
              <w:keepNext/>
              <w:keepLines/>
              <w:spacing w:before="15" w:after="15"/>
              <w:jc w:val="both"/>
              <w:rPr>
                <w:rFonts w:ascii="Garamond" w:hAnsi="Garamond"/>
                <w:sz w:val="18"/>
                <w:szCs w:val="18"/>
              </w:rPr>
            </w:pPr>
            <w:r w:rsidRPr="007E28FD">
              <w:rPr>
                <w:rFonts w:ascii="Garamond" w:hAnsi="Garamond"/>
                <w:sz w:val="18"/>
                <w:szCs w:val="18"/>
              </w:rPr>
              <w:t xml:space="preserve">     Less than three months</w:t>
            </w:r>
          </w:p>
        </w:tc>
        <w:tc>
          <w:tcPr>
            <w:tcW w:w="2700" w:type="dxa"/>
            <w:vMerge w:val="restart"/>
            <w:tcBorders>
              <w:top w:val="single" w:sz="4" w:space="0" w:color="auto"/>
            </w:tcBorders>
          </w:tcPr>
          <w:p w:rsidR="00DF1C08" w:rsidRDefault="00DF1C08" w:rsidP="007E28FD">
            <w:pPr>
              <w:keepNext/>
              <w:keepLines/>
              <w:tabs>
                <w:tab w:val="left" w:pos="1602"/>
              </w:tabs>
              <w:spacing w:before="15" w:after="15"/>
              <w:jc w:val="both"/>
              <w:rPr>
                <w:rFonts w:ascii="Garamond" w:hAnsi="Garamond"/>
                <w:sz w:val="18"/>
                <w:szCs w:val="18"/>
              </w:rPr>
            </w:pPr>
          </w:p>
          <w:p w:rsidR="00DF1C08" w:rsidRPr="007E28FD" w:rsidRDefault="00DF1C08" w:rsidP="007E28FD">
            <w:pPr>
              <w:keepNext/>
              <w:keepLines/>
              <w:tabs>
                <w:tab w:val="left" w:pos="1602"/>
              </w:tabs>
              <w:spacing w:before="15" w:after="15"/>
              <w:jc w:val="both"/>
              <w:rPr>
                <w:rFonts w:ascii="Garamond" w:hAnsi="Garamond"/>
                <w:sz w:val="18"/>
                <w:szCs w:val="18"/>
              </w:rPr>
            </w:pPr>
            <w:r w:rsidRPr="007E28FD">
              <w:rPr>
                <w:rFonts w:ascii="Garamond" w:hAnsi="Garamond"/>
                <w:sz w:val="18"/>
                <w:szCs w:val="18"/>
              </w:rPr>
              <w:t xml:space="preserve">$198,302 </w:t>
            </w:r>
            <w:r w:rsidRPr="007E28FD">
              <w:rPr>
                <w:rFonts w:ascii="Garamond" w:hAnsi="Garamond"/>
                <w:sz w:val="18"/>
                <w:szCs w:val="18"/>
              </w:rPr>
              <w:tab/>
              <w:t>(34%)</w:t>
            </w:r>
          </w:p>
        </w:tc>
        <w:tc>
          <w:tcPr>
            <w:tcW w:w="1710" w:type="dxa"/>
            <w:vMerge w:val="restart"/>
            <w:tcBorders>
              <w:top w:val="single" w:sz="4" w:space="0" w:color="auto"/>
            </w:tcBorders>
          </w:tcPr>
          <w:p w:rsidR="00DF1C08" w:rsidRDefault="00DF1C08" w:rsidP="007E28FD">
            <w:pPr>
              <w:keepNext/>
              <w:keepLines/>
              <w:tabs>
                <w:tab w:val="left" w:pos="792"/>
              </w:tabs>
              <w:spacing w:before="15" w:after="15"/>
              <w:jc w:val="both"/>
              <w:rPr>
                <w:rFonts w:ascii="Garamond" w:hAnsi="Garamond"/>
                <w:sz w:val="18"/>
                <w:szCs w:val="18"/>
              </w:rPr>
            </w:pPr>
          </w:p>
          <w:p w:rsidR="00DF1C08" w:rsidRPr="007E28FD" w:rsidRDefault="00DF1C08"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$3,655</w:t>
            </w:r>
            <w:r w:rsidRPr="007E28FD">
              <w:rPr>
                <w:rFonts w:ascii="Garamond" w:hAnsi="Garamond"/>
                <w:sz w:val="18"/>
                <w:szCs w:val="18"/>
              </w:rPr>
              <w:tab/>
              <w:t>(17%)</w:t>
            </w:r>
          </w:p>
        </w:tc>
        <w:tc>
          <w:tcPr>
            <w:tcW w:w="1890" w:type="dxa"/>
            <w:tcBorders>
              <w:top w:val="single" w:sz="4" w:space="0" w:color="auto"/>
            </w:tcBorders>
          </w:tcPr>
          <w:p w:rsidR="00DF1C08" w:rsidRPr="007E28FD" w:rsidRDefault="00DF1C08" w:rsidP="007E28FD">
            <w:pPr>
              <w:keepNext/>
              <w:keepLines/>
              <w:tabs>
                <w:tab w:val="left" w:pos="792"/>
                <w:tab w:val="left" w:pos="1089"/>
              </w:tabs>
              <w:spacing w:before="15" w:after="15"/>
              <w:jc w:val="both"/>
              <w:rPr>
                <w:rFonts w:ascii="Garamond" w:hAnsi="Garamond"/>
                <w:sz w:val="18"/>
                <w:szCs w:val="18"/>
              </w:rPr>
            </w:pPr>
            <w:r w:rsidRPr="007E28FD">
              <w:rPr>
                <w:rFonts w:ascii="Garamond" w:hAnsi="Garamond"/>
                <w:sz w:val="18"/>
                <w:szCs w:val="18"/>
              </w:rPr>
              <w:t>$2,520</w:t>
            </w:r>
            <w:r w:rsidRPr="007E28FD">
              <w:rPr>
                <w:rFonts w:ascii="Garamond" w:hAnsi="Garamond"/>
                <w:sz w:val="18"/>
                <w:szCs w:val="18"/>
              </w:rPr>
              <w:tab/>
              <w:t>(90%)</w:t>
            </w:r>
          </w:p>
        </w:tc>
      </w:tr>
      <w:tr w:rsidR="00DF1C08" w:rsidRPr="007E28FD" w:rsidTr="000E5F8D">
        <w:tc>
          <w:tcPr>
            <w:tcW w:w="3060" w:type="dxa"/>
          </w:tcPr>
          <w:p w:rsidR="00DF1C08" w:rsidRPr="007E28FD" w:rsidRDefault="00DF1C08" w:rsidP="007E28FD">
            <w:pPr>
              <w:keepNext/>
              <w:keepLines/>
              <w:spacing w:before="15" w:after="15"/>
              <w:jc w:val="both"/>
              <w:rPr>
                <w:rFonts w:ascii="Garamond" w:hAnsi="Garamond"/>
                <w:sz w:val="18"/>
                <w:szCs w:val="18"/>
              </w:rPr>
            </w:pPr>
            <w:r w:rsidRPr="007E28FD">
              <w:rPr>
                <w:rFonts w:ascii="Garamond" w:hAnsi="Garamond"/>
                <w:sz w:val="18"/>
                <w:szCs w:val="18"/>
              </w:rPr>
              <w:t xml:space="preserve">     Over three months up to six months</w:t>
            </w:r>
          </w:p>
        </w:tc>
        <w:tc>
          <w:tcPr>
            <w:tcW w:w="2700" w:type="dxa"/>
            <w:vMerge/>
          </w:tcPr>
          <w:p w:rsidR="00DF1C08" w:rsidRPr="007E28FD" w:rsidRDefault="00DF1C08" w:rsidP="007E28FD">
            <w:pPr>
              <w:keepNext/>
              <w:keepLines/>
              <w:tabs>
                <w:tab w:val="left" w:pos="1602"/>
              </w:tabs>
              <w:spacing w:before="15" w:after="15"/>
              <w:jc w:val="both"/>
              <w:rPr>
                <w:rFonts w:ascii="Garamond" w:hAnsi="Garamond"/>
                <w:sz w:val="18"/>
                <w:szCs w:val="18"/>
              </w:rPr>
            </w:pPr>
          </w:p>
        </w:tc>
        <w:tc>
          <w:tcPr>
            <w:tcW w:w="1710" w:type="dxa"/>
            <w:vMerge/>
          </w:tcPr>
          <w:p w:rsidR="00DF1C08" w:rsidRPr="007E28FD" w:rsidRDefault="00DF1C08" w:rsidP="007E28FD">
            <w:pPr>
              <w:keepNext/>
              <w:keepLines/>
              <w:tabs>
                <w:tab w:val="left" w:pos="792"/>
              </w:tabs>
              <w:spacing w:before="15" w:after="15"/>
              <w:jc w:val="both"/>
              <w:rPr>
                <w:rFonts w:ascii="Garamond" w:hAnsi="Garamond"/>
                <w:sz w:val="18"/>
                <w:szCs w:val="18"/>
              </w:rPr>
            </w:pPr>
          </w:p>
        </w:tc>
        <w:tc>
          <w:tcPr>
            <w:tcW w:w="1890" w:type="dxa"/>
          </w:tcPr>
          <w:p w:rsidR="00DF1C08" w:rsidRPr="007E28FD" w:rsidRDefault="00DF1C08"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$224</w:t>
            </w:r>
            <w:r w:rsidRPr="007E28FD">
              <w:rPr>
                <w:rFonts w:ascii="Garamond" w:hAnsi="Garamond"/>
                <w:sz w:val="18"/>
                <w:szCs w:val="18"/>
              </w:rPr>
              <w:tab/>
              <w:t>(8%)</w:t>
            </w:r>
          </w:p>
        </w:tc>
      </w:tr>
      <w:tr w:rsidR="00DF1C08" w:rsidRPr="007E28FD" w:rsidTr="000E5F8D">
        <w:tc>
          <w:tcPr>
            <w:tcW w:w="3060" w:type="dxa"/>
          </w:tcPr>
          <w:p w:rsidR="00DF1C08" w:rsidRPr="007E28FD" w:rsidRDefault="00DF1C08" w:rsidP="007E28FD">
            <w:pPr>
              <w:keepNext/>
              <w:keepLines/>
              <w:spacing w:before="15" w:after="15"/>
              <w:jc w:val="both"/>
              <w:rPr>
                <w:rFonts w:ascii="Garamond" w:hAnsi="Garamond"/>
                <w:sz w:val="18"/>
                <w:szCs w:val="18"/>
              </w:rPr>
            </w:pPr>
            <w:r w:rsidRPr="007E28FD">
              <w:rPr>
                <w:rFonts w:ascii="Garamond" w:hAnsi="Garamond"/>
                <w:sz w:val="18"/>
                <w:szCs w:val="18"/>
              </w:rPr>
              <w:t xml:space="preserve">     Over six months up to one year</w:t>
            </w:r>
          </w:p>
        </w:tc>
        <w:tc>
          <w:tcPr>
            <w:tcW w:w="2700" w:type="dxa"/>
            <w:vMerge/>
            <w:tcBorders>
              <w:bottom w:val="single" w:sz="4" w:space="0" w:color="auto"/>
            </w:tcBorders>
          </w:tcPr>
          <w:p w:rsidR="00DF1C08" w:rsidRPr="007E28FD" w:rsidRDefault="00DF1C08" w:rsidP="007E28FD">
            <w:pPr>
              <w:keepNext/>
              <w:keepLines/>
              <w:tabs>
                <w:tab w:val="left" w:pos="1602"/>
              </w:tabs>
              <w:spacing w:before="15" w:after="15"/>
              <w:jc w:val="both"/>
              <w:rPr>
                <w:rFonts w:ascii="Garamond" w:hAnsi="Garamond"/>
                <w:sz w:val="18"/>
                <w:szCs w:val="18"/>
              </w:rPr>
            </w:pPr>
          </w:p>
        </w:tc>
        <w:tc>
          <w:tcPr>
            <w:tcW w:w="1710" w:type="dxa"/>
            <w:vMerge/>
          </w:tcPr>
          <w:p w:rsidR="00DF1C08" w:rsidRPr="007E28FD" w:rsidRDefault="00DF1C08" w:rsidP="007E28FD">
            <w:pPr>
              <w:keepNext/>
              <w:keepLines/>
              <w:tabs>
                <w:tab w:val="left" w:pos="792"/>
              </w:tabs>
              <w:spacing w:before="15" w:after="15"/>
              <w:jc w:val="both"/>
              <w:rPr>
                <w:rFonts w:ascii="Garamond" w:hAnsi="Garamond"/>
                <w:sz w:val="18"/>
                <w:szCs w:val="18"/>
              </w:rPr>
            </w:pPr>
          </w:p>
        </w:tc>
        <w:tc>
          <w:tcPr>
            <w:tcW w:w="1890" w:type="dxa"/>
          </w:tcPr>
          <w:p w:rsidR="00DF1C08" w:rsidRPr="007E28FD" w:rsidRDefault="00DF1C08" w:rsidP="007E28FD">
            <w:pPr>
              <w:keepNext/>
              <w:keepLines/>
              <w:tabs>
                <w:tab w:val="left" w:pos="792"/>
                <w:tab w:val="left" w:pos="1089"/>
              </w:tabs>
              <w:spacing w:before="15" w:after="15"/>
              <w:jc w:val="both"/>
              <w:rPr>
                <w:rFonts w:ascii="Garamond" w:hAnsi="Garamond"/>
                <w:sz w:val="18"/>
                <w:szCs w:val="18"/>
              </w:rPr>
            </w:pPr>
            <w:r w:rsidRPr="007E28FD">
              <w:rPr>
                <w:rFonts w:ascii="Garamond" w:hAnsi="Garamond"/>
                <w:sz w:val="18"/>
                <w:szCs w:val="18"/>
              </w:rPr>
              <w:t>$28</w:t>
            </w:r>
            <w:r w:rsidRPr="007E28FD">
              <w:rPr>
                <w:rFonts w:ascii="Garamond" w:hAnsi="Garamond"/>
                <w:sz w:val="18"/>
                <w:szCs w:val="18"/>
              </w:rPr>
              <w:tab/>
              <w:t>(1%)</w:t>
            </w:r>
          </w:p>
        </w:tc>
      </w:tr>
      <w:tr w:rsidR="007E28FD" w:rsidRPr="007E28FD" w:rsidTr="000E5F8D">
        <w:tc>
          <w:tcPr>
            <w:tcW w:w="3060" w:type="dxa"/>
          </w:tcPr>
          <w:p w:rsidR="007E28FD" w:rsidRPr="007E28FD" w:rsidRDefault="007E28FD" w:rsidP="007E28FD">
            <w:pPr>
              <w:keepNext/>
              <w:keepLines/>
              <w:spacing w:before="15" w:after="15"/>
              <w:jc w:val="both"/>
              <w:rPr>
                <w:rFonts w:ascii="Garamond" w:hAnsi="Garamond"/>
                <w:sz w:val="18"/>
                <w:szCs w:val="18"/>
              </w:rPr>
            </w:pPr>
            <w:r w:rsidRPr="007E28FD">
              <w:rPr>
                <w:rFonts w:ascii="Garamond" w:hAnsi="Garamond"/>
                <w:sz w:val="18"/>
                <w:szCs w:val="18"/>
              </w:rPr>
              <w:t xml:space="preserve">     Over one year up to five years</w:t>
            </w:r>
          </w:p>
        </w:tc>
        <w:tc>
          <w:tcPr>
            <w:tcW w:w="2700" w:type="dxa"/>
            <w:tcBorders>
              <w:top w:val="single" w:sz="4" w:space="0" w:color="auto"/>
            </w:tcBorders>
          </w:tcPr>
          <w:p w:rsidR="007E28FD" w:rsidRPr="007E28FD" w:rsidRDefault="007E28FD" w:rsidP="007E28FD">
            <w:pPr>
              <w:keepNext/>
              <w:keepLines/>
              <w:tabs>
                <w:tab w:val="left" w:pos="1602"/>
              </w:tabs>
              <w:spacing w:before="15" w:after="15"/>
              <w:jc w:val="both"/>
              <w:rPr>
                <w:rFonts w:ascii="Garamond" w:hAnsi="Garamond"/>
                <w:sz w:val="18"/>
                <w:szCs w:val="18"/>
              </w:rPr>
            </w:pPr>
            <w:r w:rsidRPr="007E28FD">
              <w:rPr>
                <w:rFonts w:ascii="Garamond" w:hAnsi="Garamond"/>
                <w:sz w:val="18"/>
                <w:szCs w:val="18"/>
              </w:rPr>
              <w:t xml:space="preserve">$234,284 </w:t>
            </w:r>
            <w:r w:rsidRPr="007E28FD">
              <w:rPr>
                <w:rFonts w:ascii="Garamond" w:hAnsi="Garamond"/>
                <w:sz w:val="18"/>
                <w:szCs w:val="18"/>
              </w:rPr>
              <w:tab/>
              <w:t>(40%)</w:t>
            </w:r>
          </w:p>
        </w:tc>
        <w:tc>
          <w:tcPr>
            <w:tcW w:w="1710" w:type="dxa"/>
          </w:tcPr>
          <w:p w:rsidR="007E28FD" w:rsidRPr="007E28FD" w:rsidRDefault="007E28FD"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$16,162</w:t>
            </w:r>
            <w:r w:rsidRPr="007E28FD">
              <w:rPr>
                <w:rFonts w:ascii="Garamond" w:hAnsi="Garamond"/>
                <w:sz w:val="18"/>
                <w:szCs w:val="18"/>
              </w:rPr>
              <w:tab/>
              <w:t>(77%)</w:t>
            </w:r>
          </w:p>
        </w:tc>
        <w:tc>
          <w:tcPr>
            <w:tcW w:w="1890" w:type="dxa"/>
          </w:tcPr>
          <w:p w:rsidR="007E28FD" w:rsidRPr="007E28FD" w:rsidRDefault="007E28FD" w:rsidP="007E28FD">
            <w:pPr>
              <w:keepNext/>
              <w:keepLines/>
              <w:tabs>
                <w:tab w:val="left" w:pos="792"/>
                <w:tab w:val="left" w:pos="1089"/>
              </w:tabs>
              <w:spacing w:before="15" w:after="15"/>
              <w:jc w:val="both"/>
              <w:rPr>
                <w:rFonts w:ascii="Garamond" w:hAnsi="Garamond"/>
                <w:sz w:val="18"/>
                <w:szCs w:val="18"/>
              </w:rPr>
            </w:pPr>
            <w:r w:rsidRPr="007E28FD">
              <w:rPr>
                <w:rFonts w:ascii="Garamond" w:hAnsi="Garamond"/>
                <w:sz w:val="18"/>
                <w:szCs w:val="18"/>
              </w:rPr>
              <w:t>$28</w:t>
            </w:r>
            <w:r w:rsidRPr="007E28FD">
              <w:rPr>
                <w:rFonts w:ascii="Garamond" w:hAnsi="Garamond"/>
                <w:sz w:val="18"/>
                <w:szCs w:val="18"/>
              </w:rPr>
              <w:tab/>
              <w:t>(1%)</w:t>
            </w:r>
          </w:p>
        </w:tc>
      </w:tr>
      <w:tr w:rsidR="007E28FD" w:rsidRPr="007E28FD" w:rsidTr="007E28FD">
        <w:tc>
          <w:tcPr>
            <w:tcW w:w="3060" w:type="dxa"/>
          </w:tcPr>
          <w:p w:rsidR="007E28FD" w:rsidRPr="007E28FD" w:rsidRDefault="007E28FD" w:rsidP="007E28FD">
            <w:pPr>
              <w:keepNext/>
              <w:keepLines/>
              <w:spacing w:before="15" w:after="15"/>
              <w:jc w:val="both"/>
              <w:rPr>
                <w:rFonts w:ascii="Garamond" w:hAnsi="Garamond"/>
                <w:sz w:val="18"/>
                <w:szCs w:val="18"/>
              </w:rPr>
            </w:pPr>
            <w:r w:rsidRPr="007E28FD">
              <w:rPr>
                <w:rFonts w:ascii="Garamond" w:hAnsi="Garamond"/>
                <w:sz w:val="18"/>
                <w:szCs w:val="18"/>
              </w:rPr>
              <w:t xml:space="preserve">     Over five years</w:t>
            </w:r>
          </w:p>
        </w:tc>
        <w:tc>
          <w:tcPr>
            <w:tcW w:w="2700" w:type="dxa"/>
          </w:tcPr>
          <w:p w:rsidR="007E28FD" w:rsidRPr="007E28FD" w:rsidRDefault="007E28FD" w:rsidP="007E28FD">
            <w:pPr>
              <w:keepNext/>
              <w:keepLines/>
              <w:tabs>
                <w:tab w:val="left" w:pos="1602"/>
              </w:tabs>
              <w:spacing w:before="15" w:after="15"/>
              <w:jc w:val="both"/>
              <w:rPr>
                <w:rFonts w:ascii="Garamond" w:hAnsi="Garamond"/>
                <w:sz w:val="18"/>
                <w:szCs w:val="18"/>
              </w:rPr>
            </w:pPr>
            <w:r w:rsidRPr="007E28FD">
              <w:rPr>
                <w:rFonts w:ascii="Garamond" w:hAnsi="Garamond"/>
                <w:sz w:val="18"/>
                <w:szCs w:val="18"/>
              </w:rPr>
              <w:t>$151,778</w:t>
            </w:r>
            <w:r w:rsidRPr="007E28FD">
              <w:rPr>
                <w:rFonts w:ascii="Garamond" w:hAnsi="Garamond"/>
                <w:sz w:val="18"/>
                <w:szCs w:val="18"/>
              </w:rPr>
              <w:tab/>
              <w:t>(26%)</w:t>
            </w:r>
          </w:p>
        </w:tc>
        <w:tc>
          <w:tcPr>
            <w:tcW w:w="1710" w:type="dxa"/>
          </w:tcPr>
          <w:p w:rsidR="007E28FD" w:rsidRPr="007E28FD" w:rsidRDefault="007E28FD" w:rsidP="007E28FD">
            <w:pPr>
              <w:keepNext/>
              <w:keepLines/>
              <w:tabs>
                <w:tab w:val="left" w:pos="792"/>
              </w:tabs>
              <w:spacing w:before="15" w:after="15"/>
              <w:jc w:val="both"/>
              <w:rPr>
                <w:rFonts w:ascii="Garamond" w:hAnsi="Garamond"/>
                <w:sz w:val="18"/>
                <w:szCs w:val="18"/>
              </w:rPr>
            </w:pPr>
            <w:r w:rsidRPr="007E28FD">
              <w:rPr>
                <w:rFonts w:ascii="Garamond" w:hAnsi="Garamond"/>
                <w:sz w:val="18"/>
                <w:szCs w:val="18"/>
              </w:rPr>
              <w:t>$1,203</w:t>
            </w:r>
            <w:r w:rsidRPr="007E28FD">
              <w:rPr>
                <w:rFonts w:ascii="Garamond" w:hAnsi="Garamond"/>
                <w:sz w:val="18"/>
                <w:szCs w:val="18"/>
              </w:rPr>
              <w:tab/>
              <w:t>(6%)</w:t>
            </w:r>
          </w:p>
        </w:tc>
        <w:tc>
          <w:tcPr>
            <w:tcW w:w="1890" w:type="dxa"/>
          </w:tcPr>
          <w:p w:rsidR="007E28FD" w:rsidRPr="007E28FD" w:rsidRDefault="007E28FD" w:rsidP="007E28FD">
            <w:pPr>
              <w:keepNext/>
              <w:keepLines/>
              <w:tabs>
                <w:tab w:val="left" w:pos="792"/>
                <w:tab w:val="left" w:pos="1089"/>
              </w:tabs>
              <w:spacing w:before="15" w:after="15"/>
              <w:jc w:val="both"/>
              <w:rPr>
                <w:rFonts w:ascii="Garamond" w:hAnsi="Garamond"/>
                <w:sz w:val="18"/>
                <w:szCs w:val="18"/>
              </w:rPr>
            </w:pPr>
          </w:p>
        </w:tc>
      </w:tr>
    </w:tbl>
    <w:p w:rsidR="007E28FD" w:rsidRPr="007E28FD" w:rsidRDefault="007E28FD" w:rsidP="007E28FD">
      <w:pPr>
        <w:jc w:val="both"/>
        <w:rPr>
          <w:rFonts w:ascii="Garamond" w:hAnsi="Garamond"/>
          <w:b/>
          <w:sz w:val="22"/>
          <w:szCs w:val="22"/>
        </w:rPr>
      </w:pPr>
    </w:p>
    <w:p w:rsidR="007E28FD" w:rsidRDefault="007E28FD" w:rsidP="007E28FD">
      <w:pPr>
        <w:jc w:val="both"/>
        <w:rPr>
          <w:rFonts w:ascii="Garamond" w:hAnsi="Garamond"/>
          <w:b/>
          <w:i/>
          <w:sz w:val="22"/>
          <w:szCs w:val="22"/>
        </w:rPr>
      </w:pPr>
    </w:p>
    <w:p w:rsidR="007E28FD" w:rsidRDefault="007E28FD" w:rsidP="00C7564E">
      <w:pPr>
        <w:rPr>
          <w:rFonts w:ascii="Garamond" w:hAnsi="Garamond"/>
          <w:sz w:val="22"/>
          <w:szCs w:val="22"/>
        </w:rPr>
      </w:pPr>
      <w:r w:rsidRPr="007E28FD">
        <w:rPr>
          <w:rFonts w:ascii="Garamond" w:hAnsi="Garamond"/>
          <w:b/>
          <w:i/>
          <w:sz w:val="22"/>
          <w:szCs w:val="22"/>
        </w:rPr>
        <w:t xml:space="preserve">Recommendation.  </w:t>
      </w:r>
      <w:r w:rsidRPr="007E28FD">
        <w:rPr>
          <w:rFonts w:ascii="Garamond" w:hAnsi="Garamond"/>
          <w:sz w:val="22"/>
          <w:szCs w:val="22"/>
        </w:rPr>
        <w:t xml:space="preserve">In light of the above considerations, GFXD recommends that ESMA consider whether the reduction of counterparty credit risk to be achieved from mandating participants to move their bilateral exposures to a centrally cleared environment for FX NDF contracts </w:t>
      </w:r>
      <w:r w:rsidRPr="007E28FD">
        <w:rPr>
          <w:rFonts w:ascii="Garamond" w:hAnsi="Garamond"/>
          <w:sz w:val="22"/>
          <w:szCs w:val="22"/>
          <w:u w:val="single"/>
        </w:rPr>
        <w:t>at this time</w:t>
      </w:r>
      <w:r w:rsidRPr="007E28FD">
        <w:rPr>
          <w:rFonts w:ascii="Garamond" w:hAnsi="Garamond"/>
          <w:sz w:val="22"/>
          <w:szCs w:val="22"/>
        </w:rPr>
        <w:t xml:space="preserve"> would </w:t>
      </w:r>
      <w:r w:rsidRPr="007E28FD">
        <w:rPr>
          <w:rFonts w:ascii="Garamond" w:hAnsi="Garamond"/>
          <w:i/>
          <w:sz w:val="22"/>
          <w:szCs w:val="22"/>
        </w:rPr>
        <w:t xml:space="preserve">reduce risk in the aggregate </w:t>
      </w:r>
      <w:r w:rsidRPr="007E28FD">
        <w:rPr>
          <w:rFonts w:ascii="Garamond" w:hAnsi="Garamond"/>
          <w:sz w:val="22"/>
          <w:szCs w:val="22"/>
        </w:rPr>
        <w:t xml:space="preserve">and, most importantly, also </w:t>
      </w:r>
      <w:r w:rsidRPr="007E28FD">
        <w:rPr>
          <w:rFonts w:ascii="Garamond" w:hAnsi="Garamond"/>
          <w:i/>
          <w:sz w:val="22"/>
          <w:szCs w:val="22"/>
        </w:rPr>
        <w:t>reduce systemic risk.</w:t>
      </w:r>
      <w:r w:rsidRPr="007E28FD">
        <w:rPr>
          <w:rFonts w:ascii="Garamond" w:hAnsi="Garamond"/>
          <w:sz w:val="22"/>
          <w:szCs w:val="22"/>
        </w:rPr>
        <w:t xml:space="preserve">  If ESMA were to conclude that it would do so and, as a result, </w:t>
      </w:r>
      <w:r w:rsidRPr="007E28FD">
        <w:rPr>
          <w:rFonts w:ascii="Garamond" w:eastAsiaTheme="minorHAnsi" w:hAnsi="Garamond"/>
          <w:sz w:val="22"/>
          <w:szCs w:val="22"/>
        </w:rPr>
        <w:t>recommend to the European Commission that a clearing obligation be introduced for FX NDF contracts at this time, a sufficiently tailored clearing obligation, lengthened phase-in for compliance and global coordin</w:t>
      </w:r>
      <w:r w:rsidRPr="007E28FD">
        <w:rPr>
          <w:rFonts w:ascii="Garamond" w:eastAsiaTheme="minorHAnsi" w:hAnsi="Garamond"/>
          <w:sz w:val="22"/>
          <w:szCs w:val="22"/>
        </w:rPr>
        <w:t>a</w:t>
      </w:r>
      <w:r w:rsidRPr="007E28FD">
        <w:rPr>
          <w:rFonts w:ascii="Garamond" w:eastAsiaTheme="minorHAnsi" w:hAnsi="Garamond"/>
          <w:sz w:val="22"/>
          <w:szCs w:val="22"/>
        </w:rPr>
        <w:t xml:space="preserve">tion would be necessary to minimise the risk that </w:t>
      </w:r>
      <w:r w:rsidRPr="007E28FD">
        <w:rPr>
          <w:rFonts w:ascii="Garamond" w:hAnsi="Garamond"/>
          <w:sz w:val="22"/>
          <w:szCs w:val="22"/>
        </w:rPr>
        <w:t>the implementation of clearing obligations (and with due consideration of trading obligations) in Europe and elsewhere is not unnecessarily disruptive to this global currency market.</w:t>
      </w:r>
    </w:p>
    <w:permEnd w:id="3"/>
    <w:p w:rsidR="00C7564E" w:rsidRDefault="00C7564E" w:rsidP="00C7564E">
      <w:r>
        <w:t>&lt;ESMA_CO3_COMMENT_1&gt;</w:t>
      </w:r>
    </w:p>
    <w:p w:rsidR="00CC1C71" w:rsidRPr="0058137B" w:rsidRDefault="00CC1C71" w:rsidP="00CC1C71">
      <w:pPr>
        <w:pStyle w:val="Heading2"/>
        <w:keepLines w:val="0"/>
        <w:pageBreakBefore/>
        <w:numPr>
          <w:ilvl w:val="0"/>
          <w:numId w:val="36"/>
        </w:numPr>
        <w:spacing w:before="0" w:after="250" w:line="276" w:lineRule="auto"/>
        <w:ind w:left="357" w:hanging="357"/>
        <w:jc w:val="both"/>
      </w:pPr>
      <w:r w:rsidRPr="0058137B">
        <w:lastRenderedPageBreak/>
        <w:t>The clearing obligation procedure</w:t>
      </w:r>
      <w:bookmarkStart w:id="7" w:name="_Toc390952336"/>
      <w:bookmarkStart w:id="8" w:name="_Toc391310566"/>
      <w:bookmarkStart w:id="9" w:name="_Toc391310591"/>
      <w:bookmarkStart w:id="10" w:name="_Toc391310651"/>
      <w:bookmarkStart w:id="11" w:name="_Toc391313043"/>
      <w:bookmarkEnd w:id="4"/>
      <w:bookmarkEnd w:id="5"/>
      <w:bookmarkEnd w:id="7"/>
      <w:bookmarkEnd w:id="8"/>
      <w:bookmarkEnd w:id="9"/>
      <w:bookmarkEnd w:id="10"/>
      <w:bookmarkEnd w:id="11"/>
    </w:p>
    <w:p w:rsidR="00CC1C71" w:rsidRDefault="00CC1C71" w:rsidP="00CC1C71"/>
    <w:p w:rsidR="00CC1C71" w:rsidRDefault="00CC1C71" w:rsidP="00CC1C71">
      <w:pPr>
        <w:pStyle w:val="Heading5"/>
      </w:pPr>
      <w:r>
        <w:t>Do you have any comment on the clearing obligation procedure described in Section 1?</w:t>
      </w:r>
    </w:p>
    <w:p w:rsidR="00CC1C71" w:rsidRDefault="00CC1C71" w:rsidP="00CC1C71"/>
    <w:p w:rsidR="00CC1C71" w:rsidRDefault="00CC1C71" w:rsidP="00CC1C71">
      <w:r>
        <w:t>&lt;ESMA_CO3_QUESTION_1&gt;</w:t>
      </w:r>
    </w:p>
    <w:p w:rsidR="007E28FD" w:rsidRPr="007E28FD" w:rsidRDefault="007E28FD" w:rsidP="007E28FD">
      <w:pPr>
        <w:jc w:val="both"/>
        <w:rPr>
          <w:rFonts w:ascii="Garamond" w:hAnsi="Garamond"/>
          <w:sz w:val="22"/>
          <w:szCs w:val="22"/>
        </w:rPr>
      </w:pPr>
      <w:permStart w:id="4" w:edGrp="everyone"/>
      <w:r w:rsidRPr="00676678">
        <w:rPr>
          <w:rFonts w:ascii="Garamond" w:hAnsi="Garamond"/>
          <w:sz w:val="22"/>
          <w:szCs w:val="22"/>
        </w:rPr>
        <w:t xml:space="preserve">GFXD agrees </w:t>
      </w:r>
      <w:r>
        <w:rPr>
          <w:rFonts w:ascii="Garamond" w:hAnsi="Garamond"/>
          <w:sz w:val="22"/>
          <w:szCs w:val="22"/>
        </w:rPr>
        <w:t xml:space="preserve">with </w:t>
      </w:r>
      <w:r w:rsidRPr="00676678">
        <w:rPr>
          <w:rFonts w:ascii="Garamond" w:hAnsi="Garamond"/>
          <w:sz w:val="22"/>
          <w:szCs w:val="22"/>
        </w:rPr>
        <w:t xml:space="preserve">and supports the response from </w:t>
      </w:r>
      <w:r>
        <w:rPr>
          <w:rFonts w:ascii="Garamond" w:hAnsi="Garamond"/>
          <w:sz w:val="22"/>
          <w:szCs w:val="22"/>
        </w:rPr>
        <w:t xml:space="preserve">the </w:t>
      </w:r>
      <w:r w:rsidRPr="00676678">
        <w:rPr>
          <w:rFonts w:ascii="Garamond" w:hAnsi="Garamond"/>
          <w:sz w:val="22"/>
          <w:szCs w:val="22"/>
        </w:rPr>
        <w:t xml:space="preserve">ISDA </w:t>
      </w:r>
      <w:r>
        <w:rPr>
          <w:rFonts w:ascii="Garamond" w:hAnsi="Garamond"/>
          <w:sz w:val="22"/>
          <w:szCs w:val="22"/>
        </w:rPr>
        <w:t xml:space="preserve">and FIA Europe </w:t>
      </w:r>
      <w:r w:rsidRPr="00676678">
        <w:rPr>
          <w:rFonts w:ascii="Garamond" w:hAnsi="Garamond"/>
          <w:sz w:val="22"/>
          <w:szCs w:val="22"/>
        </w:rPr>
        <w:t>to this Question 1 (s</w:t>
      </w:r>
      <w:r>
        <w:rPr>
          <w:rFonts w:ascii="Garamond" w:hAnsi="Garamond"/>
          <w:sz w:val="22"/>
          <w:szCs w:val="22"/>
        </w:rPr>
        <w:t>ee R</w:t>
      </w:r>
      <w:r>
        <w:rPr>
          <w:rFonts w:ascii="Garamond" w:hAnsi="Garamond"/>
          <w:sz w:val="22"/>
          <w:szCs w:val="22"/>
        </w:rPr>
        <w:t>e</w:t>
      </w:r>
      <w:r>
        <w:rPr>
          <w:rFonts w:ascii="Garamond" w:hAnsi="Garamond"/>
          <w:sz w:val="22"/>
          <w:szCs w:val="22"/>
        </w:rPr>
        <w:t>sponse to ESMA Consultation Paper No. 3 from International Swaps and Derivatives Association, Inc. and FIA Europe, dated 6 November</w:t>
      </w:r>
      <w:r w:rsidRPr="00E76391">
        <w:rPr>
          <w:rFonts w:ascii="Garamond" w:hAnsi="Garamond"/>
          <w:sz w:val="22"/>
          <w:szCs w:val="22"/>
        </w:rPr>
        <w:t xml:space="preserve"> 2014 (“</w:t>
      </w:r>
      <w:r>
        <w:rPr>
          <w:rFonts w:ascii="Garamond" w:hAnsi="Garamond"/>
          <w:sz w:val="22"/>
          <w:szCs w:val="22"/>
          <w:u w:val="single"/>
        </w:rPr>
        <w:t xml:space="preserve">ISDA-FIA </w:t>
      </w:r>
      <w:r w:rsidR="004771DE">
        <w:rPr>
          <w:rFonts w:ascii="Garamond" w:hAnsi="Garamond"/>
          <w:sz w:val="22"/>
          <w:szCs w:val="22"/>
          <w:u w:val="single"/>
        </w:rPr>
        <w:t xml:space="preserve">Europe </w:t>
      </w:r>
      <w:r w:rsidRPr="00E76391">
        <w:rPr>
          <w:rFonts w:ascii="Garamond" w:hAnsi="Garamond"/>
          <w:sz w:val="22"/>
          <w:szCs w:val="22"/>
          <w:u w:val="single"/>
        </w:rPr>
        <w:t>FX NDF Response</w:t>
      </w:r>
      <w:r w:rsidRPr="00E76391">
        <w:rPr>
          <w:rFonts w:ascii="Garamond" w:hAnsi="Garamond"/>
          <w:sz w:val="22"/>
          <w:szCs w:val="22"/>
        </w:rPr>
        <w:t xml:space="preserve">”) available at </w:t>
      </w:r>
      <w:hyperlink r:id="rId15" w:history="1">
        <w:r w:rsidRPr="00E76391">
          <w:rPr>
            <w:rStyle w:val="Hyperlink"/>
            <w:rFonts w:ascii="Garamond" w:hAnsi="Garamond"/>
            <w:sz w:val="22"/>
            <w:szCs w:val="22"/>
          </w:rPr>
          <w:t>http://www2.isda.org/functional-areas/public-policy/europe/</w:t>
        </w:r>
      </w:hyperlink>
      <w:r w:rsidRPr="00E76391">
        <w:rPr>
          <w:rFonts w:ascii="Garamond" w:hAnsi="Garamond"/>
          <w:sz w:val="22"/>
          <w:szCs w:val="22"/>
        </w:rPr>
        <w:t>.</w:t>
      </w:r>
    </w:p>
    <w:permEnd w:id="4"/>
    <w:p w:rsidR="00CC1C71" w:rsidRDefault="00CC1C71" w:rsidP="00CC1C71">
      <w:r>
        <w:t>&lt;ESMA_CO3_QUESTION_1&gt;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2" w:name="_Ref392685388"/>
      <w:bookmarkStart w:id="13" w:name="_Toc398140745"/>
      <w:r>
        <w:lastRenderedPageBreak/>
        <w:t>Structure of the non-deliverable forward derivatives classes</w:t>
      </w:r>
      <w:bookmarkEnd w:id="12"/>
      <w:bookmarkEnd w:id="13"/>
    </w:p>
    <w:p w:rsidR="00CC1C71" w:rsidRDefault="00CC1C71" w:rsidP="00CC1C71"/>
    <w:p w:rsidR="00CC1C71" w:rsidRPr="0075124D" w:rsidRDefault="00CC1C71" w:rsidP="00CC1C71">
      <w:pPr>
        <w:pStyle w:val="Heading5"/>
      </w:pPr>
      <w:r w:rsidRPr="0075124D">
        <w:t>Do you consider that the proposed structure for the FX NDF classes enables cou</w:t>
      </w:r>
      <w:r w:rsidRPr="0075124D">
        <w:t>n</w:t>
      </w:r>
      <w:r w:rsidRPr="0075124D">
        <w:t>terparties to identify which contracts are subject to the clearing obligation?</w:t>
      </w:r>
    </w:p>
    <w:p w:rsidR="00CC1C71" w:rsidRDefault="00CC1C71" w:rsidP="00CC1C71"/>
    <w:p w:rsidR="00CC1C71" w:rsidRDefault="00CC1C71" w:rsidP="00CC1C71">
      <w:r>
        <w:t>&lt;ESMA_CO3_QUESTION_2&gt;</w:t>
      </w:r>
    </w:p>
    <w:p w:rsidR="007E28FD" w:rsidRPr="00EC2452" w:rsidRDefault="007E28FD" w:rsidP="007E28FD">
      <w:pPr>
        <w:widowControl w:val="0"/>
        <w:jc w:val="both"/>
        <w:rPr>
          <w:rFonts w:ascii="Garamond" w:hAnsi="Garamond"/>
          <w:sz w:val="22"/>
          <w:szCs w:val="22"/>
        </w:rPr>
      </w:pPr>
      <w:permStart w:id="5" w:edGrp="everyone"/>
      <w:r>
        <w:rPr>
          <w:rFonts w:ascii="Garamond" w:hAnsi="Garamond"/>
          <w:sz w:val="22"/>
          <w:szCs w:val="22"/>
        </w:rPr>
        <w:t xml:space="preserve">GFXD believes it is imperative that any RTS issued by ESMA be sufficiently clear and granular in identifying the instruments subject to a clearing obligation.  A clearing mandate can serve to drive standardisation or, in the case of the FX NDF market, avoid undermining the level of standardisation achieved to date only when it is sufficiently detailed such that it does not encompass instruments with different economic terms.  While </w:t>
      </w:r>
      <w:r w:rsidRPr="00EC2452">
        <w:rPr>
          <w:rFonts w:ascii="Garamond" w:hAnsi="Garamond"/>
          <w:sz w:val="22"/>
          <w:szCs w:val="22"/>
        </w:rPr>
        <w:t>GFXD agrees with the proposed s</w:t>
      </w:r>
      <w:r>
        <w:rPr>
          <w:rFonts w:ascii="Garamond" w:hAnsi="Garamond"/>
          <w:sz w:val="22"/>
          <w:szCs w:val="22"/>
        </w:rPr>
        <w:t>tructure for the FX NDF classes, it is important that some additional detail is provided in the RTS with respect to the contract characteristics to ensure the class is sufficiently standar</w:t>
      </w:r>
      <w:r>
        <w:rPr>
          <w:rFonts w:ascii="Garamond" w:hAnsi="Garamond"/>
          <w:sz w:val="22"/>
          <w:szCs w:val="22"/>
        </w:rPr>
        <w:t>d</w:t>
      </w:r>
      <w:r>
        <w:rPr>
          <w:rFonts w:ascii="Garamond" w:hAnsi="Garamond"/>
          <w:sz w:val="22"/>
          <w:szCs w:val="22"/>
        </w:rPr>
        <w:t>ised</w:t>
      </w:r>
      <w:r w:rsidRPr="00EC2452">
        <w:rPr>
          <w:rFonts w:ascii="Garamond" w:hAnsi="Garamond"/>
          <w:sz w:val="22"/>
          <w:szCs w:val="22"/>
        </w:rPr>
        <w:t>.</w:t>
      </w:r>
      <w:r w:rsidRPr="00EC2452">
        <w:rPr>
          <w:rStyle w:val="FootnoteReference"/>
          <w:rFonts w:ascii="Garamond" w:hAnsi="Garamond"/>
          <w:sz w:val="22"/>
          <w:szCs w:val="22"/>
        </w:rPr>
        <w:footnoteReference w:id="6"/>
      </w:r>
      <w:r w:rsidRPr="00EC2452">
        <w:rPr>
          <w:rFonts w:ascii="Garamond" w:hAnsi="Garamond"/>
          <w:sz w:val="22"/>
          <w:szCs w:val="22"/>
        </w:rPr>
        <w:t xml:space="preserve">  For the reasons noted below, </w:t>
      </w:r>
      <w:r>
        <w:rPr>
          <w:rFonts w:ascii="Garamond" w:hAnsi="Garamond"/>
          <w:sz w:val="22"/>
          <w:szCs w:val="22"/>
        </w:rPr>
        <w:t xml:space="preserve">we strongly urge ESMA to expand </w:t>
      </w:r>
      <w:r w:rsidRPr="00EC2452">
        <w:rPr>
          <w:rFonts w:ascii="Garamond" w:hAnsi="Garamond"/>
          <w:sz w:val="22"/>
          <w:szCs w:val="22"/>
        </w:rPr>
        <w:t xml:space="preserve">the list of characteristics to be used to define the </w:t>
      </w:r>
      <w:r>
        <w:rPr>
          <w:rFonts w:ascii="Garamond" w:hAnsi="Garamond"/>
          <w:sz w:val="22"/>
          <w:szCs w:val="22"/>
        </w:rPr>
        <w:t xml:space="preserve">FX </w:t>
      </w:r>
      <w:r w:rsidRPr="00EC2452">
        <w:rPr>
          <w:rFonts w:ascii="Garamond" w:hAnsi="Garamond"/>
          <w:sz w:val="22"/>
          <w:szCs w:val="22"/>
        </w:rPr>
        <w:t xml:space="preserve">NDF classes </w:t>
      </w:r>
      <w:r>
        <w:rPr>
          <w:rFonts w:ascii="Garamond" w:hAnsi="Garamond"/>
          <w:sz w:val="22"/>
          <w:szCs w:val="22"/>
        </w:rPr>
        <w:t xml:space="preserve">in Annex I of the RTS </w:t>
      </w:r>
      <w:r w:rsidRPr="00EC2452">
        <w:rPr>
          <w:rFonts w:ascii="Garamond" w:hAnsi="Garamond"/>
          <w:sz w:val="22"/>
          <w:szCs w:val="22"/>
        </w:rPr>
        <w:t>to include:</w:t>
      </w:r>
    </w:p>
    <w:p w:rsidR="007E28FD" w:rsidRPr="00EC2452" w:rsidRDefault="007E28FD" w:rsidP="007E28FD">
      <w:pPr>
        <w:jc w:val="both"/>
        <w:rPr>
          <w:rFonts w:ascii="Garamond" w:hAnsi="Garamond"/>
          <w:sz w:val="22"/>
          <w:szCs w:val="22"/>
        </w:rPr>
      </w:pPr>
    </w:p>
    <w:p w:rsidR="007E28FD" w:rsidRDefault="007E28FD" w:rsidP="007E28FD">
      <w:pPr>
        <w:pStyle w:val="ListParagraph"/>
        <w:numPr>
          <w:ilvl w:val="0"/>
          <w:numId w:val="40"/>
        </w:numPr>
        <w:spacing w:after="200" w:line="276" w:lineRule="auto"/>
        <w:contextualSpacing w:val="0"/>
        <w:jc w:val="both"/>
        <w:rPr>
          <w:rFonts w:ascii="Garamond" w:hAnsi="Garamond"/>
          <w:sz w:val="22"/>
          <w:szCs w:val="22"/>
        </w:rPr>
      </w:pPr>
      <w:r w:rsidRPr="00EC2452">
        <w:rPr>
          <w:rFonts w:ascii="Garamond" w:hAnsi="Garamond"/>
          <w:sz w:val="22"/>
          <w:szCs w:val="22"/>
        </w:rPr>
        <w:t>EMTA published currency template (without modification), which</w:t>
      </w:r>
      <w:r>
        <w:rPr>
          <w:rFonts w:ascii="Garamond" w:hAnsi="Garamond"/>
          <w:sz w:val="22"/>
          <w:szCs w:val="22"/>
        </w:rPr>
        <w:t xml:space="preserve"> takes the value “YES.”</w:t>
      </w:r>
    </w:p>
    <w:p w:rsidR="007E28FD" w:rsidRPr="00EC2452" w:rsidRDefault="007E28FD" w:rsidP="007E28FD">
      <w:pPr>
        <w:jc w:val="both"/>
        <w:rPr>
          <w:rFonts w:ascii="Garamond" w:hAnsi="Garamond" w:cs="Courier New"/>
          <w:sz w:val="22"/>
          <w:szCs w:val="22"/>
        </w:rPr>
      </w:pPr>
      <w:r>
        <w:rPr>
          <w:rFonts w:ascii="Garamond" w:hAnsi="Garamond" w:cs="Courier New"/>
          <w:sz w:val="22"/>
          <w:szCs w:val="22"/>
        </w:rPr>
        <w:t xml:space="preserve">This will ensure that any </w:t>
      </w:r>
      <w:r w:rsidRPr="00EC2452">
        <w:rPr>
          <w:rFonts w:ascii="Garamond" w:hAnsi="Garamond" w:cs="Courier New"/>
          <w:sz w:val="22"/>
          <w:szCs w:val="22"/>
        </w:rPr>
        <w:t xml:space="preserve">recommendation </w:t>
      </w:r>
      <w:r>
        <w:rPr>
          <w:rFonts w:ascii="Garamond" w:hAnsi="Garamond" w:cs="Courier New"/>
          <w:sz w:val="22"/>
          <w:szCs w:val="22"/>
        </w:rPr>
        <w:t xml:space="preserve">of a </w:t>
      </w:r>
      <w:r w:rsidRPr="00EC2452">
        <w:rPr>
          <w:rFonts w:ascii="Garamond" w:hAnsi="Garamond" w:cs="Courier New"/>
          <w:sz w:val="22"/>
          <w:szCs w:val="22"/>
        </w:rPr>
        <w:t xml:space="preserve">clearing mandate based on </w:t>
      </w:r>
      <w:r>
        <w:rPr>
          <w:rFonts w:ascii="Garamond" w:hAnsi="Garamond" w:cs="Courier New"/>
          <w:sz w:val="22"/>
          <w:szCs w:val="22"/>
        </w:rPr>
        <w:t>a bottom-up approach, as is cu</w:t>
      </w:r>
      <w:r>
        <w:rPr>
          <w:rFonts w:ascii="Garamond" w:hAnsi="Garamond" w:cs="Courier New"/>
          <w:sz w:val="22"/>
          <w:szCs w:val="22"/>
        </w:rPr>
        <w:t>r</w:t>
      </w:r>
      <w:r>
        <w:rPr>
          <w:rFonts w:ascii="Garamond" w:hAnsi="Garamond" w:cs="Courier New"/>
          <w:sz w:val="22"/>
          <w:szCs w:val="22"/>
        </w:rPr>
        <w:t>rently the case with respect to contracts of the CCP currently authorised to clear these products under EMIR (LCH.</w:t>
      </w:r>
      <w:r w:rsidRPr="00EC2452">
        <w:rPr>
          <w:rFonts w:ascii="Garamond" w:hAnsi="Garamond" w:cs="Courier New"/>
          <w:sz w:val="22"/>
          <w:szCs w:val="22"/>
        </w:rPr>
        <w:t>Clearnet Limited (</w:t>
      </w:r>
      <w:r>
        <w:rPr>
          <w:rFonts w:ascii="Garamond" w:hAnsi="Garamond" w:cs="Courier New"/>
          <w:sz w:val="22"/>
          <w:szCs w:val="22"/>
        </w:rPr>
        <w:t>“</w:t>
      </w:r>
      <w:r w:rsidRPr="00CA4CF1">
        <w:rPr>
          <w:rFonts w:ascii="Garamond" w:hAnsi="Garamond" w:cs="Courier New"/>
          <w:sz w:val="22"/>
          <w:szCs w:val="22"/>
          <w:u w:val="single"/>
        </w:rPr>
        <w:t>LCH</w:t>
      </w:r>
      <w:r>
        <w:rPr>
          <w:rFonts w:ascii="Garamond" w:hAnsi="Garamond" w:cs="Courier New"/>
          <w:sz w:val="22"/>
          <w:szCs w:val="22"/>
        </w:rPr>
        <w:t>”</w:t>
      </w:r>
      <w:r w:rsidRPr="00EC2452">
        <w:rPr>
          <w:rFonts w:ascii="Garamond" w:hAnsi="Garamond" w:cs="Courier New"/>
          <w:sz w:val="22"/>
          <w:szCs w:val="22"/>
        </w:rPr>
        <w:t>)</w:t>
      </w:r>
      <w:r>
        <w:rPr>
          <w:rFonts w:ascii="Garamond" w:hAnsi="Garamond" w:cs="Courier New"/>
          <w:sz w:val="22"/>
          <w:szCs w:val="22"/>
        </w:rPr>
        <w:t xml:space="preserve">), </w:t>
      </w:r>
      <w:r w:rsidRPr="00EC2452">
        <w:rPr>
          <w:rFonts w:ascii="Garamond" w:hAnsi="Garamond" w:cs="Courier New"/>
          <w:sz w:val="22"/>
          <w:szCs w:val="22"/>
        </w:rPr>
        <w:t xml:space="preserve">would </w:t>
      </w:r>
      <w:r w:rsidRPr="00CA4CF1">
        <w:rPr>
          <w:rFonts w:ascii="Garamond" w:hAnsi="Garamond" w:cs="Courier New"/>
          <w:i/>
          <w:sz w:val="22"/>
          <w:szCs w:val="22"/>
        </w:rPr>
        <w:t>not</w:t>
      </w:r>
      <w:r w:rsidRPr="00EC2452">
        <w:rPr>
          <w:rFonts w:ascii="Garamond" w:hAnsi="Garamond" w:cs="Courier New"/>
          <w:sz w:val="22"/>
          <w:szCs w:val="22"/>
        </w:rPr>
        <w:t xml:space="preserve"> apply to contracts that have </w:t>
      </w:r>
      <w:r w:rsidRPr="00CA4CF1">
        <w:rPr>
          <w:rFonts w:ascii="Garamond" w:hAnsi="Garamond" w:cs="Courier New"/>
          <w:i/>
          <w:sz w:val="22"/>
          <w:szCs w:val="22"/>
        </w:rPr>
        <w:t>not</w:t>
      </w:r>
      <w:r w:rsidRPr="00EC2452">
        <w:rPr>
          <w:rFonts w:ascii="Garamond" w:hAnsi="Garamond" w:cs="Courier New"/>
          <w:sz w:val="22"/>
          <w:szCs w:val="22"/>
        </w:rPr>
        <w:t xml:space="preserve"> adopt</w:t>
      </w:r>
      <w:r>
        <w:rPr>
          <w:rFonts w:ascii="Garamond" w:hAnsi="Garamond" w:cs="Courier New"/>
          <w:sz w:val="22"/>
          <w:szCs w:val="22"/>
        </w:rPr>
        <w:t xml:space="preserve">ed the relevant currency template in the form published by EMTA </w:t>
      </w:r>
      <w:r w:rsidRPr="00EC2452">
        <w:rPr>
          <w:rFonts w:ascii="Garamond" w:hAnsi="Garamond" w:cs="Courier New"/>
          <w:sz w:val="22"/>
          <w:szCs w:val="22"/>
        </w:rPr>
        <w:t xml:space="preserve">as those contracts </w:t>
      </w:r>
      <w:r>
        <w:rPr>
          <w:rFonts w:ascii="Garamond" w:hAnsi="Garamond" w:cs="Courier New"/>
          <w:sz w:val="22"/>
          <w:szCs w:val="22"/>
        </w:rPr>
        <w:t xml:space="preserve">would have different economic terms.  </w:t>
      </w:r>
      <w:r w:rsidRPr="00EC2452">
        <w:rPr>
          <w:rFonts w:ascii="Garamond" w:hAnsi="Garamond" w:cs="Courier New"/>
          <w:sz w:val="22"/>
          <w:szCs w:val="22"/>
        </w:rPr>
        <w:t xml:space="preserve">While we believe FX NDFs can be </w:t>
      </w:r>
      <w:r>
        <w:rPr>
          <w:rFonts w:ascii="Garamond" w:hAnsi="Garamond" w:cs="Courier New"/>
          <w:sz w:val="22"/>
          <w:szCs w:val="22"/>
        </w:rPr>
        <w:t xml:space="preserve">cleared, and are being voluntarily </w:t>
      </w:r>
      <w:r w:rsidRPr="00EC2452">
        <w:rPr>
          <w:rFonts w:ascii="Garamond" w:hAnsi="Garamond" w:cs="Courier New"/>
          <w:sz w:val="22"/>
          <w:szCs w:val="22"/>
        </w:rPr>
        <w:t xml:space="preserve">– cleared, </w:t>
      </w:r>
      <w:r>
        <w:rPr>
          <w:rFonts w:ascii="Garamond" w:hAnsi="Garamond" w:cs="Courier New"/>
          <w:sz w:val="22"/>
          <w:szCs w:val="22"/>
        </w:rPr>
        <w:t xml:space="preserve">it is important for regulatory </w:t>
      </w:r>
      <w:r w:rsidRPr="00EC2452">
        <w:rPr>
          <w:rFonts w:ascii="Garamond" w:hAnsi="Garamond" w:cs="Courier New"/>
          <w:sz w:val="22"/>
          <w:szCs w:val="22"/>
        </w:rPr>
        <w:t>authorities in Europe, U</w:t>
      </w:r>
      <w:r>
        <w:rPr>
          <w:rFonts w:ascii="Garamond" w:hAnsi="Garamond" w:cs="Courier New"/>
          <w:sz w:val="22"/>
          <w:szCs w:val="22"/>
        </w:rPr>
        <w:t>.</w:t>
      </w:r>
      <w:r w:rsidRPr="00EC2452">
        <w:rPr>
          <w:rFonts w:ascii="Garamond" w:hAnsi="Garamond" w:cs="Courier New"/>
          <w:sz w:val="22"/>
          <w:szCs w:val="22"/>
        </w:rPr>
        <w:t>S</w:t>
      </w:r>
      <w:r>
        <w:rPr>
          <w:rFonts w:ascii="Garamond" w:hAnsi="Garamond" w:cs="Courier New"/>
          <w:sz w:val="22"/>
          <w:szCs w:val="22"/>
        </w:rPr>
        <w:t>.</w:t>
      </w:r>
      <w:r w:rsidRPr="00EC2452">
        <w:rPr>
          <w:rFonts w:ascii="Garamond" w:hAnsi="Garamond" w:cs="Courier New"/>
          <w:sz w:val="22"/>
          <w:szCs w:val="22"/>
        </w:rPr>
        <w:t xml:space="preserve"> and the Asia Pacific region to coordinate to ensure that there is sufficient agreement concer</w:t>
      </w:r>
      <w:r w:rsidRPr="00EC2452">
        <w:rPr>
          <w:rFonts w:ascii="Garamond" w:hAnsi="Garamond" w:cs="Courier New"/>
          <w:sz w:val="22"/>
          <w:szCs w:val="22"/>
        </w:rPr>
        <w:t>n</w:t>
      </w:r>
      <w:r w:rsidRPr="00EC2452">
        <w:rPr>
          <w:rFonts w:ascii="Garamond" w:hAnsi="Garamond" w:cs="Courier New"/>
          <w:sz w:val="22"/>
          <w:szCs w:val="22"/>
        </w:rPr>
        <w:t xml:space="preserve">ing FX NDF contract specifications, including the adoption of </w:t>
      </w:r>
      <w:r>
        <w:rPr>
          <w:rFonts w:ascii="Garamond" w:hAnsi="Garamond" w:cs="Courier New"/>
          <w:sz w:val="22"/>
          <w:szCs w:val="22"/>
        </w:rPr>
        <w:t xml:space="preserve">these </w:t>
      </w:r>
      <w:r w:rsidRPr="00EC2452">
        <w:rPr>
          <w:rFonts w:ascii="Garamond" w:hAnsi="Garamond" w:cs="Courier New"/>
          <w:sz w:val="22"/>
          <w:szCs w:val="22"/>
        </w:rPr>
        <w:t xml:space="preserve">templates, </w:t>
      </w:r>
      <w:r>
        <w:rPr>
          <w:rFonts w:ascii="Garamond" w:hAnsi="Garamond" w:cs="Courier New"/>
          <w:sz w:val="22"/>
          <w:szCs w:val="22"/>
        </w:rPr>
        <w:t xml:space="preserve">before any </w:t>
      </w:r>
      <w:r w:rsidRPr="00EC2452">
        <w:rPr>
          <w:rFonts w:ascii="Garamond" w:hAnsi="Garamond" w:cs="Courier New"/>
          <w:sz w:val="22"/>
          <w:szCs w:val="22"/>
        </w:rPr>
        <w:t>clearing determin</w:t>
      </w:r>
      <w:r w:rsidRPr="00EC2452">
        <w:rPr>
          <w:rFonts w:ascii="Garamond" w:hAnsi="Garamond" w:cs="Courier New"/>
          <w:sz w:val="22"/>
          <w:szCs w:val="22"/>
        </w:rPr>
        <w:t>a</w:t>
      </w:r>
      <w:r w:rsidRPr="00EC2452">
        <w:rPr>
          <w:rFonts w:ascii="Garamond" w:hAnsi="Garamond" w:cs="Courier New"/>
          <w:sz w:val="22"/>
          <w:szCs w:val="22"/>
        </w:rPr>
        <w:t>tions</w:t>
      </w:r>
      <w:r>
        <w:rPr>
          <w:rFonts w:ascii="Garamond" w:hAnsi="Garamond" w:cs="Courier New"/>
          <w:sz w:val="22"/>
          <w:szCs w:val="22"/>
        </w:rPr>
        <w:t xml:space="preserve"> are introduced in </w:t>
      </w:r>
      <w:r w:rsidRPr="00EC2452">
        <w:rPr>
          <w:rFonts w:ascii="Garamond" w:hAnsi="Garamond" w:cs="Courier New"/>
          <w:sz w:val="22"/>
          <w:szCs w:val="22"/>
        </w:rPr>
        <w:t>their respective jurisdictions.</w:t>
      </w:r>
      <w:r w:rsidRPr="00EC2452">
        <w:rPr>
          <w:rStyle w:val="FootnoteReference"/>
          <w:rFonts w:ascii="Garamond" w:hAnsi="Garamond" w:cs="Courier New"/>
          <w:sz w:val="22"/>
          <w:szCs w:val="22"/>
        </w:rPr>
        <w:footnoteReference w:id="7"/>
      </w:r>
    </w:p>
    <w:p w:rsidR="007E28FD" w:rsidRDefault="007E28FD" w:rsidP="007E28FD">
      <w:pPr>
        <w:jc w:val="both"/>
        <w:rPr>
          <w:rFonts w:ascii="Garamond" w:hAnsi="Garamond"/>
          <w:sz w:val="22"/>
          <w:szCs w:val="22"/>
        </w:rPr>
      </w:pPr>
    </w:p>
    <w:p w:rsidR="007E28FD" w:rsidRPr="00EC2452" w:rsidRDefault="007E28FD" w:rsidP="007E28FD">
      <w:pPr>
        <w:jc w:val="both"/>
        <w:rPr>
          <w:rFonts w:ascii="Garamond" w:hAnsi="Garamond"/>
          <w:sz w:val="22"/>
          <w:szCs w:val="22"/>
        </w:rPr>
      </w:pPr>
      <w:r w:rsidRPr="00676678">
        <w:rPr>
          <w:rFonts w:ascii="Garamond" w:hAnsi="Garamond"/>
          <w:sz w:val="22"/>
          <w:szCs w:val="22"/>
        </w:rPr>
        <w:t xml:space="preserve">GFXD </w:t>
      </w:r>
      <w:r>
        <w:rPr>
          <w:rFonts w:ascii="Garamond" w:hAnsi="Garamond"/>
          <w:sz w:val="22"/>
          <w:szCs w:val="22"/>
        </w:rPr>
        <w:t xml:space="preserve">also </w:t>
      </w:r>
      <w:r w:rsidRPr="00676678">
        <w:rPr>
          <w:rFonts w:ascii="Garamond" w:hAnsi="Garamond"/>
          <w:sz w:val="22"/>
          <w:szCs w:val="22"/>
        </w:rPr>
        <w:t xml:space="preserve">agrees </w:t>
      </w:r>
      <w:r>
        <w:rPr>
          <w:rFonts w:ascii="Garamond" w:hAnsi="Garamond"/>
          <w:sz w:val="22"/>
          <w:szCs w:val="22"/>
        </w:rPr>
        <w:t xml:space="preserve">with </w:t>
      </w:r>
      <w:r w:rsidRPr="00676678">
        <w:rPr>
          <w:rFonts w:ascii="Garamond" w:hAnsi="Garamond"/>
          <w:sz w:val="22"/>
          <w:szCs w:val="22"/>
        </w:rPr>
        <w:t xml:space="preserve">and supports the response </w:t>
      </w:r>
      <w:r>
        <w:rPr>
          <w:rFonts w:ascii="Garamond" w:hAnsi="Garamond"/>
          <w:sz w:val="22"/>
          <w:szCs w:val="22"/>
        </w:rPr>
        <w:t xml:space="preserve">in the ISDA-FIA </w:t>
      </w:r>
      <w:r w:rsidR="004771DE">
        <w:rPr>
          <w:rFonts w:ascii="Garamond" w:hAnsi="Garamond"/>
          <w:sz w:val="22"/>
          <w:szCs w:val="22"/>
        </w:rPr>
        <w:t xml:space="preserve">Europe </w:t>
      </w:r>
      <w:r>
        <w:rPr>
          <w:rFonts w:ascii="Garamond" w:hAnsi="Garamond"/>
          <w:sz w:val="22"/>
          <w:szCs w:val="22"/>
        </w:rPr>
        <w:t xml:space="preserve">FX NDF Response </w:t>
      </w:r>
      <w:r w:rsidRPr="00676678">
        <w:rPr>
          <w:rFonts w:ascii="Garamond" w:hAnsi="Garamond"/>
          <w:sz w:val="22"/>
          <w:szCs w:val="22"/>
        </w:rPr>
        <w:t>on this Question 2 as it relates to mitigation of trading ban situations</w:t>
      </w:r>
      <w:r>
        <w:rPr>
          <w:rFonts w:ascii="Garamond" w:hAnsi="Garamond"/>
          <w:sz w:val="22"/>
          <w:szCs w:val="22"/>
        </w:rPr>
        <w:t>.</w:t>
      </w:r>
    </w:p>
    <w:p w:rsidR="007E28FD" w:rsidRDefault="007E28FD" w:rsidP="007E28FD">
      <w:pPr>
        <w:jc w:val="both"/>
        <w:rPr>
          <w:rFonts w:ascii="Garamond" w:hAnsi="Garamond"/>
          <w:sz w:val="22"/>
          <w:szCs w:val="22"/>
        </w:rPr>
      </w:pPr>
    </w:p>
    <w:p w:rsidR="007E28FD" w:rsidRPr="00EC2452" w:rsidRDefault="007E28FD" w:rsidP="007E28FD">
      <w:pPr>
        <w:jc w:val="both"/>
        <w:rPr>
          <w:rFonts w:ascii="Garamond" w:hAnsi="Garamond"/>
          <w:sz w:val="22"/>
          <w:szCs w:val="22"/>
        </w:rPr>
      </w:pPr>
      <w:r>
        <w:rPr>
          <w:rFonts w:ascii="Garamond" w:hAnsi="Garamond"/>
          <w:b/>
          <w:i/>
          <w:sz w:val="22"/>
          <w:szCs w:val="22"/>
        </w:rPr>
        <w:t>Standardis</w:t>
      </w:r>
      <w:r w:rsidRPr="00EC2452">
        <w:rPr>
          <w:rFonts w:ascii="Garamond" w:hAnsi="Garamond"/>
          <w:b/>
          <w:i/>
          <w:sz w:val="22"/>
          <w:szCs w:val="22"/>
        </w:rPr>
        <w:t>ation achieved in the FX NDF market is due to development and use of industry sta</w:t>
      </w:r>
      <w:r w:rsidRPr="00EC2452">
        <w:rPr>
          <w:rFonts w:ascii="Garamond" w:hAnsi="Garamond"/>
          <w:b/>
          <w:i/>
          <w:sz w:val="22"/>
          <w:szCs w:val="22"/>
        </w:rPr>
        <w:t>n</w:t>
      </w:r>
      <w:r w:rsidRPr="00EC2452">
        <w:rPr>
          <w:rFonts w:ascii="Garamond" w:hAnsi="Garamond"/>
          <w:b/>
          <w:i/>
          <w:sz w:val="22"/>
          <w:szCs w:val="22"/>
        </w:rPr>
        <w:t>dards memoriali</w:t>
      </w:r>
      <w:r>
        <w:rPr>
          <w:rFonts w:ascii="Garamond" w:hAnsi="Garamond"/>
          <w:b/>
          <w:i/>
          <w:sz w:val="22"/>
          <w:szCs w:val="22"/>
        </w:rPr>
        <w:t>s</w:t>
      </w:r>
      <w:r w:rsidRPr="00EC2452">
        <w:rPr>
          <w:rFonts w:ascii="Garamond" w:hAnsi="Garamond"/>
          <w:b/>
          <w:i/>
          <w:sz w:val="22"/>
          <w:szCs w:val="22"/>
        </w:rPr>
        <w:t>ed in EMTA templates.</w:t>
      </w:r>
      <w:r w:rsidRPr="00EC2452">
        <w:rPr>
          <w:rFonts w:ascii="Garamond" w:hAnsi="Garamond"/>
          <w:sz w:val="22"/>
          <w:szCs w:val="22"/>
        </w:rPr>
        <w:t xml:space="preserve">  The market for FX NDF contracts widely relies upon well-established industry terms and conditions, templates and fallbacks in the form of currency specific EMTA templates published at </w:t>
      </w:r>
      <w:hyperlink r:id="rId16" w:history="1">
        <w:r w:rsidRPr="00EC2452">
          <w:rPr>
            <w:rStyle w:val="Hyperlink"/>
            <w:rFonts w:ascii="Garamond" w:hAnsi="Garamond"/>
            <w:sz w:val="22"/>
            <w:szCs w:val="22"/>
          </w:rPr>
          <w:t>www.emta.org</w:t>
        </w:r>
      </w:hyperlink>
      <w:r w:rsidRPr="00EC2452">
        <w:rPr>
          <w:rFonts w:ascii="Garamond" w:hAnsi="Garamond"/>
          <w:sz w:val="22"/>
          <w:szCs w:val="22"/>
        </w:rPr>
        <w:t xml:space="preserve">.  Each provision contained in an EMTA template is an essential part of the overall risk component of FX NDF contracts and thus material to the parties, including CCPs, to the contract – from trade execution through to settlement.   Each EMTA currency template provides (i) a primary fixing source to be used for valuing the contract for settlement, and (ii) fall-back conventions which address the risk of potential market/sovereign events disrupting the value or settlement of the emerging market currencies underlying these contracts (e.g., suspension of trading, sovereign default, an unexpected bank holiday or other significant disruption to valuation, payment or settlement processes). </w:t>
      </w:r>
    </w:p>
    <w:p w:rsidR="007E28FD" w:rsidRPr="00EC2452" w:rsidRDefault="007E28FD" w:rsidP="007E28FD">
      <w:pPr>
        <w:jc w:val="both"/>
        <w:rPr>
          <w:rFonts w:ascii="Garamond" w:eastAsiaTheme="minorHAnsi" w:hAnsi="Garamond"/>
          <w:sz w:val="22"/>
          <w:szCs w:val="22"/>
          <w:lang w:val="en-US" w:eastAsia="en-US"/>
        </w:rPr>
      </w:pPr>
    </w:p>
    <w:p w:rsidR="007E28FD" w:rsidRPr="00EC2452" w:rsidRDefault="007E28FD" w:rsidP="007E28FD">
      <w:pPr>
        <w:jc w:val="both"/>
        <w:rPr>
          <w:rFonts w:ascii="Garamond" w:hAnsi="Garamond"/>
          <w:sz w:val="22"/>
          <w:szCs w:val="22"/>
        </w:rPr>
      </w:pPr>
      <w:r w:rsidRPr="00EC2452">
        <w:rPr>
          <w:rFonts w:ascii="Garamond" w:hAnsi="Garamond"/>
          <w:sz w:val="22"/>
          <w:szCs w:val="22"/>
        </w:rPr>
        <w:lastRenderedPageBreak/>
        <w:t>The management by market participants of their current and future FX NDF contracts, and such contracts alongside their other trading activities, is affected by the consistency, or inconsistency, in the contractual terms of these FX contracts – including that the same fixing sources and fall-back conventions apply to these co</w:t>
      </w:r>
      <w:r w:rsidRPr="00EC2452">
        <w:rPr>
          <w:rFonts w:ascii="Garamond" w:hAnsi="Garamond"/>
          <w:sz w:val="22"/>
          <w:szCs w:val="22"/>
        </w:rPr>
        <w:t>n</w:t>
      </w:r>
      <w:r w:rsidRPr="00EC2452">
        <w:rPr>
          <w:rFonts w:ascii="Garamond" w:hAnsi="Garamond"/>
          <w:sz w:val="22"/>
          <w:szCs w:val="22"/>
        </w:rPr>
        <w:t>tracts, regardless of which CCP is used to clear the contract and which platform/venue is used to trade the contract</w:t>
      </w:r>
      <w:r>
        <w:rPr>
          <w:rFonts w:ascii="Garamond" w:hAnsi="Garamond"/>
          <w:sz w:val="22"/>
          <w:szCs w:val="22"/>
        </w:rPr>
        <w:t xml:space="preserve">.  </w:t>
      </w:r>
      <w:r w:rsidRPr="00EC2452">
        <w:rPr>
          <w:rFonts w:ascii="Garamond" w:hAnsi="Garamond"/>
          <w:sz w:val="22"/>
          <w:szCs w:val="22"/>
        </w:rPr>
        <w:t xml:space="preserve">Consistency in this respect can only be achieved when an EMTA template is adopted </w:t>
      </w:r>
      <w:r w:rsidRPr="00EC2452">
        <w:rPr>
          <w:rFonts w:ascii="Garamond" w:hAnsi="Garamond"/>
          <w:i/>
          <w:sz w:val="22"/>
          <w:szCs w:val="22"/>
        </w:rPr>
        <w:t>ex ante</w:t>
      </w:r>
      <w:r w:rsidRPr="00EC2452">
        <w:rPr>
          <w:rFonts w:ascii="Garamond" w:hAnsi="Garamond"/>
          <w:sz w:val="22"/>
          <w:szCs w:val="22"/>
        </w:rPr>
        <w:t xml:space="preserve"> </w:t>
      </w:r>
      <w:r w:rsidRPr="00EC2452">
        <w:rPr>
          <w:rFonts w:ascii="Garamond" w:hAnsi="Garamond"/>
          <w:i/>
          <w:sz w:val="22"/>
          <w:szCs w:val="22"/>
        </w:rPr>
        <w:t>and in its entirety</w:t>
      </w:r>
      <w:r w:rsidRPr="00EC2452">
        <w:rPr>
          <w:rFonts w:ascii="Garamond" w:hAnsi="Garamond"/>
          <w:sz w:val="22"/>
          <w:szCs w:val="22"/>
        </w:rPr>
        <w:t xml:space="preserve"> (i.e., without modification) by transacting parties, including CCPs, for the contract. In circumstances where an EMTA temp</w:t>
      </w:r>
      <w:r>
        <w:rPr>
          <w:rFonts w:ascii="Garamond" w:hAnsi="Garamond"/>
          <w:sz w:val="22"/>
          <w:szCs w:val="22"/>
        </w:rPr>
        <w:t>late is modified, the standardis</w:t>
      </w:r>
      <w:r w:rsidRPr="00EC2452">
        <w:rPr>
          <w:rFonts w:ascii="Garamond" w:hAnsi="Garamond"/>
          <w:sz w:val="22"/>
          <w:szCs w:val="22"/>
        </w:rPr>
        <w:t>ation developed by the industry for a given currency pair is compromised and can result in discrepancies in the valuation and settlement of the contract, including when the specified fixing source publishes or, importantly, fai</w:t>
      </w:r>
      <w:r>
        <w:rPr>
          <w:rFonts w:ascii="Garamond" w:hAnsi="Garamond"/>
          <w:sz w:val="22"/>
          <w:szCs w:val="22"/>
        </w:rPr>
        <w:t>ls to publish, a fixing price. This also creates asymme</w:t>
      </w:r>
      <w:r>
        <w:rPr>
          <w:rFonts w:ascii="Garamond" w:hAnsi="Garamond"/>
          <w:sz w:val="22"/>
          <w:szCs w:val="22"/>
        </w:rPr>
        <w:t>t</w:t>
      </w:r>
      <w:r>
        <w:rPr>
          <w:rFonts w:ascii="Garamond" w:hAnsi="Garamond"/>
          <w:sz w:val="22"/>
          <w:szCs w:val="22"/>
        </w:rPr>
        <w:t>ric risk between a bank’s FX NDF contracts with a client which are centrally cleared CCP under non-standard EMTA terms, and FX NDF contracts with a client that chooses not to centrally clear (and is exempt from clearing) under standard EMTA terms.</w:t>
      </w:r>
    </w:p>
    <w:p w:rsidR="007E28FD" w:rsidRPr="00EC2452" w:rsidRDefault="007E28FD" w:rsidP="007E28FD">
      <w:pPr>
        <w:jc w:val="both"/>
        <w:rPr>
          <w:rFonts w:ascii="Garamond" w:hAnsi="Garamond"/>
          <w:sz w:val="22"/>
          <w:szCs w:val="22"/>
        </w:rPr>
      </w:pPr>
    </w:p>
    <w:p w:rsidR="007E28FD" w:rsidRPr="00EC2452" w:rsidRDefault="007E28FD" w:rsidP="007E28FD">
      <w:pPr>
        <w:jc w:val="both"/>
        <w:rPr>
          <w:rFonts w:ascii="Garamond" w:eastAsiaTheme="minorHAnsi" w:hAnsi="Garamond"/>
          <w:sz w:val="22"/>
          <w:szCs w:val="22"/>
          <w:lang w:val="en-US" w:eastAsia="en-US"/>
        </w:rPr>
      </w:pPr>
      <w:r w:rsidRPr="00EC2452">
        <w:rPr>
          <w:rFonts w:ascii="Garamond" w:hAnsi="Garamond"/>
          <w:b/>
          <w:i/>
          <w:sz w:val="22"/>
          <w:szCs w:val="22"/>
        </w:rPr>
        <w:t>G20 commitment to clearing and tradi</w:t>
      </w:r>
      <w:r>
        <w:rPr>
          <w:rFonts w:ascii="Garamond" w:hAnsi="Garamond"/>
          <w:b/>
          <w:i/>
          <w:sz w:val="22"/>
          <w:szCs w:val="22"/>
        </w:rPr>
        <w:t>ng mandates relies on standardis</w:t>
      </w:r>
      <w:r w:rsidRPr="00EC2452">
        <w:rPr>
          <w:rFonts w:ascii="Garamond" w:hAnsi="Garamond"/>
          <w:b/>
          <w:i/>
          <w:sz w:val="22"/>
          <w:szCs w:val="22"/>
        </w:rPr>
        <w:t xml:space="preserve">ation in contracts, which is compromised by </w:t>
      </w:r>
      <w:r w:rsidRPr="00EC2452">
        <w:rPr>
          <w:rFonts w:ascii="Garamond" w:hAnsi="Garamond" w:cs="Courier New"/>
          <w:b/>
          <w:i/>
          <w:sz w:val="22"/>
          <w:szCs w:val="22"/>
        </w:rPr>
        <w:t xml:space="preserve">unilateral modifications to EMTA templates and may result in new asymmetric risks for market participants.  </w:t>
      </w:r>
      <w:r w:rsidRPr="00EC2452">
        <w:rPr>
          <w:rFonts w:ascii="Garamond" w:hAnsi="Garamond" w:cs="Courier New"/>
          <w:sz w:val="22"/>
          <w:szCs w:val="22"/>
        </w:rPr>
        <w:t xml:space="preserve">As part of their commitment to derivatives reform, the G20 Leaders agreed that </w:t>
      </w:r>
      <w:r w:rsidRPr="00EC2452">
        <w:rPr>
          <w:rFonts w:ascii="Garamond" w:eastAsiaTheme="minorHAnsi" w:hAnsi="Garamond"/>
          <w:sz w:val="22"/>
          <w:szCs w:val="22"/>
          <w:lang w:val="en-US" w:eastAsia="en-US"/>
        </w:rPr>
        <w:t xml:space="preserve">all </w:t>
      </w:r>
      <w:r w:rsidRPr="00EC2452">
        <w:rPr>
          <w:rFonts w:ascii="Garamond" w:eastAsiaTheme="minorHAnsi" w:hAnsi="Garamond"/>
          <w:i/>
          <w:sz w:val="22"/>
          <w:szCs w:val="22"/>
          <w:lang w:val="en-US" w:eastAsia="en-US"/>
        </w:rPr>
        <w:t>standardised</w:t>
      </w:r>
      <w:r w:rsidRPr="00EC2452">
        <w:rPr>
          <w:rFonts w:ascii="Garamond" w:eastAsiaTheme="minorHAnsi" w:hAnsi="Garamond"/>
          <w:sz w:val="22"/>
          <w:szCs w:val="22"/>
          <w:lang w:val="en-US" w:eastAsia="en-US"/>
        </w:rPr>
        <w:t xml:space="preserve"> contracts would be traded on exchanges or electronic trading platforms, </w:t>
      </w:r>
      <w:r w:rsidRPr="005779C4">
        <w:rPr>
          <w:rFonts w:ascii="Garamond" w:eastAsiaTheme="minorHAnsi" w:hAnsi="Garamond"/>
          <w:sz w:val="22"/>
          <w:szCs w:val="22"/>
          <w:lang w:val="en-US" w:eastAsia="en-US"/>
        </w:rPr>
        <w:t>where appropriate</w:t>
      </w:r>
      <w:r w:rsidRPr="00EC2452">
        <w:rPr>
          <w:rFonts w:ascii="Garamond" w:eastAsiaTheme="minorHAnsi" w:hAnsi="Garamond"/>
          <w:sz w:val="22"/>
          <w:szCs w:val="22"/>
          <w:lang w:val="en-US" w:eastAsia="en-US"/>
        </w:rPr>
        <w:t>, and cleared through CCPs.  As the Consultation Paper itself notes in its assess</w:t>
      </w:r>
      <w:r>
        <w:rPr>
          <w:rFonts w:ascii="Garamond" w:eastAsiaTheme="minorHAnsi" w:hAnsi="Garamond"/>
          <w:sz w:val="22"/>
          <w:szCs w:val="22"/>
          <w:lang w:val="en-US" w:eastAsia="en-US"/>
        </w:rPr>
        <w:t>ment of the degree of standard</w:t>
      </w:r>
      <w:r>
        <w:rPr>
          <w:rFonts w:ascii="Garamond" w:eastAsiaTheme="minorHAnsi" w:hAnsi="Garamond"/>
          <w:sz w:val="22"/>
          <w:szCs w:val="22"/>
          <w:lang w:val="en-US" w:eastAsia="en-US"/>
        </w:rPr>
        <w:t>i</w:t>
      </w:r>
      <w:r>
        <w:rPr>
          <w:rFonts w:ascii="Garamond" w:eastAsiaTheme="minorHAnsi" w:hAnsi="Garamond"/>
          <w:sz w:val="22"/>
          <w:szCs w:val="22"/>
          <w:lang w:val="en-US" w:eastAsia="en-US"/>
        </w:rPr>
        <w:t>s</w:t>
      </w:r>
      <w:r w:rsidRPr="00EC2452">
        <w:rPr>
          <w:rFonts w:ascii="Garamond" w:eastAsiaTheme="minorHAnsi" w:hAnsi="Garamond"/>
          <w:sz w:val="22"/>
          <w:szCs w:val="22"/>
          <w:lang w:val="en-US" w:eastAsia="en-US"/>
        </w:rPr>
        <w:t>ation present for FX NDF contr</w:t>
      </w:r>
      <w:r>
        <w:rPr>
          <w:rFonts w:ascii="Garamond" w:eastAsiaTheme="minorHAnsi" w:hAnsi="Garamond"/>
          <w:sz w:val="22"/>
          <w:szCs w:val="22"/>
          <w:lang w:val="en-US" w:eastAsia="en-US"/>
        </w:rPr>
        <w:t>acts, “[t]he level of standardis</w:t>
      </w:r>
      <w:r w:rsidRPr="00EC2452">
        <w:rPr>
          <w:rFonts w:ascii="Garamond" w:eastAsiaTheme="minorHAnsi" w:hAnsi="Garamond"/>
          <w:sz w:val="22"/>
          <w:szCs w:val="22"/>
          <w:lang w:val="en-US" w:eastAsia="en-US"/>
        </w:rPr>
        <w:t>ation of NDF has increased as a result of industry initiatives led by associations such as the Emerging Markets Trade Association (</w:t>
      </w:r>
      <w:r>
        <w:rPr>
          <w:rFonts w:ascii="Garamond" w:eastAsiaTheme="minorHAnsi" w:hAnsi="Garamond"/>
          <w:sz w:val="22"/>
          <w:szCs w:val="22"/>
          <w:lang w:val="en-US" w:eastAsia="en-US"/>
        </w:rPr>
        <w:t>“</w:t>
      </w:r>
      <w:r w:rsidRPr="00CA4CF1">
        <w:rPr>
          <w:rFonts w:ascii="Garamond" w:eastAsiaTheme="minorHAnsi" w:hAnsi="Garamond"/>
          <w:sz w:val="22"/>
          <w:szCs w:val="22"/>
          <w:u w:val="single"/>
          <w:lang w:val="en-US" w:eastAsia="en-US"/>
        </w:rPr>
        <w:t>EMTA</w:t>
      </w:r>
      <w:r>
        <w:rPr>
          <w:rFonts w:ascii="Garamond" w:eastAsiaTheme="minorHAnsi" w:hAnsi="Garamond"/>
          <w:sz w:val="22"/>
          <w:szCs w:val="22"/>
          <w:lang w:val="en-US" w:eastAsia="en-US"/>
        </w:rPr>
        <w:t>”</w:t>
      </w:r>
      <w:r w:rsidRPr="00EC2452">
        <w:rPr>
          <w:rFonts w:ascii="Garamond" w:eastAsiaTheme="minorHAnsi" w:hAnsi="Garamond"/>
          <w:sz w:val="22"/>
          <w:szCs w:val="22"/>
          <w:lang w:val="en-US" w:eastAsia="en-US"/>
        </w:rPr>
        <w:t>).”</w:t>
      </w:r>
      <w:bookmarkStart w:id="14" w:name="_Ref402444958"/>
      <w:r w:rsidRPr="00EC2452">
        <w:rPr>
          <w:rStyle w:val="FootnoteReference"/>
          <w:rFonts w:ascii="Garamond" w:eastAsiaTheme="minorHAnsi" w:hAnsi="Garamond"/>
          <w:sz w:val="22"/>
          <w:szCs w:val="22"/>
          <w:lang w:val="en-US" w:eastAsia="en-US"/>
        </w:rPr>
        <w:footnoteReference w:id="8"/>
      </w:r>
      <w:bookmarkEnd w:id="14"/>
      <w:r>
        <w:rPr>
          <w:rFonts w:ascii="Garamond" w:eastAsiaTheme="minorHAnsi" w:hAnsi="Garamond"/>
          <w:sz w:val="22"/>
          <w:szCs w:val="22"/>
          <w:lang w:val="en-US" w:eastAsia="en-US"/>
        </w:rPr>
        <w:t xml:space="preserve"> </w:t>
      </w:r>
      <w:r w:rsidRPr="00EC2452">
        <w:rPr>
          <w:rFonts w:ascii="Garamond" w:eastAsiaTheme="minorHAnsi" w:hAnsi="Garamond"/>
          <w:sz w:val="22"/>
          <w:szCs w:val="22"/>
          <w:lang w:val="en-US" w:eastAsia="en-US"/>
        </w:rPr>
        <w:t xml:space="preserve"> Ho</w:t>
      </w:r>
      <w:r w:rsidRPr="00EC2452">
        <w:rPr>
          <w:rFonts w:ascii="Garamond" w:eastAsiaTheme="minorHAnsi" w:hAnsi="Garamond"/>
          <w:sz w:val="22"/>
          <w:szCs w:val="22"/>
          <w:lang w:val="en-US" w:eastAsia="en-US"/>
        </w:rPr>
        <w:t>w</w:t>
      </w:r>
      <w:r w:rsidRPr="00EC2452">
        <w:rPr>
          <w:rFonts w:ascii="Garamond" w:eastAsiaTheme="minorHAnsi" w:hAnsi="Garamond"/>
          <w:sz w:val="22"/>
          <w:szCs w:val="22"/>
          <w:lang w:val="en-US" w:eastAsia="en-US"/>
        </w:rPr>
        <w:t>ever, s</w:t>
      </w:r>
      <w:r>
        <w:rPr>
          <w:rFonts w:ascii="Garamond" w:eastAsiaTheme="minorHAnsi" w:hAnsi="Garamond"/>
          <w:sz w:val="22"/>
          <w:szCs w:val="22"/>
          <w:lang w:val="en-US" w:eastAsia="en-US"/>
        </w:rPr>
        <w:t>tandardis</w:t>
      </w:r>
      <w:r w:rsidRPr="00EC2452">
        <w:rPr>
          <w:rFonts w:ascii="Garamond" w:eastAsiaTheme="minorHAnsi" w:hAnsi="Garamond"/>
          <w:sz w:val="22"/>
          <w:szCs w:val="22"/>
          <w:lang w:val="en-US" w:eastAsia="en-US"/>
        </w:rPr>
        <w:t>ation is not achieved – and is in fact compromised – when industry terms memoriali</w:t>
      </w:r>
      <w:r>
        <w:rPr>
          <w:rFonts w:ascii="Garamond" w:eastAsiaTheme="minorHAnsi" w:hAnsi="Garamond"/>
          <w:sz w:val="22"/>
          <w:szCs w:val="22"/>
          <w:lang w:val="en-US" w:eastAsia="en-US"/>
        </w:rPr>
        <w:t>s</w:t>
      </w:r>
      <w:r w:rsidRPr="00EC2452">
        <w:rPr>
          <w:rFonts w:ascii="Garamond" w:eastAsiaTheme="minorHAnsi" w:hAnsi="Garamond"/>
          <w:sz w:val="22"/>
          <w:szCs w:val="22"/>
          <w:lang w:val="en-US" w:eastAsia="en-US"/>
        </w:rPr>
        <w:t>ed in EMTA templates are modified outside the governance process which established them; by definition, te</w:t>
      </w:r>
      <w:r w:rsidRPr="00EC2452">
        <w:rPr>
          <w:rFonts w:ascii="Garamond" w:eastAsiaTheme="minorHAnsi" w:hAnsi="Garamond"/>
          <w:sz w:val="22"/>
          <w:szCs w:val="22"/>
          <w:lang w:val="en-US" w:eastAsia="en-US"/>
        </w:rPr>
        <w:t>m</w:t>
      </w:r>
      <w:r w:rsidRPr="00EC2452">
        <w:rPr>
          <w:rFonts w:ascii="Garamond" w:eastAsiaTheme="minorHAnsi" w:hAnsi="Garamond"/>
          <w:sz w:val="22"/>
          <w:szCs w:val="22"/>
          <w:lang w:val="en-US" w:eastAsia="en-US"/>
        </w:rPr>
        <w:t xml:space="preserve">plates modified by one or more CCPs no longer reflect industry standards. </w:t>
      </w:r>
    </w:p>
    <w:p w:rsidR="007E28FD" w:rsidRDefault="007E28FD" w:rsidP="007E28FD">
      <w:pPr>
        <w:jc w:val="both"/>
        <w:rPr>
          <w:rFonts w:ascii="Garamond" w:hAnsi="Garamond" w:cs="Courier New"/>
          <w:sz w:val="22"/>
          <w:szCs w:val="22"/>
        </w:rPr>
      </w:pPr>
    </w:p>
    <w:p w:rsidR="007E28FD" w:rsidRPr="00EC2452" w:rsidRDefault="007E28FD" w:rsidP="007E28FD">
      <w:pPr>
        <w:jc w:val="both"/>
        <w:rPr>
          <w:rFonts w:ascii="Garamond" w:hAnsi="Garamond" w:cs="Courier New"/>
          <w:sz w:val="22"/>
          <w:szCs w:val="22"/>
        </w:rPr>
      </w:pPr>
      <w:r w:rsidRPr="00EC2452">
        <w:rPr>
          <w:rFonts w:ascii="Garamond" w:hAnsi="Garamond" w:cs="Courier New"/>
          <w:sz w:val="22"/>
          <w:szCs w:val="22"/>
        </w:rPr>
        <w:t xml:space="preserve">While LCH has adopted the EMTA templates without modification, at least one other CCP </w:t>
      </w:r>
      <w:r>
        <w:rPr>
          <w:rFonts w:ascii="Garamond" w:hAnsi="Garamond" w:cs="Courier New"/>
          <w:sz w:val="22"/>
          <w:szCs w:val="22"/>
        </w:rPr>
        <w:t>(e.g., CME Clea</w:t>
      </w:r>
      <w:r>
        <w:rPr>
          <w:rFonts w:ascii="Garamond" w:hAnsi="Garamond" w:cs="Courier New"/>
          <w:sz w:val="22"/>
          <w:szCs w:val="22"/>
        </w:rPr>
        <w:t>r</w:t>
      </w:r>
      <w:r>
        <w:rPr>
          <w:rFonts w:ascii="Garamond" w:hAnsi="Garamond" w:cs="Courier New"/>
          <w:sz w:val="22"/>
          <w:szCs w:val="22"/>
        </w:rPr>
        <w:t xml:space="preserve">ing in the U.S.) </w:t>
      </w:r>
      <w:r w:rsidRPr="00EC2452">
        <w:rPr>
          <w:rFonts w:ascii="Garamond" w:hAnsi="Garamond" w:cs="Courier New"/>
          <w:sz w:val="22"/>
          <w:szCs w:val="22"/>
        </w:rPr>
        <w:t>has modified EMTA standard fall-back conventions.</w:t>
      </w:r>
      <w:r>
        <w:rPr>
          <w:rStyle w:val="FootnoteReference"/>
          <w:rFonts w:ascii="Garamond" w:hAnsi="Garamond" w:cs="Courier New"/>
          <w:sz w:val="22"/>
          <w:szCs w:val="22"/>
        </w:rPr>
        <w:footnoteReference w:id="9"/>
      </w:r>
      <w:r w:rsidRPr="00EC2452">
        <w:rPr>
          <w:rFonts w:ascii="Garamond" w:hAnsi="Garamond" w:cs="Courier New"/>
          <w:sz w:val="22"/>
          <w:szCs w:val="22"/>
        </w:rPr>
        <w:t xml:space="preserve">  As a result, the original</w:t>
      </w:r>
      <w:r>
        <w:rPr>
          <w:rFonts w:ascii="Garamond" w:hAnsi="Garamond" w:cs="Courier New"/>
          <w:sz w:val="22"/>
          <w:szCs w:val="22"/>
        </w:rPr>
        <w:t xml:space="preserve"> transacting parties will face </w:t>
      </w:r>
      <w:r w:rsidRPr="00EC2452">
        <w:rPr>
          <w:rFonts w:ascii="Garamond" w:hAnsi="Garamond" w:cs="Courier New"/>
          <w:sz w:val="22"/>
          <w:szCs w:val="22"/>
        </w:rPr>
        <w:t xml:space="preserve">risks </w:t>
      </w:r>
      <w:r>
        <w:rPr>
          <w:rFonts w:ascii="Garamond" w:hAnsi="Garamond" w:cs="Courier New"/>
          <w:sz w:val="22"/>
          <w:szCs w:val="22"/>
        </w:rPr>
        <w:t xml:space="preserve">asymmetric to dealers’ commercial flow </w:t>
      </w:r>
      <w:r w:rsidRPr="00EC2452">
        <w:rPr>
          <w:rFonts w:ascii="Garamond" w:hAnsi="Garamond" w:cs="Courier New"/>
          <w:sz w:val="22"/>
          <w:szCs w:val="22"/>
        </w:rPr>
        <w:t xml:space="preserve">resulting from these disparities.  This type of risk arises with the modification by a CCP of any provision in the EMTA template. </w:t>
      </w:r>
    </w:p>
    <w:p w:rsidR="007E28FD" w:rsidRPr="00EC2452" w:rsidRDefault="007E28FD" w:rsidP="007E28FD">
      <w:pPr>
        <w:jc w:val="both"/>
        <w:rPr>
          <w:rFonts w:ascii="Garamond" w:eastAsiaTheme="minorHAnsi" w:hAnsi="Garamond"/>
          <w:sz w:val="22"/>
          <w:szCs w:val="22"/>
          <w:lang w:val="en-US" w:eastAsia="en-US"/>
        </w:rPr>
      </w:pPr>
    </w:p>
    <w:p w:rsidR="00CC1C71" w:rsidRDefault="007E28FD" w:rsidP="00CC1C71">
      <w:r w:rsidRPr="00EC2452">
        <w:rPr>
          <w:rFonts w:ascii="Garamond" w:hAnsi="Garamond" w:cs="Courier New"/>
          <w:b/>
          <w:i/>
          <w:sz w:val="22"/>
          <w:szCs w:val="22"/>
        </w:rPr>
        <w:t xml:space="preserve">Any clearing determination for FX NDF contracts must expressly define the class of derivatives to include only those contracts for which an EMTA published currency template (without modification) applies.  </w:t>
      </w:r>
      <w:r w:rsidRPr="00EC2452">
        <w:rPr>
          <w:rFonts w:ascii="Garamond" w:hAnsi="Garamond" w:cs="Courier New"/>
          <w:sz w:val="22"/>
          <w:szCs w:val="22"/>
        </w:rPr>
        <w:t xml:space="preserve">Because this Consultation Paper results from a “bottom-up” approach triggered by the authorisation of LCH to clear OTC FX NDFs, the characteristics of the NDF class for which ESMA may mandate clearing </w:t>
      </w:r>
      <w:r>
        <w:rPr>
          <w:rFonts w:ascii="Garamond" w:hAnsi="Garamond" w:cs="Courier New"/>
          <w:sz w:val="22"/>
          <w:szCs w:val="22"/>
        </w:rPr>
        <w:t xml:space="preserve">must </w:t>
      </w:r>
      <w:r w:rsidRPr="00EC2452">
        <w:rPr>
          <w:rFonts w:ascii="Garamond" w:hAnsi="Garamond" w:cs="Courier New"/>
          <w:sz w:val="22"/>
          <w:szCs w:val="22"/>
        </w:rPr>
        <w:t>reflect the particular conventions adopted by LCH including, in this case, EMTA published templates</w:t>
      </w:r>
      <w:r>
        <w:rPr>
          <w:rFonts w:ascii="Garamond" w:hAnsi="Garamond" w:cs="Courier New"/>
          <w:sz w:val="22"/>
          <w:szCs w:val="22"/>
        </w:rPr>
        <w:t xml:space="preserve"> without modification</w:t>
      </w:r>
      <w:r w:rsidRPr="00EC2452">
        <w:rPr>
          <w:rFonts w:ascii="Garamond" w:hAnsi="Garamond" w:cs="Courier New"/>
          <w:sz w:val="22"/>
          <w:szCs w:val="22"/>
        </w:rPr>
        <w:t>.  As evidenced in the preceding paragraph, there are no assurances that CCPs other than the one CCP currently authorised in the European Union will adopt the same EMTA convention</w:t>
      </w:r>
      <w:r>
        <w:rPr>
          <w:rFonts w:ascii="Garamond" w:hAnsi="Garamond" w:cs="Courier New"/>
          <w:sz w:val="22"/>
          <w:szCs w:val="22"/>
        </w:rPr>
        <w:t>s</w:t>
      </w:r>
      <w:r w:rsidRPr="00EC2452">
        <w:rPr>
          <w:rFonts w:ascii="Garamond" w:hAnsi="Garamond" w:cs="Courier New"/>
          <w:sz w:val="22"/>
          <w:szCs w:val="22"/>
        </w:rPr>
        <w:t>.</w:t>
      </w:r>
      <w:r w:rsidRPr="00EC2452">
        <w:rPr>
          <w:rStyle w:val="FootnoteReference"/>
          <w:rFonts w:ascii="Garamond" w:hAnsi="Garamond" w:cs="Courier New"/>
          <w:sz w:val="22"/>
          <w:szCs w:val="22"/>
        </w:rPr>
        <w:footnoteReference w:id="10"/>
      </w:r>
      <w:r w:rsidRPr="00EC2452">
        <w:rPr>
          <w:rFonts w:ascii="Garamond" w:hAnsi="Garamond" w:cs="Courier New"/>
          <w:sz w:val="22"/>
          <w:szCs w:val="22"/>
        </w:rPr>
        <w:t xml:space="preserve">  </w:t>
      </w:r>
      <w:r>
        <w:rPr>
          <w:rFonts w:ascii="Garamond" w:hAnsi="Garamond" w:cs="Courier New"/>
          <w:sz w:val="22"/>
          <w:szCs w:val="22"/>
        </w:rPr>
        <w:t xml:space="preserve">The CFTC recently stated that the specifications for any proposed class of FX NDF contracts for clearing “are intended to cover such contracts executed according to standardised templates published by EMTA” and </w:t>
      </w:r>
      <w:r>
        <w:rPr>
          <w:rFonts w:ascii="Garamond" w:hAnsi="Garamond" w:cs="Courier New"/>
          <w:sz w:val="22"/>
          <w:szCs w:val="22"/>
        </w:rPr>
        <w:lastRenderedPageBreak/>
        <w:t>“would not include non-standard NDFs.”</w:t>
      </w:r>
      <w:r>
        <w:rPr>
          <w:rStyle w:val="FootnoteReference"/>
          <w:rFonts w:ascii="Garamond" w:hAnsi="Garamond" w:cs="Courier New"/>
          <w:sz w:val="22"/>
          <w:szCs w:val="22"/>
        </w:rPr>
        <w:footnoteReference w:id="11"/>
      </w:r>
      <w:r>
        <w:rPr>
          <w:rFonts w:ascii="Garamond" w:hAnsi="Garamond" w:cs="Courier New"/>
          <w:sz w:val="22"/>
          <w:szCs w:val="22"/>
        </w:rPr>
        <w:t xml:space="preserve">  For these reasons, we strongly urge ESMA to </w:t>
      </w:r>
      <w:r w:rsidRPr="00EC2452">
        <w:rPr>
          <w:rFonts w:ascii="Garamond" w:hAnsi="Garamond" w:cs="Courier New"/>
          <w:sz w:val="22"/>
          <w:szCs w:val="22"/>
        </w:rPr>
        <w:t>make clear that</w:t>
      </w:r>
      <w:r>
        <w:rPr>
          <w:rFonts w:ascii="Garamond" w:hAnsi="Garamond" w:cs="Courier New"/>
          <w:sz w:val="22"/>
          <w:szCs w:val="22"/>
        </w:rPr>
        <w:t xml:space="preserve"> </w:t>
      </w:r>
      <w:r w:rsidRPr="00EC2452">
        <w:rPr>
          <w:rFonts w:ascii="Garamond" w:hAnsi="Garamond" w:cs="Courier New"/>
          <w:sz w:val="22"/>
          <w:szCs w:val="22"/>
        </w:rPr>
        <w:t xml:space="preserve">one of the characteristics of </w:t>
      </w:r>
      <w:r>
        <w:rPr>
          <w:rFonts w:ascii="Garamond" w:hAnsi="Garamond" w:cs="Courier New"/>
          <w:sz w:val="22"/>
          <w:szCs w:val="22"/>
        </w:rPr>
        <w:t xml:space="preserve">any class of FX NDF contracts </w:t>
      </w:r>
      <w:r w:rsidRPr="00EC2452">
        <w:rPr>
          <w:rFonts w:ascii="Garamond" w:hAnsi="Garamond" w:cs="Courier New"/>
          <w:sz w:val="22"/>
          <w:szCs w:val="22"/>
        </w:rPr>
        <w:t xml:space="preserve">subject to </w:t>
      </w:r>
      <w:r>
        <w:rPr>
          <w:rFonts w:ascii="Garamond" w:hAnsi="Garamond" w:cs="Courier New"/>
          <w:sz w:val="22"/>
          <w:szCs w:val="22"/>
        </w:rPr>
        <w:t xml:space="preserve">a </w:t>
      </w:r>
      <w:r w:rsidRPr="00EC2452">
        <w:rPr>
          <w:rFonts w:ascii="Garamond" w:hAnsi="Garamond" w:cs="Courier New"/>
          <w:sz w:val="22"/>
          <w:szCs w:val="22"/>
        </w:rPr>
        <w:t>clearing mandate is the adoption</w:t>
      </w:r>
      <w:r>
        <w:rPr>
          <w:rFonts w:ascii="Garamond" w:hAnsi="Garamond" w:cs="Courier New"/>
          <w:sz w:val="22"/>
          <w:szCs w:val="22"/>
        </w:rPr>
        <w:t xml:space="preserve"> of the EMTA published templates, without modification</w:t>
      </w:r>
      <w:r w:rsidRPr="00EC2452">
        <w:rPr>
          <w:rFonts w:ascii="Garamond" w:hAnsi="Garamond" w:cs="Courier New"/>
          <w:sz w:val="22"/>
          <w:szCs w:val="22"/>
        </w:rPr>
        <w:t xml:space="preserve">.  If ESMA were to decline to do so, the </w:t>
      </w:r>
      <w:r>
        <w:rPr>
          <w:rFonts w:ascii="Garamond" w:hAnsi="Garamond" w:cs="Courier New"/>
          <w:sz w:val="22"/>
          <w:szCs w:val="22"/>
        </w:rPr>
        <w:t>risk of non-standardis</w:t>
      </w:r>
      <w:r w:rsidRPr="00EC2452">
        <w:rPr>
          <w:rFonts w:ascii="Garamond" w:hAnsi="Garamond" w:cs="Courier New"/>
          <w:sz w:val="22"/>
          <w:szCs w:val="22"/>
        </w:rPr>
        <w:t>ation could even extend to the reference (or fixing) price for these contracts, a key contract term which Consultation Paper itself refers to as “the most important characteristic” of these contracts.</w:t>
      </w:r>
      <w:r>
        <w:rPr>
          <w:rFonts w:ascii="Garamond" w:hAnsi="Garamond" w:cs="Courier New"/>
          <w:sz w:val="22"/>
          <w:szCs w:val="22"/>
        </w:rPr>
        <w:t xml:space="preserve"> </w:t>
      </w:r>
      <w:permEnd w:id="5"/>
      <w:r w:rsidR="00CC1C71">
        <w:t>&lt;ESMA_CO3_QUESTION_2&gt;</w:t>
      </w:r>
    </w:p>
    <w:p w:rsidR="00CC1C71" w:rsidRDefault="00CC1C71" w:rsidP="00CC1C71"/>
    <w:p w:rsidR="00CC1C71" w:rsidRPr="00A84770" w:rsidRDefault="00CC1C71" w:rsidP="00CC1C71">
      <w:pPr>
        <w:pStyle w:val="Heading2"/>
        <w:keepLines w:val="0"/>
        <w:pageBreakBefore/>
        <w:numPr>
          <w:ilvl w:val="0"/>
          <w:numId w:val="36"/>
        </w:numPr>
        <w:spacing w:before="0" w:after="250" w:line="276" w:lineRule="auto"/>
        <w:ind w:left="357" w:hanging="357"/>
        <w:jc w:val="both"/>
      </w:pPr>
      <w:bookmarkStart w:id="15" w:name="_Toc389466262"/>
      <w:bookmarkStart w:id="16" w:name="_Toc389496893"/>
      <w:bookmarkStart w:id="17" w:name="_Toc398140746"/>
      <w:r>
        <w:lastRenderedPageBreak/>
        <w:t>Determination of the classes</w:t>
      </w:r>
      <w:r w:rsidRPr="00A84770">
        <w:t xml:space="preserve"> of OTC </w:t>
      </w:r>
      <w:r>
        <w:t>d</w:t>
      </w:r>
      <w:r w:rsidRPr="00A84770">
        <w:t>erivatives to be subject to the clearing obligation</w:t>
      </w:r>
      <w:bookmarkEnd w:id="15"/>
      <w:bookmarkEnd w:id="16"/>
      <w:bookmarkEnd w:id="17"/>
    </w:p>
    <w:p w:rsidR="00CC1C71" w:rsidRDefault="00CC1C71" w:rsidP="00CC1C71"/>
    <w:p w:rsidR="00CC1C71" w:rsidRDefault="00CC1C71" w:rsidP="00CC1C71">
      <w:pPr>
        <w:pStyle w:val="Heading5"/>
      </w:pPr>
      <w:r>
        <w:t>In view of the criteria set in Article 5(4) of EMIR, do you consider that the determ</w:t>
      </w:r>
      <w:r>
        <w:t>i</w:t>
      </w:r>
      <w:r>
        <w:t xml:space="preserve">nation of this class addresses appropriately the objective of reduction of the systemic risk associated to NDF derivatives? </w:t>
      </w:r>
    </w:p>
    <w:p w:rsidR="00CC1C71" w:rsidRDefault="00CC1C71" w:rsidP="00CC1C71"/>
    <w:p w:rsidR="00CC1C71" w:rsidRDefault="00CC1C71" w:rsidP="00CC1C71">
      <w:r>
        <w:t>&lt;ESMA_CO3_QUESTION_3&gt;</w:t>
      </w:r>
    </w:p>
    <w:p w:rsidR="00472841" w:rsidRDefault="00472841" w:rsidP="00472841">
      <w:pPr>
        <w:autoSpaceDE w:val="0"/>
        <w:autoSpaceDN w:val="0"/>
        <w:adjustRightInd w:val="0"/>
        <w:jc w:val="both"/>
        <w:rPr>
          <w:rFonts w:ascii="Garamond" w:hAnsi="Garamond"/>
          <w:sz w:val="22"/>
          <w:szCs w:val="22"/>
        </w:rPr>
      </w:pPr>
      <w:permStart w:id="6" w:edGrp="everyone"/>
      <w:r>
        <w:rPr>
          <w:rFonts w:ascii="Garamond" w:hAnsi="Garamond"/>
          <w:sz w:val="22"/>
          <w:szCs w:val="22"/>
        </w:rPr>
        <w:t xml:space="preserve">While GFXD is supportive of central clearing, where appropriate, and the benefits it can bring to the OTC derivatives markets in such areas as operational efficiencies and counterparty credit risk reduction, </w:t>
      </w:r>
      <w:r w:rsidRPr="00EC2452">
        <w:rPr>
          <w:rFonts w:ascii="Garamond" w:hAnsi="Garamond"/>
          <w:sz w:val="22"/>
          <w:szCs w:val="22"/>
        </w:rPr>
        <w:t xml:space="preserve">GFXD believes </w:t>
      </w:r>
      <w:r>
        <w:rPr>
          <w:rFonts w:ascii="Garamond" w:hAnsi="Garamond"/>
          <w:sz w:val="22"/>
          <w:szCs w:val="22"/>
        </w:rPr>
        <w:t xml:space="preserve">it is </w:t>
      </w:r>
      <w:r w:rsidRPr="00E966C4">
        <w:rPr>
          <w:rFonts w:ascii="Garamond" w:hAnsi="Garamond"/>
          <w:sz w:val="22"/>
          <w:szCs w:val="22"/>
          <w:u w:val="single"/>
        </w:rPr>
        <w:t>not</w:t>
      </w:r>
      <w:r>
        <w:rPr>
          <w:rFonts w:ascii="Garamond" w:hAnsi="Garamond"/>
          <w:sz w:val="22"/>
          <w:szCs w:val="22"/>
        </w:rPr>
        <w:t xml:space="preserve"> clear whether </w:t>
      </w:r>
      <w:r w:rsidRPr="00EC2452">
        <w:rPr>
          <w:rFonts w:ascii="Garamond" w:hAnsi="Garamond"/>
          <w:sz w:val="22"/>
          <w:szCs w:val="22"/>
        </w:rPr>
        <w:t xml:space="preserve">a clearing mandate for these contracts </w:t>
      </w:r>
      <w:r w:rsidRPr="008476C5">
        <w:rPr>
          <w:rFonts w:ascii="Garamond" w:hAnsi="Garamond"/>
          <w:sz w:val="22"/>
          <w:szCs w:val="22"/>
          <w:u w:val="single"/>
        </w:rPr>
        <w:t>at this time</w:t>
      </w:r>
      <w:r>
        <w:rPr>
          <w:rFonts w:ascii="Garamond" w:hAnsi="Garamond"/>
          <w:sz w:val="22"/>
          <w:szCs w:val="22"/>
        </w:rPr>
        <w:t xml:space="preserve"> </w:t>
      </w:r>
      <w:r w:rsidRPr="00EC2452">
        <w:rPr>
          <w:rFonts w:ascii="Garamond" w:hAnsi="Garamond"/>
          <w:sz w:val="22"/>
          <w:szCs w:val="22"/>
        </w:rPr>
        <w:t xml:space="preserve">would </w:t>
      </w:r>
      <w:r>
        <w:rPr>
          <w:rFonts w:ascii="Garamond" w:hAnsi="Garamond"/>
          <w:sz w:val="22"/>
          <w:szCs w:val="22"/>
        </w:rPr>
        <w:t xml:space="preserve">appropriately address the objective of reducing </w:t>
      </w:r>
      <w:r w:rsidRPr="00E24B4A">
        <w:rPr>
          <w:rFonts w:ascii="Garamond" w:hAnsi="Garamond"/>
          <w:i/>
          <w:sz w:val="22"/>
          <w:szCs w:val="22"/>
        </w:rPr>
        <w:t>systemic</w:t>
      </w:r>
      <w:r w:rsidRPr="00EC2452">
        <w:rPr>
          <w:rFonts w:ascii="Garamond" w:hAnsi="Garamond"/>
          <w:sz w:val="22"/>
          <w:szCs w:val="22"/>
        </w:rPr>
        <w:t xml:space="preserve"> risk</w:t>
      </w:r>
      <w:r>
        <w:rPr>
          <w:rFonts w:ascii="Garamond" w:hAnsi="Garamond"/>
          <w:sz w:val="22"/>
          <w:szCs w:val="22"/>
        </w:rPr>
        <w:t>.  While m</w:t>
      </w:r>
      <w:r w:rsidRPr="00EC2452">
        <w:rPr>
          <w:rFonts w:ascii="Garamond" w:hAnsi="Garamond"/>
          <w:sz w:val="22"/>
          <w:szCs w:val="22"/>
        </w:rPr>
        <w:t xml:space="preserve">andating </w:t>
      </w:r>
      <w:r>
        <w:rPr>
          <w:rFonts w:ascii="Garamond" w:hAnsi="Garamond"/>
          <w:sz w:val="22"/>
          <w:szCs w:val="22"/>
        </w:rPr>
        <w:t xml:space="preserve">FX NDF </w:t>
      </w:r>
      <w:r w:rsidRPr="00EC2452">
        <w:rPr>
          <w:rFonts w:ascii="Garamond" w:hAnsi="Garamond"/>
          <w:sz w:val="22"/>
          <w:szCs w:val="22"/>
        </w:rPr>
        <w:t>clearing would transfer a certain amount of bilateral exposure which exists between market participants to CC</w:t>
      </w:r>
      <w:r w:rsidRPr="005151FE">
        <w:rPr>
          <w:rFonts w:ascii="Garamond" w:hAnsi="Garamond"/>
          <w:sz w:val="22"/>
          <w:szCs w:val="22"/>
        </w:rPr>
        <w:t xml:space="preserve">Ps, the amount of risk in the FX NDF market is orders of magnitude less than in rates and credit markets. </w:t>
      </w:r>
      <w:r>
        <w:rPr>
          <w:rFonts w:ascii="Garamond" w:hAnsi="Garamond"/>
          <w:sz w:val="22"/>
          <w:szCs w:val="22"/>
        </w:rPr>
        <w:t xml:space="preserve"> Because FX NDF clearing is relatively new in comparison to IRS and CDS clearing when clearing mandates were introduced to those markets, the FX clearing services need time to mature, for their practices to be properly bedded down and “battle-tested” and for fundamental unresolved issues to be properly addressed, GFXD is concerned that additional risk may be unnecessarily introduced to the this global currency market and, as a result, undermine the benefits of central clearing.</w:t>
      </w:r>
      <w:r>
        <w:rPr>
          <w:rStyle w:val="FootnoteReference"/>
          <w:rFonts w:ascii="Garamond" w:hAnsi="Garamond"/>
          <w:sz w:val="22"/>
          <w:szCs w:val="22"/>
        </w:rPr>
        <w:footnoteReference w:id="12"/>
      </w:r>
      <w:r>
        <w:rPr>
          <w:rFonts w:ascii="Garamond" w:hAnsi="Garamond"/>
          <w:sz w:val="22"/>
          <w:szCs w:val="22"/>
        </w:rPr>
        <w:t xml:space="preserve">  In light of these considerations which are explained in greater detail below, </w:t>
      </w:r>
      <w:r w:rsidRPr="00345183">
        <w:rPr>
          <w:rFonts w:ascii="Garamond" w:hAnsi="Garamond"/>
          <w:sz w:val="22"/>
          <w:szCs w:val="22"/>
        </w:rPr>
        <w:t>GFXD reco</w:t>
      </w:r>
      <w:r w:rsidRPr="00345183">
        <w:rPr>
          <w:rFonts w:ascii="Garamond" w:hAnsi="Garamond"/>
          <w:sz w:val="22"/>
          <w:szCs w:val="22"/>
        </w:rPr>
        <w:t>m</w:t>
      </w:r>
      <w:r w:rsidRPr="00345183">
        <w:rPr>
          <w:rFonts w:ascii="Garamond" w:hAnsi="Garamond"/>
          <w:sz w:val="22"/>
          <w:szCs w:val="22"/>
        </w:rPr>
        <w:t xml:space="preserve">mends that ESMA consider whether the reduction of counterparty credit risk to be achieved from mandating participants to move their bilateral exposures to a centrally cleared environment for FX NDF contracts </w:t>
      </w:r>
      <w:r w:rsidRPr="00345183">
        <w:rPr>
          <w:rFonts w:ascii="Garamond" w:hAnsi="Garamond"/>
          <w:sz w:val="22"/>
          <w:szCs w:val="22"/>
          <w:u w:val="single"/>
        </w:rPr>
        <w:t>at this time</w:t>
      </w:r>
      <w:r w:rsidRPr="00345183">
        <w:rPr>
          <w:rFonts w:ascii="Garamond" w:hAnsi="Garamond"/>
          <w:sz w:val="22"/>
          <w:szCs w:val="22"/>
        </w:rPr>
        <w:t xml:space="preserve"> would </w:t>
      </w:r>
      <w:r w:rsidRPr="00345183">
        <w:rPr>
          <w:rFonts w:ascii="Garamond" w:hAnsi="Garamond"/>
          <w:i/>
          <w:sz w:val="22"/>
          <w:szCs w:val="22"/>
        </w:rPr>
        <w:t xml:space="preserve">reduce risk in the aggregate </w:t>
      </w:r>
      <w:r w:rsidRPr="00345183">
        <w:rPr>
          <w:rFonts w:ascii="Garamond" w:hAnsi="Garamond"/>
          <w:sz w:val="22"/>
          <w:szCs w:val="22"/>
        </w:rPr>
        <w:t xml:space="preserve">and, most importantly, also </w:t>
      </w:r>
      <w:r w:rsidRPr="00345183">
        <w:rPr>
          <w:rFonts w:ascii="Garamond" w:hAnsi="Garamond"/>
          <w:i/>
          <w:sz w:val="22"/>
          <w:szCs w:val="22"/>
        </w:rPr>
        <w:t>reduce systemic risk.</w:t>
      </w:r>
      <w:r w:rsidRPr="00345183">
        <w:rPr>
          <w:rFonts w:ascii="Garamond" w:hAnsi="Garamond"/>
          <w:sz w:val="22"/>
          <w:szCs w:val="22"/>
        </w:rPr>
        <w:t xml:space="preserve">  </w:t>
      </w:r>
    </w:p>
    <w:p w:rsidR="00472841" w:rsidRPr="00EC2452" w:rsidRDefault="00472841" w:rsidP="00472841">
      <w:pPr>
        <w:jc w:val="both"/>
        <w:rPr>
          <w:rFonts w:ascii="Garamond" w:hAnsi="Garamond"/>
          <w:sz w:val="22"/>
          <w:szCs w:val="22"/>
        </w:rPr>
      </w:pPr>
    </w:p>
    <w:p w:rsidR="00472841" w:rsidRPr="00E24B4A" w:rsidRDefault="00472841" w:rsidP="00472841">
      <w:pPr>
        <w:jc w:val="both"/>
        <w:rPr>
          <w:rFonts w:ascii="Garamond" w:hAnsi="Garamond"/>
          <w:b/>
          <w:sz w:val="22"/>
          <w:szCs w:val="22"/>
        </w:rPr>
      </w:pPr>
      <w:r w:rsidRPr="00E24B4A">
        <w:rPr>
          <w:rFonts w:ascii="Garamond" w:hAnsi="Garamond"/>
          <w:b/>
          <w:i/>
          <w:sz w:val="22"/>
          <w:szCs w:val="22"/>
        </w:rPr>
        <w:t xml:space="preserve">Comparison </w:t>
      </w:r>
      <w:r>
        <w:rPr>
          <w:rFonts w:ascii="Garamond" w:hAnsi="Garamond"/>
          <w:b/>
          <w:i/>
          <w:sz w:val="22"/>
          <w:szCs w:val="22"/>
        </w:rPr>
        <w:t xml:space="preserve">of FX NDF market to IRS and CDS </w:t>
      </w:r>
      <w:r w:rsidRPr="00E24B4A">
        <w:rPr>
          <w:rFonts w:ascii="Garamond" w:hAnsi="Garamond"/>
          <w:b/>
          <w:i/>
          <w:sz w:val="22"/>
          <w:szCs w:val="22"/>
        </w:rPr>
        <w:t>markets</w:t>
      </w:r>
      <w:r>
        <w:rPr>
          <w:rFonts w:ascii="Garamond" w:hAnsi="Garamond"/>
          <w:b/>
          <w:i/>
          <w:sz w:val="22"/>
          <w:szCs w:val="22"/>
        </w:rPr>
        <w:t xml:space="preserve">.  </w:t>
      </w:r>
      <w:r>
        <w:rPr>
          <w:rFonts w:ascii="Garamond" w:hAnsi="Garamond"/>
          <w:sz w:val="22"/>
          <w:szCs w:val="22"/>
        </w:rPr>
        <w:t>I</w:t>
      </w:r>
      <w:r w:rsidRPr="00EC2452">
        <w:rPr>
          <w:rFonts w:ascii="Garamond" w:hAnsi="Garamond"/>
          <w:sz w:val="22"/>
          <w:szCs w:val="22"/>
        </w:rPr>
        <w:t>t is well understood that FX NDF contracts are defined and treated as OTC derivatives globally</w:t>
      </w:r>
      <w:r>
        <w:rPr>
          <w:rFonts w:ascii="Garamond" w:hAnsi="Garamond"/>
          <w:sz w:val="22"/>
          <w:szCs w:val="22"/>
        </w:rPr>
        <w:t xml:space="preserve"> and, as such, are or will be subject to measures designed to strengthen the financial system, e.g., trade reporting, real-time price dissemination, margin on uncleared derivatives, etc</w:t>
      </w:r>
      <w:r w:rsidRPr="00EC2452">
        <w:rPr>
          <w:rFonts w:ascii="Garamond" w:hAnsi="Garamond"/>
          <w:sz w:val="22"/>
          <w:szCs w:val="22"/>
        </w:rPr>
        <w:t>.</w:t>
      </w:r>
      <w:r w:rsidRPr="00EC2452">
        <w:rPr>
          <w:rStyle w:val="FootnoteReference"/>
          <w:rFonts w:ascii="Garamond" w:hAnsi="Garamond"/>
          <w:sz w:val="22"/>
          <w:szCs w:val="22"/>
        </w:rPr>
        <w:footnoteReference w:id="13"/>
      </w:r>
      <w:r w:rsidRPr="00EC2452">
        <w:rPr>
          <w:rFonts w:ascii="Garamond" w:hAnsi="Garamond"/>
          <w:sz w:val="22"/>
          <w:szCs w:val="22"/>
        </w:rPr>
        <w:t xml:space="preserve">  </w:t>
      </w:r>
      <w:r>
        <w:rPr>
          <w:rFonts w:ascii="Garamond" w:hAnsi="Garamond"/>
          <w:sz w:val="22"/>
          <w:szCs w:val="22"/>
        </w:rPr>
        <w:t xml:space="preserve">Although </w:t>
      </w:r>
      <w:r w:rsidRPr="00EC2452">
        <w:rPr>
          <w:rFonts w:ascii="Garamond" w:hAnsi="Garamond"/>
          <w:sz w:val="22"/>
          <w:szCs w:val="22"/>
        </w:rPr>
        <w:t xml:space="preserve">certain FX NDF contracts are </w:t>
      </w:r>
      <w:r>
        <w:rPr>
          <w:rFonts w:ascii="Garamond" w:hAnsi="Garamond"/>
          <w:sz w:val="22"/>
          <w:szCs w:val="22"/>
        </w:rPr>
        <w:t xml:space="preserve">certainly </w:t>
      </w:r>
      <w:r w:rsidRPr="00EC2452">
        <w:rPr>
          <w:rFonts w:ascii="Garamond" w:hAnsi="Garamond"/>
          <w:sz w:val="22"/>
          <w:szCs w:val="22"/>
        </w:rPr>
        <w:t xml:space="preserve">capable of being centrally cleared, </w:t>
      </w:r>
      <w:r>
        <w:rPr>
          <w:rFonts w:ascii="Garamond" w:hAnsi="Garamond"/>
          <w:sz w:val="22"/>
          <w:szCs w:val="22"/>
        </w:rPr>
        <w:t>t</w:t>
      </w:r>
      <w:r w:rsidRPr="005151FE">
        <w:rPr>
          <w:rFonts w:ascii="Garamond" w:hAnsi="Garamond"/>
          <w:sz w:val="22"/>
          <w:szCs w:val="22"/>
        </w:rPr>
        <w:t xml:space="preserve">he </w:t>
      </w:r>
      <w:r>
        <w:rPr>
          <w:rFonts w:ascii="Garamond" w:hAnsi="Garamond"/>
          <w:sz w:val="22"/>
          <w:szCs w:val="22"/>
        </w:rPr>
        <w:t xml:space="preserve">size of and </w:t>
      </w:r>
      <w:r w:rsidRPr="005151FE">
        <w:rPr>
          <w:rFonts w:ascii="Garamond" w:hAnsi="Garamond"/>
          <w:sz w:val="22"/>
          <w:szCs w:val="22"/>
        </w:rPr>
        <w:t>amount of risk in the FX NDF market</w:t>
      </w:r>
      <w:r>
        <w:rPr>
          <w:rFonts w:ascii="Garamond" w:hAnsi="Garamond"/>
          <w:sz w:val="22"/>
          <w:szCs w:val="22"/>
        </w:rPr>
        <w:t xml:space="preserve"> is orders of magnitude less than in rates and credit and thus the level of risk reduction that a clearing mandate for FX NDFs would bring in comparison to rates and credit would be similarly less.  </w:t>
      </w:r>
    </w:p>
    <w:p w:rsidR="00472841" w:rsidRPr="00EC2452" w:rsidRDefault="00472841" w:rsidP="00472841">
      <w:pPr>
        <w:jc w:val="both"/>
        <w:rPr>
          <w:rFonts w:ascii="Garamond" w:hAnsi="Garamond"/>
          <w:sz w:val="22"/>
          <w:szCs w:val="22"/>
        </w:rPr>
      </w:pPr>
    </w:p>
    <w:p w:rsidR="00472841" w:rsidRDefault="00472841" w:rsidP="00472841">
      <w:pPr>
        <w:jc w:val="both"/>
        <w:rPr>
          <w:rFonts w:ascii="Garamond" w:hAnsi="Garamond"/>
          <w:sz w:val="22"/>
          <w:szCs w:val="22"/>
        </w:rPr>
      </w:pPr>
      <w:r w:rsidRPr="00EC2452">
        <w:rPr>
          <w:rFonts w:ascii="Garamond" w:hAnsi="Garamond"/>
          <w:sz w:val="22"/>
          <w:szCs w:val="22"/>
        </w:rPr>
        <w:t>FX ND</w:t>
      </w:r>
      <w:r w:rsidRPr="00DF25B5">
        <w:rPr>
          <w:rFonts w:ascii="Garamond" w:hAnsi="Garamond"/>
          <w:sz w:val="22"/>
          <w:szCs w:val="22"/>
        </w:rPr>
        <w:t xml:space="preserve">Fs represent </w:t>
      </w:r>
      <w:r w:rsidRPr="00DF25B5">
        <w:rPr>
          <w:rFonts w:ascii="Garamond" w:hAnsi="Garamond"/>
          <w:sz w:val="22"/>
          <w:szCs w:val="22"/>
          <w:lang w:val="en-US"/>
        </w:rPr>
        <w:t>2.4% of the average daily turnover of the global OTC FX market,</w:t>
      </w:r>
      <w:r w:rsidRPr="00DF25B5">
        <w:rPr>
          <w:rStyle w:val="FootnoteReference"/>
          <w:rFonts w:ascii="Garamond" w:hAnsi="Garamond"/>
          <w:sz w:val="22"/>
          <w:szCs w:val="22"/>
          <w:lang w:val="en-US"/>
        </w:rPr>
        <w:footnoteReference w:id="14"/>
      </w:r>
      <w:r w:rsidRPr="00DF25B5">
        <w:rPr>
          <w:rFonts w:ascii="Garamond" w:hAnsi="Garamond"/>
          <w:sz w:val="22"/>
          <w:szCs w:val="22"/>
          <w:lang w:val="en-US"/>
        </w:rPr>
        <w:t xml:space="preserve"> with </w:t>
      </w:r>
      <w:r w:rsidRPr="00DF25B5">
        <w:rPr>
          <w:rFonts w:ascii="Garamond" w:hAnsi="Garamond"/>
          <w:sz w:val="22"/>
          <w:szCs w:val="22"/>
        </w:rPr>
        <w:t xml:space="preserve">approximately $2.8 trillion in notional outstanding </w:t>
      </w:r>
      <w:r>
        <w:rPr>
          <w:rFonts w:ascii="Garamond" w:hAnsi="Garamond"/>
          <w:sz w:val="22"/>
          <w:szCs w:val="22"/>
        </w:rPr>
        <w:t xml:space="preserve">and </w:t>
      </w:r>
      <w:r w:rsidRPr="00DF25B5">
        <w:rPr>
          <w:rFonts w:ascii="Garamond" w:hAnsi="Garamond"/>
          <w:sz w:val="22"/>
          <w:szCs w:val="22"/>
        </w:rPr>
        <w:t>approximately $90 billion in market value.</w:t>
      </w:r>
      <w:r w:rsidRPr="00DF25B5">
        <w:rPr>
          <w:rStyle w:val="FootnoteReference"/>
          <w:rFonts w:ascii="Garamond" w:hAnsi="Garamond"/>
          <w:sz w:val="22"/>
          <w:szCs w:val="22"/>
        </w:rPr>
        <w:footnoteReference w:id="15"/>
      </w:r>
      <w:r w:rsidRPr="00DF25B5">
        <w:rPr>
          <w:rFonts w:ascii="Garamond" w:hAnsi="Garamond"/>
          <w:sz w:val="22"/>
          <w:szCs w:val="22"/>
        </w:rPr>
        <w:t xml:space="preserve">  Gross credit exposures between dealers, after taking into account legally enforceable netting agreements, is a fra</w:t>
      </w:r>
      <w:r w:rsidRPr="00EC2452">
        <w:rPr>
          <w:rFonts w:ascii="Garamond" w:hAnsi="Garamond"/>
          <w:sz w:val="22"/>
          <w:szCs w:val="22"/>
        </w:rPr>
        <w:t xml:space="preserve">ction of that number, representing the actual reduction in bilateral exposure between market participants.  GFXD believes that an FX NDF clearing mandate would result in the mutualisation within CCPs of some fraction of the $90 billion </w:t>
      </w:r>
      <w:r>
        <w:rPr>
          <w:rFonts w:ascii="Garamond" w:hAnsi="Garamond"/>
          <w:sz w:val="22"/>
          <w:szCs w:val="22"/>
        </w:rPr>
        <w:t xml:space="preserve">figure </w:t>
      </w:r>
      <w:r w:rsidRPr="00EC2452">
        <w:rPr>
          <w:rFonts w:ascii="Garamond" w:hAnsi="Garamond"/>
          <w:sz w:val="22"/>
          <w:szCs w:val="22"/>
        </w:rPr>
        <w:t xml:space="preserve">and the concordant reduction in counterparty credit risk.  However, as illustrated in the table below, the size and risk of the NDF market in its entirety is dramatically less than the cleared </w:t>
      </w:r>
      <w:r>
        <w:rPr>
          <w:rFonts w:ascii="Garamond" w:hAnsi="Garamond"/>
          <w:sz w:val="22"/>
          <w:szCs w:val="22"/>
        </w:rPr>
        <w:t xml:space="preserve">or </w:t>
      </w:r>
      <w:r w:rsidRPr="00EC2452">
        <w:rPr>
          <w:rFonts w:ascii="Garamond" w:hAnsi="Garamond"/>
          <w:sz w:val="22"/>
          <w:szCs w:val="22"/>
        </w:rPr>
        <w:t xml:space="preserve">uncleared rates and credit products.  </w:t>
      </w:r>
    </w:p>
    <w:p w:rsidR="00472841" w:rsidRDefault="00472841" w:rsidP="00472841">
      <w:pPr>
        <w:keepNext/>
        <w:keepLines/>
        <w:jc w:val="both"/>
        <w:rPr>
          <w:rFonts w:ascii="Garamond" w:hAnsi="Garamond"/>
          <w:i/>
          <w:sz w:val="18"/>
          <w:szCs w:val="18"/>
        </w:rPr>
      </w:pPr>
    </w:p>
    <w:p w:rsidR="00472841" w:rsidRPr="00266284" w:rsidRDefault="00472841" w:rsidP="00472841">
      <w:pPr>
        <w:keepNext/>
        <w:keepLines/>
        <w:jc w:val="both"/>
        <w:rPr>
          <w:rFonts w:ascii="Garamond" w:hAnsi="Garamond"/>
          <w:i/>
          <w:sz w:val="18"/>
          <w:szCs w:val="18"/>
        </w:rPr>
      </w:pPr>
      <w:r w:rsidRPr="00266284">
        <w:rPr>
          <w:rFonts w:ascii="Garamond" w:hAnsi="Garamond"/>
          <w:i/>
          <w:sz w:val="18"/>
          <w:szCs w:val="18"/>
        </w:rPr>
        <w:t>figures in billions</w:t>
      </w: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4A0"/>
      </w:tblPr>
      <w:tblGrid>
        <w:gridCol w:w="3060"/>
        <w:gridCol w:w="2610"/>
        <w:gridCol w:w="1800"/>
        <w:gridCol w:w="1890"/>
      </w:tblGrid>
      <w:tr w:rsidR="00472841" w:rsidRPr="008677EA" w:rsidTr="00472841">
        <w:tc>
          <w:tcPr>
            <w:tcW w:w="3060" w:type="dxa"/>
            <w:tcBorders>
              <w:top w:val="single" w:sz="12" w:space="0" w:color="auto"/>
              <w:bottom w:val="single" w:sz="12" w:space="0" w:color="auto"/>
            </w:tcBorders>
            <w:shd w:val="clear" w:color="auto" w:fill="C6D9F1" w:themeFill="text2" w:themeFillTint="33"/>
          </w:tcPr>
          <w:p w:rsidR="00472841" w:rsidRPr="008677EA" w:rsidRDefault="00472841" w:rsidP="00472841">
            <w:pPr>
              <w:keepNext/>
              <w:keepLines/>
              <w:spacing w:before="15" w:after="15"/>
              <w:jc w:val="both"/>
              <w:rPr>
                <w:rFonts w:ascii="Garamond" w:hAnsi="Garamond"/>
                <w:b/>
                <w:sz w:val="18"/>
                <w:szCs w:val="18"/>
              </w:rPr>
            </w:pPr>
            <w:r>
              <w:rPr>
                <w:rFonts w:ascii="Garamond" w:hAnsi="Garamond"/>
                <w:b/>
                <w:sz w:val="18"/>
                <w:szCs w:val="18"/>
              </w:rPr>
              <w:t>OTC Derivatives</w:t>
            </w:r>
            <w:r w:rsidR="00FC66D3" w:rsidRPr="00FC66D3">
              <w:rPr>
                <w:rStyle w:val="FootnoteReference"/>
                <w:rFonts w:ascii="Garamond" w:hAnsi="Garamond"/>
                <w:sz w:val="18"/>
                <w:szCs w:val="18"/>
              </w:rPr>
              <w:footnoteReference w:id="16"/>
            </w:r>
          </w:p>
        </w:tc>
        <w:tc>
          <w:tcPr>
            <w:tcW w:w="2610" w:type="dxa"/>
            <w:tcBorders>
              <w:top w:val="single" w:sz="12" w:space="0" w:color="auto"/>
              <w:bottom w:val="single" w:sz="12" w:space="0" w:color="auto"/>
            </w:tcBorders>
            <w:shd w:val="clear" w:color="auto" w:fill="C6D9F1" w:themeFill="text2" w:themeFillTint="33"/>
          </w:tcPr>
          <w:p w:rsidR="00472841" w:rsidRPr="008677EA" w:rsidRDefault="00472841" w:rsidP="00472841">
            <w:pPr>
              <w:keepNext/>
              <w:keepLines/>
              <w:spacing w:before="15" w:after="15"/>
              <w:jc w:val="both"/>
              <w:rPr>
                <w:rFonts w:ascii="Garamond" w:hAnsi="Garamond"/>
                <w:b/>
                <w:sz w:val="18"/>
                <w:szCs w:val="18"/>
              </w:rPr>
            </w:pPr>
            <w:r w:rsidRPr="008677EA">
              <w:rPr>
                <w:rFonts w:ascii="Garamond" w:hAnsi="Garamond"/>
                <w:b/>
                <w:sz w:val="18"/>
                <w:szCs w:val="18"/>
              </w:rPr>
              <w:t>Rates</w:t>
            </w:r>
          </w:p>
        </w:tc>
        <w:tc>
          <w:tcPr>
            <w:tcW w:w="1800" w:type="dxa"/>
            <w:tcBorders>
              <w:top w:val="single" w:sz="12" w:space="0" w:color="auto"/>
              <w:bottom w:val="single" w:sz="12" w:space="0" w:color="auto"/>
            </w:tcBorders>
            <w:shd w:val="clear" w:color="auto" w:fill="C6D9F1" w:themeFill="text2" w:themeFillTint="33"/>
          </w:tcPr>
          <w:p w:rsidR="00472841" w:rsidRPr="008677EA" w:rsidRDefault="00472841" w:rsidP="00472841">
            <w:pPr>
              <w:keepNext/>
              <w:keepLines/>
              <w:tabs>
                <w:tab w:val="left" w:pos="882"/>
              </w:tabs>
              <w:spacing w:before="15" w:after="15"/>
              <w:jc w:val="both"/>
              <w:rPr>
                <w:rFonts w:ascii="Garamond" w:hAnsi="Garamond"/>
                <w:b/>
                <w:sz w:val="18"/>
                <w:szCs w:val="18"/>
              </w:rPr>
            </w:pPr>
            <w:r w:rsidRPr="008677EA">
              <w:rPr>
                <w:rFonts w:ascii="Garamond" w:hAnsi="Garamond"/>
                <w:b/>
                <w:sz w:val="18"/>
                <w:szCs w:val="18"/>
              </w:rPr>
              <w:t>Credit</w:t>
            </w:r>
          </w:p>
        </w:tc>
        <w:tc>
          <w:tcPr>
            <w:tcW w:w="1890" w:type="dxa"/>
            <w:tcBorders>
              <w:top w:val="single" w:sz="12" w:space="0" w:color="auto"/>
              <w:bottom w:val="single" w:sz="12" w:space="0" w:color="auto"/>
            </w:tcBorders>
            <w:shd w:val="clear" w:color="auto" w:fill="C6D9F1" w:themeFill="text2" w:themeFillTint="33"/>
          </w:tcPr>
          <w:p w:rsidR="00472841" w:rsidRPr="008677EA" w:rsidRDefault="00472841" w:rsidP="00472841">
            <w:pPr>
              <w:keepNext/>
              <w:keepLines/>
              <w:spacing w:before="15" w:after="15"/>
              <w:jc w:val="both"/>
              <w:rPr>
                <w:rFonts w:ascii="Garamond" w:hAnsi="Garamond"/>
                <w:b/>
                <w:sz w:val="18"/>
                <w:szCs w:val="18"/>
              </w:rPr>
            </w:pPr>
            <w:r w:rsidRPr="008677EA">
              <w:rPr>
                <w:rFonts w:ascii="Garamond" w:hAnsi="Garamond"/>
                <w:b/>
                <w:sz w:val="18"/>
                <w:szCs w:val="18"/>
              </w:rPr>
              <w:t>FX NDFs</w:t>
            </w:r>
          </w:p>
        </w:tc>
      </w:tr>
      <w:tr w:rsidR="00472841" w:rsidRPr="008677EA" w:rsidTr="00472841">
        <w:tc>
          <w:tcPr>
            <w:tcW w:w="3060" w:type="dxa"/>
            <w:tcBorders>
              <w:top w:val="single" w:sz="12" w:space="0" w:color="auto"/>
              <w:bottom w:val="single" w:sz="4" w:space="0" w:color="auto"/>
            </w:tcBorders>
          </w:tcPr>
          <w:p w:rsidR="00472841" w:rsidRPr="00262BA9" w:rsidRDefault="00472841" w:rsidP="00472841">
            <w:pPr>
              <w:keepNext/>
              <w:keepLines/>
              <w:spacing w:before="15" w:after="15"/>
              <w:jc w:val="both"/>
              <w:rPr>
                <w:rFonts w:ascii="Garamond" w:hAnsi="Garamond"/>
                <w:b/>
                <w:sz w:val="18"/>
                <w:szCs w:val="18"/>
              </w:rPr>
            </w:pPr>
            <w:r w:rsidRPr="00262BA9">
              <w:rPr>
                <w:rFonts w:ascii="Garamond" w:hAnsi="Garamond"/>
                <w:b/>
                <w:sz w:val="18"/>
                <w:szCs w:val="18"/>
              </w:rPr>
              <w:t>Average daily turnover</w:t>
            </w:r>
          </w:p>
        </w:tc>
        <w:tc>
          <w:tcPr>
            <w:tcW w:w="2610" w:type="dxa"/>
            <w:tcBorders>
              <w:top w:val="single" w:sz="12" w:space="0" w:color="auto"/>
              <w:bottom w:val="single" w:sz="4" w:space="0" w:color="auto"/>
            </w:tcBorders>
          </w:tcPr>
          <w:p w:rsidR="00472841" w:rsidRPr="008677EA" w:rsidRDefault="00472841" w:rsidP="00472841">
            <w:pPr>
              <w:keepNext/>
              <w:keepLines/>
              <w:tabs>
                <w:tab w:val="left" w:pos="1602"/>
              </w:tabs>
              <w:spacing w:before="15" w:after="15"/>
              <w:jc w:val="both"/>
              <w:rPr>
                <w:rFonts w:ascii="Garamond" w:hAnsi="Garamond"/>
                <w:sz w:val="18"/>
                <w:szCs w:val="18"/>
              </w:rPr>
            </w:pPr>
            <w:r w:rsidRPr="008677EA">
              <w:rPr>
                <w:rFonts w:ascii="Garamond" w:hAnsi="Garamond"/>
                <w:sz w:val="18"/>
                <w:szCs w:val="18"/>
              </w:rPr>
              <w:t>$2,000</w:t>
            </w:r>
          </w:p>
        </w:tc>
        <w:tc>
          <w:tcPr>
            <w:tcW w:w="1800" w:type="dxa"/>
            <w:tcBorders>
              <w:top w:val="single" w:sz="12" w:space="0" w:color="auto"/>
              <w:bottom w:val="single" w:sz="4"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p>
        </w:tc>
        <w:tc>
          <w:tcPr>
            <w:tcW w:w="1890" w:type="dxa"/>
            <w:tcBorders>
              <w:top w:val="single" w:sz="12" w:space="0" w:color="auto"/>
              <w:bottom w:val="single" w:sz="4"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$127</w:t>
            </w:r>
          </w:p>
        </w:tc>
      </w:tr>
      <w:tr w:rsidR="00472841" w:rsidRPr="008677EA" w:rsidTr="00472841">
        <w:tc>
          <w:tcPr>
            <w:tcW w:w="3060" w:type="dxa"/>
            <w:tcBorders>
              <w:top w:val="single" w:sz="4" w:space="0" w:color="auto"/>
              <w:bottom w:val="single" w:sz="4" w:space="0" w:color="auto"/>
            </w:tcBorders>
          </w:tcPr>
          <w:p w:rsidR="00472841" w:rsidRPr="008677EA" w:rsidRDefault="00472841" w:rsidP="00472841">
            <w:pPr>
              <w:keepNext/>
              <w:keepLines/>
              <w:spacing w:before="15" w:after="15"/>
              <w:jc w:val="both"/>
              <w:rPr>
                <w:rFonts w:ascii="Garamond" w:hAnsi="Garamond"/>
                <w:sz w:val="18"/>
                <w:szCs w:val="18"/>
              </w:rPr>
            </w:pPr>
            <w:r w:rsidRPr="008677EA">
              <w:rPr>
                <w:rFonts w:ascii="Garamond" w:hAnsi="Garamond"/>
                <w:sz w:val="18"/>
                <w:szCs w:val="18"/>
              </w:rPr>
              <w:t xml:space="preserve">     Cleared</w:t>
            </w:r>
          </w:p>
        </w:tc>
        <w:tc>
          <w:tcPr>
            <w:tcW w:w="2610" w:type="dxa"/>
            <w:tcBorders>
              <w:top w:val="single" w:sz="4" w:space="0" w:color="auto"/>
              <w:bottom w:val="single" w:sz="4" w:space="0" w:color="auto"/>
            </w:tcBorders>
          </w:tcPr>
          <w:p w:rsidR="00472841" w:rsidRPr="008677EA" w:rsidRDefault="00472841" w:rsidP="00472841">
            <w:pPr>
              <w:keepNext/>
              <w:keepLines/>
              <w:tabs>
                <w:tab w:val="left" w:pos="1602"/>
              </w:tabs>
              <w:spacing w:before="15" w:after="15"/>
              <w:jc w:val="both"/>
              <w:rPr>
                <w:rFonts w:ascii="Garamond" w:hAnsi="Garamond"/>
                <w:sz w:val="18"/>
                <w:szCs w:val="18"/>
              </w:rPr>
            </w:pPr>
            <w:r w:rsidRPr="008677EA">
              <w:rPr>
                <w:rFonts w:ascii="Garamond" w:hAnsi="Garamond"/>
                <w:sz w:val="18"/>
                <w:szCs w:val="18"/>
              </w:rPr>
              <w:t xml:space="preserve">   $1,700-1,800</w:t>
            </w:r>
            <w:r w:rsidRPr="008677EA">
              <w:rPr>
                <w:rFonts w:ascii="Garamond" w:hAnsi="Garamond"/>
                <w:sz w:val="18"/>
                <w:szCs w:val="18"/>
              </w:rPr>
              <w:tab/>
              <w:t>(76-79%)</w:t>
            </w:r>
          </w:p>
        </w:tc>
        <w:tc>
          <w:tcPr>
            <w:tcW w:w="1800" w:type="dxa"/>
            <w:tcBorders>
              <w:top w:val="single" w:sz="4" w:space="0" w:color="auto"/>
              <w:bottom w:val="single" w:sz="4"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p>
        </w:tc>
        <w:tc>
          <w:tcPr>
            <w:tcW w:w="1890" w:type="dxa"/>
            <w:tcBorders>
              <w:top w:val="single" w:sz="4" w:space="0" w:color="auto"/>
              <w:bottom w:val="single" w:sz="4"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 xml:space="preserve">   $4.6</w:t>
            </w:r>
            <w:r w:rsidRPr="008677EA">
              <w:rPr>
                <w:rFonts w:ascii="Garamond" w:hAnsi="Garamond"/>
                <w:sz w:val="18"/>
                <w:szCs w:val="18"/>
              </w:rPr>
              <w:tab/>
              <w:t>(3.6%)</w:t>
            </w:r>
          </w:p>
        </w:tc>
      </w:tr>
      <w:tr w:rsidR="00472841" w:rsidRPr="008677EA" w:rsidTr="00472841">
        <w:tc>
          <w:tcPr>
            <w:tcW w:w="3060" w:type="dxa"/>
            <w:tcBorders>
              <w:top w:val="single" w:sz="4" w:space="0" w:color="auto"/>
              <w:bottom w:val="single" w:sz="12" w:space="0" w:color="auto"/>
            </w:tcBorders>
          </w:tcPr>
          <w:p w:rsidR="00472841" w:rsidRPr="008677EA" w:rsidRDefault="00472841" w:rsidP="00472841">
            <w:pPr>
              <w:keepNext/>
              <w:keepLines/>
              <w:spacing w:before="15" w:after="15"/>
              <w:jc w:val="both"/>
              <w:rPr>
                <w:rFonts w:ascii="Garamond" w:hAnsi="Garamond"/>
                <w:sz w:val="18"/>
                <w:szCs w:val="18"/>
              </w:rPr>
            </w:pPr>
            <w:r w:rsidRPr="008677EA">
              <w:rPr>
                <w:rFonts w:ascii="Garamond" w:hAnsi="Garamond"/>
                <w:sz w:val="18"/>
                <w:szCs w:val="18"/>
              </w:rPr>
              <w:t xml:space="preserve">     Uncleared</w:t>
            </w:r>
          </w:p>
        </w:tc>
        <w:tc>
          <w:tcPr>
            <w:tcW w:w="2610" w:type="dxa"/>
            <w:tcBorders>
              <w:top w:val="single" w:sz="4" w:space="0" w:color="auto"/>
              <w:bottom w:val="single" w:sz="12" w:space="0" w:color="auto"/>
            </w:tcBorders>
          </w:tcPr>
          <w:p w:rsidR="00472841" w:rsidRPr="008677EA" w:rsidRDefault="00472841" w:rsidP="00472841">
            <w:pPr>
              <w:keepNext/>
              <w:keepLines/>
              <w:tabs>
                <w:tab w:val="left" w:pos="1602"/>
              </w:tabs>
              <w:spacing w:before="15" w:after="15"/>
              <w:jc w:val="both"/>
              <w:rPr>
                <w:rFonts w:ascii="Garamond" w:hAnsi="Garamond"/>
                <w:sz w:val="18"/>
                <w:szCs w:val="18"/>
              </w:rPr>
            </w:pPr>
            <w:r w:rsidRPr="008677EA">
              <w:rPr>
                <w:rFonts w:ascii="Garamond" w:hAnsi="Garamond"/>
                <w:sz w:val="18"/>
                <w:szCs w:val="18"/>
              </w:rPr>
              <w:t xml:space="preserve">   $500-600</w:t>
            </w:r>
            <w:r w:rsidRPr="008677EA">
              <w:rPr>
                <w:rFonts w:ascii="Garamond" w:hAnsi="Garamond"/>
                <w:sz w:val="18"/>
                <w:szCs w:val="18"/>
              </w:rPr>
              <w:tab/>
              <w:t>(21-24%)</w:t>
            </w:r>
          </w:p>
        </w:tc>
        <w:tc>
          <w:tcPr>
            <w:tcW w:w="1800" w:type="dxa"/>
            <w:tcBorders>
              <w:top w:val="single" w:sz="4" w:space="0" w:color="auto"/>
              <w:bottom w:val="single" w:sz="12"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p>
        </w:tc>
        <w:tc>
          <w:tcPr>
            <w:tcW w:w="1890" w:type="dxa"/>
            <w:tcBorders>
              <w:top w:val="single" w:sz="4" w:space="0" w:color="auto"/>
              <w:bottom w:val="single" w:sz="12"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 xml:space="preserve">   $122.4</w:t>
            </w:r>
            <w:r w:rsidRPr="008677EA">
              <w:rPr>
                <w:rFonts w:ascii="Garamond" w:hAnsi="Garamond"/>
                <w:sz w:val="18"/>
                <w:szCs w:val="18"/>
              </w:rPr>
              <w:tab/>
              <w:t>(96.4%)</w:t>
            </w:r>
          </w:p>
        </w:tc>
      </w:tr>
      <w:tr w:rsidR="00472841" w:rsidRPr="008677EA" w:rsidTr="00472841">
        <w:tc>
          <w:tcPr>
            <w:tcW w:w="3060" w:type="dxa"/>
            <w:tcBorders>
              <w:top w:val="single" w:sz="12" w:space="0" w:color="auto"/>
              <w:bottom w:val="single" w:sz="12" w:space="0" w:color="auto"/>
            </w:tcBorders>
          </w:tcPr>
          <w:p w:rsidR="00472841" w:rsidRPr="00262BA9" w:rsidRDefault="00472841" w:rsidP="00472841">
            <w:pPr>
              <w:keepNext/>
              <w:keepLines/>
              <w:spacing w:before="15" w:after="15"/>
              <w:jc w:val="both"/>
              <w:rPr>
                <w:rFonts w:ascii="Garamond" w:hAnsi="Garamond"/>
                <w:b/>
                <w:sz w:val="18"/>
                <w:szCs w:val="18"/>
              </w:rPr>
            </w:pPr>
            <w:r w:rsidRPr="00262BA9">
              <w:rPr>
                <w:rFonts w:ascii="Garamond" w:hAnsi="Garamond"/>
                <w:b/>
                <w:sz w:val="18"/>
                <w:szCs w:val="18"/>
              </w:rPr>
              <w:t xml:space="preserve">Total market value </w:t>
            </w:r>
          </w:p>
        </w:tc>
        <w:tc>
          <w:tcPr>
            <w:tcW w:w="2610" w:type="dxa"/>
            <w:tcBorders>
              <w:top w:val="single" w:sz="12" w:space="0" w:color="auto"/>
              <w:bottom w:val="single" w:sz="12" w:space="0" w:color="auto"/>
            </w:tcBorders>
          </w:tcPr>
          <w:p w:rsidR="00472841" w:rsidRPr="008677EA" w:rsidRDefault="00472841" w:rsidP="00472841">
            <w:pPr>
              <w:keepNext/>
              <w:keepLines/>
              <w:tabs>
                <w:tab w:val="left" w:pos="1602"/>
              </w:tabs>
              <w:spacing w:before="15" w:after="15"/>
              <w:jc w:val="both"/>
              <w:rPr>
                <w:rFonts w:ascii="Garamond" w:hAnsi="Garamond"/>
                <w:sz w:val="18"/>
                <w:szCs w:val="18"/>
              </w:rPr>
            </w:pPr>
            <w:r w:rsidRPr="008677EA">
              <w:rPr>
                <w:rFonts w:ascii="Garamond" w:hAnsi="Garamond"/>
                <w:sz w:val="18"/>
                <w:szCs w:val="18"/>
              </w:rPr>
              <w:t>$14,000</w:t>
            </w:r>
          </w:p>
        </w:tc>
        <w:tc>
          <w:tcPr>
            <w:tcW w:w="1800" w:type="dxa"/>
            <w:tcBorders>
              <w:top w:val="single" w:sz="12" w:space="0" w:color="auto"/>
              <w:bottom w:val="single" w:sz="12"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$700</w:t>
            </w:r>
          </w:p>
        </w:tc>
        <w:tc>
          <w:tcPr>
            <w:tcW w:w="1890" w:type="dxa"/>
            <w:tcBorders>
              <w:top w:val="single" w:sz="12" w:space="0" w:color="auto"/>
              <w:bottom w:val="single" w:sz="12"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$90</w:t>
            </w:r>
          </w:p>
        </w:tc>
      </w:tr>
      <w:tr w:rsidR="00472841" w:rsidRPr="008677EA" w:rsidTr="00472841">
        <w:tc>
          <w:tcPr>
            <w:tcW w:w="3060" w:type="dxa"/>
            <w:tcBorders>
              <w:top w:val="single" w:sz="12" w:space="0" w:color="auto"/>
              <w:bottom w:val="single" w:sz="4" w:space="0" w:color="auto"/>
            </w:tcBorders>
          </w:tcPr>
          <w:p w:rsidR="00472841" w:rsidRPr="00262BA9" w:rsidRDefault="00472841" w:rsidP="00472841">
            <w:pPr>
              <w:keepNext/>
              <w:keepLines/>
              <w:spacing w:before="15" w:after="15"/>
              <w:jc w:val="both"/>
              <w:rPr>
                <w:rFonts w:ascii="Garamond" w:hAnsi="Garamond"/>
                <w:b/>
                <w:sz w:val="18"/>
                <w:szCs w:val="18"/>
              </w:rPr>
            </w:pPr>
            <w:r w:rsidRPr="00262BA9">
              <w:rPr>
                <w:rFonts w:ascii="Garamond" w:hAnsi="Garamond"/>
                <w:b/>
                <w:sz w:val="18"/>
                <w:szCs w:val="18"/>
              </w:rPr>
              <w:t>Total notional outstanding</w:t>
            </w:r>
          </w:p>
        </w:tc>
        <w:tc>
          <w:tcPr>
            <w:tcW w:w="2610" w:type="dxa"/>
            <w:tcBorders>
              <w:top w:val="single" w:sz="12" w:space="0" w:color="auto"/>
              <w:bottom w:val="single" w:sz="4" w:space="0" w:color="auto"/>
            </w:tcBorders>
          </w:tcPr>
          <w:p w:rsidR="00472841" w:rsidRPr="008677EA" w:rsidRDefault="00472841" w:rsidP="00472841">
            <w:pPr>
              <w:keepNext/>
              <w:keepLines/>
              <w:tabs>
                <w:tab w:val="left" w:pos="1602"/>
              </w:tabs>
              <w:spacing w:before="15" w:after="15"/>
              <w:jc w:val="both"/>
              <w:rPr>
                <w:rFonts w:ascii="Garamond" w:hAnsi="Garamond"/>
                <w:sz w:val="18"/>
                <w:szCs w:val="18"/>
              </w:rPr>
            </w:pPr>
            <w:r w:rsidRPr="008677EA">
              <w:rPr>
                <w:rFonts w:ascii="Garamond" w:hAnsi="Garamond"/>
                <w:sz w:val="18"/>
                <w:szCs w:val="18"/>
              </w:rPr>
              <w:t>$584,000</w:t>
            </w:r>
          </w:p>
        </w:tc>
        <w:tc>
          <w:tcPr>
            <w:tcW w:w="1800" w:type="dxa"/>
            <w:tcBorders>
              <w:top w:val="single" w:sz="12" w:space="0" w:color="auto"/>
              <w:bottom w:val="single" w:sz="4"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 xml:space="preserve">$21,000 </w:t>
            </w:r>
          </w:p>
        </w:tc>
        <w:tc>
          <w:tcPr>
            <w:tcW w:w="1890" w:type="dxa"/>
            <w:tcBorders>
              <w:top w:val="single" w:sz="12" w:space="0" w:color="auto"/>
              <w:bottom w:val="single" w:sz="4"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$2,800</w:t>
            </w:r>
          </w:p>
        </w:tc>
      </w:tr>
      <w:tr w:rsidR="00472841" w:rsidRPr="008677EA" w:rsidTr="00472841">
        <w:tc>
          <w:tcPr>
            <w:tcW w:w="3060" w:type="dxa"/>
            <w:tcBorders>
              <w:top w:val="single" w:sz="4" w:space="0" w:color="auto"/>
              <w:bottom w:val="single" w:sz="4" w:space="0" w:color="auto"/>
            </w:tcBorders>
          </w:tcPr>
          <w:p w:rsidR="00472841" w:rsidRPr="008677EA" w:rsidRDefault="00472841" w:rsidP="00472841">
            <w:pPr>
              <w:keepNext/>
              <w:keepLines/>
              <w:spacing w:before="15" w:after="15"/>
              <w:jc w:val="both"/>
              <w:rPr>
                <w:rFonts w:ascii="Garamond" w:hAnsi="Garamond"/>
                <w:sz w:val="18"/>
                <w:szCs w:val="18"/>
              </w:rPr>
            </w:pPr>
            <w:r w:rsidRPr="008677EA">
              <w:rPr>
                <w:rFonts w:ascii="Garamond" w:hAnsi="Garamond"/>
                <w:sz w:val="18"/>
                <w:szCs w:val="18"/>
              </w:rPr>
              <w:t xml:space="preserve">     Cleared</w:t>
            </w:r>
          </w:p>
        </w:tc>
        <w:tc>
          <w:tcPr>
            <w:tcW w:w="2610" w:type="dxa"/>
            <w:tcBorders>
              <w:top w:val="single" w:sz="4" w:space="0" w:color="auto"/>
              <w:bottom w:val="single" w:sz="4" w:space="0" w:color="auto"/>
            </w:tcBorders>
          </w:tcPr>
          <w:p w:rsidR="00472841" w:rsidRPr="008677EA" w:rsidRDefault="00472841" w:rsidP="00472841">
            <w:pPr>
              <w:keepNext/>
              <w:keepLines/>
              <w:tabs>
                <w:tab w:val="left" w:pos="1602"/>
              </w:tabs>
              <w:spacing w:before="15" w:after="15"/>
              <w:jc w:val="both"/>
              <w:rPr>
                <w:rFonts w:ascii="Garamond" w:hAnsi="Garamond"/>
                <w:sz w:val="18"/>
                <w:szCs w:val="18"/>
              </w:rPr>
            </w:pPr>
            <w:r w:rsidRPr="008677EA">
              <w:rPr>
                <w:rFonts w:ascii="Garamond" w:hAnsi="Garamond"/>
                <w:sz w:val="18"/>
                <w:szCs w:val="18"/>
              </w:rPr>
              <w:t xml:space="preserve">   $443,000-461,000</w:t>
            </w:r>
            <w:r w:rsidRPr="008677EA">
              <w:rPr>
                <w:rFonts w:ascii="Garamond" w:hAnsi="Garamond"/>
                <w:sz w:val="18"/>
                <w:szCs w:val="18"/>
              </w:rPr>
              <w:tab/>
              <w:t>(76-79%)</w:t>
            </w:r>
          </w:p>
        </w:tc>
        <w:tc>
          <w:tcPr>
            <w:tcW w:w="1800" w:type="dxa"/>
            <w:tcBorders>
              <w:top w:val="single" w:sz="4" w:space="0" w:color="auto"/>
              <w:bottom w:val="single" w:sz="4"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 xml:space="preserve">   $5,500 </w:t>
            </w:r>
            <w:r w:rsidRPr="008677EA">
              <w:rPr>
                <w:rFonts w:ascii="Garamond" w:hAnsi="Garamond"/>
                <w:sz w:val="18"/>
                <w:szCs w:val="18"/>
              </w:rPr>
              <w:tab/>
              <w:t>(26%)</w:t>
            </w:r>
          </w:p>
        </w:tc>
        <w:tc>
          <w:tcPr>
            <w:tcW w:w="1890" w:type="dxa"/>
            <w:tcBorders>
              <w:top w:val="single" w:sz="4" w:space="0" w:color="auto"/>
              <w:bottom w:val="single" w:sz="4"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 xml:space="preserve">   $101</w:t>
            </w:r>
            <w:r w:rsidRPr="008677EA">
              <w:rPr>
                <w:rFonts w:ascii="Garamond" w:hAnsi="Garamond"/>
                <w:sz w:val="18"/>
                <w:szCs w:val="18"/>
              </w:rPr>
              <w:tab/>
              <w:t>(4%)</w:t>
            </w:r>
          </w:p>
        </w:tc>
      </w:tr>
      <w:tr w:rsidR="00472841" w:rsidRPr="008677EA" w:rsidTr="00472841">
        <w:tc>
          <w:tcPr>
            <w:tcW w:w="3060" w:type="dxa"/>
            <w:tcBorders>
              <w:top w:val="single" w:sz="4" w:space="0" w:color="auto"/>
              <w:bottom w:val="single" w:sz="12" w:space="0" w:color="auto"/>
            </w:tcBorders>
          </w:tcPr>
          <w:p w:rsidR="00472841" w:rsidRPr="008677EA" w:rsidRDefault="00472841" w:rsidP="00472841">
            <w:pPr>
              <w:keepNext/>
              <w:keepLines/>
              <w:spacing w:before="15" w:after="15"/>
              <w:jc w:val="both"/>
              <w:rPr>
                <w:rFonts w:ascii="Garamond" w:hAnsi="Garamond"/>
                <w:sz w:val="18"/>
                <w:szCs w:val="18"/>
              </w:rPr>
            </w:pPr>
            <w:r w:rsidRPr="008677EA">
              <w:rPr>
                <w:rFonts w:ascii="Garamond" w:hAnsi="Garamond"/>
                <w:sz w:val="18"/>
                <w:szCs w:val="18"/>
              </w:rPr>
              <w:t xml:space="preserve">     Uncleared</w:t>
            </w:r>
          </w:p>
        </w:tc>
        <w:tc>
          <w:tcPr>
            <w:tcW w:w="2610" w:type="dxa"/>
            <w:tcBorders>
              <w:top w:val="single" w:sz="4" w:space="0" w:color="auto"/>
              <w:bottom w:val="single" w:sz="12" w:space="0" w:color="auto"/>
            </w:tcBorders>
          </w:tcPr>
          <w:p w:rsidR="00472841" w:rsidRPr="008677EA" w:rsidRDefault="00472841" w:rsidP="00472841">
            <w:pPr>
              <w:keepNext/>
              <w:keepLines/>
              <w:tabs>
                <w:tab w:val="left" w:pos="1602"/>
              </w:tabs>
              <w:spacing w:before="15" w:after="15"/>
              <w:jc w:val="both"/>
              <w:rPr>
                <w:rFonts w:ascii="Garamond" w:hAnsi="Garamond"/>
                <w:sz w:val="18"/>
                <w:szCs w:val="18"/>
              </w:rPr>
            </w:pPr>
            <w:r w:rsidRPr="008677EA">
              <w:rPr>
                <w:rFonts w:ascii="Garamond" w:hAnsi="Garamond"/>
                <w:sz w:val="18"/>
                <w:szCs w:val="18"/>
              </w:rPr>
              <w:t xml:space="preserve">   $123,000-141,000</w:t>
            </w:r>
            <w:r w:rsidRPr="008677EA">
              <w:rPr>
                <w:rFonts w:ascii="Garamond" w:hAnsi="Garamond"/>
                <w:sz w:val="18"/>
                <w:szCs w:val="18"/>
              </w:rPr>
              <w:tab/>
              <w:t>(21-24%)</w:t>
            </w:r>
          </w:p>
        </w:tc>
        <w:tc>
          <w:tcPr>
            <w:tcW w:w="1800" w:type="dxa"/>
            <w:tcBorders>
              <w:top w:val="single" w:sz="4" w:space="0" w:color="auto"/>
              <w:bottom w:val="single" w:sz="12"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 xml:space="preserve">   $15,500 </w:t>
            </w:r>
            <w:r w:rsidRPr="008677EA">
              <w:rPr>
                <w:rFonts w:ascii="Garamond" w:hAnsi="Garamond"/>
                <w:sz w:val="18"/>
                <w:szCs w:val="18"/>
              </w:rPr>
              <w:tab/>
              <w:t>(74%)</w:t>
            </w:r>
          </w:p>
        </w:tc>
        <w:tc>
          <w:tcPr>
            <w:tcW w:w="1890" w:type="dxa"/>
            <w:tcBorders>
              <w:top w:val="single" w:sz="4" w:space="0" w:color="auto"/>
              <w:bottom w:val="single" w:sz="12"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 xml:space="preserve">   $2,700</w:t>
            </w:r>
            <w:r w:rsidRPr="008677EA">
              <w:rPr>
                <w:rFonts w:ascii="Garamond" w:hAnsi="Garamond"/>
                <w:sz w:val="18"/>
                <w:szCs w:val="18"/>
              </w:rPr>
              <w:tab/>
              <w:t>(96%)</w:t>
            </w:r>
          </w:p>
        </w:tc>
      </w:tr>
      <w:tr w:rsidR="00472841" w:rsidRPr="008677EA" w:rsidTr="00390B1E">
        <w:tc>
          <w:tcPr>
            <w:tcW w:w="3060" w:type="dxa"/>
            <w:tcBorders>
              <w:top w:val="single" w:sz="12" w:space="0" w:color="auto"/>
              <w:bottom w:val="single" w:sz="4" w:space="0" w:color="auto"/>
            </w:tcBorders>
          </w:tcPr>
          <w:p w:rsidR="00472841" w:rsidRPr="00262BA9" w:rsidRDefault="00472841" w:rsidP="00472841">
            <w:pPr>
              <w:keepNext/>
              <w:keepLines/>
              <w:spacing w:before="15" w:after="15"/>
              <w:jc w:val="both"/>
              <w:rPr>
                <w:rFonts w:ascii="Garamond" w:hAnsi="Garamond"/>
                <w:b/>
                <w:sz w:val="18"/>
                <w:szCs w:val="18"/>
              </w:rPr>
            </w:pPr>
            <w:r w:rsidRPr="00262BA9">
              <w:rPr>
                <w:rFonts w:ascii="Garamond" w:hAnsi="Garamond"/>
                <w:b/>
                <w:sz w:val="18"/>
                <w:szCs w:val="18"/>
              </w:rPr>
              <w:t>Tenor of total notional outstanding</w:t>
            </w:r>
          </w:p>
        </w:tc>
        <w:tc>
          <w:tcPr>
            <w:tcW w:w="2610" w:type="dxa"/>
            <w:tcBorders>
              <w:top w:val="single" w:sz="12" w:space="0" w:color="auto"/>
              <w:bottom w:val="single" w:sz="4" w:space="0" w:color="auto"/>
            </w:tcBorders>
          </w:tcPr>
          <w:p w:rsidR="00472841" w:rsidRPr="008677EA" w:rsidRDefault="00472841" w:rsidP="00472841">
            <w:pPr>
              <w:keepNext/>
              <w:keepLines/>
              <w:tabs>
                <w:tab w:val="left" w:pos="1602"/>
              </w:tabs>
              <w:spacing w:before="15" w:after="15"/>
              <w:jc w:val="both"/>
              <w:rPr>
                <w:rFonts w:ascii="Garamond" w:hAnsi="Garamond"/>
                <w:i/>
                <w:sz w:val="18"/>
                <w:szCs w:val="18"/>
              </w:rPr>
            </w:pPr>
          </w:p>
        </w:tc>
        <w:tc>
          <w:tcPr>
            <w:tcW w:w="1800" w:type="dxa"/>
            <w:tcBorders>
              <w:top w:val="single" w:sz="12" w:space="0" w:color="auto"/>
              <w:bottom w:val="single" w:sz="4" w:space="0" w:color="auto"/>
            </w:tcBorders>
          </w:tcPr>
          <w:p w:rsidR="00472841" w:rsidRPr="008677EA" w:rsidRDefault="00472841" w:rsidP="00472841">
            <w:pPr>
              <w:keepNext/>
              <w:keepLines/>
              <w:tabs>
                <w:tab w:val="left" w:pos="792"/>
              </w:tabs>
              <w:spacing w:before="15" w:after="15"/>
              <w:jc w:val="both"/>
              <w:rPr>
                <w:rFonts w:ascii="Garamond" w:hAnsi="Garamond"/>
                <w:i/>
                <w:sz w:val="18"/>
                <w:szCs w:val="18"/>
              </w:rPr>
            </w:pPr>
          </w:p>
        </w:tc>
        <w:tc>
          <w:tcPr>
            <w:tcW w:w="1890" w:type="dxa"/>
            <w:tcBorders>
              <w:top w:val="single" w:sz="12" w:space="0" w:color="auto"/>
              <w:bottom w:val="single" w:sz="4" w:space="0" w:color="auto"/>
            </w:tcBorders>
          </w:tcPr>
          <w:p w:rsidR="00472841" w:rsidRPr="008677EA" w:rsidRDefault="00472841" w:rsidP="00472841">
            <w:pPr>
              <w:keepNext/>
              <w:keepLines/>
              <w:tabs>
                <w:tab w:val="left" w:pos="792"/>
              </w:tabs>
              <w:spacing w:before="15" w:after="15"/>
              <w:jc w:val="both"/>
              <w:rPr>
                <w:rFonts w:ascii="Garamond" w:hAnsi="Garamond"/>
                <w:sz w:val="18"/>
                <w:szCs w:val="18"/>
              </w:rPr>
            </w:pPr>
            <w:r w:rsidRPr="008677EA">
              <w:rPr>
                <w:rFonts w:ascii="Garamond" w:hAnsi="Garamond"/>
                <w:i/>
                <w:sz w:val="18"/>
                <w:szCs w:val="18"/>
              </w:rPr>
              <w:t>Based on DTCC dataset</w:t>
            </w:r>
            <w:r w:rsidRPr="008677EA">
              <w:rPr>
                <w:rStyle w:val="FootnoteReference"/>
                <w:rFonts w:ascii="Garamond" w:hAnsi="Garamond"/>
                <w:sz w:val="18"/>
                <w:szCs w:val="18"/>
              </w:rPr>
              <w:footnoteReference w:id="17"/>
            </w:r>
          </w:p>
        </w:tc>
      </w:tr>
      <w:tr w:rsidR="00FC66D3" w:rsidRPr="008677EA" w:rsidTr="00913BBF">
        <w:tc>
          <w:tcPr>
            <w:tcW w:w="3060" w:type="dxa"/>
            <w:tcBorders>
              <w:top w:val="single" w:sz="4" w:space="0" w:color="auto"/>
            </w:tcBorders>
          </w:tcPr>
          <w:p w:rsidR="00FC66D3" w:rsidRPr="008677EA" w:rsidRDefault="00FC66D3" w:rsidP="00472841">
            <w:pPr>
              <w:keepNext/>
              <w:keepLines/>
              <w:spacing w:before="15" w:after="15"/>
              <w:jc w:val="both"/>
              <w:rPr>
                <w:rFonts w:ascii="Garamond" w:hAnsi="Garamond"/>
                <w:sz w:val="18"/>
                <w:szCs w:val="18"/>
              </w:rPr>
            </w:pPr>
            <w:r w:rsidRPr="008677EA">
              <w:rPr>
                <w:rFonts w:ascii="Garamond" w:hAnsi="Garamond"/>
                <w:sz w:val="18"/>
                <w:szCs w:val="18"/>
              </w:rPr>
              <w:t xml:space="preserve">     Less than three months</w:t>
            </w:r>
          </w:p>
        </w:tc>
        <w:tc>
          <w:tcPr>
            <w:tcW w:w="2610" w:type="dxa"/>
            <w:vMerge w:val="restart"/>
            <w:tcBorders>
              <w:top w:val="single" w:sz="4" w:space="0" w:color="auto"/>
            </w:tcBorders>
          </w:tcPr>
          <w:p w:rsidR="00FC66D3" w:rsidRDefault="00FC66D3" w:rsidP="00472841">
            <w:pPr>
              <w:keepNext/>
              <w:keepLines/>
              <w:tabs>
                <w:tab w:val="left" w:pos="1602"/>
              </w:tabs>
              <w:spacing w:before="15" w:after="15"/>
              <w:jc w:val="both"/>
              <w:rPr>
                <w:rFonts w:ascii="Garamond" w:hAnsi="Garamond"/>
                <w:sz w:val="18"/>
                <w:szCs w:val="18"/>
              </w:rPr>
            </w:pPr>
          </w:p>
          <w:p w:rsidR="00FC66D3" w:rsidRPr="008677EA" w:rsidRDefault="00FC66D3" w:rsidP="00472841">
            <w:pPr>
              <w:keepNext/>
              <w:keepLines/>
              <w:tabs>
                <w:tab w:val="left" w:pos="1602"/>
              </w:tabs>
              <w:spacing w:before="15" w:after="15"/>
              <w:jc w:val="both"/>
              <w:rPr>
                <w:rFonts w:ascii="Garamond" w:hAnsi="Garamond"/>
                <w:sz w:val="18"/>
                <w:szCs w:val="18"/>
              </w:rPr>
            </w:pPr>
            <w:r w:rsidRPr="008677EA">
              <w:rPr>
                <w:rFonts w:ascii="Garamond" w:hAnsi="Garamond"/>
                <w:sz w:val="18"/>
                <w:szCs w:val="18"/>
              </w:rPr>
              <w:t xml:space="preserve">$198,302 </w:t>
            </w:r>
            <w:r w:rsidRPr="008677EA">
              <w:rPr>
                <w:rFonts w:ascii="Garamond" w:hAnsi="Garamond"/>
                <w:sz w:val="18"/>
                <w:szCs w:val="18"/>
              </w:rPr>
              <w:tab/>
              <w:t>(34%)</w:t>
            </w:r>
          </w:p>
        </w:tc>
        <w:tc>
          <w:tcPr>
            <w:tcW w:w="1800" w:type="dxa"/>
            <w:vMerge w:val="restart"/>
            <w:tcBorders>
              <w:top w:val="single" w:sz="4" w:space="0" w:color="auto"/>
            </w:tcBorders>
          </w:tcPr>
          <w:p w:rsidR="00FC66D3" w:rsidRDefault="00FC66D3" w:rsidP="00472841">
            <w:pPr>
              <w:keepNext/>
              <w:keepLines/>
              <w:tabs>
                <w:tab w:val="left" w:pos="792"/>
              </w:tabs>
              <w:spacing w:before="15" w:after="15"/>
              <w:jc w:val="both"/>
              <w:rPr>
                <w:rFonts w:ascii="Garamond" w:hAnsi="Garamond"/>
                <w:sz w:val="18"/>
                <w:szCs w:val="18"/>
              </w:rPr>
            </w:pPr>
          </w:p>
          <w:p w:rsidR="00FC66D3" w:rsidRPr="008677EA" w:rsidRDefault="00FC66D3"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$3,655</w:t>
            </w:r>
            <w:r w:rsidRPr="008677EA">
              <w:rPr>
                <w:rFonts w:ascii="Garamond" w:hAnsi="Garamond"/>
                <w:sz w:val="18"/>
                <w:szCs w:val="18"/>
              </w:rPr>
              <w:tab/>
              <w:t>(17%)</w:t>
            </w:r>
          </w:p>
        </w:tc>
        <w:tc>
          <w:tcPr>
            <w:tcW w:w="1890" w:type="dxa"/>
            <w:tcBorders>
              <w:top w:val="single" w:sz="4" w:space="0" w:color="auto"/>
            </w:tcBorders>
          </w:tcPr>
          <w:p w:rsidR="00FC66D3" w:rsidRPr="008677EA" w:rsidRDefault="00FC66D3" w:rsidP="00472841">
            <w:pPr>
              <w:keepNext/>
              <w:keepLines/>
              <w:tabs>
                <w:tab w:val="left" w:pos="792"/>
                <w:tab w:val="left" w:pos="1089"/>
              </w:tabs>
              <w:spacing w:before="15" w:after="15"/>
              <w:jc w:val="both"/>
              <w:rPr>
                <w:rFonts w:ascii="Garamond" w:hAnsi="Garamond"/>
                <w:sz w:val="18"/>
                <w:szCs w:val="18"/>
              </w:rPr>
            </w:pPr>
            <w:r w:rsidRPr="008677EA">
              <w:rPr>
                <w:rFonts w:ascii="Garamond" w:hAnsi="Garamond"/>
                <w:sz w:val="18"/>
                <w:szCs w:val="18"/>
              </w:rPr>
              <w:t>$2,520</w:t>
            </w:r>
            <w:r w:rsidRPr="008677EA">
              <w:rPr>
                <w:rFonts w:ascii="Garamond" w:hAnsi="Garamond"/>
                <w:sz w:val="18"/>
                <w:szCs w:val="18"/>
              </w:rPr>
              <w:tab/>
              <w:t>(90%)</w:t>
            </w:r>
          </w:p>
        </w:tc>
      </w:tr>
      <w:tr w:rsidR="00FC66D3" w:rsidRPr="008677EA" w:rsidTr="00913BBF">
        <w:tc>
          <w:tcPr>
            <w:tcW w:w="3060" w:type="dxa"/>
          </w:tcPr>
          <w:p w:rsidR="00FC66D3" w:rsidRPr="008677EA" w:rsidRDefault="00FC66D3" w:rsidP="00472841">
            <w:pPr>
              <w:keepNext/>
              <w:keepLines/>
              <w:spacing w:before="15" w:after="15"/>
              <w:jc w:val="both"/>
              <w:rPr>
                <w:rFonts w:ascii="Garamond" w:hAnsi="Garamond"/>
                <w:sz w:val="18"/>
                <w:szCs w:val="18"/>
              </w:rPr>
            </w:pPr>
            <w:r w:rsidRPr="008677EA">
              <w:rPr>
                <w:rFonts w:ascii="Garamond" w:hAnsi="Garamond"/>
                <w:sz w:val="18"/>
                <w:szCs w:val="18"/>
              </w:rPr>
              <w:t xml:space="preserve">     Over three months up to six months</w:t>
            </w:r>
          </w:p>
        </w:tc>
        <w:tc>
          <w:tcPr>
            <w:tcW w:w="2610" w:type="dxa"/>
            <w:vMerge/>
          </w:tcPr>
          <w:p w:rsidR="00FC66D3" w:rsidRPr="008677EA" w:rsidRDefault="00FC66D3" w:rsidP="00472841">
            <w:pPr>
              <w:keepNext/>
              <w:keepLines/>
              <w:tabs>
                <w:tab w:val="left" w:pos="1602"/>
              </w:tabs>
              <w:spacing w:before="15" w:after="15"/>
              <w:jc w:val="both"/>
              <w:rPr>
                <w:rFonts w:ascii="Garamond" w:hAnsi="Garamond"/>
                <w:sz w:val="18"/>
                <w:szCs w:val="18"/>
              </w:rPr>
            </w:pPr>
          </w:p>
        </w:tc>
        <w:tc>
          <w:tcPr>
            <w:tcW w:w="1800" w:type="dxa"/>
            <w:vMerge/>
          </w:tcPr>
          <w:p w:rsidR="00FC66D3" w:rsidRPr="008677EA" w:rsidRDefault="00FC66D3" w:rsidP="00472841">
            <w:pPr>
              <w:keepNext/>
              <w:keepLines/>
              <w:tabs>
                <w:tab w:val="left" w:pos="792"/>
              </w:tabs>
              <w:spacing w:before="15" w:after="15"/>
              <w:jc w:val="both"/>
              <w:rPr>
                <w:rFonts w:ascii="Garamond" w:hAnsi="Garamond"/>
                <w:sz w:val="18"/>
                <w:szCs w:val="18"/>
              </w:rPr>
            </w:pPr>
          </w:p>
        </w:tc>
        <w:tc>
          <w:tcPr>
            <w:tcW w:w="1890" w:type="dxa"/>
          </w:tcPr>
          <w:p w:rsidR="00FC66D3" w:rsidRPr="008677EA" w:rsidRDefault="00FC66D3"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$224</w:t>
            </w:r>
            <w:r w:rsidRPr="008677EA">
              <w:rPr>
                <w:rFonts w:ascii="Garamond" w:hAnsi="Garamond"/>
                <w:sz w:val="18"/>
                <w:szCs w:val="18"/>
              </w:rPr>
              <w:tab/>
              <w:t>(8%)</w:t>
            </w:r>
          </w:p>
        </w:tc>
      </w:tr>
      <w:tr w:rsidR="00FC66D3" w:rsidRPr="008677EA" w:rsidTr="00913BBF">
        <w:tc>
          <w:tcPr>
            <w:tcW w:w="3060" w:type="dxa"/>
          </w:tcPr>
          <w:p w:rsidR="00FC66D3" w:rsidRPr="008677EA" w:rsidRDefault="00FC66D3" w:rsidP="00472841">
            <w:pPr>
              <w:keepNext/>
              <w:keepLines/>
              <w:spacing w:before="15" w:after="15"/>
              <w:jc w:val="both"/>
              <w:rPr>
                <w:rFonts w:ascii="Garamond" w:hAnsi="Garamond"/>
                <w:sz w:val="18"/>
                <w:szCs w:val="18"/>
              </w:rPr>
            </w:pPr>
            <w:r w:rsidRPr="008677EA">
              <w:rPr>
                <w:rFonts w:ascii="Garamond" w:hAnsi="Garamond"/>
                <w:sz w:val="18"/>
                <w:szCs w:val="18"/>
              </w:rPr>
              <w:t xml:space="preserve">     Over six months up to one year</w:t>
            </w:r>
          </w:p>
        </w:tc>
        <w:tc>
          <w:tcPr>
            <w:tcW w:w="2610" w:type="dxa"/>
            <w:vMerge/>
            <w:tcBorders>
              <w:bottom w:val="single" w:sz="4" w:space="0" w:color="auto"/>
            </w:tcBorders>
          </w:tcPr>
          <w:p w:rsidR="00FC66D3" w:rsidRPr="008677EA" w:rsidRDefault="00FC66D3" w:rsidP="00472841">
            <w:pPr>
              <w:keepNext/>
              <w:keepLines/>
              <w:tabs>
                <w:tab w:val="left" w:pos="1602"/>
              </w:tabs>
              <w:spacing w:before="15" w:after="15"/>
              <w:jc w:val="both"/>
              <w:rPr>
                <w:rFonts w:ascii="Garamond" w:hAnsi="Garamond"/>
                <w:sz w:val="18"/>
                <w:szCs w:val="18"/>
              </w:rPr>
            </w:pPr>
          </w:p>
        </w:tc>
        <w:tc>
          <w:tcPr>
            <w:tcW w:w="1800" w:type="dxa"/>
            <w:vMerge/>
          </w:tcPr>
          <w:p w:rsidR="00FC66D3" w:rsidRPr="008677EA" w:rsidRDefault="00FC66D3" w:rsidP="00472841">
            <w:pPr>
              <w:keepNext/>
              <w:keepLines/>
              <w:tabs>
                <w:tab w:val="left" w:pos="792"/>
              </w:tabs>
              <w:spacing w:before="15" w:after="15"/>
              <w:jc w:val="both"/>
              <w:rPr>
                <w:rFonts w:ascii="Garamond" w:hAnsi="Garamond"/>
                <w:sz w:val="18"/>
                <w:szCs w:val="18"/>
              </w:rPr>
            </w:pPr>
          </w:p>
        </w:tc>
        <w:tc>
          <w:tcPr>
            <w:tcW w:w="1890" w:type="dxa"/>
          </w:tcPr>
          <w:p w:rsidR="00FC66D3" w:rsidRPr="008677EA" w:rsidRDefault="00FC66D3" w:rsidP="00472841">
            <w:pPr>
              <w:keepNext/>
              <w:keepLines/>
              <w:tabs>
                <w:tab w:val="left" w:pos="792"/>
                <w:tab w:val="left" w:pos="1089"/>
              </w:tabs>
              <w:spacing w:before="15" w:after="15"/>
              <w:jc w:val="both"/>
              <w:rPr>
                <w:rFonts w:ascii="Garamond" w:hAnsi="Garamond"/>
                <w:sz w:val="18"/>
                <w:szCs w:val="18"/>
              </w:rPr>
            </w:pPr>
            <w:r w:rsidRPr="008677EA">
              <w:rPr>
                <w:rFonts w:ascii="Garamond" w:hAnsi="Garamond"/>
                <w:sz w:val="18"/>
                <w:szCs w:val="18"/>
              </w:rPr>
              <w:t>$28</w:t>
            </w:r>
            <w:r w:rsidRPr="008677EA">
              <w:rPr>
                <w:rFonts w:ascii="Garamond" w:hAnsi="Garamond"/>
                <w:sz w:val="18"/>
                <w:szCs w:val="18"/>
              </w:rPr>
              <w:tab/>
              <w:t>(1%)</w:t>
            </w:r>
          </w:p>
        </w:tc>
      </w:tr>
      <w:tr w:rsidR="00472841" w:rsidRPr="008677EA" w:rsidTr="00390B1E">
        <w:tc>
          <w:tcPr>
            <w:tcW w:w="3060" w:type="dxa"/>
          </w:tcPr>
          <w:p w:rsidR="00472841" w:rsidRPr="008677EA" w:rsidRDefault="00472841" w:rsidP="00472841">
            <w:pPr>
              <w:keepNext/>
              <w:keepLines/>
              <w:spacing w:before="15" w:after="15"/>
              <w:jc w:val="both"/>
              <w:rPr>
                <w:rFonts w:ascii="Garamond" w:hAnsi="Garamond"/>
                <w:sz w:val="18"/>
                <w:szCs w:val="18"/>
              </w:rPr>
            </w:pPr>
            <w:r w:rsidRPr="008677EA">
              <w:rPr>
                <w:rFonts w:ascii="Garamond" w:hAnsi="Garamond"/>
                <w:sz w:val="18"/>
                <w:szCs w:val="18"/>
              </w:rPr>
              <w:t xml:space="preserve">     Over one year up to five years</w:t>
            </w:r>
          </w:p>
        </w:tc>
        <w:tc>
          <w:tcPr>
            <w:tcW w:w="2610" w:type="dxa"/>
            <w:tcBorders>
              <w:top w:val="single" w:sz="4" w:space="0" w:color="auto"/>
            </w:tcBorders>
          </w:tcPr>
          <w:p w:rsidR="00472841" w:rsidRPr="008677EA" w:rsidRDefault="00472841" w:rsidP="00472841">
            <w:pPr>
              <w:keepNext/>
              <w:keepLines/>
              <w:tabs>
                <w:tab w:val="left" w:pos="1602"/>
              </w:tabs>
              <w:spacing w:before="15" w:after="15"/>
              <w:jc w:val="both"/>
              <w:rPr>
                <w:rFonts w:ascii="Garamond" w:hAnsi="Garamond"/>
                <w:sz w:val="18"/>
                <w:szCs w:val="18"/>
              </w:rPr>
            </w:pPr>
            <w:r w:rsidRPr="008677EA">
              <w:rPr>
                <w:rFonts w:ascii="Garamond" w:hAnsi="Garamond"/>
                <w:sz w:val="18"/>
                <w:szCs w:val="18"/>
              </w:rPr>
              <w:t xml:space="preserve">$234,284 </w:t>
            </w:r>
            <w:r w:rsidRPr="008677EA">
              <w:rPr>
                <w:rFonts w:ascii="Garamond" w:hAnsi="Garamond"/>
                <w:sz w:val="18"/>
                <w:szCs w:val="18"/>
              </w:rPr>
              <w:tab/>
              <w:t>(40%)</w:t>
            </w:r>
          </w:p>
        </w:tc>
        <w:tc>
          <w:tcPr>
            <w:tcW w:w="1800" w:type="dxa"/>
          </w:tcPr>
          <w:p w:rsidR="00472841" w:rsidRPr="008677EA" w:rsidRDefault="00472841"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$16,162</w:t>
            </w:r>
            <w:r w:rsidRPr="008677EA">
              <w:rPr>
                <w:rFonts w:ascii="Garamond" w:hAnsi="Garamond"/>
                <w:sz w:val="18"/>
                <w:szCs w:val="18"/>
              </w:rPr>
              <w:tab/>
              <w:t>(77%)</w:t>
            </w:r>
          </w:p>
        </w:tc>
        <w:tc>
          <w:tcPr>
            <w:tcW w:w="1890" w:type="dxa"/>
          </w:tcPr>
          <w:p w:rsidR="00472841" w:rsidRPr="008677EA" w:rsidRDefault="00472841" w:rsidP="00472841">
            <w:pPr>
              <w:keepNext/>
              <w:keepLines/>
              <w:tabs>
                <w:tab w:val="left" w:pos="792"/>
                <w:tab w:val="left" w:pos="1089"/>
              </w:tabs>
              <w:spacing w:before="15" w:after="15"/>
              <w:jc w:val="both"/>
              <w:rPr>
                <w:rFonts w:ascii="Garamond" w:hAnsi="Garamond"/>
                <w:sz w:val="18"/>
                <w:szCs w:val="18"/>
              </w:rPr>
            </w:pPr>
            <w:r w:rsidRPr="008677EA">
              <w:rPr>
                <w:rFonts w:ascii="Garamond" w:hAnsi="Garamond"/>
                <w:sz w:val="18"/>
                <w:szCs w:val="18"/>
              </w:rPr>
              <w:t>$28</w:t>
            </w:r>
            <w:r w:rsidRPr="008677EA">
              <w:rPr>
                <w:rFonts w:ascii="Garamond" w:hAnsi="Garamond"/>
                <w:sz w:val="18"/>
                <w:szCs w:val="18"/>
              </w:rPr>
              <w:tab/>
              <w:t>(1%)</w:t>
            </w:r>
          </w:p>
        </w:tc>
      </w:tr>
      <w:tr w:rsidR="00472841" w:rsidRPr="008677EA" w:rsidTr="00472841">
        <w:tc>
          <w:tcPr>
            <w:tcW w:w="3060" w:type="dxa"/>
          </w:tcPr>
          <w:p w:rsidR="00472841" w:rsidRPr="008677EA" w:rsidRDefault="00472841" w:rsidP="00472841">
            <w:pPr>
              <w:keepNext/>
              <w:keepLines/>
              <w:spacing w:before="15" w:after="15"/>
              <w:jc w:val="both"/>
              <w:rPr>
                <w:rFonts w:ascii="Garamond" w:hAnsi="Garamond"/>
                <w:sz w:val="18"/>
                <w:szCs w:val="18"/>
              </w:rPr>
            </w:pPr>
            <w:r w:rsidRPr="008677EA">
              <w:rPr>
                <w:rFonts w:ascii="Garamond" w:hAnsi="Garamond"/>
                <w:sz w:val="18"/>
                <w:szCs w:val="18"/>
              </w:rPr>
              <w:t xml:space="preserve">     Over five years</w:t>
            </w:r>
          </w:p>
        </w:tc>
        <w:tc>
          <w:tcPr>
            <w:tcW w:w="2610" w:type="dxa"/>
          </w:tcPr>
          <w:p w:rsidR="00472841" w:rsidRPr="008677EA" w:rsidRDefault="00472841" w:rsidP="00472841">
            <w:pPr>
              <w:keepNext/>
              <w:keepLines/>
              <w:tabs>
                <w:tab w:val="left" w:pos="1602"/>
              </w:tabs>
              <w:spacing w:before="15" w:after="15"/>
              <w:jc w:val="both"/>
              <w:rPr>
                <w:rFonts w:ascii="Garamond" w:hAnsi="Garamond"/>
                <w:sz w:val="18"/>
                <w:szCs w:val="18"/>
              </w:rPr>
            </w:pPr>
            <w:r w:rsidRPr="008677EA">
              <w:rPr>
                <w:rFonts w:ascii="Garamond" w:hAnsi="Garamond"/>
                <w:sz w:val="18"/>
                <w:szCs w:val="18"/>
              </w:rPr>
              <w:t>$151,778</w:t>
            </w:r>
            <w:r w:rsidRPr="008677EA">
              <w:rPr>
                <w:rFonts w:ascii="Garamond" w:hAnsi="Garamond"/>
                <w:sz w:val="18"/>
                <w:szCs w:val="18"/>
              </w:rPr>
              <w:tab/>
              <w:t>(26%)</w:t>
            </w:r>
          </w:p>
        </w:tc>
        <w:tc>
          <w:tcPr>
            <w:tcW w:w="1800" w:type="dxa"/>
          </w:tcPr>
          <w:p w:rsidR="00472841" w:rsidRPr="008677EA" w:rsidRDefault="00472841" w:rsidP="00472841">
            <w:pPr>
              <w:keepNext/>
              <w:keepLines/>
              <w:tabs>
                <w:tab w:val="left" w:pos="792"/>
              </w:tabs>
              <w:spacing w:before="15" w:after="15"/>
              <w:jc w:val="both"/>
              <w:rPr>
                <w:rFonts w:ascii="Garamond" w:hAnsi="Garamond"/>
                <w:sz w:val="18"/>
                <w:szCs w:val="18"/>
              </w:rPr>
            </w:pPr>
            <w:r w:rsidRPr="008677EA">
              <w:rPr>
                <w:rFonts w:ascii="Garamond" w:hAnsi="Garamond"/>
                <w:sz w:val="18"/>
                <w:szCs w:val="18"/>
              </w:rPr>
              <w:t>$1,203</w:t>
            </w:r>
            <w:r w:rsidRPr="008677EA">
              <w:rPr>
                <w:rFonts w:ascii="Garamond" w:hAnsi="Garamond"/>
                <w:sz w:val="18"/>
                <w:szCs w:val="18"/>
              </w:rPr>
              <w:tab/>
              <w:t>(6%)</w:t>
            </w:r>
          </w:p>
        </w:tc>
        <w:tc>
          <w:tcPr>
            <w:tcW w:w="1890" w:type="dxa"/>
          </w:tcPr>
          <w:p w:rsidR="00472841" w:rsidRPr="008677EA" w:rsidRDefault="00472841" w:rsidP="00472841">
            <w:pPr>
              <w:keepNext/>
              <w:keepLines/>
              <w:tabs>
                <w:tab w:val="left" w:pos="792"/>
                <w:tab w:val="left" w:pos="1089"/>
              </w:tabs>
              <w:spacing w:before="15" w:after="15"/>
              <w:jc w:val="both"/>
              <w:rPr>
                <w:rFonts w:ascii="Garamond" w:hAnsi="Garamond"/>
                <w:sz w:val="18"/>
                <w:szCs w:val="18"/>
              </w:rPr>
            </w:pPr>
          </w:p>
        </w:tc>
      </w:tr>
    </w:tbl>
    <w:p w:rsidR="00472841" w:rsidRDefault="00472841" w:rsidP="00472841">
      <w:pPr>
        <w:jc w:val="both"/>
        <w:rPr>
          <w:rFonts w:ascii="Garamond" w:hAnsi="Garamond"/>
          <w:b/>
          <w:sz w:val="22"/>
          <w:szCs w:val="22"/>
        </w:rPr>
      </w:pPr>
    </w:p>
    <w:p w:rsidR="00472841" w:rsidRPr="00596592" w:rsidRDefault="00472841" w:rsidP="00472841">
      <w:pPr>
        <w:jc w:val="both"/>
        <w:rPr>
          <w:rFonts w:ascii="Garamond" w:hAnsi="Garamond"/>
          <w:sz w:val="22"/>
          <w:szCs w:val="22"/>
          <w:lang w:val="en-US"/>
        </w:rPr>
      </w:pPr>
      <w:r>
        <w:rPr>
          <w:rFonts w:ascii="Garamond" w:hAnsi="Garamond"/>
          <w:sz w:val="22"/>
          <w:szCs w:val="22"/>
          <w:lang w:val="en-US"/>
        </w:rPr>
        <w:t xml:space="preserve">While the </w:t>
      </w:r>
      <w:r w:rsidRPr="00596592">
        <w:rPr>
          <w:rFonts w:ascii="Garamond" w:hAnsi="Garamond"/>
          <w:sz w:val="22"/>
          <w:szCs w:val="22"/>
          <w:lang w:val="en-US"/>
        </w:rPr>
        <w:t>Consultation Paper</w:t>
      </w:r>
      <w:r>
        <w:rPr>
          <w:rFonts w:ascii="Garamond" w:hAnsi="Garamond"/>
          <w:sz w:val="22"/>
          <w:szCs w:val="22"/>
          <w:lang w:val="en-US"/>
        </w:rPr>
        <w:t xml:space="preserve"> suggests that the </w:t>
      </w:r>
      <w:r w:rsidRPr="00596592">
        <w:rPr>
          <w:rFonts w:ascii="Garamond" w:hAnsi="Garamond"/>
          <w:sz w:val="22"/>
          <w:szCs w:val="22"/>
          <w:lang w:val="en-US"/>
        </w:rPr>
        <w:t xml:space="preserve">overall systemic risk of the OTC derivatives market achieved </w:t>
      </w:r>
      <w:r>
        <w:rPr>
          <w:rFonts w:ascii="Garamond" w:hAnsi="Garamond"/>
          <w:sz w:val="22"/>
          <w:szCs w:val="22"/>
          <w:lang w:val="en-US"/>
        </w:rPr>
        <w:t xml:space="preserve">by subjecting </w:t>
      </w:r>
      <w:r w:rsidRPr="00596592">
        <w:rPr>
          <w:rFonts w:ascii="Garamond" w:hAnsi="Garamond"/>
          <w:sz w:val="22"/>
          <w:szCs w:val="22"/>
          <w:lang w:val="en-US"/>
        </w:rPr>
        <w:t xml:space="preserve">FX NDF classes meeting the criteria of EMIR </w:t>
      </w:r>
      <w:r>
        <w:rPr>
          <w:rFonts w:ascii="Garamond" w:hAnsi="Garamond"/>
          <w:sz w:val="22"/>
          <w:szCs w:val="22"/>
          <w:lang w:val="en-US"/>
        </w:rPr>
        <w:t xml:space="preserve">to </w:t>
      </w:r>
      <w:r w:rsidRPr="00596592">
        <w:rPr>
          <w:rFonts w:ascii="Garamond" w:hAnsi="Garamond"/>
          <w:sz w:val="22"/>
          <w:szCs w:val="22"/>
          <w:lang w:val="en-US"/>
        </w:rPr>
        <w:t xml:space="preserve">a clearing obligation </w:t>
      </w:r>
      <w:r>
        <w:rPr>
          <w:rFonts w:ascii="Garamond" w:hAnsi="Garamond"/>
          <w:sz w:val="22"/>
          <w:szCs w:val="22"/>
          <w:lang w:val="en-US"/>
        </w:rPr>
        <w:t xml:space="preserve">would be </w:t>
      </w:r>
      <w:r w:rsidRPr="00596592">
        <w:rPr>
          <w:rFonts w:ascii="Garamond" w:hAnsi="Garamond"/>
          <w:sz w:val="22"/>
          <w:szCs w:val="22"/>
          <w:lang w:val="en-US"/>
        </w:rPr>
        <w:t>“significant”</w:t>
      </w:r>
      <w:r>
        <w:rPr>
          <w:rFonts w:ascii="Garamond" w:hAnsi="Garamond"/>
          <w:sz w:val="22"/>
          <w:szCs w:val="22"/>
          <w:lang w:val="en-US"/>
        </w:rPr>
        <w:t xml:space="preserve">, </w:t>
      </w:r>
      <w:r w:rsidRPr="00596592">
        <w:rPr>
          <w:rFonts w:ascii="Garamond" w:hAnsi="Garamond"/>
          <w:sz w:val="22"/>
          <w:szCs w:val="22"/>
          <w:lang w:val="en-US"/>
        </w:rPr>
        <w:t xml:space="preserve">the basis for </w:t>
      </w:r>
      <w:r>
        <w:rPr>
          <w:rFonts w:ascii="Garamond" w:hAnsi="Garamond"/>
          <w:sz w:val="22"/>
          <w:szCs w:val="22"/>
          <w:lang w:val="en-US"/>
        </w:rPr>
        <w:t xml:space="preserve">this </w:t>
      </w:r>
      <w:r w:rsidRPr="00596592">
        <w:rPr>
          <w:rFonts w:ascii="Garamond" w:hAnsi="Garamond"/>
          <w:sz w:val="22"/>
          <w:szCs w:val="22"/>
          <w:lang w:val="en-US"/>
        </w:rPr>
        <w:t xml:space="preserve">appears to be the comparison of </w:t>
      </w:r>
      <w:r>
        <w:rPr>
          <w:rFonts w:ascii="Garamond" w:hAnsi="Garamond"/>
          <w:sz w:val="22"/>
          <w:szCs w:val="22"/>
          <w:lang w:val="en-US"/>
        </w:rPr>
        <w:t xml:space="preserve">the </w:t>
      </w:r>
      <w:r w:rsidRPr="00596592">
        <w:rPr>
          <w:rFonts w:ascii="Garamond" w:hAnsi="Garamond"/>
          <w:sz w:val="22"/>
          <w:szCs w:val="22"/>
          <w:lang w:val="en-US"/>
        </w:rPr>
        <w:t xml:space="preserve">average daily turnover of </w:t>
      </w:r>
      <w:r w:rsidRPr="00596592">
        <w:rPr>
          <w:rFonts w:ascii="Garamond" w:hAnsi="Garamond"/>
          <w:sz w:val="22"/>
          <w:szCs w:val="22"/>
          <w:u w:val="single"/>
          <w:lang w:val="en-US"/>
        </w:rPr>
        <w:t>$127 billion</w:t>
      </w:r>
      <w:r w:rsidRPr="00596592">
        <w:rPr>
          <w:rFonts w:ascii="Garamond" w:hAnsi="Garamond"/>
          <w:sz w:val="22"/>
          <w:szCs w:val="22"/>
          <w:lang w:val="en-US"/>
        </w:rPr>
        <w:t xml:space="preserve"> of FX NDF contracts with </w:t>
      </w:r>
      <w:r w:rsidRPr="00596592">
        <w:rPr>
          <w:rFonts w:ascii="Garamond" w:hAnsi="Garamond"/>
          <w:sz w:val="22"/>
          <w:szCs w:val="22"/>
          <w:u w:val="single"/>
          <w:lang w:val="en-US"/>
        </w:rPr>
        <w:t>$187 billion</w:t>
      </w:r>
      <w:r w:rsidRPr="00596592">
        <w:rPr>
          <w:rFonts w:ascii="Garamond" w:hAnsi="Garamond"/>
          <w:sz w:val="22"/>
          <w:szCs w:val="22"/>
          <w:lang w:val="en-US"/>
        </w:rPr>
        <w:t xml:space="preserve"> of interest rate OTC derivatives </w:t>
      </w:r>
      <w:r w:rsidRPr="00665820">
        <w:rPr>
          <w:rFonts w:ascii="Garamond" w:hAnsi="Garamond"/>
          <w:sz w:val="22"/>
          <w:szCs w:val="22"/>
          <w:lang w:val="en-US"/>
        </w:rPr>
        <w:t>denominated in</w:t>
      </w:r>
      <w:r w:rsidRPr="00596592">
        <w:rPr>
          <w:rFonts w:ascii="Garamond" w:hAnsi="Garamond"/>
          <w:i/>
          <w:sz w:val="22"/>
          <w:szCs w:val="22"/>
          <w:lang w:val="en-US"/>
        </w:rPr>
        <w:t xml:space="preserve"> </w:t>
      </w:r>
      <w:r w:rsidRPr="00665820">
        <w:rPr>
          <w:rFonts w:ascii="Garamond" w:hAnsi="Garamond"/>
          <w:sz w:val="22"/>
          <w:szCs w:val="22"/>
          <w:lang w:val="en-US"/>
        </w:rPr>
        <w:t>GBP</w:t>
      </w:r>
      <w:r w:rsidRPr="00596592">
        <w:rPr>
          <w:rFonts w:ascii="Garamond" w:hAnsi="Garamond"/>
          <w:i/>
          <w:sz w:val="22"/>
          <w:szCs w:val="22"/>
          <w:lang w:val="en-US"/>
        </w:rPr>
        <w:t xml:space="preserve">.  </w:t>
      </w:r>
      <w:r>
        <w:rPr>
          <w:rFonts w:ascii="Garamond" w:hAnsi="Garamond"/>
          <w:sz w:val="22"/>
          <w:szCs w:val="22"/>
          <w:lang w:val="en-US"/>
        </w:rPr>
        <w:t xml:space="preserve">Because it is estimated that interest rates derivatives </w:t>
      </w:r>
      <w:r w:rsidRPr="00665820">
        <w:rPr>
          <w:rFonts w:ascii="Garamond" w:hAnsi="Garamond"/>
          <w:sz w:val="22"/>
          <w:szCs w:val="22"/>
          <w:lang w:val="en-US"/>
        </w:rPr>
        <w:t>denominated in GBP</w:t>
      </w:r>
      <w:r>
        <w:rPr>
          <w:rFonts w:ascii="Garamond" w:hAnsi="Garamond"/>
          <w:sz w:val="22"/>
          <w:szCs w:val="22"/>
          <w:lang w:val="en-US"/>
        </w:rPr>
        <w:t xml:space="preserve"> represent approximately 9% of interest rates turnover globally, </w:t>
      </w:r>
      <w:r w:rsidRPr="00596592">
        <w:rPr>
          <w:rFonts w:ascii="Garamond" w:hAnsi="Garamond"/>
          <w:sz w:val="22"/>
          <w:szCs w:val="22"/>
          <w:lang w:val="en-US"/>
        </w:rPr>
        <w:t xml:space="preserve">the </w:t>
      </w:r>
      <w:r>
        <w:rPr>
          <w:rFonts w:ascii="Garamond" w:hAnsi="Garamond"/>
          <w:sz w:val="22"/>
          <w:szCs w:val="22"/>
          <w:lang w:val="en-US"/>
        </w:rPr>
        <w:t xml:space="preserve">more </w:t>
      </w:r>
      <w:r w:rsidRPr="00596592">
        <w:rPr>
          <w:rFonts w:ascii="Garamond" w:hAnsi="Garamond"/>
          <w:sz w:val="22"/>
          <w:szCs w:val="22"/>
          <w:lang w:val="en-US"/>
        </w:rPr>
        <w:t xml:space="preserve">appropriate comparison </w:t>
      </w:r>
      <w:r>
        <w:rPr>
          <w:rFonts w:ascii="Garamond" w:hAnsi="Garamond"/>
          <w:sz w:val="22"/>
          <w:szCs w:val="22"/>
          <w:lang w:val="en-US"/>
        </w:rPr>
        <w:t xml:space="preserve">of average daily turnover – and therefore systemic relevance – </w:t>
      </w:r>
      <w:r w:rsidRPr="00596592">
        <w:rPr>
          <w:rFonts w:ascii="Garamond" w:hAnsi="Garamond"/>
          <w:sz w:val="22"/>
          <w:szCs w:val="22"/>
          <w:lang w:val="en-US"/>
        </w:rPr>
        <w:t xml:space="preserve">would be </w:t>
      </w:r>
      <w:r>
        <w:rPr>
          <w:rFonts w:ascii="Garamond" w:hAnsi="Garamond"/>
          <w:sz w:val="22"/>
          <w:szCs w:val="22"/>
          <w:lang w:val="en-US"/>
        </w:rPr>
        <w:t xml:space="preserve">to compare </w:t>
      </w:r>
      <w:r w:rsidRPr="00596592">
        <w:rPr>
          <w:rFonts w:ascii="Garamond" w:hAnsi="Garamond"/>
          <w:sz w:val="22"/>
          <w:szCs w:val="22"/>
          <w:u w:val="single"/>
          <w:lang w:val="en-US"/>
        </w:rPr>
        <w:t>$127 billion</w:t>
      </w:r>
      <w:r w:rsidRPr="00596592">
        <w:rPr>
          <w:rFonts w:ascii="Garamond" w:hAnsi="Garamond"/>
          <w:sz w:val="22"/>
          <w:szCs w:val="22"/>
          <w:lang w:val="en-US"/>
        </w:rPr>
        <w:t xml:space="preserve"> of FX NDF contracts </w:t>
      </w:r>
      <w:r w:rsidRPr="008835AC">
        <w:rPr>
          <w:rFonts w:ascii="Garamond" w:hAnsi="Garamond"/>
          <w:i/>
          <w:sz w:val="22"/>
          <w:szCs w:val="22"/>
          <w:lang w:val="en-US"/>
        </w:rPr>
        <w:t>across all currencies</w:t>
      </w:r>
      <w:r>
        <w:rPr>
          <w:rFonts w:ascii="Garamond" w:hAnsi="Garamond"/>
          <w:i/>
          <w:sz w:val="22"/>
          <w:szCs w:val="22"/>
          <w:lang w:val="en-US"/>
        </w:rPr>
        <w:t xml:space="preserve"> </w:t>
      </w:r>
      <w:r>
        <w:rPr>
          <w:rFonts w:ascii="Garamond" w:hAnsi="Garamond"/>
          <w:sz w:val="22"/>
          <w:szCs w:val="22"/>
          <w:lang w:val="en-US"/>
        </w:rPr>
        <w:t xml:space="preserve">with </w:t>
      </w:r>
      <w:r w:rsidRPr="00596592">
        <w:rPr>
          <w:rFonts w:ascii="Garamond" w:hAnsi="Garamond"/>
          <w:sz w:val="22"/>
          <w:szCs w:val="22"/>
          <w:u w:val="single"/>
          <w:lang w:val="en-US"/>
        </w:rPr>
        <w:t>$2 trillion</w:t>
      </w:r>
      <w:r w:rsidRPr="00596592">
        <w:rPr>
          <w:rFonts w:ascii="Garamond" w:hAnsi="Garamond"/>
          <w:sz w:val="22"/>
          <w:szCs w:val="22"/>
          <w:lang w:val="en-US"/>
        </w:rPr>
        <w:t xml:space="preserve"> of interest rate OTC derivatives</w:t>
      </w:r>
      <w:r>
        <w:rPr>
          <w:rFonts w:ascii="Garamond" w:hAnsi="Garamond"/>
          <w:sz w:val="22"/>
          <w:szCs w:val="22"/>
          <w:lang w:val="en-US"/>
        </w:rPr>
        <w:t xml:space="preserve"> </w:t>
      </w:r>
      <w:r>
        <w:rPr>
          <w:rFonts w:ascii="Garamond" w:hAnsi="Garamond"/>
          <w:i/>
          <w:sz w:val="22"/>
          <w:szCs w:val="22"/>
          <w:lang w:val="en-US"/>
        </w:rPr>
        <w:t>across all currencies</w:t>
      </w:r>
      <w:r>
        <w:rPr>
          <w:rFonts w:ascii="Garamond" w:hAnsi="Garamond"/>
          <w:sz w:val="22"/>
          <w:szCs w:val="22"/>
          <w:lang w:val="en-US"/>
        </w:rPr>
        <w:t xml:space="preserve"> and not </w:t>
      </w:r>
      <w:r w:rsidRPr="00596592">
        <w:rPr>
          <w:rFonts w:ascii="Garamond" w:hAnsi="Garamond"/>
          <w:sz w:val="22"/>
          <w:szCs w:val="22"/>
          <w:lang w:val="en-US"/>
        </w:rPr>
        <w:t xml:space="preserve">simply </w:t>
      </w:r>
      <w:r>
        <w:rPr>
          <w:rFonts w:ascii="Garamond" w:hAnsi="Garamond"/>
          <w:sz w:val="22"/>
          <w:szCs w:val="22"/>
          <w:lang w:val="en-US"/>
        </w:rPr>
        <w:t xml:space="preserve">rates products </w:t>
      </w:r>
      <w:r w:rsidRPr="00596592">
        <w:rPr>
          <w:rFonts w:ascii="Garamond" w:hAnsi="Garamond"/>
          <w:sz w:val="22"/>
          <w:szCs w:val="22"/>
          <w:lang w:val="en-US"/>
        </w:rPr>
        <w:t>denominated in GBP.</w:t>
      </w:r>
    </w:p>
    <w:p w:rsidR="00472841" w:rsidRDefault="00472841" w:rsidP="00472841">
      <w:pPr>
        <w:jc w:val="both"/>
        <w:rPr>
          <w:rFonts w:ascii="Garamond" w:hAnsi="Garamond"/>
          <w:sz w:val="22"/>
          <w:szCs w:val="22"/>
        </w:rPr>
      </w:pPr>
    </w:p>
    <w:p w:rsidR="00472841" w:rsidRPr="00EC2452" w:rsidRDefault="00472841" w:rsidP="00472841">
      <w:pPr>
        <w:widowControl w:val="0"/>
        <w:autoSpaceDE w:val="0"/>
        <w:autoSpaceDN w:val="0"/>
        <w:adjustRightInd w:val="0"/>
        <w:jc w:val="both"/>
        <w:rPr>
          <w:rFonts w:ascii="Garamond" w:hAnsi="Garamond"/>
          <w:sz w:val="22"/>
          <w:szCs w:val="22"/>
        </w:rPr>
      </w:pPr>
      <w:r w:rsidRPr="00596592">
        <w:rPr>
          <w:rFonts w:ascii="Garamond" w:hAnsi="Garamond"/>
          <w:b/>
          <w:i/>
          <w:sz w:val="22"/>
          <w:szCs w:val="22"/>
        </w:rPr>
        <w:t xml:space="preserve">Considerations re “Systemic” Risk. </w:t>
      </w:r>
      <w:r>
        <w:rPr>
          <w:rFonts w:ascii="Garamond" w:hAnsi="Garamond"/>
          <w:i/>
          <w:sz w:val="22"/>
          <w:szCs w:val="22"/>
        </w:rPr>
        <w:t xml:space="preserve"> </w:t>
      </w:r>
      <w:r w:rsidRPr="00596592">
        <w:rPr>
          <w:rFonts w:ascii="Garamond" w:hAnsi="Garamond"/>
          <w:sz w:val="22"/>
          <w:szCs w:val="22"/>
        </w:rPr>
        <w:t xml:space="preserve">As </w:t>
      </w:r>
      <w:r w:rsidRPr="00EC2452">
        <w:rPr>
          <w:rFonts w:ascii="Garamond" w:hAnsi="Garamond"/>
          <w:sz w:val="22"/>
          <w:szCs w:val="22"/>
        </w:rPr>
        <w:t>reflected in the text of EMIR, the overarching aim of reducing systemic risk when reaching a clearing determination is central to any such determination:</w:t>
      </w:r>
    </w:p>
    <w:p w:rsidR="00472841" w:rsidRPr="00EC2452" w:rsidRDefault="00472841" w:rsidP="00472841">
      <w:pPr>
        <w:pStyle w:val="ListParagraph"/>
        <w:widowControl w:val="0"/>
        <w:autoSpaceDE w:val="0"/>
        <w:autoSpaceDN w:val="0"/>
        <w:adjustRightInd w:val="0"/>
        <w:jc w:val="both"/>
        <w:rPr>
          <w:rFonts w:ascii="Garamond" w:hAnsi="Garamond"/>
          <w:sz w:val="22"/>
          <w:szCs w:val="22"/>
        </w:rPr>
      </w:pPr>
    </w:p>
    <w:p w:rsidR="00472841" w:rsidRPr="00EC2452" w:rsidRDefault="00472841" w:rsidP="00472841">
      <w:pPr>
        <w:pStyle w:val="ListParagraph"/>
        <w:widowControl w:val="0"/>
        <w:numPr>
          <w:ilvl w:val="0"/>
          <w:numId w:val="41"/>
        </w:numPr>
        <w:autoSpaceDE w:val="0"/>
        <w:autoSpaceDN w:val="0"/>
        <w:adjustRightInd w:val="0"/>
        <w:contextualSpacing w:val="0"/>
        <w:jc w:val="both"/>
        <w:rPr>
          <w:rFonts w:ascii="Garamond" w:hAnsi="Garamond"/>
          <w:sz w:val="22"/>
          <w:szCs w:val="22"/>
        </w:rPr>
      </w:pPr>
      <w:r w:rsidRPr="00EC2452">
        <w:rPr>
          <w:rFonts w:ascii="Garamond" w:hAnsi="Garamond"/>
          <w:sz w:val="22"/>
          <w:szCs w:val="22"/>
        </w:rPr>
        <w:t>Recital 15:  “</w:t>
      </w:r>
      <w:r w:rsidRPr="00EC2452">
        <w:rPr>
          <w:rFonts w:ascii="Garamond" w:hAnsi="Garamond" w:cs="Times"/>
          <w:sz w:val="22"/>
          <w:szCs w:val="22"/>
        </w:rPr>
        <w:t>Ensuring that the clearing obligation reduces systemic risk requires a process of identif</w:t>
      </w:r>
      <w:r w:rsidRPr="00EC2452">
        <w:rPr>
          <w:rFonts w:ascii="Garamond" w:hAnsi="Garamond" w:cs="Times"/>
          <w:sz w:val="22"/>
          <w:szCs w:val="22"/>
        </w:rPr>
        <w:t>i</w:t>
      </w:r>
      <w:r w:rsidRPr="00EC2452">
        <w:rPr>
          <w:rFonts w:ascii="Garamond" w:hAnsi="Garamond" w:cs="Times"/>
          <w:sz w:val="22"/>
          <w:szCs w:val="22"/>
        </w:rPr>
        <w:t>cation of classes of derivatives that should be subject to that obligation.”</w:t>
      </w:r>
    </w:p>
    <w:p w:rsidR="00472841" w:rsidRPr="00EC2452" w:rsidRDefault="00472841" w:rsidP="00472841">
      <w:pPr>
        <w:pStyle w:val="ListParagraph"/>
        <w:widowControl w:val="0"/>
        <w:numPr>
          <w:ilvl w:val="0"/>
          <w:numId w:val="41"/>
        </w:numPr>
        <w:autoSpaceDE w:val="0"/>
        <w:autoSpaceDN w:val="0"/>
        <w:adjustRightInd w:val="0"/>
        <w:contextualSpacing w:val="0"/>
        <w:jc w:val="both"/>
        <w:rPr>
          <w:rFonts w:ascii="Garamond" w:hAnsi="Garamond"/>
          <w:sz w:val="22"/>
          <w:szCs w:val="22"/>
        </w:rPr>
      </w:pPr>
      <w:r w:rsidRPr="00EC2452">
        <w:rPr>
          <w:rFonts w:ascii="Garamond" w:hAnsi="Garamond" w:cs="Times"/>
          <w:sz w:val="22"/>
          <w:szCs w:val="22"/>
        </w:rPr>
        <w:t>Recital 21</w:t>
      </w:r>
      <w:r w:rsidRPr="00EC2452">
        <w:rPr>
          <w:rFonts w:ascii="Garamond" w:hAnsi="Garamond" w:cs="Times"/>
          <w:i/>
          <w:sz w:val="22"/>
          <w:szCs w:val="22"/>
        </w:rPr>
        <w:t xml:space="preserve"> – “</w:t>
      </w:r>
      <w:r w:rsidRPr="00EC2452">
        <w:rPr>
          <w:rFonts w:ascii="Garamond" w:hAnsi="Garamond" w:cs="Times"/>
          <w:sz w:val="22"/>
          <w:szCs w:val="22"/>
        </w:rPr>
        <w:t>In determining whether a class of OTC derivative contract is to be subject to clearing requirements, ESMA should aim for a reduction in systemic risk.”</w:t>
      </w:r>
    </w:p>
    <w:p w:rsidR="00472841" w:rsidRPr="00EC2452" w:rsidRDefault="00472841" w:rsidP="00472841">
      <w:pPr>
        <w:pStyle w:val="ListParagraph"/>
        <w:widowControl w:val="0"/>
        <w:numPr>
          <w:ilvl w:val="0"/>
          <w:numId w:val="41"/>
        </w:numPr>
        <w:autoSpaceDE w:val="0"/>
        <w:autoSpaceDN w:val="0"/>
        <w:adjustRightInd w:val="0"/>
        <w:contextualSpacing w:val="0"/>
        <w:jc w:val="both"/>
        <w:rPr>
          <w:rFonts w:ascii="Garamond" w:hAnsi="Garamond"/>
          <w:sz w:val="22"/>
          <w:szCs w:val="22"/>
        </w:rPr>
      </w:pPr>
      <w:r w:rsidRPr="00EC2452">
        <w:rPr>
          <w:rFonts w:ascii="Garamond" w:hAnsi="Garamond" w:cs="Times"/>
          <w:sz w:val="22"/>
          <w:szCs w:val="22"/>
        </w:rPr>
        <w:t>Article 5(4) – Clearing determinations should be reached “with the overarching aim of reducing sy</w:t>
      </w:r>
      <w:r w:rsidRPr="00EC2452">
        <w:rPr>
          <w:rFonts w:ascii="Garamond" w:hAnsi="Garamond" w:cs="Times"/>
          <w:sz w:val="22"/>
          <w:szCs w:val="22"/>
        </w:rPr>
        <w:t>s</w:t>
      </w:r>
      <w:r w:rsidRPr="00EC2452">
        <w:rPr>
          <w:rFonts w:ascii="Garamond" w:hAnsi="Garamond" w:cs="Times"/>
          <w:sz w:val="22"/>
          <w:szCs w:val="22"/>
        </w:rPr>
        <w:t>temic risk.”</w:t>
      </w:r>
    </w:p>
    <w:p w:rsidR="00472841" w:rsidRPr="00EC2452" w:rsidRDefault="00472841" w:rsidP="00472841">
      <w:pPr>
        <w:widowControl w:val="0"/>
        <w:autoSpaceDE w:val="0"/>
        <w:autoSpaceDN w:val="0"/>
        <w:adjustRightInd w:val="0"/>
        <w:jc w:val="both"/>
        <w:rPr>
          <w:rFonts w:ascii="Garamond" w:hAnsi="Garamond"/>
          <w:sz w:val="22"/>
          <w:szCs w:val="22"/>
        </w:rPr>
      </w:pPr>
    </w:p>
    <w:p w:rsidR="00472841" w:rsidRDefault="00472841" w:rsidP="00472841">
      <w:pPr>
        <w:autoSpaceDE w:val="0"/>
        <w:autoSpaceDN w:val="0"/>
        <w:adjustRightInd w:val="0"/>
        <w:jc w:val="both"/>
        <w:rPr>
          <w:rFonts w:ascii="Garamond" w:hAnsi="Garamond"/>
          <w:sz w:val="22"/>
          <w:szCs w:val="22"/>
        </w:rPr>
      </w:pPr>
      <w:r w:rsidRPr="00EC2452">
        <w:rPr>
          <w:rFonts w:ascii="Garamond" w:eastAsiaTheme="minorHAnsi" w:hAnsi="Garamond" w:cs="TimesNewRomanWGL"/>
          <w:sz w:val="22"/>
          <w:szCs w:val="22"/>
          <w:lang w:val="en-US" w:eastAsia="en-US"/>
        </w:rPr>
        <w:t>As the European Central Bank (ECB) has recogni</w:t>
      </w:r>
      <w:r>
        <w:rPr>
          <w:rFonts w:ascii="Garamond" w:eastAsiaTheme="minorHAnsi" w:hAnsi="Garamond" w:cs="TimesNewRomanWGL"/>
          <w:sz w:val="22"/>
          <w:szCs w:val="22"/>
          <w:lang w:val="en-US" w:eastAsia="en-US"/>
        </w:rPr>
        <w:t>s</w:t>
      </w:r>
      <w:r w:rsidRPr="00EC2452">
        <w:rPr>
          <w:rFonts w:ascii="Garamond" w:eastAsiaTheme="minorHAnsi" w:hAnsi="Garamond" w:cs="TimesNewRomanWGL"/>
          <w:sz w:val="22"/>
          <w:szCs w:val="22"/>
          <w:lang w:val="en-US" w:eastAsia="en-US"/>
        </w:rPr>
        <w:t>ed, “[a] commonly accepted definition of systemic risk does not exist at present” but “can be broadly characterised as the risk that financial instability becomes so wid</w:t>
      </w:r>
      <w:r w:rsidRPr="00EC2452">
        <w:rPr>
          <w:rFonts w:ascii="Garamond" w:eastAsiaTheme="minorHAnsi" w:hAnsi="Garamond" w:cs="TimesNewRomanWGL"/>
          <w:sz w:val="22"/>
          <w:szCs w:val="22"/>
          <w:lang w:val="en-US" w:eastAsia="en-US"/>
        </w:rPr>
        <w:t>e</w:t>
      </w:r>
      <w:r w:rsidRPr="00EC2452">
        <w:rPr>
          <w:rFonts w:ascii="Garamond" w:eastAsiaTheme="minorHAnsi" w:hAnsi="Garamond" w:cs="TimesNewRomanWGL"/>
          <w:sz w:val="22"/>
          <w:szCs w:val="22"/>
          <w:lang w:val="en-US" w:eastAsia="en-US"/>
        </w:rPr>
        <w:t>spread that it impairs the functioning of a financial system to the point where economic growth and welfare suffer materially.”</w:t>
      </w:r>
      <w:r w:rsidRPr="00EC2452">
        <w:rPr>
          <w:rStyle w:val="FootnoteReference"/>
          <w:rFonts w:ascii="Garamond" w:eastAsiaTheme="minorHAnsi" w:hAnsi="Garamond" w:cs="CMR12"/>
          <w:sz w:val="22"/>
          <w:szCs w:val="22"/>
        </w:rPr>
        <w:footnoteReference w:id="18"/>
      </w:r>
      <w:r w:rsidRPr="00EC2452">
        <w:rPr>
          <w:rFonts w:ascii="Garamond" w:eastAsiaTheme="minorHAnsi" w:hAnsi="Garamond" w:cs="TimesNewRomanWGL"/>
          <w:sz w:val="22"/>
          <w:szCs w:val="22"/>
          <w:vertAlign w:val="superscript"/>
          <w:lang w:val="en-US" w:eastAsia="en-US"/>
        </w:rPr>
        <w:t>,</w:t>
      </w:r>
      <w:r w:rsidRPr="00EC2452">
        <w:rPr>
          <w:rStyle w:val="FootnoteReference"/>
          <w:rFonts w:ascii="Garamond" w:eastAsiaTheme="minorHAnsi" w:hAnsi="Garamond" w:cs="TimesNewRomanWGL"/>
          <w:sz w:val="22"/>
          <w:szCs w:val="22"/>
          <w:lang w:val="en-US" w:eastAsia="en-US"/>
        </w:rPr>
        <w:footnoteReference w:id="19"/>
      </w:r>
      <w:r>
        <w:rPr>
          <w:rFonts w:ascii="Garamond" w:hAnsi="Garamond"/>
          <w:sz w:val="22"/>
          <w:szCs w:val="22"/>
        </w:rPr>
        <w:t xml:space="preserve">  While FX NDF contracts are OTC derivatives, GFXD strongly urges ESMA to co</w:t>
      </w:r>
      <w:r>
        <w:rPr>
          <w:rFonts w:ascii="Garamond" w:hAnsi="Garamond"/>
          <w:sz w:val="22"/>
          <w:szCs w:val="22"/>
        </w:rPr>
        <w:t>n</w:t>
      </w:r>
      <w:r>
        <w:rPr>
          <w:rFonts w:ascii="Garamond" w:hAnsi="Garamond"/>
          <w:sz w:val="22"/>
          <w:szCs w:val="22"/>
        </w:rPr>
        <w:lastRenderedPageBreak/>
        <w:t xml:space="preserve">sider whether the reduction of </w:t>
      </w:r>
      <w:r w:rsidRPr="00EC2452">
        <w:rPr>
          <w:rFonts w:ascii="Garamond" w:hAnsi="Garamond"/>
          <w:sz w:val="22"/>
          <w:szCs w:val="22"/>
        </w:rPr>
        <w:t>counterparty credit risk</w:t>
      </w:r>
      <w:r>
        <w:rPr>
          <w:rFonts w:ascii="Garamond" w:hAnsi="Garamond"/>
          <w:sz w:val="22"/>
          <w:szCs w:val="22"/>
        </w:rPr>
        <w:t xml:space="preserve"> to be achieved from mandating participants to move their bilateral exposures to a centrally cleared environment for these contracts would </w:t>
      </w:r>
      <w:r>
        <w:rPr>
          <w:rFonts w:ascii="Garamond" w:hAnsi="Garamond"/>
          <w:i/>
          <w:sz w:val="22"/>
          <w:szCs w:val="22"/>
        </w:rPr>
        <w:t xml:space="preserve">reduce </w:t>
      </w:r>
      <w:r w:rsidRPr="008612DF">
        <w:rPr>
          <w:rFonts w:ascii="Garamond" w:hAnsi="Garamond"/>
          <w:i/>
          <w:sz w:val="22"/>
          <w:szCs w:val="22"/>
        </w:rPr>
        <w:t>risk</w:t>
      </w:r>
      <w:r>
        <w:rPr>
          <w:rFonts w:ascii="Garamond" w:hAnsi="Garamond"/>
          <w:i/>
          <w:sz w:val="22"/>
          <w:szCs w:val="22"/>
        </w:rPr>
        <w:t xml:space="preserve"> in the aggregate and, most </w:t>
      </w:r>
      <w:r>
        <w:rPr>
          <w:rFonts w:ascii="Garamond" w:hAnsi="Garamond"/>
          <w:sz w:val="22"/>
          <w:szCs w:val="22"/>
        </w:rPr>
        <w:t xml:space="preserve">importantly, </w:t>
      </w:r>
      <w:r w:rsidRPr="0008046A">
        <w:rPr>
          <w:rFonts w:ascii="Garamond" w:hAnsi="Garamond"/>
          <w:i/>
          <w:sz w:val="22"/>
          <w:szCs w:val="22"/>
        </w:rPr>
        <w:t>reduce</w:t>
      </w:r>
      <w:r>
        <w:rPr>
          <w:rFonts w:ascii="Garamond" w:hAnsi="Garamond"/>
          <w:sz w:val="22"/>
          <w:szCs w:val="22"/>
        </w:rPr>
        <w:t xml:space="preserve"> </w:t>
      </w:r>
      <w:r w:rsidRPr="008612DF">
        <w:rPr>
          <w:rFonts w:ascii="Garamond" w:hAnsi="Garamond"/>
          <w:i/>
          <w:sz w:val="22"/>
          <w:szCs w:val="22"/>
        </w:rPr>
        <w:t>systemic</w:t>
      </w:r>
      <w:r>
        <w:rPr>
          <w:rFonts w:ascii="Garamond" w:hAnsi="Garamond"/>
          <w:sz w:val="22"/>
          <w:szCs w:val="22"/>
        </w:rPr>
        <w:t xml:space="preserve"> </w:t>
      </w:r>
      <w:r w:rsidRPr="008612DF">
        <w:rPr>
          <w:rFonts w:ascii="Garamond" w:hAnsi="Garamond"/>
          <w:i/>
          <w:sz w:val="22"/>
          <w:szCs w:val="22"/>
        </w:rPr>
        <w:t>risk</w:t>
      </w:r>
      <w:r>
        <w:rPr>
          <w:rFonts w:ascii="Garamond" w:hAnsi="Garamond"/>
          <w:sz w:val="22"/>
          <w:szCs w:val="22"/>
        </w:rPr>
        <w:t xml:space="preserve"> in light of the figures noted above and the concerns detailed in our response to Question 5 of this Consultation Paper and, if not, revisit this question at a later time after such concerns have been appropriately addressed or resolved:</w:t>
      </w:r>
    </w:p>
    <w:p w:rsidR="00472841" w:rsidRDefault="00472841" w:rsidP="00472841">
      <w:pPr>
        <w:jc w:val="both"/>
        <w:rPr>
          <w:rFonts w:ascii="Garamond" w:hAnsi="Garamond"/>
          <w:sz w:val="22"/>
          <w:szCs w:val="22"/>
        </w:rPr>
      </w:pPr>
    </w:p>
    <w:p w:rsidR="00472841" w:rsidRDefault="00472841" w:rsidP="00472841">
      <w:pPr>
        <w:pStyle w:val="ListParagraph"/>
        <w:numPr>
          <w:ilvl w:val="0"/>
          <w:numId w:val="42"/>
        </w:numPr>
        <w:spacing w:after="200" w:line="276" w:lineRule="auto"/>
        <w:contextualSpacing w:val="0"/>
        <w:jc w:val="both"/>
        <w:rPr>
          <w:rFonts w:ascii="Garamond" w:hAnsi="Garamond"/>
          <w:sz w:val="22"/>
          <w:szCs w:val="22"/>
        </w:rPr>
      </w:pPr>
      <w:r>
        <w:rPr>
          <w:rFonts w:ascii="Garamond" w:hAnsi="Garamond"/>
          <w:sz w:val="22"/>
          <w:szCs w:val="22"/>
        </w:rPr>
        <w:t>Supervisory considerations concerning a potential clearing mandate are materially different when clearing services are in their infancy, which is the case for FX NDFs.</w:t>
      </w:r>
    </w:p>
    <w:p w:rsidR="00472841" w:rsidRDefault="00472841" w:rsidP="00472841">
      <w:pPr>
        <w:pStyle w:val="ListParagraph"/>
        <w:numPr>
          <w:ilvl w:val="0"/>
          <w:numId w:val="42"/>
        </w:numPr>
        <w:spacing w:after="200" w:line="276" w:lineRule="auto"/>
        <w:contextualSpacing w:val="0"/>
        <w:jc w:val="both"/>
        <w:rPr>
          <w:rFonts w:ascii="Garamond" w:hAnsi="Garamond"/>
          <w:sz w:val="22"/>
          <w:szCs w:val="22"/>
        </w:rPr>
      </w:pPr>
      <w:r>
        <w:rPr>
          <w:rFonts w:ascii="Garamond" w:hAnsi="Garamond"/>
          <w:sz w:val="22"/>
          <w:szCs w:val="22"/>
        </w:rPr>
        <w:t>FX NDF clearing is in its infancy and therefore has not achieved the same depth as IRS and CDS clearing had when the clearing mandate was introduced to those asset classes.</w:t>
      </w:r>
    </w:p>
    <w:p w:rsidR="00472841" w:rsidRDefault="00472841" w:rsidP="00472841">
      <w:pPr>
        <w:pStyle w:val="ListParagraph"/>
        <w:numPr>
          <w:ilvl w:val="0"/>
          <w:numId w:val="42"/>
        </w:numPr>
        <w:spacing w:after="200" w:line="276" w:lineRule="auto"/>
        <w:contextualSpacing w:val="0"/>
        <w:jc w:val="both"/>
        <w:rPr>
          <w:rFonts w:ascii="Garamond" w:hAnsi="Garamond"/>
          <w:sz w:val="22"/>
          <w:szCs w:val="22"/>
        </w:rPr>
      </w:pPr>
      <w:r>
        <w:rPr>
          <w:rFonts w:ascii="Garamond" w:hAnsi="Garamond"/>
          <w:sz w:val="22"/>
          <w:szCs w:val="22"/>
        </w:rPr>
        <w:t>Key technical matters associated with FX NDF clearing remain unresolved.</w:t>
      </w:r>
    </w:p>
    <w:p w:rsidR="00472841" w:rsidRDefault="00472841" w:rsidP="00472841">
      <w:pPr>
        <w:pStyle w:val="ListParagraph"/>
        <w:numPr>
          <w:ilvl w:val="0"/>
          <w:numId w:val="42"/>
        </w:numPr>
        <w:spacing w:after="200" w:line="276" w:lineRule="auto"/>
        <w:contextualSpacing w:val="0"/>
        <w:jc w:val="both"/>
        <w:rPr>
          <w:rFonts w:ascii="Garamond" w:hAnsi="Garamond"/>
          <w:sz w:val="22"/>
          <w:szCs w:val="22"/>
        </w:rPr>
      </w:pPr>
      <w:r>
        <w:rPr>
          <w:rFonts w:ascii="Garamond" w:hAnsi="Garamond"/>
          <w:sz w:val="22"/>
          <w:szCs w:val="22"/>
        </w:rPr>
        <w:t>Analysis to support a clearing determination for FX NDFs is substantively more akin to a “top-down” approach even though technically a “bottom-up” approach.</w:t>
      </w:r>
    </w:p>
    <w:p w:rsidR="00472841" w:rsidRPr="00DF25B5" w:rsidRDefault="00472841" w:rsidP="00472841">
      <w:pPr>
        <w:jc w:val="both"/>
        <w:rPr>
          <w:rFonts w:ascii="Garamond" w:hAnsi="Garamond"/>
          <w:sz w:val="22"/>
          <w:szCs w:val="22"/>
        </w:rPr>
      </w:pPr>
      <w:r>
        <w:rPr>
          <w:rFonts w:ascii="Garamond" w:hAnsi="Garamond"/>
          <w:sz w:val="22"/>
          <w:szCs w:val="22"/>
        </w:rPr>
        <w:t xml:space="preserve">As part of ESMA’s systemic risk reduction analysis, GFXD also believes appropriate consideration should be given to the potential concentration risk which arises when there is only a single CCP authorised for clearing FX NDFs.  </w:t>
      </w:r>
      <w:r w:rsidRPr="00C00724">
        <w:rPr>
          <w:rFonts w:ascii="Garamond" w:hAnsi="Garamond"/>
          <w:i/>
          <w:sz w:val="22"/>
          <w:szCs w:val="22"/>
        </w:rPr>
        <w:t>This is particularly relevant for the FX NDF market where clearing offerings are in their infancy.</w:t>
      </w:r>
      <w:r>
        <w:rPr>
          <w:rFonts w:ascii="Garamond" w:hAnsi="Garamond"/>
          <w:sz w:val="22"/>
          <w:szCs w:val="22"/>
        </w:rPr>
        <w:t xml:space="preserve">  While the Consultation Paper indicates that FX NDF contracts are “expected to be cleared by additional European CCPs”, there are no assurances that this will be the case.  Further, there are no assurances that their offerings will cover the same contracts as LCH – i.e., with </w:t>
      </w:r>
      <w:r w:rsidRPr="00EC2452">
        <w:rPr>
          <w:rFonts w:ascii="Garamond" w:hAnsi="Garamond"/>
          <w:sz w:val="22"/>
          <w:szCs w:val="22"/>
        </w:rPr>
        <w:t>EMTA published currency template</w:t>
      </w:r>
      <w:r>
        <w:rPr>
          <w:rFonts w:ascii="Garamond" w:hAnsi="Garamond"/>
          <w:sz w:val="22"/>
          <w:szCs w:val="22"/>
        </w:rPr>
        <w:t xml:space="preserve">s </w:t>
      </w:r>
      <w:r w:rsidRPr="00EC2452">
        <w:rPr>
          <w:rFonts w:ascii="Garamond" w:hAnsi="Garamond"/>
          <w:sz w:val="22"/>
          <w:szCs w:val="22"/>
        </w:rPr>
        <w:t>(without modification)</w:t>
      </w:r>
      <w:r>
        <w:rPr>
          <w:rFonts w:ascii="Garamond" w:hAnsi="Garamond"/>
          <w:sz w:val="22"/>
          <w:szCs w:val="22"/>
        </w:rPr>
        <w:t xml:space="preserve"> – which has triggered this “bottom-up” clearing obligation analysis.</w:t>
      </w:r>
      <w:r>
        <w:rPr>
          <w:rStyle w:val="FootnoteReference"/>
          <w:rFonts w:ascii="Garamond" w:hAnsi="Garamond"/>
          <w:sz w:val="22"/>
          <w:szCs w:val="22"/>
        </w:rPr>
        <w:footnoteReference w:id="20"/>
      </w:r>
      <w:r>
        <w:rPr>
          <w:rFonts w:ascii="Garamond" w:hAnsi="Garamond"/>
          <w:sz w:val="22"/>
          <w:szCs w:val="22"/>
        </w:rPr>
        <w:t xml:space="preserve">  In fact, our experience to date has been that CCPs which have initiated, or attempted to initiate, clearing services (and, in the U.S., swap execution facilities or “SEFs”) for FX NDF contracts are not consistent on this critical issue.  It is also worth noting that, as the Consultation Paper acknowledges, LCH has no experience in managing an actual failure of a reference (fixing) source to publish a reference (fixing) price which is needed for the valuation and settlement of FX </w:t>
      </w:r>
      <w:r w:rsidRPr="00DF25B5">
        <w:rPr>
          <w:rFonts w:ascii="Garamond" w:hAnsi="Garamond"/>
          <w:sz w:val="22"/>
          <w:szCs w:val="22"/>
        </w:rPr>
        <w:t>NDF contracts.</w:t>
      </w:r>
    </w:p>
    <w:permEnd w:id="6"/>
    <w:p w:rsidR="00CC1C71" w:rsidRDefault="00CC1C71" w:rsidP="00CC1C71">
      <w:r>
        <w:t>&lt;ESMA_CO3_QUESTION_3&gt;</w:t>
      </w:r>
    </w:p>
    <w:p w:rsidR="00CC1C71" w:rsidRDefault="00CC1C71" w:rsidP="00CC1C71"/>
    <w:p w:rsidR="00CC1C71" w:rsidRDefault="00CC1C71" w:rsidP="00CC1C71">
      <w:pPr>
        <w:pStyle w:val="Heading5"/>
      </w:pPr>
      <w:r>
        <w:t xml:space="preserve">For the currency pairs proposed for the clearing obligation on the NDF class, do you consider there are risks to include longer maturities, up to the 2 year tenor? </w:t>
      </w:r>
    </w:p>
    <w:p w:rsidR="00CC1C71" w:rsidRDefault="00CC1C71" w:rsidP="00CC1C71"/>
    <w:p w:rsidR="00CC1C71" w:rsidRDefault="00CC1C71" w:rsidP="00CC1C71">
      <w:r>
        <w:t>&lt;ESMA_CO3_QUESTION_4&gt;</w:t>
      </w:r>
    </w:p>
    <w:p w:rsidR="00472841" w:rsidRPr="00EC2452" w:rsidRDefault="00472841" w:rsidP="00472841">
      <w:pPr>
        <w:jc w:val="both"/>
        <w:rPr>
          <w:rFonts w:ascii="Garamond" w:hAnsi="Garamond"/>
          <w:sz w:val="22"/>
          <w:szCs w:val="22"/>
        </w:rPr>
      </w:pPr>
      <w:permStart w:id="7" w:edGrp="everyone"/>
      <w:r w:rsidRPr="00EC2452">
        <w:rPr>
          <w:rFonts w:ascii="Garamond" w:hAnsi="Garamond"/>
          <w:sz w:val="22"/>
          <w:szCs w:val="22"/>
        </w:rPr>
        <w:t>GFXD does not believe that it is appropriate to recommend a clearing mandate for tenors exceeding one year.  There is insufficient liquidity in those p</w:t>
      </w:r>
      <w:r>
        <w:rPr>
          <w:rFonts w:ascii="Garamond" w:hAnsi="Garamond"/>
          <w:sz w:val="22"/>
          <w:szCs w:val="22"/>
        </w:rPr>
        <w:t xml:space="preserve">roducts to support clearing and, </w:t>
      </w:r>
      <w:r w:rsidRPr="00EC2452">
        <w:rPr>
          <w:rFonts w:ascii="Garamond" w:hAnsi="Garamond"/>
          <w:sz w:val="22"/>
          <w:szCs w:val="22"/>
        </w:rPr>
        <w:t>given the limited liquidity, CCPs would find it difficult to manage the default of a clearing member responsible for transactions in those matur</w:t>
      </w:r>
      <w:r w:rsidRPr="00EC2452">
        <w:rPr>
          <w:rFonts w:ascii="Garamond" w:hAnsi="Garamond"/>
          <w:sz w:val="22"/>
          <w:szCs w:val="22"/>
        </w:rPr>
        <w:t>i</w:t>
      </w:r>
      <w:r w:rsidRPr="00EC2452">
        <w:rPr>
          <w:rFonts w:ascii="Garamond" w:hAnsi="Garamond"/>
          <w:sz w:val="22"/>
          <w:szCs w:val="22"/>
        </w:rPr>
        <w:t>ties.</w:t>
      </w:r>
      <w:r w:rsidRPr="00EC2452">
        <w:rPr>
          <w:rStyle w:val="FootnoteReference"/>
          <w:rFonts w:ascii="Garamond" w:hAnsi="Garamond"/>
          <w:sz w:val="22"/>
          <w:szCs w:val="22"/>
        </w:rPr>
        <w:footnoteReference w:id="21"/>
      </w:r>
      <w:r w:rsidRPr="00EC2452">
        <w:rPr>
          <w:rFonts w:ascii="Garamond" w:hAnsi="Garamond"/>
          <w:sz w:val="22"/>
          <w:szCs w:val="22"/>
        </w:rPr>
        <w:t xml:space="preserve"> </w:t>
      </w:r>
    </w:p>
    <w:p w:rsidR="00472841" w:rsidRPr="00EC2452" w:rsidRDefault="00472841" w:rsidP="00472841">
      <w:pPr>
        <w:jc w:val="both"/>
        <w:rPr>
          <w:rFonts w:ascii="Garamond" w:hAnsi="Garamond"/>
          <w:sz w:val="22"/>
          <w:szCs w:val="22"/>
        </w:rPr>
      </w:pPr>
    </w:p>
    <w:p w:rsidR="00472841" w:rsidRDefault="00472841" w:rsidP="00472841">
      <w:pPr>
        <w:jc w:val="both"/>
        <w:rPr>
          <w:rFonts w:ascii="Garamond" w:hAnsi="Garamond"/>
          <w:sz w:val="22"/>
          <w:szCs w:val="22"/>
        </w:rPr>
      </w:pPr>
      <w:r w:rsidRPr="00EC2452">
        <w:rPr>
          <w:rFonts w:ascii="Garamond" w:hAnsi="Garamond"/>
          <w:sz w:val="22"/>
          <w:szCs w:val="22"/>
        </w:rPr>
        <w:lastRenderedPageBreak/>
        <w:t>As the Consultation Paper notes, open interest in FX NDFs is concentrated in instruments with maturities shorter than one year; more than ninety-five percent of trading arises from the shorter tenors</w:t>
      </w:r>
      <w:r>
        <w:rPr>
          <w:rFonts w:ascii="Garamond" w:hAnsi="Garamond"/>
          <w:sz w:val="22"/>
          <w:szCs w:val="22"/>
        </w:rPr>
        <w:t xml:space="preserve"> with most of it concentrated in tenors shorter than 3 or 6 months</w:t>
      </w:r>
      <w:r w:rsidRPr="00EC2452">
        <w:rPr>
          <w:rFonts w:ascii="Garamond" w:hAnsi="Garamond"/>
          <w:sz w:val="22"/>
          <w:szCs w:val="22"/>
        </w:rPr>
        <w:t xml:space="preserve">.  </w:t>
      </w:r>
      <w:r>
        <w:rPr>
          <w:rFonts w:ascii="Garamond" w:hAnsi="Garamond"/>
          <w:sz w:val="22"/>
          <w:szCs w:val="22"/>
        </w:rPr>
        <w:t>The Consultation Paper acknowledges this distribution in the 11 proposed currency pairs on page 34, indicating that but for one pair, more than ninety percent of trading is in tenors 6 months or shorter.  In contrast</w:t>
      </w:r>
      <w:r w:rsidRPr="00EC2452">
        <w:rPr>
          <w:rFonts w:ascii="Garamond" w:hAnsi="Garamond"/>
          <w:sz w:val="22"/>
          <w:szCs w:val="22"/>
        </w:rPr>
        <w:t>, aggregating trade data from the DTCC and Bloomberg’s data repository, in the week from 15</w:t>
      </w:r>
      <w:r>
        <w:rPr>
          <w:rFonts w:ascii="Garamond" w:hAnsi="Garamond"/>
          <w:sz w:val="22"/>
          <w:szCs w:val="22"/>
        </w:rPr>
        <w:t> </w:t>
      </w:r>
      <w:r w:rsidRPr="00EC2452">
        <w:rPr>
          <w:rFonts w:ascii="Garamond" w:hAnsi="Garamond"/>
          <w:sz w:val="22"/>
          <w:szCs w:val="22"/>
        </w:rPr>
        <w:t>October to 22 October</w:t>
      </w:r>
      <w:r>
        <w:rPr>
          <w:rFonts w:ascii="Garamond" w:hAnsi="Garamond"/>
          <w:sz w:val="22"/>
          <w:szCs w:val="22"/>
        </w:rPr>
        <w:t xml:space="preserve"> in 2014</w:t>
      </w:r>
      <w:r w:rsidRPr="00EC2452">
        <w:rPr>
          <w:rFonts w:ascii="Garamond" w:hAnsi="Garamond"/>
          <w:sz w:val="22"/>
          <w:szCs w:val="22"/>
        </w:rPr>
        <w:t>, there were 4, 11, 5, and 2 total (cleared and uncleared) NDF transactions with tenors b</w:t>
      </w:r>
      <w:r>
        <w:rPr>
          <w:rFonts w:ascii="Garamond" w:hAnsi="Garamond"/>
          <w:sz w:val="22"/>
          <w:szCs w:val="22"/>
        </w:rPr>
        <w:t>etween 1Y and 2Y in BRL, INR, C</w:t>
      </w:r>
      <w:r w:rsidRPr="00EC2452">
        <w:rPr>
          <w:rFonts w:ascii="Garamond" w:hAnsi="Garamond"/>
          <w:sz w:val="22"/>
          <w:szCs w:val="22"/>
        </w:rPr>
        <w:t>N</w:t>
      </w:r>
      <w:r>
        <w:rPr>
          <w:rFonts w:ascii="Garamond" w:hAnsi="Garamond"/>
          <w:sz w:val="22"/>
          <w:szCs w:val="22"/>
        </w:rPr>
        <w:t>Y</w:t>
      </w:r>
      <w:r w:rsidRPr="00EC2452">
        <w:rPr>
          <w:rFonts w:ascii="Garamond" w:hAnsi="Garamond"/>
          <w:sz w:val="22"/>
          <w:szCs w:val="22"/>
        </w:rPr>
        <w:t>, and KRW, four of the more liquid NDF currencies.</w:t>
      </w:r>
      <w:r>
        <w:rPr>
          <w:rStyle w:val="FootnoteReference"/>
          <w:rFonts w:ascii="Garamond" w:hAnsi="Garamond"/>
          <w:sz w:val="22"/>
          <w:szCs w:val="22"/>
        </w:rPr>
        <w:footnoteReference w:id="22"/>
      </w:r>
      <w:r w:rsidRPr="00EC2452">
        <w:rPr>
          <w:rFonts w:ascii="Garamond" w:hAnsi="Garamond"/>
          <w:sz w:val="22"/>
          <w:szCs w:val="22"/>
        </w:rPr>
        <w:t xml:space="preserve">  As such, GFXD believes that longer-dated instruments, </w:t>
      </w:r>
      <w:r>
        <w:rPr>
          <w:rFonts w:ascii="Garamond" w:hAnsi="Garamond"/>
          <w:sz w:val="22"/>
          <w:szCs w:val="22"/>
        </w:rPr>
        <w:t xml:space="preserve">those in excess of 6 months or 1 year, </w:t>
      </w:r>
      <w:r w:rsidRPr="00EC2452">
        <w:rPr>
          <w:rFonts w:ascii="Garamond" w:hAnsi="Garamond"/>
          <w:sz w:val="22"/>
          <w:szCs w:val="22"/>
        </w:rPr>
        <w:t xml:space="preserve">at this time, do not have sufficient liquidity to support clearing.  </w:t>
      </w:r>
    </w:p>
    <w:p w:rsidR="00472841" w:rsidRDefault="00472841" w:rsidP="00472841">
      <w:pPr>
        <w:jc w:val="both"/>
        <w:rPr>
          <w:rFonts w:ascii="Garamond" w:hAnsi="Garamond"/>
          <w:sz w:val="22"/>
          <w:szCs w:val="22"/>
        </w:rPr>
      </w:pPr>
    </w:p>
    <w:p w:rsidR="00CC1C71" w:rsidRPr="00472841" w:rsidRDefault="00472841" w:rsidP="00472841">
      <w:pPr>
        <w:jc w:val="both"/>
        <w:rPr>
          <w:rFonts w:ascii="Garamond" w:hAnsi="Garamond"/>
          <w:sz w:val="22"/>
          <w:szCs w:val="22"/>
        </w:rPr>
      </w:pPr>
      <w:r w:rsidRPr="00EC2452">
        <w:rPr>
          <w:rFonts w:ascii="Garamond" w:hAnsi="Garamond"/>
          <w:sz w:val="22"/>
          <w:szCs w:val="22"/>
        </w:rPr>
        <w:t xml:space="preserve">GFXD appreciates the concerns raised in the Consultation Paper with establishing a one-year tenor cut-off – that market participants may structure trades to be just over one year to avoid a clearing obligation.  </w:t>
      </w:r>
      <w:r>
        <w:rPr>
          <w:rFonts w:ascii="Garamond" w:hAnsi="Garamond"/>
          <w:sz w:val="22"/>
          <w:szCs w:val="22"/>
        </w:rPr>
        <w:t>However, GFXD believes that other factors may disincentivise any efforts to structure around a cut-off for shorter-dated tenors.  As the Consultation Paper notes, the overwhelming majority of FX NDF contracts have a maturity of less than 6 months.  The phase-in of margin requirements for uncleared derivative transactions will begin at the end of 2015, which will increase the cost of continuing to transact FX NDFs bilaterally.  (ESMA</w:t>
      </w:r>
      <w:r w:rsidRPr="00EC2452">
        <w:rPr>
          <w:rFonts w:ascii="Garamond" w:hAnsi="Garamond"/>
          <w:sz w:val="22"/>
          <w:szCs w:val="22"/>
        </w:rPr>
        <w:t xml:space="preserve"> </w:t>
      </w:r>
      <w:r>
        <w:rPr>
          <w:rFonts w:ascii="Garamond" w:hAnsi="Garamond"/>
          <w:sz w:val="22"/>
          <w:szCs w:val="22"/>
        </w:rPr>
        <w:t xml:space="preserve">could perhaps also consider adopting </w:t>
      </w:r>
      <w:r w:rsidRPr="00EC2452">
        <w:rPr>
          <w:rFonts w:ascii="Garamond" w:hAnsi="Garamond"/>
          <w:sz w:val="22"/>
          <w:szCs w:val="22"/>
        </w:rPr>
        <w:t xml:space="preserve">a cut-off that is slightly longer than one year (e.g., </w:t>
      </w:r>
      <w:r>
        <w:rPr>
          <w:rFonts w:ascii="Garamond" w:hAnsi="Garamond"/>
          <w:sz w:val="22"/>
          <w:szCs w:val="22"/>
        </w:rPr>
        <w:t>the Singapore Stock Exchange (“</w:t>
      </w:r>
      <w:r w:rsidRPr="00DF25B5">
        <w:rPr>
          <w:rFonts w:ascii="Garamond" w:hAnsi="Garamond"/>
          <w:sz w:val="22"/>
          <w:szCs w:val="22"/>
          <w:u w:val="single"/>
        </w:rPr>
        <w:t>SGX</w:t>
      </w:r>
      <w:r>
        <w:rPr>
          <w:rFonts w:ascii="Garamond" w:hAnsi="Garamond"/>
          <w:sz w:val="22"/>
          <w:szCs w:val="22"/>
        </w:rPr>
        <w:t xml:space="preserve">”) </w:t>
      </w:r>
      <w:r w:rsidRPr="00EC2452">
        <w:rPr>
          <w:rFonts w:ascii="Garamond" w:hAnsi="Garamond"/>
          <w:sz w:val="22"/>
          <w:szCs w:val="22"/>
        </w:rPr>
        <w:t>currently lists 7 currencies for FX NDF clearing on its website, all against USD, out to 375 days).  Adopting this kind of cut-off may help to address any concerns with evasive behaviour without unnecessarily introducing the risk associated with clearing illiquid products to the CCPs.</w:t>
      </w:r>
      <w:bookmarkStart w:id="18" w:name="_Ref402181719"/>
      <w:r w:rsidRPr="00EC2452">
        <w:rPr>
          <w:rStyle w:val="FootnoteReference"/>
          <w:rFonts w:ascii="Garamond" w:hAnsi="Garamond"/>
          <w:sz w:val="22"/>
          <w:szCs w:val="22"/>
        </w:rPr>
        <w:footnoteReference w:id="23"/>
      </w:r>
      <w:bookmarkEnd w:id="18"/>
      <w:r>
        <w:rPr>
          <w:rFonts w:ascii="Garamond" w:hAnsi="Garamond"/>
          <w:sz w:val="22"/>
          <w:szCs w:val="22"/>
        </w:rPr>
        <w:t>)</w:t>
      </w:r>
    </w:p>
    <w:permEnd w:id="7"/>
    <w:p w:rsidR="00CC1C71" w:rsidRDefault="00CC1C71" w:rsidP="00CC1C71">
      <w:r>
        <w:t>&lt;ESMA_CO3_QUESTION_4&gt;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9" w:name="_Toc398140747"/>
      <w:r w:rsidRPr="00412C4C">
        <w:lastRenderedPageBreak/>
        <w:t xml:space="preserve">Determination of the </w:t>
      </w:r>
      <w:r>
        <w:t xml:space="preserve">dates on which the obligation applies and </w:t>
      </w:r>
      <w:r w:rsidRPr="00412C4C">
        <w:t>the categories of cou</w:t>
      </w:r>
      <w:r w:rsidRPr="00412C4C">
        <w:t>n</w:t>
      </w:r>
      <w:r w:rsidRPr="00412C4C">
        <w:t>terparties</w:t>
      </w:r>
      <w:bookmarkEnd w:id="19"/>
    </w:p>
    <w:p w:rsidR="00CC1C71" w:rsidRDefault="00CC1C71" w:rsidP="00CC1C71"/>
    <w:p w:rsidR="00CC1C71" w:rsidRPr="00284213" w:rsidRDefault="00CC1C71" w:rsidP="00CC1C71">
      <w:pPr>
        <w:pStyle w:val="Heading5"/>
      </w:pPr>
      <w:r>
        <w:t xml:space="preserve"> Do you have any comment on the analysis presented in Section </w:t>
      </w:r>
      <w:r w:rsidR="00AE1D87">
        <w:fldChar w:fldCharType="begin"/>
      </w:r>
      <w:r>
        <w:instrText xml:space="preserve"> REF _Ref392684359 \r \h </w:instrText>
      </w:r>
      <w:r w:rsidR="00AE1D87">
        <w:fldChar w:fldCharType="separate"/>
      </w:r>
      <w:r>
        <w:t>4.1</w:t>
      </w:r>
      <w:r w:rsidR="00AE1D87">
        <w:fldChar w:fldCharType="end"/>
      </w:r>
      <w:r>
        <w:t>?</w:t>
      </w:r>
    </w:p>
    <w:p w:rsidR="00CC1C71" w:rsidRDefault="00CC1C71" w:rsidP="00CC1C71"/>
    <w:p w:rsidR="00CC1C71" w:rsidRDefault="00CC1C71" w:rsidP="00CC1C71">
      <w:r>
        <w:t>&lt;ESMA_CO3_QUESTION_5&gt;</w:t>
      </w:r>
    </w:p>
    <w:p w:rsidR="00472841" w:rsidRPr="00EC2452" w:rsidRDefault="00472841" w:rsidP="00472841">
      <w:pPr>
        <w:jc w:val="both"/>
        <w:rPr>
          <w:rFonts w:ascii="Garamond" w:hAnsi="Garamond"/>
          <w:sz w:val="22"/>
          <w:szCs w:val="22"/>
        </w:rPr>
      </w:pPr>
      <w:permStart w:id="8" w:edGrp="everyone"/>
      <w:r w:rsidRPr="00EC2452">
        <w:rPr>
          <w:rFonts w:ascii="Garamond" w:hAnsi="Garamond"/>
          <w:sz w:val="22"/>
          <w:szCs w:val="22"/>
        </w:rPr>
        <w:t>As noted in the Consultation Paper and our response to Question 3 above, the current proportion of cleared FX NDF turnover is relatively limited and NDF clearing is relatively recent.  Although the Consultation Paper further notes that “[i]t can therefore be expected that the CCPs have developed their clearing offer for NDF taking into account the expected volumes that the clearing obligation would bring” and “scalability of the CCPs is part of the authori</w:t>
      </w:r>
      <w:r>
        <w:rPr>
          <w:rFonts w:ascii="Garamond" w:hAnsi="Garamond"/>
          <w:sz w:val="22"/>
          <w:szCs w:val="22"/>
        </w:rPr>
        <w:t>s</w:t>
      </w:r>
      <w:r w:rsidRPr="00EC2452">
        <w:rPr>
          <w:rFonts w:ascii="Garamond" w:hAnsi="Garamond"/>
          <w:sz w:val="22"/>
          <w:szCs w:val="22"/>
        </w:rPr>
        <w:t>ation process of CCPs under EMIR which in the case of LCH taken place r</w:t>
      </w:r>
      <w:r w:rsidRPr="00EC2452">
        <w:rPr>
          <w:rFonts w:ascii="Garamond" w:hAnsi="Garamond"/>
          <w:sz w:val="22"/>
          <w:szCs w:val="22"/>
        </w:rPr>
        <w:t>e</w:t>
      </w:r>
      <w:r w:rsidRPr="00EC2452">
        <w:rPr>
          <w:rFonts w:ascii="Garamond" w:hAnsi="Garamond"/>
          <w:sz w:val="22"/>
          <w:szCs w:val="22"/>
        </w:rPr>
        <w:t>cently,” there are significant differences between clearing a class of products that is relatively new – which is the case for FX N</w:t>
      </w:r>
      <w:r>
        <w:rPr>
          <w:rFonts w:ascii="Garamond" w:hAnsi="Garamond"/>
          <w:sz w:val="22"/>
          <w:szCs w:val="22"/>
        </w:rPr>
        <w:t xml:space="preserve">DFs – </w:t>
      </w:r>
      <w:r w:rsidRPr="00EC2452">
        <w:rPr>
          <w:rFonts w:ascii="Garamond" w:hAnsi="Garamond"/>
          <w:sz w:val="22"/>
          <w:szCs w:val="22"/>
        </w:rPr>
        <w:t>and a class of products with which both the CCP</w:t>
      </w:r>
      <w:r>
        <w:rPr>
          <w:rFonts w:ascii="Garamond" w:hAnsi="Garamond"/>
          <w:sz w:val="22"/>
          <w:szCs w:val="22"/>
        </w:rPr>
        <w:t xml:space="preserve">(s) </w:t>
      </w:r>
      <w:r w:rsidRPr="00EC2452">
        <w:rPr>
          <w:rFonts w:ascii="Garamond" w:hAnsi="Garamond"/>
          <w:sz w:val="22"/>
          <w:szCs w:val="22"/>
        </w:rPr>
        <w:t xml:space="preserve">and market participants have developed experience and comfort – such as IRS and CDS – especially in the context of a mandatory clearing obligation.  </w:t>
      </w:r>
    </w:p>
    <w:p w:rsidR="00472841" w:rsidRPr="00EC2452" w:rsidRDefault="00472841" w:rsidP="00472841">
      <w:pPr>
        <w:jc w:val="both"/>
        <w:rPr>
          <w:rFonts w:ascii="Garamond" w:hAnsi="Garamond"/>
          <w:sz w:val="22"/>
          <w:szCs w:val="22"/>
        </w:rPr>
      </w:pPr>
    </w:p>
    <w:p w:rsidR="00472841" w:rsidRPr="00EC2452" w:rsidRDefault="00472841" w:rsidP="00472841">
      <w:pPr>
        <w:jc w:val="both"/>
        <w:rPr>
          <w:rFonts w:ascii="Garamond" w:hAnsi="Garamond"/>
          <w:sz w:val="22"/>
          <w:szCs w:val="22"/>
        </w:rPr>
      </w:pPr>
      <w:r w:rsidRPr="00EC2452">
        <w:rPr>
          <w:rFonts w:ascii="Garamond" w:hAnsi="Garamond"/>
          <w:b/>
          <w:i/>
          <w:sz w:val="22"/>
          <w:szCs w:val="22"/>
        </w:rPr>
        <w:t xml:space="preserve">Supervisory considerations concerning a potential clearing mandate are materially different when clearing services for the product are in their infancy.  </w:t>
      </w:r>
      <w:r w:rsidRPr="00EC2452">
        <w:rPr>
          <w:rFonts w:ascii="Garamond" w:hAnsi="Garamond"/>
          <w:sz w:val="22"/>
          <w:szCs w:val="22"/>
        </w:rPr>
        <w:t>Further, we believe that considerations a supervisor of a CCP would analy</w:t>
      </w:r>
      <w:r>
        <w:rPr>
          <w:rFonts w:ascii="Garamond" w:hAnsi="Garamond"/>
          <w:sz w:val="22"/>
          <w:szCs w:val="22"/>
        </w:rPr>
        <w:t>s</w:t>
      </w:r>
      <w:r w:rsidRPr="00EC2452">
        <w:rPr>
          <w:rFonts w:ascii="Garamond" w:hAnsi="Garamond"/>
          <w:sz w:val="22"/>
          <w:szCs w:val="22"/>
        </w:rPr>
        <w:t>e in the context of authori</w:t>
      </w:r>
      <w:r>
        <w:rPr>
          <w:rFonts w:ascii="Garamond" w:hAnsi="Garamond"/>
          <w:sz w:val="22"/>
          <w:szCs w:val="22"/>
        </w:rPr>
        <w:t>s</w:t>
      </w:r>
      <w:r w:rsidRPr="00EC2452">
        <w:rPr>
          <w:rFonts w:ascii="Garamond" w:hAnsi="Garamond"/>
          <w:sz w:val="22"/>
          <w:szCs w:val="22"/>
        </w:rPr>
        <w:t>ing a CCP to commence its services for a class of contracts is different from the considerations a supervisor would analy</w:t>
      </w:r>
      <w:r>
        <w:rPr>
          <w:rFonts w:ascii="Garamond" w:hAnsi="Garamond"/>
          <w:sz w:val="22"/>
          <w:szCs w:val="22"/>
        </w:rPr>
        <w:t>s</w:t>
      </w:r>
      <w:r w:rsidRPr="00EC2452">
        <w:rPr>
          <w:rFonts w:ascii="Garamond" w:hAnsi="Garamond"/>
          <w:sz w:val="22"/>
          <w:szCs w:val="22"/>
        </w:rPr>
        <w:t>e in the context of a clearing mandate.  Permi</w:t>
      </w:r>
      <w:r w:rsidRPr="00EC2452">
        <w:rPr>
          <w:rFonts w:ascii="Garamond" w:hAnsi="Garamond"/>
          <w:sz w:val="22"/>
          <w:szCs w:val="22"/>
        </w:rPr>
        <w:t>t</w:t>
      </w:r>
      <w:r w:rsidRPr="00EC2452">
        <w:rPr>
          <w:rFonts w:ascii="Garamond" w:hAnsi="Garamond"/>
          <w:sz w:val="22"/>
          <w:szCs w:val="22"/>
        </w:rPr>
        <w:t>ting a CCP to offer clearing of a product results in the small-scale offering of services which may grow over time.  A clearing mandate, in contrast, would likely dramatically increase the volume/value of contracts pro</w:t>
      </w:r>
      <w:r w:rsidRPr="00EC2452">
        <w:rPr>
          <w:rFonts w:ascii="Garamond" w:hAnsi="Garamond"/>
          <w:sz w:val="22"/>
          <w:szCs w:val="22"/>
        </w:rPr>
        <w:t>c</w:t>
      </w:r>
      <w:r w:rsidRPr="00EC2452">
        <w:rPr>
          <w:rFonts w:ascii="Garamond" w:hAnsi="Garamond"/>
          <w:sz w:val="22"/>
          <w:szCs w:val="22"/>
        </w:rPr>
        <w:t xml:space="preserve">essed by </w:t>
      </w:r>
      <w:r>
        <w:rPr>
          <w:rFonts w:ascii="Garamond" w:hAnsi="Garamond"/>
          <w:sz w:val="22"/>
          <w:szCs w:val="22"/>
        </w:rPr>
        <w:t xml:space="preserve">CCPs authorised to clear such contracts (presently there is only LCH) </w:t>
      </w:r>
      <w:r w:rsidRPr="00EC2452">
        <w:rPr>
          <w:rFonts w:ascii="Garamond" w:hAnsi="Garamond"/>
          <w:sz w:val="22"/>
          <w:szCs w:val="22"/>
        </w:rPr>
        <w:t>and rigorously test the resi</w:t>
      </w:r>
      <w:r w:rsidRPr="00EC2452">
        <w:rPr>
          <w:rFonts w:ascii="Garamond" w:hAnsi="Garamond"/>
          <w:sz w:val="22"/>
          <w:szCs w:val="22"/>
        </w:rPr>
        <w:t>l</w:t>
      </w:r>
      <w:r w:rsidRPr="00EC2452">
        <w:rPr>
          <w:rFonts w:ascii="Garamond" w:hAnsi="Garamond"/>
          <w:sz w:val="22"/>
          <w:szCs w:val="22"/>
        </w:rPr>
        <w:t>ience and robustness of its design in that context (e.g., default of clearing firms, liquidity available to close out, potential loss if significant position being liquidated/wound-down, etc.).</w:t>
      </w:r>
      <w:r>
        <w:rPr>
          <w:rStyle w:val="FootnoteReference"/>
          <w:rFonts w:ascii="Garamond" w:hAnsi="Garamond"/>
          <w:sz w:val="22"/>
          <w:szCs w:val="22"/>
        </w:rPr>
        <w:footnoteReference w:id="24"/>
      </w:r>
    </w:p>
    <w:p w:rsidR="00472841" w:rsidRPr="00EC2452" w:rsidRDefault="00472841" w:rsidP="00472841">
      <w:pPr>
        <w:jc w:val="both"/>
        <w:rPr>
          <w:rFonts w:ascii="Garamond" w:hAnsi="Garamond"/>
          <w:sz w:val="22"/>
          <w:szCs w:val="22"/>
        </w:rPr>
      </w:pPr>
    </w:p>
    <w:p w:rsidR="00472841" w:rsidRDefault="00472841" w:rsidP="00472841">
      <w:pPr>
        <w:jc w:val="both"/>
        <w:rPr>
          <w:rFonts w:ascii="Garamond" w:hAnsi="Garamond"/>
          <w:sz w:val="22"/>
          <w:szCs w:val="22"/>
        </w:rPr>
      </w:pPr>
      <w:r w:rsidRPr="00EC2452">
        <w:rPr>
          <w:rFonts w:ascii="Garamond" w:hAnsi="Garamond"/>
          <w:b/>
          <w:i/>
          <w:sz w:val="22"/>
          <w:szCs w:val="22"/>
        </w:rPr>
        <w:t xml:space="preserve">FX NDF clearing </w:t>
      </w:r>
      <w:r>
        <w:rPr>
          <w:rFonts w:ascii="Garamond" w:hAnsi="Garamond"/>
          <w:b/>
          <w:i/>
          <w:sz w:val="22"/>
          <w:szCs w:val="22"/>
        </w:rPr>
        <w:t xml:space="preserve">is in its infancy and therefore </w:t>
      </w:r>
      <w:r w:rsidRPr="00EC2452">
        <w:rPr>
          <w:rFonts w:ascii="Garamond" w:hAnsi="Garamond"/>
          <w:b/>
          <w:i/>
          <w:sz w:val="22"/>
          <w:szCs w:val="22"/>
        </w:rPr>
        <w:t xml:space="preserve">has not achieved the same depth as IRS and CDS clearing had when the clearing mandate was </w:t>
      </w:r>
      <w:r>
        <w:rPr>
          <w:rFonts w:ascii="Garamond" w:hAnsi="Garamond"/>
          <w:b/>
          <w:i/>
          <w:sz w:val="22"/>
          <w:szCs w:val="22"/>
        </w:rPr>
        <w:t>introduced to</w:t>
      </w:r>
      <w:r w:rsidRPr="00EC2452">
        <w:rPr>
          <w:rFonts w:ascii="Garamond" w:hAnsi="Garamond"/>
          <w:b/>
          <w:i/>
          <w:sz w:val="22"/>
          <w:szCs w:val="22"/>
        </w:rPr>
        <w:t xml:space="preserve"> those asset classes.</w:t>
      </w:r>
      <w:r w:rsidRPr="00EC2452">
        <w:rPr>
          <w:rFonts w:ascii="Garamond" w:hAnsi="Garamond"/>
          <w:sz w:val="22"/>
          <w:szCs w:val="22"/>
        </w:rPr>
        <w:t xml:space="preserve">  In contrast to FX NDF clearing which was first launched in 2011/2012, IRS and CDS contracts began voluntarily clearing in 1999 and 2009.  At the time when the first clearing mandates were introduced, approximately 60% of the IRS contracts and 30% of CDS contracts were being voluntarily cleared.</w:t>
      </w:r>
      <w:r w:rsidRPr="00EC2452">
        <w:rPr>
          <w:rStyle w:val="FootnoteReference"/>
          <w:rFonts w:ascii="Garamond" w:hAnsi="Garamond"/>
          <w:sz w:val="22"/>
          <w:szCs w:val="22"/>
        </w:rPr>
        <w:footnoteReference w:id="25"/>
      </w:r>
      <w:r w:rsidRPr="00EC2452">
        <w:rPr>
          <w:rFonts w:ascii="Garamond" w:hAnsi="Garamond"/>
          <w:sz w:val="22"/>
          <w:szCs w:val="22"/>
        </w:rPr>
        <w:t xml:space="preserve">  This differential can be explained by the intr</w:t>
      </w:r>
      <w:r w:rsidRPr="00EC2452">
        <w:rPr>
          <w:rFonts w:ascii="Garamond" w:hAnsi="Garamond"/>
          <w:sz w:val="22"/>
          <w:szCs w:val="22"/>
        </w:rPr>
        <w:t>o</w:t>
      </w:r>
      <w:r w:rsidRPr="00EC2452">
        <w:rPr>
          <w:rFonts w:ascii="Garamond" w:hAnsi="Garamond"/>
          <w:sz w:val="22"/>
          <w:szCs w:val="22"/>
        </w:rPr>
        <w:t xml:space="preserve">duction of clearing for CDS only five years ago, and 10 years after the introduction of clearing for IRS.  </w:t>
      </w:r>
      <w:r>
        <w:rPr>
          <w:rFonts w:ascii="Garamond" w:hAnsi="Garamond"/>
          <w:sz w:val="22"/>
          <w:szCs w:val="22"/>
        </w:rPr>
        <w:t>V</w:t>
      </w:r>
      <w:r w:rsidRPr="00EC2452">
        <w:rPr>
          <w:rFonts w:ascii="Garamond" w:hAnsi="Garamond"/>
          <w:sz w:val="22"/>
          <w:szCs w:val="22"/>
        </w:rPr>
        <w:t>oluntary clearing has not expanded to the same degree</w:t>
      </w:r>
      <w:r>
        <w:rPr>
          <w:rFonts w:ascii="Garamond" w:hAnsi="Garamond"/>
          <w:sz w:val="22"/>
          <w:szCs w:val="22"/>
        </w:rPr>
        <w:t xml:space="preserve"> for FX NDFs, which represent 2.4% of the average daily turnover of the OTC FX market, </w:t>
      </w:r>
      <w:r w:rsidRPr="00EC2452">
        <w:rPr>
          <w:rFonts w:ascii="Garamond" w:hAnsi="Garamond"/>
          <w:sz w:val="22"/>
          <w:szCs w:val="22"/>
        </w:rPr>
        <w:t>as it did in rates and credit</w:t>
      </w:r>
      <w:r>
        <w:rPr>
          <w:rFonts w:ascii="Garamond" w:hAnsi="Garamond"/>
          <w:sz w:val="22"/>
          <w:szCs w:val="22"/>
        </w:rPr>
        <w:t xml:space="preserve"> and </w:t>
      </w:r>
      <w:r w:rsidRPr="00EC2452">
        <w:rPr>
          <w:rFonts w:ascii="Garamond" w:hAnsi="Garamond"/>
          <w:sz w:val="22"/>
          <w:szCs w:val="22"/>
        </w:rPr>
        <w:t>is estimated to be 0.4%-3.6% depen</w:t>
      </w:r>
      <w:r w:rsidRPr="00EC2452">
        <w:rPr>
          <w:rFonts w:ascii="Garamond" w:hAnsi="Garamond"/>
          <w:sz w:val="22"/>
          <w:szCs w:val="22"/>
        </w:rPr>
        <w:t>d</w:t>
      </w:r>
      <w:r w:rsidRPr="00EC2452">
        <w:rPr>
          <w:rFonts w:ascii="Garamond" w:hAnsi="Garamond"/>
          <w:sz w:val="22"/>
          <w:szCs w:val="22"/>
        </w:rPr>
        <w:t xml:space="preserve">ing on the currencies involved.  Clearing services for IRS and CDS contracts were able to mature and, through experience and time, resolve a number of issues before clearing mandates were ultimately imposed/considered for those markets as a result of G20 derivatives reform.  </w:t>
      </w:r>
      <w:r>
        <w:rPr>
          <w:rFonts w:ascii="Garamond" w:hAnsi="Garamond"/>
          <w:sz w:val="22"/>
          <w:szCs w:val="22"/>
        </w:rPr>
        <w:t>In addition, e</w:t>
      </w:r>
      <w:r w:rsidRPr="00042700">
        <w:rPr>
          <w:rFonts w:ascii="Garamond" w:hAnsi="Garamond"/>
          <w:sz w:val="22"/>
          <w:szCs w:val="22"/>
        </w:rPr>
        <w:t>ntities transitioning to clearing for FX NDF contracts are likely to be far less familiar with clearing</w:t>
      </w:r>
      <w:r>
        <w:rPr>
          <w:rFonts w:ascii="Garamond" w:hAnsi="Garamond"/>
          <w:sz w:val="22"/>
          <w:szCs w:val="22"/>
        </w:rPr>
        <w:t xml:space="preserve">.  Because </w:t>
      </w:r>
      <w:r w:rsidRPr="00042700">
        <w:rPr>
          <w:rFonts w:ascii="Garamond" w:hAnsi="Garamond"/>
          <w:sz w:val="22"/>
          <w:szCs w:val="22"/>
        </w:rPr>
        <w:t>FX NDF contracts are often used to hedge currency risk associated with underlying commercial activity in emerging market jurisdictions with restricted currencies, many entities which will be subject to an FX NDF clearing obligation will not be subject to an existing / proposed I</w:t>
      </w:r>
      <w:r>
        <w:rPr>
          <w:rFonts w:ascii="Garamond" w:hAnsi="Garamond"/>
          <w:sz w:val="22"/>
          <w:szCs w:val="22"/>
        </w:rPr>
        <w:t>RS or CDS clearing obligation.</w:t>
      </w:r>
    </w:p>
    <w:p w:rsidR="00472841" w:rsidRDefault="00472841" w:rsidP="00472841">
      <w:pPr>
        <w:jc w:val="both"/>
        <w:rPr>
          <w:rFonts w:ascii="Garamond" w:hAnsi="Garamond"/>
          <w:sz w:val="22"/>
          <w:szCs w:val="22"/>
        </w:rPr>
      </w:pPr>
    </w:p>
    <w:p w:rsidR="00472841" w:rsidRPr="00EC2452" w:rsidRDefault="00472841" w:rsidP="00472841">
      <w:pPr>
        <w:jc w:val="both"/>
        <w:rPr>
          <w:rFonts w:ascii="Garamond" w:hAnsi="Garamond"/>
          <w:i/>
          <w:sz w:val="22"/>
          <w:szCs w:val="22"/>
        </w:rPr>
      </w:pPr>
      <w:r w:rsidRPr="00EC2452">
        <w:rPr>
          <w:rFonts w:ascii="Garamond" w:hAnsi="Garamond"/>
          <w:b/>
          <w:i/>
          <w:sz w:val="22"/>
          <w:szCs w:val="22"/>
        </w:rPr>
        <w:t>Key technical matters remain unresolved.</w:t>
      </w:r>
      <w:r w:rsidRPr="00EC2452">
        <w:rPr>
          <w:rFonts w:ascii="Garamond" w:hAnsi="Garamond"/>
          <w:sz w:val="22"/>
          <w:szCs w:val="22"/>
        </w:rPr>
        <w:t xml:space="preserve">  Regardless of the precise timing, GFXD believes there are certain key technical matters which need to be resolved before any clearing mandate becomes binding.  These include: </w:t>
      </w:r>
    </w:p>
    <w:p w:rsidR="00472841" w:rsidRPr="00EC2452" w:rsidRDefault="00472841" w:rsidP="00472841">
      <w:pPr>
        <w:pStyle w:val="NormalWeb"/>
        <w:numPr>
          <w:ilvl w:val="1"/>
          <w:numId w:val="40"/>
        </w:numPr>
        <w:shd w:val="clear" w:color="auto" w:fill="FFFFFF"/>
        <w:ind w:left="720"/>
        <w:jc w:val="both"/>
        <w:rPr>
          <w:rFonts w:ascii="Garamond" w:hAnsi="Garamond"/>
          <w:sz w:val="22"/>
          <w:szCs w:val="22"/>
        </w:rPr>
      </w:pPr>
      <w:r w:rsidRPr="00EC2452">
        <w:rPr>
          <w:rFonts w:ascii="Garamond" w:hAnsi="Garamond"/>
          <w:sz w:val="22"/>
          <w:szCs w:val="22"/>
          <w:u w:val="single"/>
        </w:rPr>
        <w:lastRenderedPageBreak/>
        <w:t>Proper and uniform adoption / application of standardised terms</w:t>
      </w:r>
      <w:r w:rsidRPr="00EC2452">
        <w:rPr>
          <w:rFonts w:ascii="Garamond" w:hAnsi="Garamond"/>
          <w:sz w:val="22"/>
          <w:szCs w:val="22"/>
        </w:rPr>
        <w:t xml:space="preserve">.  We address this issue more fully in our response to </w:t>
      </w:r>
      <w:r>
        <w:rPr>
          <w:rFonts w:ascii="Garamond" w:hAnsi="Garamond"/>
          <w:sz w:val="22"/>
          <w:szCs w:val="22"/>
        </w:rPr>
        <w:t>Question 2</w:t>
      </w:r>
      <w:r w:rsidRPr="00EC2452">
        <w:rPr>
          <w:rFonts w:ascii="Garamond" w:hAnsi="Garamond"/>
          <w:sz w:val="22"/>
          <w:szCs w:val="22"/>
        </w:rPr>
        <w:t>.</w:t>
      </w:r>
    </w:p>
    <w:p w:rsidR="00472841" w:rsidRPr="000363E8" w:rsidRDefault="00472841" w:rsidP="00472841">
      <w:pPr>
        <w:pStyle w:val="NormalWeb"/>
        <w:numPr>
          <w:ilvl w:val="1"/>
          <w:numId w:val="40"/>
        </w:numPr>
        <w:shd w:val="clear" w:color="auto" w:fill="FFFFFF"/>
        <w:spacing w:before="240" w:beforeAutospacing="0"/>
        <w:ind w:left="720"/>
        <w:jc w:val="both"/>
        <w:rPr>
          <w:rFonts w:ascii="Garamond" w:hAnsi="Garamond"/>
          <w:sz w:val="22"/>
          <w:szCs w:val="22"/>
        </w:rPr>
      </w:pPr>
      <w:r w:rsidRPr="00052A78">
        <w:rPr>
          <w:rFonts w:ascii="Garamond" w:hAnsi="Garamond"/>
          <w:sz w:val="22"/>
          <w:szCs w:val="22"/>
          <w:u w:val="single"/>
        </w:rPr>
        <w:t>Additonal CCPs offering clearing</w:t>
      </w:r>
      <w:r>
        <w:rPr>
          <w:rFonts w:ascii="Garamond" w:hAnsi="Garamond"/>
          <w:sz w:val="22"/>
          <w:szCs w:val="22"/>
        </w:rPr>
        <w:t xml:space="preserve">.  </w:t>
      </w:r>
      <w:r w:rsidRPr="000363E8">
        <w:rPr>
          <w:rFonts w:ascii="Garamond" w:hAnsi="Garamond"/>
          <w:sz w:val="22"/>
          <w:szCs w:val="22"/>
        </w:rPr>
        <w:t xml:space="preserve">The Consultation Paper notes that there is currently only one CCP </w:t>
      </w:r>
      <w:r>
        <w:rPr>
          <w:rFonts w:ascii="Garamond" w:hAnsi="Garamond"/>
          <w:sz w:val="22"/>
          <w:szCs w:val="22"/>
        </w:rPr>
        <w:t xml:space="preserve">authorised to clear </w:t>
      </w:r>
      <w:r w:rsidRPr="000363E8">
        <w:rPr>
          <w:rFonts w:ascii="Garamond" w:hAnsi="Garamond"/>
          <w:sz w:val="22"/>
          <w:szCs w:val="22"/>
        </w:rPr>
        <w:t>FX NDFs</w:t>
      </w:r>
      <w:r>
        <w:rPr>
          <w:rFonts w:ascii="Garamond" w:hAnsi="Garamond"/>
          <w:sz w:val="22"/>
          <w:szCs w:val="22"/>
        </w:rPr>
        <w:t xml:space="preserve"> in Europe</w:t>
      </w:r>
      <w:r w:rsidRPr="000363E8">
        <w:rPr>
          <w:rFonts w:ascii="Garamond" w:hAnsi="Garamond"/>
          <w:sz w:val="22"/>
          <w:szCs w:val="22"/>
        </w:rPr>
        <w:t xml:space="preserve">, but that two others are in the process of listing contracts for clearing.  </w:t>
      </w:r>
      <w:r>
        <w:rPr>
          <w:rFonts w:ascii="Garamond" w:hAnsi="Garamond"/>
          <w:sz w:val="22"/>
          <w:szCs w:val="22"/>
        </w:rPr>
        <w:t>S</w:t>
      </w:r>
      <w:r w:rsidRPr="000363E8">
        <w:rPr>
          <w:rFonts w:ascii="Garamond" w:hAnsi="Garamond"/>
          <w:sz w:val="22"/>
          <w:szCs w:val="22"/>
        </w:rPr>
        <w:t>hould these additional CCPs not offer FX NDF</w:t>
      </w:r>
      <w:r>
        <w:rPr>
          <w:rFonts w:ascii="Garamond" w:hAnsi="Garamond"/>
          <w:sz w:val="22"/>
          <w:szCs w:val="22"/>
        </w:rPr>
        <w:t xml:space="preserve"> clearing</w:t>
      </w:r>
      <w:r w:rsidRPr="000363E8">
        <w:rPr>
          <w:rFonts w:ascii="Garamond" w:hAnsi="Garamond"/>
          <w:sz w:val="22"/>
          <w:szCs w:val="22"/>
        </w:rPr>
        <w:t>, it would be imprudent to ma</w:t>
      </w:r>
      <w:r w:rsidRPr="000363E8">
        <w:rPr>
          <w:rFonts w:ascii="Garamond" w:hAnsi="Garamond"/>
          <w:sz w:val="22"/>
          <w:szCs w:val="22"/>
        </w:rPr>
        <w:t>n</w:t>
      </w:r>
      <w:r w:rsidRPr="000363E8">
        <w:rPr>
          <w:rFonts w:ascii="Garamond" w:hAnsi="Garamond"/>
          <w:sz w:val="22"/>
          <w:szCs w:val="22"/>
        </w:rPr>
        <w:t>date clearing through a single CCP</w:t>
      </w:r>
      <w:r>
        <w:rPr>
          <w:rFonts w:ascii="Garamond" w:hAnsi="Garamond"/>
          <w:sz w:val="22"/>
          <w:szCs w:val="22"/>
        </w:rPr>
        <w:t xml:space="preserve"> due to the concentration risk issues raised in our response to Question 3.</w:t>
      </w:r>
    </w:p>
    <w:p w:rsidR="00472841" w:rsidRDefault="00472841" w:rsidP="00472841">
      <w:pPr>
        <w:pStyle w:val="NormalWeb"/>
        <w:numPr>
          <w:ilvl w:val="1"/>
          <w:numId w:val="40"/>
        </w:numPr>
        <w:shd w:val="clear" w:color="auto" w:fill="FFFFFF"/>
        <w:spacing w:before="240" w:beforeAutospacing="0"/>
        <w:ind w:left="720"/>
        <w:jc w:val="both"/>
        <w:rPr>
          <w:rFonts w:ascii="Garamond" w:hAnsi="Garamond"/>
          <w:sz w:val="22"/>
          <w:szCs w:val="22"/>
        </w:rPr>
      </w:pPr>
      <w:r w:rsidRPr="00EC2452">
        <w:rPr>
          <w:rFonts w:ascii="Garamond" w:hAnsi="Garamond"/>
          <w:sz w:val="22"/>
          <w:szCs w:val="22"/>
          <w:u w:val="single"/>
        </w:rPr>
        <w:t>Certainty of clearing.</w:t>
      </w:r>
      <w:r w:rsidRPr="00EC2452">
        <w:rPr>
          <w:rFonts w:ascii="Garamond" w:hAnsi="Garamond"/>
          <w:sz w:val="22"/>
          <w:szCs w:val="22"/>
        </w:rPr>
        <w:t xml:space="preserve">  Discussions surrounding certainty of clearing </w:t>
      </w:r>
      <w:r>
        <w:rPr>
          <w:rFonts w:ascii="Garamond" w:hAnsi="Garamond"/>
          <w:sz w:val="22"/>
          <w:szCs w:val="22"/>
        </w:rPr>
        <w:t>issues that commenced well over</w:t>
      </w:r>
      <w:r w:rsidRPr="00EC2452">
        <w:rPr>
          <w:rFonts w:ascii="Garamond" w:hAnsi="Garamond"/>
          <w:sz w:val="22"/>
          <w:szCs w:val="22"/>
        </w:rPr>
        <w:t xml:space="preserve"> four years ago were focused on IRS and CDS and, as a result, enhancements  made by infrastructure and service providers to support clearing obligations were focused on those markets.  And, as noted above, these markets had pre-existing clearing services well before clearing obligations were introd</w:t>
      </w:r>
      <w:r w:rsidRPr="00EC2452">
        <w:rPr>
          <w:rFonts w:ascii="Garamond" w:hAnsi="Garamond"/>
          <w:sz w:val="22"/>
          <w:szCs w:val="22"/>
        </w:rPr>
        <w:t>u</w:t>
      </w:r>
      <w:r w:rsidRPr="00EC2452">
        <w:rPr>
          <w:rFonts w:ascii="Garamond" w:hAnsi="Garamond"/>
          <w:sz w:val="22"/>
          <w:szCs w:val="22"/>
        </w:rPr>
        <w:t>ced/considered – 1999 for IRS and 200</w:t>
      </w:r>
      <w:r>
        <w:rPr>
          <w:rFonts w:ascii="Garamond" w:hAnsi="Garamond"/>
          <w:sz w:val="22"/>
          <w:szCs w:val="22"/>
        </w:rPr>
        <w:t>9</w:t>
      </w:r>
      <w:r w:rsidRPr="00EC2452">
        <w:rPr>
          <w:rFonts w:ascii="Garamond" w:hAnsi="Garamond"/>
          <w:sz w:val="22"/>
          <w:szCs w:val="22"/>
        </w:rPr>
        <w:t xml:space="preserve"> for CDS.  In contrast, these discussions are only just now starting for FX, which is further complicated by the highly decentrali</w:t>
      </w:r>
      <w:r>
        <w:rPr>
          <w:rFonts w:ascii="Garamond" w:hAnsi="Garamond"/>
          <w:sz w:val="22"/>
          <w:szCs w:val="22"/>
        </w:rPr>
        <w:t>s</w:t>
      </w:r>
      <w:r w:rsidRPr="00EC2452">
        <w:rPr>
          <w:rFonts w:ascii="Garamond" w:hAnsi="Garamond"/>
          <w:sz w:val="22"/>
          <w:szCs w:val="22"/>
        </w:rPr>
        <w:t>ed market infrastructure which has historically supported this market in its function as a global payment system as well as the impo</w:t>
      </w:r>
      <w:r w:rsidRPr="00EC2452">
        <w:rPr>
          <w:rFonts w:ascii="Garamond" w:hAnsi="Garamond"/>
          <w:sz w:val="22"/>
          <w:szCs w:val="22"/>
        </w:rPr>
        <w:t>r</w:t>
      </w:r>
      <w:r w:rsidRPr="00EC2452">
        <w:rPr>
          <w:rFonts w:ascii="Garamond" w:hAnsi="Garamond"/>
          <w:sz w:val="22"/>
          <w:szCs w:val="22"/>
        </w:rPr>
        <w:t xml:space="preserve">tance of emerging market financial institutions that often serve as sources of liquidity in these </w:t>
      </w:r>
      <w:r>
        <w:rPr>
          <w:rFonts w:ascii="Garamond" w:hAnsi="Garamond"/>
          <w:sz w:val="22"/>
          <w:szCs w:val="22"/>
        </w:rPr>
        <w:t>curre</w:t>
      </w:r>
      <w:r>
        <w:rPr>
          <w:rFonts w:ascii="Garamond" w:hAnsi="Garamond"/>
          <w:sz w:val="22"/>
          <w:szCs w:val="22"/>
        </w:rPr>
        <w:t>n</w:t>
      </w:r>
      <w:r>
        <w:rPr>
          <w:rFonts w:ascii="Garamond" w:hAnsi="Garamond"/>
          <w:sz w:val="22"/>
          <w:szCs w:val="22"/>
        </w:rPr>
        <w:t>cies</w:t>
      </w:r>
      <w:r w:rsidRPr="00EC2452">
        <w:rPr>
          <w:rFonts w:ascii="Garamond" w:hAnsi="Garamond"/>
          <w:sz w:val="22"/>
          <w:szCs w:val="22"/>
        </w:rPr>
        <w:t>.</w:t>
      </w:r>
    </w:p>
    <w:p w:rsidR="00472841" w:rsidRPr="00042700" w:rsidRDefault="00472841" w:rsidP="00472841">
      <w:pPr>
        <w:pStyle w:val="NormalWeb"/>
        <w:numPr>
          <w:ilvl w:val="1"/>
          <w:numId w:val="40"/>
        </w:numPr>
        <w:shd w:val="clear" w:color="auto" w:fill="FFFFFF"/>
        <w:spacing w:before="240" w:beforeAutospacing="0"/>
        <w:ind w:left="720"/>
        <w:jc w:val="both"/>
        <w:rPr>
          <w:rFonts w:ascii="Garamond" w:hAnsi="Garamond"/>
          <w:sz w:val="22"/>
          <w:szCs w:val="22"/>
        </w:rPr>
      </w:pPr>
      <w:r w:rsidRPr="00042700">
        <w:rPr>
          <w:rFonts w:ascii="Garamond" w:hAnsi="Garamond"/>
          <w:sz w:val="22"/>
          <w:szCs w:val="22"/>
          <w:u w:val="single"/>
        </w:rPr>
        <w:t>Management of currency disruption events</w:t>
      </w:r>
      <w:r w:rsidRPr="00042700">
        <w:rPr>
          <w:rFonts w:ascii="Garamond" w:hAnsi="Garamond"/>
          <w:sz w:val="22"/>
          <w:szCs w:val="22"/>
        </w:rPr>
        <w:t>.  As noted above, it is critical that the mandate recogni</w:t>
      </w:r>
      <w:r>
        <w:rPr>
          <w:rFonts w:ascii="Garamond" w:hAnsi="Garamond"/>
          <w:sz w:val="22"/>
          <w:szCs w:val="22"/>
        </w:rPr>
        <w:t>s</w:t>
      </w:r>
      <w:r w:rsidRPr="00042700">
        <w:rPr>
          <w:rFonts w:ascii="Garamond" w:hAnsi="Garamond"/>
          <w:sz w:val="22"/>
          <w:szCs w:val="22"/>
        </w:rPr>
        <w:t xml:space="preserve">e that certain additional terms concerning fixing source and pricing references in a disruption event are key elements of the </w:t>
      </w:r>
      <w:r>
        <w:rPr>
          <w:rFonts w:ascii="Garamond" w:hAnsi="Garamond"/>
          <w:sz w:val="22"/>
          <w:szCs w:val="22"/>
        </w:rPr>
        <w:t xml:space="preserve">FX NDF </w:t>
      </w:r>
      <w:r w:rsidRPr="00042700">
        <w:rPr>
          <w:rFonts w:ascii="Garamond" w:hAnsi="Garamond"/>
          <w:sz w:val="22"/>
          <w:szCs w:val="22"/>
        </w:rPr>
        <w:t>contract and thus are incorporated into any clearing mandate.  How</w:t>
      </w:r>
      <w:r w:rsidRPr="00042700">
        <w:rPr>
          <w:rFonts w:ascii="Garamond" w:hAnsi="Garamond"/>
          <w:sz w:val="22"/>
          <w:szCs w:val="22"/>
        </w:rPr>
        <w:t>e</w:t>
      </w:r>
      <w:r w:rsidRPr="00042700">
        <w:rPr>
          <w:rFonts w:ascii="Garamond" w:hAnsi="Garamond"/>
          <w:sz w:val="22"/>
          <w:szCs w:val="22"/>
        </w:rPr>
        <w:t>ver, in addition, it is important that CCPs develop expertise in managing disruption events which a</w:t>
      </w:r>
      <w:r w:rsidRPr="00042700">
        <w:rPr>
          <w:rFonts w:ascii="Garamond" w:hAnsi="Garamond"/>
          <w:sz w:val="22"/>
          <w:szCs w:val="22"/>
        </w:rPr>
        <w:t>f</w:t>
      </w:r>
      <w:r w:rsidRPr="00042700">
        <w:rPr>
          <w:rFonts w:ascii="Garamond" w:hAnsi="Garamond"/>
          <w:sz w:val="22"/>
          <w:szCs w:val="22"/>
        </w:rPr>
        <w:t>fect the valuation and settlement of FX contracts.  Disruption events may include suspension of tr</w:t>
      </w:r>
      <w:r w:rsidRPr="00042700">
        <w:rPr>
          <w:rFonts w:ascii="Garamond" w:hAnsi="Garamond"/>
          <w:sz w:val="22"/>
          <w:szCs w:val="22"/>
        </w:rPr>
        <w:t>a</w:t>
      </w:r>
      <w:r w:rsidRPr="00042700">
        <w:rPr>
          <w:rFonts w:ascii="Garamond" w:hAnsi="Garamond"/>
          <w:sz w:val="22"/>
          <w:szCs w:val="22"/>
        </w:rPr>
        <w:t>ding, sovereign default, an unexpected bank holiday or other significant disruption to valuation, pa</w:t>
      </w:r>
      <w:r w:rsidRPr="00042700">
        <w:rPr>
          <w:rFonts w:ascii="Garamond" w:hAnsi="Garamond"/>
          <w:sz w:val="22"/>
          <w:szCs w:val="22"/>
        </w:rPr>
        <w:t>y</w:t>
      </w:r>
      <w:r w:rsidRPr="00042700">
        <w:rPr>
          <w:rFonts w:ascii="Garamond" w:hAnsi="Garamond"/>
          <w:sz w:val="22"/>
          <w:szCs w:val="22"/>
        </w:rPr>
        <w:t xml:space="preserve">ment or settlement processes.  Especially as clearing occurs in greater volume, the ability </w:t>
      </w:r>
      <w:r>
        <w:rPr>
          <w:rFonts w:ascii="Garamond" w:hAnsi="Garamond"/>
          <w:sz w:val="22"/>
          <w:szCs w:val="22"/>
        </w:rPr>
        <w:t xml:space="preserve">of CCPs </w:t>
      </w:r>
      <w:r w:rsidRPr="00042700">
        <w:rPr>
          <w:rFonts w:ascii="Garamond" w:hAnsi="Garamond"/>
          <w:sz w:val="22"/>
          <w:szCs w:val="22"/>
        </w:rPr>
        <w:t>to manage disruption events and the u</w:t>
      </w:r>
      <w:r>
        <w:rPr>
          <w:rFonts w:ascii="Garamond" w:hAnsi="Garamond"/>
          <w:sz w:val="22"/>
          <w:szCs w:val="22"/>
        </w:rPr>
        <w:t xml:space="preserve">navailability of fixing sources, including </w:t>
      </w:r>
      <w:r w:rsidRPr="00042700">
        <w:rPr>
          <w:rFonts w:ascii="Garamond" w:hAnsi="Garamond"/>
          <w:sz w:val="22"/>
          <w:szCs w:val="22"/>
        </w:rPr>
        <w:t>over a prolonged period of time</w:t>
      </w:r>
      <w:r>
        <w:rPr>
          <w:rFonts w:ascii="Garamond" w:hAnsi="Garamond"/>
          <w:sz w:val="22"/>
          <w:szCs w:val="22"/>
        </w:rPr>
        <w:t>,</w:t>
      </w:r>
      <w:r w:rsidRPr="00042700">
        <w:rPr>
          <w:rFonts w:ascii="Garamond" w:hAnsi="Garamond"/>
          <w:sz w:val="22"/>
          <w:szCs w:val="22"/>
        </w:rPr>
        <w:t xml:space="preserve"> will be of critical importance.  To our knowledge (and as acknowledged in the Consultation Paper with respect to LCH), no CCP has yet had to respond to a disruption event and it may be a</w:t>
      </w:r>
      <w:r w:rsidRPr="00042700">
        <w:rPr>
          <w:rFonts w:ascii="Garamond" w:hAnsi="Garamond"/>
          <w:sz w:val="22"/>
          <w:szCs w:val="22"/>
        </w:rPr>
        <w:t>p</w:t>
      </w:r>
      <w:r w:rsidRPr="00042700">
        <w:rPr>
          <w:rFonts w:ascii="Garamond" w:hAnsi="Garamond"/>
          <w:sz w:val="22"/>
          <w:szCs w:val="22"/>
        </w:rPr>
        <w:t>propriate to give CCPs sufficient time to develop that expertise before any clearing mandate becomes fully implemented.</w:t>
      </w:r>
      <w:r>
        <w:rPr>
          <w:rFonts w:ascii="Garamond" w:hAnsi="Garamond"/>
          <w:sz w:val="22"/>
          <w:szCs w:val="22"/>
        </w:rPr>
        <w:t xml:space="preserve">  </w:t>
      </w:r>
      <w:r w:rsidRPr="00042700">
        <w:rPr>
          <w:rFonts w:ascii="Garamond" w:hAnsi="Garamond"/>
          <w:sz w:val="22"/>
          <w:szCs w:val="22"/>
        </w:rPr>
        <w:t xml:space="preserve">In contrast to CCPs as new entrants in this market, dealers have a long history and therefore experience in managing these circumstances in a non-centrally cleared environment.  </w:t>
      </w:r>
    </w:p>
    <w:p w:rsidR="00472841" w:rsidRPr="00EC2452" w:rsidRDefault="00472841" w:rsidP="00472841">
      <w:pPr>
        <w:pStyle w:val="NormalWeb"/>
        <w:numPr>
          <w:ilvl w:val="1"/>
          <w:numId w:val="40"/>
        </w:numPr>
        <w:shd w:val="clear" w:color="auto" w:fill="FFFFFF"/>
        <w:spacing w:before="240" w:beforeAutospacing="0"/>
        <w:ind w:left="720"/>
        <w:jc w:val="both"/>
        <w:rPr>
          <w:rFonts w:ascii="Garamond" w:hAnsi="Garamond"/>
          <w:sz w:val="22"/>
          <w:szCs w:val="22"/>
        </w:rPr>
      </w:pPr>
      <w:r w:rsidRPr="00EC2452">
        <w:rPr>
          <w:rFonts w:ascii="Garamond" w:hAnsi="Garamond"/>
          <w:sz w:val="22"/>
          <w:szCs w:val="22"/>
          <w:u w:val="single"/>
        </w:rPr>
        <w:t>EMIR recognition of local CCPs.</w:t>
      </w:r>
      <w:r w:rsidRPr="00EC2452">
        <w:rPr>
          <w:rFonts w:ascii="Garamond" w:hAnsi="Garamond"/>
          <w:sz w:val="22"/>
          <w:szCs w:val="22"/>
        </w:rPr>
        <w:t xml:space="preserve">  As noted in the Consultation Paper, certain third-country CCPs are beginning to offer FX NDF clearing services in a number of the currency </w:t>
      </w:r>
      <w:r>
        <w:rPr>
          <w:rFonts w:ascii="Garamond" w:hAnsi="Garamond"/>
          <w:sz w:val="22"/>
          <w:szCs w:val="22"/>
        </w:rPr>
        <w:t>pairs</w:t>
      </w:r>
      <w:r w:rsidRPr="00EC2452">
        <w:rPr>
          <w:rFonts w:ascii="Garamond" w:hAnsi="Garamond"/>
          <w:sz w:val="22"/>
          <w:szCs w:val="22"/>
        </w:rPr>
        <w:t xml:space="preserve"> proposed to come w</w:t>
      </w:r>
      <w:r w:rsidRPr="00EC2452">
        <w:rPr>
          <w:rFonts w:ascii="Garamond" w:hAnsi="Garamond"/>
          <w:sz w:val="22"/>
          <w:szCs w:val="22"/>
        </w:rPr>
        <w:t>i</w:t>
      </w:r>
      <w:r w:rsidRPr="00EC2452">
        <w:rPr>
          <w:rFonts w:ascii="Garamond" w:hAnsi="Garamond"/>
          <w:sz w:val="22"/>
          <w:szCs w:val="22"/>
        </w:rPr>
        <w:t>thin the mandate.  It will be important that these CCPs become recogni</w:t>
      </w:r>
      <w:r>
        <w:rPr>
          <w:rFonts w:ascii="Garamond" w:hAnsi="Garamond"/>
          <w:sz w:val="22"/>
          <w:szCs w:val="22"/>
        </w:rPr>
        <w:t>s</w:t>
      </w:r>
      <w:r w:rsidRPr="00EC2452">
        <w:rPr>
          <w:rFonts w:ascii="Garamond" w:hAnsi="Garamond"/>
          <w:sz w:val="22"/>
          <w:szCs w:val="22"/>
        </w:rPr>
        <w:t>ed by ESMA prior to the full implementation of any clearing mandate.</w:t>
      </w:r>
    </w:p>
    <w:p w:rsidR="00472841" w:rsidRDefault="00472841" w:rsidP="00472841">
      <w:pPr>
        <w:pStyle w:val="NormalWeb"/>
        <w:numPr>
          <w:ilvl w:val="1"/>
          <w:numId w:val="40"/>
        </w:numPr>
        <w:shd w:val="clear" w:color="auto" w:fill="FFFFFF"/>
        <w:spacing w:before="240" w:beforeAutospacing="0"/>
        <w:ind w:left="720"/>
        <w:jc w:val="both"/>
        <w:rPr>
          <w:rFonts w:ascii="Garamond" w:hAnsi="Garamond"/>
          <w:sz w:val="22"/>
          <w:szCs w:val="22"/>
        </w:rPr>
      </w:pPr>
      <w:r w:rsidRPr="007A4017">
        <w:rPr>
          <w:rFonts w:ascii="Garamond" w:hAnsi="Garamond"/>
          <w:sz w:val="22"/>
          <w:szCs w:val="22"/>
          <w:u w:val="single"/>
        </w:rPr>
        <w:t>Developing a framework for how contracts that have become less liquid would move out of the cle</w:t>
      </w:r>
      <w:r w:rsidRPr="007A4017">
        <w:rPr>
          <w:rFonts w:ascii="Garamond" w:hAnsi="Garamond"/>
          <w:sz w:val="22"/>
          <w:szCs w:val="22"/>
          <w:u w:val="single"/>
        </w:rPr>
        <w:t>a</w:t>
      </w:r>
      <w:r w:rsidRPr="007A4017">
        <w:rPr>
          <w:rFonts w:ascii="Garamond" w:hAnsi="Garamond"/>
          <w:sz w:val="22"/>
          <w:szCs w:val="22"/>
          <w:u w:val="single"/>
        </w:rPr>
        <w:t>ring mandate.</w:t>
      </w:r>
      <w:r w:rsidRPr="007A4017">
        <w:rPr>
          <w:rFonts w:ascii="Garamond" w:hAnsi="Garamond"/>
          <w:sz w:val="22"/>
          <w:szCs w:val="22"/>
        </w:rPr>
        <w:t xml:space="preserve">  As the Consultation Paper notes, as capital controls are removed, trading in FX NDFs in particular currency pairs tends to lessen over time.  As such, GFXD believes, ideally, ESMA would have some mechanism to remove a contract from mandated clearing in a relatively short p</w:t>
      </w:r>
      <w:r>
        <w:rPr>
          <w:rFonts w:ascii="Garamond" w:hAnsi="Garamond"/>
          <w:sz w:val="22"/>
          <w:szCs w:val="22"/>
        </w:rPr>
        <w:t>eriod of time.  This is not a new issue and ESMA acknowledged these concerns in its final RTS for the Cle</w:t>
      </w:r>
      <w:r>
        <w:rPr>
          <w:rFonts w:ascii="Garamond" w:hAnsi="Garamond"/>
          <w:sz w:val="22"/>
          <w:szCs w:val="22"/>
        </w:rPr>
        <w:t>a</w:t>
      </w:r>
      <w:r>
        <w:rPr>
          <w:rFonts w:ascii="Garamond" w:hAnsi="Garamond"/>
          <w:sz w:val="22"/>
          <w:szCs w:val="22"/>
        </w:rPr>
        <w:t>ring Obligation – Interest Rate Derivatives.  It specifically noted its limitations in being able to r</w:t>
      </w:r>
      <w:r>
        <w:rPr>
          <w:rFonts w:ascii="Garamond" w:hAnsi="Garamond"/>
          <w:sz w:val="22"/>
          <w:szCs w:val="22"/>
        </w:rPr>
        <w:t>e</w:t>
      </w:r>
      <w:r>
        <w:rPr>
          <w:rFonts w:ascii="Garamond" w:hAnsi="Garamond"/>
          <w:sz w:val="22"/>
          <w:szCs w:val="22"/>
        </w:rPr>
        <w:t>move a contract from clearing, given the structure of EMIR and suggested that the issue need to be included in the review process of EMIR.</w:t>
      </w:r>
      <w:r>
        <w:rPr>
          <w:rStyle w:val="FootnoteReference"/>
          <w:rFonts w:ascii="Garamond" w:hAnsi="Garamond"/>
          <w:sz w:val="22"/>
          <w:szCs w:val="22"/>
        </w:rPr>
        <w:footnoteReference w:id="26"/>
      </w:r>
      <w:r>
        <w:rPr>
          <w:rFonts w:ascii="Garamond" w:hAnsi="Garamond"/>
          <w:sz w:val="22"/>
          <w:szCs w:val="22"/>
        </w:rPr>
        <w:t xml:space="preserve">  GFXD </w:t>
      </w:r>
      <w:r w:rsidRPr="007A4017">
        <w:rPr>
          <w:rFonts w:ascii="Garamond" w:hAnsi="Garamond"/>
          <w:sz w:val="22"/>
          <w:szCs w:val="22"/>
        </w:rPr>
        <w:t>recogni</w:t>
      </w:r>
      <w:r>
        <w:rPr>
          <w:rFonts w:ascii="Garamond" w:hAnsi="Garamond"/>
          <w:sz w:val="22"/>
          <w:szCs w:val="22"/>
        </w:rPr>
        <w:t>s</w:t>
      </w:r>
      <w:r w:rsidRPr="007A4017">
        <w:rPr>
          <w:rFonts w:ascii="Garamond" w:hAnsi="Garamond"/>
          <w:sz w:val="22"/>
          <w:szCs w:val="22"/>
        </w:rPr>
        <w:t xml:space="preserve">es the structure of EMIR and </w:t>
      </w:r>
      <w:r>
        <w:rPr>
          <w:rFonts w:ascii="Garamond" w:hAnsi="Garamond"/>
          <w:sz w:val="22"/>
          <w:szCs w:val="22"/>
        </w:rPr>
        <w:t>ESMA’s l</w:t>
      </w:r>
      <w:r>
        <w:rPr>
          <w:rFonts w:ascii="Garamond" w:hAnsi="Garamond"/>
          <w:sz w:val="22"/>
          <w:szCs w:val="22"/>
        </w:rPr>
        <w:t>i</w:t>
      </w:r>
      <w:r>
        <w:rPr>
          <w:rFonts w:ascii="Garamond" w:hAnsi="Garamond"/>
          <w:sz w:val="22"/>
          <w:szCs w:val="22"/>
        </w:rPr>
        <w:t>mitations in</w:t>
      </w:r>
      <w:r w:rsidRPr="007A4017">
        <w:rPr>
          <w:rFonts w:ascii="Garamond" w:hAnsi="Garamond"/>
          <w:sz w:val="22"/>
          <w:szCs w:val="22"/>
        </w:rPr>
        <w:t xml:space="preserve"> removing an instrument from the clearing mandate.  However, because of the nature of </w:t>
      </w:r>
      <w:r w:rsidRPr="007A4017">
        <w:rPr>
          <w:rFonts w:ascii="Garamond" w:hAnsi="Garamond"/>
          <w:sz w:val="22"/>
          <w:szCs w:val="22"/>
        </w:rPr>
        <w:lastRenderedPageBreak/>
        <w:t xml:space="preserve">these instruments, and their uses, unlike IRS and CDS products, liquidity in some currency pairs </w:t>
      </w:r>
      <w:r>
        <w:rPr>
          <w:rFonts w:ascii="Garamond" w:hAnsi="Garamond"/>
          <w:sz w:val="22"/>
          <w:szCs w:val="22"/>
        </w:rPr>
        <w:t>may be more likely to</w:t>
      </w:r>
      <w:r w:rsidRPr="007A4017">
        <w:rPr>
          <w:rFonts w:ascii="Garamond" w:hAnsi="Garamond"/>
          <w:sz w:val="22"/>
          <w:szCs w:val="22"/>
        </w:rPr>
        <w:t xml:space="preserve"> decrease over time, rather than </w:t>
      </w:r>
      <w:r>
        <w:rPr>
          <w:rFonts w:ascii="Garamond" w:hAnsi="Garamond"/>
          <w:sz w:val="22"/>
          <w:szCs w:val="22"/>
        </w:rPr>
        <w:t>increase</w:t>
      </w:r>
      <w:r w:rsidRPr="007A4017">
        <w:rPr>
          <w:rFonts w:ascii="Garamond" w:hAnsi="Garamond"/>
          <w:sz w:val="22"/>
          <w:szCs w:val="22"/>
        </w:rPr>
        <w:t xml:space="preserve">.  As such it is important to resolve how an instrument would be treated should liquidity in it erode, prior to subjecting it to a mandate.  </w:t>
      </w:r>
      <w:r>
        <w:rPr>
          <w:rFonts w:ascii="Garamond" w:hAnsi="Garamond"/>
          <w:sz w:val="22"/>
          <w:szCs w:val="22"/>
        </w:rPr>
        <w:t xml:space="preserve">A longer phase-in period, as discussed in the ISDA-FIA </w:t>
      </w:r>
      <w:r w:rsidR="004771DE">
        <w:rPr>
          <w:rFonts w:ascii="Garamond" w:hAnsi="Garamond"/>
          <w:sz w:val="22"/>
          <w:szCs w:val="22"/>
        </w:rPr>
        <w:t xml:space="preserve">Europe </w:t>
      </w:r>
      <w:r>
        <w:rPr>
          <w:rFonts w:ascii="Garamond" w:hAnsi="Garamond"/>
          <w:sz w:val="22"/>
          <w:szCs w:val="22"/>
        </w:rPr>
        <w:t xml:space="preserve">FX NDF </w:t>
      </w:r>
      <w:proofErr w:type="spellStart"/>
      <w:r>
        <w:rPr>
          <w:rFonts w:ascii="Garamond" w:hAnsi="Garamond"/>
          <w:sz w:val="22"/>
          <w:szCs w:val="22"/>
        </w:rPr>
        <w:t>Response</w:t>
      </w:r>
      <w:proofErr w:type="spellEnd"/>
      <w:r>
        <w:rPr>
          <w:rFonts w:ascii="Garamond" w:hAnsi="Garamond"/>
          <w:sz w:val="22"/>
          <w:szCs w:val="22"/>
        </w:rPr>
        <w:t xml:space="preserve"> to Question 6, could a</w:t>
      </w:r>
      <w:r>
        <w:rPr>
          <w:rFonts w:ascii="Garamond" w:hAnsi="Garamond"/>
          <w:sz w:val="22"/>
          <w:szCs w:val="22"/>
        </w:rPr>
        <w:t>l</w:t>
      </w:r>
      <w:r>
        <w:rPr>
          <w:rFonts w:ascii="Garamond" w:hAnsi="Garamond"/>
          <w:sz w:val="22"/>
          <w:szCs w:val="22"/>
        </w:rPr>
        <w:t>low more time for a review of EMIR to address this concern.  T</w:t>
      </w:r>
      <w:r w:rsidRPr="007A4017">
        <w:rPr>
          <w:rFonts w:ascii="Garamond" w:hAnsi="Garamond"/>
          <w:sz w:val="22"/>
          <w:szCs w:val="22"/>
        </w:rPr>
        <w:t xml:space="preserve">his could </w:t>
      </w:r>
      <w:r>
        <w:rPr>
          <w:rFonts w:ascii="Garamond" w:hAnsi="Garamond"/>
          <w:sz w:val="22"/>
          <w:szCs w:val="22"/>
        </w:rPr>
        <w:t xml:space="preserve">then allow for the </w:t>
      </w:r>
      <w:r w:rsidRPr="007A4017">
        <w:rPr>
          <w:rFonts w:ascii="Garamond" w:hAnsi="Garamond"/>
          <w:sz w:val="22"/>
          <w:szCs w:val="22"/>
        </w:rPr>
        <w:t>est</w:t>
      </w:r>
      <w:r w:rsidRPr="007A4017">
        <w:rPr>
          <w:rFonts w:ascii="Garamond" w:hAnsi="Garamond"/>
          <w:sz w:val="22"/>
          <w:szCs w:val="22"/>
        </w:rPr>
        <w:t>a</w:t>
      </w:r>
      <w:r w:rsidRPr="007A4017">
        <w:rPr>
          <w:rFonts w:ascii="Garamond" w:hAnsi="Garamond"/>
          <w:sz w:val="22"/>
          <w:szCs w:val="22"/>
        </w:rPr>
        <w:t>blishment of a liquidity threshold which could automatically trigger a review of the RTS as applied to a particular currency pair.</w:t>
      </w:r>
      <w:r w:rsidRPr="00EC2452">
        <w:rPr>
          <w:rStyle w:val="FootnoteReference"/>
          <w:rFonts w:ascii="Garamond" w:hAnsi="Garamond"/>
          <w:sz w:val="22"/>
          <w:szCs w:val="22"/>
        </w:rPr>
        <w:footnoteReference w:id="27"/>
      </w:r>
    </w:p>
    <w:p w:rsidR="00472841" w:rsidRPr="00EC2452" w:rsidRDefault="00472841" w:rsidP="00472841">
      <w:pPr>
        <w:pStyle w:val="NormalWeb"/>
        <w:keepNext/>
        <w:keepLines/>
        <w:numPr>
          <w:ilvl w:val="1"/>
          <w:numId w:val="40"/>
        </w:numPr>
        <w:shd w:val="clear" w:color="auto" w:fill="FFFFFF"/>
        <w:spacing w:before="240" w:beforeAutospacing="0"/>
        <w:ind w:left="720"/>
        <w:jc w:val="both"/>
        <w:rPr>
          <w:rFonts w:ascii="Garamond" w:hAnsi="Garamond"/>
          <w:sz w:val="22"/>
          <w:szCs w:val="22"/>
        </w:rPr>
      </w:pPr>
      <w:r w:rsidRPr="00EC2452">
        <w:rPr>
          <w:rFonts w:ascii="Garamond" w:hAnsi="Garamond"/>
          <w:sz w:val="22"/>
          <w:szCs w:val="22"/>
          <w:u w:val="single"/>
        </w:rPr>
        <w:t>Resid</w:t>
      </w:r>
      <w:r>
        <w:rPr>
          <w:rFonts w:ascii="Garamond" w:hAnsi="Garamond"/>
          <w:sz w:val="22"/>
          <w:szCs w:val="22"/>
          <w:u w:val="single"/>
        </w:rPr>
        <w:t xml:space="preserve">ual issues that have arisen in IRS and CDS </w:t>
      </w:r>
      <w:r w:rsidRPr="00EC2452">
        <w:rPr>
          <w:rFonts w:ascii="Garamond" w:hAnsi="Garamond"/>
          <w:sz w:val="22"/>
          <w:szCs w:val="22"/>
          <w:u w:val="single"/>
        </w:rPr>
        <w:t>in response to clearing and trading mandates</w:t>
      </w:r>
      <w:r w:rsidRPr="00EC2452">
        <w:rPr>
          <w:rFonts w:ascii="Garamond" w:hAnsi="Garamond"/>
          <w:sz w:val="22"/>
          <w:szCs w:val="22"/>
        </w:rPr>
        <w:t xml:space="preserve">.   </w:t>
      </w:r>
    </w:p>
    <w:p w:rsidR="00472841" w:rsidRDefault="00472841" w:rsidP="00472841">
      <w:pPr>
        <w:pStyle w:val="NormalWeb"/>
        <w:numPr>
          <w:ilvl w:val="0"/>
          <w:numId w:val="40"/>
        </w:numPr>
        <w:shd w:val="clear" w:color="auto" w:fill="FFFFFF"/>
        <w:spacing w:before="240" w:beforeAutospacing="0" w:line="123" w:lineRule="atLeast"/>
        <w:ind w:left="1080"/>
        <w:jc w:val="both"/>
        <w:rPr>
          <w:rFonts w:ascii="Garamond" w:hAnsi="Garamond"/>
          <w:sz w:val="22"/>
          <w:szCs w:val="22"/>
        </w:rPr>
      </w:pPr>
      <w:r w:rsidRPr="006B0765">
        <w:rPr>
          <w:rFonts w:ascii="Garamond" w:hAnsi="Garamond"/>
          <w:i/>
          <w:sz w:val="22"/>
          <w:szCs w:val="22"/>
        </w:rPr>
        <w:t>Packages</w:t>
      </w:r>
      <w:r>
        <w:rPr>
          <w:rFonts w:ascii="Garamond" w:hAnsi="Garamond"/>
          <w:i/>
          <w:sz w:val="22"/>
          <w:szCs w:val="22"/>
        </w:rPr>
        <w:t xml:space="preserve">.  </w:t>
      </w:r>
      <w:r w:rsidRPr="00224D96">
        <w:rPr>
          <w:rFonts w:ascii="Garamond" w:hAnsi="Garamond"/>
          <w:sz w:val="22"/>
          <w:szCs w:val="22"/>
        </w:rPr>
        <w:t xml:space="preserve">It is important to make clear </w:t>
      </w:r>
      <w:r w:rsidRPr="006B0765">
        <w:rPr>
          <w:rFonts w:ascii="Garamond" w:hAnsi="Garamond"/>
          <w:i/>
          <w:sz w:val="22"/>
          <w:szCs w:val="22"/>
        </w:rPr>
        <w:t>ex ante</w:t>
      </w:r>
      <w:r w:rsidRPr="00224D96">
        <w:rPr>
          <w:rFonts w:ascii="Garamond" w:hAnsi="Garamond"/>
          <w:sz w:val="22"/>
          <w:szCs w:val="22"/>
        </w:rPr>
        <w:t xml:space="preserve"> that the clearing mandate will not apply in the co</w:t>
      </w:r>
      <w:r w:rsidRPr="00224D96">
        <w:rPr>
          <w:rFonts w:ascii="Garamond" w:hAnsi="Garamond"/>
          <w:sz w:val="22"/>
          <w:szCs w:val="22"/>
        </w:rPr>
        <w:t>n</w:t>
      </w:r>
      <w:r w:rsidRPr="00224D96">
        <w:rPr>
          <w:rFonts w:ascii="Garamond" w:hAnsi="Garamond"/>
          <w:sz w:val="22"/>
          <w:szCs w:val="22"/>
        </w:rPr>
        <w:t>text of package transactions, where multiple trades are executed simultaneously but only certain portions are subject to clearing and trading requirements.  With respect to FX NDFs, for example, FX NDF transactions that are delta hedges of uncleared FX options executed together should be exempted as package transactions.  Similarly, the clearing mandate should not apply where an FX NDF transaction is paired w</w:t>
      </w:r>
      <w:r>
        <w:rPr>
          <w:rFonts w:ascii="Garamond" w:hAnsi="Garamond"/>
          <w:sz w:val="22"/>
          <w:szCs w:val="22"/>
        </w:rPr>
        <w:t>ith an emerging market bond.</w:t>
      </w:r>
    </w:p>
    <w:p w:rsidR="00472841" w:rsidRDefault="00472841" w:rsidP="00472841">
      <w:pPr>
        <w:pStyle w:val="NormalWeb"/>
        <w:numPr>
          <w:ilvl w:val="0"/>
          <w:numId w:val="40"/>
        </w:numPr>
        <w:shd w:val="clear" w:color="auto" w:fill="FFFFFF"/>
        <w:spacing w:before="240" w:beforeAutospacing="0" w:line="123" w:lineRule="atLeast"/>
        <w:ind w:left="1080"/>
        <w:jc w:val="both"/>
        <w:rPr>
          <w:rFonts w:ascii="Garamond" w:hAnsi="Garamond"/>
          <w:sz w:val="22"/>
          <w:szCs w:val="22"/>
        </w:rPr>
      </w:pPr>
      <w:r w:rsidRPr="00BA2B3E">
        <w:rPr>
          <w:rFonts w:ascii="Garamond" w:hAnsi="Garamond"/>
          <w:i/>
          <w:sz w:val="22"/>
          <w:szCs w:val="22"/>
        </w:rPr>
        <w:t>Bunched orders (allocations)</w:t>
      </w:r>
      <w:r w:rsidRPr="00BA2B3E">
        <w:rPr>
          <w:rFonts w:ascii="Garamond" w:hAnsi="Garamond"/>
          <w:sz w:val="22"/>
          <w:szCs w:val="22"/>
        </w:rPr>
        <w:t>.  As detailed in our response to Question 7 below, a trading mandate is anticipated to follow a clearing mandate for OTC derivatives in Europe and the U</w:t>
      </w:r>
      <w:r>
        <w:rPr>
          <w:rFonts w:ascii="Garamond" w:hAnsi="Garamond"/>
          <w:sz w:val="22"/>
          <w:szCs w:val="22"/>
        </w:rPr>
        <w:t>.</w:t>
      </w:r>
      <w:r w:rsidRPr="00BA2B3E">
        <w:rPr>
          <w:rFonts w:ascii="Garamond" w:hAnsi="Garamond"/>
          <w:sz w:val="22"/>
          <w:szCs w:val="22"/>
        </w:rPr>
        <w:t>S.  Concerns with operational and documentation readiness of U</w:t>
      </w:r>
      <w:r>
        <w:rPr>
          <w:rFonts w:ascii="Garamond" w:hAnsi="Garamond"/>
          <w:sz w:val="22"/>
          <w:szCs w:val="22"/>
        </w:rPr>
        <w:t>.</w:t>
      </w:r>
      <w:r w:rsidRPr="00BA2B3E">
        <w:rPr>
          <w:rFonts w:ascii="Garamond" w:hAnsi="Garamond"/>
          <w:sz w:val="22"/>
          <w:szCs w:val="22"/>
        </w:rPr>
        <w:t>S</w:t>
      </w:r>
      <w:r>
        <w:rPr>
          <w:rFonts w:ascii="Garamond" w:hAnsi="Garamond"/>
          <w:sz w:val="22"/>
          <w:szCs w:val="22"/>
        </w:rPr>
        <w:t>.</w:t>
      </w:r>
      <w:r w:rsidRPr="00BA2B3E">
        <w:rPr>
          <w:rFonts w:ascii="Garamond" w:hAnsi="Garamond"/>
          <w:sz w:val="22"/>
          <w:szCs w:val="22"/>
        </w:rPr>
        <w:t xml:space="preserve"> registered trading platforms (SEFs), nam</w:t>
      </w:r>
      <w:r w:rsidRPr="00BA2B3E">
        <w:rPr>
          <w:rFonts w:ascii="Garamond" w:hAnsi="Garamond"/>
          <w:sz w:val="22"/>
          <w:szCs w:val="22"/>
        </w:rPr>
        <w:t>e</w:t>
      </w:r>
      <w:r w:rsidRPr="00BA2B3E">
        <w:rPr>
          <w:rFonts w:ascii="Garamond" w:hAnsi="Garamond"/>
          <w:sz w:val="22"/>
          <w:szCs w:val="22"/>
        </w:rPr>
        <w:t xml:space="preserve">ly the platforms’ ability to support pre/post-allocation and pre-execution checks at the allocated fund level, relating to clearable bunched orders continue to persist for credit products which are already subject to a trading mandate.  </w:t>
      </w:r>
    </w:p>
    <w:p w:rsidR="00472841" w:rsidRPr="00BA2B3E" w:rsidRDefault="00472841" w:rsidP="00472841">
      <w:pPr>
        <w:pStyle w:val="NormalWeb"/>
        <w:numPr>
          <w:ilvl w:val="0"/>
          <w:numId w:val="40"/>
        </w:numPr>
        <w:shd w:val="clear" w:color="auto" w:fill="FFFFFF"/>
        <w:spacing w:before="240" w:beforeAutospacing="0" w:line="123" w:lineRule="atLeast"/>
        <w:ind w:left="1080"/>
        <w:jc w:val="both"/>
        <w:rPr>
          <w:rFonts w:ascii="Garamond" w:hAnsi="Garamond"/>
          <w:sz w:val="22"/>
          <w:szCs w:val="22"/>
        </w:rPr>
      </w:pPr>
      <w:r w:rsidRPr="00BA2B3E">
        <w:rPr>
          <w:rFonts w:ascii="Garamond" w:hAnsi="Garamond"/>
          <w:i/>
          <w:sz w:val="22"/>
          <w:szCs w:val="22"/>
        </w:rPr>
        <w:t>NARs:</w:t>
      </w:r>
      <w:r w:rsidRPr="00BA2B3E">
        <w:rPr>
          <w:rFonts w:ascii="Garamond" w:hAnsi="Garamond"/>
          <w:sz w:val="22"/>
          <w:szCs w:val="22"/>
        </w:rPr>
        <w:t xml:space="preserve">  In the U</w:t>
      </w:r>
      <w:r>
        <w:rPr>
          <w:rFonts w:ascii="Garamond" w:hAnsi="Garamond"/>
          <w:sz w:val="22"/>
          <w:szCs w:val="22"/>
        </w:rPr>
        <w:t>.</w:t>
      </w:r>
      <w:r w:rsidRPr="00BA2B3E">
        <w:rPr>
          <w:rFonts w:ascii="Garamond" w:hAnsi="Garamond"/>
          <w:sz w:val="22"/>
          <w:szCs w:val="22"/>
        </w:rPr>
        <w:t>S</w:t>
      </w:r>
      <w:r>
        <w:rPr>
          <w:rFonts w:ascii="Garamond" w:hAnsi="Garamond"/>
          <w:sz w:val="22"/>
          <w:szCs w:val="22"/>
        </w:rPr>
        <w:t>.</w:t>
      </w:r>
      <w:r w:rsidRPr="00BA2B3E">
        <w:rPr>
          <w:rFonts w:ascii="Garamond" w:hAnsi="Garamond"/>
          <w:sz w:val="22"/>
          <w:szCs w:val="22"/>
        </w:rPr>
        <w:t>, industry requested no-action relief from the CFTC relating to the above and other issues concerning the implementation of clearing and trading mandates for rates and credit products.  In some cases, some form of no-action relief was granted and, in other cases, not gra</w:t>
      </w:r>
      <w:r w:rsidRPr="00BA2B3E">
        <w:rPr>
          <w:rFonts w:ascii="Garamond" w:hAnsi="Garamond"/>
          <w:sz w:val="22"/>
          <w:szCs w:val="22"/>
        </w:rPr>
        <w:t>n</w:t>
      </w:r>
      <w:r w:rsidRPr="00BA2B3E">
        <w:rPr>
          <w:rFonts w:ascii="Garamond" w:hAnsi="Garamond"/>
          <w:sz w:val="22"/>
          <w:szCs w:val="22"/>
        </w:rPr>
        <w:t>ted.  Even if these issues have been resolved, or are resolved soon, for rates and/or credit pr</w:t>
      </w:r>
      <w:r w:rsidRPr="00BA2B3E">
        <w:rPr>
          <w:rFonts w:ascii="Garamond" w:hAnsi="Garamond"/>
          <w:sz w:val="22"/>
          <w:szCs w:val="22"/>
        </w:rPr>
        <w:t>o</w:t>
      </w:r>
      <w:r w:rsidRPr="00BA2B3E">
        <w:rPr>
          <w:rFonts w:ascii="Garamond" w:hAnsi="Garamond"/>
          <w:sz w:val="22"/>
          <w:szCs w:val="22"/>
        </w:rPr>
        <w:t>ducts, material differences exist in the type of market participants, infrastructure and service pr</w:t>
      </w:r>
      <w:r w:rsidRPr="00BA2B3E">
        <w:rPr>
          <w:rFonts w:ascii="Garamond" w:hAnsi="Garamond"/>
          <w:sz w:val="22"/>
          <w:szCs w:val="22"/>
        </w:rPr>
        <w:t>o</w:t>
      </w:r>
      <w:r w:rsidRPr="00BA2B3E">
        <w:rPr>
          <w:rFonts w:ascii="Garamond" w:hAnsi="Garamond"/>
          <w:sz w:val="22"/>
          <w:szCs w:val="22"/>
        </w:rPr>
        <w:t>viders for FX NDFs as compared to rates and credit.  Given there is no ability on the part of ESMA to suspend a clearing obligation, please refer to our responses to Question 3 and Question 7.</w:t>
      </w:r>
    </w:p>
    <w:p w:rsidR="00472841" w:rsidRDefault="00472841" w:rsidP="00472841">
      <w:pPr>
        <w:pStyle w:val="NormalWeb"/>
        <w:numPr>
          <w:ilvl w:val="1"/>
          <w:numId w:val="40"/>
        </w:numPr>
        <w:shd w:val="clear" w:color="auto" w:fill="FFFFFF"/>
        <w:spacing w:before="240" w:beforeAutospacing="0"/>
        <w:ind w:left="720"/>
        <w:jc w:val="both"/>
        <w:rPr>
          <w:rFonts w:ascii="Garamond" w:hAnsi="Garamond"/>
          <w:sz w:val="22"/>
          <w:szCs w:val="22"/>
        </w:rPr>
      </w:pPr>
      <w:r w:rsidRPr="00EC2452">
        <w:rPr>
          <w:rFonts w:ascii="Garamond" w:hAnsi="Garamond"/>
          <w:sz w:val="22"/>
          <w:szCs w:val="22"/>
          <w:u w:val="single"/>
        </w:rPr>
        <w:t>Allow parties to manage the portfolio margining effects of a move to clearing</w:t>
      </w:r>
      <w:r w:rsidRPr="00EC2452">
        <w:rPr>
          <w:rFonts w:ascii="Garamond" w:hAnsi="Garamond"/>
          <w:sz w:val="22"/>
          <w:szCs w:val="22"/>
        </w:rPr>
        <w:t>.  Because clearing for IRS and CDS developed over a long phase-in period and largely happened through voluntary moves ahead of the mandate, entities were able to adjust their portfolios.  Entities need the same opportunity with their FX books.</w:t>
      </w:r>
    </w:p>
    <w:p w:rsidR="00472841" w:rsidRDefault="00472841" w:rsidP="00472841">
      <w:pPr>
        <w:pStyle w:val="NormalWeb"/>
        <w:shd w:val="clear" w:color="auto" w:fill="FFFFFF"/>
        <w:spacing w:before="0" w:beforeAutospacing="0" w:after="0" w:afterAutospacing="0"/>
        <w:jc w:val="both"/>
        <w:rPr>
          <w:rFonts w:ascii="Garamond" w:hAnsi="Garamond"/>
          <w:sz w:val="22"/>
          <w:szCs w:val="22"/>
        </w:rPr>
      </w:pPr>
      <w:r w:rsidRPr="00BA2B3E">
        <w:rPr>
          <w:rFonts w:ascii="Garamond" w:hAnsi="Garamond"/>
          <w:b/>
          <w:i/>
          <w:sz w:val="22"/>
          <w:szCs w:val="22"/>
        </w:rPr>
        <w:t xml:space="preserve">Analysis to support a clearing determination for FX NDFs is substantively more akin to a “top-down” approach though technically a “bottom-up” approach.  </w:t>
      </w:r>
      <w:r w:rsidRPr="00BA2B3E">
        <w:rPr>
          <w:rFonts w:ascii="Garamond" w:hAnsi="Garamond"/>
          <w:sz w:val="22"/>
          <w:szCs w:val="22"/>
        </w:rPr>
        <w:t xml:space="preserve">While ESMA’s Consultation Papers on clearing obligation (no. 1 for IRS, no. 2 for CDS, and no. 3 for FX NDFs) are each considered the result of a “bottom-up approach,” the evolution of clearing for these three markets is such that the consideration of FX NDFs for a clearing obligation is much more substantively akin to a “top-down” approach given that FX NDF clearing is, in comparison to IRS and CDS clearing, in its infancy.  When the clearing mandate was introduced to IRS and CDS, it was predicated on a far more developed market with many start-up issues addressed while clearing was still voluntary, both before and after the recent financial crisis.  FX NDF clearing has not achieved the same critical mass.  The share of FX NDFs currently cleared is significantly below the share of IRS and CDS when ESMA considered mandates in those asset classes.  Further, there are currently </w:t>
      </w:r>
      <w:r w:rsidRPr="00BA2B3E">
        <w:rPr>
          <w:rFonts w:ascii="Garamond" w:hAnsi="Garamond"/>
          <w:sz w:val="22"/>
          <w:szCs w:val="22"/>
        </w:rPr>
        <w:lastRenderedPageBreak/>
        <w:t>no readily available client clearing solutions for FX NDF clearing which can appropriately support the clients transacting in these FX NDF contracts.  For these reasons, a mandate at this time would enable a single</w:t>
      </w:r>
      <w:r>
        <w:rPr>
          <w:rFonts w:ascii="Garamond" w:hAnsi="Garamond"/>
          <w:sz w:val="22"/>
          <w:szCs w:val="22"/>
        </w:rPr>
        <w:t xml:space="preserve"> and thus only </w:t>
      </w:r>
      <w:r w:rsidRPr="00BA2B3E">
        <w:rPr>
          <w:rFonts w:ascii="Garamond" w:hAnsi="Garamond"/>
          <w:sz w:val="22"/>
          <w:szCs w:val="22"/>
        </w:rPr>
        <w:t xml:space="preserve">CCP </w:t>
      </w:r>
      <w:r>
        <w:rPr>
          <w:rFonts w:ascii="Garamond" w:hAnsi="Garamond"/>
          <w:sz w:val="22"/>
          <w:szCs w:val="22"/>
        </w:rPr>
        <w:t xml:space="preserve">currently authorised to clear FX NDF contracts relatively recently </w:t>
      </w:r>
      <w:r w:rsidRPr="00BA2B3E">
        <w:rPr>
          <w:rFonts w:ascii="Garamond" w:hAnsi="Garamond"/>
          <w:sz w:val="22"/>
          <w:szCs w:val="22"/>
        </w:rPr>
        <w:t xml:space="preserve">to drive </w:t>
      </w:r>
      <w:r>
        <w:rPr>
          <w:rFonts w:ascii="Garamond" w:hAnsi="Garamond"/>
          <w:sz w:val="22"/>
          <w:szCs w:val="22"/>
        </w:rPr>
        <w:t xml:space="preserve">these </w:t>
      </w:r>
      <w:r w:rsidRPr="00BA2B3E">
        <w:rPr>
          <w:rFonts w:ascii="Garamond" w:hAnsi="Garamond"/>
          <w:sz w:val="22"/>
          <w:szCs w:val="22"/>
        </w:rPr>
        <w:t xml:space="preserve">contracts into a clearing regime without demonstrating an appropriate level of maturity in and experience with its service offering, including the proper bedding down and “battle-testing” of practices and resolution of key </w:t>
      </w:r>
      <w:r>
        <w:rPr>
          <w:rFonts w:ascii="Garamond" w:hAnsi="Garamond"/>
          <w:sz w:val="22"/>
          <w:szCs w:val="22"/>
        </w:rPr>
        <w:t>unresolved</w:t>
      </w:r>
      <w:r w:rsidRPr="00BA2B3E">
        <w:rPr>
          <w:rFonts w:ascii="Garamond" w:hAnsi="Garamond"/>
          <w:sz w:val="22"/>
          <w:szCs w:val="22"/>
        </w:rPr>
        <w:t xml:space="preserve"> issues.  ESMA’s conclusion that IRS and CDS contracts were appropriate for a clearing mandate via a “bo</w:t>
      </w:r>
      <w:r w:rsidRPr="00BA2B3E">
        <w:rPr>
          <w:rFonts w:ascii="Garamond" w:hAnsi="Garamond"/>
          <w:sz w:val="22"/>
          <w:szCs w:val="22"/>
        </w:rPr>
        <w:t>t</w:t>
      </w:r>
      <w:r w:rsidRPr="00BA2B3E">
        <w:rPr>
          <w:rFonts w:ascii="Garamond" w:hAnsi="Garamond"/>
          <w:sz w:val="22"/>
          <w:szCs w:val="22"/>
        </w:rPr>
        <w:t>tom-up” approach was predicated on a market infrastructures which had demonstrated real operational cap</w:t>
      </w:r>
      <w:r w:rsidRPr="00BA2B3E">
        <w:rPr>
          <w:rFonts w:ascii="Garamond" w:hAnsi="Garamond"/>
          <w:sz w:val="22"/>
          <w:szCs w:val="22"/>
        </w:rPr>
        <w:t>a</w:t>
      </w:r>
      <w:r w:rsidRPr="00BA2B3E">
        <w:rPr>
          <w:rFonts w:ascii="Garamond" w:hAnsi="Garamond"/>
          <w:sz w:val="22"/>
          <w:szCs w:val="22"/>
        </w:rPr>
        <w:t>city to clear such contracts, as evidenced by the statistics noted above</w:t>
      </w:r>
      <w:r>
        <w:rPr>
          <w:rFonts w:ascii="Garamond" w:hAnsi="Garamond"/>
          <w:sz w:val="22"/>
          <w:szCs w:val="22"/>
        </w:rPr>
        <w:t xml:space="preserve"> (i.e., approximately 60% of IRS co</w:t>
      </w:r>
      <w:r>
        <w:rPr>
          <w:rFonts w:ascii="Garamond" w:hAnsi="Garamond"/>
          <w:sz w:val="22"/>
          <w:szCs w:val="22"/>
        </w:rPr>
        <w:t>n</w:t>
      </w:r>
      <w:r>
        <w:rPr>
          <w:rFonts w:ascii="Garamond" w:hAnsi="Garamond"/>
          <w:sz w:val="22"/>
          <w:szCs w:val="22"/>
        </w:rPr>
        <w:t>tracts and 30% of CDS contracts were being voluntarily cleared since 1999 and 2009, respectively)</w:t>
      </w:r>
      <w:r w:rsidRPr="00BA2B3E">
        <w:rPr>
          <w:rFonts w:ascii="Garamond" w:hAnsi="Garamond"/>
          <w:sz w:val="22"/>
          <w:szCs w:val="22"/>
        </w:rPr>
        <w:t xml:space="preserve">.  Making a </w:t>
      </w:r>
      <w:r>
        <w:rPr>
          <w:rFonts w:ascii="Garamond" w:hAnsi="Garamond"/>
          <w:sz w:val="22"/>
          <w:szCs w:val="22"/>
        </w:rPr>
        <w:t xml:space="preserve">clearing </w:t>
      </w:r>
      <w:r w:rsidRPr="00BA2B3E">
        <w:rPr>
          <w:rFonts w:ascii="Garamond" w:hAnsi="Garamond"/>
          <w:sz w:val="22"/>
          <w:szCs w:val="22"/>
        </w:rPr>
        <w:t>determination now, in the context of the FX NDF market as currently constituted, may be better analy</w:t>
      </w:r>
      <w:r>
        <w:rPr>
          <w:rFonts w:ascii="Garamond" w:hAnsi="Garamond"/>
          <w:sz w:val="22"/>
          <w:szCs w:val="22"/>
        </w:rPr>
        <w:t>s</w:t>
      </w:r>
      <w:r w:rsidRPr="00BA2B3E">
        <w:rPr>
          <w:rFonts w:ascii="Garamond" w:hAnsi="Garamond"/>
          <w:sz w:val="22"/>
          <w:szCs w:val="22"/>
        </w:rPr>
        <w:t xml:space="preserve">ed </w:t>
      </w:r>
      <w:r w:rsidRPr="00BA2B3E">
        <w:rPr>
          <w:rFonts w:ascii="Garamond" w:hAnsi="Garamond"/>
          <w:i/>
          <w:sz w:val="22"/>
          <w:szCs w:val="22"/>
        </w:rPr>
        <w:t>substantively</w:t>
      </w:r>
      <w:r w:rsidRPr="00BA2B3E">
        <w:rPr>
          <w:rFonts w:ascii="Garamond" w:hAnsi="Garamond"/>
          <w:sz w:val="22"/>
          <w:szCs w:val="22"/>
        </w:rPr>
        <w:t xml:space="preserve"> through the lens of a “top-down” rather than a “bottom-up” approach.</w:t>
      </w:r>
    </w:p>
    <w:permEnd w:id="8"/>
    <w:p w:rsidR="00CC1C71" w:rsidRDefault="00CC1C71" w:rsidP="00CC1C71">
      <w:r>
        <w:t>&lt;ESMA_CO3_QUESTION_5&gt;</w:t>
      </w:r>
    </w:p>
    <w:p w:rsidR="00CC1C71" w:rsidRDefault="00CC1C71" w:rsidP="00CC1C71"/>
    <w:p w:rsidR="00CC1C71" w:rsidRPr="00301767" w:rsidRDefault="00CC1C71" w:rsidP="00CC1C71">
      <w:pPr>
        <w:pStyle w:val="Heading5"/>
      </w:pPr>
      <w:r>
        <w:t>Do you agree with the proposal to keep the same definition of the categories of cou</w:t>
      </w:r>
      <w:r>
        <w:t>n</w:t>
      </w:r>
      <w:r>
        <w:t>terparties for the NDF classes than for the credit and the interest rate classes</w:t>
      </w:r>
      <w:r w:rsidRPr="004A3DCD">
        <w:t>? Please explain why and possible alternatives.</w:t>
      </w:r>
    </w:p>
    <w:p w:rsidR="00CC1C71" w:rsidRDefault="00CC1C71" w:rsidP="00CC1C71"/>
    <w:p w:rsidR="00CC1C71" w:rsidRDefault="00CC1C71" w:rsidP="00CC1C71">
      <w:r>
        <w:t>&lt;ESMA_CO3_QUESTION_6&gt;</w:t>
      </w:r>
    </w:p>
    <w:p w:rsidR="00CC1C71" w:rsidRPr="00472841" w:rsidRDefault="00472841" w:rsidP="00472841">
      <w:pPr>
        <w:jc w:val="both"/>
        <w:rPr>
          <w:rFonts w:ascii="Garamond" w:hAnsi="Garamond"/>
          <w:sz w:val="22"/>
          <w:szCs w:val="22"/>
        </w:rPr>
      </w:pPr>
      <w:permStart w:id="9" w:edGrp="everyone"/>
      <w:r>
        <w:rPr>
          <w:rFonts w:ascii="Garamond" w:hAnsi="Garamond"/>
          <w:sz w:val="22"/>
          <w:szCs w:val="22"/>
        </w:rPr>
        <w:t>Please refer to our response to Question 8 below.</w:t>
      </w:r>
    </w:p>
    <w:permEnd w:id="9"/>
    <w:p w:rsidR="00CC1C71" w:rsidRDefault="00CC1C71" w:rsidP="00CC1C71">
      <w:r>
        <w:t>&lt;ESMA_CO3_QUESTION_6&gt;</w:t>
      </w:r>
    </w:p>
    <w:p w:rsidR="00CC1C71" w:rsidRDefault="00CC1C71" w:rsidP="00CC1C71"/>
    <w:p w:rsidR="00CC1C71" w:rsidRDefault="00CC1C71" w:rsidP="00CC1C71">
      <w:pPr>
        <w:pStyle w:val="Heading5"/>
      </w:pPr>
      <w:r>
        <w:t xml:space="preserve"> </w:t>
      </w:r>
      <w:r w:rsidRPr="0067104A">
        <w:t>Do you consider that the proposed dates of application ensure a smooth implement</w:t>
      </w:r>
      <w:r w:rsidRPr="0067104A">
        <w:t>a</w:t>
      </w:r>
      <w:r w:rsidRPr="0067104A">
        <w:t>tion of the clearing obligation? Please explain why and possible alternatives.</w:t>
      </w:r>
      <w:bookmarkStart w:id="20" w:name="_Toc392684952"/>
      <w:bookmarkStart w:id="21" w:name="_Toc390952341"/>
      <w:bookmarkStart w:id="22" w:name="_Toc391310571"/>
      <w:bookmarkStart w:id="23" w:name="_Toc391310596"/>
      <w:bookmarkStart w:id="24" w:name="_Toc391310655"/>
      <w:bookmarkStart w:id="25" w:name="_Toc391313047"/>
      <w:bookmarkStart w:id="26" w:name="_Toc390262886"/>
      <w:bookmarkStart w:id="27" w:name="_Toc390262889"/>
      <w:bookmarkStart w:id="28" w:name="_Toc390262891"/>
      <w:bookmarkStart w:id="29" w:name="_Toc390262899"/>
      <w:bookmarkEnd w:id="20"/>
      <w:bookmarkEnd w:id="21"/>
      <w:bookmarkEnd w:id="22"/>
      <w:bookmarkEnd w:id="23"/>
      <w:bookmarkEnd w:id="24"/>
      <w:bookmarkEnd w:id="25"/>
      <w:bookmarkEnd w:id="26"/>
      <w:bookmarkEnd w:id="27"/>
      <w:bookmarkEnd w:id="28"/>
      <w:bookmarkEnd w:id="29"/>
    </w:p>
    <w:p w:rsidR="00CC1C71" w:rsidRDefault="00CC1C71" w:rsidP="00CC1C71"/>
    <w:p w:rsidR="00CC1C71" w:rsidRDefault="00CC1C71" w:rsidP="00CC1C71">
      <w:r>
        <w:t>&lt;ESMA_CO3_QUESTION_7&gt;</w:t>
      </w:r>
    </w:p>
    <w:p w:rsidR="00472841" w:rsidRPr="00FA12F3" w:rsidRDefault="00472841" w:rsidP="00472841">
      <w:pPr>
        <w:jc w:val="both"/>
        <w:rPr>
          <w:rFonts w:ascii="Garamond" w:hAnsi="Garamond"/>
          <w:sz w:val="22"/>
          <w:szCs w:val="22"/>
        </w:rPr>
      </w:pPr>
      <w:permStart w:id="10" w:edGrp="everyone"/>
      <w:r>
        <w:rPr>
          <w:rFonts w:ascii="Garamond" w:hAnsi="Garamond"/>
          <w:sz w:val="22"/>
          <w:szCs w:val="22"/>
        </w:rPr>
        <w:t xml:space="preserve">As indicated in our response to Question 3, </w:t>
      </w:r>
      <w:r w:rsidRPr="00345183">
        <w:rPr>
          <w:rFonts w:ascii="Garamond" w:hAnsi="Garamond"/>
          <w:sz w:val="22"/>
          <w:szCs w:val="22"/>
        </w:rPr>
        <w:t xml:space="preserve">GFXD recommends that ESMA consider whether the reduction of counterparty credit risk to be achieved from mandating participants to move their bilateral exposures to a centrally cleared environment for FX NDF contracts </w:t>
      </w:r>
      <w:r w:rsidRPr="00345183">
        <w:rPr>
          <w:rFonts w:ascii="Garamond" w:hAnsi="Garamond"/>
          <w:sz w:val="22"/>
          <w:szCs w:val="22"/>
          <w:u w:val="single"/>
        </w:rPr>
        <w:t>at this time</w:t>
      </w:r>
      <w:r w:rsidRPr="00345183">
        <w:rPr>
          <w:rFonts w:ascii="Garamond" w:hAnsi="Garamond"/>
          <w:sz w:val="22"/>
          <w:szCs w:val="22"/>
        </w:rPr>
        <w:t xml:space="preserve"> would </w:t>
      </w:r>
      <w:r w:rsidRPr="00345183">
        <w:rPr>
          <w:rFonts w:ascii="Garamond" w:hAnsi="Garamond"/>
          <w:i/>
          <w:sz w:val="22"/>
          <w:szCs w:val="22"/>
        </w:rPr>
        <w:t xml:space="preserve">reduce risk in the aggregate </w:t>
      </w:r>
      <w:r w:rsidRPr="00345183">
        <w:rPr>
          <w:rFonts w:ascii="Garamond" w:hAnsi="Garamond"/>
          <w:sz w:val="22"/>
          <w:szCs w:val="22"/>
        </w:rPr>
        <w:t xml:space="preserve">and, most importantly, also </w:t>
      </w:r>
      <w:r w:rsidRPr="00345183">
        <w:rPr>
          <w:rFonts w:ascii="Garamond" w:hAnsi="Garamond"/>
          <w:i/>
          <w:sz w:val="22"/>
          <w:szCs w:val="22"/>
        </w:rPr>
        <w:t>reduce systemic risk.</w:t>
      </w:r>
      <w:r w:rsidRPr="00345183">
        <w:rPr>
          <w:rFonts w:ascii="Garamond" w:hAnsi="Garamond"/>
          <w:sz w:val="22"/>
          <w:szCs w:val="22"/>
        </w:rPr>
        <w:t xml:space="preserve">  If ESMA were to conclude that it would </w:t>
      </w:r>
      <w:r>
        <w:rPr>
          <w:rFonts w:ascii="Garamond" w:hAnsi="Garamond"/>
          <w:sz w:val="22"/>
          <w:szCs w:val="22"/>
        </w:rPr>
        <w:t xml:space="preserve">do so </w:t>
      </w:r>
      <w:r w:rsidRPr="00345183">
        <w:rPr>
          <w:rFonts w:ascii="Garamond" w:hAnsi="Garamond"/>
          <w:sz w:val="22"/>
          <w:szCs w:val="22"/>
        </w:rPr>
        <w:t xml:space="preserve">and, as a result, </w:t>
      </w:r>
      <w:r w:rsidRPr="00345183">
        <w:rPr>
          <w:rFonts w:ascii="Garamond" w:eastAsiaTheme="minorHAnsi" w:hAnsi="Garamond"/>
          <w:sz w:val="22"/>
          <w:szCs w:val="22"/>
        </w:rPr>
        <w:t>reco</w:t>
      </w:r>
      <w:r w:rsidRPr="00345183">
        <w:rPr>
          <w:rFonts w:ascii="Garamond" w:eastAsiaTheme="minorHAnsi" w:hAnsi="Garamond"/>
          <w:sz w:val="22"/>
          <w:szCs w:val="22"/>
        </w:rPr>
        <w:t>m</w:t>
      </w:r>
      <w:r w:rsidRPr="00345183">
        <w:rPr>
          <w:rFonts w:ascii="Garamond" w:eastAsiaTheme="minorHAnsi" w:hAnsi="Garamond"/>
          <w:sz w:val="22"/>
          <w:szCs w:val="22"/>
        </w:rPr>
        <w:t xml:space="preserve">mend to the European Commission that a clearing obligation be introduced for FX NDF contracts at this time, a sufficiently tailored clearing obligation, lengthened phase-in for compliance and global coordination would be necessary to </w:t>
      </w:r>
      <w:r>
        <w:rPr>
          <w:rFonts w:ascii="Garamond" w:eastAsiaTheme="minorHAnsi" w:hAnsi="Garamond"/>
          <w:sz w:val="22"/>
          <w:szCs w:val="22"/>
        </w:rPr>
        <w:t>minimise</w:t>
      </w:r>
      <w:r w:rsidRPr="00345183">
        <w:rPr>
          <w:rFonts w:ascii="Garamond" w:eastAsiaTheme="minorHAnsi" w:hAnsi="Garamond"/>
          <w:sz w:val="22"/>
          <w:szCs w:val="22"/>
        </w:rPr>
        <w:t xml:space="preserve"> the risk that </w:t>
      </w:r>
      <w:r w:rsidRPr="00345183">
        <w:rPr>
          <w:rFonts w:ascii="Garamond" w:hAnsi="Garamond"/>
          <w:sz w:val="22"/>
          <w:szCs w:val="22"/>
        </w:rPr>
        <w:t xml:space="preserve">the implementation of </w:t>
      </w:r>
      <w:r>
        <w:rPr>
          <w:rFonts w:ascii="Garamond" w:hAnsi="Garamond"/>
          <w:sz w:val="22"/>
          <w:szCs w:val="22"/>
        </w:rPr>
        <w:t xml:space="preserve">clearing obligations </w:t>
      </w:r>
      <w:r w:rsidRPr="00345183">
        <w:rPr>
          <w:rFonts w:ascii="Garamond" w:hAnsi="Garamond"/>
          <w:sz w:val="22"/>
          <w:szCs w:val="22"/>
        </w:rPr>
        <w:t>(and with due consi</w:t>
      </w:r>
      <w:r w:rsidRPr="00345183">
        <w:rPr>
          <w:rFonts w:ascii="Garamond" w:hAnsi="Garamond"/>
          <w:sz w:val="22"/>
          <w:szCs w:val="22"/>
        </w:rPr>
        <w:t>d</w:t>
      </w:r>
      <w:r w:rsidRPr="00345183">
        <w:rPr>
          <w:rFonts w:ascii="Garamond" w:hAnsi="Garamond"/>
          <w:sz w:val="22"/>
          <w:szCs w:val="22"/>
        </w:rPr>
        <w:t>eration of trading obligations) in Europe and elsewhere is not unnecessarily disruptive to the this global currency market.</w:t>
      </w:r>
      <w:r>
        <w:rPr>
          <w:rFonts w:ascii="Garamond" w:hAnsi="Garamond"/>
          <w:sz w:val="22"/>
          <w:szCs w:val="22"/>
        </w:rPr>
        <w:t xml:space="preserve">  With this in mind, </w:t>
      </w:r>
      <w:r w:rsidRPr="00FA12F3">
        <w:rPr>
          <w:rFonts w:ascii="Garamond" w:hAnsi="Garamond"/>
          <w:sz w:val="22"/>
          <w:szCs w:val="22"/>
        </w:rPr>
        <w:t>GFXD suggests the following phase</w:t>
      </w:r>
      <w:r>
        <w:rPr>
          <w:rFonts w:ascii="Garamond" w:hAnsi="Garamond"/>
          <w:sz w:val="22"/>
          <w:szCs w:val="22"/>
        </w:rPr>
        <w:t>-</w:t>
      </w:r>
      <w:r w:rsidRPr="00FA12F3">
        <w:rPr>
          <w:rFonts w:ascii="Garamond" w:hAnsi="Garamond"/>
          <w:sz w:val="22"/>
          <w:szCs w:val="22"/>
        </w:rPr>
        <w:t xml:space="preserve">in schedule (taking into account the modifications suggested in </w:t>
      </w:r>
      <w:r>
        <w:rPr>
          <w:rFonts w:ascii="Garamond" w:hAnsi="Garamond"/>
          <w:sz w:val="22"/>
          <w:szCs w:val="22"/>
        </w:rPr>
        <w:t xml:space="preserve">the ISDA-FIA </w:t>
      </w:r>
      <w:r w:rsidR="004771DE">
        <w:rPr>
          <w:rFonts w:ascii="Garamond" w:hAnsi="Garamond"/>
          <w:sz w:val="22"/>
          <w:szCs w:val="22"/>
        </w:rPr>
        <w:t xml:space="preserve">Europe </w:t>
      </w:r>
      <w:r>
        <w:rPr>
          <w:rFonts w:ascii="Garamond" w:hAnsi="Garamond"/>
          <w:sz w:val="22"/>
          <w:szCs w:val="22"/>
        </w:rPr>
        <w:t xml:space="preserve">FX NDF Response to Question </w:t>
      </w:r>
      <w:r w:rsidRPr="00FA12F3">
        <w:rPr>
          <w:rFonts w:ascii="Garamond" w:hAnsi="Garamond"/>
          <w:sz w:val="22"/>
          <w:szCs w:val="22"/>
        </w:rPr>
        <w:t>6</w:t>
      </w:r>
      <w:r>
        <w:rPr>
          <w:rFonts w:ascii="Garamond" w:hAnsi="Garamond"/>
          <w:sz w:val="22"/>
          <w:szCs w:val="22"/>
        </w:rPr>
        <w:t>)</w:t>
      </w:r>
      <w:r w:rsidRPr="00FA12F3">
        <w:rPr>
          <w:rFonts w:ascii="Garamond" w:hAnsi="Garamond"/>
          <w:sz w:val="22"/>
          <w:szCs w:val="22"/>
        </w:rPr>
        <w:t>:</w:t>
      </w:r>
    </w:p>
    <w:p w:rsidR="00472841" w:rsidRPr="00FA12F3" w:rsidRDefault="00472841" w:rsidP="00472841">
      <w:pPr>
        <w:jc w:val="both"/>
        <w:rPr>
          <w:rFonts w:ascii="Garamond" w:hAnsi="Garamond"/>
          <w:sz w:val="22"/>
          <w:szCs w:val="22"/>
        </w:rPr>
      </w:pPr>
    </w:p>
    <w:p w:rsidR="00472841" w:rsidRPr="00FA12F3" w:rsidRDefault="00472841" w:rsidP="00472841">
      <w:pPr>
        <w:pStyle w:val="ListParagraph"/>
        <w:numPr>
          <w:ilvl w:val="0"/>
          <w:numId w:val="43"/>
        </w:numPr>
        <w:spacing w:after="200"/>
        <w:contextualSpacing w:val="0"/>
        <w:jc w:val="both"/>
        <w:rPr>
          <w:rFonts w:ascii="Garamond" w:hAnsi="Garamond"/>
          <w:sz w:val="22"/>
          <w:szCs w:val="22"/>
        </w:rPr>
      </w:pPr>
      <w:r w:rsidRPr="00FA12F3">
        <w:rPr>
          <w:rFonts w:ascii="Garamond" w:hAnsi="Garamond"/>
          <w:sz w:val="22"/>
          <w:szCs w:val="22"/>
        </w:rPr>
        <w:t xml:space="preserve">Twelve (12) months </w:t>
      </w:r>
      <w:r>
        <w:rPr>
          <w:rFonts w:ascii="Garamond" w:hAnsi="Garamond"/>
          <w:sz w:val="22"/>
          <w:szCs w:val="22"/>
        </w:rPr>
        <w:t xml:space="preserve">after the entry into force of the </w:t>
      </w:r>
      <w:r w:rsidRPr="00FA12F3">
        <w:rPr>
          <w:rFonts w:ascii="Garamond" w:hAnsi="Garamond"/>
          <w:sz w:val="22"/>
          <w:szCs w:val="22"/>
        </w:rPr>
        <w:t>RTS, category 1 entities would become subject to the clearing mandate with respect to trades with other category 1 entities;</w:t>
      </w:r>
    </w:p>
    <w:p w:rsidR="00472841" w:rsidRPr="00FA12F3" w:rsidRDefault="00472841" w:rsidP="00472841">
      <w:pPr>
        <w:pStyle w:val="ListParagraph"/>
        <w:numPr>
          <w:ilvl w:val="0"/>
          <w:numId w:val="43"/>
        </w:numPr>
        <w:spacing w:after="200"/>
        <w:contextualSpacing w:val="0"/>
        <w:jc w:val="both"/>
        <w:rPr>
          <w:rFonts w:ascii="Garamond" w:hAnsi="Garamond"/>
          <w:sz w:val="22"/>
          <w:szCs w:val="22"/>
        </w:rPr>
      </w:pPr>
      <w:r w:rsidRPr="00FA12F3">
        <w:rPr>
          <w:rFonts w:ascii="Garamond" w:hAnsi="Garamond"/>
          <w:sz w:val="22"/>
          <w:szCs w:val="22"/>
        </w:rPr>
        <w:t xml:space="preserve">Twenty-four (24) months </w:t>
      </w:r>
      <w:r>
        <w:rPr>
          <w:rFonts w:ascii="Garamond" w:hAnsi="Garamond"/>
          <w:sz w:val="22"/>
          <w:szCs w:val="22"/>
        </w:rPr>
        <w:t xml:space="preserve">after the entry into force of the </w:t>
      </w:r>
      <w:r w:rsidRPr="00FA12F3">
        <w:rPr>
          <w:rFonts w:ascii="Garamond" w:hAnsi="Garamond"/>
          <w:sz w:val="22"/>
          <w:szCs w:val="22"/>
        </w:rPr>
        <w:t>RTS, category 2 entities would become su</w:t>
      </w:r>
      <w:r w:rsidRPr="00FA12F3">
        <w:rPr>
          <w:rFonts w:ascii="Garamond" w:hAnsi="Garamond"/>
          <w:sz w:val="22"/>
          <w:szCs w:val="22"/>
        </w:rPr>
        <w:t>b</w:t>
      </w:r>
      <w:r w:rsidRPr="00FA12F3">
        <w:rPr>
          <w:rFonts w:ascii="Garamond" w:hAnsi="Garamond"/>
          <w:sz w:val="22"/>
          <w:szCs w:val="22"/>
        </w:rPr>
        <w:t>ject to the clearing mandate with respect to trades with category 1 entities and other category 2 ent</w:t>
      </w:r>
      <w:r w:rsidRPr="00FA12F3">
        <w:rPr>
          <w:rFonts w:ascii="Garamond" w:hAnsi="Garamond"/>
          <w:sz w:val="22"/>
          <w:szCs w:val="22"/>
        </w:rPr>
        <w:t>i</w:t>
      </w:r>
      <w:r w:rsidRPr="00FA12F3">
        <w:rPr>
          <w:rFonts w:ascii="Garamond" w:hAnsi="Garamond"/>
          <w:sz w:val="22"/>
          <w:szCs w:val="22"/>
        </w:rPr>
        <w:t xml:space="preserve">ties; </w:t>
      </w:r>
    </w:p>
    <w:p w:rsidR="00472841" w:rsidRPr="00FA12F3" w:rsidRDefault="00472841" w:rsidP="00472841">
      <w:pPr>
        <w:pStyle w:val="ListParagraph"/>
        <w:numPr>
          <w:ilvl w:val="0"/>
          <w:numId w:val="43"/>
        </w:numPr>
        <w:spacing w:after="200"/>
        <w:contextualSpacing w:val="0"/>
        <w:jc w:val="both"/>
        <w:rPr>
          <w:rFonts w:ascii="Garamond" w:hAnsi="Garamond"/>
          <w:sz w:val="22"/>
          <w:szCs w:val="22"/>
        </w:rPr>
      </w:pPr>
      <w:r w:rsidRPr="00FA12F3">
        <w:rPr>
          <w:rFonts w:ascii="Garamond" w:hAnsi="Garamond"/>
          <w:sz w:val="22"/>
          <w:szCs w:val="22"/>
        </w:rPr>
        <w:t xml:space="preserve">Thirty (30) months </w:t>
      </w:r>
      <w:r>
        <w:rPr>
          <w:rFonts w:ascii="Garamond" w:hAnsi="Garamond"/>
          <w:sz w:val="22"/>
          <w:szCs w:val="22"/>
        </w:rPr>
        <w:t xml:space="preserve">after the entry into force of the </w:t>
      </w:r>
      <w:r w:rsidRPr="00FA12F3">
        <w:rPr>
          <w:rFonts w:ascii="Garamond" w:hAnsi="Garamond"/>
          <w:sz w:val="22"/>
          <w:szCs w:val="22"/>
        </w:rPr>
        <w:t>RTS, category 3 entities would become subject to the clearing mandate with respect to trade with category 1 and 2 entities, and trade with other cat</w:t>
      </w:r>
      <w:r w:rsidRPr="00FA12F3">
        <w:rPr>
          <w:rFonts w:ascii="Garamond" w:hAnsi="Garamond"/>
          <w:sz w:val="22"/>
          <w:szCs w:val="22"/>
        </w:rPr>
        <w:t>e</w:t>
      </w:r>
      <w:r w:rsidRPr="00FA12F3">
        <w:rPr>
          <w:rFonts w:ascii="Garamond" w:hAnsi="Garamond"/>
          <w:sz w:val="22"/>
          <w:szCs w:val="22"/>
        </w:rPr>
        <w:t xml:space="preserve">gory entities; and </w:t>
      </w:r>
    </w:p>
    <w:p w:rsidR="00472841" w:rsidRPr="00FA12F3" w:rsidRDefault="00472841" w:rsidP="00472841">
      <w:pPr>
        <w:pStyle w:val="ListParagraph"/>
        <w:numPr>
          <w:ilvl w:val="0"/>
          <w:numId w:val="43"/>
        </w:numPr>
        <w:spacing w:after="200"/>
        <w:contextualSpacing w:val="0"/>
        <w:jc w:val="both"/>
        <w:rPr>
          <w:rFonts w:ascii="Garamond" w:hAnsi="Garamond"/>
          <w:sz w:val="22"/>
          <w:szCs w:val="22"/>
        </w:rPr>
      </w:pPr>
      <w:r w:rsidRPr="00FA12F3">
        <w:rPr>
          <w:rFonts w:ascii="Garamond" w:hAnsi="Garamond"/>
          <w:sz w:val="22"/>
          <w:szCs w:val="22"/>
        </w:rPr>
        <w:t xml:space="preserve">Thirty-six (36) </w:t>
      </w:r>
      <w:r>
        <w:rPr>
          <w:rFonts w:ascii="Garamond" w:hAnsi="Garamond"/>
          <w:sz w:val="22"/>
          <w:szCs w:val="22"/>
        </w:rPr>
        <w:t xml:space="preserve">after the entry into force of the </w:t>
      </w:r>
      <w:r w:rsidRPr="00FA12F3">
        <w:rPr>
          <w:rFonts w:ascii="Garamond" w:hAnsi="Garamond"/>
          <w:sz w:val="22"/>
          <w:szCs w:val="22"/>
        </w:rPr>
        <w:t>RTS, category 4 entities would become subject to the clearing mandate.</w:t>
      </w:r>
    </w:p>
    <w:p w:rsidR="00472841" w:rsidRDefault="00472841" w:rsidP="00472841">
      <w:pPr>
        <w:jc w:val="both"/>
        <w:rPr>
          <w:rFonts w:ascii="Garamond" w:hAnsi="Garamond"/>
          <w:sz w:val="22"/>
          <w:szCs w:val="22"/>
        </w:rPr>
      </w:pPr>
    </w:p>
    <w:p w:rsidR="00472841" w:rsidRDefault="00472841" w:rsidP="00472841">
      <w:pPr>
        <w:jc w:val="both"/>
        <w:rPr>
          <w:rFonts w:ascii="Garamond" w:hAnsi="Garamond"/>
          <w:sz w:val="22"/>
          <w:szCs w:val="22"/>
        </w:rPr>
      </w:pPr>
      <w:r w:rsidRPr="00FA12F3">
        <w:rPr>
          <w:rFonts w:ascii="Garamond" w:hAnsi="Garamond"/>
          <w:sz w:val="22"/>
          <w:szCs w:val="22"/>
        </w:rPr>
        <w:t xml:space="preserve">GFXD believes the above </w:t>
      </w:r>
      <w:r>
        <w:rPr>
          <w:rFonts w:ascii="Garamond" w:hAnsi="Garamond"/>
          <w:sz w:val="22"/>
          <w:szCs w:val="22"/>
        </w:rPr>
        <w:t xml:space="preserve">suggested minimum </w:t>
      </w:r>
      <w:r w:rsidRPr="00FA12F3">
        <w:rPr>
          <w:rFonts w:ascii="Garamond" w:hAnsi="Garamond"/>
          <w:sz w:val="22"/>
          <w:szCs w:val="22"/>
        </w:rPr>
        <w:t xml:space="preserve">phase-in schedule is </w:t>
      </w:r>
      <w:r>
        <w:rPr>
          <w:rFonts w:ascii="Garamond" w:hAnsi="Garamond"/>
          <w:sz w:val="22"/>
          <w:szCs w:val="22"/>
        </w:rPr>
        <w:t>necessary for a variety of reasons:</w:t>
      </w:r>
    </w:p>
    <w:p w:rsidR="00472841" w:rsidRDefault="00472841" w:rsidP="00472841">
      <w:pPr>
        <w:jc w:val="both"/>
        <w:rPr>
          <w:rFonts w:ascii="Garamond" w:hAnsi="Garamond"/>
          <w:sz w:val="22"/>
          <w:szCs w:val="22"/>
        </w:rPr>
      </w:pPr>
    </w:p>
    <w:p w:rsidR="00472841" w:rsidRDefault="00472841" w:rsidP="00472841">
      <w:pPr>
        <w:pStyle w:val="ListParagraph"/>
        <w:numPr>
          <w:ilvl w:val="0"/>
          <w:numId w:val="44"/>
        </w:numPr>
        <w:contextualSpacing w:val="0"/>
        <w:jc w:val="both"/>
        <w:rPr>
          <w:rFonts w:ascii="Garamond" w:hAnsi="Garamond"/>
          <w:sz w:val="22"/>
          <w:szCs w:val="22"/>
        </w:rPr>
      </w:pPr>
      <w:r>
        <w:rPr>
          <w:rFonts w:ascii="Garamond" w:hAnsi="Garamond"/>
          <w:sz w:val="22"/>
          <w:szCs w:val="22"/>
        </w:rPr>
        <w:lastRenderedPageBreak/>
        <w:t>A</w:t>
      </w:r>
      <w:r w:rsidRPr="00E81D00">
        <w:rPr>
          <w:rFonts w:ascii="Garamond" w:hAnsi="Garamond"/>
          <w:sz w:val="22"/>
          <w:szCs w:val="22"/>
        </w:rPr>
        <w:t>s noted previously, clearing services for FX NDFs are in their infancy compared to rates and credit.  At a similar stage, far more market participants had voluntarily adopted clearing of rates and credit products.  FX NDF clearing is simply starting from a much lower baseline.</w:t>
      </w:r>
    </w:p>
    <w:p w:rsidR="00472841" w:rsidRDefault="00472841" w:rsidP="00472841">
      <w:pPr>
        <w:pStyle w:val="ListParagraph"/>
        <w:jc w:val="both"/>
        <w:rPr>
          <w:rFonts w:ascii="Garamond" w:hAnsi="Garamond"/>
          <w:sz w:val="22"/>
          <w:szCs w:val="22"/>
        </w:rPr>
      </w:pPr>
    </w:p>
    <w:p w:rsidR="00472841" w:rsidRPr="00E81D00" w:rsidRDefault="00472841" w:rsidP="00472841">
      <w:pPr>
        <w:pStyle w:val="ListParagraph"/>
        <w:numPr>
          <w:ilvl w:val="0"/>
          <w:numId w:val="44"/>
        </w:numPr>
        <w:contextualSpacing w:val="0"/>
        <w:jc w:val="both"/>
        <w:rPr>
          <w:rFonts w:ascii="Garamond" w:hAnsi="Garamond"/>
          <w:sz w:val="22"/>
          <w:szCs w:val="22"/>
        </w:rPr>
      </w:pPr>
      <w:r w:rsidRPr="00E81D00">
        <w:rPr>
          <w:rFonts w:ascii="Garamond" w:hAnsi="Garamond"/>
          <w:sz w:val="22"/>
          <w:szCs w:val="22"/>
        </w:rPr>
        <w:t>Client clearing, in particular, is far less developed in FX NDFs.  While ESMA correctly notes in its Consultation Paper that there are currently 17 clearing members in NDFs at LCH, only 2 of those currently offer client clearing.  Financial counterparties likely do not have operational capacity to build out the necessary infrastructure, and in some cases even qualify, to become clearing members the</w:t>
      </w:r>
      <w:r w:rsidRPr="00E81D00">
        <w:rPr>
          <w:rFonts w:ascii="Garamond" w:hAnsi="Garamond"/>
          <w:sz w:val="22"/>
          <w:szCs w:val="22"/>
        </w:rPr>
        <w:t>m</w:t>
      </w:r>
      <w:r w:rsidRPr="00E81D00">
        <w:rPr>
          <w:rFonts w:ascii="Garamond" w:hAnsi="Garamond"/>
          <w:sz w:val="22"/>
          <w:szCs w:val="22"/>
        </w:rPr>
        <w:t xml:space="preserve">selves, and thus will need to clear their FX NDF contracts indirectly through other clearing members.  Any phase-in schedule will need to include sufficient time for existing clearing members to build out systems to support client clearing as such capacity today does not meaningfully exist. </w:t>
      </w:r>
    </w:p>
    <w:p w:rsidR="00472841" w:rsidRPr="00E81D00" w:rsidRDefault="00472841" w:rsidP="00472841">
      <w:pPr>
        <w:jc w:val="both"/>
        <w:rPr>
          <w:rFonts w:ascii="Garamond" w:hAnsi="Garamond"/>
          <w:sz w:val="22"/>
          <w:szCs w:val="22"/>
        </w:rPr>
      </w:pPr>
    </w:p>
    <w:p w:rsidR="00472841" w:rsidRPr="00E81D00" w:rsidRDefault="00472841" w:rsidP="00472841">
      <w:pPr>
        <w:pStyle w:val="ListParagraph"/>
        <w:numPr>
          <w:ilvl w:val="0"/>
          <w:numId w:val="44"/>
        </w:numPr>
        <w:contextualSpacing w:val="0"/>
        <w:jc w:val="both"/>
        <w:rPr>
          <w:rFonts w:ascii="Garamond" w:hAnsi="Garamond"/>
          <w:sz w:val="22"/>
          <w:szCs w:val="22"/>
        </w:rPr>
      </w:pPr>
      <w:r w:rsidRPr="00E81D00">
        <w:rPr>
          <w:rFonts w:ascii="Garamond" w:hAnsi="Garamond"/>
          <w:sz w:val="22"/>
          <w:szCs w:val="22"/>
        </w:rPr>
        <w:t xml:space="preserve">The entities transitioning to clearing in these markets are likely to be far less familiar with clearing.  </w:t>
      </w:r>
      <w:r>
        <w:rPr>
          <w:rFonts w:ascii="Garamond" w:hAnsi="Garamond"/>
          <w:sz w:val="22"/>
          <w:szCs w:val="22"/>
        </w:rPr>
        <w:t xml:space="preserve">This is due to the fact that </w:t>
      </w:r>
      <w:r w:rsidRPr="00E81D00">
        <w:rPr>
          <w:rFonts w:ascii="Garamond" w:hAnsi="Garamond"/>
          <w:sz w:val="22"/>
          <w:szCs w:val="22"/>
        </w:rPr>
        <w:t>FX NDF contracts are often used to hedge currency risk associated with underlying commercial activity in emerging market jurisdictions with restricted currencies, many ent</w:t>
      </w:r>
      <w:r w:rsidRPr="00E81D00">
        <w:rPr>
          <w:rFonts w:ascii="Garamond" w:hAnsi="Garamond"/>
          <w:sz w:val="22"/>
          <w:szCs w:val="22"/>
        </w:rPr>
        <w:t>i</w:t>
      </w:r>
      <w:r w:rsidRPr="00E81D00">
        <w:rPr>
          <w:rFonts w:ascii="Garamond" w:hAnsi="Garamond"/>
          <w:sz w:val="22"/>
          <w:szCs w:val="22"/>
        </w:rPr>
        <w:t>ties which will be subject to an FX NDF clearing obligation will not be subject to an existing / pr</w:t>
      </w:r>
      <w:r w:rsidRPr="00E81D00">
        <w:rPr>
          <w:rFonts w:ascii="Garamond" w:hAnsi="Garamond"/>
          <w:sz w:val="22"/>
          <w:szCs w:val="22"/>
        </w:rPr>
        <w:t>o</w:t>
      </w:r>
      <w:r w:rsidRPr="00E81D00">
        <w:rPr>
          <w:rFonts w:ascii="Garamond" w:hAnsi="Garamond"/>
          <w:sz w:val="22"/>
          <w:szCs w:val="22"/>
        </w:rPr>
        <w:t xml:space="preserve">posed IRS or CDS clearing obligation.  This phenomenon is, in contrast to other OTC derivative products, particularly acute for the FX NDF market where firms in developed markets (e.g., Europe or U.S.) are sourcing liquidity (and thus “price-takers”) from local providers (e.g., Latin America or Asia, and thus “price-makers”) who will then be brought into scope of clearing obligations which do not exist, or do not yet exist, in their local jurisdictions. </w:t>
      </w:r>
    </w:p>
    <w:p w:rsidR="00472841" w:rsidRPr="00E81D00" w:rsidRDefault="00472841" w:rsidP="00472841">
      <w:pPr>
        <w:jc w:val="both"/>
        <w:rPr>
          <w:rFonts w:ascii="Garamond" w:hAnsi="Garamond"/>
          <w:sz w:val="22"/>
          <w:szCs w:val="22"/>
        </w:rPr>
      </w:pPr>
    </w:p>
    <w:p w:rsidR="00472841" w:rsidRDefault="00472841" w:rsidP="00472841">
      <w:pPr>
        <w:pStyle w:val="ListParagraph"/>
        <w:numPr>
          <w:ilvl w:val="0"/>
          <w:numId w:val="44"/>
        </w:numPr>
        <w:contextualSpacing w:val="0"/>
        <w:jc w:val="both"/>
        <w:rPr>
          <w:rFonts w:ascii="Garamond" w:hAnsi="Garamond"/>
          <w:sz w:val="22"/>
          <w:szCs w:val="22"/>
        </w:rPr>
      </w:pPr>
      <w:r>
        <w:rPr>
          <w:rFonts w:ascii="Garamond" w:hAnsi="Garamond"/>
          <w:sz w:val="22"/>
          <w:szCs w:val="22"/>
        </w:rPr>
        <w:t>T</w:t>
      </w:r>
      <w:r w:rsidRPr="00E81D00">
        <w:rPr>
          <w:rFonts w:ascii="Garamond" w:hAnsi="Garamond"/>
          <w:sz w:val="22"/>
          <w:szCs w:val="22"/>
        </w:rPr>
        <w:t>his phase-in schedule will hopefully give ESMA and other regulators sufficient time to coordinate the timing of clearing requirements and mandatory trading requirements such that they can be aligned as closely as possible.  While the proposal at issue here concerns only the clearing of these 11 instr</w:t>
      </w:r>
      <w:r w:rsidRPr="00E81D00">
        <w:rPr>
          <w:rFonts w:ascii="Garamond" w:hAnsi="Garamond"/>
          <w:sz w:val="22"/>
          <w:szCs w:val="22"/>
        </w:rPr>
        <w:t>u</w:t>
      </w:r>
      <w:r w:rsidRPr="00E81D00">
        <w:rPr>
          <w:rFonts w:ascii="Garamond" w:hAnsi="Garamond"/>
          <w:sz w:val="22"/>
          <w:szCs w:val="22"/>
        </w:rPr>
        <w:t>ments</w:t>
      </w:r>
      <w:r>
        <w:rPr>
          <w:rFonts w:ascii="Garamond" w:hAnsi="Garamond"/>
          <w:sz w:val="22"/>
          <w:szCs w:val="22"/>
        </w:rPr>
        <w:t xml:space="preserve"> under EMIR, </w:t>
      </w:r>
      <w:r w:rsidRPr="00E81D00">
        <w:rPr>
          <w:rFonts w:ascii="Garamond" w:hAnsi="Garamond"/>
          <w:sz w:val="22"/>
          <w:szCs w:val="22"/>
        </w:rPr>
        <w:t>the practical impact of a recommendation by ESMA in favour of a clearing ma</w:t>
      </w:r>
      <w:r w:rsidRPr="00E81D00">
        <w:rPr>
          <w:rFonts w:ascii="Garamond" w:hAnsi="Garamond"/>
          <w:sz w:val="22"/>
          <w:szCs w:val="22"/>
        </w:rPr>
        <w:t>n</w:t>
      </w:r>
      <w:r w:rsidRPr="00E81D00">
        <w:rPr>
          <w:rFonts w:ascii="Garamond" w:hAnsi="Garamond"/>
          <w:sz w:val="22"/>
          <w:szCs w:val="22"/>
        </w:rPr>
        <w:t xml:space="preserve">date as applied to FX NDFs may be to set in motion the clearing and mandatory trading of NDFs in other jurisdictions.  It is important that in adopting a mandate, ESMA and other regulators carefully manage and coordinate the knock-on regulatory effects and the timing of both clearing </w:t>
      </w:r>
      <w:r w:rsidRPr="00E81D00">
        <w:rPr>
          <w:rFonts w:ascii="Garamond" w:hAnsi="Garamond"/>
          <w:sz w:val="22"/>
          <w:szCs w:val="22"/>
          <w:u w:val="single"/>
        </w:rPr>
        <w:t>and</w:t>
      </w:r>
      <w:r w:rsidRPr="00E81D00">
        <w:rPr>
          <w:rFonts w:ascii="Garamond" w:hAnsi="Garamond"/>
          <w:sz w:val="22"/>
          <w:szCs w:val="22"/>
        </w:rPr>
        <w:t xml:space="preserve"> trading requirements, both in the EU and elsewhere, so as not to create unnecessary risks.</w:t>
      </w:r>
    </w:p>
    <w:p w:rsidR="00472841" w:rsidRPr="00E81D00" w:rsidRDefault="00472841" w:rsidP="00472841">
      <w:pPr>
        <w:pStyle w:val="ListParagraph"/>
        <w:rPr>
          <w:rFonts w:ascii="Garamond" w:hAnsi="Garamond"/>
          <w:sz w:val="22"/>
          <w:szCs w:val="22"/>
        </w:rPr>
      </w:pPr>
    </w:p>
    <w:p w:rsidR="00472841" w:rsidRDefault="00472841" w:rsidP="00472841">
      <w:pPr>
        <w:pStyle w:val="ListParagraph"/>
        <w:jc w:val="both"/>
        <w:rPr>
          <w:rFonts w:ascii="Garamond" w:hAnsi="Garamond"/>
          <w:sz w:val="22"/>
          <w:szCs w:val="22"/>
        </w:rPr>
      </w:pPr>
      <w:r w:rsidRPr="00E81D00">
        <w:rPr>
          <w:rFonts w:ascii="Garamond" w:hAnsi="Garamond"/>
          <w:sz w:val="22"/>
          <w:szCs w:val="22"/>
        </w:rPr>
        <w:t>For the above reasons, should ESMA recommend a clearing mandate but the U.S. regulator does not, the market would be significantly impacted, to its detriment.  If the CFTC adopts a clearing mandate as well, it will be critically important to align the timing of those mandates to eliminate or minimise any timing differences and a longer phase-in schedule should facilitate this coordination.  Alignment of clearing implementation dates is particularly important for the global FX NDF market.  Absent global coordination on the introduction of a clearing mandate for FX NDF contracts, emerging ma</w:t>
      </w:r>
      <w:r w:rsidRPr="00E81D00">
        <w:rPr>
          <w:rFonts w:ascii="Garamond" w:hAnsi="Garamond"/>
          <w:sz w:val="22"/>
          <w:szCs w:val="22"/>
        </w:rPr>
        <w:t>r</w:t>
      </w:r>
      <w:r w:rsidRPr="00E81D00">
        <w:rPr>
          <w:rFonts w:ascii="Garamond" w:hAnsi="Garamond"/>
          <w:sz w:val="22"/>
          <w:szCs w:val="22"/>
        </w:rPr>
        <w:t xml:space="preserve">ket liquidity providers not subject to a clearing requirement in their home jurisdiction may opt not to provide prices to counterparties subject to a clearing mandate, given the costs of clearing, resulting in a bifurcation of liquidity in these currency markets.  </w:t>
      </w:r>
    </w:p>
    <w:p w:rsidR="00472841" w:rsidRDefault="00472841" w:rsidP="00472841">
      <w:pPr>
        <w:pStyle w:val="ListParagraph"/>
        <w:jc w:val="both"/>
        <w:rPr>
          <w:rFonts w:ascii="Garamond" w:hAnsi="Garamond"/>
          <w:sz w:val="22"/>
          <w:szCs w:val="22"/>
        </w:rPr>
      </w:pPr>
    </w:p>
    <w:p w:rsidR="00CC1C71" w:rsidRDefault="00472841" w:rsidP="00CC1C71">
      <w:r w:rsidRPr="00FA12F3">
        <w:rPr>
          <w:rFonts w:ascii="Garamond" w:hAnsi="Garamond"/>
          <w:sz w:val="22"/>
          <w:szCs w:val="22"/>
        </w:rPr>
        <w:t>In addition, because of the structure of U.S. law, mandatory trading of NDFs on SEFs would likely follow a U.S. clearing mandate as a matter of course.</w:t>
      </w:r>
      <w:r w:rsidRPr="00FA12F3">
        <w:rPr>
          <w:rStyle w:val="FootnoteReference"/>
          <w:rFonts w:ascii="Garamond" w:hAnsi="Garamond"/>
          <w:sz w:val="22"/>
          <w:szCs w:val="22"/>
        </w:rPr>
        <w:footnoteReference w:id="28"/>
      </w:r>
      <w:r w:rsidRPr="00FA12F3">
        <w:rPr>
          <w:rFonts w:ascii="Garamond" w:hAnsi="Garamond"/>
          <w:sz w:val="22"/>
          <w:szCs w:val="22"/>
        </w:rPr>
        <w:t xml:space="preserve">  </w:t>
      </w:r>
      <w:r>
        <w:rPr>
          <w:rFonts w:ascii="Garamond" w:hAnsi="Garamond"/>
          <w:sz w:val="22"/>
          <w:szCs w:val="22"/>
        </w:rPr>
        <w:t>In addition to the residual issues that have arisen in the IRS and CDS markets in response to clearing and trading mandates in the U.S. noted in our response to Question 5 above, i</w:t>
      </w:r>
      <w:r w:rsidRPr="00FA12F3">
        <w:rPr>
          <w:rFonts w:ascii="Garamond" w:hAnsi="Garamond"/>
          <w:sz w:val="22"/>
          <w:szCs w:val="22"/>
        </w:rPr>
        <w:t xml:space="preserve">t has been widely observed the registration of SEFs and the mandatory trading of IRS and CDS </w:t>
      </w:r>
      <w:r w:rsidRPr="00FA12F3">
        <w:rPr>
          <w:rFonts w:ascii="Garamond" w:hAnsi="Garamond"/>
          <w:sz w:val="22"/>
          <w:szCs w:val="22"/>
        </w:rPr>
        <w:lastRenderedPageBreak/>
        <w:t>products under U.S. law, but not under EU law, has created certain dislocations.</w:t>
      </w:r>
      <w:r>
        <w:rPr>
          <w:rStyle w:val="FootnoteReference"/>
          <w:rFonts w:ascii="Garamond" w:hAnsi="Garamond"/>
          <w:sz w:val="22"/>
          <w:szCs w:val="22"/>
        </w:rPr>
        <w:footnoteReference w:id="29"/>
      </w:r>
      <w:r w:rsidRPr="00FA12F3">
        <w:rPr>
          <w:rFonts w:ascii="Garamond" w:hAnsi="Garamond"/>
          <w:sz w:val="22"/>
          <w:szCs w:val="22"/>
        </w:rPr>
        <w:t xml:space="preserve">  The broad definition of SEF required many platforms offering FX products to register which has resulted in a split in liquidity b</w:t>
      </w:r>
      <w:r w:rsidRPr="00FA12F3">
        <w:rPr>
          <w:rFonts w:ascii="Garamond" w:hAnsi="Garamond"/>
          <w:sz w:val="22"/>
          <w:szCs w:val="22"/>
        </w:rPr>
        <w:t>e</w:t>
      </w:r>
      <w:r w:rsidRPr="00FA12F3">
        <w:rPr>
          <w:rFonts w:ascii="Garamond" w:hAnsi="Garamond"/>
          <w:sz w:val="22"/>
          <w:szCs w:val="22"/>
        </w:rPr>
        <w:t>tween that offered on-SEF and that offered off-SEF.</w:t>
      </w:r>
      <w:r w:rsidRPr="00FA12F3">
        <w:rPr>
          <w:rStyle w:val="FootnoteReference"/>
          <w:rFonts w:ascii="Garamond" w:hAnsi="Garamond"/>
          <w:sz w:val="22"/>
          <w:szCs w:val="22"/>
        </w:rPr>
        <w:footnoteReference w:id="30"/>
      </w:r>
      <w:r w:rsidRPr="00FA12F3">
        <w:rPr>
          <w:rFonts w:ascii="Garamond" w:hAnsi="Garamond"/>
          <w:sz w:val="22"/>
          <w:szCs w:val="22"/>
        </w:rPr>
        <w:t xml:space="preserve">  When considering a recommendation of a clearing mandate for FX NDFs, ESMA should factor in a sufficient phase-in to allow for coordination among jurisdi</w:t>
      </w:r>
      <w:r w:rsidRPr="00FA12F3">
        <w:rPr>
          <w:rFonts w:ascii="Garamond" w:hAnsi="Garamond"/>
          <w:sz w:val="22"/>
          <w:szCs w:val="22"/>
        </w:rPr>
        <w:t>c</w:t>
      </w:r>
      <w:r w:rsidRPr="00FA12F3">
        <w:rPr>
          <w:rFonts w:ascii="Garamond" w:hAnsi="Garamond"/>
          <w:sz w:val="22"/>
          <w:szCs w:val="22"/>
        </w:rPr>
        <w:t>tions.  It is paramount that a stable and robust clear</w:t>
      </w:r>
      <w:r>
        <w:rPr>
          <w:rFonts w:ascii="Garamond" w:hAnsi="Garamond"/>
          <w:sz w:val="22"/>
          <w:szCs w:val="22"/>
        </w:rPr>
        <w:t>ed liquidity pool for standardis</w:t>
      </w:r>
      <w:r w:rsidRPr="00FA12F3">
        <w:rPr>
          <w:rFonts w:ascii="Garamond" w:hAnsi="Garamond"/>
          <w:sz w:val="22"/>
          <w:szCs w:val="22"/>
        </w:rPr>
        <w:t>ed FX NDF contracts emerges before any trading mandate is implemented, especially given (in contrast to other OTC derivatives markets), U</w:t>
      </w:r>
      <w:r>
        <w:rPr>
          <w:rFonts w:ascii="Garamond" w:hAnsi="Garamond"/>
          <w:sz w:val="22"/>
          <w:szCs w:val="22"/>
        </w:rPr>
        <w:t>.</w:t>
      </w:r>
      <w:r w:rsidRPr="00FA12F3">
        <w:rPr>
          <w:rFonts w:ascii="Garamond" w:hAnsi="Garamond"/>
          <w:sz w:val="22"/>
          <w:szCs w:val="22"/>
        </w:rPr>
        <w:t>S</w:t>
      </w:r>
      <w:r>
        <w:rPr>
          <w:rFonts w:ascii="Garamond" w:hAnsi="Garamond"/>
          <w:sz w:val="22"/>
          <w:szCs w:val="22"/>
        </w:rPr>
        <w:t>.</w:t>
      </w:r>
      <w:r w:rsidRPr="00FA12F3">
        <w:rPr>
          <w:rFonts w:ascii="Garamond" w:hAnsi="Garamond"/>
          <w:sz w:val="22"/>
          <w:szCs w:val="22"/>
        </w:rPr>
        <w:t xml:space="preserve"> and European counterparties are often “price-takers” in the FX NDF market.</w:t>
      </w:r>
      <w:r>
        <w:rPr>
          <w:rFonts w:ascii="Garamond" w:hAnsi="Garamond"/>
          <w:sz w:val="22"/>
          <w:szCs w:val="22"/>
        </w:rPr>
        <w:t xml:space="preserve"> </w:t>
      </w:r>
      <w:permEnd w:id="10"/>
      <w:r w:rsidR="00CC1C71">
        <w:t>&lt;ESMA_CO3_QUESTION_7&gt;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30" w:name="_Toc398140748"/>
      <w:r w:rsidRPr="00A84770">
        <w:lastRenderedPageBreak/>
        <w:t>Remaining maturity</w:t>
      </w:r>
      <w:r>
        <w:t xml:space="preserve"> and frontloading</w:t>
      </w:r>
      <w:bookmarkEnd w:id="30"/>
    </w:p>
    <w:p w:rsidR="00C7564E" w:rsidRDefault="00C7564E" w:rsidP="00C7564E">
      <w:pPr>
        <w:pStyle w:val="Heading5"/>
      </w:pPr>
      <w:r>
        <w:t>Do you have comments on the minimum remaining maturities for NDF?</w:t>
      </w:r>
    </w:p>
    <w:p w:rsidR="00C7564E" w:rsidRPr="00CC1C71" w:rsidRDefault="00C7564E" w:rsidP="00C7564E"/>
    <w:p w:rsidR="00C7564E" w:rsidRDefault="00C7564E" w:rsidP="00C7564E">
      <w:r>
        <w:t>&lt;ESMA_CO3_QUESTION_8&gt;</w:t>
      </w:r>
    </w:p>
    <w:p w:rsidR="00472841" w:rsidRDefault="00472841" w:rsidP="00472841">
      <w:pPr>
        <w:jc w:val="both"/>
        <w:rPr>
          <w:rFonts w:ascii="Garamond" w:hAnsi="Garamond"/>
          <w:sz w:val="22"/>
          <w:szCs w:val="22"/>
        </w:rPr>
      </w:pPr>
      <w:permStart w:id="11" w:edGrp="everyone"/>
      <w:r>
        <w:rPr>
          <w:rFonts w:ascii="Garamond" w:hAnsi="Garamond"/>
          <w:sz w:val="22"/>
          <w:szCs w:val="22"/>
        </w:rPr>
        <w:t xml:space="preserve">Given the concentration of open interest in FX NDFs in very short-dated tenors and the relatively limited size of this market, GFXD believes that there would be limited value in applying a “frontloading” requirement to FX NDF contracts, and that any clearing obligation for these contracts </w:t>
      </w:r>
      <w:r w:rsidRPr="00141981">
        <w:rPr>
          <w:rFonts w:ascii="Garamond" w:hAnsi="Garamond"/>
          <w:sz w:val="22"/>
          <w:szCs w:val="22"/>
          <w:u w:val="single"/>
        </w:rPr>
        <w:t>only</w:t>
      </w:r>
      <w:r>
        <w:rPr>
          <w:rFonts w:ascii="Garamond" w:hAnsi="Garamond"/>
          <w:sz w:val="22"/>
          <w:szCs w:val="22"/>
        </w:rPr>
        <w:t xml:space="preserve"> apply to FX NDF contracts entered into or novated </w:t>
      </w:r>
      <w:r w:rsidRPr="00141981">
        <w:rPr>
          <w:rFonts w:ascii="Garamond" w:hAnsi="Garamond"/>
          <w:i/>
          <w:sz w:val="22"/>
          <w:szCs w:val="22"/>
        </w:rPr>
        <w:t>on the date of the clearing obligation takes effect</w:t>
      </w:r>
      <w:r w:rsidRPr="00141981">
        <w:rPr>
          <w:rFonts w:ascii="Garamond" w:hAnsi="Garamond"/>
          <w:sz w:val="22"/>
          <w:szCs w:val="22"/>
        </w:rPr>
        <w:t xml:space="preserve"> </w:t>
      </w:r>
      <w:r>
        <w:rPr>
          <w:rFonts w:ascii="Garamond" w:hAnsi="Garamond"/>
          <w:sz w:val="22"/>
          <w:szCs w:val="22"/>
        </w:rPr>
        <w:t>(i.e., the compliance date for Category 1, Category 2, etc.).</w:t>
      </w:r>
      <w:r>
        <w:rPr>
          <w:rStyle w:val="FootnoteReference"/>
          <w:rFonts w:ascii="Garamond" w:hAnsi="Garamond"/>
          <w:sz w:val="22"/>
          <w:szCs w:val="22"/>
        </w:rPr>
        <w:footnoteReference w:id="31"/>
      </w:r>
      <w:r>
        <w:rPr>
          <w:rFonts w:ascii="Garamond" w:hAnsi="Garamond"/>
          <w:sz w:val="22"/>
          <w:szCs w:val="22"/>
        </w:rPr>
        <w:t xml:space="preserve"> </w:t>
      </w:r>
    </w:p>
    <w:p w:rsidR="00141981" w:rsidRDefault="00141981" w:rsidP="00472841">
      <w:pPr>
        <w:jc w:val="both"/>
        <w:rPr>
          <w:rFonts w:ascii="Garamond" w:hAnsi="Garamond"/>
          <w:sz w:val="22"/>
          <w:szCs w:val="22"/>
        </w:rPr>
      </w:pPr>
    </w:p>
    <w:p w:rsidR="00472841" w:rsidRPr="00D43998" w:rsidRDefault="00472841" w:rsidP="00472841">
      <w:pPr>
        <w:jc w:val="both"/>
        <w:rPr>
          <w:rFonts w:ascii="Garamond" w:hAnsi="Garamond"/>
          <w:sz w:val="22"/>
          <w:szCs w:val="22"/>
        </w:rPr>
      </w:pPr>
      <w:r>
        <w:rPr>
          <w:rFonts w:ascii="Garamond" w:hAnsi="Garamond"/>
          <w:sz w:val="22"/>
          <w:szCs w:val="22"/>
        </w:rPr>
        <w:t xml:space="preserve">A frontloading requirement for FX NDF contracts would, as a practical matter, </w:t>
      </w:r>
      <w:r w:rsidR="00141981">
        <w:rPr>
          <w:rFonts w:ascii="Garamond" w:hAnsi="Garamond"/>
          <w:sz w:val="22"/>
          <w:szCs w:val="22"/>
        </w:rPr>
        <w:t>require clearing a number of</w:t>
      </w:r>
      <w:r>
        <w:rPr>
          <w:rFonts w:ascii="Garamond" w:hAnsi="Garamond"/>
          <w:sz w:val="22"/>
          <w:szCs w:val="22"/>
        </w:rPr>
        <w:t xml:space="preserve"> FX NDF contracts transacted </w:t>
      </w:r>
      <w:r w:rsidRPr="00141981">
        <w:rPr>
          <w:rFonts w:ascii="Garamond" w:hAnsi="Garamond"/>
          <w:sz w:val="22"/>
          <w:szCs w:val="22"/>
        </w:rPr>
        <w:t>before</w:t>
      </w:r>
      <w:r>
        <w:rPr>
          <w:rFonts w:ascii="Garamond" w:hAnsi="Garamond"/>
          <w:sz w:val="22"/>
          <w:szCs w:val="22"/>
        </w:rPr>
        <w:t xml:space="preserve"> the clearing compliance date into a CCP </w:t>
      </w:r>
      <w:r w:rsidRPr="00141981">
        <w:rPr>
          <w:rFonts w:ascii="Garamond" w:hAnsi="Garamond"/>
          <w:sz w:val="22"/>
          <w:szCs w:val="22"/>
        </w:rPr>
        <w:t>after</w:t>
      </w:r>
      <w:r>
        <w:rPr>
          <w:rFonts w:ascii="Garamond" w:hAnsi="Garamond"/>
          <w:sz w:val="22"/>
          <w:szCs w:val="22"/>
        </w:rPr>
        <w:t xml:space="preserve"> the compliance date while, at best, achieving minimal credit risk reduction because of how little duration would remain on </w:t>
      </w:r>
      <w:r w:rsidR="00141981">
        <w:rPr>
          <w:rFonts w:ascii="Garamond" w:hAnsi="Garamond"/>
          <w:sz w:val="22"/>
          <w:szCs w:val="22"/>
        </w:rPr>
        <w:t xml:space="preserve">these already short-dated </w:t>
      </w:r>
      <w:r>
        <w:rPr>
          <w:rFonts w:ascii="Garamond" w:hAnsi="Garamond"/>
          <w:sz w:val="22"/>
          <w:szCs w:val="22"/>
        </w:rPr>
        <w:t>contracts.  The additional operational complexities of moving this population of FX NDF co</w:t>
      </w:r>
      <w:r>
        <w:rPr>
          <w:rFonts w:ascii="Garamond" w:hAnsi="Garamond"/>
          <w:sz w:val="22"/>
          <w:szCs w:val="22"/>
        </w:rPr>
        <w:t>n</w:t>
      </w:r>
      <w:r>
        <w:rPr>
          <w:rFonts w:ascii="Garamond" w:hAnsi="Garamond"/>
          <w:sz w:val="22"/>
          <w:szCs w:val="22"/>
        </w:rPr>
        <w:t xml:space="preserve">tracts would come at a time when market participants would be attempting to address other fundamental challenges ahead of any compliance dates – which necessitates the extended phase-in schedule suggested by GFXD in the first instance (see our response to Question 7 above).  These issues include building out client clearing systems in a market that currently has virtually no client clearing, unlike IRS and CDS markets at comparable stages, and introducing clearing to emerging market financial institutions (see our response to Question 5 above).  Layering frontloading on top of these challenges would introduce complications that GFXD does not believe are justified by the amount of risk reduction </w:t>
      </w:r>
      <w:r w:rsidRPr="00D43998">
        <w:rPr>
          <w:rFonts w:ascii="Garamond" w:hAnsi="Garamond"/>
          <w:sz w:val="22"/>
          <w:szCs w:val="22"/>
        </w:rPr>
        <w:t>t</w:t>
      </w:r>
      <w:r>
        <w:rPr>
          <w:rFonts w:ascii="Garamond" w:hAnsi="Garamond"/>
          <w:sz w:val="22"/>
          <w:szCs w:val="22"/>
        </w:rPr>
        <w:t>h</w:t>
      </w:r>
      <w:r w:rsidR="00DF1C08">
        <w:rPr>
          <w:rFonts w:ascii="Garamond" w:hAnsi="Garamond"/>
          <w:sz w:val="22"/>
          <w:szCs w:val="22"/>
        </w:rPr>
        <w:t xml:space="preserve">at frontloading </w:t>
      </w:r>
      <w:r w:rsidR="00141981">
        <w:rPr>
          <w:rFonts w:ascii="Garamond" w:hAnsi="Garamond"/>
          <w:sz w:val="22"/>
          <w:szCs w:val="22"/>
        </w:rPr>
        <w:t>aims to achieve given the size of this market and especially in comparison to IRS and CDS.</w:t>
      </w:r>
    </w:p>
    <w:p w:rsidR="00141981" w:rsidRDefault="00141981" w:rsidP="00141981">
      <w:pPr>
        <w:jc w:val="both"/>
        <w:rPr>
          <w:rFonts w:ascii="Garamond" w:hAnsi="Garamond"/>
          <w:sz w:val="22"/>
          <w:szCs w:val="22"/>
        </w:rPr>
      </w:pPr>
    </w:p>
    <w:p w:rsidR="00141981" w:rsidRPr="00266284" w:rsidRDefault="00141981" w:rsidP="00141981">
      <w:pPr>
        <w:keepNext/>
        <w:keepLines/>
        <w:jc w:val="both"/>
        <w:rPr>
          <w:rFonts w:ascii="Garamond" w:hAnsi="Garamond"/>
          <w:i/>
          <w:sz w:val="18"/>
          <w:szCs w:val="18"/>
        </w:rPr>
      </w:pPr>
      <w:r w:rsidRPr="00266284">
        <w:rPr>
          <w:rFonts w:ascii="Garamond" w:hAnsi="Garamond"/>
          <w:i/>
          <w:sz w:val="18"/>
          <w:szCs w:val="18"/>
        </w:rPr>
        <w:t>figures in billions</w:t>
      </w: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4A0"/>
      </w:tblPr>
      <w:tblGrid>
        <w:gridCol w:w="3060"/>
        <w:gridCol w:w="2430"/>
        <w:gridCol w:w="1980"/>
        <w:gridCol w:w="1890"/>
      </w:tblGrid>
      <w:tr w:rsidR="00141981" w:rsidRPr="008677EA" w:rsidTr="000E5F8D">
        <w:tc>
          <w:tcPr>
            <w:tcW w:w="3060" w:type="dxa"/>
            <w:tcBorders>
              <w:top w:val="single" w:sz="12" w:space="0" w:color="auto"/>
              <w:bottom w:val="single" w:sz="12" w:space="0" w:color="auto"/>
            </w:tcBorders>
            <w:shd w:val="clear" w:color="auto" w:fill="C6D9F1" w:themeFill="text2" w:themeFillTint="33"/>
          </w:tcPr>
          <w:p w:rsidR="00141981" w:rsidRPr="008677EA" w:rsidRDefault="00141981" w:rsidP="000E5F8D">
            <w:pPr>
              <w:keepNext/>
              <w:keepLines/>
              <w:spacing w:before="15" w:after="15"/>
              <w:jc w:val="both"/>
              <w:rPr>
                <w:rFonts w:ascii="Garamond" w:hAnsi="Garamond"/>
                <w:b/>
                <w:sz w:val="18"/>
                <w:szCs w:val="18"/>
              </w:rPr>
            </w:pPr>
            <w:r>
              <w:rPr>
                <w:rFonts w:ascii="Garamond" w:hAnsi="Garamond"/>
                <w:b/>
                <w:sz w:val="18"/>
                <w:szCs w:val="18"/>
              </w:rPr>
              <w:t>OTC Derivatives</w:t>
            </w:r>
            <w:r w:rsidR="00FC66D3" w:rsidRPr="00FC66D3">
              <w:rPr>
                <w:rStyle w:val="FootnoteReference"/>
                <w:rFonts w:ascii="Garamond" w:hAnsi="Garamond"/>
                <w:sz w:val="18"/>
                <w:szCs w:val="18"/>
              </w:rPr>
              <w:footnoteReference w:id="32"/>
            </w:r>
          </w:p>
        </w:tc>
        <w:tc>
          <w:tcPr>
            <w:tcW w:w="2430" w:type="dxa"/>
            <w:tcBorders>
              <w:top w:val="single" w:sz="12" w:space="0" w:color="auto"/>
              <w:bottom w:val="single" w:sz="12" w:space="0" w:color="auto"/>
            </w:tcBorders>
            <w:shd w:val="clear" w:color="auto" w:fill="C6D9F1" w:themeFill="text2" w:themeFillTint="33"/>
          </w:tcPr>
          <w:p w:rsidR="00141981" w:rsidRPr="008677EA" w:rsidRDefault="00141981" w:rsidP="000E5F8D">
            <w:pPr>
              <w:keepNext/>
              <w:keepLines/>
              <w:spacing w:before="15" w:after="15"/>
              <w:jc w:val="both"/>
              <w:rPr>
                <w:rFonts w:ascii="Garamond" w:hAnsi="Garamond"/>
                <w:b/>
                <w:sz w:val="18"/>
                <w:szCs w:val="18"/>
              </w:rPr>
            </w:pPr>
            <w:r w:rsidRPr="008677EA">
              <w:rPr>
                <w:rFonts w:ascii="Garamond" w:hAnsi="Garamond"/>
                <w:b/>
                <w:sz w:val="18"/>
                <w:szCs w:val="18"/>
              </w:rPr>
              <w:t>Rates</w:t>
            </w:r>
          </w:p>
        </w:tc>
        <w:tc>
          <w:tcPr>
            <w:tcW w:w="1980" w:type="dxa"/>
            <w:tcBorders>
              <w:top w:val="single" w:sz="12" w:space="0" w:color="auto"/>
              <w:bottom w:val="single" w:sz="12" w:space="0" w:color="auto"/>
            </w:tcBorders>
            <w:shd w:val="clear" w:color="auto" w:fill="C6D9F1" w:themeFill="text2" w:themeFillTint="33"/>
          </w:tcPr>
          <w:p w:rsidR="00141981" w:rsidRPr="008677EA" w:rsidRDefault="00141981" w:rsidP="000E5F8D">
            <w:pPr>
              <w:keepNext/>
              <w:keepLines/>
              <w:tabs>
                <w:tab w:val="left" w:pos="882"/>
              </w:tabs>
              <w:spacing w:before="15" w:after="15"/>
              <w:jc w:val="both"/>
              <w:rPr>
                <w:rFonts w:ascii="Garamond" w:hAnsi="Garamond"/>
                <w:b/>
                <w:sz w:val="18"/>
                <w:szCs w:val="18"/>
              </w:rPr>
            </w:pPr>
            <w:r w:rsidRPr="008677EA">
              <w:rPr>
                <w:rFonts w:ascii="Garamond" w:hAnsi="Garamond"/>
                <w:b/>
                <w:sz w:val="18"/>
                <w:szCs w:val="18"/>
              </w:rPr>
              <w:t>Credit</w:t>
            </w:r>
          </w:p>
        </w:tc>
        <w:tc>
          <w:tcPr>
            <w:tcW w:w="1890" w:type="dxa"/>
            <w:tcBorders>
              <w:top w:val="single" w:sz="12" w:space="0" w:color="auto"/>
              <w:bottom w:val="single" w:sz="12" w:space="0" w:color="auto"/>
            </w:tcBorders>
            <w:shd w:val="clear" w:color="auto" w:fill="C6D9F1" w:themeFill="text2" w:themeFillTint="33"/>
          </w:tcPr>
          <w:p w:rsidR="00141981" w:rsidRPr="008677EA" w:rsidRDefault="00141981" w:rsidP="000E5F8D">
            <w:pPr>
              <w:keepNext/>
              <w:keepLines/>
              <w:spacing w:before="15" w:after="15"/>
              <w:jc w:val="both"/>
              <w:rPr>
                <w:rFonts w:ascii="Garamond" w:hAnsi="Garamond"/>
                <w:b/>
                <w:sz w:val="18"/>
                <w:szCs w:val="18"/>
              </w:rPr>
            </w:pPr>
            <w:r w:rsidRPr="008677EA">
              <w:rPr>
                <w:rFonts w:ascii="Garamond" w:hAnsi="Garamond"/>
                <w:b/>
                <w:sz w:val="18"/>
                <w:szCs w:val="18"/>
              </w:rPr>
              <w:t>FX NDFs</w:t>
            </w:r>
          </w:p>
        </w:tc>
      </w:tr>
      <w:tr w:rsidR="00141981" w:rsidRPr="008677EA" w:rsidTr="000E5F8D">
        <w:tc>
          <w:tcPr>
            <w:tcW w:w="3060" w:type="dxa"/>
            <w:tcBorders>
              <w:top w:val="single" w:sz="12" w:space="0" w:color="auto"/>
              <w:bottom w:val="single" w:sz="4" w:space="0" w:color="auto"/>
            </w:tcBorders>
          </w:tcPr>
          <w:p w:rsidR="00141981" w:rsidRPr="00262BA9" w:rsidRDefault="00141981" w:rsidP="000E5F8D">
            <w:pPr>
              <w:keepNext/>
              <w:keepLines/>
              <w:spacing w:before="15" w:after="15"/>
              <w:jc w:val="both"/>
              <w:rPr>
                <w:rFonts w:ascii="Garamond" w:hAnsi="Garamond"/>
                <w:b/>
                <w:sz w:val="18"/>
                <w:szCs w:val="18"/>
              </w:rPr>
            </w:pPr>
            <w:r w:rsidRPr="00262BA9">
              <w:rPr>
                <w:rFonts w:ascii="Garamond" w:hAnsi="Garamond"/>
                <w:b/>
                <w:sz w:val="18"/>
                <w:szCs w:val="18"/>
              </w:rPr>
              <w:t>Total notional outstanding</w:t>
            </w:r>
          </w:p>
        </w:tc>
        <w:tc>
          <w:tcPr>
            <w:tcW w:w="2430" w:type="dxa"/>
            <w:tcBorders>
              <w:top w:val="single" w:sz="12" w:space="0" w:color="auto"/>
              <w:bottom w:val="single" w:sz="4" w:space="0" w:color="auto"/>
            </w:tcBorders>
          </w:tcPr>
          <w:p w:rsidR="00141981" w:rsidRPr="008677EA" w:rsidRDefault="00141981" w:rsidP="000E5F8D">
            <w:pPr>
              <w:keepNext/>
              <w:keepLines/>
              <w:tabs>
                <w:tab w:val="left" w:pos="1422"/>
                <w:tab w:val="left" w:pos="1602"/>
              </w:tabs>
              <w:spacing w:before="15" w:after="15"/>
              <w:jc w:val="both"/>
              <w:rPr>
                <w:rFonts w:ascii="Garamond" w:hAnsi="Garamond"/>
                <w:sz w:val="18"/>
                <w:szCs w:val="18"/>
              </w:rPr>
            </w:pPr>
            <w:r w:rsidRPr="008677EA">
              <w:rPr>
                <w:rFonts w:ascii="Garamond" w:hAnsi="Garamond"/>
                <w:sz w:val="18"/>
                <w:szCs w:val="18"/>
              </w:rPr>
              <w:t>$584,000</w:t>
            </w:r>
          </w:p>
        </w:tc>
        <w:tc>
          <w:tcPr>
            <w:tcW w:w="1980" w:type="dxa"/>
            <w:tcBorders>
              <w:top w:val="single" w:sz="12" w:space="0" w:color="auto"/>
              <w:bottom w:val="single" w:sz="4" w:space="0" w:color="auto"/>
            </w:tcBorders>
          </w:tcPr>
          <w:p w:rsidR="00141981" w:rsidRPr="008677EA" w:rsidRDefault="00141981" w:rsidP="000E5F8D">
            <w:pPr>
              <w:keepNext/>
              <w:keepLines/>
              <w:tabs>
                <w:tab w:val="left" w:pos="792"/>
              </w:tabs>
              <w:spacing w:before="15" w:after="15"/>
              <w:jc w:val="both"/>
              <w:rPr>
                <w:rFonts w:ascii="Garamond" w:hAnsi="Garamond"/>
                <w:sz w:val="18"/>
                <w:szCs w:val="18"/>
              </w:rPr>
            </w:pPr>
            <w:r w:rsidRPr="008677EA">
              <w:rPr>
                <w:rFonts w:ascii="Garamond" w:hAnsi="Garamond"/>
                <w:sz w:val="18"/>
                <w:szCs w:val="18"/>
              </w:rPr>
              <w:t xml:space="preserve">$21,000 </w:t>
            </w:r>
          </w:p>
        </w:tc>
        <w:tc>
          <w:tcPr>
            <w:tcW w:w="1890" w:type="dxa"/>
            <w:tcBorders>
              <w:top w:val="single" w:sz="12" w:space="0" w:color="auto"/>
              <w:bottom w:val="single" w:sz="4" w:space="0" w:color="auto"/>
            </w:tcBorders>
          </w:tcPr>
          <w:p w:rsidR="00141981" w:rsidRPr="008677EA" w:rsidRDefault="00141981" w:rsidP="000E5F8D">
            <w:pPr>
              <w:keepNext/>
              <w:keepLines/>
              <w:tabs>
                <w:tab w:val="left" w:pos="792"/>
              </w:tabs>
              <w:spacing w:before="15" w:after="15"/>
              <w:jc w:val="both"/>
              <w:rPr>
                <w:rFonts w:ascii="Garamond" w:hAnsi="Garamond"/>
                <w:sz w:val="18"/>
                <w:szCs w:val="18"/>
              </w:rPr>
            </w:pPr>
            <w:r w:rsidRPr="008677EA">
              <w:rPr>
                <w:rFonts w:ascii="Garamond" w:hAnsi="Garamond"/>
                <w:sz w:val="18"/>
                <w:szCs w:val="18"/>
              </w:rPr>
              <w:t>$2,800</w:t>
            </w:r>
          </w:p>
        </w:tc>
      </w:tr>
      <w:tr w:rsidR="00141981" w:rsidRPr="008677EA" w:rsidTr="000E5F8D">
        <w:tc>
          <w:tcPr>
            <w:tcW w:w="3060" w:type="dxa"/>
            <w:tcBorders>
              <w:top w:val="single" w:sz="12" w:space="0" w:color="auto"/>
              <w:bottom w:val="single" w:sz="4" w:space="0" w:color="auto"/>
            </w:tcBorders>
          </w:tcPr>
          <w:p w:rsidR="00141981" w:rsidRPr="00262BA9" w:rsidRDefault="00141981" w:rsidP="000E5F8D">
            <w:pPr>
              <w:keepNext/>
              <w:keepLines/>
              <w:spacing w:before="15" w:after="15"/>
              <w:jc w:val="both"/>
              <w:rPr>
                <w:rFonts w:ascii="Garamond" w:hAnsi="Garamond"/>
                <w:b/>
                <w:sz w:val="18"/>
                <w:szCs w:val="18"/>
              </w:rPr>
            </w:pPr>
            <w:r w:rsidRPr="00262BA9">
              <w:rPr>
                <w:rFonts w:ascii="Garamond" w:hAnsi="Garamond"/>
                <w:b/>
                <w:sz w:val="18"/>
                <w:szCs w:val="18"/>
              </w:rPr>
              <w:t>Tenor of total notional outstanding</w:t>
            </w:r>
          </w:p>
        </w:tc>
        <w:tc>
          <w:tcPr>
            <w:tcW w:w="2430" w:type="dxa"/>
            <w:tcBorders>
              <w:top w:val="single" w:sz="12" w:space="0" w:color="auto"/>
              <w:bottom w:val="single" w:sz="4" w:space="0" w:color="auto"/>
            </w:tcBorders>
          </w:tcPr>
          <w:p w:rsidR="00141981" w:rsidRPr="008677EA" w:rsidRDefault="00141981" w:rsidP="000E5F8D">
            <w:pPr>
              <w:keepNext/>
              <w:keepLines/>
              <w:tabs>
                <w:tab w:val="left" w:pos="1422"/>
                <w:tab w:val="left" w:pos="1602"/>
              </w:tabs>
              <w:spacing w:before="15" w:after="15"/>
              <w:jc w:val="both"/>
              <w:rPr>
                <w:rFonts w:ascii="Garamond" w:hAnsi="Garamond"/>
                <w:i/>
                <w:sz w:val="18"/>
                <w:szCs w:val="18"/>
              </w:rPr>
            </w:pPr>
          </w:p>
        </w:tc>
        <w:tc>
          <w:tcPr>
            <w:tcW w:w="1980" w:type="dxa"/>
            <w:tcBorders>
              <w:top w:val="single" w:sz="12" w:space="0" w:color="auto"/>
              <w:bottom w:val="single" w:sz="4" w:space="0" w:color="auto"/>
            </w:tcBorders>
          </w:tcPr>
          <w:p w:rsidR="00141981" w:rsidRPr="008677EA" w:rsidRDefault="00141981" w:rsidP="000E5F8D">
            <w:pPr>
              <w:keepNext/>
              <w:keepLines/>
              <w:tabs>
                <w:tab w:val="left" w:pos="792"/>
              </w:tabs>
              <w:spacing w:before="15" w:after="15"/>
              <w:jc w:val="both"/>
              <w:rPr>
                <w:rFonts w:ascii="Garamond" w:hAnsi="Garamond"/>
                <w:i/>
                <w:sz w:val="18"/>
                <w:szCs w:val="18"/>
              </w:rPr>
            </w:pPr>
          </w:p>
        </w:tc>
        <w:tc>
          <w:tcPr>
            <w:tcW w:w="1890" w:type="dxa"/>
            <w:tcBorders>
              <w:top w:val="single" w:sz="12" w:space="0" w:color="auto"/>
              <w:bottom w:val="single" w:sz="4" w:space="0" w:color="auto"/>
            </w:tcBorders>
          </w:tcPr>
          <w:p w:rsidR="00141981" w:rsidRPr="008677EA" w:rsidRDefault="00141981" w:rsidP="000E5F8D">
            <w:pPr>
              <w:keepNext/>
              <w:keepLines/>
              <w:tabs>
                <w:tab w:val="left" w:pos="792"/>
              </w:tabs>
              <w:spacing w:before="15" w:after="15"/>
              <w:jc w:val="both"/>
              <w:rPr>
                <w:rFonts w:ascii="Garamond" w:hAnsi="Garamond"/>
                <w:sz w:val="18"/>
                <w:szCs w:val="18"/>
              </w:rPr>
            </w:pPr>
            <w:r w:rsidRPr="008677EA">
              <w:rPr>
                <w:rFonts w:ascii="Garamond" w:hAnsi="Garamond"/>
                <w:i/>
                <w:sz w:val="18"/>
                <w:szCs w:val="18"/>
              </w:rPr>
              <w:t>Based on DTCC dataset</w:t>
            </w:r>
            <w:r w:rsidRPr="008677EA">
              <w:rPr>
                <w:rStyle w:val="FootnoteReference"/>
                <w:rFonts w:ascii="Garamond" w:hAnsi="Garamond"/>
                <w:sz w:val="18"/>
                <w:szCs w:val="18"/>
              </w:rPr>
              <w:footnoteReference w:id="33"/>
            </w:r>
          </w:p>
        </w:tc>
      </w:tr>
      <w:tr w:rsidR="00DF1C08" w:rsidRPr="008677EA" w:rsidTr="000E5F8D">
        <w:tc>
          <w:tcPr>
            <w:tcW w:w="3060" w:type="dxa"/>
            <w:tcBorders>
              <w:top w:val="single" w:sz="4" w:space="0" w:color="auto"/>
            </w:tcBorders>
          </w:tcPr>
          <w:p w:rsidR="00DF1C08" w:rsidRPr="008677EA" w:rsidRDefault="00DF1C08" w:rsidP="000E5F8D">
            <w:pPr>
              <w:keepNext/>
              <w:keepLines/>
              <w:spacing w:before="15" w:after="15"/>
              <w:jc w:val="both"/>
              <w:rPr>
                <w:rFonts w:ascii="Garamond" w:hAnsi="Garamond"/>
                <w:sz w:val="18"/>
                <w:szCs w:val="18"/>
              </w:rPr>
            </w:pPr>
            <w:r w:rsidRPr="008677EA">
              <w:rPr>
                <w:rFonts w:ascii="Garamond" w:hAnsi="Garamond"/>
                <w:sz w:val="18"/>
                <w:szCs w:val="18"/>
              </w:rPr>
              <w:t xml:space="preserve">     Less than three months</w:t>
            </w:r>
          </w:p>
        </w:tc>
        <w:tc>
          <w:tcPr>
            <w:tcW w:w="2430" w:type="dxa"/>
            <w:vMerge w:val="restart"/>
            <w:tcBorders>
              <w:top w:val="single" w:sz="4" w:space="0" w:color="auto"/>
            </w:tcBorders>
          </w:tcPr>
          <w:p w:rsidR="00DF1C08" w:rsidRDefault="00DF1C08" w:rsidP="000E5F8D">
            <w:pPr>
              <w:keepNext/>
              <w:keepLines/>
              <w:tabs>
                <w:tab w:val="left" w:pos="1422"/>
                <w:tab w:val="left" w:pos="1602"/>
              </w:tabs>
              <w:spacing w:before="15" w:after="15"/>
              <w:jc w:val="both"/>
              <w:rPr>
                <w:rFonts w:ascii="Garamond" w:hAnsi="Garamond"/>
                <w:sz w:val="18"/>
                <w:szCs w:val="18"/>
              </w:rPr>
            </w:pPr>
          </w:p>
          <w:p w:rsidR="00DF1C08" w:rsidRPr="008677EA" w:rsidRDefault="00DF1C08" w:rsidP="000E5F8D">
            <w:pPr>
              <w:keepNext/>
              <w:keepLines/>
              <w:tabs>
                <w:tab w:val="left" w:pos="1422"/>
                <w:tab w:val="left" w:pos="1602"/>
              </w:tabs>
              <w:spacing w:before="15" w:after="15"/>
              <w:jc w:val="both"/>
              <w:rPr>
                <w:rFonts w:ascii="Garamond" w:hAnsi="Garamond"/>
                <w:sz w:val="18"/>
                <w:szCs w:val="18"/>
              </w:rPr>
            </w:pPr>
            <w:r w:rsidRPr="00141981">
              <w:rPr>
                <w:rFonts w:ascii="Garamond" w:hAnsi="Garamond"/>
                <w:sz w:val="18"/>
                <w:szCs w:val="18"/>
              </w:rPr>
              <w:t xml:space="preserve">$198,302 </w:t>
            </w:r>
            <w:r w:rsidRPr="00141981">
              <w:rPr>
                <w:rFonts w:ascii="Garamond" w:hAnsi="Garamond"/>
                <w:sz w:val="18"/>
                <w:szCs w:val="18"/>
              </w:rPr>
              <w:tab/>
              <w:t>(34%)</w:t>
            </w:r>
          </w:p>
        </w:tc>
        <w:tc>
          <w:tcPr>
            <w:tcW w:w="1980" w:type="dxa"/>
            <w:vMerge w:val="restart"/>
            <w:tcBorders>
              <w:top w:val="single" w:sz="4" w:space="0" w:color="auto"/>
            </w:tcBorders>
          </w:tcPr>
          <w:p w:rsidR="00DF1C08" w:rsidRDefault="00DF1C08" w:rsidP="000E5F8D">
            <w:pPr>
              <w:keepNext/>
              <w:keepLines/>
              <w:tabs>
                <w:tab w:val="left" w:pos="792"/>
              </w:tabs>
              <w:spacing w:before="15" w:after="15"/>
              <w:jc w:val="both"/>
              <w:rPr>
                <w:rFonts w:ascii="Garamond" w:hAnsi="Garamond"/>
                <w:sz w:val="18"/>
                <w:szCs w:val="18"/>
              </w:rPr>
            </w:pPr>
          </w:p>
          <w:p w:rsidR="00DF1C08" w:rsidRPr="008677EA" w:rsidRDefault="00DF1C08" w:rsidP="000E5F8D">
            <w:pPr>
              <w:keepNext/>
              <w:keepLines/>
              <w:tabs>
                <w:tab w:val="left" w:pos="792"/>
              </w:tabs>
              <w:spacing w:before="15" w:after="15"/>
              <w:jc w:val="both"/>
              <w:rPr>
                <w:rFonts w:ascii="Garamond" w:hAnsi="Garamond"/>
                <w:sz w:val="18"/>
                <w:szCs w:val="18"/>
              </w:rPr>
            </w:pPr>
            <w:r w:rsidRPr="00141981">
              <w:rPr>
                <w:rFonts w:ascii="Garamond" w:hAnsi="Garamond"/>
                <w:sz w:val="18"/>
                <w:szCs w:val="18"/>
              </w:rPr>
              <w:t>$3,655</w:t>
            </w:r>
            <w:r w:rsidRPr="00141981">
              <w:rPr>
                <w:rFonts w:ascii="Garamond" w:hAnsi="Garamond"/>
                <w:sz w:val="18"/>
                <w:szCs w:val="18"/>
              </w:rPr>
              <w:tab/>
              <w:t>(17%)</w:t>
            </w:r>
          </w:p>
        </w:tc>
        <w:tc>
          <w:tcPr>
            <w:tcW w:w="1890" w:type="dxa"/>
            <w:tcBorders>
              <w:top w:val="single" w:sz="4" w:space="0" w:color="auto"/>
              <w:bottom w:val="single" w:sz="4" w:space="0" w:color="auto"/>
            </w:tcBorders>
          </w:tcPr>
          <w:p w:rsidR="00DF1C08" w:rsidRPr="00386B09" w:rsidRDefault="00DF1C08" w:rsidP="000E5F8D">
            <w:pPr>
              <w:keepNext/>
              <w:keepLines/>
              <w:tabs>
                <w:tab w:val="left" w:pos="792"/>
                <w:tab w:val="left" w:pos="1089"/>
              </w:tabs>
              <w:spacing w:before="15" w:after="15"/>
              <w:jc w:val="both"/>
              <w:rPr>
                <w:rFonts w:ascii="Garamond" w:hAnsi="Garamond"/>
                <w:sz w:val="18"/>
                <w:szCs w:val="18"/>
              </w:rPr>
            </w:pPr>
            <w:r w:rsidRPr="00386B09">
              <w:rPr>
                <w:rFonts w:ascii="Garamond" w:hAnsi="Garamond"/>
                <w:sz w:val="18"/>
                <w:szCs w:val="18"/>
              </w:rPr>
              <w:t>$2,520</w:t>
            </w:r>
            <w:r w:rsidRPr="00386B09">
              <w:rPr>
                <w:rFonts w:ascii="Garamond" w:hAnsi="Garamond"/>
                <w:sz w:val="18"/>
                <w:szCs w:val="18"/>
              </w:rPr>
              <w:tab/>
              <w:t>(90%)</w:t>
            </w:r>
          </w:p>
        </w:tc>
      </w:tr>
      <w:tr w:rsidR="00DF1C08" w:rsidRPr="008677EA" w:rsidTr="000E5F8D">
        <w:tc>
          <w:tcPr>
            <w:tcW w:w="3060" w:type="dxa"/>
          </w:tcPr>
          <w:p w:rsidR="00DF1C08" w:rsidRPr="00141981" w:rsidRDefault="00DF1C08" w:rsidP="000E5F8D">
            <w:pPr>
              <w:keepNext/>
              <w:keepLines/>
              <w:spacing w:before="15" w:after="15"/>
              <w:jc w:val="both"/>
              <w:rPr>
                <w:rFonts w:ascii="Garamond" w:hAnsi="Garamond"/>
                <w:sz w:val="18"/>
                <w:szCs w:val="18"/>
              </w:rPr>
            </w:pPr>
            <w:r w:rsidRPr="00141981">
              <w:rPr>
                <w:rFonts w:ascii="Garamond" w:hAnsi="Garamond"/>
                <w:sz w:val="18"/>
                <w:szCs w:val="18"/>
              </w:rPr>
              <w:t xml:space="preserve">     Over three months up to six months</w:t>
            </w:r>
          </w:p>
        </w:tc>
        <w:tc>
          <w:tcPr>
            <w:tcW w:w="2430" w:type="dxa"/>
            <w:vMerge/>
          </w:tcPr>
          <w:p w:rsidR="00DF1C08" w:rsidRPr="00141981" w:rsidRDefault="00DF1C08" w:rsidP="000E5F8D">
            <w:pPr>
              <w:keepNext/>
              <w:keepLines/>
              <w:tabs>
                <w:tab w:val="left" w:pos="1422"/>
                <w:tab w:val="left" w:pos="1602"/>
              </w:tabs>
              <w:spacing w:before="15" w:after="15"/>
              <w:jc w:val="both"/>
              <w:rPr>
                <w:rFonts w:ascii="Garamond" w:hAnsi="Garamond"/>
                <w:sz w:val="18"/>
                <w:szCs w:val="18"/>
              </w:rPr>
            </w:pPr>
          </w:p>
        </w:tc>
        <w:tc>
          <w:tcPr>
            <w:tcW w:w="1980" w:type="dxa"/>
            <w:vMerge/>
          </w:tcPr>
          <w:p w:rsidR="00DF1C08" w:rsidRPr="00141981" w:rsidRDefault="00DF1C08" w:rsidP="000E5F8D">
            <w:pPr>
              <w:keepNext/>
              <w:keepLines/>
              <w:tabs>
                <w:tab w:val="left" w:pos="792"/>
              </w:tabs>
              <w:spacing w:before="15" w:after="15"/>
              <w:jc w:val="both"/>
              <w:rPr>
                <w:rFonts w:ascii="Garamond" w:hAnsi="Garamond"/>
                <w:sz w:val="18"/>
                <w:szCs w:val="18"/>
              </w:rPr>
            </w:pPr>
          </w:p>
        </w:tc>
        <w:tc>
          <w:tcPr>
            <w:tcW w:w="1890" w:type="dxa"/>
            <w:tcBorders>
              <w:top w:val="single" w:sz="4" w:space="0" w:color="auto"/>
              <w:bottom w:val="single" w:sz="4" w:space="0" w:color="auto"/>
            </w:tcBorders>
            <w:shd w:val="clear" w:color="auto" w:fill="auto"/>
          </w:tcPr>
          <w:p w:rsidR="00DF1C08" w:rsidRPr="00141981" w:rsidRDefault="00DF1C08" w:rsidP="000E5F8D">
            <w:pPr>
              <w:keepNext/>
              <w:keepLines/>
              <w:tabs>
                <w:tab w:val="left" w:pos="792"/>
              </w:tabs>
              <w:spacing w:before="15" w:after="15"/>
              <w:jc w:val="both"/>
              <w:rPr>
                <w:rFonts w:ascii="Garamond" w:hAnsi="Garamond"/>
                <w:sz w:val="18"/>
                <w:szCs w:val="18"/>
              </w:rPr>
            </w:pPr>
            <w:r w:rsidRPr="00141981">
              <w:rPr>
                <w:rFonts w:ascii="Garamond" w:hAnsi="Garamond"/>
                <w:sz w:val="18"/>
                <w:szCs w:val="18"/>
              </w:rPr>
              <w:t>$224</w:t>
            </w:r>
            <w:r w:rsidRPr="00141981">
              <w:rPr>
                <w:rFonts w:ascii="Garamond" w:hAnsi="Garamond"/>
                <w:sz w:val="18"/>
                <w:szCs w:val="18"/>
              </w:rPr>
              <w:tab/>
              <w:t>(8%)</w:t>
            </w:r>
          </w:p>
        </w:tc>
      </w:tr>
      <w:tr w:rsidR="00DF1C08" w:rsidRPr="008677EA" w:rsidTr="000E5F8D">
        <w:tc>
          <w:tcPr>
            <w:tcW w:w="3060" w:type="dxa"/>
          </w:tcPr>
          <w:p w:rsidR="00DF1C08" w:rsidRPr="00141981" w:rsidRDefault="00DF1C08" w:rsidP="000E5F8D">
            <w:pPr>
              <w:keepNext/>
              <w:keepLines/>
              <w:spacing w:before="15" w:after="15"/>
              <w:jc w:val="both"/>
              <w:rPr>
                <w:rFonts w:ascii="Garamond" w:hAnsi="Garamond"/>
                <w:sz w:val="18"/>
                <w:szCs w:val="18"/>
              </w:rPr>
            </w:pPr>
            <w:r w:rsidRPr="00141981">
              <w:rPr>
                <w:rFonts w:ascii="Garamond" w:hAnsi="Garamond"/>
                <w:sz w:val="18"/>
                <w:szCs w:val="18"/>
              </w:rPr>
              <w:t xml:space="preserve">     Over six months up to one year</w:t>
            </w:r>
          </w:p>
        </w:tc>
        <w:tc>
          <w:tcPr>
            <w:tcW w:w="2430" w:type="dxa"/>
            <w:vMerge/>
          </w:tcPr>
          <w:p w:rsidR="00DF1C08" w:rsidRPr="00141981" w:rsidRDefault="00DF1C08" w:rsidP="000E5F8D">
            <w:pPr>
              <w:keepNext/>
              <w:keepLines/>
              <w:tabs>
                <w:tab w:val="left" w:pos="1422"/>
                <w:tab w:val="left" w:pos="1602"/>
              </w:tabs>
              <w:spacing w:before="15" w:after="15"/>
              <w:jc w:val="both"/>
              <w:rPr>
                <w:rFonts w:ascii="Garamond" w:hAnsi="Garamond"/>
                <w:sz w:val="18"/>
                <w:szCs w:val="18"/>
              </w:rPr>
            </w:pPr>
          </w:p>
        </w:tc>
        <w:tc>
          <w:tcPr>
            <w:tcW w:w="1980" w:type="dxa"/>
            <w:vMerge/>
          </w:tcPr>
          <w:p w:rsidR="00DF1C08" w:rsidRPr="00141981" w:rsidRDefault="00DF1C08" w:rsidP="000E5F8D">
            <w:pPr>
              <w:keepNext/>
              <w:keepLines/>
              <w:tabs>
                <w:tab w:val="left" w:pos="792"/>
              </w:tabs>
              <w:spacing w:before="15" w:after="15"/>
              <w:jc w:val="both"/>
              <w:rPr>
                <w:rFonts w:ascii="Garamond" w:hAnsi="Garamond"/>
                <w:sz w:val="18"/>
                <w:szCs w:val="18"/>
              </w:rPr>
            </w:pPr>
          </w:p>
        </w:tc>
        <w:tc>
          <w:tcPr>
            <w:tcW w:w="1890" w:type="dxa"/>
            <w:tcBorders>
              <w:top w:val="single" w:sz="4" w:space="0" w:color="auto"/>
              <w:bottom w:val="single" w:sz="4" w:space="0" w:color="auto"/>
            </w:tcBorders>
            <w:shd w:val="clear" w:color="auto" w:fill="auto"/>
          </w:tcPr>
          <w:p w:rsidR="00DF1C08" w:rsidRPr="00141981" w:rsidRDefault="00DF1C08" w:rsidP="000E5F8D">
            <w:pPr>
              <w:keepNext/>
              <w:keepLines/>
              <w:tabs>
                <w:tab w:val="left" w:pos="792"/>
                <w:tab w:val="left" w:pos="1089"/>
              </w:tabs>
              <w:spacing w:before="15" w:after="15"/>
              <w:jc w:val="both"/>
              <w:rPr>
                <w:rFonts w:ascii="Garamond" w:hAnsi="Garamond"/>
                <w:sz w:val="18"/>
                <w:szCs w:val="18"/>
              </w:rPr>
            </w:pPr>
            <w:r w:rsidRPr="00141981">
              <w:rPr>
                <w:rFonts w:ascii="Garamond" w:hAnsi="Garamond"/>
                <w:sz w:val="18"/>
                <w:szCs w:val="18"/>
              </w:rPr>
              <w:t>$28</w:t>
            </w:r>
            <w:r w:rsidRPr="00141981">
              <w:rPr>
                <w:rFonts w:ascii="Garamond" w:hAnsi="Garamond"/>
                <w:sz w:val="18"/>
                <w:szCs w:val="18"/>
              </w:rPr>
              <w:tab/>
              <w:t>(1%)</w:t>
            </w:r>
          </w:p>
        </w:tc>
      </w:tr>
      <w:tr w:rsidR="00141981" w:rsidRPr="008677EA" w:rsidTr="000E5F8D">
        <w:tc>
          <w:tcPr>
            <w:tcW w:w="3060" w:type="dxa"/>
          </w:tcPr>
          <w:p w:rsidR="00141981" w:rsidRPr="00141981" w:rsidRDefault="00141981" w:rsidP="000E5F8D">
            <w:pPr>
              <w:keepNext/>
              <w:keepLines/>
              <w:spacing w:before="15" w:after="15"/>
              <w:jc w:val="both"/>
              <w:rPr>
                <w:rFonts w:ascii="Garamond" w:hAnsi="Garamond"/>
                <w:sz w:val="18"/>
                <w:szCs w:val="18"/>
              </w:rPr>
            </w:pPr>
            <w:r w:rsidRPr="00141981">
              <w:rPr>
                <w:rFonts w:ascii="Garamond" w:hAnsi="Garamond"/>
                <w:sz w:val="18"/>
                <w:szCs w:val="18"/>
              </w:rPr>
              <w:t xml:space="preserve">     Over one year up to five years</w:t>
            </w:r>
          </w:p>
        </w:tc>
        <w:tc>
          <w:tcPr>
            <w:tcW w:w="2430" w:type="dxa"/>
          </w:tcPr>
          <w:p w:rsidR="00141981" w:rsidRPr="00141981" w:rsidRDefault="00141981" w:rsidP="000E5F8D">
            <w:pPr>
              <w:keepNext/>
              <w:keepLines/>
              <w:tabs>
                <w:tab w:val="left" w:pos="1422"/>
                <w:tab w:val="left" w:pos="1602"/>
              </w:tabs>
              <w:spacing w:before="15" w:after="15"/>
              <w:jc w:val="both"/>
              <w:rPr>
                <w:rFonts w:ascii="Garamond" w:hAnsi="Garamond"/>
                <w:sz w:val="18"/>
                <w:szCs w:val="18"/>
              </w:rPr>
            </w:pPr>
            <w:r w:rsidRPr="00141981">
              <w:rPr>
                <w:rFonts w:ascii="Garamond" w:hAnsi="Garamond"/>
                <w:sz w:val="18"/>
                <w:szCs w:val="18"/>
              </w:rPr>
              <w:t xml:space="preserve">$234,284 </w:t>
            </w:r>
            <w:r w:rsidRPr="00141981">
              <w:rPr>
                <w:rFonts w:ascii="Garamond" w:hAnsi="Garamond"/>
                <w:sz w:val="18"/>
                <w:szCs w:val="18"/>
              </w:rPr>
              <w:tab/>
              <w:t>(40%)</w:t>
            </w:r>
          </w:p>
        </w:tc>
        <w:tc>
          <w:tcPr>
            <w:tcW w:w="1980" w:type="dxa"/>
          </w:tcPr>
          <w:p w:rsidR="00141981" w:rsidRPr="00141981" w:rsidRDefault="00141981" w:rsidP="000E5F8D">
            <w:pPr>
              <w:keepNext/>
              <w:keepLines/>
              <w:tabs>
                <w:tab w:val="left" w:pos="792"/>
              </w:tabs>
              <w:spacing w:before="15" w:after="15"/>
              <w:jc w:val="both"/>
              <w:rPr>
                <w:rFonts w:ascii="Garamond" w:hAnsi="Garamond"/>
                <w:sz w:val="18"/>
                <w:szCs w:val="18"/>
              </w:rPr>
            </w:pPr>
            <w:r w:rsidRPr="00141981">
              <w:rPr>
                <w:rFonts w:ascii="Garamond" w:hAnsi="Garamond"/>
                <w:sz w:val="18"/>
                <w:szCs w:val="18"/>
              </w:rPr>
              <w:t>$16,162</w:t>
            </w:r>
            <w:r w:rsidRPr="00141981">
              <w:rPr>
                <w:rFonts w:ascii="Garamond" w:hAnsi="Garamond"/>
                <w:sz w:val="18"/>
                <w:szCs w:val="18"/>
              </w:rPr>
              <w:tab/>
              <w:t>(77%)</w:t>
            </w:r>
          </w:p>
        </w:tc>
        <w:tc>
          <w:tcPr>
            <w:tcW w:w="1890" w:type="dxa"/>
            <w:tcBorders>
              <w:top w:val="single" w:sz="4" w:space="0" w:color="auto"/>
              <w:bottom w:val="single" w:sz="4" w:space="0" w:color="auto"/>
            </w:tcBorders>
            <w:shd w:val="clear" w:color="auto" w:fill="auto"/>
          </w:tcPr>
          <w:p w:rsidR="00141981" w:rsidRPr="00141981" w:rsidRDefault="00141981" w:rsidP="000E5F8D">
            <w:pPr>
              <w:keepNext/>
              <w:keepLines/>
              <w:tabs>
                <w:tab w:val="left" w:pos="792"/>
                <w:tab w:val="left" w:pos="1089"/>
              </w:tabs>
              <w:spacing w:before="15" w:after="15"/>
              <w:jc w:val="both"/>
              <w:rPr>
                <w:rFonts w:ascii="Garamond" w:hAnsi="Garamond"/>
                <w:sz w:val="18"/>
                <w:szCs w:val="18"/>
              </w:rPr>
            </w:pPr>
            <w:r w:rsidRPr="00141981">
              <w:rPr>
                <w:rFonts w:ascii="Garamond" w:hAnsi="Garamond"/>
                <w:sz w:val="18"/>
                <w:szCs w:val="18"/>
              </w:rPr>
              <w:t>$28</w:t>
            </w:r>
            <w:r w:rsidRPr="00141981">
              <w:rPr>
                <w:rFonts w:ascii="Garamond" w:hAnsi="Garamond"/>
                <w:sz w:val="18"/>
                <w:szCs w:val="18"/>
              </w:rPr>
              <w:tab/>
              <w:t>(1%)</w:t>
            </w:r>
          </w:p>
        </w:tc>
      </w:tr>
      <w:tr w:rsidR="00141981" w:rsidRPr="008677EA" w:rsidTr="000E5F8D">
        <w:tc>
          <w:tcPr>
            <w:tcW w:w="3060" w:type="dxa"/>
          </w:tcPr>
          <w:p w:rsidR="00141981" w:rsidRPr="008677EA" w:rsidRDefault="00141981" w:rsidP="000E5F8D">
            <w:pPr>
              <w:keepNext/>
              <w:keepLines/>
              <w:spacing w:before="15" w:after="15"/>
              <w:jc w:val="both"/>
              <w:rPr>
                <w:rFonts w:ascii="Garamond" w:hAnsi="Garamond"/>
                <w:sz w:val="18"/>
                <w:szCs w:val="18"/>
              </w:rPr>
            </w:pPr>
            <w:r w:rsidRPr="008677EA">
              <w:rPr>
                <w:rFonts w:ascii="Garamond" w:hAnsi="Garamond"/>
                <w:sz w:val="18"/>
                <w:szCs w:val="18"/>
              </w:rPr>
              <w:t xml:space="preserve">     Over five years</w:t>
            </w:r>
          </w:p>
        </w:tc>
        <w:tc>
          <w:tcPr>
            <w:tcW w:w="2430" w:type="dxa"/>
          </w:tcPr>
          <w:p w:rsidR="00141981" w:rsidRPr="008677EA" w:rsidRDefault="00141981" w:rsidP="000E5F8D">
            <w:pPr>
              <w:keepNext/>
              <w:keepLines/>
              <w:tabs>
                <w:tab w:val="left" w:pos="1422"/>
                <w:tab w:val="left" w:pos="1602"/>
              </w:tabs>
              <w:spacing w:before="15" w:after="15"/>
              <w:jc w:val="both"/>
              <w:rPr>
                <w:rFonts w:ascii="Garamond" w:hAnsi="Garamond"/>
                <w:sz w:val="18"/>
                <w:szCs w:val="18"/>
              </w:rPr>
            </w:pPr>
            <w:r w:rsidRPr="008677EA">
              <w:rPr>
                <w:rFonts w:ascii="Garamond" w:hAnsi="Garamond"/>
                <w:sz w:val="18"/>
                <w:szCs w:val="18"/>
              </w:rPr>
              <w:t>$151,778</w:t>
            </w:r>
            <w:r w:rsidRPr="008677EA">
              <w:rPr>
                <w:rFonts w:ascii="Garamond" w:hAnsi="Garamond"/>
                <w:sz w:val="18"/>
                <w:szCs w:val="18"/>
              </w:rPr>
              <w:tab/>
              <w:t>(26%)</w:t>
            </w:r>
          </w:p>
        </w:tc>
        <w:tc>
          <w:tcPr>
            <w:tcW w:w="1980" w:type="dxa"/>
          </w:tcPr>
          <w:p w:rsidR="00141981" w:rsidRPr="008677EA" w:rsidRDefault="00141981" w:rsidP="000E5F8D">
            <w:pPr>
              <w:keepNext/>
              <w:keepLines/>
              <w:tabs>
                <w:tab w:val="left" w:pos="792"/>
              </w:tabs>
              <w:spacing w:before="15" w:after="15"/>
              <w:jc w:val="both"/>
              <w:rPr>
                <w:rFonts w:ascii="Garamond" w:hAnsi="Garamond"/>
                <w:sz w:val="18"/>
                <w:szCs w:val="18"/>
              </w:rPr>
            </w:pPr>
            <w:r w:rsidRPr="008677EA">
              <w:rPr>
                <w:rFonts w:ascii="Garamond" w:hAnsi="Garamond"/>
                <w:sz w:val="18"/>
                <w:szCs w:val="18"/>
              </w:rPr>
              <w:t>$1,203</w:t>
            </w:r>
            <w:r w:rsidRPr="008677EA">
              <w:rPr>
                <w:rFonts w:ascii="Garamond" w:hAnsi="Garamond"/>
                <w:sz w:val="18"/>
                <w:szCs w:val="18"/>
              </w:rPr>
              <w:tab/>
              <w:t>(6%)</w:t>
            </w:r>
          </w:p>
        </w:tc>
        <w:tc>
          <w:tcPr>
            <w:tcW w:w="1890" w:type="dxa"/>
            <w:tcBorders>
              <w:top w:val="single" w:sz="4" w:space="0" w:color="auto"/>
            </w:tcBorders>
          </w:tcPr>
          <w:p w:rsidR="00141981" w:rsidRPr="008677EA" w:rsidRDefault="00141981" w:rsidP="000E5F8D">
            <w:pPr>
              <w:keepNext/>
              <w:keepLines/>
              <w:tabs>
                <w:tab w:val="left" w:pos="792"/>
                <w:tab w:val="left" w:pos="1089"/>
              </w:tabs>
              <w:spacing w:before="15" w:after="15"/>
              <w:jc w:val="both"/>
              <w:rPr>
                <w:rFonts w:ascii="Garamond" w:hAnsi="Garamond"/>
                <w:sz w:val="18"/>
                <w:szCs w:val="18"/>
              </w:rPr>
            </w:pPr>
          </w:p>
        </w:tc>
      </w:tr>
    </w:tbl>
    <w:p w:rsidR="00141981" w:rsidRPr="00D43998" w:rsidRDefault="00141981" w:rsidP="00472841">
      <w:pPr>
        <w:jc w:val="both"/>
        <w:rPr>
          <w:rFonts w:ascii="Garamond" w:hAnsi="Garamond"/>
          <w:sz w:val="22"/>
          <w:szCs w:val="22"/>
        </w:rPr>
      </w:pPr>
    </w:p>
    <w:p w:rsidR="00C7564E" w:rsidRDefault="00472841" w:rsidP="00472841">
      <w:pPr>
        <w:autoSpaceDE w:val="0"/>
        <w:autoSpaceDN w:val="0"/>
        <w:adjustRightInd w:val="0"/>
        <w:jc w:val="both"/>
      </w:pPr>
      <w:r w:rsidRPr="00D43998">
        <w:rPr>
          <w:rFonts w:ascii="Garamond" w:hAnsi="Garamond"/>
          <w:sz w:val="22"/>
          <w:szCs w:val="22"/>
        </w:rPr>
        <w:t xml:space="preserve">To the extent ESMA nonetheless concludes that a frontloading requirement is necessary or desirable for FX NDF contracts, GFXD believes it would be more appropriate </w:t>
      </w:r>
      <w:r>
        <w:rPr>
          <w:rFonts w:ascii="Garamond" w:hAnsi="Garamond"/>
          <w:sz w:val="22"/>
          <w:szCs w:val="22"/>
        </w:rPr>
        <w:t xml:space="preserve">for ESMA </w:t>
      </w:r>
      <w:r w:rsidRPr="00D43998">
        <w:rPr>
          <w:rFonts w:ascii="Garamond" w:hAnsi="Garamond"/>
          <w:sz w:val="22"/>
          <w:szCs w:val="22"/>
        </w:rPr>
        <w:t xml:space="preserve">to set the </w:t>
      </w:r>
      <w:r w:rsidR="00DF1C08">
        <w:rPr>
          <w:rFonts w:ascii="Garamond" w:hAnsi="Garamond"/>
          <w:sz w:val="22"/>
          <w:szCs w:val="22"/>
        </w:rPr>
        <w:t>minimum remaining maturity (“</w:t>
      </w:r>
      <w:r w:rsidR="00DF1C08" w:rsidRPr="00DF1C08">
        <w:rPr>
          <w:rFonts w:ascii="Garamond" w:hAnsi="Garamond"/>
          <w:sz w:val="22"/>
          <w:szCs w:val="22"/>
          <w:u w:val="single"/>
        </w:rPr>
        <w:t>MRM</w:t>
      </w:r>
      <w:r w:rsidR="00DF1C08">
        <w:rPr>
          <w:rFonts w:ascii="Garamond" w:hAnsi="Garamond"/>
          <w:sz w:val="22"/>
          <w:szCs w:val="22"/>
        </w:rPr>
        <w:t xml:space="preserve">”) </w:t>
      </w:r>
      <w:r w:rsidRPr="00D43998">
        <w:rPr>
          <w:rFonts w:ascii="Garamond" w:hAnsi="Garamond"/>
          <w:sz w:val="22"/>
          <w:szCs w:val="22"/>
        </w:rPr>
        <w:t xml:space="preserve">at </w:t>
      </w:r>
      <w:r>
        <w:rPr>
          <w:rFonts w:ascii="Garamond" w:hAnsi="Garamond"/>
          <w:sz w:val="22"/>
          <w:szCs w:val="22"/>
        </w:rPr>
        <w:t xml:space="preserve">six months (6) </w:t>
      </w:r>
      <w:r w:rsidRPr="00D43998">
        <w:rPr>
          <w:rFonts w:ascii="Garamond" w:hAnsi="Garamond"/>
          <w:sz w:val="22"/>
          <w:szCs w:val="22"/>
        </w:rPr>
        <w:t>months</w:t>
      </w:r>
      <w:r>
        <w:rPr>
          <w:rFonts w:ascii="Garamond" w:hAnsi="Garamond"/>
          <w:sz w:val="22"/>
          <w:szCs w:val="22"/>
        </w:rPr>
        <w:t xml:space="preserve"> for category 1 and category 2 entities, </w:t>
      </w:r>
      <w:r w:rsidRPr="002A75CA">
        <w:rPr>
          <w:rFonts w:ascii="Garamond" w:hAnsi="Garamond"/>
          <w:i/>
          <w:sz w:val="22"/>
          <w:szCs w:val="22"/>
        </w:rPr>
        <w:t>provided</w:t>
      </w:r>
      <w:r>
        <w:rPr>
          <w:rFonts w:ascii="Garamond" w:hAnsi="Garamond"/>
          <w:sz w:val="22"/>
          <w:szCs w:val="22"/>
        </w:rPr>
        <w:t xml:space="preserve"> that the modific</w:t>
      </w:r>
      <w:r>
        <w:rPr>
          <w:rFonts w:ascii="Garamond" w:hAnsi="Garamond"/>
          <w:sz w:val="22"/>
          <w:szCs w:val="22"/>
        </w:rPr>
        <w:t>a</w:t>
      </w:r>
      <w:r>
        <w:rPr>
          <w:rFonts w:ascii="Garamond" w:hAnsi="Garamond"/>
          <w:sz w:val="22"/>
          <w:szCs w:val="22"/>
        </w:rPr>
        <w:t xml:space="preserve">tions suggested in the ISDA-FIA </w:t>
      </w:r>
      <w:r w:rsidR="004771DE">
        <w:rPr>
          <w:rFonts w:ascii="Garamond" w:hAnsi="Garamond"/>
          <w:sz w:val="22"/>
          <w:szCs w:val="22"/>
        </w:rPr>
        <w:t xml:space="preserve">Europe </w:t>
      </w:r>
      <w:r>
        <w:rPr>
          <w:rFonts w:ascii="Garamond" w:hAnsi="Garamond"/>
          <w:sz w:val="22"/>
          <w:szCs w:val="22"/>
        </w:rPr>
        <w:t xml:space="preserve">FX NDF Response to Question 6 of this Consultation Paper are adopted.  In </w:t>
      </w:r>
      <w:r w:rsidRPr="002A75CA">
        <w:rPr>
          <w:rFonts w:ascii="Garamond" w:hAnsi="Garamond"/>
          <w:color w:val="000000"/>
          <w:sz w:val="22"/>
          <w:szCs w:val="22"/>
        </w:rPr>
        <w:t>both the IRS and CDS clearing obligation consultations, ESMA determined that risk associated with contracts became substantial if the trade matured in over six months</w:t>
      </w:r>
      <w:r>
        <w:rPr>
          <w:rFonts w:ascii="Garamond" w:hAnsi="Garamond"/>
          <w:color w:val="000000"/>
          <w:sz w:val="22"/>
          <w:szCs w:val="22"/>
        </w:rPr>
        <w:t>; and that a six month MRM for IRS contracts would capture nearly 90 percent of the trade population</w:t>
      </w:r>
      <w:r w:rsidRPr="002A75CA">
        <w:rPr>
          <w:rFonts w:ascii="Garamond" w:hAnsi="Garamond"/>
          <w:color w:val="000000"/>
          <w:sz w:val="22"/>
          <w:szCs w:val="22"/>
        </w:rPr>
        <w:t xml:space="preserve">.  </w:t>
      </w:r>
      <w:r>
        <w:rPr>
          <w:rFonts w:ascii="Garamond" w:hAnsi="Garamond"/>
          <w:color w:val="000000"/>
          <w:sz w:val="22"/>
          <w:szCs w:val="22"/>
        </w:rPr>
        <w:t xml:space="preserve">In contrast, </w:t>
      </w:r>
      <w:r>
        <w:rPr>
          <w:rFonts w:ascii="Garamond" w:hAnsi="Garamond"/>
          <w:sz w:val="22"/>
          <w:szCs w:val="22"/>
        </w:rPr>
        <w:t xml:space="preserve">ESMA notes in this </w:t>
      </w:r>
      <w:r w:rsidRPr="002A75CA">
        <w:rPr>
          <w:rFonts w:ascii="Garamond" w:hAnsi="Garamond"/>
          <w:sz w:val="22"/>
          <w:szCs w:val="22"/>
        </w:rPr>
        <w:t>Consult</w:t>
      </w:r>
      <w:r w:rsidRPr="002A75CA">
        <w:rPr>
          <w:rFonts w:ascii="Garamond" w:hAnsi="Garamond"/>
          <w:sz w:val="22"/>
          <w:szCs w:val="22"/>
        </w:rPr>
        <w:t>a</w:t>
      </w:r>
      <w:r w:rsidRPr="002A75CA">
        <w:rPr>
          <w:rFonts w:ascii="Garamond" w:hAnsi="Garamond"/>
          <w:sz w:val="22"/>
          <w:szCs w:val="22"/>
        </w:rPr>
        <w:t xml:space="preserve">tion Paper that the reduction of MRM to 3 months for the FX NDF class </w:t>
      </w:r>
      <w:r w:rsidRPr="002A75CA">
        <w:rPr>
          <w:rFonts w:ascii="Garamond" w:hAnsi="Garamond"/>
          <w:color w:val="000000"/>
          <w:sz w:val="22"/>
          <w:szCs w:val="22"/>
        </w:rPr>
        <w:t xml:space="preserve">takes into account the fact that the maximum maturity of the FX NDF classes is lower than the maximum maturity in the IRS class.  There is no </w:t>
      </w:r>
      <w:r w:rsidRPr="002A75CA">
        <w:rPr>
          <w:rFonts w:ascii="Garamond" w:hAnsi="Garamond"/>
          <w:color w:val="000000"/>
          <w:sz w:val="22"/>
          <w:szCs w:val="22"/>
        </w:rPr>
        <w:lastRenderedPageBreak/>
        <w:t>reason, however, to suggest that FX NDFs with a residual maturity between three and six months will co</w:t>
      </w:r>
      <w:r w:rsidRPr="002A75CA">
        <w:rPr>
          <w:rFonts w:ascii="Garamond" w:hAnsi="Garamond"/>
          <w:color w:val="000000"/>
          <w:sz w:val="22"/>
          <w:szCs w:val="22"/>
        </w:rPr>
        <w:t>n</w:t>
      </w:r>
      <w:r w:rsidRPr="002A75CA">
        <w:rPr>
          <w:rFonts w:ascii="Garamond" w:hAnsi="Garamond"/>
          <w:color w:val="000000"/>
          <w:sz w:val="22"/>
          <w:szCs w:val="22"/>
        </w:rPr>
        <w:t>tribute to systemic risk any more than IRS and/or CDS with the same residual maturity</w:t>
      </w:r>
      <w:r>
        <w:rPr>
          <w:rFonts w:ascii="Garamond" w:hAnsi="Garamond"/>
          <w:color w:val="000000"/>
          <w:sz w:val="22"/>
          <w:szCs w:val="22"/>
        </w:rPr>
        <w:t xml:space="preserve">.  </w:t>
      </w:r>
      <w:r w:rsidRPr="002A75CA">
        <w:rPr>
          <w:rFonts w:ascii="Garamond" w:hAnsi="Garamond"/>
          <w:color w:val="000000"/>
          <w:sz w:val="22"/>
          <w:szCs w:val="22"/>
        </w:rPr>
        <w:t xml:space="preserve">Lowering the MRM for FX NDFs to capture a greater share of </w:t>
      </w:r>
      <w:r>
        <w:rPr>
          <w:rFonts w:ascii="Garamond" w:hAnsi="Garamond"/>
          <w:color w:val="000000"/>
          <w:sz w:val="22"/>
          <w:szCs w:val="22"/>
        </w:rPr>
        <w:t xml:space="preserve">the contracts, because most </w:t>
      </w:r>
      <w:r w:rsidRPr="002A75CA">
        <w:rPr>
          <w:rFonts w:ascii="Garamond" w:hAnsi="Garamond"/>
          <w:color w:val="000000"/>
          <w:sz w:val="22"/>
          <w:szCs w:val="22"/>
        </w:rPr>
        <w:t xml:space="preserve">contracts in this asset class are </w:t>
      </w:r>
      <w:r>
        <w:rPr>
          <w:rFonts w:ascii="Garamond" w:hAnsi="Garamond"/>
          <w:color w:val="000000"/>
          <w:sz w:val="22"/>
          <w:szCs w:val="22"/>
        </w:rPr>
        <w:t>ove</w:t>
      </w:r>
      <w:r>
        <w:rPr>
          <w:rFonts w:ascii="Garamond" w:hAnsi="Garamond"/>
          <w:color w:val="000000"/>
          <w:sz w:val="22"/>
          <w:szCs w:val="22"/>
        </w:rPr>
        <w:t>r</w:t>
      </w:r>
      <w:r>
        <w:rPr>
          <w:rFonts w:ascii="Garamond" w:hAnsi="Garamond"/>
          <w:color w:val="000000"/>
          <w:sz w:val="22"/>
          <w:szCs w:val="22"/>
        </w:rPr>
        <w:t xml:space="preserve">whelmingly short-dated, </w:t>
      </w:r>
      <w:r w:rsidRPr="002A75CA">
        <w:rPr>
          <w:rFonts w:ascii="Garamond" w:hAnsi="Garamond"/>
          <w:color w:val="000000"/>
          <w:sz w:val="22"/>
          <w:szCs w:val="22"/>
        </w:rPr>
        <w:t>is inconsistent with ESMA’s earlier analysis</w:t>
      </w:r>
      <w:r>
        <w:rPr>
          <w:rFonts w:ascii="Garamond" w:hAnsi="Garamond"/>
          <w:color w:val="000000"/>
          <w:sz w:val="22"/>
          <w:szCs w:val="22"/>
        </w:rPr>
        <w:t>.</w:t>
      </w:r>
      <w:r>
        <w:rPr>
          <w:rFonts w:ascii="Garamond" w:hAnsi="Garamond"/>
          <w:sz w:val="22"/>
          <w:szCs w:val="22"/>
        </w:rPr>
        <w:t xml:space="preserve">  </w:t>
      </w:r>
      <w:r w:rsidRPr="002A75CA">
        <w:rPr>
          <w:rFonts w:ascii="Garamond" w:hAnsi="Garamond"/>
          <w:color w:val="000000"/>
          <w:sz w:val="22"/>
          <w:szCs w:val="22"/>
        </w:rPr>
        <w:t xml:space="preserve">Accordingly, GFXD </w:t>
      </w:r>
      <w:r>
        <w:rPr>
          <w:rFonts w:ascii="Garamond" w:hAnsi="Garamond"/>
          <w:color w:val="000000"/>
          <w:sz w:val="22"/>
          <w:szCs w:val="22"/>
        </w:rPr>
        <w:t xml:space="preserve">recommends that ESMA determine, with due consideration to the figures included in the table above, </w:t>
      </w:r>
      <w:r w:rsidRPr="002A75CA">
        <w:rPr>
          <w:rFonts w:ascii="Garamond" w:hAnsi="Garamond"/>
          <w:color w:val="000000"/>
          <w:sz w:val="22"/>
          <w:szCs w:val="22"/>
        </w:rPr>
        <w:t xml:space="preserve">that FX NDFs present greater </w:t>
      </w:r>
      <w:r w:rsidRPr="00386B09">
        <w:rPr>
          <w:rFonts w:ascii="Garamond" w:hAnsi="Garamond"/>
          <w:i/>
          <w:color w:val="000000"/>
          <w:sz w:val="22"/>
          <w:szCs w:val="22"/>
        </w:rPr>
        <w:t>systemic</w:t>
      </w:r>
      <w:r w:rsidRPr="002A75CA">
        <w:rPr>
          <w:rFonts w:ascii="Garamond" w:hAnsi="Garamond"/>
          <w:color w:val="000000"/>
          <w:sz w:val="22"/>
          <w:szCs w:val="22"/>
        </w:rPr>
        <w:t xml:space="preserve"> </w:t>
      </w:r>
      <w:r w:rsidRPr="00386B09">
        <w:rPr>
          <w:rFonts w:ascii="Garamond" w:hAnsi="Garamond"/>
          <w:i/>
          <w:color w:val="000000"/>
          <w:sz w:val="22"/>
          <w:szCs w:val="22"/>
        </w:rPr>
        <w:t>risk</w:t>
      </w:r>
      <w:r w:rsidRPr="002A75CA">
        <w:rPr>
          <w:rFonts w:ascii="Garamond" w:hAnsi="Garamond"/>
          <w:color w:val="000000"/>
          <w:sz w:val="22"/>
          <w:szCs w:val="22"/>
        </w:rPr>
        <w:t xml:space="preserve"> at maturities of three months in comparison to the IRS and CDS asset classes with matur</w:t>
      </w:r>
      <w:r w:rsidRPr="002A75CA">
        <w:rPr>
          <w:rFonts w:ascii="Garamond" w:hAnsi="Garamond"/>
          <w:color w:val="000000"/>
          <w:sz w:val="22"/>
          <w:szCs w:val="22"/>
        </w:rPr>
        <w:t>i</w:t>
      </w:r>
      <w:r w:rsidRPr="002A75CA">
        <w:rPr>
          <w:rFonts w:ascii="Garamond" w:hAnsi="Garamond"/>
          <w:color w:val="000000"/>
          <w:sz w:val="22"/>
          <w:szCs w:val="22"/>
        </w:rPr>
        <w:t>ties of six months before establishing a shorter MRM for the FX NDF asset class.</w:t>
      </w:r>
    </w:p>
    <w:permEnd w:id="11"/>
    <w:p w:rsidR="00C7564E" w:rsidRDefault="00C7564E" w:rsidP="00C7564E">
      <w:r>
        <w:t>&lt;ESMA_CO3_QUESTION_8&gt;</w:t>
      </w:r>
    </w:p>
    <w:p w:rsidR="00CC1C71" w:rsidRDefault="00CC1C71" w:rsidP="00CC1C71"/>
    <w:p w:rsidR="00CC1C71" w:rsidRDefault="00CC1C71" w:rsidP="00CC1C71"/>
    <w:p w:rsidR="00CC1C71" w:rsidRDefault="00CC1C71" w:rsidP="00CC1C71">
      <w:r>
        <w:br w:type="page"/>
      </w:r>
    </w:p>
    <w:p w:rsidR="00CC1C71" w:rsidRDefault="00CC1C71" w:rsidP="00CC1C71">
      <w:pPr>
        <w:pStyle w:val="Heading1"/>
        <w:numPr>
          <w:ilvl w:val="0"/>
          <w:numId w:val="0"/>
        </w:numPr>
        <w:ind w:left="284"/>
      </w:pPr>
      <w:bookmarkStart w:id="31" w:name="_Ref389466688"/>
      <w:bookmarkStart w:id="32" w:name="_Toc398140750"/>
      <w:r w:rsidRPr="006579BC">
        <w:lastRenderedPageBreak/>
        <w:t xml:space="preserve">Annex </w:t>
      </w:r>
      <w:r w:rsidR="00AE1D87">
        <w:fldChar w:fldCharType="begin"/>
      </w:r>
      <w:r w:rsidR="00422E75">
        <w:instrText xml:space="preserve"> SEQ Annex \* ROMAN </w:instrText>
      </w:r>
      <w:r w:rsidR="00AE1D87">
        <w:fldChar w:fldCharType="separate"/>
      </w:r>
      <w:r>
        <w:rPr>
          <w:noProof/>
        </w:rPr>
        <w:t>II</w:t>
      </w:r>
      <w:r w:rsidR="00AE1D87">
        <w:rPr>
          <w:noProof/>
        </w:rPr>
        <w:fldChar w:fldCharType="end"/>
      </w:r>
      <w:bookmarkEnd w:id="31"/>
      <w:r w:rsidRPr="006579BC">
        <w:t xml:space="preserve"> - Draft Regulatory Technical Standards on the Clearing Oblig</w:t>
      </w:r>
      <w:r w:rsidRPr="006579BC">
        <w:t>a</w:t>
      </w:r>
      <w:r w:rsidRPr="006579BC">
        <w:t>tion</w:t>
      </w:r>
      <w:bookmarkEnd w:id="32"/>
    </w:p>
    <w:p w:rsidR="00CC1C71" w:rsidRPr="00CC1C71" w:rsidRDefault="00CC1C71" w:rsidP="00CC1C71"/>
    <w:p w:rsidR="00CC1C71" w:rsidRDefault="00CC1C71" w:rsidP="00CC1C71"/>
    <w:p w:rsidR="00CC1C71" w:rsidRDefault="00CC1C71" w:rsidP="00CC1C71">
      <w:pPr>
        <w:pStyle w:val="Heading5"/>
      </w:pPr>
      <w:r>
        <w:t>Please indicate your comments on the draft RTS other than those already made in the previous questions.</w:t>
      </w:r>
    </w:p>
    <w:p w:rsidR="00CC1C71" w:rsidRDefault="00CC1C71" w:rsidP="00CC1C71"/>
    <w:p w:rsidR="00CC1C71" w:rsidRDefault="00CC1C71" w:rsidP="00CC1C71">
      <w:r>
        <w:t>&lt;ESMA_CO3_QUESTION_9&gt;</w:t>
      </w:r>
    </w:p>
    <w:p w:rsidR="00D726FC" w:rsidRDefault="00D726FC" w:rsidP="000E5F8D">
      <w:pPr>
        <w:jc w:val="both"/>
        <w:rPr>
          <w:rFonts w:ascii="Garamond" w:hAnsi="Garamond"/>
          <w:sz w:val="22"/>
          <w:szCs w:val="22"/>
        </w:rPr>
      </w:pPr>
      <w:permStart w:id="12" w:edGrp="everyone"/>
      <w:r>
        <w:rPr>
          <w:rFonts w:ascii="Garamond" w:hAnsi="Garamond"/>
          <w:sz w:val="22"/>
          <w:szCs w:val="22"/>
        </w:rPr>
        <w:t xml:space="preserve">The application of a clearing mandate to FX NDFs is categorically different than applying one to IRS and CDS asset classes.  If </w:t>
      </w:r>
      <w:r w:rsidRPr="00345183">
        <w:rPr>
          <w:rFonts w:ascii="Garamond" w:hAnsi="Garamond"/>
          <w:sz w:val="22"/>
          <w:szCs w:val="22"/>
        </w:rPr>
        <w:t xml:space="preserve">ESMA were to </w:t>
      </w:r>
      <w:r w:rsidRPr="00345183">
        <w:rPr>
          <w:rFonts w:ascii="Garamond" w:eastAsiaTheme="minorHAnsi" w:hAnsi="Garamond"/>
          <w:sz w:val="22"/>
          <w:szCs w:val="22"/>
        </w:rPr>
        <w:t xml:space="preserve">recommend to the European Commission that a clearing obligation be introduced for FX NDF contracts, </w:t>
      </w:r>
      <w:r>
        <w:rPr>
          <w:rFonts w:ascii="Garamond" w:hAnsi="Garamond"/>
          <w:sz w:val="22"/>
          <w:szCs w:val="22"/>
        </w:rPr>
        <w:t>GFXD suggests that, with respect to promulgating an RTS on a clearing obligation, ESMA should take particular care to:</w:t>
      </w:r>
    </w:p>
    <w:p w:rsidR="00D726FC" w:rsidRDefault="00D726FC" w:rsidP="000E5F8D">
      <w:pPr>
        <w:jc w:val="both"/>
        <w:rPr>
          <w:rFonts w:ascii="Garamond" w:hAnsi="Garamond"/>
          <w:sz w:val="22"/>
          <w:szCs w:val="22"/>
        </w:rPr>
      </w:pPr>
    </w:p>
    <w:p w:rsidR="00D726FC" w:rsidRDefault="00D726FC" w:rsidP="00D726FC">
      <w:pPr>
        <w:pStyle w:val="ListParagraph"/>
        <w:numPr>
          <w:ilvl w:val="0"/>
          <w:numId w:val="45"/>
        </w:numPr>
        <w:contextualSpacing w:val="0"/>
        <w:jc w:val="both"/>
        <w:rPr>
          <w:rFonts w:ascii="Garamond" w:hAnsi="Garamond"/>
          <w:sz w:val="22"/>
          <w:szCs w:val="22"/>
        </w:rPr>
      </w:pPr>
      <w:r w:rsidRPr="007615A3">
        <w:rPr>
          <w:rFonts w:ascii="Garamond" w:hAnsi="Garamond"/>
          <w:sz w:val="22"/>
          <w:szCs w:val="22"/>
        </w:rPr>
        <w:t>ensure the standardisation of FX NDF instruments by specifying that only contracts accepting the EMTA published currency templates, i.e., without modification, are within the mandate’s scope (see our response to Question 1)</w:t>
      </w:r>
      <w:r>
        <w:rPr>
          <w:rFonts w:ascii="Garamond" w:hAnsi="Garamond"/>
          <w:sz w:val="22"/>
          <w:szCs w:val="22"/>
        </w:rPr>
        <w:t>;</w:t>
      </w:r>
    </w:p>
    <w:p w:rsidR="00D726FC" w:rsidRDefault="00D726FC" w:rsidP="00D726FC">
      <w:pPr>
        <w:pStyle w:val="ListParagraph"/>
        <w:numPr>
          <w:ilvl w:val="0"/>
          <w:numId w:val="45"/>
        </w:numPr>
        <w:contextualSpacing w:val="0"/>
        <w:jc w:val="both"/>
        <w:rPr>
          <w:rFonts w:ascii="Garamond" w:hAnsi="Garamond"/>
          <w:sz w:val="22"/>
          <w:szCs w:val="22"/>
        </w:rPr>
      </w:pPr>
      <w:r w:rsidRPr="007615A3">
        <w:rPr>
          <w:rFonts w:ascii="Garamond" w:hAnsi="Garamond"/>
          <w:sz w:val="22"/>
          <w:szCs w:val="22"/>
        </w:rPr>
        <w:t>apply the mandate only to instruments in tenors liquid enough to support clearing, i.e., 1 year (see our response to Question 4);</w:t>
      </w:r>
    </w:p>
    <w:p w:rsidR="00D726FC" w:rsidRDefault="00D726FC" w:rsidP="00CC1C71">
      <w:pPr>
        <w:pStyle w:val="ListParagraph"/>
        <w:numPr>
          <w:ilvl w:val="0"/>
          <w:numId w:val="45"/>
        </w:numPr>
        <w:contextualSpacing w:val="0"/>
        <w:jc w:val="both"/>
        <w:rPr>
          <w:rFonts w:ascii="Garamond" w:hAnsi="Garamond"/>
          <w:sz w:val="22"/>
          <w:szCs w:val="22"/>
        </w:rPr>
      </w:pPr>
      <w:r w:rsidRPr="007615A3">
        <w:rPr>
          <w:rFonts w:ascii="Garamond" w:hAnsi="Garamond"/>
          <w:sz w:val="22"/>
          <w:szCs w:val="22"/>
        </w:rPr>
        <w:t>provide for a sufficiently lengthened phase-in period (see our response to Question 7); and</w:t>
      </w:r>
    </w:p>
    <w:p w:rsidR="00D726FC" w:rsidRPr="00D726FC" w:rsidRDefault="00D726FC" w:rsidP="00CC1C71">
      <w:pPr>
        <w:pStyle w:val="ListParagraph"/>
        <w:numPr>
          <w:ilvl w:val="0"/>
          <w:numId w:val="45"/>
        </w:numPr>
        <w:contextualSpacing w:val="0"/>
        <w:jc w:val="both"/>
        <w:rPr>
          <w:rFonts w:ascii="Garamond" w:hAnsi="Garamond"/>
          <w:sz w:val="22"/>
          <w:szCs w:val="22"/>
        </w:rPr>
      </w:pPr>
      <w:r w:rsidRPr="00D726FC">
        <w:rPr>
          <w:rFonts w:ascii="Garamond" w:hAnsi="Garamond"/>
          <w:sz w:val="22"/>
          <w:szCs w:val="22"/>
        </w:rPr>
        <w:t>not apply the frontloading requirement (or, if applied, only as necessary to achieve the goal of material risk reduction, i.e., to categories 1 and 2 with a MRM of 6 months) (see our response to Question 8).</w:t>
      </w:r>
    </w:p>
    <w:permEnd w:id="12"/>
    <w:p w:rsidR="00CC1C71" w:rsidRDefault="00CC1C71" w:rsidP="00CC1C71">
      <w:r>
        <w:t>&lt;ESMA_CO3_QUESTION_9&gt;</w:t>
      </w:r>
    </w:p>
    <w:p w:rsidR="00CC1C71" w:rsidRDefault="00CC1C71" w:rsidP="00CC1C71">
      <w:r>
        <w:br w:type="page"/>
      </w:r>
    </w:p>
    <w:p w:rsidR="00CC1C71" w:rsidRPr="0030524D" w:rsidRDefault="00CC1C71" w:rsidP="00CC1C71">
      <w:pPr>
        <w:pStyle w:val="Heading1"/>
        <w:numPr>
          <w:ilvl w:val="0"/>
          <w:numId w:val="0"/>
        </w:numPr>
        <w:ind w:left="284"/>
      </w:pPr>
      <w:bookmarkStart w:id="33" w:name="_Toc398140751"/>
      <w:r w:rsidRPr="0030524D">
        <w:lastRenderedPageBreak/>
        <w:t xml:space="preserve">Annex </w:t>
      </w:r>
      <w:r w:rsidR="00AE1D87">
        <w:fldChar w:fldCharType="begin"/>
      </w:r>
      <w:r w:rsidR="00422E75">
        <w:instrText xml:space="preserve"> SEQ Annex \* ROMAN </w:instrText>
      </w:r>
      <w:r w:rsidR="00AE1D87">
        <w:fldChar w:fldCharType="separate"/>
      </w:r>
      <w:r>
        <w:rPr>
          <w:noProof/>
        </w:rPr>
        <w:t>III</w:t>
      </w:r>
      <w:r w:rsidR="00AE1D87">
        <w:rPr>
          <w:noProof/>
        </w:rPr>
        <w:fldChar w:fldCharType="end"/>
      </w:r>
      <w:r w:rsidRPr="0030524D">
        <w:t xml:space="preserve"> </w:t>
      </w:r>
      <w:r>
        <w:t>–</w:t>
      </w:r>
      <w:r w:rsidRPr="0030524D">
        <w:t xml:space="preserve"> </w:t>
      </w:r>
      <w:r>
        <w:t>Impact assessment</w:t>
      </w:r>
      <w:bookmarkEnd w:id="33"/>
    </w:p>
    <w:p w:rsidR="00CC1C71" w:rsidRDefault="00CC1C71" w:rsidP="00CC1C71"/>
    <w:p w:rsidR="00CC1C71" w:rsidRDefault="00CC1C71" w:rsidP="00CC1C71">
      <w:pPr>
        <w:pStyle w:val="Heading5"/>
      </w:pPr>
      <w:r>
        <w:t>Please indicate your comments on the Impact Assessment.</w:t>
      </w:r>
    </w:p>
    <w:p w:rsidR="00CC1C71" w:rsidRDefault="00CC1C71" w:rsidP="00CC1C71"/>
    <w:p w:rsidR="00CC1C71" w:rsidRDefault="00CC1C71" w:rsidP="00CC1C71">
      <w:r>
        <w:t>&lt;ESMA_CO3_QUESTION_10&gt;</w:t>
      </w:r>
    </w:p>
    <w:p w:rsidR="00D726FC" w:rsidRDefault="00D726FC" w:rsidP="00D726FC">
      <w:pPr>
        <w:jc w:val="both"/>
        <w:rPr>
          <w:rFonts w:ascii="Garamond" w:hAnsi="Garamond"/>
          <w:sz w:val="22"/>
          <w:szCs w:val="22"/>
        </w:rPr>
      </w:pPr>
      <w:permStart w:id="13" w:edGrp="everyone"/>
      <w:r>
        <w:rPr>
          <w:rFonts w:ascii="Garamond" w:hAnsi="Garamond"/>
          <w:sz w:val="22"/>
          <w:szCs w:val="22"/>
        </w:rPr>
        <w:t>Because clearing of FX NDFs remains largely undeveloped, a clearing mandate may have significantly greater impact on market participants than did the transition to a clearing in the IRS and CDS asset classes.</w:t>
      </w:r>
    </w:p>
    <w:p w:rsidR="00D726FC" w:rsidRDefault="00D726FC" w:rsidP="00D726FC">
      <w:pPr>
        <w:jc w:val="both"/>
        <w:rPr>
          <w:rFonts w:ascii="Garamond" w:hAnsi="Garamond"/>
          <w:sz w:val="22"/>
          <w:szCs w:val="22"/>
        </w:rPr>
      </w:pPr>
    </w:p>
    <w:p w:rsidR="00D726FC" w:rsidRPr="00B12562" w:rsidRDefault="00D726FC" w:rsidP="00D726FC">
      <w:pPr>
        <w:jc w:val="both"/>
        <w:rPr>
          <w:rFonts w:ascii="Garamond" w:hAnsi="Garamond"/>
          <w:sz w:val="22"/>
          <w:szCs w:val="22"/>
        </w:rPr>
      </w:pPr>
      <w:r w:rsidRPr="00B12562">
        <w:rPr>
          <w:rFonts w:ascii="Garamond" w:hAnsi="Garamond"/>
          <w:sz w:val="22"/>
          <w:szCs w:val="22"/>
        </w:rPr>
        <w:t xml:space="preserve">In our response to this Consultation Paper, GFXD outlines many of the specific issues that raise important considerations regarding the level of risk reduction and systemic risk reduction which would be achieved with the introduction of a clearing </w:t>
      </w:r>
      <w:r>
        <w:rPr>
          <w:rFonts w:ascii="Garamond" w:hAnsi="Garamond"/>
          <w:sz w:val="22"/>
          <w:szCs w:val="22"/>
        </w:rPr>
        <w:t xml:space="preserve">obligation </w:t>
      </w:r>
      <w:r w:rsidRPr="00B12562">
        <w:rPr>
          <w:rFonts w:ascii="Garamond" w:hAnsi="Garamond"/>
          <w:sz w:val="22"/>
          <w:szCs w:val="22"/>
        </w:rPr>
        <w:t xml:space="preserve">for FX NDF contracts </w:t>
      </w:r>
      <w:r w:rsidRPr="00B12562">
        <w:rPr>
          <w:rFonts w:ascii="Garamond" w:hAnsi="Garamond"/>
          <w:sz w:val="22"/>
          <w:szCs w:val="22"/>
          <w:u w:val="single"/>
        </w:rPr>
        <w:t>at this time</w:t>
      </w:r>
      <w:r w:rsidRPr="00B12562">
        <w:rPr>
          <w:rFonts w:ascii="Garamond" w:hAnsi="Garamond"/>
          <w:sz w:val="22"/>
          <w:szCs w:val="22"/>
        </w:rPr>
        <w:t xml:space="preserve"> (see our response to Question 3).</w:t>
      </w:r>
    </w:p>
    <w:p w:rsidR="00D726FC" w:rsidRDefault="00D726FC" w:rsidP="00D726FC">
      <w:pPr>
        <w:pStyle w:val="ListParagraph"/>
        <w:jc w:val="both"/>
        <w:rPr>
          <w:rFonts w:ascii="Garamond" w:hAnsi="Garamond"/>
          <w:sz w:val="22"/>
          <w:szCs w:val="22"/>
        </w:rPr>
      </w:pPr>
    </w:p>
    <w:p w:rsidR="00D726FC" w:rsidRDefault="00D726FC" w:rsidP="00D726FC">
      <w:pPr>
        <w:jc w:val="both"/>
        <w:rPr>
          <w:rFonts w:ascii="Garamond" w:hAnsi="Garamond"/>
          <w:sz w:val="22"/>
          <w:szCs w:val="22"/>
        </w:rPr>
      </w:pPr>
      <w:r>
        <w:rPr>
          <w:rFonts w:ascii="Garamond" w:hAnsi="Garamond"/>
          <w:sz w:val="22"/>
          <w:szCs w:val="22"/>
        </w:rPr>
        <w:t xml:space="preserve">If </w:t>
      </w:r>
      <w:r w:rsidRPr="00345183">
        <w:rPr>
          <w:rFonts w:ascii="Garamond" w:hAnsi="Garamond"/>
          <w:sz w:val="22"/>
          <w:szCs w:val="22"/>
        </w:rPr>
        <w:t xml:space="preserve">ESMA were to </w:t>
      </w:r>
      <w:r w:rsidRPr="00345183">
        <w:rPr>
          <w:rFonts w:ascii="Garamond" w:eastAsiaTheme="minorHAnsi" w:hAnsi="Garamond"/>
          <w:sz w:val="22"/>
          <w:szCs w:val="22"/>
        </w:rPr>
        <w:t xml:space="preserve">recommend to the European Commission that a clearing obligation be introduced for FX NDF contracts, </w:t>
      </w:r>
      <w:r>
        <w:rPr>
          <w:rFonts w:ascii="Garamond" w:eastAsiaTheme="minorHAnsi" w:hAnsi="Garamond"/>
          <w:sz w:val="22"/>
          <w:szCs w:val="22"/>
        </w:rPr>
        <w:t>f</w:t>
      </w:r>
      <w:r w:rsidRPr="00B12562">
        <w:rPr>
          <w:rFonts w:ascii="Garamond" w:hAnsi="Garamond"/>
          <w:sz w:val="22"/>
          <w:szCs w:val="22"/>
        </w:rPr>
        <w:t>actors which complicate the implementation of any such mandate</w:t>
      </w:r>
      <w:r>
        <w:rPr>
          <w:rFonts w:ascii="Garamond" w:hAnsi="Garamond"/>
          <w:sz w:val="22"/>
          <w:szCs w:val="22"/>
        </w:rPr>
        <w:t xml:space="preserve"> at this time and therefore are relevant to defining the categories of counterparties, and scope of clearing members to be included in Category 1, include:</w:t>
      </w:r>
    </w:p>
    <w:p w:rsidR="00D726FC" w:rsidRDefault="00D726FC" w:rsidP="00D726FC">
      <w:pPr>
        <w:jc w:val="both"/>
        <w:rPr>
          <w:rFonts w:ascii="Garamond" w:hAnsi="Garamond"/>
          <w:sz w:val="22"/>
          <w:szCs w:val="22"/>
        </w:rPr>
      </w:pPr>
    </w:p>
    <w:p w:rsidR="00D726FC" w:rsidRDefault="00D726FC" w:rsidP="00D726FC">
      <w:pPr>
        <w:pStyle w:val="ListParagraph"/>
        <w:numPr>
          <w:ilvl w:val="0"/>
          <w:numId w:val="46"/>
        </w:numPr>
        <w:contextualSpacing w:val="0"/>
        <w:jc w:val="both"/>
        <w:rPr>
          <w:rFonts w:ascii="Garamond" w:hAnsi="Garamond"/>
          <w:sz w:val="22"/>
          <w:szCs w:val="22"/>
        </w:rPr>
      </w:pPr>
      <w:r w:rsidRPr="00DA6E32">
        <w:rPr>
          <w:rFonts w:ascii="Garamond" w:eastAsia="SimSun" w:hAnsi="Garamond"/>
          <w:sz w:val="22"/>
          <w:szCs w:val="22"/>
          <w:lang w:eastAsia="en-GB" w:bidi="ar-AE"/>
        </w:rPr>
        <w:t>the modest overlap between clearing members in FX NDFs, on the one hand, and IRS and CDS on the other (see our response to Question 1 – only counterparties which are clearing members for the FX NDF classes should be included in Category 1 for the purposes of the FX NDF clearing oblig</w:t>
      </w:r>
      <w:r w:rsidRPr="00DA6E32">
        <w:rPr>
          <w:rFonts w:ascii="Garamond" w:eastAsia="SimSun" w:hAnsi="Garamond"/>
          <w:sz w:val="22"/>
          <w:szCs w:val="22"/>
          <w:lang w:eastAsia="en-GB" w:bidi="ar-AE"/>
        </w:rPr>
        <w:t>a</w:t>
      </w:r>
      <w:r w:rsidRPr="00DA6E32">
        <w:rPr>
          <w:rFonts w:ascii="Garamond" w:eastAsia="SimSun" w:hAnsi="Garamond"/>
          <w:sz w:val="22"/>
          <w:szCs w:val="22"/>
          <w:lang w:eastAsia="en-GB" w:bidi="ar-AE"/>
        </w:rPr>
        <w:t>tion; and our response to Questions 6 and 8 – threshold tests for Category 2 / 3); and</w:t>
      </w:r>
    </w:p>
    <w:p w:rsidR="00D726FC" w:rsidRDefault="00D726FC" w:rsidP="00D726FC">
      <w:pPr>
        <w:pStyle w:val="ListParagraph"/>
        <w:jc w:val="both"/>
        <w:rPr>
          <w:rFonts w:ascii="Garamond" w:hAnsi="Garamond"/>
          <w:sz w:val="22"/>
          <w:szCs w:val="22"/>
        </w:rPr>
      </w:pPr>
    </w:p>
    <w:p w:rsidR="00D726FC" w:rsidRPr="00DA6E32" w:rsidRDefault="00D726FC" w:rsidP="00D726FC">
      <w:pPr>
        <w:pStyle w:val="ListParagraph"/>
        <w:numPr>
          <w:ilvl w:val="0"/>
          <w:numId w:val="46"/>
        </w:numPr>
        <w:contextualSpacing w:val="0"/>
        <w:jc w:val="both"/>
        <w:rPr>
          <w:rFonts w:ascii="Garamond" w:hAnsi="Garamond"/>
          <w:sz w:val="22"/>
          <w:szCs w:val="22"/>
        </w:rPr>
      </w:pPr>
      <w:r w:rsidRPr="00DA6E32">
        <w:rPr>
          <w:rFonts w:ascii="Garamond" w:hAnsi="Garamond"/>
          <w:sz w:val="22"/>
          <w:szCs w:val="22"/>
        </w:rPr>
        <w:t>the importance of emerging market financial institutions in these markets (see our response to Que</w:t>
      </w:r>
      <w:r w:rsidRPr="00DA6E32">
        <w:rPr>
          <w:rFonts w:ascii="Garamond" w:hAnsi="Garamond"/>
          <w:sz w:val="22"/>
          <w:szCs w:val="22"/>
        </w:rPr>
        <w:t>s</w:t>
      </w:r>
      <w:r w:rsidRPr="00DA6E32">
        <w:rPr>
          <w:rFonts w:ascii="Garamond" w:hAnsi="Garamond"/>
          <w:sz w:val="22"/>
          <w:szCs w:val="22"/>
        </w:rPr>
        <w:t>tion 7).</w:t>
      </w:r>
    </w:p>
    <w:permEnd w:id="13"/>
    <w:p w:rsidR="00CC1C71" w:rsidRDefault="00CC1C71" w:rsidP="00CC1C71">
      <w:r>
        <w:t>&lt;ESMA_CO3_QUESTION_10&gt;</w:t>
      </w:r>
    </w:p>
    <w:p w:rsidR="00CC1C71" w:rsidRDefault="00CC1C71" w:rsidP="00CC1C71"/>
    <w:p w:rsidR="00510C18" w:rsidRDefault="00510C18" w:rsidP="00510C18"/>
    <w:sectPr w:rsidR="00510C18" w:rsidSect="000C06C9">
      <w:headerReference w:type="even" r:id="rId17"/>
      <w:headerReference w:type="first" r:id="rId18"/>
      <w:footerReference w:type="first" r:id="rId19"/>
      <w:pgSz w:w="11906" w:h="16838" w:code="9"/>
      <w:pgMar w:top="2552" w:right="1247" w:bottom="1361"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8D0" w:rsidRDefault="00BB18D0">
      <w:r>
        <w:separator/>
      </w:r>
    </w:p>
    <w:p w:rsidR="00BB18D0" w:rsidRDefault="00BB18D0"/>
  </w:endnote>
  <w:endnote w:type="continuationSeparator" w:id="0">
    <w:p w:rsidR="00BB18D0" w:rsidRDefault="00BB18D0">
      <w:r>
        <w:continuationSeparator/>
      </w:r>
    </w:p>
    <w:p w:rsidR="00BB18D0" w:rsidRDefault="00BB18D0"/>
  </w:endnote>
  <w:endnote w:type="continuationNotice" w:id="1">
    <w:p w:rsidR="00BB18D0" w:rsidRDefault="00BB18D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auto"/>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swiss"/>
    <w:notTrueType/>
    <w:pitch w:val="variable"/>
    <w:sig w:usb0="20000287"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TimesNewRomanWGL">
    <w:panose1 w:val="00000000000000000000"/>
    <w:charset w:val="00"/>
    <w:family w:val="swiss"/>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TimesNewRomanWGL-Ital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0E5F8D" w:rsidRPr="00315E96" w:rsidTr="00315E96">
      <w:trPr>
        <w:trHeight w:val="284"/>
      </w:trPr>
      <w:tc>
        <w:tcPr>
          <w:tcW w:w="8460" w:type="dxa"/>
        </w:tcPr>
        <w:p w:rsidR="000E5F8D" w:rsidRPr="00315E96" w:rsidRDefault="000E5F8D" w:rsidP="00315E96">
          <w:pPr>
            <w:pStyle w:val="00Footer"/>
            <w:rPr>
              <w:lang w:val="fr-FR"/>
            </w:rPr>
          </w:pPr>
        </w:p>
      </w:tc>
      <w:tc>
        <w:tcPr>
          <w:tcW w:w="952" w:type="dxa"/>
        </w:tcPr>
        <w:p w:rsidR="000E5F8D" w:rsidRPr="002C5B2D" w:rsidRDefault="00AE1D87" w:rsidP="002C5B2D">
          <w:pPr>
            <w:pStyle w:val="00aPagenumber"/>
          </w:pPr>
          <w:r>
            <w:fldChar w:fldCharType="begin"/>
          </w:r>
          <w:r w:rsidR="000E5F8D">
            <w:instrText xml:space="preserve"> PAGE </w:instrText>
          </w:r>
          <w:r>
            <w:fldChar w:fldCharType="separate"/>
          </w:r>
          <w:r w:rsidR="006F3793">
            <w:rPr>
              <w:noProof/>
            </w:rPr>
            <w:t>24</w:t>
          </w:r>
          <w:r>
            <w:rPr>
              <w:noProof/>
            </w:rPr>
            <w:fldChar w:fldCharType="end"/>
          </w:r>
        </w:p>
      </w:tc>
    </w:tr>
  </w:tbl>
  <w:p w:rsidR="000E5F8D" w:rsidRDefault="000E5F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D" w:rsidRDefault="000E5F8D" w:rsidP="00395EF9">
    <w:pPr>
      <w:pStyle w:val="Footer"/>
      <w:tabs>
        <w:tab w:val="clear" w:pos="4536"/>
        <w:tab w:val="clear" w:pos="9072"/>
        <w:tab w:val="left" w:pos="8115"/>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D" w:rsidRDefault="000E5F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8D0" w:rsidRDefault="00BB18D0">
      <w:r>
        <w:separator/>
      </w:r>
    </w:p>
    <w:p w:rsidR="00BB18D0" w:rsidRDefault="00BB18D0"/>
  </w:footnote>
  <w:footnote w:type="continuationSeparator" w:id="0">
    <w:p w:rsidR="00BB18D0" w:rsidRDefault="00BB18D0">
      <w:r>
        <w:continuationSeparator/>
      </w:r>
    </w:p>
    <w:p w:rsidR="00BB18D0" w:rsidRDefault="00BB18D0"/>
  </w:footnote>
  <w:footnote w:type="continuationNotice" w:id="1">
    <w:p w:rsidR="00BB18D0" w:rsidRDefault="00BB18D0"/>
  </w:footnote>
  <w:footnote w:id="2">
    <w:p w:rsidR="000E5F8D" w:rsidRPr="00567B70" w:rsidRDefault="000E5F8D" w:rsidP="007E28FD">
      <w:pPr>
        <w:pStyle w:val="FootnoteText"/>
        <w:tabs>
          <w:tab w:val="left" w:pos="180"/>
        </w:tabs>
        <w:jc w:val="both"/>
        <w:rPr>
          <w:rFonts w:ascii="Garamond" w:hAnsi="Garamond" w:cstheme="minorHAnsi"/>
          <w:sz w:val="18"/>
          <w:szCs w:val="18"/>
        </w:rPr>
      </w:pPr>
      <w:r w:rsidRPr="00567B70">
        <w:rPr>
          <w:rStyle w:val="FootnoteReference"/>
          <w:rFonts w:ascii="Garamond" w:hAnsi="Garamond" w:cstheme="minorHAnsi"/>
          <w:sz w:val="18"/>
          <w:szCs w:val="18"/>
        </w:rPr>
        <w:footnoteRef/>
      </w:r>
      <w:r w:rsidRPr="00567B70">
        <w:rPr>
          <w:rFonts w:ascii="Garamond" w:hAnsi="Garamond" w:cstheme="minorHAnsi"/>
          <w:sz w:val="18"/>
          <w:szCs w:val="18"/>
        </w:rPr>
        <w:tab/>
        <w:t>Bank of America Merrill Lynch, Bank of New York Mellon, Bank of Tokyo Mitsubishi UFJ, Barclays, BNP Paribas, Citigroup, Credit Agricole, Credit Suisse, Deutsche Bank, Goldman Sachs</w:t>
      </w:r>
      <w:r>
        <w:rPr>
          <w:rFonts w:ascii="Garamond" w:hAnsi="Garamond" w:cstheme="minorHAnsi"/>
          <w:sz w:val="18"/>
          <w:szCs w:val="18"/>
        </w:rPr>
        <w:t xml:space="preserve">, HSBC, JP Morgan, Lloyds Bank, Mizuho, </w:t>
      </w:r>
      <w:r w:rsidRPr="00567B70">
        <w:rPr>
          <w:rFonts w:ascii="Garamond" w:hAnsi="Garamond" w:cstheme="minorHAnsi"/>
          <w:sz w:val="18"/>
          <w:szCs w:val="18"/>
        </w:rPr>
        <w:t>Morgan Stanley, Nomura, Royal Bank of Canada, Royal Bank of Scotland, Société Générale, Standard Chartered Bank, State Street, UBS, Wells Fargo and Westpac.</w:t>
      </w:r>
    </w:p>
  </w:footnote>
  <w:footnote w:id="3">
    <w:p w:rsidR="000E5F8D" w:rsidRPr="00567B70" w:rsidRDefault="000E5F8D" w:rsidP="007E28FD">
      <w:pPr>
        <w:pStyle w:val="FootnoteText"/>
        <w:tabs>
          <w:tab w:val="left" w:pos="180"/>
        </w:tabs>
        <w:jc w:val="both"/>
        <w:rPr>
          <w:rFonts w:ascii="Garamond" w:hAnsi="Garamond" w:cstheme="minorHAnsi"/>
          <w:sz w:val="18"/>
          <w:szCs w:val="18"/>
        </w:rPr>
      </w:pPr>
      <w:r w:rsidRPr="00567B70">
        <w:rPr>
          <w:rStyle w:val="FootnoteReference"/>
          <w:rFonts w:ascii="Garamond" w:hAnsi="Garamond" w:cstheme="minorHAnsi"/>
          <w:sz w:val="18"/>
          <w:szCs w:val="18"/>
        </w:rPr>
        <w:footnoteRef/>
      </w:r>
      <w:r w:rsidRPr="00567B70">
        <w:rPr>
          <w:rStyle w:val="FootnoteReference"/>
          <w:rFonts w:ascii="Garamond" w:hAnsi="Garamond" w:cstheme="minorHAnsi"/>
          <w:sz w:val="18"/>
          <w:szCs w:val="18"/>
        </w:rPr>
        <w:t xml:space="preserve"> </w:t>
      </w:r>
      <w:r w:rsidRPr="00567B70">
        <w:rPr>
          <w:rFonts w:ascii="Garamond" w:hAnsi="Garamond" w:cstheme="minorHAnsi"/>
          <w:sz w:val="18"/>
          <w:szCs w:val="18"/>
        </w:rPr>
        <w:tab/>
        <w:t>According to Euromoney league tables.</w:t>
      </w:r>
    </w:p>
  </w:footnote>
  <w:footnote w:id="4">
    <w:p w:rsidR="00FC66D3" w:rsidRPr="009A2631" w:rsidRDefault="00FC66D3" w:rsidP="00FC66D3">
      <w:pPr>
        <w:pStyle w:val="FootnoteText"/>
        <w:tabs>
          <w:tab w:val="left" w:pos="180"/>
        </w:tabs>
        <w:spacing w:line="240" w:lineRule="auto"/>
        <w:rPr>
          <w:rFonts w:ascii="Garamond" w:hAnsi="Garamond"/>
          <w:sz w:val="18"/>
          <w:szCs w:val="18"/>
        </w:rPr>
      </w:pPr>
      <w:r w:rsidRPr="009A2631">
        <w:rPr>
          <w:rStyle w:val="FootnoteReference"/>
          <w:rFonts w:ascii="Garamond" w:hAnsi="Garamond"/>
          <w:sz w:val="18"/>
          <w:szCs w:val="18"/>
        </w:rPr>
        <w:footnoteRef/>
      </w:r>
      <w:r>
        <w:rPr>
          <w:rFonts w:ascii="Garamond" w:hAnsi="Garamond"/>
          <w:sz w:val="18"/>
          <w:szCs w:val="18"/>
        </w:rPr>
        <w:tab/>
      </w:r>
      <w:r w:rsidRPr="009A2631">
        <w:rPr>
          <w:rFonts w:ascii="Garamond" w:hAnsi="Garamond"/>
          <w:sz w:val="18"/>
          <w:szCs w:val="18"/>
        </w:rPr>
        <w:t>See BIS Monetary and Economic Department</w:t>
      </w:r>
      <w:r w:rsidRPr="009A2631">
        <w:rPr>
          <w:rFonts w:ascii="Garamond" w:hAnsi="Garamond"/>
          <w:i/>
          <w:sz w:val="18"/>
          <w:szCs w:val="18"/>
        </w:rPr>
        <w:t>, Statistical release, OTC derivatives statistics at end-December 2013</w:t>
      </w:r>
      <w:r w:rsidRPr="009A2631">
        <w:rPr>
          <w:rFonts w:ascii="Garamond" w:hAnsi="Garamond"/>
          <w:sz w:val="18"/>
          <w:szCs w:val="18"/>
        </w:rPr>
        <w:t xml:space="preserve"> (May 2014) </w:t>
      </w:r>
      <w:r>
        <w:rPr>
          <w:rFonts w:ascii="Garamond" w:hAnsi="Garamond"/>
          <w:sz w:val="18"/>
          <w:szCs w:val="18"/>
        </w:rPr>
        <w:t>(“</w:t>
      </w:r>
      <w:r w:rsidRPr="009A2631">
        <w:rPr>
          <w:rFonts w:ascii="Garamond" w:hAnsi="Garamond"/>
          <w:sz w:val="18"/>
          <w:szCs w:val="18"/>
          <w:u w:val="single"/>
        </w:rPr>
        <w:t>BIS December 2013 Stats</w:t>
      </w:r>
      <w:r>
        <w:rPr>
          <w:rFonts w:ascii="Garamond" w:hAnsi="Garamond"/>
          <w:sz w:val="18"/>
          <w:szCs w:val="18"/>
        </w:rPr>
        <w:t xml:space="preserve">”) </w:t>
      </w:r>
      <w:r w:rsidRPr="009A2631">
        <w:rPr>
          <w:rFonts w:ascii="Garamond" w:hAnsi="Garamond"/>
          <w:sz w:val="18"/>
          <w:szCs w:val="18"/>
        </w:rPr>
        <w:t xml:space="preserve">at </w:t>
      </w:r>
      <w:hyperlink r:id="rId1" w:history="1">
        <w:r w:rsidRPr="009A2631">
          <w:rPr>
            <w:rStyle w:val="Hyperlink"/>
            <w:rFonts w:ascii="Garamond" w:hAnsi="Garamond"/>
            <w:sz w:val="18"/>
            <w:szCs w:val="18"/>
          </w:rPr>
          <w:t>http://www.bis.org/publ/otc_hy1405.pdf</w:t>
        </w:r>
      </w:hyperlink>
      <w:r w:rsidRPr="009A2631">
        <w:rPr>
          <w:rFonts w:ascii="Garamond" w:hAnsi="Garamond"/>
          <w:sz w:val="18"/>
          <w:szCs w:val="18"/>
        </w:rPr>
        <w:t xml:space="preserve">; Consultation Paper at </w:t>
      </w:r>
      <w:hyperlink r:id="rId2" w:history="1">
        <w:r w:rsidRPr="009A2631">
          <w:rPr>
            <w:rStyle w:val="Hyperlink"/>
            <w:rFonts w:ascii="Garamond" w:hAnsi="Garamond"/>
            <w:sz w:val="18"/>
            <w:szCs w:val="18"/>
          </w:rPr>
          <w:t>http://www.esma.europa.eu/system/files/esma-2014-1185.pdf</w:t>
        </w:r>
      </w:hyperlink>
      <w:r w:rsidRPr="009A2631">
        <w:rPr>
          <w:rFonts w:ascii="Garamond" w:hAnsi="Garamond"/>
          <w:sz w:val="18"/>
          <w:szCs w:val="18"/>
        </w:rPr>
        <w:t xml:space="preserve">; and </w:t>
      </w:r>
      <w:r w:rsidRPr="009A2631">
        <w:rPr>
          <w:rFonts w:ascii="Garamond" w:hAnsi="Garamond"/>
          <w:i/>
          <w:sz w:val="18"/>
          <w:szCs w:val="18"/>
        </w:rPr>
        <w:t xml:space="preserve">Size and Uses of the Non-Cleared Derivatives Market:  An ISDA Study </w:t>
      </w:r>
      <w:r w:rsidRPr="009A2631">
        <w:rPr>
          <w:rFonts w:ascii="Garamond" w:hAnsi="Garamond"/>
          <w:sz w:val="18"/>
          <w:szCs w:val="18"/>
        </w:rPr>
        <w:t xml:space="preserve">(April 2014) </w:t>
      </w:r>
      <w:r>
        <w:rPr>
          <w:rFonts w:ascii="Garamond" w:hAnsi="Garamond"/>
          <w:sz w:val="18"/>
          <w:szCs w:val="18"/>
        </w:rPr>
        <w:t>(“</w:t>
      </w:r>
      <w:r w:rsidRPr="009A2631">
        <w:rPr>
          <w:rFonts w:ascii="Garamond" w:hAnsi="Garamond"/>
          <w:sz w:val="18"/>
          <w:szCs w:val="18"/>
          <w:u w:val="single"/>
        </w:rPr>
        <w:t>ISDA April 2014 Study</w:t>
      </w:r>
      <w:r>
        <w:rPr>
          <w:rFonts w:ascii="Garamond" w:hAnsi="Garamond"/>
          <w:sz w:val="18"/>
          <w:szCs w:val="18"/>
        </w:rPr>
        <w:t xml:space="preserve">”) </w:t>
      </w:r>
      <w:r w:rsidRPr="009A2631">
        <w:rPr>
          <w:rFonts w:ascii="Garamond" w:hAnsi="Garamond"/>
          <w:sz w:val="18"/>
          <w:szCs w:val="18"/>
        </w:rPr>
        <w:t xml:space="preserve">at </w:t>
      </w:r>
      <w:hyperlink r:id="rId3" w:history="1">
        <w:r w:rsidRPr="009A2631">
          <w:rPr>
            <w:rStyle w:val="Hyperlink"/>
            <w:rFonts w:ascii="Garamond" w:hAnsi="Garamond"/>
            <w:sz w:val="18"/>
            <w:szCs w:val="18"/>
          </w:rPr>
          <w:t>http://www2.isda.org/attachment/NjQ0MA==/FINAL%20-%20Size%20and%20Uses%20of%20the%20Non-Cleared%20Derivatves%20Market.pdf</w:t>
        </w:r>
      </w:hyperlink>
      <w:r w:rsidRPr="009A2631">
        <w:rPr>
          <w:rFonts w:ascii="Garamond" w:hAnsi="Garamond"/>
          <w:sz w:val="18"/>
          <w:szCs w:val="18"/>
        </w:rPr>
        <w:t>.</w:t>
      </w:r>
    </w:p>
  </w:footnote>
  <w:footnote w:id="5">
    <w:p w:rsidR="000E5F8D" w:rsidRPr="003D7F74" w:rsidRDefault="000E5F8D" w:rsidP="007E28FD">
      <w:pPr>
        <w:pStyle w:val="FootnoteText"/>
        <w:tabs>
          <w:tab w:val="left" w:pos="180"/>
        </w:tabs>
        <w:rPr>
          <w:rFonts w:ascii="Garamond" w:hAnsi="Garamond"/>
          <w:sz w:val="18"/>
          <w:szCs w:val="18"/>
          <w:lang w:val="en-US"/>
        </w:rPr>
      </w:pPr>
      <w:r w:rsidRPr="003D7F74">
        <w:rPr>
          <w:rStyle w:val="FootnoteReference"/>
          <w:rFonts w:ascii="Garamond" w:hAnsi="Garamond"/>
          <w:sz w:val="18"/>
          <w:szCs w:val="18"/>
        </w:rPr>
        <w:footnoteRef/>
      </w:r>
      <w:r>
        <w:rPr>
          <w:rFonts w:ascii="Garamond" w:hAnsi="Garamond"/>
          <w:sz w:val="18"/>
          <w:szCs w:val="18"/>
        </w:rPr>
        <w:tab/>
        <w:t>See Consultation Paper, page 32.  Figures in the table above exclude CNY (one of the less liquid FX NDF currencies among the 11 considered by this Consultation Paper) where the share of trades with a maturity between six months and 1 year is 10%.</w:t>
      </w:r>
    </w:p>
  </w:footnote>
  <w:footnote w:id="6">
    <w:p w:rsidR="000E5F8D" w:rsidRPr="00567B70" w:rsidRDefault="000E5F8D" w:rsidP="007E28FD">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r>
      <w:r w:rsidRPr="00567B70">
        <w:rPr>
          <w:rFonts w:ascii="Garamond" w:hAnsi="Garamond"/>
          <w:sz w:val="18"/>
          <w:szCs w:val="18"/>
          <w:lang w:val="en-US"/>
        </w:rPr>
        <w:t xml:space="preserve">See GFXD response to </w:t>
      </w:r>
      <w:r w:rsidRPr="00567B70">
        <w:rPr>
          <w:rFonts w:ascii="Garamond" w:hAnsi="Garamond"/>
          <w:sz w:val="18"/>
          <w:szCs w:val="18"/>
        </w:rPr>
        <w:t xml:space="preserve">2013/925 Discussion Paper – </w:t>
      </w:r>
      <w:r w:rsidRPr="00567B70">
        <w:rPr>
          <w:rFonts w:ascii="Garamond" w:hAnsi="Garamond" w:cs="Georgia"/>
          <w:sz w:val="18"/>
          <w:szCs w:val="18"/>
        </w:rPr>
        <w:t>The Clearing Obligation under EMI</w:t>
      </w:r>
      <w:r w:rsidRPr="00567B70">
        <w:rPr>
          <w:rFonts w:ascii="Garamond" w:hAnsi="Garamond"/>
          <w:sz w:val="18"/>
          <w:szCs w:val="18"/>
        </w:rPr>
        <w:t xml:space="preserve">R, available at </w:t>
      </w:r>
      <w:hyperlink r:id="rId4" w:history="1">
        <w:r w:rsidRPr="00567B70">
          <w:rPr>
            <w:rStyle w:val="Hyperlink"/>
            <w:rFonts w:ascii="Garamond" w:hAnsi="Garamond"/>
            <w:sz w:val="18"/>
            <w:szCs w:val="18"/>
            <w:lang w:val="en-US"/>
          </w:rPr>
          <w:t>http://www.esma.europa.eu/system/files/gfxd_response_esma_discussion_paper_on_clearing_esma_2013_925_submission_1.pdf</w:t>
        </w:r>
      </w:hyperlink>
      <w:r w:rsidRPr="00567B70">
        <w:rPr>
          <w:rFonts w:ascii="Garamond" w:hAnsi="Garamond"/>
          <w:sz w:val="18"/>
          <w:szCs w:val="18"/>
          <w:lang w:val="en-US"/>
        </w:rPr>
        <w:t xml:space="preserve">. </w:t>
      </w:r>
    </w:p>
  </w:footnote>
  <w:footnote w:id="7">
    <w:p w:rsidR="000E5F8D" w:rsidRPr="00567B70" w:rsidRDefault="000E5F8D" w:rsidP="007E28FD">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t xml:space="preserve">GFXD believes that voluntary clearing, over time, may lead to even greater standardisation of contract terms.  Certain products will attract more liquidity than others and network effects should result in market participants migrating to those products.  Further, as the new Basel III capital requirements come into effect, market participants will have an incentive to embrace a particular standard and margin on uncleared trades will </w:t>
      </w:r>
      <w:r>
        <w:rPr>
          <w:rFonts w:ascii="Garamond" w:hAnsi="Garamond"/>
          <w:sz w:val="18"/>
          <w:szCs w:val="18"/>
        </w:rPr>
        <w:t xml:space="preserve">likely mirror those standardised </w:t>
      </w:r>
      <w:r w:rsidRPr="00567B70">
        <w:rPr>
          <w:rFonts w:ascii="Garamond" w:hAnsi="Garamond"/>
          <w:sz w:val="18"/>
          <w:szCs w:val="18"/>
        </w:rPr>
        <w:t>terms because of the portfolio benefits.  As such, it may be prudent to allow these processes to play out through a delay in a clearing mandate as suggested in our response to Question 3.  Should however FX NDF contracts be subject to a clearing mandate, an appropriately lengthened phase-in for compliance with such a mandate would be necessary at this time.</w:t>
      </w:r>
    </w:p>
  </w:footnote>
  <w:footnote w:id="8">
    <w:p w:rsidR="000E5F8D" w:rsidRPr="00567B70" w:rsidRDefault="000E5F8D" w:rsidP="007E28FD">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r>
      <w:r w:rsidRPr="00567B70">
        <w:rPr>
          <w:rFonts w:ascii="Garamond" w:hAnsi="Garamond"/>
          <w:sz w:val="18"/>
          <w:szCs w:val="18"/>
          <w:lang w:val="en-US"/>
        </w:rPr>
        <w:t>See Consultation Paper, section 3.2.1, paragraph 30.</w:t>
      </w:r>
    </w:p>
  </w:footnote>
  <w:footnote w:id="9">
    <w:p w:rsidR="000E5F8D" w:rsidRPr="00567B70" w:rsidRDefault="000E5F8D" w:rsidP="007E28FD">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r>
      <w:r w:rsidRPr="00567B70">
        <w:rPr>
          <w:rFonts w:ascii="Garamond" w:hAnsi="Garamond" w:cs="Courier New"/>
          <w:sz w:val="18"/>
          <w:szCs w:val="18"/>
        </w:rPr>
        <w:t>That CCP has indicated that it is shortening the duration of the disruption event provided for in the published EMTA templates from 30 days to 15 days.  This means that two NDF FX contracts in, e.g., BRL/USD, that appear to be identical but where one is cleared at LCH and the other is cleared at the other CCP will be settled differently if the fixing source is unavailable for a prolonged period of time.  Further, that CCP has informed multiple GFXD members that with respect to currencies where the EMTA template specifies a fallback reference price that is not determined by EMTA,</w:t>
      </w:r>
      <w:r w:rsidRPr="00567B70">
        <w:rPr>
          <w:rStyle w:val="FootnoteReference"/>
          <w:rFonts w:ascii="Garamond" w:hAnsi="Garamond" w:cs="Courier New"/>
          <w:sz w:val="18"/>
          <w:szCs w:val="18"/>
        </w:rPr>
        <w:footnoteRef/>
      </w:r>
      <w:r w:rsidRPr="00567B70">
        <w:rPr>
          <w:rFonts w:ascii="Garamond" w:hAnsi="Garamond" w:cs="Courier New"/>
          <w:sz w:val="18"/>
          <w:szCs w:val="18"/>
        </w:rPr>
        <w:t xml:space="preserve"> but rather a third party, they are unwilling to adopt the EMTA disruption fallback waterfall and will instead apply “Force Majeure.”  For these purposes, “Force Majeure” means that the CCP will utili</w:t>
      </w:r>
      <w:r>
        <w:rPr>
          <w:rFonts w:ascii="Garamond" w:hAnsi="Garamond" w:cs="Courier New"/>
          <w:sz w:val="18"/>
          <w:szCs w:val="18"/>
        </w:rPr>
        <w:t>s</w:t>
      </w:r>
      <w:r w:rsidRPr="00567B70">
        <w:rPr>
          <w:rFonts w:ascii="Garamond" w:hAnsi="Garamond" w:cs="Courier New"/>
          <w:sz w:val="18"/>
          <w:szCs w:val="18"/>
        </w:rPr>
        <w:t xml:space="preserve">e its discretion to determine a fallback reference price.  </w:t>
      </w:r>
    </w:p>
  </w:footnote>
  <w:footnote w:id="10">
    <w:p w:rsidR="000E5F8D" w:rsidRPr="00567B70" w:rsidRDefault="000E5F8D" w:rsidP="007E28FD">
      <w:pPr>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r>
      <w:r w:rsidRPr="00567B70">
        <w:rPr>
          <w:rFonts w:ascii="Garamond" w:hAnsi="Garamond"/>
          <w:sz w:val="18"/>
          <w:szCs w:val="18"/>
          <w:lang w:val="en-US"/>
        </w:rPr>
        <w:t xml:space="preserve">To ensure standardisation achieved by the market to date is not compromised, especially in the context of a clearing mandate, any proposed modifications to EMTA published currency templates should be </w:t>
      </w:r>
      <w:r w:rsidRPr="00567B70">
        <w:rPr>
          <w:rFonts w:ascii="Garamond" w:eastAsiaTheme="minorHAnsi" w:hAnsi="Garamond"/>
          <w:sz w:val="18"/>
          <w:szCs w:val="18"/>
          <w:lang w:val="en-US" w:eastAsia="en-US"/>
        </w:rPr>
        <w:t>vetted through the governance process which established them in the first instance, i.e., via EMTA with its membership.   Such a process would ensure that any modifications made apply to all contracts involving the currency pair, either (1) regardless of whether or not centrally cleared; or (2) only centrally cleared contracts, and thus preserve the prerequisite established by the G20 that clearing and trading mandates only apply to standardised contracts.</w:t>
      </w:r>
    </w:p>
  </w:footnote>
  <w:footnote w:id="11">
    <w:p w:rsidR="000E5F8D" w:rsidRPr="00567B70" w:rsidRDefault="000E5F8D" w:rsidP="007E28FD">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t>See CFTC</w:t>
      </w:r>
      <w:r w:rsidRPr="00567B70">
        <w:rPr>
          <w:rFonts w:ascii="Garamond" w:hAnsi="Garamond"/>
          <w:sz w:val="18"/>
          <w:szCs w:val="18"/>
          <w:lang w:val="en-US"/>
        </w:rPr>
        <w:t xml:space="preserve"> Global Markets Advisory Committee (GMAC) on October 9, 2014 (presentation by Brian O’Keefe, Deputy Director, Division of Clearing and Risk, CFTC).</w:t>
      </w:r>
    </w:p>
  </w:footnote>
  <w:footnote w:id="12">
    <w:p w:rsidR="000E5F8D" w:rsidRPr="00567B70" w:rsidRDefault="000E5F8D" w:rsidP="00472841">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r>
      <w:r w:rsidRPr="00567B70">
        <w:rPr>
          <w:rFonts w:ascii="Garamond" w:hAnsi="Garamond"/>
          <w:sz w:val="18"/>
          <w:szCs w:val="18"/>
          <w:lang w:val="en-US"/>
        </w:rPr>
        <w:t xml:space="preserve">Please see footnote </w:t>
      </w:r>
      <w:fldSimple w:instr=" NOTEREF _Ref402444958 \h  \* MERGEFORMAT ">
        <w:r w:rsidRPr="00567B70">
          <w:t>3</w:t>
        </w:r>
      </w:fldSimple>
      <w:r w:rsidRPr="00567B70">
        <w:rPr>
          <w:rFonts w:ascii="Garamond" w:hAnsi="Garamond"/>
          <w:sz w:val="18"/>
          <w:szCs w:val="18"/>
          <w:lang w:val="en-US"/>
        </w:rPr>
        <w:t>.</w:t>
      </w:r>
    </w:p>
  </w:footnote>
  <w:footnote w:id="13">
    <w:p w:rsidR="000E5F8D" w:rsidRPr="00567B70" w:rsidRDefault="000E5F8D" w:rsidP="00472841">
      <w:pPr>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t>Requirements applicable to OTC derivatives generally include, among other things, reporting to trade repositories to increase transparency to regulators in an effort to identify sources of systemic risk, margin on uncleared derivatives to reduce systemic risk and promote central clearing</w:t>
      </w:r>
      <w:r>
        <w:rPr>
          <w:rFonts w:ascii="Garamond" w:hAnsi="Garamond"/>
          <w:sz w:val="18"/>
          <w:szCs w:val="18"/>
        </w:rPr>
        <w:t xml:space="preserve"> and, in some jurisdictions, pre-trade / post-trade requirements to increase public price and volume transpa</w:t>
      </w:r>
      <w:r>
        <w:rPr>
          <w:rFonts w:ascii="Garamond" w:hAnsi="Garamond"/>
          <w:sz w:val="18"/>
          <w:szCs w:val="18"/>
        </w:rPr>
        <w:t>r</w:t>
      </w:r>
      <w:r>
        <w:rPr>
          <w:rFonts w:ascii="Garamond" w:hAnsi="Garamond"/>
          <w:sz w:val="18"/>
          <w:szCs w:val="18"/>
        </w:rPr>
        <w:t>ency.   See, e.g., G20 commitments on OTC derivatives agreed in Pittsburgh in September 2009.</w:t>
      </w:r>
    </w:p>
  </w:footnote>
  <w:footnote w:id="14">
    <w:p w:rsidR="000E5F8D" w:rsidRPr="00567B70" w:rsidRDefault="000E5F8D" w:rsidP="00472841">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r>
      <w:r w:rsidRPr="00567B70">
        <w:rPr>
          <w:rFonts w:ascii="Garamond" w:hAnsi="Garamond"/>
          <w:sz w:val="18"/>
          <w:szCs w:val="18"/>
          <w:lang w:val="en-US"/>
        </w:rPr>
        <w:t xml:space="preserve">See BIS Triennial Central Bank Survey:  Global foreign exchange market turnover in 2013 (February 2014); available at </w:t>
      </w:r>
      <w:hyperlink r:id="rId5" w:history="1">
        <w:r w:rsidRPr="00567B70">
          <w:rPr>
            <w:rStyle w:val="Hyperlink"/>
            <w:rFonts w:ascii="Garamond" w:hAnsi="Garamond"/>
            <w:sz w:val="18"/>
            <w:szCs w:val="18"/>
            <w:lang w:val="en-US"/>
          </w:rPr>
          <w:t>http://www.bis.org/publ/rpfxf13fxt.pdf</w:t>
        </w:r>
      </w:hyperlink>
      <w:r w:rsidRPr="00567B70">
        <w:rPr>
          <w:rFonts w:ascii="Garamond" w:hAnsi="Garamond"/>
          <w:sz w:val="18"/>
          <w:szCs w:val="18"/>
          <w:lang w:val="en-US"/>
        </w:rPr>
        <w:t xml:space="preserve">. </w:t>
      </w:r>
    </w:p>
  </w:footnote>
  <w:footnote w:id="15">
    <w:p w:rsidR="000E5F8D" w:rsidRPr="00567B70" w:rsidRDefault="000E5F8D" w:rsidP="00472841">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t>Estimates suggest there is approximately $71 trillion notional outstanding of FX derivatives.  That notional figure represents $2.3 trillion in market value, which is roughly equivalent to exposure before margin or netting.  These figures include FX forwards (delive</w:t>
      </w:r>
      <w:r w:rsidRPr="00567B70">
        <w:rPr>
          <w:rFonts w:ascii="Garamond" w:hAnsi="Garamond"/>
          <w:sz w:val="18"/>
          <w:szCs w:val="18"/>
        </w:rPr>
        <w:t>r</w:t>
      </w:r>
      <w:r w:rsidRPr="00567B70">
        <w:rPr>
          <w:rFonts w:ascii="Garamond" w:hAnsi="Garamond"/>
          <w:sz w:val="18"/>
          <w:szCs w:val="18"/>
        </w:rPr>
        <w:t xml:space="preserve">able and non-deliverable), swaps and options.  Approximately four percent of those figures are attributable to FX NDFs.  </w:t>
      </w:r>
      <w:r w:rsidRPr="00567B70">
        <w:rPr>
          <w:rFonts w:ascii="Garamond" w:hAnsi="Garamond"/>
          <w:sz w:val="18"/>
          <w:szCs w:val="18"/>
          <w:lang w:val="en-US"/>
        </w:rPr>
        <w:t xml:space="preserve">See BIS </w:t>
      </w:r>
      <w:r w:rsidRPr="00200F9B">
        <w:rPr>
          <w:rFonts w:ascii="Garamond" w:hAnsi="Garamond"/>
          <w:sz w:val="18"/>
          <w:szCs w:val="18"/>
        </w:rPr>
        <w:t>December 2013 Stats</w:t>
      </w:r>
      <w:r w:rsidRPr="00567B70">
        <w:rPr>
          <w:rFonts w:ascii="Garamond" w:hAnsi="Garamond"/>
          <w:sz w:val="18"/>
          <w:szCs w:val="18"/>
        </w:rPr>
        <w:t>.</w:t>
      </w:r>
    </w:p>
  </w:footnote>
  <w:footnote w:id="16">
    <w:p w:rsidR="00FC66D3" w:rsidRPr="009A2631" w:rsidRDefault="00FC66D3" w:rsidP="00FC66D3">
      <w:pPr>
        <w:pStyle w:val="FootnoteText"/>
        <w:tabs>
          <w:tab w:val="left" w:pos="180"/>
        </w:tabs>
        <w:spacing w:line="240" w:lineRule="auto"/>
        <w:rPr>
          <w:rFonts w:ascii="Garamond" w:hAnsi="Garamond"/>
          <w:sz w:val="18"/>
          <w:szCs w:val="18"/>
        </w:rPr>
      </w:pPr>
      <w:r w:rsidRPr="009A2631">
        <w:rPr>
          <w:rStyle w:val="FootnoteReference"/>
          <w:rFonts w:ascii="Garamond" w:hAnsi="Garamond"/>
          <w:sz w:val="18"/>
          <w:szCs w:val="18"/>
        </w:rPr>
        <w:footnoteRef/>
      </w:r>
      <w:r>
        <w:rPr>
          <w:rFonts w:ascii="Garamond" w:hAnsi="Garamond"/>
          <w:sz w:val="18"/>
          <w:szCs w:val="18"/>
        </w:rPr>
        <w:tab/>
        <w:t xml:space="preserve">See </w:t>
      </w:r>
      <w:r w:rsidRPr="00200F9B">
        <w:rPr>
          <w:rFonts w:ascii="Garamond" w:hAnsi="Garamond"/>
          <w:sz w:val="18"/>
          <w:szCs w:val="18"/>
        </w:rPr>
        <w:t>BIS December 2013 Stats; Consultation Paper; and ISDA April 2014 Study</w:t>
      </w:r>
      <w:r w:rsidRPr="009A2631">
        <w:rPr>
          <w:rFonts w:ascii="Garamond" w:hAnsi="Garamond"/>
          <w:sz w:val="18"/>
          <w:szCs w:val="18"/>
        </w:rPr>
        <w:t>.</w:t>
      </w:r>
    </w:p>
  </w:footnote>
  <w:footnote w:id="17">
    <w:p w:rsidR="000E5F8D" w:rsidRPr="003D7F74" w:rsidRDefault="000E5F8D" w:rsidP="00472841">
      <w:pPr>
        <w:pStyle w:val="FootnoteText"/>
        <w:tabs>
          <w:tab w:val="left" w:pos="180"/>
        </w:tabs>
        <w:rPr>
          <w:rFonts w:ascii="Garamond" w:hAnsi="Garamond"/>
          <w:sz w:val="18"/>
          <w:szCs w:val="18"/>
          <w:lang w:val="en-US"/>
        </w:rPr>
      </w:pPr>
      <w:r w:rsidRPr="003D7F74">
        <w:rPr>
          <w:rStyle w:val="FootnoteReference"/>
          <w:rFonts w:ascii="Garamond" w:hAnsi="Garamond"/>
          <w:sz w:val="18"/>
          <w:szCs w:val="18"/>
        </w:rPr>
        <w:footnoteRef/>
      </w:r>
      <w:r>
        <w:rPr>
          <w:rFonts w:ascii="Garamond" w:hAnsi="Garamond"/>
          <w:sz w:val="18"/>
          <w:szCs w:val="18"/>
        </w:rPr>
        <w:tab/>
        <w:t>See Consultation Paper, page 32.  Figures in the table above exclude CNY (one of the less liquid FX NDF currencies among the 11 considered by this Consultation Paper) where the share of trades with a maturity between six months and 1 year is 10%.</w:t>
      </w:r>
    </w:p>
  </w:footnote>
  <w:footnote w:id="18">
    <w:p w:rsidR="000E5F8D" w:rsidRPr="00567B70" w:rsidRDefault="000E5F8D" w:rsidP="00472841">
      <w:pPr>
        <w:tabs>
          <w:tab w:val="left" w:pos="180"/>
        </w:tabs>
        <w:autoSpaceDE w:val="0"/>
        <w:autoSpaceDN w:val="0"/>
        <w:adjustRightInd w:val="0"/>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r>
      <w:r w:rsidRPr="00567B70">
        <w:rPr>
          <w:rFonts w:ascii="Garamond" w:eastAsiaTheme="minorHAnsi" w:hAnsi="Garamond" w:cs="TimesNewRomanWGL"/>
          <w:sz w:val="18"/>
          <w:szCs w:val="18"/>
          <w:lang w:val="en-US" w:eastAsia="en-US"/>
        </w:rPr>
        <w:t xml:space="preserve">European Central Bank, </w:t>
      </w:r>
      <w:r w:rsidRPr="00567B70">
        <w:rPr>
          <w:rFonts w:ascii="Garamond" w:eastAsiaTheme="minorHAnsi" w:hAnsi="Garamond" w:cs="TimesNewRomanWGL"/>
          <w:i/>
          <w:sz w:val="18"/>
          <w:szCs w:val="18"/>
          <w:lang w:val="en-US" w:eastAsia="en-US"/>
        </w:rPr>
        <w:t>The concept of systemic risk</w:t>
      </w:r>
      <w:r w:rsidRPr="00567B70">
        <w:rPr>
          <w:rFonts w:ascii="Garamond" w:eastAsiaTheme="minorHAnsi" w:hAnsi="Garamond" w:cs="TimesNewRomanWGL"/>
          <w:sz w:val="18"/>
          <w:szCs w:val="18"/>
          <w:lang w:val="en-US" w:eastAsia="en-US"/>
        </w:rPr>
        <w:t xml:space="preserve">”, </w:t>
      </w:r>
      <w:r w:rsidRPr="00567B70">
        <w:rPr>
          <w:rFonts w:ascii="Garamond" w:eastAsiaTheme="minorHAnsi" w:hAnsi="Garamond" w:cs="TimesNewRomanWGL-Italic"/>
          <w:i/>
          <w:iCs/>
          <w:sz w:val="18"/>
          <w:szCs w:val="18"/>
          <w:lang w:val="en-US" w:eastAsia="en-US"/>
        </w:rPr>
        <w:t>Financial Stability Review</w:t>
      </w:r>
      <w:r w:rsidRPr="00567B70">
        <w:rPr>
          <w:rFonts w:ascii="Garamond" w:eastAsiaTheme="minorHAnsi" w:hAnsi="Garamond" w:cs="TimesNewRomanWGL"/>
          <w:sz w:val="18"/>
          <w:szCs w:val="18"/>
          <w:lang w:val="en-US" w:eastAsia="en-US"/>
        </w:rPr>
        <w:t xml:space="preserve"> (December 2009).  </w:t>
      </w:r>
      <w:hyperlink r:id="rId6" w:history="1">
        <w:r w:rsidRPr="00567B70">
          <w:rPr>
            <w:rStyle w:val="Hyperlink"/>
            <w:rFonts w:ascii="Garamond" w:eastAsiaTheme="minorHAnsi" w:hAnsi="Garamond" w:cs="TimesNewRomanWGL"/>
            <w:sz w:val="18"/>
            <w:szCs w:val="18"/>
            <w:lang w:val="en-US" w:eastAsia="en-US"/>
          </w:rPr>
          <w:t>http://www.ecb.europa.eu/pub/fsr/shared/pdf/ivbfinancialstabilityreview200912en.pdf?a3fef6891f874a3bd40cd00aef38c64f</w:t>
        </w:r>
      </w:hyperlink>
      <w:r w:rsidRPr="00567B70">
        <w:rPr>
          <w:rFonts w:ascii="Garamond" w:eastAsiaTheme="minorHAnsi" w:hAnsi="Garamond" w:cs="TimesNewRomanWGL"/>
          <w:sz w:val="18"/>
          <w:szCs w:val="18"/>
          <w:lang w:val="en-US" w:eastAsia="en-US"/>
        </w:rPr>
        <w:t xml:space="preserve">.  Also referenced in U.S. Department of the Treasury, Office of Financial Research, Working Paper #0001, </w:t>
      </w:r>
      <w:r w:rsidRPr="00567B70">
        <w:rPr>
          <w:rFonts w:ascii="Garamond" w:eastAsiaTheme="minorHAnsi" w:hAnsi="Garamond" w:cs="TimesNewRomanWGL"/>
          <w:i/>
          <w:sz w:val="18"/>
          <w:szCs w:val="18"/>
          <w:lang w:val="en-US" w:eastAsia="en-US"/>
        </w:rPr>
        <w:t xml:space="preserve">A Survey of Systemic Risk Analytics </w:t>
      </w:r>
      <w:r w:rsidRPr="00567B70">
        <w:rPr>
          <w:rFonts w:ascii="Garamond" w:eastAsiaTheme="minorHAnsi" w:hAnsi="Garamond" w:cs="TimesNewRomanWGL"/>
          <w:sz w:val="18"/>
          <w:szCs w:val="18"/>
          <w:lang w:val="en-US" w:eastAsia="en-US"/>
        </w:rPr>
        <w:t>(January 5, 2012).</w:t>
      </w:r>
    </w:p>
  </w:footnote>
  <w:footnote w:id="19">
    <w:p w:rsidR="000E5F8D" w:rsidRPr="00567B70" w:rsidRDefault="000E5F8D" w:rsidP="00472841">
      <w:pPr>
        <w:pStyle w:val="FootnoteText"/>
        <w:tabs>
          <w:tab w:val="left" w:pos="180"/>
        </w:tabs>
        <w:rPr>
          <w:rFonts w:ascii="Garamond" w:hAnsi="Garamond"/>
          <w:sz w:val="18"/>
          <w:szCs w:val="18"/>
        </w:rPr>
      </w:pPr>
      <w:r w:rsidRPr="00567B70">
        <w:rPr>
          <w:rStyle w:val="FootnoteReference"/>
          <w:rFonts w:ascii="Garamond" w:hAnsi="Garamond"/>
          <w:sz w:val="18"/>
          <w:szCs w:val="18"/>
        </w:rPr>
        <w:footnoteRef/>
      </w:r>
      <w:r w:rsidRPr="00567B70">
        <w:rPr>
          <w:rFonts w:ascii="Garamond" w:hAnsi="Garamond"/>
          <w:sz w:val="18"/>
          <w:szCs w:val="18"/>
        </w:rPr>
        <w:tab/>
        <w:t xml:space="preserve">See </w:t>
      </w:r>
      <w:r w:rsidRPr="00567B70">
        <w:rPr>
          <w:rFonts w:ascii="Garamond" w:eastAsiaTheme="minorHAnsi" w:hAnsi="Garamond" w:cs="Verdana"/>
          <w:sz w:val="18"/>
          <w:szCs w:val="18"/>
          <w:lang w:val="en-US" w:eastAsia="en-US"/>
        </w:rPr>
        <w:t xml:space="preserve">Group of Ten, </w:t>
      </w:r>
      <w:r w:rsidRPr="00567B70">
        <w:rPr>
          <w:rFonts w:ascii="Garamond" w:eastAsiaTheme="minorHAnsi" w:hAnsi="Garamond" w:cs="Verdana"/>
          <w:i/>
          <w:sz w:val="18"/>
          <w:szCs w:val="18"/>
          <w:lang w:val="en-US" w:eastAsia="en-US"/>
        </w:rPr>
        <w:t>Report on Consolidation in the Financial Sector</w:t>
      </w:r>
      <w:r w:rsidRPr="00567B70">
        <w:rPr>
          <w:rFonts w:ascii="Garamond" w:eastAsiaTheme="minorHAnsi" w:hAnsi="Garamond" w:cs="Verdana"/>
          <w:sz w:val="18"/>
          <w:szCs w:val="18"/>
          <w:lang w:val="en-US" w:eastAsia="en-US"/>
        </w:rPr>
        <w:t xml:space="preserve">, </w:t>
      </w:r>
      <w:r w:rsidRPr="00567B70">
        <w:rPr>
          <w:rFonts w:ascii="Garamond" w:hAnsi="Garamond"/>
          <w:sz w:val="18"/>
          <w:szCs w:val="18"/>
        </w:rPr>
        <w:t xml:space="preserve">2001 (IMF working definition of systemic risk); available at </w:t>
      </w:r>
      <w:hyperlink r:id="rId7" w:history="1">
        <w:r w:rsidRPr="00567B70">
          <w:rPr>
            <w:rStyle w:val="Hyperlink"/>
            <w:rFonts w:ascii="Garamond" w:hAnsi="Garamond"/>
            <w:sz w:val="18"/>
            <w:szCs w:val="18"/>
          </w:rPr>
          <w:t>http://www.bis.org/publ/gten05.pdf</w:t>
        </w:r>
      </w:hyperlink>
      <w:r w:rsidRPr="00567B70">
        <w:rPr>
          <w:rFonts w:ascii="Garamond" w:hAnsi="Garamond"/>
          <w:sz w:val="18"/>
          <w:szCs w:val="18"/>
        </w:rPr>
        <w:t xml:space="preserve">.  See also Gerlach, Stefan of the European Parliament’s Policy Department:  Economic  and Scientific Policies, </w:t>
      </w:r>
      <w:r w:rsidRPr="00567B70">
        <w:rPr>
          <w:rFonts w:ascii="Garamond" w:hAnsi="Garamond"/>
          <w:i/>
          <w:sz w:val="18"/>
          <w:szCs w:val="18"/>
        </w:rPr>
        <w:t>Defining and Measuring Systemic Risk</w:t>
      </w:r>
      <w:r w:rsidRPr="00567B70">
        <w:rPr>
          <w:rFonts w:ascii="Garamond" w:hAnsi="Garamond"/>
          <w:sz w:val="18"/>
          <w:szCs w:val="18"/>
        </w:rPr>
        <w:t xml:space="preserve"> (2009) (report produced at the request of the European Parliament’s Committee on Economic and Monetary Affairs, which highlights three important characteristics of the IMF’s working definition:  First, it must impact on a “substantial portion” of the financial system.  Thus, it is risk to the financial system as a whole. Second, systemic risk involves spillovers of risk from one institution to many others.  In turn, this implies that in measuring it, attention should presumably be focused on the ways in which adverse shocks affecting one or a few institutions can be transmitted to the financial system at large, that is, on the interlinkages between institutions.  Third, episodes in which systemic risk materialized would typically be associated with highly adverse macro economy efforts in the absence of rapid and strong policy responses.  By this standard, it is clear that the current episode of financial instability [2008-2009], reflects a systemic crisis.); available at </w:t>
      </w:r>
      <w:hyperlink r:id="rId8" w:history="1">
        <w:r w:rsidRPr="00567B70">
          <w:rPr>
            <w:rStyle w:val="Hyperlink"/>
            <w:rFonts w:ascii="Garamond" w:hAnsi="Garamond"/>
            <w:sz w:val="18"/>
            <w:szCs w:val="18"/>
            <w:lang w:val="en-US"/>
          </w:rPr>
          <w:t>http://www.europarl.europa.eu/document/activities/cont/200911/20091124ATT65154/20091124ATT65154EN.pdf</w:t>
        </w:r>
      </w:hyperlink>
      <w:r w:rsidRPr="00567B70">
        <w:rPr>
          <w:rFonts w:ascii="Garamond" w:hAnsi="Garamond"/>
          <w:sz w:val="18"/>
          <w:szCs w:val="18"/>
          <w:lang w:val="en-US"/>
        </w:rPr>
        <w:t xml:space="preserve">. </w:t>
      </w:r>
    </w:p>
  </w:footnote>
  <w:footnote w:id="20">
    <w:p w:rsidR="000E5F8D" w:rsidRPr="00567B70" w:rsidRDefault="000E5F8D" w:rsidP="00472841">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r>
      <w:r w:rsidRPr="00567B70">
        <w:rPr>
          <w:rFonts w:ascii="Garamond" w:hAnsi="Garamond"/>
          <w:sz w:val="18"/>
          <w:szCs w:val="18"/>
          <w:lang w:val="en-US"/>
        </w:rPr>
        <w:t>This risk is exacerbated by the lack of mutual recognition of CCPs between Europe and the U</w:t>
      </w:r>
      <w:r>
        <w:rPr>
          <w:rFonts w:ascii="Garamond" w:hAnsi="Garamond"/>
          <w:sz w:val="18"/>
          <w:szCs w:val="18"/>
          <w:lang w:val="en-US"/>
        </w:rPr>
        <w:t>.</w:t>
      </w:r>
      <w:r w:rsidRPr="00567B70">
        <w:rPr>
          <w:rFonts w:ascii="Garamond" w:hAnsi="Garamond"/>
          <w:sz w:val="18"/>
          <w:szCs w:val="18"/>
          <w:lang w:val="en-US"/>
        </w:rPr>
        <w:t>S.</w:t>
      </w:r>
    </w:p>
  </w:footnote>
  <w:footnote w:id="21">
    <w:p w:rsidR="000E5F8D" w:rsidRPr="00567B70" w:rsidRDefault="000E5F8D" w:rsidP="00472841">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r>
      <w:r w:rsidRPr="00567B70">
        <w:rPr>
          <w:rFonts w:ascii="Garamond" w:hAnsi="Garamond"/>
          <w:sz w:val="18"/>
          <w:szCs w:val="18"/>
          <w:lang w:val="en-US"/>
        </w:rPr>
        <w:t xml:space="preserve">GFXD believes this to be the case notwithstanding the fact that the size of the problem would also be limited since the number of contracts with a tenor between 1 and 2 years is low. </w:t>
      </w:r>
    </w:p>
  </w:footnote>
  <w:footnote w:id="22">
    <w:p w:rsidR="000E5F8D" w:rsidRPr="00E81D00" w:rsidRDefault="000E5F8D" w:rsidP="00472841">
      <w:pPr>
        <w:tabs>
          <w:tab w:val="left" w:pos="180"/>
        </w:tabs>
        <w:rPr>
          <w:rFonts w:ascii="Garamond" w:hAnsi="Garamond"/>
          <w:color w:val="1F497D"/>
          <w:sz w:val="18"/>
          <w:szCs w:val="18"/>
        </w:rPr>
      </w:pPr>
      <w:r w:rsidRPr="00E81D00">
        <w:rPr>
          <w:rStyle w:val="FootnoteReference"/>
          <w:rFonts w:ascii="Garamond" w:hAnsi="Garamond"/>
          <w:sz w:val="18"/>
          <w:szCs w:val="18"/>
        </w:rPr>
        <w:footnoteRef/>
      </w:r>
      <w:r>
        <w:rPr>
          <w:rFonts w:ascii="Garamond" w:hAnsi="Garamond"/>
          <w:color w:val="1F497D"/>
          <w:sz w:val="18"/>
          <w:szCs w:val="18"/>
        </w:rPr>
        <w:tab/>
      </w:r>
      <w:hyperlink r:id="rId9" w:anchor="FX" w:history="1">
        <w:r w:rsidRPr="00E81D00">
          <w:rPr>
            <w:rStyle w:val="Hyperlink"/>
            <w:rFonts w:ascii="Garamond" w:hAnsi="Garamond"/>
            <w:sz w:val="18"/>
            <w:szCs w:val="18"/>
          </w:rPr>
          <w:t>http://sdrview.clarusft.com/#FX</w:t>
        </w:r>
      </w:hyperlink>
      <w:r w:rsidRPr="00E81D00">
        <w:rPr>
          <w:rFonts w:ascii="Garamond" w:hAnsi="Garamond"/>
          <w:color w:val="1F497D"/>
          <w:sz w:val="18"/>
          <w:szCs w:val="18"/>
        </w:rPr>
        <w:t>.</w:t>
      </w:r>
    </w:p>
  </w:footnote>
  <w:footnote w:id="23">
    <w:p w:rsidR="000E5F8D" w:rsidRPr="00567B70" w:rsidRDefault="000E5F8D" w:rsidP="00472841">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t>As the Consultation Paper notes, not all of the proposed currency pairs are as liquid as others.  The four currency pairs referenced above (INR, CNY, KRW, and BRL) account for the vast majority of volume in the 11 currency pairs suggested in the Consultation Paper – well more than 75 percent.  In addition, some currency pairs trade in greater size, though in fewer number of trades, sugges</w:t>
      </w:r>
      <w:r w:rsidRPr="00567B70">
        <w:rPr>
          <w:rFonts w:ascii="Garamond" w:hAnsi="Garamond"/>
          <w:sz w:val="18"/>
          <w:szCs w:val="18"/>
        </w:rPr>
        <w:t>t</w:t>
      </w:r>
      <w:r w:rsidRPr="00567B70">
        <w:rPr>
          <w:rFonts w:ascii="Garamond" w:hAnsi="Garamond"/>
          <w:sz w:val="18"/>
          <w:szCs w:val="18"/>
        </w:rPr>
        <w:t>ing that there are fewer market participants, and sources of liquidity.  Regardless of which currency pairs are ultimately subject to a mandate, it will be important that the scope of the mandate be relatively consistent from one jurisdiction to the next but also mindful of the trading activity – and thus liquidity – in those currency pairs within a particular region.  Currently LCH offers 11 currency pairs, Chicago Mercantile Exchange (CME) offers 12, and SGX offers 7.  As stated later in our response to Question 5, because liquidity profiles for any given currency pair may shift, consideration should be given to the establishment of liquidity thresholds for purposes of a clearing determination that will inform the appropriateness of the mandate for a given currency pair, including tenor, per jurisdi</w:t>
      </w:r>
      <w:r w:rsidRPr="00567B70">
        <w:rPr>
          <w:rFonts w:ascii="Garamond" w:hAnsi="Garamond"/>
          <w:sz w:val="18"/>
          <w:szCs w:val="18"/>
        </w:rPr>
        <w:t>c</w:t>
      </w:r>
      <w:r w:rsidRPr="00567B70">
        <w:rPr>
          <w:rFonts w:ascii="Garamond" w:hAnsi="Garamond"/>
          <w:sz w:val="18"/>
          <w:szCs w:val="18"/>
        </w:rPr>
        <w:t>tion and across jurisdictions, when any such mandate is initially made and, importantly, periodically reviewed.</w:t>
      </w:r>
    </w:p>
  </w:footnote>
  <w:footnote w:id="24">
    <w:p w:rsidR="000E5F8D" w:rsidRPr="00567B70" w:rsidRDefault="000E5F8D" w:rsidP="00472841">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 xml:space="preserve"> </w:t>
      </w:r>
      <w:r w:rsidRPr="00567B70">
        <w:rPr>
          <w:rFonts w:ascii="Garamond" w:hAnsi="Garamond"/>
          <w:sz w:val="18"/>
          <w:szCs w:val="18"/>
        </w:rPr>
        <w:tab/>
      </w:r>
      <w:r w:rsidRPr="00567B70">
        <w:rPr>
          <w:rFonts w:ascii="Garamond" w:hAnsi="Garamond"/>
          <w:sz w:val="18"/>
          <w:szCs w:val="18"/>
          <w:lang w:val="en-US"/>
        </w:rPr>
        <w:t>See, e.g., remarks provided at the CFTC GMAC meeting on October 9, 2014 by David Bailey, Financial Market Infrastructure, Bank of England.</w:t>
      </w:r>
    </w:p>
  </w:footnote>
  <w:footnote w:id="25">
    <w:p w:rsidR="000E5F8D" w:rsidRPr="00567B70" w:rsidRDefault="000E5F8D" w:rsidP="00472841">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t xml:space="preserve">See </w:t>
      </w:r>
      <w:r w:rsidRPr="00567B70">
        <w:rPr>
          <w:rFonts w:ascii="Garamond" w:hAnsi="Garamond"/>
          <w:sz w:val="18"/>
          <w:szCs w:val="18"/>
          <w:lang w:val="en-US"/>
        </w:rPr>
        <w:t>CFTC GMAC meeting, October 9, 2014 (presentation by Rodrigo Buenventura, ESMA).</w:t>
      </w:r>
    </w:p>
  </w:footnote>
  <w:footnote w:id="26">
    <w:p w:rsidR="000E5F8D" w:rsidRPr="00567B70" w:rsidRDefault="000E5F8D" w:rsidP="00472841">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t xml:space="preserve">See Final Report, Draft Technical Standards on the Clearing Obligation – Interest Rate OTC Derivatives (1 October 2014); available at </w:t>
      </w:r>
      <w:hyperlink r:id="rId10" w:history="1">
        <w:r w:rsidRPr="00567B70">
          <w:rPr>
            <w:rStyle w:val="Hyperlink"/>
            <w:rFonts w:ascii="Garamond" w:hAnsi="Garamond"/>
            <w:sz w:val="18"/>
            <w:szCs w:val="18"/>
          </w:rPr>
          <w:t>http://www.esma.europa.eu/system/files/esma-2014-1184_final_report_clearing_obligation_irs.pdf</w:t>
        </w:r>
      </w:hyperlink>
      <w:r w:rsidRPr="00567B70">
        <w:rPr>
          <w:rFonts w:ascii="Garamond" w:hAnsi="Garamond"/>
          <w:sz w:val="18"/>
          <w:szCs w:val="18"/>
        </w:rPr>
        <w:t xml:space="preserve">.  </w:t>
      </w:r>
    </w:p>
  </w:footnote>
  <w:footnote w:id="27">
    <w:p w:rsidR="000E5F8D" w:rsidRPr="00567B70" w:rsidRDefault="000E5F8D" w:rsidP="00472841">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r>
      <w:r w:rsidRPr="00567B70">
        <w:rPr>
          <w:rFonts w:ascii="Garamond" w:hAnsi="Garamond"/>
          <w:sz w:val="18"/>
          <w:szCs w:val="18"/>
          <w:lang w:val="en-US"/>
        </w:rPr>
        <w:t xml:space="preserve">See footnote </w:t>
      </w:r>
      <w:fldSimple w:instr=" NOTEREF _Ref402181719 \h  \* MERGEFORMAT ">
        <w:r w:rsidRPr="00567B70">
          <w:rPr>
            <w:rFonts w:ascii="Garamond" w:hAnsi="Garamond"/>
            <w:sz w:val="18"/>
            <w:szCs w:val="18"/>
            <w:lang w:val="en-US"/>
          </w:rPr>
          <w:t>14</w:t>
        </w:r>
      </w:fldSimple>
      <w:r w:rsidRPr="00567B70">
        <w:rPr>
          <w:rFonts w:ascii="Garamond" w:hAnsi="Garamond"/>
          <w:sz w:val="18"/>
          <w:szCs w:val="18"/>
          <w:lang w:val="en-US"/>
        </w:rPr>
        <w:t>.</w:t>
      </w:r>
    </w:p>
  </w:footnote>
  <w:footnote w:id="28">
    <w:p w:rsidR="000E5F8D" w:rsidRPr="00567B70" w:rsidRDefault="000E5F8D" w:rsidP="00472841">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t>Under U.S. law, the process for made available to tra</w:t>
      </w:r>
      <w:r>
        <w:rPr>
          <w:rFonts w:ascii="Garamond" w:hAnsi="Garamond"/>
          <w:sz w:val="18"/>
          <w:szCs w:val="18"/>
        </w:rPr>
        <w:t xml:space="preserve">de or “MAT” determinations are </w:t>
      </w:r>
      <w:r w:rsidRPr="00567B70">
        <w:rPr>
          <w:rFonts w:ascii="Garamond" w:hAnsi="Garamond"/>
          <w:sz w:val="18"/>
          <w:szCs w:val="18"/>
        </w:rPr>
        <w:t xml:space="preserve">such that the implementation dates </w:t>
      </w:r>
      <w:r>
        <w:rPr>
          <w:rFonts w:ascii="Garamond" w:hAnsi="Garamond"/>
          <w:sz w:val="18"/>
          <w:szCs w:val="18"/>
        </w:rPr>
        <w:t xml:space="preserve">for </w:t>
      </w:r>
      <w:r w:rsidRPr="00567B70">
        <w:rPr>
          <w:rFonts w:ascii="Garamond" w:hAnsi="Garamond"/>
          <w:sz w:val="18"/>
          <w:szCs w:val="18"/>
        </w:rPr>
        <w:t>clearing can be almost identical to the implementation dates for mandatory SEF trading.  This contrasts with the standards in the EU where, by law, trading cannot be mandated any sooner than January 2017 under MiFID II.  As a result, GFXD believes that the recommendation of a clearing mandate must be made with careful consideration of SEF readiness as well and that allowing for a sufficient transition period to coordinate regulatory processes is critical.</w:t>
      </w:r>
    </w:p>
  </w:footnote>
  <w:footnote w:id="29">
    <w:p w:rsidR="000E5F8D" w:rsidRPr="00567B70" w:rsidRDefault="000E5F8D" w:rsidP="00472841">
      <w:pPr>
        <w:pStyle w:val="Default"/>
        <w:tabs>
          <w:tab w:val="left" w:pos="180"/>
        </w:tabs>
        <w:rPr>
          <w:rFonts w:ascii="Garamond" w:hAnsi="Garamond" w:cs="Times New Roman"/>
          <w:sz w:val="18"/>
          <w:szCs w:val="18"/>
        </w:rPr>
      </w:pPr>
      <w:r w:rsidRPr="00567B70">
        <w:rPr>
          <w:rStyle w:val="FootnoteReference"/>
          <w:rFonts w:ascii="Garamond" w:hAnsi="Garamond"/>
          <w:sz w:val="18"/>
          <w:szCs w:val="18"/>
        </w:rPr>
        <w:footnoteRef/>
      </w:r>
      <w:r w:rsidRPr="00567B70">
        <w:rPr>
          <w:rFonts w:ascii="Garamond" w:hAnsi="Garamond"/>
          <w:sz w:val="18"/>
          <w:szCs w:val="18"/>
        </w:rPr>
        <w:tab/>
        <w:t xml:space="preserve">See </w:t>
      </w:r>
      <w:r w:rsidRPr="00567B70">
        <w:rPr>
          <w:rFonts w:ascii="Garamond" w:hAnsi="Garamond"/>
          <w:i/>
          <w:sz w:val="18"/>
          <w:szCs w:val="18"/>
        </w:rPr>
        <w:t xml:space="preserve">Footnote 88 and Market Fragmentation: An ISDA Survey </w:t>
      </w:r>
      <w:r w:rsidRPr="00567B70">
        <w:rPr>
          <w:rFonts w:ascii="Garamond" w:hAnsi="Garamond"/>
          <w:sz w:val="18"/>
          <w:szCs w:val="18"/>
        </w:rPr>
        <w:t xml:space="preserve">(December 2013); and </w:t>
      </w:r>
      <w:r w:rsidRPr="00567B70">
        <w:rPr>
          <w:rFonts w:ascii="Garamond" w:hAnsi="Garamond" w:cs="Times New Roman"/>
          <w:i/>
          <w:color w:val="auto"/>
          <w:sz w:val="18"/>
          <w:szCs w:val="18"/>
        </w:rPr>
        <w:t xml:space="preserve">Made-Available-to-Trade (MAT): Evidence of Further Market Fragmentation </w:t>
      </w:r>
      <w:r w:rsidRPr="00567B70">
        <w:rPr>
          <w:rFonts w:ascii="Garamond" w:hAnsi="Garamond" w:cs="Times New Roman"/>
          <w:color w:val="auto"/>
          <w:sz w:val="18"/>
          <w:szCs w:val="18"/>
        </w:rPr>
        <w:t xml:space="preserve">(April 2004); available at </w:t>
      </w:r>
      <w:hyperlink r:id="rId11" w:history="1">
        <w:r w:rsidRPr="00567B70">
          <w:rPr>
            <w:rStyle w:val="Hyperlink"/>
            <w:rFonts w:ascii="Garamond" w:hAnsi="Garamond"/>
            <w:sz w:val="18"/>
            <w:szCs w:val="18"/>
          </w:rPr>
          <w:t>http://www2.isda.org/functional-areas/research/research-notes/</w:t>
        </w:r>
      </w:hyperlink>
      <w:r w:rsidRPr="00567B70">
        <w:rPr>
          <w:rFonts w:ascii="Garamond" w:hAnsi="Garamond"/>
          <w:sz w:val="18"/>
          <w:szCs w:val="18"/>
        </w:rPr>
        <w:t xml:space="preserve">. </w:t>
      </w:r>
    </w:p>
  </w:footnote>
  <w:footnote w:id="30">
    <w:p w:rsidR="000E5F8D" w:rsidRPr="00567B70" w:rsidRDefault="000E5F8D" w:rsidP="00472841">
      <w:pPr>
        <w:pStyle w:val="FootnoteText"/>
        <w:tabs>
          <w:tab w:val="left" w:pos="180"/>
        </w:tabs>
        <w:rPr>
          <w:rFonts w:ascii="Garamond" w:hAnsi="Garamond"/>
          <w:sz w:val="18"/>
          <w:szCs w:val="18"/>
          <w:lang w:val="en-US"/>
        </w:rPr>
      </w:pPr>
      <w:r w:rsidRPr="00567B70">
        <w:rPr>
          <w:rStyle w:val="FootnoteReference"/>
          <w:rFonts w:ascii="Garamond" w:hAnsi="Garamond"/>
          <w:sz w:val="18"/>
          <w:szCs w:val="18"/>
        </w:rPr>
        <w:footnoteRef/>
      </w:r>
      <w:r w:rsidRPr="00567B70">
        <w:rPr>
          <w:rFonts w:ascii="Garamond" w:hAnsi="Garamond"/>
          <w:sz w:val="18"/>
          <w:szCs w:val="18"/>
        </w:rPr>
        <w:tab/>
        <w:t>Due to these and other considerations raised in our responses to this Consultation Paper, alternatives for ensuring alignment of go-live dates for trading mandates in, at a minimum, U</w:t>
      </w:r>
      <w:r>
        <w:rPr>
          <w:rFonts w:ascii="Garamond" w:hAnsi="Garamond"/>
          <w:sz w:val="18"/>
          <w:szCs w:val="18"/>
        </w:rPr>
        <w:t>.</w:t>
      </w:r>
      <w:r w:rsidRPr="00567B70">
        <w:rPr>
          <w:rFonts w:ascii="Garamond" w:hAnsi="Garamond"/>
          <w:sz w:val="18"/>
          <w:szCs w:val="18"/>
        </w:rPr>
        <w:t>S</w:t>
      </w:r>
      <w:r>
        <w:rPr>
          <w:rFonts w:ascii="Garamond" w:hAnsi="Garamond"/>
          <w:sz w:val="18"/>
          <w:szCs w:val="18"/>
        </w:rPr>
        <w:t>.</w:t>
      </w:r>
      <w:r w:rsidRPr="00567B70">
        <w:rPr>
          <w:rFonts w:ascii="Garamond" w:hAnsi="Garamond"/>
          <w:sz w:val="18"/>
          <w:szCs w:val="18"/>
        </w:rPr>
        <w:t xml:space="preserve"> and Europe, could include:  (i) a determination that while certain FX NDFs are capable of being (and are being) cleared, this class is not appropriate for a clearing mandate </w:t>
      </w:r>
      <w:r w:rsidRPr="00567B70">
        <w:rPr>
          <w:rFonts w:ascii="Garamond" w:hAnsi="Garamond"/>
          <w:i/>
          <w:sz w:val="18"/>
          <w:szCs w:val="18"/>
        </w:rPr>
        <w:t>at this time</w:t>
      </w:r>
      <w:r w:rsidRPr="00567B70">
        <w:rPr>
          <w:rFonts w:ascii="Garamond" w:hAnsi="Garamond"/>
          <w:sz w:val="18"/>
          <w:szCs w:val="18"/>
        </w:rPr>
        <w:t xml:space="preserve"> but this should be revisited at a later time (to be specified); (ii) a determination that certain FX NDFs should be subject to a clearing mandate at this time, but with go-live dates as suggested in our response to Question 7 of the Consultation Paper, </w:t>
      </w:r>
      <w:r w:rsidRPr="00567B70">
        <w:rPr>
          <w:rFonts w:ascii="Garamond" w:hAnsi="Garamond"/>
          <w:i/>
          <w:sz w:val="18"/>
          <w:szCs w:val="18"/>
        </w:rPr>
        <w:t>provided</w:t>
      </w:r>
      <w:r w:rsidRPr="00567B70">
        <w:rPr>
          <w:rFonts w:ascii="Garamond" w:hAnsi="Garamond"/>
          <w:sz w:val="18"/>
          <w:szCs w:val="18"/>
        </w:rPr>
        <w:t xml:space="preserve"> the U</w:t>
      </w:r>
      <w:r>
        <w:rPr>
          <w:rFonts w:ascii="Garamond" w:hAnsi="Garamond"/>
          <w:sz w:val="18"/>
          <w:szCs w:val="18"/>
        </w:rPr>
        <w:t>.</w:t>
      </w:r>
      <w:r w:rsidRPr="00567B70">
        <w:rPr>
          <w:rFonts w:ascii="Garamond" w:hAnsi="Garamond"/>
          <w:sz w:val="18"/>
          <w:szCs w:val="18"/>
        </w:rPr>
        <w:t>S</w:t>
      </w:r>
      <w:r>
        <w:rPr>
          <w:rFonts w:ascii="Garamond" w:hAnsi="Garamond"/>
          <w:sz w:val="18"/>
          <w:szCs w:val="18"/>
        </w:rPr>
        <w:t>.</w:t>
      </w:r>
      <w:r w:rsidRPr="00567B70">
        <w:rPr>
          <w:rFonts w:ascii="Garamond" w:hAnsi="Garamond"/>
          <w:sz w:val="18"/>
          <w:szCs w:val="18"/>
        </w:rPr>
        <w:t xml:space="preserve"> SEF rules relating to MAT determin</w:t>
      </w:r>
      <w:r w:rsidRPr="00567B70">
        <w:rPr>
          <w:rFonts w:ascii="Garamond" w:hAnsi="Garamond"/>
          <w:sz w:val="18"/>
          <w:szCs w:val="18"/>
        </w:rPr>
        <w:t>a</w:t>
      </w:r>
      <w:r w:rsidRPr="00567B70">
        <w:rPr>
          <w:rFonts w:ascii="Garamond" w:hAnsi="Garamond"/>
          <w:sz w:val="18"/>
          <w:szCs w:val="18"/>
        </w:rPr>
        <w:t>tions are appropriately amended (or footnote 88 of the U</w:t>
      </w:r>
      <w:r>
        <w:rPr>
          <w:rFonts w:ascii="Garamond" w:hAnsi="Garamond"/>
          <w:sz w:val="18"/>
          <w:szCs w:val="18"/>
        </w:rPr>
        <w:t>.</w:t>
      </w:r>
      <w:r w:rsidRPr="00567B70">
        <w:rPr>
          <w:rFonts w:ascii="Garamond" w:hAnsi="Garamond"/>
          <w:sz w:val="18"/>
          <w:szCs w:val="18"/>
        </w:rPr>
        <w:t>S</w:t>
      </w:r>
      <w:r>
        <w:rPr>
          <w:rFonts w:ascii="Garamond" w:hAnsi="Garamond"/>
          <w:sz w:val="18"/>
          <w:szCs w:val="18"/>
        </w:rPr>
        <w:t>.</w:t>
      </w:r>
      <w:r w:rsidRPr="00567B70">
        <w:rPr>
          <w:rFonts w:ascii="Garamond" w:hAnsi="Garamond"/>
          <w:sz w:val="18"/>
          <w:szCs w:val="18"/>
        </w:rPr>
        <w:t xml:space="preserve"> SEF rules which requires many-to-many trading facilities to register as SEFs is repealed or no-action relief provided from the requirement); (iii) a determination that a clearing mandate should be issued at this time, but with a go-live date no earlier than January 2017; or (iv) no action relief from the CFTC with respect to compliance with any trading mandate until January 2017 and, separately, with respect to footnote 88 of the U</w:t>
      </w:r>
      <w:r>
        <w:rPr>
          <w:rFonts w:ascii="Garamond" w:hAnsi="Garamond"/>
          <w:sz w:val="18"/>
          <w:szCs w:val="18"/>
        </w:rPr>
        <w:t>.</w:t>
      </w:r>
      <w:r w:rsidRPr="00567B70">
        <w:rPr>
          <w:rFonts w:ascii="Garamond" w:hAnsi="Garamond"/>
          <w:sz w:val="18"/>
          <w:szCs w:val="18"/>
        </w:rPr>
        <w:t>S</w:t>
      </w:r>
      <w:r>
        <w:rPr>
          <w:rFonts w:ascii="Garamond" w:hAnsi="Garamond"/>
          <w:sz w:val="18"/>
          <w:szCs w:val="18"/>
        </w:rPr>
        <w:t>.</w:t>
      </w:r>
      <w:r w:rsidRPr="00567B70">
        <w:rPr>
          <w:rFonts w:ascii="Garamond" w:hAnsi="Garamond"/>
          <w:sz w:val="18"/>
          <w:szCs w:val="18"/>
        </w:rPr>
        <w:t xml:space="preserve"> SEF rules until January 2017.</w:t>
      </w:r>
    </w:p>
  </w:footnote>
  <w:footnote w:id="31">
    <w:p w:rsidR="000E5F8D" w:rsidRPr="00622DCC" w:rsidRDefault="000E5F8D" w:rsidP="00472841">
      <w:pPr>
        <w:pStyle w:val="FootnoteText"/>
        <w:tabs>
          <w:tab w:val="left" w:pos="180"/>
        </w:tabs>
        <w:rPr>
          <w:rFonts w:ascii="Garamond" w:hAnsi="Garamond"/>
          <w:sz w:val="18"/>
          <w:szCs w:val="18"/>
          <w:lang w:val="en-US"/>
        </w:rPr>
      </w:pPr>
      <w:r w:rsidRPr="00622DCC">
        <w:rPr>
          <w:rStyle w:val="FootnoteReference"/>
          <w:rFonts w:ascii="Garamond" w:hAnsi="Garamond"/>
          <w:sz w:val="18"/>
          <w:szCs w:val="18"/>
        </w:rPr>
        <w:footnoteRef/>
      </w:r>
      <w:r w:rsidRPr="00622DCC">
        <w:rPr>
          <w:rFonts w:ascii="Garamond" w:hAnsi="Garamond"/>
          <w:sz w:val="18"/>
          <w:szCs w:val="18"/>
        </w:rPr>
        <w:tab/>
        <w:t>GFXD is of the view that ESMA has the authority to either (i) not apply the frontloading requirement to a class of OTC derivatives – in this case FX NDFs – under Article 4(1)(b)(i) by specifying that the clearing obligation applies to the contracts entered into or novated on or after the date on which the clearing obligation takes effect (i.e., the compliance date for Category 1, Category 2, etc.); or (ii) apply the frontlo</w:t>
      </w:r>
      <w:r>
        <w:rPr>
          <w:rFonts w:ascii="Garamond" w:hAnsi="Garamond"/>
          <w:sz w:val="18"/>
          <w:szCs w:val="18"/>
        </w:rPr>
        <w:t xml:space="preserve">ading requirement under Articles 4(1)(b)(ii) and </w:t>
      </w:r>
      <w:r w:rsidRPr="00622DCC">
        <w:rPr>
          <w:rFonts w:ascii="Garamond" w:hAnsi="Garamond"/>
          <w:sz w:val="18"/>
          <w:szCs w:val="18"/>
        </w:rPr>
        <w:t>5(2)(c) to FX NDFs with a remaining minimum maturity of one year</w:t>
      </w:r>
      <w:r>
        <w:rPr>
          <w:rFonts w:ascii="Garamond" w:hAnsi="Garamond"/>
          <w:sz w:val="18"/>
          <w:szCs w:val="18"/>
        </w:rPr>
        <w:t xml:space="preserve"> (i.e., the tenor of the contracts which we suggest in our response to Question 4 above)</w:t>
      </w:r>
      <w:r w:rsidRPr="00622DCC">
        <w:rPr>
          <w:rFonts w:ascii="Garamond" w:hAnsi="Garamond"/>
          <w:sz w:val="18"/>
          <w:szCs w:val="18"/>
        </w:rPr>
        <w:t>.</w:t>
      </w:r>
    </w:p>
  </w:footnote>
  <w:footnote w:id="32">
    <w:p w:rsidR="00FC66D3" w:rsidRPr="009A2631" w:rsidRDefault="00FC66D3" w:rsidP="00FC66D3">
      <w:pPr>
        <w:pStyle w:val="FootnoteText"/>
        <w:tabs>
          <w:tab w:val="left" w:pos="180"/>
        </w:tabs>
        <w:spacing w:line="240" w:lineRule="auto"/>
        <w:rPr>
          <w:rFonts w:ascii="Garamond" w:hAnsi="Garamond"/>
          <w:sz w:val="18"/>
          <w:szCs w:val="18"/>
        </w:rPr>
      </w:pPr>
      <w:r w:rsidRPr="009A2631">
        <w:rPr>
          <w:rStyle w:val="FootnoteReference"/>
          <w:rFonts w:ascii="Garamond" w:hAnsi="Garamond"/>
          <w:sz w:val="18"/>
          <w:szCs w:val="18"/>
        </w:rPr>
        <w:footnoteRef/>
      </w:r>
      <w:r>
        <w:rPr>
          <w:rFonts w:ascii="Garamond" w:hAnsi="Garamond"/>
          <w:sz w:val="18"/>
          <w:szCs w:val="18"/>
        </w:rPr>
        <w:tab/>
        <w:t xml:space="preserve">See </w:t>
      </w:r>
      <w:r w:rsidRPr="00200F9B">
        <w:rPr>
          <w:rFonts w:ascii="Garamond" w:hAnsi="Garamond"/>
          <w:sz w:val="18"/>
          <w:szCs w:val="18"/>
        </w:rPr>
        <w:t xml:space="preserve">BIS December 2013 Stats; </w:t>
      </w:r>
      <w:r>
        <w:rPr>
          <w:rFonts w:ascii="Garamond" w:hAnsi="Garamond"/>
          <w:sz w:val="18"/>
          <w:szCs w:val="18"/>
        </w:rPr>
        <w:t xml:space="preserve">and </w:t>
      </w:r>
      <w:r w:rsidRPr="00200F9B">
        <w:rPr>
          <w:rFonts w:ascii="Garamond" w:hAnsi="Garamond"/>
          <w:sz w:val="18"/>
          <w:szCs w:val="18"/>
        </w:rPr>
        <w:t>Consultation Paper</w:t>
      </w:r>
      <w:r w:rsidRPr="009A2631">
        <w:rPr>
          <w:rFonts w:ascii="Garamond" w:hAnsi="Garamond"/>
          <w:sz w:val="18"/>
          <w:szCs w:val="18"/>
        </w:rPr>
        <w:t>.</w:t>
      </w:r>
    </w:p>
  </w:footnote>
  <w:footnote w:id="33">
    <w:p w:rsidR="000E5F8D" w:rsidRPr="003D7F74" w:rsidRDefault="000E5F8D" w:rsidP="00141981">
      <w:pPr>
        <w:pStyle w:val="FootnoteText"/>
        <w:tabs>
          <w:tab w:val="left" w:pos="180"/>
        </w:tabs>
        <w:rPr>
          <w:rFonts w:ascii="Garamond" w:hAnsi="Garamond"/>
          <w:sz w:val="18"/>
          <w:szCs w:val="18"/>
          <w:lang w:val="en-US"/>
        </w:rPr>
      </w:pPr>
      <w:r w:rsidRPr="003D7F74">
        <w:rPr>
          <w:rStyle w:val="FootnoteReference"/>
          <w:rFonts w:ascii="Garamond" w:hAnsi="Garamond"/>
          <w:sz w:val="18"/>
          <w:szCs w:val="18"/>
        </w:rPr>
        <w:footnoteRef/>
      </w:r>
      <w:r>
        <w:rPr>
          <w:rFonts w:ascii="Garamond" w:hAnsi="Garamond"/>
          <w:sz w:val="18"/>
          <w:szCs w:val="18"/>
        </w:rPr>
        <w:tab/>
        <w:t>See Consultation Paper, page 32.  Figures in the table above exclude CNY (one of the less liquid FX NDF currencies among the 11 considered by this Consultation Paper) where the share of trades with a maturity between six months and 1 year is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D" w:rsidRDefault="000E5F8D">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AE1D87">
      <w:rPr>
        <w:noProof/>
        <w:lang w:val="en-US" w:eastAsia="en-US"/>
      </w:rPr>
      <w:pict>
        <v:line id="Line 16" o:spid="_x0000_s4098" style="position:absolute;z-index:251656192;visibility:visible;mso-wrap-distance-left:3.17481mm;mso-wrap-distance-right:3.17481mm;mso-position-horizontal-relative:page;mso-position-vertical-relative:page" from="121.9pt,48.2pt" to="121.9pt,9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D" w:rsidRDefault="000E5F8D"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D" w:rsidRDefault="000E5F8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0E5F8D" w:rsidRPr="002F4496" w:rsidTr="000C06C9">
      <w:trPr>
        <w:trHeight w:val="284"/>
      </w:trPr>
      <w:tc>
        <w:tcPr>
          <w:tcW w:w="8460" w:type="dxa"/>
        </w:tcPr>
        <w:p w:rsidR="000E5F8D" w:rsidRPr="000C3B6D" w:rsidRDefault="000E5F8D" w:rsidP="000C06C9">
          <w:pPr>
            <w:pStyle w:val="00Footer"/>
            <w:rPr>
              <w:lang w:val="fr-FR"/>
            </w:rPr>
          </w:pPr>
        </w:p>
      </w:tc>
      <w:tc>
        <w:tcPr>
          <w:tcW w:w="952" w:type="dxa"/>
        </w:tcPr>
        <w:p w:rsidR="000E5F8D" w:rsidRPr="00146B34" w:rsidRDefault="000E5F8D" w:rsidP="000C06C9">
          <w:pPr>
            <w:pStyle w:val="00aPagenumber"/>
            <w:rPr>
              <w:lang w:val="fr-FR"/>
            </w:rPr>
          </w:pPr>
        </w:p>
      </w:tc>
    </w:tr>
  </w:tbl>
  <w:p w:rsidR="000E5F8D" w:rsidRPr="00DB46C3" w:rsidRDefault="000E5F8D">
    <w:pPr>
      <w:rPr>
        <w:lang w:val="fr-FR"/>
      </w:rPr>
    </w:pPr>
  </w:p>
  <w:p w:rsidR="000E5F8D" w:rsidRPr="002F4496" w:rsidRDefault="000E5F8D">
    <w:pPr>
      <w:pStyle w:val="Header"/>
      <w:rPr>
        <w:lang w:val="fr-FR"/>
      </w:rPr>
    </w:pPr>
  </w:p>
  <w:p w:rsidR="000E5F8D" w:rsidRPr="002F4496" w:rsidRDefault="000E5F8D" w:rsidP="000C06C9">
    <w:pPr>
      <w:pStyle w:val="Header"/>
      <w:tabs>
        <w:tab w:val="clear" w:pos="4536"/>
        <w:tab w:val="clear" w:pos="9072"/>
        <w:tab w:val="left" w:pos="8227"/>
      </w:tabs>
      <w:rPr>
        <w:lang w:val="fr-FR"/>
      </w:rPr>
    </w:pPr>
  </w:p>
  <w:p w:rsidR="000E5F8D" w:rsidRPr="002F4496" w:rsidRDefault="000E5F8D" w:rsidP="000C06C9">
    <w:pPr>
      <w:pStyle w:val="Header"/>
      <w:tabs>
        <w:tab w:val="clear" w:pos="4536"/>
        <w:tab w:val="clear" w:pos="9072"/>
        <w:tab w:val="left" w:pos="8227"/>
      </w:tabs>
      <w:rPr>
        <w:lang w:val="fr-FR"/>
      </w:rPr>
    </w:pPr>
  </w:p>
  <w:p w:rsidR="000E5F8D" w:rsidRPr="002F4496" w:rsidRDefault="000E5F8D">
    <w:pPr>
      <w:pStyle w:val="Header"/>
      <w:rPr>
        <w:lang w:val="fr-FR"/>
      </w:rPr>
    </w:pPr>
  </w:p>
  <w:p w:rsidR="000E5F8D" w:rsidRPr="002F4496" w:rsidRDefault="000E5F8D">
    <w:pPr>
      <w:pStyle w:val="Header"/>
      <w:rPr>
        <w:lang w:val="fr-FR"/>
      </w:rPr>
    </w:pPr>
  </w:p>
  <w:p w:rsidR="000E5F8D" w:rsidRPr="002F4496" w:rsidRDefault="000E5F8D">
    <w:pPr>
      <w:pStyle w:val="Header"/>
      <w:rPr>
        <w:lang w:val="fr-FR"/>
      </w:rPr>
    </w:pPr>
  </w:p>
  <w:p w:rsidR="000E5F8D" w:rsidRPr="002F4496" w:rsidRDefault="000E5F8D">
    <w:pPr>
      <w:pStyle w:val="Header"/>
      <w:rPr>
        <w:lang w:val="fr-FR"/>
      </w:rPr>
    </w:pPr>
  </w:p>
  <w:p w:rsidR="000E5F8D" w:rsidRPr="002F4496" w:rsidRDefault="000E5F8D">
    <w:pPr>
      <w:pStyle w:val="Header"/>
      <w:rPr>
        <w:highlight w:val="yellow"/>
        <w:lang w:val="fr-FR"/>
      </w:rPr>
    </w:pPr>
  </w:p>
  <w:p w:rsidR="000E5F8D" w:rsidRDefault="00AE1D87">
    <w:pPr>
      <w:pStyle w:val="Header"/>
    </w:pPr>
    <w:r>
      <w:rPr>
        <w:noProof/>
        <w:lang w:val="en-US" w:eastAsia="en-US"/>
      </w:rPr>
      <w:pict>
        <v:line id="Straight Connector 138" o:spid="_x0000_s4097" style="position:absolute;z-index:251660288;visibility:visible;mso-wrap-distance-left:3.17492mm;mso-wrap-distance-right:3.17492mm;mso-position-horizontal-relative:page;mso-position-vertical-relative:page" from="396.9pt,48.2pt" to="396.9pt,11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" strokecolor="#283583" strokeweight="1pt">
          <w10:wrap anchorx="page" anchory="page"/>
        </v:line>
      </w:pict>
    </w:r>
    <w:r w:rsidR="000E5F8D">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D5902"/>
    <w:multiLevelType w:val="hybridMultilevel"/>
    <w:tmpl w:val="CAC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0723F5"/>
    <w:multiLevelType w:val="hybridMultilevel"/>
    <w:tmpl w:val="333A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B5A620F"/>
    <w:multiLevelType w:val="hybridMultilevel"/>
    <w:tmpl w:val="2620E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D0236"/>
    <w:multiLevelType w:val="hybridMultilevel"/>
    <w:tmpl w:val="F816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AF6CCB"/>
    <w:multiLevelType w:val="hybridMultilevel"/>
    <w:tmpl w:val="D6E0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7E700A"/>
    <w:multiLevelType w:val="hybridMultilevel"/>
    <w:tmpl w:val="00CE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nsid w:val="483D7F3B"/>
    <w:multiLevelType w:val="hybridMultilevel"/>
    <w:tmpl w:val="6E66BD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48B92853"/>
    <w:multiLevelType w:val="multilevel"/>
    <w:tmpl w:val="B66CF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61F70F63"/>
    <w:multiLevelType w:val="hybridMultilevel"/>
    <w:tmpl w:val="3922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6B155946"/>
    <w:multiLevelType w:val="hybridMultilevel"/>
    <w:tmpl w:val="7A2A0822"/>
    <w:lvl w:ilvl="0" w:tplc="58902216">
      <w:start w:val="1"/>
      <w:numFmt w:val="lowerRoman"/>
      <w:lvlText w:val="%1."/>
      <w:lvlJc w:val="left"/>
      <w:pPr>
        <w:ind w:left="1440" w:hanging="360"/>
      </w:pPr>
      <w:rPr>
        <w:rFonts w:ascii="Garamond" w:eastAsiaTheme="minorHAnsi" w:hAnsi="Garamond"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B7245DA"/>
    <w:multiLevelType w:val="hybridMultilevel"/>
    <w:tmpl w:val="193A2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7EA1592"/>
    <w:multiLevelType w:val="hybridMultilevel"/>
    <w:tmpl w:val="EE0856C8"/>
    <w:lvl w:ilvl="0" w:tplc="6100D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nsid w:val="79870C5F"/>
    <w:multiLevelType w:val="hybridMultilevel"/>
    <w:tmpl w:val="716CCDC8"/>
    <w:lvl w:ilvl="0" w:tplc="C44E8248">
      <w:start w:val="1"/>
      <w:numFmt w:val="decimal"/>
      <w:pStyle w:val="Heading5"/>
      <w:lvlText w:val="Q%1:"/>
      <w:lvlJc w:val="left"/>
      <w:pPr>
        <w:ind w:left="360" w:hanging="360"/>
      </w:pPr>
      <w:rPr>
        <w:rFonts w:cs="Times New Roman" w:hint="default"/>
        <w:b/>
      </w:rPr>
    </w:lvl>
    <w:lvl w:ilvl="1" w:tplc="12102CAC">
      <w:start w:val="1"/>
      <w:numFmt w:val="lowerRoman"/>
      <w:lvlText w:val="(%2)"/>
      <w:lvlJc w:val="left"/>
      <w:pPr>
        <w:ind w:left="1800" w:hanging="720"/>
      </w:pPr>
      <w:rPr>
        <w:rFonts w:cs="Times New Roman"/>
        <w:i w:val="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3"/>
  </w:num>
  <w:num w:numId="3">
    <w:abstractNumId w:val="17"/>
  </w:num>
  <w:num w:numId="4">
    <w:abstractNumId w:val="29"/>
  </w:num>
  <w:num w:numId="5">
    <w:abstractNumId w:val="4"/>
  </w:num>
  <w:num w:numId="6">
    <w:abstractNumId w:val="31"/>
  </w:num>
  <w:num w:numId="7">
    <w:abstractNumId w:val="0"/>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8"/>
  </w:num>
  <w:num w:numId="15">
    <w:abstractNumId w:val="12"/>
  </w:num>
  <w:num w:numId="16">
    <w:abstractNumId w:val="1"/>
  </w:num>
  <w:num w:numId="17">
    <w:abstractNumId w:val="19"/>
  </w:num>
  <w:num w:numId="18">
    <w:abstractNumId w:val="20"/>
  </w:num>
  <w:num w:numId="19">
    <w:abstractNumId w:val="22"/>
  </w:num>
  <w:num w:numId="20">
    <w:abstractNumId w:val="32"/>
  </w:num>
  <w:num w:numId="21">
    <w:abstractNumId w:val="41"/>
  </w:num>
  <w:num w:numId="22">
    <w:abstractNumId w:val="30"/>
  </w:num>
  <w:num w:numId="23">
    <w:abstractNumId w:val="11"/>
  </w:num>
  <w:num w:numId="24">
    <w:abstractNumId w:val="35"/>
  </w:num>
  <w:num w:numId="25">
    <w:abstractNumId w:val="34"/>
  </w:num>
  <w:num w:numId="26">
    <w:abstractNumId w:val="25"/>
  </w:num>
  <w:num w:numId="27">
    <w:abstractNumId w:val="38"/>
  </w:num>
  <w:num w:numId="28">
    <w:abstractNumId w:val="45"/>
  </w:num>
  <w:num w:numId="29">
    <w:abstractNumId w:val="9"/>
  </w:num>
  <w:num w:numId="30">
    <w:abstractNumId w:val="5"/>
  </w:num>
  <w:num w:numId="31">
    <w:abstractNumId w:val="27"/>
  </w:num>
  <w:num w:numId="32">
    <w:abstractNumId w:val="2"/>
  </w:num>
  <w:num w:numId="33">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44"/>
  </w:num>
  <w:num w:numId="35">
    <w:abstractNumId w:val="42"/>
  </w:num>
  <w:num w:numId="36">
    <w:abstractNumId w:val="26"/>
  </w:num>
  <w:num w:numId="37">
    <w:abstractNumId w:val="39"/>
  </w:num>
  <w:num w:numId="38">
    <w:abstractNumId w:val="13"/>
  </w:num>
  <w:num w:numId="39">
    <w:abstractNumId w:val="6"/>
  </w:num>
  <w:num w:numId="40">
    <w:abstractNumId w:val="24"/>
  </w:num>
  <w:num w:numId="41">
    <w:abstractNumId w:val="16"/>
  </w:num>
  <w:num w:numId="42">
    <w:abstractNumId w:val="15"/>
  </w:num>
  <w:num w:numId="43">
    <w:abstractNumId w:val="3"/>
  </w:num>
  <w:num w:numId="44">
    <w:abstractNumId w:val="40"/>
  </w:num>
  <w:num w:numId="45">
    <w:abstractNumId w:val="36"/>
  </w:num>
  <w:num w:numId="46">
    <w:abstractNumId w:val="1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stylePaneFormatFilter w:val="1F01"/>
  <w:documentProtection w:edit="readOnly" w:enforcement="1" w:cryptProviderType="rsaFull" w:cryptAlgorithmClass="hash" w:cryptAlgorithmType="typeAny" w:cryptAlgorithmSid="4" w:cryptSpinCount="100000" w:hash="tUoFXd+EZ4hAlmNkbsvJyl5nGfc=" w:salt="ZgOvKpV0Euf98kucWRvogA=="/>
  <w:defaultTabStop w:val="709"/>
  <w:autoHyphenation/>
  <w:hyphenationZone w:val="567"/>
  <w:characterSpacingControl w:val="doNotCompress"/>
  <w:hdrShapeDefaults>
    <o:shapedefaults v:ext="edit" spidmax="6146">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462D"/>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5F8D"/>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1981"/>
    <w:rsid w:val="0014253A"/>
    <w:rsid w:val="001425C8"/>
    <w:rsid w:val="001431AE"/>
    <w:rsid w:val="00143B87"/>
    <w:rsid w:val="00144BAC"/>
    <w:rsid w:val="001459E3"/>
    <w:rsid w:val="00146A0B"/>
    <w:rsid w:val="0014761E"/>
    <w:rsid w:val="00151907"/>
    <w:rsid w:val="00151C82"/>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31C3"/>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0F9B"/>
    <w:rsid w:val="00204CBC"/>
    <w:rsid w:val="002051F1"/>
    <w:rsid w:val="002067BA"/>
    <w:rsid w:val="0021058D"/>
    <w:rsid w:val="00211E2F"/>
    <w:rsid w:val="00211E9E"/>
    <w:rsid w:val="00214479"/>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369"/>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6B1"/>
    <w:rsid w:val="00270E54"/>
    <w:rsid w:val="00273681"/>
    <w:rsid w:val="002754B5"/>
    <w:rsid w:val="002764C5"/>
    <w:rsid w:val="002772AE"/>
    <w:rsid w:val="002777CA"/>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3E49"/>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6BAC"/>
    <w:rsid w:val="0033194F"/>
    <w:rsid w:val="00332406"/>
    <w:rsid w:val="00332D8D"/>
    <w:rsid w:val="00334F6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B1E"/>
    <w:rsid w:val="003926C1"/>
    <w:rsid w:val="00392900"/>
    <w:rsid w:val="00393357"/>
    <w:rsid w:val="00395E7B"/>
    <w:rsid w:val="00395EF9"/>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A4C"/>
    <w:rsid w:val="003C4F05"/>
    <w:rsid w:val="003C6191"/>
    <w:rsid w:val="003C6E49"/>
    <w:rsid w:val="003D0CBF"/>
    <w:rsid w:val="003D0DD6"/>
    <w:rsid w:val="003D4B73"/>
    <w:rsid w:val="003D503B"/>
    <w:rsid w:val="003D605E"/>
    <w:rsid w:val="003D61D1"/>
    <w:rsid w:val="003D6780"/>
    <w:rsid w:val="003D6FCB"/>
    <w:rsid w:val="003E0F84"/>
    <w:rsid w:val="003E1CD1"/>
    <w:rsid w:val="003E1FF3"/>
    <w:rsid w:val="003E3ACA"/>
    <w:rsid w:val="003E50EA"/>
    <w:rsid w:val="003E68C7"/>
    <w:rsid w:val="003E79B0"/>
    <w:rsid w:val="003F0403"/>
    <w:rsid w:val="003F1094"/>
    <w:rsid w:val="003F2E45"/>
    <w:rsid w:val="003F3EFE"/>
    <w:rsid w:val="003F40B8"/>
    <w:rsid w:val="003F5261"/>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135D"/>
    <w:rsid w:val="00422A7D"/>
    <w:rsid w:val="00422BFC"/>
    <w:rsid w:val="00422E75"/>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62E9"/>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2841"/>
    <w:rsid w:val="00473E74"/>
    <w:rsid w:val="00473FEF"/>
    <w:rsid w:val="00475B8E"/>
    <w:rsid w:val="004771D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88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0C18"/>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379"/>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67DF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09"/>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C686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1C0"/>
    <w:rsid w:val="005F028E"/>
    <w:rsid w:val="005F04B4"/>
    <w:rsid w:val="005F0814"/>
    <w:rsid w:val="005F11A4"/>
    <w:rsid w:val="005F19F8"/>
    <w:rsid w:val="005F3FB1"/>
    <w:rsid w:val="005F5ACF"/>
    <w:rsid w:val="005F60DC"/>
    <w:rsid w:val="006000DD"/>
    <w:rsid w:val="00600F63"/>
    <w:rsid w:val="006012E1"/>
    <w:rsid w:val="00602253"/>
    <w:rsid w:val="006023E1"/>
    <w:rsid w:val="0060364A"/>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1F0"/>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2B"/>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793"/>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8FD"/>
    <w:rsid w:val="007E3514"/>
    <w:rsid w:val="007E4AAA"/>
    <w:rsid w:val="007E4BD2"/>
    <w:rsid w:val="007E4C29"/>
    <w:rsid w:val="007E5556"/>
    <w:rsid w:val="007E5E44"/>
    <w:rsid w:val="007F0DDA"/>
    <w:rsid w:val="007F1939"/>
    <w:rsid w:val="007F2495"/>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9C1"/>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3DF5"/>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696"/>
    <w:rsid w:val="00885E6F"/>
    <w:rsid w:val="0088604A"/>
    <w:rsid w:val="008861AC"/>
    <w:rsid w:val="008868E4"/>
    <w:rsid w:val="00886A60"/>
    <w:rsid w:val="0088759B"/>
    <w:rsid w:val="008909B4"/>
    <w:rsid w:val="00891942"/>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FA4"/>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3A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B7FB4"/>
    <w:rsid w:val="009C10FE"/>
    <w:rsid w:val="009C13BC"/>
    <w:rsid w:val="009C1CA4"/>
    <w:rsid w:val="009C2532"/>
    <w:rsid w:val="009C2BA4"/>
    <w:rsid w:val="009C6091"/>
    <w:rsid w:val="009C634F"/>
    <w:rsid w:val="009C7A70"/>
    <w:rsid w:val="009D0219"/>
    <w:rsid w:val="009D0D55"/>
    <w:rsid w:val="009D2295"/>
    <w:rsid w:val="009D2511"/>
    <w:rsid w:val="009D3E7C"/>
    <w:rsid w:val="009D55CA"/>
    <w:rsid w:val="009D5EF0"/>
    <w:rsid w:val="009D6401"/>
    <w:rsid w:val="009E0711"/>
    <w:rsid w:val="009E1917"/>
    <w:rsid w:val="009E3594"/>
    <w:rsid w:val="009E3F0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2B10"/>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2F7C"/>
    <w:rsid w:val="00A4376E"/>
    <w:rsid w:val="00A4572B"/>
    <w:rsid w:val="00A46246"/>
    <w:rsid w:val="00A46349"/>
    <w:rsid w:val="00A46D5E"/>
    <w:rsid w:val="00A47063"/>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1D87"/>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41C"/>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2D3"/>
    <w:rsid w:val="00BA1354"/>
    <w:rsid w:val="00BA24F8"/>
    <w:rsid w:val="00BA31AA"/>
    <w:rsid w:val="00BA45D8"/>
    <w:rsid w:val="00BA5828"/>
    <w:rsid w:val="00BA64B3"/>
    <w:rsid w:val="00BA754A"/>
    <w:rsid w:val="00BA7820"/>
    <w:rsid w:val="00BA794C"/>
    <w:rsid w:val="00BB18D0"/>
    <w:rsid w:val="00BB238D"/>
    <w:rsid w:val="00BB37CC"/>
    <w:rsid w:val="00BB48C4"/>
    <w:rsid w:val="00BB6907"/>
    <w:rsid w:val="00BB7A20"/>
    <w:rsid w:val="00BC0822"/>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4749"/>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6493"/>
    <w:rsid w:val="00C570B3"/>
    <w:rsid w:val="00C6009F"/>
    <w:rsid w:val="00C60417"/>
    <w:rsid w:val="00C6046F"/>
    <w:rsid w:val="00C638C2"/>
    <w:rsid w:val="00C651D4"/>
    <w:rsid w:val="00C6669E"/>
    <w:rsid w:val="00C672B0"/>
    <w:rsid w:val="00C729C7"/>
    <w:rsid w:val="00C7564E"/>
    <w:rsid w:val="00C777AD"/>
    <w:rsid w:val="00C80C53"/>
    <w:rsid w:val="00C81195"/>
    <w:rsid w:val="00C85387"/>
    <w:rsid w:val="00C85E52"/>
    <w:rsid w:val="00C86471"/>
    <w:rsid w:val="00C8677B"/>
    <w:rsid w:val="00C86F96"/>
    <w:rsid w:val="00C909C6"/>
    <w:rsid w:val="00C923B7"/>
    <w:rsid w:val="00C94D4C"/>
    <w:rsid w:val="00CA012C"/>
    <w:rsid w:val="00CA0AA6"/>
    <w:rsid w:val="00CA1E39"/>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C71"/>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74F"/>
    <w:rsid w:val="00D01BF4"/>
    <w:rsid w:val="00D0272C"/>
    <w:rsid w:val="00D045CE"/>
    <w:rsid w:val="00D05082"/>
    <w:rsid w:val="00D06163"/>
    <w:rsid w:val="00D07AFD"/>
    <w:rsid w:val="00D11749"/>
    <w:rsid w:val="00D12A7D"/>
    <w:rsid w:val="00D13AB0"/>
    <w:rsid w:val="00D13CBA"/>
    <w:rsid w:val="00D1519E"/>
    <w:rsid w:val="00D152B7"/>
    <w:rsid w:val="00D16EDC"/>
    <w:rsid w:val="00D17FDE"/>
    <w:rsid w:val="00D201CB"/>
    <w:rsid w:val="00D22786"/>
    <w:rsid w:val="00D228B4"/>
    <w:rsid w:val="00D228FB"/>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26FC"/>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A7A0D"/>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1C08"/>
    <w:rsid w:val="00DF3F1D"/>
    <w:rsid w:val="00DF595C"/>
    <w:rsid w:val="00DF7EA7"/>
    <w:rsid w:val="00E04548"/>
    <w:rsid w:val="00E0484E"/>
    <w:rsid w:val="00E063F8"/>
    <w:rsid w:val="00E114D6"/>
    <w:rsid w:val="00E1166E"/>
    <w:rsid w:val="00E11DBD"/>
    <w:rsid w:val="00E13211"/>
    <w:rsid w:val="00E16FB5"/>
    <w:rsid w:val="00E179D6"/>
    <w:rsid w:val="00E21407"/>
    <w:rsid w:val="00E2161F"/>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47C7A"/>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9FE"/>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C3D"/>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029"/>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601"/>
    <w:rsid w:val="00F77D43"/>
    <w:rsid w:val="00F80953"/>
    <w:rsid w:val="00F81312"/>
    <w:rsid w:val="00F81B90"/>
    <w:rsid w:val="00F81E6F"/>
    <w:rsid w:val="00F82FF3"/>
    <w:rsid w:val="00F8453C"/>
    <w:rsid w:val="00F84D4C"/>
    <w:rsid w:val="00F85D53"/>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66D3"/>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510C18"/>
    <w:pPr>
      <w:numPr>
        <w:numId w:val="34"/>
      </w:numPr>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val="en-GB" w:eastAsia="de-DE"/>
    </w:rPr>
  </w:style>
  <w:style w:type="character" w:customStyle="1" w:styleId="Heading8Char">
    <w:name w:val="Heading 8 Char"/>
    <w:link w:val="Heading8"/>
    <w:rsid w:val="002D6E1A"/>
    <w:rPr>
      <w:i/>
      <w:iCs/>
      <w:szCs w:val="24"/>
      <w:lang w:val="en-GB"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510C18"/>
    <w:rPr>
      <w:rFonts w:ascii="Georgia" w:hAnsi="Georgia"/>
      <w:b/>
      <w:szCs w:val="24"/>
      <w:lang w:val="en-GB"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510C18"/>
    <w:pPr>
      <w:numPr>
        <w:numId w:val="34"/>
      </w:numPr>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val="en-GB" w:eastAsia="de-DE"/>
    </w:rPr>
  </w:style>
  <w:style w:type="character" w:customStyle="1" w:styleId="Heading8Char">
    <w:name w:val="Heading 8 Char"/>
    <w:link w:val="Heading8"/>
    <w:rsid w:val="002D6E1A"/>
    <w:rPr>
      <w:i/>
      <w:iCs/>
      <w:szCs w:val="24"/>
      <w:lang w:val="en-GB"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510C18"/>
    <w:rPr>
      <w:rFonts w:ascii="Georgia" w:hAnsi="Georgia"/>
      <w:b/>
      <w:szCs w:val="24"/>
      <w:lang w:val="en-GB"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998755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4038857">
      <w:bodyDiv w:val="1"/>
      <w:marLeft w:val="0"/>
      <w:marRight w:val="0"/>
      <w:marTop w:val="0"/>
      <w:marBottom w:val="0"/>
      <w:divBdr>
        <w:top w:val="none" w:sz="0" w:space="0" w:color="auto"/>
        <w:left w:val="none" w:sz="0" w:space="0" w:color="auto"/>
        <w:bottom w:val="none" w:sz="0" w:space="0" w:color="auto"/>
        <w:right w:val="none" w:sz="0" w:space="0" w:color="auto"/>
      </w:divBdr>
    </w:div>
    <w:div w:id="37685783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7575667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606084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5095643">
      <w:bodyDiv w:val="1"/>
      <w:marLeft w:val="0"/>
      <w:marRight w:val="0"/>
      <w:marTop w:val="0"/>
      <w:marBottom w:val="0"/>
      <w:divBdr>
        <w:top w:val="none" w:sz="0" w:space="0" w:color="auto"/>
        <w:left w:val="none" w:sz="0" w:space="0" w:color="auto"/>
        <w:bottom w:val="none" w:sz="0" w:space="0" w:color="auto"/>
        <w:right w:val="none" w:sz="0" w:space="0" w:color="auto"/>
      </w:divBdr>
    </w:div>
    <w:div w:id="19706211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mt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2.isda.org/functional-areas/public-policy/europe/" TargetMode="Externa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uroparl.europa.eu/document/activities/cont/200911/20091124ATT65154/20091124ATT65154EN.pdf" TargetMode="External"/><Relationship Id="rId3" Type="http://schemas.openxmlformats.org/officeDocument/2006/relationships/hyperlink" Target="http://www2.isda.org/attachment/NjQ0MA==/FINAL%20-%20Size%20and%20Uses%20of%20the%20Non-Cleared%20Derivatves%20Market.pdf" TargetMode="External"/><Relationship Id="rId7" Type="http://schemas.openxmlformats.org/officeDocument/2006/relationships/hyperlink" Target="http://www.bis.org/publ/gten05.pdf" TargetMode="External"/><Relationship Id="rId2" Type="http://schemas.openxmlformats.org/officeDocument/2006/relationships/hyperlink" Target="http://www.esma.europa.eu/system/files/esma-2014-1185.pdf" TargetMode="External"/><Relationship Id="rId1" Type="http://schemas.openxmlformats.org/officeDocument/2006/relationships/hyperlink" Target="http://www.bis.org/publ/otc_hy1405.pdf" TargetMode="External"/><Relationship Id="rId6" Type="http://schemas.openxmlformats.org/officeDocument/2006/relationships/hyperlink" Target="http://www.ecb.europa.eu/pub/fsr/shared/pdf/ivbfinancialstabilityreview200912en.pdf?a3fef6891f874a3bd40cd00aef38c64f" TargetMode="External"/><Relationship Id="rId11" Type="http://schemas.openxmlformats.org/officeDocument/2006/relationships/hyperlink" Target="http://www2.isda.org/functional-areas/research/research-notes/" TargetMode="External"/><Relationship Id="rId5" Type="http://schemas.openxmlformats.org/officeDocument/2006/relationships/hyperlink" Target="http://www.bis.org/publ/rpfxf13fxt.pdf" TargetMode="External"/><Relationship Id="rId10" Type="http://schemas.openxmlformats.org/officeDocument/2006/relationships/hyperlink" Target="http://www.esma.europa.eu/system/files/esma-2014-1184_final_report_clearing_obligation_irs.pdf" TargetMode="External"/><Relationship Id="rId4" Type="http://schemas.openxmlformats.org/officeDocument/2006/relationships/hyperlink" Target="http://www.esma.europa.eu/system/files/gfxd_response_esma_discussion_paper_on_clearing_esma_2013_925_submission_1.pdf" TargetMode="External"/><Relationship Id="rId9" Type="http://schemas.openxmlformats.org/officeDocument/2006/relationships/hyperlink" Target="http://sdrview.clarus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73C2B6D27B46D9B117EDC939FB0C8D"/>
        <w:category>
          <w:name w:val="General"/>
          <w:gallery w:val="placeholder"/>
        </w:category>
        <w:types>
          <w:type w:val="bbPlcHdr"/>
        </w:types>
        <w:behaviors>
          <w:behavior w:val="content"/>
        </w:behaviors>
        <w:guid w:val="{D6733732-3628-4793-8625-9C4E4D75D7E9}"/>
      </w:docPartPr>
      <w:docPartBody>
        <w:p w:rsidR="008D3C96" w:rsidRDefault="00774BE9" w:rsidP="00774BE9">
          <w:pPr>
            <w:pStyle w:val="3B73C2B6D27B46D9B117EDC939FB0C8D"/>
          </w:pPr>
          <w:r w:rsidRPr="000E3791">
            <w:rPr>
              <w:rStyle w:val="PlaceholderText"/>
            </w:rPr>
            <w:t>Choose an item.</w:t>
          </w:r>
        </w:p>
      </w:docPartBody>
    </w:docPart>
    <w:docPart>
      <w:docPartPr>
        <w:name w:val="5D7A0B6D2E2348BAA8507A46929D13BC"/>
        <w:category>
          <w:name w:val="General"/>
          <w:gallery w:val="placeholder"/>
        </w:category>
        <w:types>
          <w:type w:val="bbPlcHdr"/>
        </w:types>
        <w:behaviors>
          <w:behavior w:val="content"/>
        </w:behaviors>
        <w:guid w:val="{21DFE96D-C1DF-4338-9875-E113C0288FDC}"/>
      </w:docPartPr>
      <w:docPartBody>
        <w:p w:rsidR="008D3C96" w:rsidRDefault="00774BE9" w:rsidP="00774BE9">
          <w:pPr>
            <w:pStyle w:val="5D7A0B6D2E2348BAA8507A46929D13BC"/>
          </w:pPr>
          <w:r w:rsidRPr="000E3791">
            <w:rPr>
              <w:rStyle w:val="PlaceholderText"/>
            </w:rPr>
            <w:t>Choose an item.</w:t>
          </w:r>
        </w:p>
      </w:docPartBody>
    </w:docPart>
    <w:docPart>
      <w:docPartPr>
        <w:name w:val="2601290A809E4F0FA43C90989CB57F49"/>
        <w:category>
          <w:name w:val="General"/>
          <w:gallery w:val="placeholder"/>
        </w:category>
        <w:types>
          <w:type w:val="bbPlcHdr"/>
        </w:types>
        <w:behaviors>
          <w:behavior w:val="content"/>
        </w:behaviors>
        <w:guid w:val="{83FFF809-3AD9-4C6B-B50C-48B03FFC8581}"/>
      </w:docPartPr>
      <w:docPartBody>
        <w:p w:rsidR="008D3C96" w:rsidRDefault="00774BE9" w:rsidP="00774BE9">
          <w:pPr>
            <w:pStyle w:val="2601290A809E4F0FA43C90989CB57F49"/>
          </w:pPr>
          <w:r w:rsidRPr="000E379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auto"/>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swiss"/>
    <w:notTrueType/>
    <w:pitch w:val="variable"/>
    <w:sig w:usb0="20000287"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TimesNewRomanWGL">
    <w:panose1 w:val="00000000000000000000"/>
    <w:charset w:val="00"/>
    <w:family w:val="swiss"/>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TimesNewRomanWGL-Ital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defaultTabStop w:val="720"/>
  <w:characterSpacingControl w:val="doNotCompress"/>
  <w:compat>
    <w:useFELayout/>
  </w:compat>
  <w:rsids>
    <w:rsidRoot w:val="00774BE9"/>
    <w:rsid w:val="00051B3E"/>
    <w:rsid w:val="00187E60"/>
    <w:rsid w:val="0059348C"/>
    <w:rsid w:val="00690A8E"/>
    <w:rsid w:val="006954E8"/>
    <w:rsid w:val="00774BE9"/>
    <w:rsid w:val="008D3C96"/>
    <w:rsid w:val="009F0ADF"/>
    <w:rsid w:val="00C538AE"/>
    <w:rsid w:val="00D6330A"/>
    <w:rsid w:val="00DD0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1E638-F5D7-4582-8DF4-87FE20BBE4B2}">
  <ds:schemaRefs>
    <ds:schemaRef ds:uri="http://schemas.openxmlformats.org/officeDocument/2006/bibliography"/>
  </ds:schemaRefs>
</ds:datastoreItem>
</file>

<file path=customXml/itemProps2.xml><?xml version="1.0" encoding="utf-8"?>
<ds:datastoreItem xmlns:ds="http://schemas.openxmlformats.org/officeDocument/2006/customXml" ds:itemID="{16610554-2EDF-4519-8D37-65663FDB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8441</Words>
  <Characters>48120</Characters>
  <Application>Microsoft Office Word</Application>
  <DocSecurity>8</DocSecurity>
  <Lines>401</Lines>
  <Paragraphs>112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56449</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7929981</vt:i4>
      </vt:variant>
      <vt:variant>
        <vt:i4>0</vt:i4>
      </vt:variant>
      <vt:variant>
        <vt:i4>0</vt:i4>
      </vt:variant>
      <vt:variant>
        <vt:i4>5</vt:i4>
      </vt:variant>
      <vt:variant>
        <vt:lpwstr>http://www.esma.europa.eu/consultation/Consultation-implementing-measures-Regulations-EuSEF-and-EuVECA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aharvey</cp:lastModifiedBy>
  <cp:revision>2</cp:revision>
  <cp:lastPrinted>2014-05-08T15:06:00Z</cp:lastPrinted>
  <dcterms:created xsi:type="dcterms:W3CDTF">2014-11-06T16:05:00Z</dcterms:created>
  <dcterms:modified xsi:type="dcterms:W3CDTF">2014-11-06T16:05:00Z</dcterms:modified>
</cp:coreProperties>
</file>