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783047" w:rsidRPr="00E679BA" w14:paraId="61EC73C4" w14:textId="77777777" w:rsidTr="00926354">
        <w:trPr>
          <w:trHeight w:val="284"/>
        </w:trPr>
        <w:tc>
          <w:tcPr>
            <w:tcW w:w="9412" w:type="dxa"/>
          </w:tcPr>
          <w:p w14:paraId="016A3128" w14:textId="77777777" w:rsidR="00783047" w:rsidRPr="00376B02" w:rsidRDefault="00783047" w:rsidP="00926354">
            <w:pPr>
              <w:pStyle w:val="00bDBInfo"/>
            </w:pPr>
            <w:r>
              <w:t>26 September</w:t>
            </w:r>
            <w:r w:rsidRPr="00376B02">
              <w:t xml:space="preserve"> 2014</w:t>
            </w:r>
          </w:p>
        </w:tc>
      </w:tr>
    </w:tbl>
    <w:p w14:paraId="472214CC" w14:textId="77777777" w:rsidR="00783047" w:rsidRPr="00640DCD" w:rsidRDefault="00783047" w:rsidP="00783047">
      <w:pPr>
        <w:rPr>
          <w:vanish/>
        </w:rPr>
      </w:pPr>
    </w:p>
    <w:tbl>
      <w:tblPr>
        <w:tblpPr w:leftFromText="8505" w:vertAnchor="page" w:horzAnchor="page" w:tblpX="1248" w:tblpY="4401"/>
        <w:tblW w:w="9397" w:type="dxa"/>
        <w:tblLayout w:type="fixed"/>
        <w:tblCellMar>
          <w:left w:w="0" w:type="dxa"/>
          <w:right w:w="0" w:type="dxa"/>
        </w:tblCellMar>
        <w:tblLook w:val="01E0" w:firstRow="1" w:lastRow="1" w:firstColumn="1" w:lastColumn="1" w:noHBand="0" w:noVBand="0"/>
      </w:tblPr>
      <w:tblGrid>
        <w:gridCol w:w="9397"/>
      </w:tblGrid>
      <w:tr w:rsidR="00783047" w:rsidRPr="00E679BA" w14:paraId="628C2A0F" w14:textId="77777777" w:rsidTr="00926354">
        <w:trPr>
          <w:trHeight w:hRule="exact" w:val="1209"/>
        </w:trPr>
        <w:tc>
          <w:tcPr>
            <w:tcW w:w="9397" w:type="dxa"/>
            <w:vAlign w:val="bottom"/>
          </w:tcPr>
          <w:p w14:paraId="0184BF50" w14:textId="1124AC24" w:rsidR="00783047" w:rsidRDefault="004F3FB0" w:rsidP="00926354">
            <w:pPr>
              <w:pStyle w:val="01aDBTitle"/>
            </w:pPr>
            <w:r>
              <w:t xml:space="preserve">Luxembourg Bankers’ Association – the ABBL </w:t>
            </w:r>
            <w:r w:rsidR="00783047">
              <w:t xml:space="preserve">Reply form for the </w:t>
            </w:r>
          </w:p>
          <w:p w14:paraId="5CAC1470" w14:textId="77777777" w:rsidR="00783047" w:rsidRDefault="00783047" w:rsidP="00926354">
            <w:pPr>
              <w:pStyle w:val="01aDBTitle"/>
            </w:pPr>
            <w:r>
              <w:t>T</w:t>
            </w:r>
            <w:r w:rsidRPr="008319C1">
              <w:t xml:space="preserve">echnical </w:t>
            </w:r>
            <w:r>
              <w:t>A</w:t>
            </w:r>
            <w:r w:rsidRPr="008319C1">
              <w:t>dvice the on delegated acts r</w:t>
            </w:r>
            <w:r w:rsidRPr="008319C1">
              <w:t>e</w:t>
            </w:r>
            <w:r w:rsidRPr="008319C1">
              <w:t>quired by the UCITS V Directive</w:t>
            </w:r>
            <w:r w:rsidRPr="00C8677B">
              <w:t xml:space="preserve"> </w:t>
            </w:r>
          </w:p>
          <w:p w14:paraId="5098E541" w14:textId="77777777" w:rsidR="00783047" w:rsidRDefault="00783047" w:rsidP="00926354">
            <w:pPr>
              <w:pStyle w:val="01aDBTitle"/>
            </w:pPr>
            <w:r>
              <w:t xml:space="preserve"> </w:t>
            </w:r>
          </w:p>
          <w:p w14:paraId="149FC861" w14:textId="77777777" w:rsidR="00783047" w:rsidRDefault="00783047" w:rsidP="00926354">
            <w:pPr>
              <w:pStyle w:val="01aDBTitle"/>
            </w:pPr>
            <w:r>
              <w:t>Template for comments</w:t>
            </w:r>
          </w:p>
          <w:p w14:paraId="50D6FBF1" w14:textId="77777777" w:rsidR="00783047" w:rsidRPr="00E679BA" w:rsidRDefault="00783047" w:rsidP="00926354">
            <w:pPr>
              <w:pStyle w:val="01aDBTitle"/>
            </w:pPr>
            <w:r>
              <w:t>for the ESMA MiFID II/MiFIR Discussion P</w:t>
            </w:r>
            <w:r>
              <w:t>a</w:t>
            </w:r>
            <w:r>
              <w:t xml:space="preserve">per  </w:t>
            </w:r>
            <w:r w:rsidRPr="00E679BA">
              <w:t xml:space="preserve"> </w:t>
            </w:r>
          </w:p>
        </w:tc>
      </w:tr>
      <w:tr w:rsidR="00783047" w:rsidRPr="00E679BA" w14:paraId="624CCA08" w14:textId="77777777" w:rsidTr="00926354">
        <w:trPr>
          <w:trHeight w:hRule="exact" w:val="605"/>
        </w:trPr>
        <w:tc>
          <w:tcPr>
            <w:tcW w:w="9397" w:type="dxa"/>
            <w:tcMar>
              <w:top w:w="142" w:type="dxa"/>
            </w:tcMar>
          </w:tcPr>
          <w:p w14:paraId="363675AA" w14:textId="77777777" w:rsidR="00783047" w:rsidRPr="00E679BA" w:rsidRDefault="00783047" w:rsidP="00926354">
            <w:pPr>
              <w:pStyle w:val="01bDBSubtitle"/>
            </w:pPr>
            <w:r w:rsidRPr="00E679BA">
              <w:t xml:space="preserve"> </w:t>
            </w:r>
          </w:p>
        </w:tc>
      </w:tr>
    </w:tbl>
    <w:p w14:paraId="36EF757D" w14:textId="77777777" w:rsidR="00783047" w:rsidRPr="00E679BA" w:rsidRDefault="00783047" w:rsidP="00783047">
      <w:pPr>
        <w:pStyle w:val="05HeadlinenoIndex"/>
        <w:sectPr w:rsidR="00783047" w:rsidRPr="00E679BA" w:rsidSect="00926354">
          <w:headerReference w:type="default" r:id="rId8"/>
          <w:footerReference w:type="default" r:id="rId9"/>
          <w:headerReference w:type="first" r:id="rId10"/>
          <w:footerReference w:type="first" r:id="rId11"/>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783047" w:rsidRPr="00E679BA" w14:paraId="5CD7BDFF" w14:textId="77777777" w:rsidTr="00926354">
        <w:trPr>
          <w:trHeight w:hRule="exact" w:val="964"/>
        </w:trPr>
        <w:tc>
          <w:tcPr>
            <w:tcW w:w="2325" w:type="dxa"/>
          </w:tcPr>
          <w:p w14:paraId="1B7B1B6C" w14:textId="77777777" w:rsidR="00783047" w:rsidRPr="00E679BA" w:rsidRDefault="00783047" w:rsidP="00926354">
            <w:pPr>
              <w:pStyle w:val="02Date"/>
            </w:pPr>
            <w:r w:rsidRPr="00222D9B">
              <w:lastRenderedPageBreak/>
              <w:t xml:space="preserve">Date: </w:t>
            </w:r>
            <w:r>
              <w:t>26 September</w:t>
            </w:r>
            <w:r w:rsidRPr="00222D9B">
              <w:t xml:space="preserve"> 2014</w:t>
            </w:r>
          </w:p>
        </w:tc>
      </w:tr>
    </w:tbl>
    <w:p w14:paraId="5BA0CF94" w14:textId="77777777" w:rsidR="00783047" w:rsidRDefault="00783047" w:rsidP="00783047">
      <w:pPr>
        <w:pStyle w:val="05HeadlinenoIndex"/>
      </w:pPr>
      <w:bookmarkStart w:id="0" w:name="_Toc280628648"/>
    </w:p>
    <w:p w14:paraId="434848D7" w14:textId="77777777" w:rsidR="00783047" w:rsidRPr="00321CD3" w:rsidRDefault="00783047" w:rsidP="00783047">
      <w:pPr>
        <w:pStyle w:val="05HeadlinenoIndex"/>
      </w:pPr>
      <w:r>
        <w:br w:type="page"/>
      </w:r>
      <w:r w:rsidRPr="00321CD3">
        <w:t xml:space="preserve">Responding to this paper </w:t>
      </w:r>
    </w:p>
    <w:p w14:paraId="471F4569" w14:textId="77777777" w:rsidR="00783047" w:rsidRDefault="00783047" w:rsidP="00783047">
      <w:pPr>
        <w:pStyle w:val="04BodyText"/>
        <w:spacing w:before="120" w:after="120"/>
      </w:pPr>
      <w:r w:rsidRPr="00321CD3">
        <w:t>The European Securities and Markets Autho</w:t>
      </w:r>
      <w:r>
        <w:t>rity (ESMA) invites responses</w:t>
      </w:r>
      <w:r w:rsidRPr="00321CD3">
        <w:t xml:space="preserve"> </w:t>
      </w:r>
      <w:r>
        <w:t xml:space="preserve">to </w:t>
      </w:r>
      <w:r w:rsidRPr="00321CD3">
        <w:t xml:space="preserve">the specific questions listed in </w:t>
      </w:r>
      <w:r>
        <w:t xml:space="preserve">the ESMA </w:t>
      </w:r>
      <w:r w:rsidRPr="0060674A">
        <w:t xml:space="preserve">Consultation Paper - </w:t>
      </w:r>
      <w:r w:rsidRPr="00F23C3D">
        <w:t>ESMA's technical advice to the European Commission on delegated acts required by the UCITS V Directive</w:t>
      </w:r>
      <w:r>
        <w:t xml:space="preserve">, </w:t>
      </w:r>
      <w:r w:rsidRPr="00015B5E">
        <w:t>published</w:t>
      </w:r>
      <w:r>
        <w:t xml:space="preserve"> on the ESMA website (</w:t>
      </w:r>
      <w:hyperlink r:id="rId12" w:history="1">
        <w:r w:rsidRPr="00015B5E">
          <w:rPr>
            <w:rStyle w:val="Hyperlink"/>
          </w:rPr>
          <w:t>he</w:t>
        </w:r>
        <w:r w:rsidRPr="00015B5E">
          <w:rPr>
            <w:rStyle w:val="Hyperlink"/>
          </w:rPr>
          <w:t>r</w:t>
        </w:r>
        <w:r w:rsidRPr="00015B5E">
          <w:rPr>
            <w:rStyle w:val="Hyperlink"/>
          </w:rPr>
          <w:t>e</w:t>
        </w:r>
      </w:hyperlink>
      <w:r>
        <w:t>).</w:t>
      </w:r>
    </w:p>
    <w:p w14:paraId="15B696CD" w14:textId="77777777" w:rsidR="00783047" w:rsidRDefault="00783047" w:rsidP="00783047">
      <w:pPr>
        <w:pStyle w:val="04BodyText"/>
        <w:spacing w:before="120" w:after="120"/>
      </w:pPr>
    </w:p>
    <w:p w14:paraId="18C3FF28" w14:textId="77777777" w:rsidR="00783047" w:rsidRPr="00F574D0" w:rsidRDefault="00783047" w:rsidP="00783047">
      <w:pPr>
        <w:autoSpaceDE w:val="0"/>
        <w:autoSpaceDN w:val="0"/>
        <w:adjustRightInd w:val="0"/>
        <w:spacing w:before="120" w:after="120" w:line="276" w:lineRule="auto"/>
        <w:jc w:val="both"/>
        <w:rPr>
          <w:rFonts w:cs="Georgia"/>
          <w:b/>
          <w:bCs/>
          <w:i/>
          <w:color w:val="000000"/>
          <w:szCs w:val="20"/>
          <w:lang w:eastAsia="en-GB"/>
        </w:rPr>
      </w:pPr>
      <w:r w:rsidRPr="00F574D0">
        <w:rPr>
          <w:rFonts w:cs="Georgia"/>
          <w:b/>
          <w:bCs/>
          <w:i/>
          <w:color w:val="000000"/>
          <w:szCs w:val="20"/>
          <w:lang w:eastAsia="en-GB"/>
        </w:rPr>
        <w:t>Instructions</w:t>
      </w:r>
    </w:p>
    <w:p w14:paraId="32205C5A" w14:textId="77777777" w:rsidR="00783047" w:rsidRPr="0081710D" w:rsidRDefault="00783047" w:rsidP="00783047">
      <w:pPr>
        <w:pStyle w:val="04BodyText"/>
        <w:spacing w:before="120" w:after="120"/>
      </w:pPr>
      <w:r w:rsidRPr="00D75FEE">
        <w:t xml:space="preserve">Please note that, in order to facilitate the analysis of the large number of responses expected, you are requested to use this file to send your response to ESMA so as to allow us to process it properly. Therefore, please follow </w:t>
      </w:r>
      <w:r>
        <w:t>the instructions described below</w:t>
      </w:r>
      <w:r w:rsidRPr="0081710D">
        <w:t>:</w:t>
      </w:r>
    </w:p>
    <w:p w14:paraId="1E83B2BA" w14:textId="77777777" w:rsidR="00783047" w:rsidRPr="00C0197A" w:rsidRDefault="00783047" w:rsidP="00783047">
      <w:pPr>
        <w:pStyle w:val="04bList"/>
        <w:numPr>
          <w:ilvl w:val="0"/>
          <w:numId w:val="2"/>
        </w:numPr>
        <w:spacing w:before="120" w:after="120"/>
        <w:ind w:left="720"/>
      </w:pPr>
      <w:r w:rsidRPr="00C0197A">
        <w:t xml:space="preserve">use this </w:t>
      </w:r>
      <w:r>
        <w:t>form</w:t>
      </w:r>
      <w:r w:rsidRPr="00C0197A">
        <w:t xml:space="preserve"> and send </w:t>
      </w:r>
      <w:r>
        <w:t>your</w:t>
      </w:r>
      <w:r w:rsidRPr="00C0197A">
        <w:t xml:space="preserve"> response</w:t>
      </w:r>
      <w:r>
        <w:t>s</w:t>
      </w:r>
      <w:r w:rsidRPr="00C0197A">
        <w:t xml:space="preserve"> in Word format;</w:t>
      </w:r>
    </w:p>
    <w:p w14:paraId="3D6C4EBB" w14:textId="77777777" w:rsidR="00783047" w:rsidRPr="0081710D" w:rsidRDefault="00783047" w:rsidP="00783047">
      <w:pPr>
        <w:pStyle w:val="04bList"/>
        <w:numPr>
          <w:ilvl w:val="0"/>
          <w:numId w:val="2"/>
        </w:numPr>
        <w:spacing w:before="120" w:after="120"/>
        <w:ind w:left="720"/>
      </w:pPr>
      <w:r>
        <w:t xml:space="preserve">do </w:t>
      </w:r>
      <w:r w:rsidRPr="0081710D">
        <w:t>not remove the tags of type &lt;</w:t>
      </w:r>
      <w:r w:rsidRPr="00395EF9">
        <w:t xml:space="preserve"> </w:t>
      </w:r>
      <w:r>
        <w:t>ESMA_UCITS_QUESTION_</w:t>
      </w:r>
      <w:r w:rsidRPr="0081710D">
        <w:t>1&gt; - i.e. the response to one que</w:t>
      </w:r>
      <w:r w:rsidRPr="0081710D">
        <w:t>s</w:t>
      </w:r>
      <w:r w:rsidRPr="0081710D">
        <w:t>tion has to be framed by the 2 tags corresponding to the question; and</w:t>
      </w:r>
    </w:p>
    <w:p w14:paraId="7F152882" w14:textId="77777777" w:rsidR="00783047" w:rsidRPr="0081710D" w:rsidRDefault="00783047" w:rsidP="00783047">
      <w:pPr>
        <w:pStyle w:val="04bList"/>
        <w:numPr>
          <w:ilvl w:val="0"/>
          <w:numId w:val="2"/>
        </w:numPr>
        <w:spacing w:before="120" w:after="120"/>
        <w:ind w:left="720"/>
      </w:pPr>
      <w:r w:rsidRPr="0081710D">
        <w:t xml:space="preserve">if </w:t>
      </w:r>
      <w:r>
        <w:t>you do not have a</w:t>
      </w:r>
      <w:r w:rsidRPr="0081710D">
        <w:t xml:space="preserve"> response to a question, </w:t>
      </w:r>
      <w:r>
        <w:t xml:space="preserve">do </w:t>
      </w:r>
      <w:r w:rsidRPr="0081710D">
        <w:t>not delete it and leave the text “TYPE YOUR TEXT HERE” between the tags.</w:t>
      </w:r>
    </w:p>
    <w:p w14:paraId="69BFF57D" w14:textId="77777777" w:rsidR="00783047" w:rsidRPr="0081710D" w:rsidRDefault="00783047" w:rsidP="00783047">
      <w:pPr>
        <w:pStyle w:val="04bList"/>
        <w:numPr>
          <w:ilvl w:val="0"/>
          <w:numId w:val="0"/>
        </w:numPr>
        <w:spacing w:before="120" w:after="120"/>
      </w:pPr>
      <w:r w:rsidRPr="0081710D">
        <w:t>Responses are most helpful:</w:t>
      </w:r>
    </w:p>
    <w:p w14:paraId="0439BCC4" w14:textId="77777777" w:rsidR="00783047" w:rsidRPr="0081710D" w:rsidRDefault="00783047" w:rsidP="00783047">
      <w:pPr>
        <w:pStyle w:val="04bList"/>
        <w:numPr>
          <w:ilvl w:val="0"/>
          <w:numId w:val="5"/>
        </w:numPr>
        <w:spacing w:before="120" w:after="120"/>
      </w:pPr>
      <w:r w:rsidRPr="0081710D">
        <w:t>if they respond to the question stated;</w:t>
      </w:r>
    </w:p>
    <w:p w14:paraId="360B6473" w14:textId="77777777" w:rsidR="00783047" w:rsidRPr="0081710D" w:rsidRDefault="00783047" w:rsidP="00783047">
      <w:pPr>
        <w:pStyle w:val="04bList"/>
        <w:numPr>
          <w:ilvl w:val="0"/>
          <w:numId w:val="5"/>
        </w:numPr>
        <w:spacing w:before="120" w:after="120"/>
      </w:pPr>
      <w:r w:rsidRPr="0081710D">
        <w:t>contain a clear rationale, including on any related costs and benefits; and</w:t>
      </w:r>
    </w:p>
    <w:p w14:paraId="6E1960EC" w14:textId="77777777" w:rsidR="00783047" w:rsidRPr="0081710D" w:rsidRDefault="00783047" w:rsidP="00783047">
      <w:pPr>
        <w:pStyle w:val="04bList"/>
        <w:numPr>
          <w:ilvl w:val="0"/>
          <w:numId w:val="5"/>
        </w:numPr>
        <w:spacing w:before="120" w:after="120"/>
      </w:pPr>
      <w:r w:rsidRPr="0081710D">
        <w:t>describe any alternatives that ESMA should consider</w:t>
      </w:r>
    </w:p>
    <w:p w14:paraId="5EA83312" w14:textId="77777777" w:rsidR="00783047" w:rsidRDefault="00783047" w:rsidP="00783047">
      <w:pPr>
        <w:pStyle w:val="04bList"/>
        <w:numPr>
          <w:ilvl w:val="0"/>
          <w:numId w:val="0"/>
        </w:numPr>
        <w:spacing w:before="120" w:after="120"/>
      </w:pPr>
      <w:r w:rsidRPr="0081710D">
        <w:t>Given the breadth of issues covered, ESMA expects and encourages respondents to specially answer those questions relevant to their business, interest and experience.</w:t>
      </w:r>
    </w:p>
    <w:p w14:paraId="75BC24C2" w14:textId="77777777" w:rsidR="00783047" w:rsidRPr="0081710D" w:rsidRDefault="00783047" w:rsidP="00783047">
      <w:pPr>
        <w:pStyle w:val="04bList"/>
        <w:numPr>
          <w:ilvl w:val="0"/>
          <w:numId w:val="0"/>
        </w:numPr>
        <w:spacing w:before="120" w:after="120"/>
      </w:pPr>
      <w:r w:rsidRPr="004E1A0F">
        <w:t>To help you navigate this document more easily, bookmarks are available in “Navigation Pane” for Word 2010 and in “Document Map” for Word 2007.</w:t>
      </w:r>
    </w:p>
    <w:p w14:paraId="4DDB23E8" w14:textId="77777777" w:rsidR="00783047" w:rsidRPr="0081710D" w:rsidRDefault="00783047" w:rsidP="00783047">
      <w:pPr>
        <w:pStyle w:val="04BodyText"/>
        <w:spacing w:before="120" w:after="120"/>
      </w:pPr>
      <w:r w:rsidRPr="0081710D">
        <w:t xml:space="preserve">Responses must reach us by </w:t>
      </w:r>
      <w:r>
        <w:rPr>
          <w:b/>
        </w:rPr>
        <w:t xml:space="preserve">24 October </w:t>
      </w:r>
      <w:r w:rsidRPr="0081710D">
        <w:rPr>
          <w:b/>
        </w:rPr>
        <w:t>2014</w:t>
      </w:r>
      <w:r w:rsidRPr="0081710D">
        <w:t xml:space="preserve">. </w:t>
      </w:r>
    </w:p>
    <w:p w14:paraId="6AFD57D1" w14:textId="77777777" w:rsidR="00783047" w:rsidRDefault="00783047" w:rsidP="00783047">
      <w:pPr>
        <w:pStyle w:val="04BodyText"/>
        <w:spacing w:before="120" w:after="120"/>
      </w:pPr>
      <w:r w:rsidRPr="00321CD3">
        <w:t xml:space="preserve">All contributions should be submitted online at </w:t>
      </w:r>
      <w:hyperlink r:id="rId13" w:history="1">
        <w:r w:rsidRPr="00321CD3">
          <w:rPr>
            <w:rStyle w:val="Hyperlink"/>
          </w:rPr>
          <w:t>www.esma.europa.eu</w:t>
        </w:r>
      </w:hyperlink>
      <w:r w:rsidRPr="00321CD3">
        <w:t xml:space="preserve"> under the heading ‘Your i</w:t>
      </w:r>
      <w:r w:rsidRPr="00321CD3">
        <w:t>n</w:t>
      </w:r>
      <w:r w:rsidRPr="00321CD3">
        <w:t xml:space="preserve">put/Consultations’. </w:t>
      </w:r>
    </w:p>
    <w:p w14:paraId="141ED348" w14:textId="77777777" w:rsidR="00783047" w:rsidRPr="00321CD3" w:rsidRDefault="00783047" w:rsidP="00783047">
      <w:pPr>
        <w:pStyle w:val="04BodyText"/>
        <w:spacing w:before="120" w:after="120"/>
      </w:pPr>
    </w:p>
    <w:p w14:paraId="7D9C296D" w14:textId="77777777" w:rsidR="00783047" w:rsidRPr="00F574D0" w:rsidRDefault="00783047" w:rsidP="00783047">
      <w:pPr>
        <w:autoSpaceDE w:val="0"/>
        <w:autoSpaceDN w:val="0"/>
        <w:adjustRightInd w:val="0"/>
        <w:spacing w:before="120" w:after="120" w:line="276" w:lineRule="auto"/>
        <w:jc w:val="both"/>
        <w:rPr>
          <w:rFonts w:cs="Georgia"/>
          <w:b/>
          <w:bCs/>
          <w:i/>
          <w:color w:val="000000"/>
          <w:szCs w:val="20"/>
          <w:lang w:eastAsia="en-GB"/>
        </w:rPr>
      </w:pPr>
      <w:bookmarkStart w:id="1" w:name="_Toc335141334"/>
      <w:r w:rsidRPr="00F574D0">
        <w:rPr>
          <w:rFonts w:cs="Georgia"/>
          <w:b/>
          <w:bCs/>
          <w:i/>
          <w:color w:val="000000"/>
          <w:szCs w:val="20"/>
          <w:lang w:eastAsia="en-GB"/>
        </w:rPr>
        <w:t>Publication of responses</w:t>
      </w:r>
      <w:bookmarkEnd w:id="1"/>
    </w:p>
    <w:p w14:paraId="6AEE243F" w14:textId="77777777" w:rsidR="00783047" w:rsidRDefault="00783047" w:rsidP="00783047">
      <w:pPr>
        <w:pStyle w:val="04BodyText"/>
        <w:spacing w:before="120" w:after="120"/>
      </w:pPr>
      <w:r w:rsidRPr="0081710D">
        <w:t xml:space="preserve">All contributions received will be published following the end of the consultation period, unless otherwise requested. </w:t>
      </w:r>
      <w:r w:rsidRPr="0081710D">
        <w:rPr>
          <w:b/>
        </w:rPr>
        <w:t>Please clearly indicate by ticking the appropriate checkbox in the website submission form if you do not wish your contribution to be publicly disclosed. A standard conf</w:t>
      </w:r>
      <w:r w:rsidRPr="0081710D">
        <w:rPr>
          <w:b/>
        </w:rPr>
        <w:t>i</w:t>
      </w:r>
      <w:r w:rsidRPr="0081710D">
        <w:rPr>
          <w:b/>
        </w:rPr>
        <w:t>dentiality statement in an email message will not be treated as a request for non-disclosure.</w:t>
      </w:r>
      <w:r w:rsidRPr="0081710D">
        <w:t xml:space="preserve"> Note also that a confidential response may be requested from us in accordance with ESMA’s rules on access to documents. We may consult you if we receive such a request. Any decision we make is reviewable by ESMA’s Board of Appeal and the European Ombudsman.</w:t>
      </w:r>
    </w:p>
    <w:p w14:paraId="4CF16339" w14:textId="77777777" w:rsidR="00783047" w:rsidRPr="0081710D" w:rsidRDefault="00783047" w:rsidP="00783047">
      <w:pPr>
        <w:pStyle w:val="04BodyText"/>
        <w:spacing w:before="120" w:after="120"/>
      </w:pPr>
    </w:p>
    <w:p w14:paraId="63784F8E" w14:textId="77777777" w:rsidR="00783047" w:rsidRPr="00F574D0" w:rsidRDefault="00783047" w:rsidP="00783047">
      <w:pPr>
        <w:autoSpaceDE w:val="0"/>
        <w:autoSpaceDN w:val="0"/>
        <w:adjustRightInd w:val="0"/>
        <w:spacing w:before="120" w:after="120" w:line="276" w:lineRule="auto"/>
        <w:jc w:val="both"/>
        <w:rPr>
          <w:rFonts w:cs="Georgia"/>
          <w:b/>
          <w:bCs/>
          <w:i/>
          <w:color w:val="000000"/>
          <w:szCs w:val="20"/>
          <w:lang w:eastAsia="en-GB"/>
        </w:rPr>
      </w:pPr>
      <w:bookmarkStart w:id="2" w:name="_Toc335141335"/>
      <w:r w:rsidRPr="00F574D0">
        <w:rPr>
          <w:rFonts w:cs="Georgia"/>
          <w:b/>
          <w:bCs/>
          <w:i/>
          <w:color w:val="000000"/>
          <w:szCs w:val="20"/>
          <w:lang w:eastAsia="en-GB"/>
        </w:rPr>
        <w:t>Data protection</w:t>
      </w:r>
      <w:bookmarkEnd w:id="2"/>
    </w:p>
    <w:p w14:paraId="1990F03A" w14:textId="77777777" w:rsidR="00783047" w:rsidRDefault="00783047" w:rsidP="00783047">
      <w:pPr>
        <w:autoSpaceDE w:val="0"/>
        <w:autoSpaceDN w:val="0"/>
        <w:adjustRightInd w:val="0"/>
        <w:spacing w:before="120" w:after="120" w:line="276" w:lineRule="auto"/>
        <w:jc w:val="both"/>
        <w:rPr>
          <w:szCs w:val="20"/>
        </w:rPr>
      </w:pPr>
      <w:r w:rsidRPr="00321CD3">
        <w:rPr>
          <w:szCs w:val="20"/>
        </w:rPr>
        <w:t xml:space="preserve">Information on data protection can be found at </w:t>
      </w:r>
      <w:hyperlink r:id="rId14" w:history="1">
        <w:r w:rsidRPr="00321CD3">
          <w:rPr>
            <w:rStyle w:val="Hyperlink"/>
            <w:szCs w:val="20"/>
          </w:rPr>
          <w:t>www.esma.europa.eu</w:t>
        </w:r>
      </w:hyperlink>
      <w:r w:rsidRPr="00321CD3">
        <w:rPr>
          <w:szCs w:val="20"/>
        </w:rPr>
        <w:t xml:space="preserve"> under the heading ‘Disclaimer’.</w:t>
      </w:r>
    </w:p>
    <w:p w14:paraId="685C9B4A" w14:textId="77777777" w:rsidR="00783047" w:rsidRDefault="00783047" w:rsidP="00783047">
      <w:pPr>
        <w:pStyle w:val="Heading5"/>
        <w:keepNext w:val="0"/>
        <w:keepLines w:val="0"/>
        <w:numPr>
          <w:ilvl w:val="0"/>
          <w:numId w:val="0"/>
        </w:numPr>
        <w:spacing w:after="250" w:line="276" w:lineRule="auto"/>
      </w:pPr>
      <w:r w:rsidRPr="00321CD3">
        <w:br w:type="page"/>
      </w:r>
      <w:bookmarkStart w:id="3" w:name="_Toc398029983"/>
      <w:bookmarkEnd w:id="0"/>
      <w:r>
        <w:t xml:space="preserve">III. </w:t>
      </w:r>
      <w:r w:rsidRPr="00D72304">
        <w:t>Advice on the insolvency protection of UCITS assets when delegating safekee</w:t>
      </w:r>
      <w:r w:rsidRPr="00D72304">
        <w:t>p</w:t>
      </w:r>
      <w:r w:rsidRPr="00D72304">
        <w:t>ing (Art. 22a(3)(e)</w:t>
      </w:r>
      <w:r w:rsidRPr="00D72304">
        <w:rPr>
          <w:vertAlign w:val="superscript"/>
        </w:rPr>
        <w:footnoteReference w:id="1"/>
      </w:r>
      <w:r w:rsidRPr="00D72304">
        <w:t xml:space="preserve"> and 26b(e) UCITS V)</w:t>
      </w:r>
      <w:bookmarkEnd w:id="3"/>
    </w:p>
    <w:p w14:paraId="43BE44E4" w14:textId="77777777" w:rsidR="00783047" w:rsidRDefault="00783047" w:rsidP="00783047">
      <w:pPr>
        <w:pStyle w:val="Heading5"/>
        <w:keepNext w:val="0"/>
        <w:keepLines w:val="0"/>
        <w:numPr>
          <w:ilvl w:val="0"/>
          <w:numId w:val="6"/>
        </w:numPr>
        <w:spacing w:after="250" w:line="276" w:lineRule="auto"/>
        <w:ind w:left="0" w:firstLine="0"/>
      </w:pPr>
      <w:r>
        <w:t>Do you agree that the steps to be taken by the third party are ultimately intended to ensure that the level of segregation foreseen under 22a(3)(d) of the UCITS Directive is recognised in the context of an insolvency proceeding involving the third party?</w:t>
      </w:r>
    </w:p>
    <w:p w14:paraId="7565C4F4" w14:textId="77777777" w:rsidR="00783047" w:rsidRDefault="00783047" w:rsidP="00783047">
      <w:r>
        <w:t>&lt;ESMA_UCITS_QUESTION_1&gt;</w:t>
      </w:r>
    </w:p>
    <w:p w14:paraId="5C41B495" w14:textId="77777777" w:rsidR="00926354" w:rsidRPr="00756A35" w:rsidRDefault="00926354" w:rsidP="00926354">
      <w:pPr>
        <w:spacing w:line="360" w:lineRule="auto"/>
        <w:contextualSpacing/>
        <w:jc w:val="both"/>
        <w:rPr>
          <w:rFonts w:cs="Arial"/>
          <w:szCs w:val="22"/>
        </w:rPr>
      </w:pPr>
      <w:r w:rsidRPr="00756A35">
        <w:rPr>
          <w:rFonts w:cs="Arial"/>
          <w:szCs w:val="22"/>
        </w:rPr>
        <w:t xml:space="preserve">Yes, the aim is to ensure protection against insolvency of an operator in the custody chain. This said the ABBL considers that current requirements are clear enough and </w:t>
      </w:r>
      <w:r>
        <w:rPr>
          <w:rFonts w:cs="Arial"/>
          <w:szCs w:val="22"/>
        </w:rPr>
        <w:t>should</w:t>
      </w:r>
      <w:r w:rsidRPr="00756A35">
        <w:rPr>
          <w:rFonts w:cs="Arial"/>
          <w:szCs w:val="22"/>
        </w:rPr>
        <w:t xml:space="preserve"> not justify further segregation rules. Notably segregation rules shall mitigate the impact on the reduced efficiency and take into account the </w:t>
      </w:r>
      <w:r>
        <w:rPr>
          <w:rFonts w:cs="Arial"/>
          <w:szCs w:val="22"/>
        </w:rPr>
        <w:t xml:space="preserve">already strong </w:t>
      </w:r>
      <w:r w:rsidRPr="00756A35">
        <w:rPr>
          <w:rFonts w:cs="Arial"/>
          <w:szCs w:val="22"/>
        </w:rPr>
        <w:t>protection regimes</w:t>
      </w:r>
      <w:r>
        <w:rPr>
          <w:rFonts w:cs="Arial"/>
          <w:szCs w:val="22"/>
        </w:rPr>
        <w:t xml:space="preserve"> currently existing in the EU</w:t>
      </w:r>
      <w:r w:rsidRPr="00756A35">
        <w:rPr>
          <w:rFonts w:cs="Arial"/>
          <w:szCs w:val="22"/>
        </w:rPr>
        <w:t xml:space="preserve">. </w:t>
      </w:r>
    </w:p>
    <w:p w14:paraId="5FB9A05A" w14:textId="77777777" w:rsidR="00926354" w:rsidRPr="00756A35" w:rsidRDefault="00926354" w:rsidP="00926354">
      <w:pPr>
        <w:spacing w:line="360" w:lineRule="auto"/>
        <w:contextualSpacing/>
        <w:jc w:val="both"/>
        <w:rPr>
          <w:rFonts w:cs="Arial"/>
          <w:szCs w:val="22"/>
        </w:rPr>
      </w:pPr>
    </w:p>
    <w:p w14:paraId="6F498FEF" w14:textId="77777777" w:rsidR="00926354" w:rsidRPr="00756A35" w:rsidRDefault="00926354" w:rsidP="00926354">
      <w:pPr>
        <w:spacing w:line="360" w:lineRule="auto"/>
        <w:contextualSpacing/>
        <w:jc w:val="both"/>
        <w:rPr>
          <w:rFonts w:cs="Arial"/>
          <w:szCs w:val="22"/>
        </w:rPr>
      </w:pPr>
      <w:r w:rsidRPr="00756A35">
        <w:rPr>
          <w:rFonts w:cs="Arial"/>
          <w:szCs w:val="22"/>
        </w:rPr>
        <w:t xml:space="preserve">The ABBL considers that the aim is to preserve clients’ assets is largely covered under EU laws </w:t>
      </w:r>
      <w:r>
        <w:rPr>
          <w:rFonts w:cs="Arial"/>
          <w:szCs w:val="22"/>
        </w:rPr>
        <w:t xml:space="preserve">(or Member States laws) </w:t>
      </w:r>
      <w:r w:rsidRPr="00756A35">
        <w:rPr>
          <w:rFonts w:cs="Arial"/>
          <w:szCs w:val="22"/>
        </w:rPr>
        <w:t xml:space="preserve">where assets are held for the account of clients (including funds) but do not become the property of the depositary (or sub-custodian). </w:t>
      </w:r>
      <w:r>
        <w:rPr>
          <w:rFonts w:cs="Arial"/>
          <w:szCs w:val="22"/>
        </w:rPr>
        <w:t>As a principle, t</w:t>
      </w:r>
      <w:r w:rsidRPr="00756A35">
        <w:rPr>
          <w:rFonts w:cs="Arial"/>
          <w:szCs w:val="22"/>
        </w:rPr>
        <w:t xml:space="preserve">he ABBL further considers that it is up to each layer in the </w:t>
      </w:r>
      <w:r>
        <w:rPr>
          <w:rFonts w:cs="Arial"/>
          <w:szCs w:val="22"/>
        </w:rPr>
        <w:t xml:space="preserve">custody </w:t>
      </w:r>
      <w:r w:rsidRPr="00756A35">
        <w:rPr>
          <w:rFonts w:cs="Arial"/>
          <w:szCs w:val="22"/>
        </w:rPr>
        <w:t xml:space="preserve">chain to ensure that assets are duly identified and </w:t>
      </w:r>
      <w:r>
        <w:rPr>
          <w:rFonts w:cs="Arial"/>
          <w:szCs w:val="22"/>
        </w:rPr>
        <w:t>taken care of</w:t>
      </w:r>
      <w:r w:rsidRPr="00756A35">
        <w:rPr>
          <w:rFonts w:cs="Arial"/>
          <w:szCs w:val="22"/>
        </w:rPr>
        <w:t>, putting this task at the top of the chain depositary may create unnecessary burden that increased investor protection</w:t>
      </w:r>
      <w:r>
        <w:rPr>
          <w:rFonts w:cs="Arial"/>
          <w:szCs w:val="22"/>
        </w:rPr>
        <w:t xml:space="preserve"> as elusive as it could be</w:t>
      </w:r>
      <w:r w:rsidRPr="00756A35">
        <w:rPr>
          <w:rFonts w:cs="Arial"/>
          <w:szCs w:val="22"/>
        </w:rPr>
        <w:t xml:space="preserve"> may not </w:t>
      </w:r>
      <w:r>
        <w:rPr>
          <w:rFonts w:cs="Arial"/>
          <w:szCs w:val="22"/>
        </w:rPr>
        <w:t>justified</w:t>
      </w:r>
      <w:r w:rsidRPr="00756A35">
        <w:rPr>
          <w:rFonts w:cs="Arial"/>
          <w:szCs w:val="22"/>
        </w:rPr>
        <w:t>. This does not prevent the depositary of the fund to ask for information about the funds assets and receive an answer in a reasonable delay.</w:t>
      </w:r>
    </w:p>
    <w:p w14:paraId="7423AB99" w14:textId="77777777" w:rsidR="00926354" w:rsidRPr="00756A35" w:rsidRDefault="00926354" w:rsidP="00926354">
      <w:pPr>
        <w:spacing w:line="360" w:lineRule="auto"/>
        <w:contextualSpacing/>
        <w:jc w:val="both"/>
        <w:rPr>
          <w:rFonts w:cs="Arial"/>
          <w:szCs w:val="22"/>
        </w:rPr>
      </w:pPr>
    </w:p>
    <w:p w14:paraId="177AFC74" w14:textId="77777777" w:rsidR="00926354" w:rsidRPr="00756A35" w:rsidRDefault="00926354" w:rsidP="00926354">
      <w:pPr>
        <w:spacing w:line="360" w:lineRule="auto"/>
        <w:contextualSpacing/>
        <w:jc w:val="both"/>
        <w:rPr>
          <w:rFonts w:cs="Arial"/>
          <w:szCs w:val="22"/>
        </w:rPr>
      </w:pPr>
      <w:r>
        <w:rPr>
          <w:rFonts w:cs="Arial"/>
          <w:szCs w:val="22"/>
        </w:rPr>
        <w:t>The Association</w:t>
      </w:r>
      <w:r w:rsidRPr="00756A35">
        <w:rPr>
          <w:rFonts w:cs="Arial"/>
          <w:szCs w:val="22"/>
        </w:rPr>
        <w:t xml:space="preserve"> would also like to remind ESMA that </w:t>
      </w:r>
      <w:r>
        <w:rPr>
          <w:rFonts w:cs="Arial"/>
          <w:szCs w:val="22"/>
        </w:rPr>
        <w:t xml:space="preserve">the </w:t>
      </w:r>
      <w:r w:rsidRPr="00756A35">
        <w:rPr>
          <w:rFonts w:cs="Arial"/>
          <w:szCs w:val="22"/>
        </w:rPr>
        <w:t>risk o</w:t>
      </w:r>
      <w:r>
        <w:rPr>
          <w:rFonts w:cs="Arial"/>
          <w:szCs w:val="22"/>
        </w:rPr>
        <w:t>f</w:t>
      </w:r>
      <w:r w:rsidRPr="00756A35">
        <w:rPr>
          <w:rFonts w:cs="Arial"/>
          <w:szCs w:val="22"/>
        </w:rPr>
        <w:t xml:space="preserve"> insolvency come mostly from the legal context in which the fund is investing</w:t>
      </w:r>
      <w:r>
        <w:rPr>
          <w:rFonts w:cs="Arial"/>
          <w:szCs w:val="22"/>
        </w:rPr>
        <w:t>,</w:t>
      </w:r>
      <w:r w:rsidRPr="00756A35">
        <w:rPr>
          <w:rFonts w:cs="Arial"/>
          <w:szCs w:val="22"/>
        </w:rPr>
        <w:t xml:space="preserve"> a</w:t>
      </w:r>
      <w:r>
        <w:rPr>
          <w:rFonts w:cs="Arial"/>
          <w:szCs w:val="22"/>
        </w:rPr>
        <w:t>s the</w:t>
      </w:r>
      <w:r w:rsidRPr="00756A35">
        <w:rPr>
          <w:rFonts w:cs="Arial"/>
          <w:szCs w:val="22"/>
        </w:rPr>
        <w:t xml:space="preserve"> decision </w:t>
      </w:r>
      <w:r>
        <w:rPr>
          <w:rFonts w:cs="Arial"/>
          <w:szCs w:val="22"/>
        </w:rPr>
        <w:t xml:space="preserve">is </w:t>
      </w:r>
      <w:r w:rsidRPr="00756A35">
        <w:rPr>
          <w:rFonts w:cs="Arial"/>
          <w:szCs w:val="22"/>
        </w:rPr>
        <w:t>not influence</w:t>
      </w:r>
      <w:r>
        <w:rPr>
          <w:rFonts w:cs="Arial"/>
          <w:szCs w:val="22"/>
        </w:rPr>
        <w:t>d</w:t>
      </w:r>
      <w:r w:rsidRPr="00756A35">
        <w:rPr>
          <w:rFonts w:cs="Arial"/>
          <w:szCs w:val="22"/>
        </w:rPr>
        <w:t xml:space="preserve"> by the depositary</w:t>
      </w:r>
      <w:r>
        <w:rPr>
          <w:rFonts w:cs="Arial"/>
          <w:szCs w:val="22"/>
        </w:rPr>
        <w:t>,</w:t>
      </w:r>
      <w:r w:rsidRPr="00756A35">
        <w:rPr>
          <w:rFonts w:cs="Arial"/>
          <w:szCs w:val="22"/>
        </w:rPr>
        <w:t xml:space="preserve"> as evidenced in the IOSCO client protection assets paper: </w:t>
      </w:r>
      <w:r w:rsidRPr="00756A35">
        <w:rPr>
          <w:rFonts w:cs="Arial"/>
        </w:rPr>
        <w:t>“</w:t>
      </w:r>
      <w:r w:rsidRPr="00756A35">
        <w:rPr>
          <w:rFonts w:cs="Arial"/>
          <w:i/>
        </w:rPr>
        <w:t>where assets are held in foreign jurisdictions, there may be specific country risks that should be taken into account, e.g. the effectiveness of the local regulatory regime, whether a judgement can be enforced effectively and other factors that make it difficult to repatriate CIS assets</w:t>
      </w:r>
      <w:r w:rsidRPr="00756A35">
        <w:rPr>
          <w:rStyle w:val="FootnoteReference"/>
          <w:rFonts w:cs="Arial"/>
          <w:i/>
        </w:rPr>
        <w:footnoteReference w:id="2"/>
      </w:r>
      <w:r w:rsidRPr="00756A35">
        <w:rPr>
          <w:rFonts w:cs="Arial"/>
        </w:rPr>
        <w:t>”</w:t>
      </w:r>
      <w:r w:rsidRPr="00756A35">
        <w:rPr>
          <w:rFonts w:cs="Arial"/>
          <w:szCs w:val="22"/>
        </w:rPr>
        <w:t>. With the best due diligence process if there is a change in the legal regime of the country where assets are invested and that foresee</w:t>
      </w:r>
      <w:r>
        <w:rPr>
          <w:rFonts w:cs="Arial"/>
          <w:szCs w:val="22"/>
        </w:rPr>
        <w:t>s</w:t>
      </w:r>
      <w:r w:rsidRPr="00756A35">
        <w:rPr>
          <w:rFonts w:cs="Arial"/>
          <w:szCs w:val="22"/>
        </w:rPr>
        <w:t xml:space="preserve"> a potential change of property in case of insolvency, the depositary of the funds can probably do nothing, unless it </w:t>
      </w:r>
      <w:r>
        <w:rPr>
          <w:rFonts w:cs="Arial"/>
          <w:szCs w:val="22"/>
        </w:rPr>
        <w:t>is willing to</w:t>
      </w:r>
      <w:r w:rsidRPr="00756A35">
        <w:rPr>
          <w:rFonts w:cs="Arial"/>
          <w:szCs w:val="22"/>
        </w:rPr>
        <w:t xml:space="preserve"> infringe a third country law</w:t>
      </w:r>
      <w:r>
        <w:rPr>
          <w:rFonts w:cs="Arial"/>
          <w:szCs w:val="22"/>
        </w:rPr>
        <w:t xml:space="preserve"> and certainly moving assets to an alternative custodian will not solve the issue and moving assets out of a country is not a credible option</w:t>
      </w:r>
      <w:r w:rsidRPr="00756A35">
        <w:rPr>
          <w:rFonts w:cs="Arial"/>
          <w:szCs w:val="22"/>
        </w:rPr>
        <w:t>.</w:t>
      </w:r>
    </w:p>
    <w:p w14:paraId="6433A8F5" w14:textId="77777777" w:rsidR="00926354" w:rsidRPr="00756A35" w:rsidRDefault="00926354" w:rsidP="00926354">
      <w:pPr>
        <w:spacing w:line="360" w:lineRule="auto"/>
        <w:contextualSpacing/>
        <w:jc w:val="both"/>
        <w:rPr>
          <w:rFonts w:cs="Arial"/>
          <w:szCs w:val="22"/>
        </w:rPr>
      </w:pPr>
    </w:p>
    <w:p w14:paraId="2CE5AF66" w14:textId="77777777" w:rsidR="00926354" w:rsidRPr="00756A35" w:rsidRDefault="00926354" w:rsidP="00926354">
      <w:pPr>
        <w:spacing w:line="360" w:lineRule="auto"/>
        <w:contextualSpacing/>
        <w:jc w:val="both"/>
        <w:rPr>
          <w:rFonts w:cs="Arial"/>
          <w:szCs w:val="22"/>
        </w:rPr>
      </w:pPr>
      <w:r w:rsidRPr="00756A35">
        <w:rPr>
          <w:rFonts w:cs="Arial"/>
          <w:szCs w:val="22"/>
        </w:rPr>
        <w:t>Although there may be some further analysis to be made whereas the assets that are used for margining under EMIR regulation or similar and where through financial transactions assets property may be transferred, the ABBL considers that again these shall be addressed by the relevant entity in the custody chain and that EMIR and other regulation are requiring high levels of documentation which shall remedy past situations.</w:t>
      </w:r>
    </w:p>
    <w:p w14:paraId="0286A138" w14:textId="77777777" w:rsidR="00926354" w:rsidRPr="00756A35" w:rsidRDefault="00926354" w:rsidP="00926354">
      <w:pPr>
        <w:spacing w:line="360" w:lineRule="auto"/>
        <w:contextualSpacing/>
        <w:jc w:val="both"/>
        <w:rPr>
          <w:rFonts w:cs="Arial"/>
          <w:szCs w:val="22"/>
        </w:rPr>
      </w:pPr>
    </w:p>
    <w:p w14:paraId="01E38790" w14:textId="77777777" w:rsidR="00926354" w:rsidRPr="00756A35" w:rsidRDefault="00926354" w:rsidP="00926354">
      <w:pPr>
        <w:spacing w:line="360" w:lineRule="auto"/>
        <w:contextualSpacing/>
        <w:jc w:val="both"/>
        <w:rPr>
          <w:rFonts w:cs="Arial"/>
          <w:szCs w:val="22"/>
        </w:rPr>
      </w:pPr>
      <w:r w:rsidRPr="00756A35">
        <w:rPr>
          <w:rFonts w:cs="Arial"/>
          <w:szCs w:val="22"/>
        </w:rPr>
        <w:t>To conclude on these questions, the ABBL considers that assets are largely protected by the rules, included into the broader legal framework of assets regulation.</w:t>
      </w:r>
    </w:p>
    <w:p w14:paraId="10D444DB" w14:textId="77777777" w:rsidR="00783047" w:rsidRDefault="00783047" w:rsidP="00783047">
      <w:r>
        <w:t>&lt;ESMA_UCITS_QUESTION_1&gt;</w:t>
      </w:r>
    </w:p>
    <w:p w14:paraId="3A62501C" w14:textId="77777777" w:rsidR="00783047" w:rsidRDefault="00783047" w:rsidP="00783047"/>
    <w:p w14:paraId="68A80A1F" w14:textId="77777777" w:rsidR="00783047" w:rsidRDefault="00783047" w:rsidP="00783047">
      <w:pPr>
        <w:pStyle w:val="Heading5"/>
        <w:keepNext w:val="0"/>
        <w:keepLines w:val="0"/>
        <w:numPr>
          <w:ilvl w:val="0"/>
          <w:numId w:val="6"/>
        </w:numPr>
        <w:spacing w:after="250" w:line="276" w:lineRule="auto"/>
        <w:ind w:left="0" w:firstLine="0"/>
      </w:pPr>
      <w:r>
        <w:t>Do you consider that the level of segregation foreseen under Art 22a(3)(d) of the UCITS Directive should protect UCITS assets from claims by creditors of an insolvent third party which had been delegated the safekeeping of the assets by the UCITS' depos</w:t>
      </w:r>
      <w:r>
        <w:t>i</w:t>
      </w:r>
      <w:r>
        <w:t>tary?</w:t>
      </w:r>
    </w:p>
    <w:p w14:paraId="1199279F" w14:textId="77777777" w:rsidR="00783047" w:rsidRDefault="00783047" w:rsidP="00783047">
      <w:r>
        <w:t>&lt;ESMA_UCITS_QUESTION_2&gt;</w:t>
      </w:r>
    </w:p>
    <w:p w14:paraId="3B91C8DE" w14:textId="77777777" w:rsidR="00783047" w:rsidRDefault="00926354" w:rsidP="00783047">
      <w:r>
        <w:t>See Answer to Q 1</w:t>
      </w:r>
    </w:p>
    <w:p w14:paraId="62D3B8C6" w14:textId="77777777" w:rsidR="00783047" w:rsidRDefault="00783047" w:rsidP="00783047">
      <w:r>
        <w:t>&lt;ESMA_UCITS_QUESTION_2&gt;</w:t>
      </w:r>
    </w:p>
    <w:p w14:paraId="6F6472BF" w14:textId="77777777" w:rsidR="00783047" w:rsidRDefault="00783047" w:rsidP="00783047"/>
    <w:p w14:paraId="7B92FC06" w14:textId="77777777" w:rsidR="00783047" w:rsidRDefault="00783047" w:rsidP="00783047">
      <w:pPr>
        <w:pStyle w:val="Heading5"/>
        <w:keepNext w:val="0"/>
        <w:keepLines w:val="0"/>
        <w:numPr>
          <w:ilvl w:val="0"/>
          <w:numId w:val="6"/>
        </w:numPr>
        <w:spacing w:after="250" w:line="276" w:lineRule="auto"/>
        <w:ind w:left="0" w:firstLine="0"/>
      </w:pPr>
      <w:r>
        <w:t>Are there other measures which could also help achieve this objective?</w:t>
      </w:r>
    </w:p>
    <w:p w14:paraId="50DB6F16" w14:textId="77777777" w:rsidR="00783047" w:rsidRDefault="00783047" w:rsidP="00783047">
      <w:r>
        <w:t>&lt;ESMA_UCITS_QUESTION_3&gt;</w:t>
      </w:r>
    </w:p>
    <w:p w14:paraId="0D41710B" w14:textId="77777777" w:rsidR="00926354" w:rsidRDefault="00926354" w:rsidP="00926354">
      <w:r>
        <w:t>See Answer to Q 1</w:t>
      </w:r>
    </w:p>
    <w:p w14:paraId="229A6281" w14:textId="77777777" w:rsidR="00783047" w:rsidRDefault="00783047" w:rsidP="00783047">
      <w:r>
        <w:t>&lt;ESMA_UCITS_QUESTION_3&gt;</w:t>
      </w:r>
    </w:p>
    <w:p w14:paraId="17C1A87C" w14:textId="77777777" w:rsidR="00783047" w:rsidRDefault="00783047" w:rsidP="00783047"/>
    <w:p w14:paraId="7B696AAB" w14:textId="77777777" w:rsidR="00783047" w:rsidRDefault="00783047" w:rsidP="00783047">
      <w:pPr>
        <w:pStyle w:val="Heading5"/>
        <w:keepNext w:val="0"/>
        <w:keepLines w:val="0"/>
        <w:numPr>
          <w:ilvl w:val="0"/>
          <w:numId w:val="6"/>
        </w:numPr>
        <w:spacing w:after="250" w:line="276" w:lineRule="auto"/>
        <w:ind w:left="0" w:firstLine="0"/>
      </w:pPr>
      <w:r>
        <w:t>Do you agree with the steps to be taken by the third party as identified above? If not, please explain the reasons.</w:t>
      </w:r>
    </w:p>
    <w:p w14:paraId="162E2938" w14:textId="77777777" w:rsidR="00783047" w:rsidRDefault="00783047" w:rsidP="00783047">
      <w:r>
        <w:t>&lt;ESMA_UCITS_QUESTION_4&gt;</w:t>
      </w:r>
    </w:p>
    <w:p w14:paraId="03F01001" w14:textId="77777777" w:rsidR="00D536FD" w:rsidRDefault="00D536FD" w:rsidP="00D536FD">
      <w:pPr>
        <w:spacing w:line="360" w:lineRule="auto"/>
        <w:contextualSpacing/>
        <w:jc w:val="both"/>
        <w:rPr>
          <w:rFonts w:cs="Arial"/>
          <w:szCs w:val="22"/>
        </w:rPr>
      </w:pPr>
      <w:r w:rsidRPr="00756A35">
        <w:rPr>
          <w:rFonts w:cs="Arial"/>
          <w:szCs w:val="22"/>
        </w:rPr>
        <w:t xml:space="preserve">Not </w:t>
      </w:r>
      <w:r>
        <w:rPr>
          <w:rFonts w:cs="Arial"/>
          <w:szCs w:val="22"/>
        </w:rPr>
        <w:t>fully</w:t>
      </w:r>
      <w:r w:rsidRPr="00756A35">
        <w:rPr>
          <w:rFonts w:cs="Arial"/>
          <w:szCs w:val="22"/>
        </w:rPr>
        <w:t>, UCITS text imposes obligation to the depositary which in turn shall contract with its delegates, obligations, rights and duties apply at each level</w:t>
      </w:r>
      <w:r>
        <w:rPr>
          <w:rFonts w:cs="Arial"/>
          <w:szCs w:val="22"/>
        </w:rPr>
        <w:t>,</w:t>
      </w:r>
      <w:r w:rsidRPr="00756A35">
        <w:rPr>
          <w:rFonts w:cs="Arial"/>
          <w:szCs w:val="22"/>
        </w:rPr>
        <w:t xml:space="preserve"> </w:t>
      </w:r>
      <w:r>
        <w:rPr>
          <w:rFonts w:cs="Arial"/>
          <w:szCs w:val="22"/>
        </w:rPr>
        <w:t xml:space="preserve">the assumption shall not be that the </w:t>
      </w:r>
      <w:r w:rsidRPr="00756A35">
        <w:rPr>
          <w:rFonts w:cs="Arial"/>
          <w:szCs w:val="22"/>
        </w:rPr>
        <w:t xml:space="preserve">fund depositary </w:t>
      </w:r>
      <w:r>
        <w:rPr>
          <w:rFonts w:cs="Arial"/>
          <w:szCs w:val="22"/>
        </w:rPr>
        <w:t xml:space="preserve">has to </w:t>
      </w:r>
      <w:r w:rsidRPr="00756A35">
        <w:rPr>
          <w:rFonts w:cs="Arial"/>
          <w:szCs w:val="22"/>
        </w:rPr>
        <w:t>know all about all assets at all time across the value chain</w:t>
      </w:r>
      <w:r>
        <w:rPr>
          <w:rFonts w:cs="Arial"/>
          <w:szCs w:val="22"/>
        </w:rPr>
        <w:t xml:space="preserve"> unless it has a request, these obligations shall be evidence by a contract notably to ensure that UCITS requirements are applied by other parties in the custody chain</w:t>
      </w:r>
      <w:r w:rsidRPr="00756A35">
        <w:rPr>
          <w:rFonts w:cs="Arial"/>
          <w:szCs w:val="22"/>
        </w:rPr>
        <w:t xml:space="preserve">. </w:t>
      </w:r>
    </w:p>
    <w:p w14:paraId="2BA2B4DB" w14:textId="77777777" w:rsidR="00D536FD" w:rsidRDefault="00D536FD" w:rsidP="00D536FD">
      <w:pPr>
        <w:spacing w:line="360" w:lineRule="auto"/>
        <w:contextualSpacing/>
        <w:jc w:val="both"/>
        <w:rPr>
          <w:rFonts w:cs="Arial"/>
          <w:szCs w:val="22"/>
        </w:rPr>
      </w:pPr>
    </w:p>
    <w:p w14:paraId="1C00FBC5" w14:textId="77777777" w:rsidR="00D536FD" w:rsidRPr="00756A35" w:rsidRDefault="00D536FD" w:rsidP="00D536FD">
      <w:pPr>
        <w:spacing w:line="360" w:lineRule="auto"/>
        <w:contextualSpacing/>
        <w:jc w:val="both"/>
        <w:rPr>
          <w:rFonts w:cs="Arial"/>
          <w:szCs w:val="22"/>
        </w:rPr>
      </w:pPr>
      <w:r w:rsidRPr="00756A35">
        <w:rPr>
          <w:rFonts w:cs="Arial"/>
          <w:szCs w:val="22"/>
        </w:rPr>
        <w:t>Furthermore</w:t>
      </w:r>
      <w:r>
        <w:rPr>
          <w:rFonts w:cs="Arial"/>
          <w:szCs w:val="22"/>
        </w:rPr>
        <w:t>,</w:t>
      </w:r>
      <w:r w:rsidRPr="00756A35">
        <w:rPr>
          <w:rFonts w:cs="Arial"/>
          <w:szCs w:val="22"/>
        </w:rPr>
        <w:t xml:space="preserve"> as principles</w:t>
      </w:r>
      <w:r>
        <w:rPr>
          <w:rFonts w:cs="Arial"/>
          <w:szCs w:val="22"/>
        </w:rPr>
        <w:t xml:space="preserve"> the </w:t>
      </w:r>
      <w:r w:rsidRPr="00756A35">
        <w:rPr>
          <w:rFonts w:cs="Arial"/>
          <w:szCs w:val="22"/>
        </w:rPr>
        <w:t xml:space="preserve">IOSCO standards </w:t>
      </w:r>
      <w:r>
        <w:rPr>
          <w:rFonts w:cs="Arial"/>
          <w:szCs w:val="22"/>
        </w:rPr>
        <w:t xml:space="preserve">used as reference </w:t>
      </w:r>
      <w:r w:rsidRPr="00756A35">
        <w:rPr>
          <w:rFonts w:cs="Arial"/>
          <w:szCs w:val="22"/>
        </w:rPr>
        <w:t xml:space="preserve">shall first and foremost </w:t>
      </w:r>
      <w:r>
        <w:rPr>
          <w:rFonts w:cs="Arial"/>
          <w:szCs w:val="22"/>
        </w:rPr>
        <w:t>be understood to apply</w:t>
      </w:r>
      <w:r w:rsidRPr="00756A35">
        <w:rPr>
          <w:rFonts w:cs="Arial"/>
          <w:szCs w:val="22"/>
        </w:rPr>
        <w:t xml:space="preserve"> to retail clients’ assets not for fund structures. Although the principles are agreeable, the techniques behind ensuring they are effective much depends on the level of prescription and details required.</w:t>
      </w:r>
    </w:p>
    <w:p w14:paraId="6CC76F9C" w14:textId="77777777" w:rsidR="00D536FD" w:rsidRPr="00756A35" w:rsidRDefault="00D536FD" w:rsidP="00D536FD">
      <w:pPr>
        <w:spacing w:line="360" w:lineRule="auto"/>
        <w:contextualSpacing/>
        <w:jc w:val="both"/>
        <w:rPr>
          <w:rFonts w:cs="Arial"/>
          <w:szCs w:val="22"/>
        </w:rPr>
      </w:pPr>
    </w:p>
    <w:p w14:paraId="3A11929B" w14:textId="77777777" w:rsidR="00D536FD" w:rsidRPr="00756A35" w:rsidRDefault="00D536FD" w:rsidP="00D536FD">
      <w:pPr>
        <w:spacing w:line="360" w:lineRule="auto"/>
        <w:contextualSpacing/>
        <w:jc w:val="both"/>
        <w:rPr>
          <w:rFonts w:cs="Arial"/>
          <w:szCs w:val="22"/>
        </w:rPr>
      </w:pPr>
      <w:r w:rsidRPr="00756A35">
        <w:rPr>
          <w:rFonts w:cs="Arial"/>
          <w:szCs w:val="22"/>
        </w:rPr>
        <w:t>The ABBL consideration</w:t>
      </w:r>
      <w:r>
        <w:rPr>
          <w:rFonts w:cs="Arial"/>
          <w:szCs w:val="22"/>
        </w:rPr>
        <w:t>s</w:t>
      </w:r>
      <w:r w:rsidRPr="00756A35">
        <w:rPr>
          <w:rFonts w:cs="Arial"/>
          <w:szCs w:val="22"/>
        </w:rPr>
        <w:t xml:space="preserve"> are that first it is required to know who is in charge of decision making and what process needs to be followed. </w:t>
      </w:r>
      <w:r>
        <w:rPr>
          <w:rFonts w:cs="Arial"/>
          <w:szCs w:val="22"/>
        </w:rPr>
        <w:t>Any</w:t>
      </w:r>
      <w:r w:rsidRPr="00756A35">
        <w:rPr>
          <w:rFonts w:cs="Arial"/>
          <w:szCs w:val="22"/>
        </w:rPr>
        <w:t xml:space="preserve"> investment process starts with the decision of an asset manger based on client demand to go for a given market, asset class…</w:t>
      </w:r>
    </w:p>
    <w:p w14:paraId="4F32238B" w14:textId="77777777" w:rsidR="00D536FD" w:rsidRPr="00756A35" w:rsidRDefault="00D536FD" w:rsidP="00D536FD">
      <w:pPr>
        <w:spacing w:line="360" w:lineRule="auto"/>
        <w:contextualSpacing/>
        <w:jc w:val="both"/>
        <w:rPr>
          <w:rFonts w:cs="Arial"/>
          <w:szCs w:val="22"/>
        </w:rPr>
      </w:pPr>
    </w:p>
    <w:p w14:paraId="518A602A" w14:textId="77777777" w:rsidR="00D536FD" w:rsidRPr="00756A35" w:rsidRDefault="00D536FD" w:rsidP="00D536FD">
      <w:pPr>
        <w:spacing w:line="360" w:lineRule="auto"/>
        <w:contextualSpacing/>
        <w:jc w:val="both"/>
        <w:rPr>
          <w:rFonts w:cs="Arial"/>
          <w:szCs w:val="22"/>
        </w:rPr>
      </w:pPr>
      <w:r w:rsidRPr="00756A35">
        <w:rPr>
          <w:rFonts w:cs="Arial"/>
          <w:szCs w:val="22"/>
        </w:rPr>
        <w:t>In addition</w:t>
      </w:r>
      <w:r>
        <w:rPr>
          <w:rFonts w:cs="Arial"/>
          <w:szCs w:val="22"/>
        </w:rPr>
        <w:t>,</w:t>
      </w:r>
      <w:r w:rsidRPr="00756A35">
        <w:rPr>
          <w:rFonts w:cs="Arial"/>
          <w:szCs w:val="22"/>
        </w:rPr>
        <w:t xml:space="preserve"> if the depositary is mandated to conduct analysis, the corollary is that there may be additional responsibilities, or simply </w:t>
      </w:r>
      <w:r>
        <w:rPr>
          <w:rFonts w:cs="Arial"/>
          <w:szCs w:val="22"/>
        </w:rPr>
        <w:t xml:space="preserve">a process to </w:t>
      </w:r>
      <w:r w:rsidRPr="00756A35">
        <w:rPr>
          <w:rFonts w:cs="Arial"/>
          <w:szCs w:val="22"/>
        </w:rPr>
        <w:t xml:space="preserve">manage the outcome, the ABBL is not sure that the depositary </w:t>
      </w:r>
      <w:r>
        <w:rPr>
          <w:rFonts w:cs="Arial"/>
          <w:szCs w:val="22"/>
        </w:rPr>
        <w:t xml:space="preserve">has also </w:t>
      </w:r>
      <w:r w:rsidRPr="00756A35">
        <w:rPr>
          <w:rFonts w:cs="Arial"/>
          <w:szCs w:val="22"/>
        </w:rPr>
        <w:t xml:space="preserve">to inform all funds stakeholders. The Depositary duties shall be the design of an efficient and secure network, it can alert, be informed… but it can hardly impose its </w:t>
      </w:r>
      <w:r>
        <w:rPr>
          <w:rFonts w:cs="Arial"/>
          <w:szCs w:val="22"/>
        </w:rPr>
        <w:t>choices</w:t>
      </w:r>
      <w:r w:rsidRPr="00756A35">
        <w:rPr>
          <w:rFonts w:cs="Arial"/>
          <w:szCs w:val="22"/>
        </w:rPr>
        <w:t xml:space="preserve"> to the management company of a fund, that itself invests on behalf of investors.</w:t>
      </w:r>
    </w:p>
    <w:p w14:paraId="44980ED6" w14:textId="77777777" w:rsidR="00D536FD" w:rsidRPr="00756A35" w:rsidRDefault="00D536FD" w:rsidP="00D536FD">
      <w:pPr>
        <w:spacing w:line="360" w:lineRule="auto"/>
        <w:contextualSpacing/>
        <w:jc w:val="both"/>
        <w:rPr>
          <w:rFonts w:cs="Arial"/>
          <w:szCs w:val="22"/>
        </w:rPr>
      </w:pPr>
    </w:p>
    <w:p w14:paraId="187E10F2" w14:textId="77777777" w:rsidR="00D536FD" w:rsidRPr="00756A35" w:rsidRDefault="00D536FD" w:rsidP="00D536FD">
      <w:pPr>
        <w:spacing w:line="360" w:lineRule="auto"/>
        <w:contextualSpacing/>
        <w:jc w:val="both"/>
        <w:rPr>
          <w:rFonts w:cs="Arial"/>
          <w:szCs w:val="22"/>
        </w:rPr>
      </w:pPr>
      <w:r>
        <w:rPr>
          <w:rFonts w:cs="Arial"/>
          <w:szCs w:val="22"/>
        </w:rPr>
        <w:t>The ABBL thinks that</w:t>
      </w:r>
      <w:r w:rsidRPr="00756A35">
        <w:rPr>
          <w:rFonts w:cs="Arial"/>
          <w:szCs w:val="22"/>
        </w:rPr>
        <w:t xml:space="preserve">, there are at the very least two </w:t>
      </w:r>
      <w:r w:rsidR="00D0217F" w:rsidRPr="00756A35">
        <w:rPr>
          <w:rFonts w:cs="Arial"/>
          <w:szCs w:val="22"/>
        </w:rPr>
        <w:t>scenarios</w:t>
      </w:r>
      <w:r w:rsidRPr="00756A35">
        <w:rPr>
          <w:rFonts w:cs="Arial"/>
          <w:szCs w:val="22"/>
        </w:rPr>
        <w:t xml:space="preserve"> that shall be taken into account:</w:t>
      </w:r>
    </w:p>
    <w:p w14:paraId="375CC84A" w14:textId="77777777" w:rsidR="00D536FD" w:rsidRPr="00756A35" w:rsidRDefault="00D536FD" w:rsidP="00D536FD">
      <w:pPr>
        <w:numPr>
          <w:ilvl w:val="0"/>
          <w:numId w:val="7"/>
        </w:numPr>
        <w:spacing w:line="360" w:lineRule="auto"/>
        <w:ind w:firstLine="0"/>
        <w:contextualSpacing/>
        <w:jc w:val="both"/>
        <w:rPr>
          <w:rFonts w:cs="Arial"/>
          <w:szCs w:val="22"/>
        </w:rPr>
      </w:pPr>
      <w:r w:rsidRPr="00756A35">
        <w:rPr>
          <w:rFonts w:cs="Arial"/>
          <w:szCs w:val="22"/>
        </w:rPr>
        <w:t>In certain markets (primarily emerging markets), financial instruments are in registered form and the registration process may take some time (sometimes several weeks) before instruments are registered in the name of the new owner. During re-registration, stocks are not available for sale.</w:t>
      </w:r>
    </w:p>
    <w:p w14:paraId="7D7C9772" w14:textId="77777777" w:rsidR="00D536FD" w:rsidRPr="00756A35" w:rsidRDefault="00D536FD" w:rsidP="00D536FD">
      <w:pPr>
        <w:spacing w:line="360" w:lineRule="auto"/>
        <w:ind w:left="360"/>
        <w:contextualSpacing/>
        <w:jc w:val="both"/>
        <w:rPr>
          <w:rFonts w:cs="Arial"/>
          <w:szCs w:val="22"/>
        </w:rPr>
      </w:pPr>
      <w:r w:rsidRPr="00756A35">
        <w:rPr>
          <w:rFonts w:cs="Arial"/>
          <w:szCs w:val="22"/>
        </w:rPr>
        <w:t>Some investment managers who want to retain flexibility specifically ask their depositaries to not register stocks, which may entail the risk of losing dividends or corporate actions. Having stocks in unregistered form might also (to be checked) complicate return of the client asset.</w:t>
      </w:r>
    </w:p>
    <w:p w14:paraId="2FCAE514" w14:textId="77777777" w:rsidR="00D536FD" w:rsidRPr="00756A35" w:rsidRDefault="00D536FD" w:rsidP="00D536FD">
      <w:pPr>
        <w:spacing w:line="360" w:lineRule="auto"/>
        <w:ind w:left="360"/>
        <w:contextualSpacing/>
        <w:jc w:val="both"/>
        <w:rPr>
          <w:rFonts w:cs="Arial"/>
          <w:szCs w:val="22"/>
        </w:rPr>
      </w:pPr>
      <w:r w:rsidRPr="00756A35">
        <w:rPr>
          <w:rFonts w:cs="Arial"/>
          <w:szCs w:val="22"/>
        </w:rPr>
        <w:t>Would it still be an acceptable practice to keep stocks in un-registered form?</w:t>
      </w:r>
    </w:p>
    <w:p w14:paraId="15C30310" w14:textId="77777777" w:rsidR="00D536FD" w:rsidRPr="00756A35" w:rsidRDefault="00D536FD" w:rsidP="00D536FD">
      <w:pPr>
        <w:spacing w:line="360" w:lineRule="auto"/>
        <w:ind w:left="360"/>
        <w:contextualSpacing/>
        <w:jc w:val="both"/>
        <w:rPr>
          <w:rFonts w:cs="Arial"/>
          <w:szCs w:val="22"/>
        </w:rPr>
      </w:pPr>
    </w:p>
    <w:p w14:paraId="75594BA2" w14:textId="77777777" w:rsidR="00D536FD" w:rsidRPr="00756A35" w:rsidRDefault="00D536FD" w:rsidP="00D536FD">
      <w:pPr>
        <w:numPr>
          <w:ilvl w:val="0"/>
          <w:numId w:val="7"/>
        </w:numPr>
        <w:spacing w:line="360" w:lineRule="auto"/>
        <w:ind w:firstLine="0"/>
        <w:contextualSpacing/>
        <w:jc w:val="both"/>
        <w:rPr>
          <w:rFonts w:cs="Arial"/>
          <w:szCs w:val="22"/>
        </w:rPr>
      </w:pPr>
      <w:r w:rsidRPr="00756A35">
        <w:rPr>
          <w:rFonts w:cs="Arial"/>
          <w:szCs w:val="22"/>
        </w:rPr>
        <w:t>In some markets, stocks are subject to a ceiling on foreign ownership (to be checked whether the concept of local/ foreign shares still exists in some Asian markets, other markets typically refer have various types of “restricted” securities). In the situation where the maximum threshold for foreign ownership has been reached, stocks will typically remain in “local” registered status, which may again possibly entail a loss of dividends and corporate actions. Having stocks with a local status might also (to be checked) complicate return of the client asset.</w:t>
      </w:r>
    </w:p>
    <w:p w14:paraId="7DB78959" w14:textId="77777777" w:rsidR="00783047" w:rsidRDefault="00783047" w:rsidP="00783047">
      <w:r>
        <w:t>&lt;ESMA_UCITS_QUESTION_4&gt;</w:t>
      </w:r>
    </w:p>
    <w:p w14:paraId="051D1325" w14:textId="77777777" w:rsidR="00783047" w:rsidRDefault="00783047" w:rsidP="00783047"/>
    <w:p w14:paraId="47743700" w14:textId="77777777" w:rsidR="00783047" w:rsidRDefault="00783047" w:rsidP="00783047">
      <w:pPr>
        <w:pStyle w:val="Heading5"/>
        <w:keepNext w:val="0"/>
        <w:keepLines w:val="0"/>
        <w:numPr>
          <w:ilvl w:val="0"/>
          <w:numId w:val="6"/>
        </w:numPr>
        <w:spacing w:after="250" w:line="276" w:lineRule="auto"/>
        <w:ind w:left="0" w:firstLine="0"/>
      </w:pPr>
      <w:r>
        <w:t>Do you consider that there are any specific difficulties that may arise in verifying the applicable insolvency regime that makes the proposed rules difficult to be complied with? In particular, do you consider the requirement for the third party located in a j</w:t>
      </w:r>
      <w:r>
        <w:t>u</w:t>
      </w:r>
      <w:r>
        <w:t>risdiction outside the Union to obtain independent legal advice could give rise to speci</w:t>
      </w:r>
      <w:r>
        <w:t>f</w:t>
      </w:r>
      <w:r>
        <w:t>ic issues?</w:t>
      </w:r>
    </w:p>
    <w:p w14:paraId="506EDC8E" w14:textId="77777777" w:rsidR="00783047" w:rsidRDefault="00783047" w:rsidP="00783047">
      <w:r>
        <w:t>&lt;ESMA_UCITS_QUESTION_5&gt;</w:t>
      </w:r>
    </w:p>
    <w:p w14:paraId="48102075" w14:textId="77777777" w:rsidR="00D536FD" w:rsidRPr="00756A35" w:rsidRDefault="00D536FD" w:rsidP="00D536FD">
      <w:pPr>
        <w:spacing w:line="360" w:lineRule="auto"/>
        <w:contextualSpacing/>
        <w:jc w:val="both"/>
        <w:rPr>
          <w:rFonts w:cs="Arial"/>
          <w:szCs w:val="22"/>
        </w:rPr>
      </w:pPr>
    </w:p>
    <w:p w14:paraId="2DB9FF6C" w14:textId="77777777" w:rsidR="00D536FD" w:rsidRDefault="00D536FD" w:rsidP="00D536FD">
      <w:pPr>
        <w:spacing w:line="360" w:lineRule="auto"/>
        <w:contextualSpacing/>
        <w:jc w:val="both"/>
        <w:rPr>
          <w:rFonts w:cs="Arial"/>
          <w:szCs w:val="22"/>
        </w:rPr>
      </w:pPr>
      <w:r w:rsidRPr="00756A35">
        <w:rPr>
          <w:rFonts w:cs="Arial"/>
          <w:szCs w:val="22"/>
        </w:rPr>
        <w:t>The workload of the verification as envisaged shall not be underestimated, there would be an initial work to be done and then to ensure continuity, via annual review for example</w:t>
      </w:r>
      <w:r>
        <w:rPr>
          <w:rFonts w:cs="Arial"/>
          <w:szCs w:val="22"/>
        </w:rPr>
        <w:t>, although depending on each market review may ideally be less frequent</w:t>
      </w:r>
      <w:r w:rsidRPr="00756A35">
        <w:rPr>
          <w:rFonts w:cs="Arial"/>
          <w:szCs w:val="22"/>
        </w:rPr>
        <w:t>.</w:t>
      </w:r>
    </w:p>
    <w:p w14:paraId="5388A0AF" w14:textId="77777777" w:rsidR="00387072" w:rsidRDefault="00387072" w:rsidP="00387072">
      <w:pPr>
        <w:spacing w:line="360" w:lineRule="auto"/>
        <w:contextualSpacing/>
        <w:jc w:val="both"/>
        <w:rPr>
          <w:rFonts w:cs="Arial"/>
          <w:szCs w:val="22"/>
        </w:rPr>
      </w:pPr>
    </w:p>
    <w:p w14:paraId="3B893A3B" w14:textId="77777777" w:rsidR="00387072" w:rsidRPr="00756A35" w:rsidRDefault="00387072" w:rsidP="00387072">
      <w:pPr>
        <w:spacing w:line="360" w:lineRule="auto"/>
        <w:contextualSpacing/>
        <w:jc w:val="both"/>
        <w:rPr>
          <w:rFonts w:cs="Arial"/>
          <w:szCs w:val="22"/>
        </w:rPr>
      </w:pPr>
      <w:r>
        <w:rPr>
          <w:rFonts w:cs="Arial"/>
          <w:szCs w:val="22"/>
        </w:rPr>
        <w:t>A practical</w:t>
      </w:r>
      <w:r w:rsidRPr="00756A35">
        <w:rPr>
          <w:rFonts w:cs="Arial"/>
          <w:szCs w:val="22"/>
        </w:rPr>
        <w:t xml:space="preserve"> issue</w:t>
      </w:r>
      <w:r>
        <w:rPr>
          <w:rFonts w:cs="Arial"/>
          <w:szCs w:val="22"/>
        </w:rPr>
        <w:t xml:space="preserve"> to keep in mind is:</w:t>
      </w:r>
      <w:r w:rsidRPr="00756A35">
        <w:rPr>
          <w:rFonts w:cs="Arial"/>
          <w:szCs w:val="22"/>
        </w:rPr>
        <w:t xml:space="preserve"> what may be done on that basis</w:t>
      </w:r>
      <w:r>
        <w:rPr>
          <w:rFonts w:cs="Arial"/>
          <w:szCs w:val="22"/>
        </w:rPr>
        <w:t>?</w:t>
      </w:r>
      <w:r w:rsidRPr="00756A35">
        <w:rPr>
          <w:rFonts w:cs="Arial"/>
          <w:szCs w:val="22"/>
        </w:rPr>
        <w:t xml:space="preserve"> </w:t>
      </w:r>
      <w:r>
        <w:rPr>
          <w:rFonts w:cs="Arial"/>
          <w:szCs w:val="22"/>
        </w:rPr>
        <w:t xml:space="preserve">Effectively, </w:t>
      </w:r>
      <w:r w:rsidRPr="00756A35">
        <w:rPr>
          <w:rFonts w:cs="Arial"/>
          <w:szCs w:val="22"/>
        </w:rPr>
        <w:t xml:space="preserve">if one considers that the task of the depositary is </w:t>
      </w:r>
      <w:r>
        <w:rPr>
          <w:rFonts w:cs="Arial"/>
          <w:szCs w:val="22"/>
        </w:rPr>
        <w:t>“</w:t>
      </w:r>
      <w:r w:rsidRPr="00756A35">
        <w:rPr>
          <w:rFonts w:cs="Arial"/>
          <w:szCs w:val="22"/>
        </w:rPr>
        <w:t>to select a reliable counterparty</w:t>
      </w:r>
      <w:r>
        <w:rPr>
          <w:rFonts w:cs="Arial"/>
          <w:szCs w:val="22"/>
        </w:rPr>
        <w:t>”</w:t>
      </w:r>
      <w:r w:rsidRPr="00756A35">
        <w:rPr>
          <w:rFonts w:cs="Arial"/>
          <w:szCs w:val="22"/>
        </w:rPr>
        <w:t xml:space="preserve"> to hold client assets, as reliable that counterparty is, it has itself to abide by its national law. As a consequence</w:t>
      </w:r>
      <w:r>
        <w:rPr>
          <w:rFonts w:cs="Arial"/>
          <w:szCs w:val="22"/>
        </w:rPr>
        <w:t>,</w:t>
      </w:r>
      <w:r w:rsidRPr="00756A35">
        <w:rPr>
          <w:rFonts w:cs="Arial"/>
          <w:szCs w:val="22"/>
        </w:rPr>
        <w:t xml:space="preserve"> the fund depositary may switch to an alternative custodian in a third country, but if the legal regime changes in that market there is more or less nothing that can be done, assets for example equity shares may not be transferred outside of the relevant CSD.</w:t>
      </w:r>
    </w:p>
    <w:p w14:paraId="1A8BCF6A" w14:textId="77777777" w:rsidR="00387072" w:rsidRPr="00756A35" w:rsidRDefault="00387072" w:rsidP="00387072">
      <w:pPr>
        <w:spacing w:line="360" w:lineRule="auto"/>
        <w:contextualSpacing/>
        <w:jc w:val="both"/>
        <w:rPr>
          <w:rFonts w:cs="Arial"/>
          <w:szCs w:val="22"/>
        </w:rPr>
      </w:pPr>
    </w:p>
    <w:p w14:paraId="00A0D128" w14:textId="77777777" w:rsidR="00387072" w:rsidRPr="00756A35" w:rsidRDefault="00387072" w:rsidP="00387072">
      <w:pPr>
        <w:spacing w:line="360" w:lineRule="auto"/>
        <w:contextualSpacing/>
        <w:jc w:val="both"/>
        <w:rPr>
          <w:rFonts w:cs="Arial"/>
          <w:szCs w:val="22"/>
        </w:rPr>
      </w:pPr>
      <w:r w:rsidRPr="00756A35">
        <w:rPr>
          <w:rFonts w:cs="Arial"/>
          <w:szCs w:val="22"/>
        </w:rPr>
        <w:t xml:space="preserve">In addition there may as well be a question of materiality, triggering an annual review may be </w:t>
      </w:r>
      <w:r>
        <w:rPr>
          <w:rFonts w:cs="Arial"/>
          <w:szCs w:val="22"/>
        </w:rPr>
        <w:t xml:space="preserve">increasingly </w:t>
      </w:r>
      <w:r w:rsidRPr="00756A35">
        <w:rPr>
          <w:rFonts w:cs="Arial"/>
          <w:szCs w:val="22"/>
        </w:rPr>
        <w:t>more important the higher the level of the assets and thus the risk for the depositary</w:t>
      </w:r>
      <w:r>
        <w:rPr>
          <w:rFonts w:cs="Arial"/>
          <w:szCs w:val="22"/>
        </w:rPr>
        <w:t>.</w:t>
      </w:r>
      <w:r w:rsidRPr="00756A35">
        <w:rPr>
          <w:rFonts w:cs="Arial"/>
          <w:szCs w:val="22"/>
        </w:rPr>
        <w:t xml:space="preserve"> </w:t>
      </w:r>
      <w:r>
        <w:rPr>
          <w:rFonts w:cs="Arial"/>
          <w:szCs w:val="22"/>
        </w:rPr>
        <w:t>T</w:t>
      </w:r>
      <w:r w:rsidRPr="00756A35">
        <w:rPr>
          <w:rFonts w:cs="Arial"/>
          <w:szCs w:val="22"/>
        </w:rPr>
        <w:t>riggering an annual review if no new legislation has been published may be exaggerated</w:t>
      </w:r>
      <w:r>
        <w:rPr>
          <w:rFonts w:cs="Arial"/>
          <w:szCs w:val="22"/>
        </w:rPr>
        <w:t>, but will cost</w:t>
      </w:r>
      <w:r w:rsidRPr="00756A35">
        <w:rPr>
          <w:rFonts w:cs="Arial"/>
          <w:szCs w:val="22"/>
        </w:rPr>
        <w:t>. The analysis will also cost more if it shall be done independently, thus by a third party rather than internally</w:t>
      </w:r>
      <w:r>
        <w:rPr>
          <w:rFonts w:cs="Arial"/>
          <w:szCs w:val="22"/>
        </w:rPr>
        <w:t xml:space="preserve"> even if depositaries are not legal experts</w:t>
      </w:r>
      <w:r w:rsidRPr="00756A35">
        <w:rPr>
          <w:rFonts w:cs="Arial"/>
          <w:szCs w:val="22"/>
        </w:rPr>
        <w:t>.</w:t>
      </w:r>
    </w:p>
    <w:p w14:paraId="34848F20" w14:textId="77777777" w:rsidR="00D536FD" w:rsidRPr="00756A35" w:rsidRDefault="00D536FD" w:rsidP="00D536FD">
      <w:pPr>
        <w:spacing w:line="360" w:lineRule="auto"/>
        <w:contextualSpacing/>
        <w:jc w:val="both"/>
        <w:rPr>
          <w:rFonts w:cs="Arial"/>
          <w:szCs w:val="22"/>
        </w:rPr>
      </w:pPr>
    </w:p>
    <w:p w14:paraId="5C737CD1" w14:textId="77777777" w:rsidR="00783047" w:rsidRDefault="00783047" w:rsidP="00783047">
      <w:r>
        <w:t>&lt;ESMA_UCITS_QUESTION_5&gt;</w:t>
      </w:r>
    </w:p>
    <w:p w14:paraId="55883A20" w14:textId="77777777" w:rsidR="00783047" w:rsidRDefault="00783047" w:rsidP="00783047"/>
    <w:p w14:paraId="662AB7D6" w14:textId="77777777" w:rsidR="00783047" w:rsidRDefault="00783047" w:rsidP="00783047">
      <w:pPr>
        <w:pStyle w:val="Heading5"/>
        <w:keepNext w:val="0"/>
        <w:keepLines w:val="0"/>
        <w:numPr>
          <w:ilvl w:val="0"/>
          <w:numId w:val="6"/>
        </w:numPr>
        <w:spacing w:after="250" w:line="276" w:lineRule="auto"/>
        <w:ind w:left="0" w:firstLine="0"/>
      </w:pPr>
      <w:r>
        <w:t>Do you expect a significant increase in terms of costs that would be faced by the third party delegated entities located in jurisdictions outside the Union in order to obtain independent legal advice on the applicable insolvency regime? If yes, please provide any avail</w:t>
      </w:r>
      <w:r>
        <w:t>a</w:t>
      </w:r>
      <w:r>
        <w:t>ble data and/or estimation.</w:t>
      </w:r>
    </w:p>
    <w:p w14:paraId="0FDB8142" w14:textId="77777777" w:rsidR="00783047" w:rsidRDefault="00783047" w:rsidP="00783047">
      <w:r>
        <w:t>&lt;ESMA_UCITS_QUESTION_6&gt;</w:t>
      </w:r>
    </w:p>
    <w:p w14:paraId="72FA85C2" w14:textId="77777777" w:rsidR="00387072" w:rsidRPr="00756A35" w:rsidRDefault="00387072" w:rsidP="00387072">
      <w:pPr>
        <w:spacing w:line="360" w:lineRule="auto"/>
        <w:contextualSpacing/>
        <w:jc w:val="both"/>
        <w:rPr>
          <w:rFonts w:cs="Arial"/>
          <w:szCs w:val="22"/>
        </w:rPr>
      </w:pPr>
      <w:r w:rsidRPr="00756A35">
        <w:rPr>
          <w:rFonts w:cs="Arial"/>
          <w:szCs w:val="22"/>
        </w:rPr>
        <w:t>Costs may indeed be high if the analysis has to be done by fund and not by market and if no proportionality criteria are used (yearly on all markets, real-time on all markets, or bi-annually). The issue is that with the current scope it may be difficult to assess a</w:t>
      </w:r>
      <w:r>
        <w:rPr>
          <w:rFonts w:cs="Arial"/>
          <w:szCs w:val="22"/>
        </w:rPr>
        <w:t>nd to</w:t>
      </w:r>
      <w:r w:rsidRPr="00756A35">
        <w:rPr>
          <w:rFonts w:cs="Arial"/>
          <w:szCs w:val="22"/>
        </w:rPr>
        <w:t xml:space="preserve"> provide a figure for the market place.</w:t>
      </w:r>
    </w:p>
    <w:p w14:paraId="0FEA59F1" w14:textId="77777777" w:rsidR="00783047" w:rsidRDefault="00783047" w:rsidP="00783047">
      <w:r>
        <w:t>&lt;ESMA_UCITS_QUESTION_6&gt;</w:t>
      </w:r>
    </w:p>
    <w:p w14:paraId="2C892CC6" w14:textId="77777777" w:rsidR="00783047" w:rsidRDefault="00783047" w:rsidP="00783047"/>
    <w:p w14:paraId="25876094" w14:textId="77777777" w:rsidR="00783047" w:rsidRDefault="00783047" w:rsidP="00783047">
      <w:pPr>
        <w:pStyle w:val="Heading5"/>
        <w:keepNext w:val="0"/>
        <w:keepLines w:val="0"/>
        <w:numPr>
          <w:ilvl w:val="0"/>
          <w:numId w:val="6"/>
        </w:numPr>
        <w:spacing w:after="250" w:line="276" w:lineRule="auto"/>
        <w:ind w:left="0" w:firstLine="0"/>
      </w:pPr>
      <w:r>
        <w:t>Would you suggest requiring the third party to take any further steps which are not foreseen in the draft advice?</w:t>
      </w:r>
    </w:p>
    <w:p w14:paraId="5590CD87" w14:textId="77777777" w:rsidR="00783047" w:rsidRDefault="00783047" w:rsidP="00783047">
      <w:r>
        <w:t>&lt;ESMA_UCITS_QUESTION_7&gt;</w:t>
      </w:r>
    </w:p>
    <w:p w14:paraId="2F29A3FD" w14:textId="77777777" w:rsidR="00783047" w:rsidRDefault="00387072" w:rsidP="00783047">
      <w:r>
        <w:t>No</w:t>
      </w:r>
    </w:p>
    <w:p w14:paraId="6B84E29F" w14:textId="77777777" w:rsidR="00783047" w:rsidRDefault="00783047" w:rsidP="00783047">
      <w:r>
        <w:t>&lt;ESMA_UCITS_QUESTION_7&gt;</w:t>
      </w:r>
    </w:p>
    <w:p w14:paraId="63F6D310" w14:textId="77777777" w:rsidR="00783047" w:rsidRDefault="00783047" w:rsidP="00783047"/>
    <w:p w14:paraId="0F0BFCD5" w14:textId="77777777" w:rsidR="00783047" w:rsidRDefault="00783047" w:rsidP="00783047">
      <w:pPr>
        <w:pStyle w:val="Heading5"/>
        <w:keepNext w:val="0"/>
        <w:keepLines w:val="0"/>
        <w:numPr>
          <w:ilvl w:val="0"/>
          <w:numId w:val="6"/>
        </w:numPr>
        <w:spacing w:after="250" w:line="276" w:lineRule="auto"/>
        <w:ind w:left="0" w:firstLine="0"/>
      </w:pPr>
      <w:r>
        <w:t>Should any specific consideration be given to the scenario where the third party further sub-delegates the safe-keeping of the UCITS’ assets in accordance with Article 22a(3), last sub-paragraph of the UCITS Directive (as inserted by UCITS V)? Should the third party take any additional/different steps or measures in this case?</w:t>
      </w:r>
    </w:p>
    <w:p w14:paraId="59EF400F" w14:textId="77777777" w:rsidR="00783047" w:rsidRDefault="00783047" w:rsidP="00783047">
      <w:r>
        <w:t>&lt;ESMA_UCITS_QUESTION_8&gt;</w:t>
      </w:r>
    </w:p>
    <w:p w14:paraId="4A7960A2" w14:textId="77777777" w:rsidR="00387072" w:rsidRPr="00756A35" w:rsidRDefault="00387072" w:rsidP="00387072">
      <w:pPr>
        <w:spacing w:line="360" w:lineRule="auto"/>
        <w:contextualSpacing/>
        <w:jc w:val="both"/>
        <w:rPr>
          <w:rFonts w:cs="Arial"/>
          <w:szCs w:val="22"/>
        </w:rPr>
      </w:pPr>
      <w:r>
        <w:rPr>
          <w:rFonts w:cs="Arial"/>
          <w:szCs w:val="22"/>
        </w:rPr>
        <w:t>A</w:t>
      </w:r>
      <w:r w:rsidRPr="00756A35">
        <w:rPr>
          <w:rFonts w:cs="Arial"/>
          <w:szCs w:val="22"/>
        </w:rPr>
        <w:t xml:space="preserve">s </w:t>
      </w:r>
      <w:r>
        <w:rPr>
          <w:rFonts w:cs="Arial"/>
          <w:szCs w:val="22"/>
        </w:rPr>
        <w:t>discussed</w:t>
      </w:r>
      <w:r w:rsidRPr="00756A35">
        <w:rPr>
          <w:rFonts w:cs="Arial"/>
          <w:szCs w:val="22"/>
        </w:rPr>
        <w:t xml:space="preserve"> </w:t>
      </w:r>
      <w:r>
        <w:rPr>
          <w:rFonts w:cs="Arial"/>
          <w:szCs w:val="22"/>
        </w:rPr>
        <w:t>above</w:t>
      </w:r>
      <w:r w:rsidRPr="00756A35">
        <w:rPr>
          <w:rFonts w:cs="Arial"/>
          <w:szCs w:val="22"/>
        </w:rPr>
        <w:t xml:space="preserve"> the ABBL is of the view that the custody activities are done in a web or network of professionals that are best placed at each layer to have the best information to guarantee the good end of their duties. </w:t>
      </w:r>
      <w:r>
        <w:rPr>
          <w:rFonts w:cs="Arial"/>
          <w:szCs w:val="22"/>
        </w:rPr>
        <w:t>What the regulation shall envisaged is that they have to work together in a smooth and proper way. So that w</w:t>
      </w:r>
      <w:r w:rsidRPr="00756A35">
        <w:rPr>
          <w:rFonts w:cs="Arial"/>
          <w:szCs w:val="22"/>
        </w:rPr>
        <w:t xml:space="preserve">hat shall be foreseen is a duty to inform </w:t>
      </w:r>
      <w:r>
        <w:rPr>
          <w:rFonts w:cs="Arial"/>
          <w:szCs w:val="22"/>
        </w:rPr>
        <w:t>under</w:t>
      </w:r>
      <w:r w:rsidRPr="00756A35">
        <w:rPr>
          <w:rFonts w:cs="Arial"/>
          <w:szCs w:val="22"/>
        </w:rPr>
        <w:t xml:space="preserve"> reasonable delays the levels up and down in the custody chain when required. But not constantly that does not materially improve clients/funds protection but is extremely detrimental in terms of costs and efficiency.</w:t>
      </w:r>
    </w:p>
    <w:p w14:paraId="2D7CF0E2" w14:textId="77777777" w:rsidR="00783047" w:rsidRDefault="00783047" w:rsidP="00783047">
      <w:r>
        <w:t>&lt;ESMA_UCITS_QUESTION_8&gt;</w:t>
      </w:r>
    </w:p>
    <w:p w14:paraId="2D31D343" w14:textId="77777777" w:rsidR="00783047" w:rsidRDefault="00783047" w:rsidP="00783047"/>
    <w:p w14:paraId="6B827DEA" w14:textId="77777777" w:rsidR="00783047" w:rsidRDefault="00783047" w:rsidP="00783047">
      <w:pPr>
        <w:pStyle w:val="Heading5"/>
        <w:keepNext w:val="0"/>
        <w:keepLines w:val="0"/>
        <w:numPr>
          <w:ilvl w:val="0"/>
          <w:numId w:val="6"/>
        </w:numPr>
        <w:spacing w:after="250" w:line="276" w:lineRule="auto"/>
        <w:ind w:left="0" w:firstLine="0"/>
      </w:pPr>
      <w:r>
        <w:t>Do you agree with the steps to be taken by the depositary as identified above? If not, please explain the reasons.</w:t>
      </w:r>
    </w:p>
    <w:p w14:paraId="08256C47" w14:textId="77777777" w:rsidR="00783047" w:rsidRDefault="00783047" w:rsidP="00783047">
      <w:r>
        <w:t>&lt;ESMA_UCITS_QUESTION_9&gt;</w:t>
      </w:r>
    </w:p>
    <w:p w14:paraId="1EB7936C" w14:textId="77777777" w:rsidR="00387072" w:rsidRPr="00756A35" w:rsidRDefault="00387072" w:rsidP="00387072">
      <w:pPr>
        <w:spacing w:line="360" w:lineRule="auto"/>
        <w:contextualSpacing/>
        <w:jc w:val="both"/>
        <w:rPr>
          <w:rFonts w:cs="Arial"/>
          <w:szCs w:val="22"/>
        </w:rPr>
      </w:pPr>
      <w:r w:rsidRPr="00756A35">
        <w:rPr>
          <w:rFonts w:cs="Arial"/>
          <w:szCs w:val="22"/>
        </w:rPr>
        <w:t>The ABBL does not agree</w:t>
      </w:r>
      <w:r>
        <w:rPr>
          <w:rFonts w:cs="Arial"/>
          <w:szCs w:val="22"/>
        </w:rPr>
        <w:t>:</w:t>
      </w:r>
      <w:r w:rsidRPr="00756A35">
        <w:rPr>
          <w:rFonts w:cs="Arial"/>
          <w:szCs w:val="22"/>
        </w:rPr>
        <w:t xml:space="preserve"> it may be counterproductive and adding no value to require as principle 3 of IOSCO proposes that funds need to be with different counterparty to mitigate risks… as a principle it may be nice but this does not take into account the fact</w:t>
      </w:r>
      <w:r>
        <w:rPr>
          <w:rFonts w:cs="Arial"/>
          <w:szCs w:val="22"/>
        </w:rPr>
        <w:t>s</w:t>
      </w:r>
      <w:r w:rsidRPr="00756A35">
        <w:rPr>
          <w:rFonts w:cs="Arial"/>
          <w:szCs w:val="22"/>
        </w:rPr>
        <w:t xml:space="preserve"> that</w:t>
      </w:r>
      <w:r>
        <w:rPr>
          <w:rFonts w:cs="Arial"/>
          <w:szCs w:val="22"/>
        </w:rPr>
        <w:t>:</w:t>
      </w:r>
      <w:r w:rsidRPr="00756A35">
        <w:rPr>
          <w:rFonts w:cs="Arial"/>
          <w:szCs w:val="22"/>
        </w:rPr>
        <w:t xml:space="preserve"> </w:t>
      </w:r>
      <w:r>
        <w:rPr>
          <w:rFonts w:cs="Arial"/>
          <w:szCs w:val="22"/>
        </w:rPr>
        <w:t xml:space="preserve">a) </w:t>
      </w:r>
      <w:r w:rsidRPr="00756A35">
        <w:rPr>
          <w:rFonts w:cs="Arial"/>
          <w:szCs w:val="22"/>
        </w:rPr>
        <w:t>there may not be such alternatives and that the complexity of managing additional counterparties may in itself add unnecessary challenges and costs. For example if assets have to be margined for a CCP it is not certain that the cost of spreading the assets over several custodians will not add costs to the total paid with a single counterparts.</w:t>
      </w:r>
      <w:r>
        <w:rPr>
          <w:rFonts w:cs="Arial"/>
          <w:szCs w:val="22"/>
        </w:rPr>
        <w:t xml:space="preserve"> b) that set up may be totally cost ineffective and more complex to manage.</w:t>
      </w:r>
    </w:p>
    <w:p w14:paraId="039F4F7C" w14:textId="77777777" w:rsidR="00387072" w:rsidRPr="00756A35" w:rsidRDefault="00387072" w:rsidP="00387072">
      <w:pPr>
        <w:spacing w:line="360" w:lineRule="auto"/>
        <w:contextualSpacing/>
        <w:jc w:val="both"/>
        <w:rPr>
          <w:rFonts w:cs="Arial"/>
          <w:szCs w:val="22"/>
        </w:rPr>
      </w:pPr>
    </w:p>
    <w:p w14:paraId="11B8F2D6" w14:textId="77777777" w:rsidR="00387072" w:rsidRPr="00756A35" w:rsidRDefault="00387072" w:rsidP="00387072">
      <w:pPr>
        <w:spacing w:line="360" w:lineRule="auto"/>
        <w:contextualSpacing/>
        <w:jc w:val="both"/>
        <w:rPr>
          <w:rFonts w:cs="Arial"/>
          <w:szCs w:val="22"/>
        </w:rPr>
      </w:pPr>
      <w:r w:rsidRPr="00756A35">
        <w:rPr>
          <w:rFonts w:cs="Arial"/>
          <w:szCs w:val="22"/>
        </w:rPr>
        <w:t xml:space="preserve">For markets where a custodian is used, the depositary should have performed a due diligence and on the selected one and </w:t>
      </w:r>
      <w:r>
        <w:rPr>
          <w:rFonts w:cs="Arial"/>
          <w:szCs w:val="22"/>
        </w:rPr>
        <w:t xml:space="preserve">it </w:t>
      </w:r>
      <w:r w:rsidRPr="00756A35">
        <w:rPr>
          <w:rFonts w:cs="Arial"/>
          <w:szCs w:val="22"/>
        </w:rPr>
        <w:t>would probably increase the efficiency of the process by allocating the maximum number of assets with it. For example</w:t>
      </w:r>
      <w:r>
        <w:rPr>
          <w:rFonts w:cs="Arial"/>
          <w:szCs w:val="22"/>
        </w:rPr>
        <w:t>,</w:t>
      </w:r>
      <w:r w:rsidRPr="00756A35">
        <w:rPr>
          <w:rFonts w:cs="Arial"/>
          <w:szCs w:val="22"/>
        </w:rPr>
        <w:t xml:space="preserve"> </w:t>
      </w:r>
      <w:r>
        <w:rPr>
          <w:rFonts w:cs="Arial"/>
          <w:szCs w:val="22"/>
        </w:rPr>
        <w:t>the depositary</w:t>
      </w:r>
      <w:r w:rsidRPr="00756A35">
        <w:rPr>
          <w:rFonts w:cs="Arial"/>
          <w:szCs w:val="22"/>
        </w:rPr>
        <w:t xml:space="preserve"> would only manage one single set of report per market. </w:t>
      </w:r>
      <w:r>
        <w:rPr>
          <w:rFonts w:cs="Arial"/>
          <w:szCs w:val="22"/>
        </w:rPr>
        <w:t xml:space="preserve">Concretely, </w:t>
      </w:r>
      <w:r w:rsidRPr="00756A35">
        <w:rPr>
          <w:rFonts w:cs="Arial"/>
          <w:szCs w:val="22"/>
        </w:rPr>
        <w:t>it is highly likely that if a depositary has to go for equities on the French or USA market it will custody all its shares at a single entity in France and one in the USA.</w:t>
      </w:r>
    </w:p>
    <w:p w14:paraId="7F48A45A" w14:textId="77777777" w:rsidR="00387072" w:rsidRPr="00756A35" w:rsidRDefault="00387072" w:rsidP="00387072">
      <w:pPr>
        <w:spacing w:line="360" w:lineRule="auto"/>
        <w:contextualSpacing/>
        <w:jc w:val="both"/>
        <w:rPr>
          <w:rFonts w:cs="Arial"/>
          <w:szCs w:val="22"/>
        </w:rPr>
      </w:pPr>
    </w:p>
    <w:p w14:paraId="20D5FBC5" w14:textId="77777777" w:rsidR="00387072" w:rsidRPr="00756A35" w:rsidRDefault="00387072" w:rsidP="00387072">
      <w:pPr>
        <w:spacing w:line="360" w:lineRule="auto"/>
        <w:contextualSpacing/>
        <w:jc w:val="both"/>
        <w:rPr>
          <w:rFonts w:cs="Arial"/>
          <w:szCs w:val="22"/>
        </w:rPr>
      </w:pPr>
      <w:r w:rsidRPr="00756A35">
        <w:rPr>
          <w:rFonts w:cs="Arial"/>
          <w:szCs w:val="22"/>
        </w:rPr>
        <w:t>Issues may additionally be raised whereas to whom affect the trade, sub-custodian A</w:t>
      </w:r>
      <w:r>
        <w:rPr>
          <w:rFonts w:cs="Arial"/>
          <w:szCs w:val="22"/>
        </w:rPr>
        <w:t>,</w:t>
      </w:r>
      <w:r w:rsidRPr="00756A35">
        <w:rPr>
          <w:rFonts w:cs="Arial"/>
          <w:szCs w:val="22"/>
        </w:rPr>
        <w:t xml:space="preserve"> B</w:t>
      </w:r>
      <w:r>
        <w:rPr>
          <w:rFonts w:cs="Arial"/>
          <w:szCs w:val="22"/>
        </w:rPr>
        <w:t xml:space="preserve"> a mix</w:t>
      </w:r>
      <w:r w:rsidRPr="00756A35">
        <w:rPr>
          <w:rFonts w:cs="Arial"/>
          <w:szCs w:val="22"/>
        </w:rPr>
        <w:t>, in what proportion… constantly identify where instruments are… requiring both set of measures may be impractical</w:t>
      </w:r>
      <w:r>
        <w:rPr>
          <w:rFonts w:cs="Arial"/>
          <w:szCs w:val="22"/>
        </w:rPr>
        <w:t xml:space="preserve"> and a source of mistakes</w:t>
      </w:r>
      <w:r w:rsidRPr="00756A35">
        <w:rPr>
          <w:rFonts w:cs="Arial"/>
          <w:szCs w:val="22"/>
        </w:rPr>
        <w:t>.</w:t>
      </w:r>
      <w:r>
        <w:rPr>
          <w:rFonts w:cs="Arial"/>
          <w:szCs w:val="22"/>
        </w:rPr>
        <w:t xml:space="preserve"> Fundamentally what would be the added value?</w:t>
      </w:r>
    </w:p>
    <w:p w14:paraId="4C287DC5" w14:textId="77777777" w:rsidR="00783047" w:rsidRDefault="00783047" w:rsidP="00783047">
      <w:r>
        <w:t>&lt;ESMA_UCITS_QUESTION_9&gt;</w:t>
      </w:r>
    </w:p>
    <w:p w14:paraId="486DDA2A" w14:textId="77777777" w:rsidR="00783047" w:rsidRDefault="00783047" w:rsidP="00783047"/>
    <w:p w14:paraId="395750CE" w14:textId="77777777" w:rsidR="00783047" w:rsidRDefault="00783047" w:rsidP="00783047">
      <w:pPr>
        <w:pStyle w:val="Heading5"/>
        <w:keepNext w:val="0"/>
        <w:keepLines w:val="0"/>
        <w:numPr>
          <w:ilvl w:val="0"/>
          <w:numId w:val="6"/>
        </w:numPr>
        <w:spacing w:after="250" w:line="276" w:lineRule="auto"/>
        <w:ind w:left="0" w:firstLine="0"/>
      </w:pPr>
      <w:r>
        <w:t>Do you expect any significant one-off and ongoing compliance costs for d</w:t>
      </w:r>
      <w:r>
        <w:t>e</w:t>
      </w:r>
      <w:r>
        <w:t>positaries in order to take the steps identified above? If yes, please provide any available data and/or estimation.</w:t>
      </w:r>
    </w:p>
    <w:p w14:paraId="65C3B69E" w14:textId="77777777" w:rsidR="00783047" w:rsidRDefault="00783047" w:rsidP="00783047">
      <w:r>
        <w:t>&lt;ESMA_UCITS_QUESTION_10&gt;</w:t>
      </w:r>
    </w:p>
    <w:p w14:paraId="2041A5B0" w14:textId="77777777" w:rsidR="00B96293" w:rsidRPr="00756A35" w:rsidRDefault="00B96293" w:rsidP="00B96293">
      <w:pPr>
        <w:spacing w:line="360" w:lineRule="auto"/>
        <w:contextualSpacing/>
        <w:jc w:val="both"/>
        <w:rPr>
          <w:rFonts w:cs="Arial"/>
          <w:szCs w:val="22"/>
        </w:rPr>
      </w:pPr>
      <w:r w:rsidRPr="00756A35">
        <w:rPr>
          <w:rFonts w:cs="Arial"/>
          <w:szCs w:val="22"/>
        </w:rPr>
        <w:t xml:space="preserve">Applying the proposal will mean a complete review of the current organization and custody set up, which will inevitably cost </w:t>
      </w:r>
      <w:r>
        <w:rPr>
          <w:rFonts w:cs="Arial"/>
          <w:szCs w:val="22"/>
        </w:rPr>
        <w:t xml:space="preserve">now </w:t>
      </w:r>
      <w:r w:rsidRPr="00756A35">
        <w:rPr>
          <w:rFonts w:cs="Arial"/>
          <w:szCs w:val="22"/>
        </w:rPr>
        <w:t>and at a later stage</w:t>
      </w:r>
      <w:r>
        <w:rPr>
          <w:rFonts w:cs="Arial"/>
          <w:szCs w:val="22"/>
        </w:rPr>
        <w:t>.</w:t>
      </w:r>
      <w:r w:rsidRPr="00756A35">
        <w:rPr>
          <w:rFonts w:cs="Arial"/>
          <w:szCs w:val="22"/>
        </w:rPr>
        <w:t xml:space="preserve"> </w:t>
      </w:r>
      <w:r>
        <w:rPr>
          <w:rFonts w:cs="Arial"/>
          <w:szCs w:val="22"/>
        </w:rPr>
        <w:t>C</w:t>
      </w:r>
      <w:r w:rsidRPr="00756A35">
        <w:rPr>
          <w:rFonts w:cs="Arial"/>
          <w:szCs w:val="22"/>
        </w:rPr>
        <w:t>ost will likely be higher because the complexity will have increased and because as mentioned collateral for transaction</w:t>
      </w:r>
      <w:r>
        <w:rPr>
          <w:rFonts w:cs="Arial"/>
          <w:szCs w:val="22"/>
        </w:rPr>
        <w:t>s</w:t>
      </w:r>
      <w:r w:rsidRPr="00756A35">
        <w:rPr>
          <w:rFonts w:cs="Arial"/>
          <w:szCs w:val="22"/>
        </w:rPr>
        <w:t xml:space="preserve"> or guarantee may have to be posted several times instead of once. Thus need to control and supervise more entities.</w:t>
      </w:r>
    </w:p>
    <w:p w14:paraId="117E260F" w14:textId="77777777" w:rsidR="00783047" w:rsidRDefault="00783047" w:rsidP="00783047">
      <w:r>
        <w:t>&lt;ESMA_UCITS_QUESTION_10&gt;</w:t>
      </w:r>
    </w:p>
    <w:p w14:paraId="2F86CE1D" w14:textId="77777777" w:rsidR="00783047" w:rsidRDefault="00783047" w:rsidP="00783047"/>
    <w:p w14:paraId="619DFF02" w14:textId="77777777" w:rsidR="00783047" w:rsidRDefault="00783047" w:rsidP="00783047">
      <w:pPr>
        <w:pStyle w:val="Heading5"/>
        <w:keepNext w:val="0"/>
        <w:keepLines w:val="0"/>
        <w:numPr>
          <w:ilvl w:val="0"/>
          <w:numId w:val="6"/>
        </w:numPr>
        <w:spacing w:after="250" w:line="276" w:lineRule="auto"/>
        <w:ind w:left="0" w:firstLine="0"/>
      </w:pPr>
      <w:r>
        <w:t>Would you suggest requiring the depositary to take any further steps which are not foreseen in the draft advice?</w:t>
      </w:r>
    </w:p>
    <w:p w14:paraId="054CCCB7" w14:textId="77777777" w:rsidR="00783047" w:rsidRDefault="00783047" w:rsidP="00783047">
      <w:r>
        <w:t>&lt;ESMA_UCITS_QUESTION_11&gt;</w:t>
      </w:r>
    </w:p>
    <w:p w14:paraId="6E564BEA" w14:textId="77777777" w:rsidR="00783047" w:rsidRDefault="00B96293" w:rsidP="00783047">
      <w:r>
        <w:t>No</w:t>
      </w:r>
    </w:p>
    <w:p w14:paraId="7FAB3C20" w14:textId="77777777" w:rsidR="00783047" w:rsidRDefault="00783047" w:rsidP="00783047">
      <w:r>
        <w:t>&lt;ESMA_UCITS_QUESTION_11&gt;</w:t>
      </w:r>
    </w:p>
    <w:p w14:paraId="672E9C05" w14:textId="77777777" w:rsidR="00783047" w:rsidRDefault="00783047" w:rsidP="00783047"/>
    <w:p w14:paraId="02246A86" w14:textId="77777777" w:rsidR="00783047" w:rsidRDefault="00783047" w:rsidP="00783047">
      <w:pPr>
        <w:pStyle w:val="Heading5"/>
        <w:keepNext w:val="0"/>
        <w:keepLines w:val="0"/>
        <w:numPr>
          <w:ilvl w:val="0"/>
          <w:numId w:val="6"/>
        </w:numPr>
        <w:spacing w:after="250" w:line="276" w:lineRule="auto"/>
        <w:ind w:left="0" w:firstLine="0"/>
      </w:pPr>
      <w:r>
        <w:t>Which measures do you think should be taken by the depositary and/or the investment company/management company in the best interest of the investors once the depositary has informed the investment company or the management co</w:t>
      </w:r>
      <w:r>
        <w:t>m</w:t>
      </w:r>
      <w:r>
        <w:t>pany on behalf of the UCITS that the segregation of the UCITS’ assets in the event of insolvency of the third party is no longer guaranteed in a given jurisdiction located outside the Union? Would the transfer of the relevant UCITS’ assets held by the third party in a non-EU j</w:t>
      </w:r>
      <w:r>
        <w:t>u</w:t>
      </w:r>
      <w:r>
        <w:t>risdiction to another (EU or non-EU) jurisdiction which recognises the segregation of the UCITS’ assets in the event of insolvency of the third party/depositary be a possible measure?</w:t>
      </w:r>
    </w:p>
    <w:p w14:paraId="4A175013" w14:textId="77777777" w:rsidR="00783047" w:rsidRDefault="00783047" w:rsidP="00783047">
      <w:r>
        <w:t>&lt;ESMA_UCITS_QUESTION_12&gt;</w:t>
      </w:r>
    </w:p>
    <w:p w14:paraId="7B67C7FC" w14:textId="77777777" w:rsidR="00B96293" w:rsidRPr="00756A35" w:rsidRDefault="00B96293" w:rsidP="00B96293">
      <w:pPr>
        <w:spacing w:line="360" w:lineRule="auto"/>
        <w:contextualSpacing/>
        <w:jc w:val="both"/>
        <w:rPr>
          <w:rFonts w:cs="Arial"/>
          <w:szCs w:val="22"/>
        </w:rPr>
      </w:pPr>
      <w:r>
        <w:rPr>
          <w:rFonts w:cs="Arial"/>
          <w:szCs w:val="22"/>
        </w:rPr>
        <w:t>First</w:t>
      </w:r>
      <w:r w:rsidR="00A901D2">
        <w:rPr>
          <w:rFonts w:cs="Arial"/>
          <w:szCs w:val="22"/>
        </w:rPr>
        <w:t xml:space="preserve">ly, </w:t>
      </w:r>
      <w:r>
        <w:rPr>
          <w:rFonts w:cs="Arial"/>
          <w:szCs w:val="22"/>
        </w:rPr>
        <w:t xml:space="preserve"> t</w:t>
      </w:r>
      <w:r w:rsidRPr="00756A35">
        <w:rPr>
          <w:rFonts w:cs="Arial"/>
          <w:szCs w:val="22"/>
        </w:rPr>
        <w:t>he ABBL is doubtful that transfer of securities f</w:t>
      </w:r>
      <w:r>
        <w:rPr>
          <w:rFonts w:cs="Arial"/>
          <w:szCs w:val="22"/>
        </w:rPr>
        <w:t>rom one market to the other is</w:t>
      </w:r>
      <w:r w:rsidRPr="00756A35">
        <w:rPr>
          <w:rFonts w:cs="Arial"/>
          <w:szCs w:val="22"/>
        </w:rPr>
        <w:t xml:space="preserve"> doable moreover when the assets are issued via a CSD which is by default in charge of ensuring the integrity of the issue </w:t>
      </w:r>
      <w:r>
        <w:rPr>
          <w:rFonts w:cs="Arial"/>
          <w:szCs w:val="22"/>
        </w:rPr>
        <w:t>that CSD</w:t>
      </w:r>
      <w:r w:rsidRPr="00756A35">
        <w:rPr>
          <w:rFonts w:cs="Arial"/>
          <w:szCs w:val="22"/>
        </w:rPr>
        <w:t xml:space="preserve"> will not let part of </w:t>
      </w:r>
      <w:r>
        <w:rPr>
          <w:rFonts w:cs="Arial"/>
          <w:szCs w:val="22"/>
        </w:rPr>
        <w:t>the issue</w:t>
      </w:r>
      <w:r w:rsidRPr="00756A35">
        <w:rPr>
          <w:rFonts w:cs="Arial"/>
          <w:szCs w:val="22"/>
        </w:rPr>
        <w:t xml:space="preserve"> flows to another country or region where they would lack control.</w:t>
      </w:r>
    </w:p>
    <w:p w14:paraId="577012A5" w14:textId="77777777" w:rsidR="00B96293" w:rsidRPr="00756A35" w:rsidRDefault="00B96293" w:rsidP="00B96293">
      <w:pPr>
        <w:spacing w:line="360" w:lineRule="auto"/>
        <w:contextualSpacing/>
        <w:jc w:val="both"/>
        <w:rPr>
          <w:rFonts w:cs="Arial"/>
          <w:szCs w:val="22"/>
        </w:rPr>
      </w:pPr>
    </w:p>
    <w:p w14:paraId="018826C7" w14:textId="77777777" w:rsidR="00B96293" w:rsidRPr="00756A35" w:rsidRDefault="00B96293" w:rsidP="00B96293">
      <w:pPr>
        <w:spacing w:line="360" w:lineRule="auto"/>
        <w:contextualSpacing/>
        <w:jc w:val="both"/>
        <w:rPr>
          <w:rFonts w:cs="Arial"/>
          <w:szCs w:val="22"/>
        </w:rPr>
      </w:pPr>
      <w:r>
        <w:rPr>
          <w:rFonts w:cs="Arial"/>
          <w:szCs w:val="22"/>
        </w:rPr>
        <w:t>The Association</w:t>
      </w:r>
      <w:r w:rsidRPr="00756A35">
        <w:rPr>
          <w:rFonts w:cs="Arial"/>
          <w:szCs w:val="22"/>
        </w:rPr>
        <w:t xml:space="preserve"> does not believe that the investor </w:t>
      </w:r>
      <w:r>
        <w:rPr>
          <w:rFonts w:cs="Arial"/>
          <w:szCs w:val="22"/>
        </w:rPr>
        <w:t>protection</w:t>
      </w:r>
      <w:r w:rsidRPr="00756A35">
        <w:rPr>
          <w:rFonts w:cs="Arial"/>
          <w:szCs w:val="22"/>
        </w:rPr>
        <w:t xml:space="preserve"> would be better if his assets are held fully segregated at individual level across the custody chain</w:t>
      </w:r>
      <w:r>
        <w:rPr>
          <w:rFonts w:cs="Arial"/>
          <w:szCs w:val="22"/>
        </w:rPr>
        <w:t xml:space="preserve"> compared to the current regime</w:t>
      </w:r>
      <w:r w:rsidRPr="00756A35">
        <w:rPr>
          <w:rFonts w:cs="Arial"/>
          <w:szCs w:val="22"/>
        </w:rPr>
        <w:t>. What is of prime importance it to ensure that assets are bankruptcy remote at depositary level, which is the reason why segregation from own assets was introduced</w:t>
      </w:r>
      <w:r>
        <w:rPr>
          <w:rFonts w:cs="Arial"/>
          <w:szCs w:val="22"/>
        </w:rPr>
        <w:t xml:space="preserve"> through the concept of holding of the clients’ assets for the account of… not in the name of the financial institution</w:t>
      </w:r>
      <w:r w:rsidRPr="00756A35">
        <w:rPr>
          <w:rFonts w:cs="Arial"/>
          <w:szCs w:val="22"/>
        </w:rPr>
        <w:t>. Afterward later in the custody chain this principle shall be ensured as well</w:t>
      </w:r>
      <w:r>
        <w:rPr>
          <w:rFonts w:cs="Arial"/>
          <w:szCs w:val="22"/>
        </w:rPr>
        <w:t xml:space="preserve"> by</w:t>
      </w:r>
      <w:r w:rsidRPr="00756A35">
        <w:rPr>
          <w:rFonts w:cs="Arial"/>
          <w:szCs w:val="22"/>
        </w:rPr>
        <w:t xml:space="preserve"> each </w:t>
      </w:r>
      <w:r>
        <w:rPr>
          <w:rFonts w:cs="Arial"/>
          <w:szCs w:val="22"/>
        </w:rPr>
        <w:t>participant for its</w:t>
      </w:r>
      <w:r w:rsidRPr="00756A35">
        <w:rPr>
          <w:rFonts w:cs="Arial"/>
          <w:szCs w:val="22"/>
        </w:rPr>
        <w:t xml:space="preserve"> level, the issue being that some markets have a different legal set up that prevent this bankruptcy remoteness</w:t>
      </w:r>
      <w:r>
        <w:rPr>
          <w:rFonts w:cs="Arial"/>
          <w:szCs w:val="22"/>
        </w:rPr>
        <w:t>.</w:t>
      </w:r>
      <w:r w:rsidRPr="00756A35">
        <w:rPr>
          <w:rFonts w:cs="Arial"/>
          <w:szCs w:val="22"/>
        </w:rPr>
        <w:t xml:space="preserve"> </w:t>
      </w:r>
      <w:r>
        <w:rPr>
          <w:rFonts w:cs="Arial"/>
          <w:szCs w:val="22"/>
        </w:rPr>
        <w:t>T</w:t>
      </w:r>
      <w:r w:rsidRPr="00756A35">
        <w:rPr>
          <w:rFonts w:cs="Arial"/>
          <w:szCs w:val="22"/>
        </w:rPr>
        <w:t>he depositary has to select a reliable intermediary in a market where a fund wants to invest</w:t>
      </w:r>
      <w:r>
        <w:rPr>
          <w:rFonts w:cs="Arial"/>
          <w:szCs w:val="22"/>
        </w:rPr>
        <w:t>, t</w:t>
      </w:r>
      <w:r w:rsidRPr="00756A35">
        <w:rPr>
          <w:rFonts w:cs="Arial"/>
          <w:szCs w:val="22"/>
        </w:rPr>
        <w:t>he depositary is not charged with ensuring assets, nor forcing a counterparty to act against its national law.</w:t>
      </w:r>
    </w:p>
    <w:p w14:paraId="5F4443CF" w14:textId="77777777" w:rsidR="00B96293" w:rsidRPr="00756A35" w:rsidRDefault="00B96293" w:rsidP="00B96293">
      <w:pPr>
        <w:spacing w:line="360" w:lineRule="auto"/>
        <w:contextualSpacing/>
        <w:jc w:val="both"/>
        <w:rPr>
          <w:rFonts w:cs="Arial"/>
          <w:szCs w:val="22"/>
        </w:rPr>
      </w:pPr>
    </w:p>
    <w:p w14:paraId="58EA39C9" w14:textId="77777777" w:rsidR="00B96293" w:rsidRPr="00756A35" w:rsidRDefault="00B96293" w:rsidP="00B96293">
      <w:pPr>
        <w:spacing w:line="360" w:lineRule="auto"/>
        <w:contextualSpacing/>
        <w:jc w:val="both"/>
        <w:rPr>
          <w:rFonts w:cs="Arial"/>
          <w:szCs w:val="22"/>
        </w:rPr>
      </w:pPr>
      <w:r w:rsidRPr="00756A35">
        <w:rPr>
          <w:rFonts w:cs="Arial"/>
          <w:szCs w:val="22"/>
        </w:rPr>
        <w:t>The ABBL does not support indent (iV) in the advice draft (page 15), as explained earlier the depositary shall be able to know and access funds’ assets at all time but it cannot be and it is probably not desirable that it imposes a real-time control over the assets. That would imply full segregation of individual assets down the whole custody network per client (here fund)</w:t>
      </w:r>
      <w:r>
        <w:rPr>
          <w:rFonts w:cs="Arial"/>
          <w:szCs w:val="22"/>
        </w:rPr>
        <w:t xml:space="preserve"> that would imply the opening of thousands if not millions of new securities a</w:t>
      </w:r>
      <w:r w:rsidR="00A901D2">
        <w:rPr>
          <w:rFonts w:cs="Arial"/>
          <w:szCs w:val="22"/>
        </w:rPr>
        <w:t>c</w:t>
      </w:r>
      <w:r>
        <w:rPr>
          <w:rFonts w:cs="Arial"/>
          <w:szCs w:val="22"/>
        </w:rPr>
        <w:t>counts</w:t>
      </w:r>
      <w:r w:rsidRPr="00756A35">
        <w:rPr>
          <w:rFonts w:cs="Arial"/>
          <w:szCs w:val="22"/>
        </w:rPr>
        <w:t xml:space="preserve">. This would be dramatically complex to manage for elusive reasons (bankruptcy remoteness will be guaranteed in case of omnibus account as </w:t>
      </w:r>
      <w:r>
        <w:rPr>
          <w:rFonts w:cs="Arial"/>
          <w:szCs w:val="22"/>
        </w:rPr>
        <w:t xml:space="preserve">it will </w:t>
      </w:r>
      <w:r w:rsidRPr="00756A35">
        <w:rPr>
          <w:rFonts w:cs="Arial"/>
          <w:szCs w:val="22"/>
        </w:rPr>
        <w:t xml:space="preserve">in </w:t>
      </w:r>
      <w:r>
        <w:rPr>
          <w:rFonts w:cs="Arial"/>
          <w:szCs w:val="22"/>
        </w:rPr>
        <w:t xml:space="preserve">the </w:t>
      </w:r>
      <w:r w:rsidRPr="00756A35">
        <w:rPr>
          <w:rFonts w:cs="Arial"/>
          <w:szCs w:val="22"/>
        </w:rPr>
        <w:t xml:space="preserve">case of segregated) but the costs may be </w:t>
      </w:r>
      <w:r>
        <w:rPr>
          <w:rFonts w:cs="Arial"/>
          <w:szCs w:val="22"/>
        </w:rPr>
        <w:t>prohibitive</w:t>
      </w:r>
      <w:r w:rsidRPr="00756A35">
        <w:rPr>
          <w:rFonts w:cs="Arial"/>
          <w:szCs w:val="22"/>
        </w:rPr>
        <w:t>.</w:t>
      </w:r>
    </w:p>
    <w:p w14:paraId="2CB7B44E" w14:textId="77777777" w:rsidR="00B96293" w:rsidRPr="00756A35" w:rsidRDefault="00B96293" w:rsidP="00B96293">
      <w:pPr>
        <w:spacing w:line="360" w:lineRule="auto"/>
        <w:contextualSpacing/>
        <w:jc w:val="both"/>
        <w:rPr>
          <w:rFonts w:cs="Arial"/>
          <w:szCs w:val="22"/>
        </w:rPr>
      </w:pPr>
    </w:p>
    <w:p w14:paraId="1E8CD779" w14:textId="77777777" w:rsidR="00B96293" w:rsidRPr="00756A35" w:rsidRDefault="00B96293" w:rsidP="00B96293">
      <w:pPr>
        <w:spacing w:line="360" w:lineRule="auto"/>
        <w:contextualSpacing/>
        <w:jc w:val="both"/>
        <w:rPr>
          <w:rFonts w:cs="Arial"/>
          <w:szCs w:val="22"/>
        </w:rPr>
      </w:pPr>
      <w:r w:rsidRPr="00756A35">
        <w:rPr>
          <w:rFonts w:cs="Arial"/>
          <w:szCs w:val="22"/>
        </w:rPr>
        <w:t xml:space="preserve">The ABBL considers that </w:t>
      </w:r>
      <w:r w:rsidRPr="00756A35">
        <w:t>measures the depositary can take are in fact limited</w:t>
      </w:r>
      <w:r w:rsidR="00A901D2">
        <w:t xml:space="preserve"> in that respect the analysis evidence the key element but not really a practical solution.</w:t>
      </w:r>
      <w:r w:rsidRPr="00756A35">
        <w:t xml:space="preserve"> </w:t>
      </w:r>
      <w:r w:rsidR="00A901D2">
        <w:t>In fact</w:t>
      </w:r>
      <w:r w:rsidRPr="00756A35">
        <w:t xml:space="preserve"> much could be achieve via </w:t>
      </w:r>
      <w:r>
        <w:t>an</w:t>
      </w:r>
      <w:r w:rsidRPr="00756A35">
        <w:t xml:space="preserve"> escalation procedure whereby the depositary would bring the issue to the attention of the management company / self managed investment company. It is then up to the management company / self managed investment company to decide whether or not it is in the best interest of the investors to maintain the relevant investments. The issue may have to be escalated to the attention of the competent regulator(s) of the fund and management company</w:t>
      </w:r>
      <w:r>
        <w:t>, but no “automatic solution” should be envisaged as a default rule, funds structures, markets… are specific, may be solution like holding assets in registry may be a step to develop.</w:t>
      </w:r>
    </w:p>
    <w:p w14:paraId="1C330D35" w14:textId="77777777" w:rsidR="00783047" w:rsidRDefault="00783047" w:rsidP="00783047">
      <w:r>
        <w:t>&lt;ESMA_UCITS_QUESTION_12&gt;</w:t>
      </w:r>
    </w:p>
    <w:p w14:paraId="6D8E7255" w14:textId="77777777" w:rsidR="00783047" w:rsidRDefault="00783047" w:rsidP="00783047"/>
    <w:p w14:paraId="0CC51D0B" w14:textId="77777777" w:rsidR="00783047" w:rsidRPr="00CE2878" w:rsidRDefault="00783047" w:rsidP="00783047">
      <w:pPr>
        <w:keepNext/>
        <w:tabs>
          <w:tab w:val="left" w:pos="284"/>
          <w:tab w:val="left" w:pos="397"/>
        </w:tabs>
        <w:spacing w:after="280" w:line="280" w:lineRule="exact"/>
        <w:ind w:left="284" w:hanging="284"/>
        <w:jc w:val="both"/>
        <w:rPr>
          <w:b/>
        </w:rPr>
      </w:pPr>
      <w:bookmarkStart w:id="4" w:name="_Toc398029991"/>
      <w:r>
        <w:rPr>
          <w:b/>
        </w:rPr>
        <w:t xml:space="preserve">IV. </w:t>
      </w:r>
      <w:r w:rsidRPr="00CE2878">
        <w:rPr>
          <w:b/>
        </w:rPr>
        <w:t>Advice on the independence requirement (Art. 25(2) and 26(b)(h) UCITS V)</w:t>
      </w:r>
      <w:bookmarkEnd w:id="4"/>
    </w:p>
    <w:p w14:paraId="00F7F3B6" w14:textId="77777777" w:rsidR="00783047" w:rsidRDefault="00783047" w:rsidP="00783047">
      <w:pPr>
        <w:pStyle w:val="Heading5"/>
        <w:keepNext w:val="0"/>
        <w:keepLines w:val="0"/>
        <w:numPr>
          <w:ilvl w:val="0"/>
          <w:numId w:val="6"/>
        </w:numPr>
        <w:spacing w:after="250" w:line="276" w:lineRule="auto"/>
        <w:ind w:left="0" w:firstLine="0"/>
      </w:pPr>
      <w:r>
        <w:t>Do you agree with the identified links that may jeopardise the independence of the Relevant Entities? If not, please explain the reasons.</w:t>
      </w:r>
    </w:p>
    <w:p w14:paraId="434D2FE2" w14:textId="77777777" w:rsidR="00783047" w:rsidRDefault="00783047" w:rsidP="00783047">
      <w:r>
        <w:t>&lt;ESMA_UCITS_QUESTION_13&gt;</w:t>
      </w:r>
    </w:p>
    <w:p w14:paraId="0332D5BC" w14:textId="77777777" w:rsidR="00783047" w:rsidRDefault="000D4174" w:rsidP="00783047">
      <w:r>
        <w:t>The ABBL would first like to explain its general approach whereas the issues around group structure then answer to the specific questions:</w:t>
      </w:r>
    </w:p>
    <w:p w14:paraId="503E4A10" w14:textId="77777777" w:rsidR="000D4174" w:rsidRDefault="000D4174" w:rsidP="00783047"/>
    <w:p w14:paraId="685CF7C7" w14:textId="77777777" w:rsidR="000D4174" w:rsidRPr="00756A35" w:rsidRDefault="000D4174" w:rsidP="000D4174">
      <w:pPr>
        <w:spacing w:line="360" w:lineRule="auto"/>
        <w:contextualSpacing/>
        <w:jc w:val="both"/>
        <w:rPr>
          <w:rFonts w:cs="Arial"/>
          <w:szCs w:val="22"/>
        </w:rPr>
      </w:pPr>
      <w:bookmarkStart w:id="5" w:name="_GoBack"/>
      <w:bookmarkEnd w:id="5"/>
      <w:r w:rsidRPr="00756A35">
        <w:rPr>
          <w:rFonts w:cs="Arial"/>
          <w:szCs w:val="22"/>
        </w:rPr>
        <w:t>No,</w:t>
      </w:r>
      <w:r>
        <w:rPr>
          <w:rFonts w:cs="Arial"/>
          <w:szCs w:val="22"/>
        </w:rPr>
        <w:t xml:space="preserve"> the ABBL</w:t>
      </w:r>
      <w:r w:rsidRPr="00756A35">
        <w:rPr>
          <w:rFonts w:cs="Arial"/>
          <w:szCs w:val="22"/>
        </w:rPr>
        <w:t xml:space="preserve"> disagree</w:t>
      </w:r>
      <w:r>
        <w:rPr>
          <w:rFonts w:cs="Arial"/>
          <w:szCs w:val="22"/>
        </w:rPr>
        <w:t>s</w:t>
      </w:r>
      <w:r w:rsidRPr="00756A35">
        <w:rPr>
          <w:rFonts w:cs="Arial"/>
          <w:szCs w:val="22"/>
        </w:rPr>
        <w:t xml:space="preserve"> with ESMA’s analysis. Belonging to a group does not by default mean conflicts of in</w:t>
      </w:r>
      <w:r>
        <w:rPr>
          <w:rFonts w:cs="Arial"/>
          <w:szCs w:val="22"/>
        </w:rPr>
        <w:t>terests;</w:t>
      </w:r>
      <w:r w:rsidRPr="00756A35">
        <w:rPr>
          <w:rFonts w:cs="Arial"/>
          <w:szCs w:val="22"/>
        </w:rPr>
        <w:t xml:space="preserve"> this view does not consider the entire corpus of regulation</w:t>
      </w:r>
      <w:r>
        <w:rPr>
          <w:rFonts w:cs="Arial"/>
          <w:szCs w:val="22"/>
        </w:rPr>
        <w:t>s</w:t>
      </w:r>
      <w:r w:rsidRPr="00756A35">
        <w:rPr>
          <w:rFonts w:cs="Arial"/>
          <w:szCs w:val="22"/>
        </w:rPr>
        <w:t xml:space="preserve"> but only focuses on the UCITS rules.</w:t>
      </w:r>
    </w:p>
    <w:p w14:paraId="519A80E8" w14:textId="77777777" w:rsidR="000D4174" w:rsidRPr="00756A35" w:rsidRDefault="000D4174" w:rsidP="000D4174">
      <w:pPr>
        <w:spacing w:line="360" w:lineRule="auto"/>
        <w:contextualSpacing/>
        <w:jc w:val="both"/>
        <w:rPr>
          <w:rFonts w:cs="Arial"/>
          <w:szCs w:val="22"/>
        </w:rPr>
      </w:pPr>
    </w:p>
    <w:p w14:paraId="2F503400" w14:textId="77777777" w:rsidR="000D4174" w:rsidRDefault="000D4174" w:rsidP="000D4174">
      <w:pPr>
        <w:spacing w:line="360" w:lineRule="auto"/>
        <w:contextualSpacing/>
        <w:jc w:val="both"/>
        <w:rPr>
          <w:rFonts w:cs="Arial"/>
          <w:szCs w:val="22"/>
        </w:rPr>
      </w:pPr>
      <w:r w:rsidRPr="00756A35">
        <w:rPr>
          <w:rFonts w:cs="Arial"/>
          <w:szCs w:val="22"/>
        </w:rPr>
        <w:t xml:space="preserve">First of all Article 25(2) of the UCITS Directive (as amended by UCITS V) set out an obligation on the ManCo/Depositary in carrying out its respective functions to act honestly, fairly, professionally, independently and in the interest of the UCITS and the investors of the UCITS. </w:t>
      </w:r>
    </w:p>
    <w:p w14:paraId="32E7B72C" w14:textId="77777777" w:rsidR="000D4174" w:rsidRDefault="000D4174" w:rsidP="000D4174">
      <w:pPr>
        <w:spacing w:line="360" w:lineRule="auto"/>
        <w:contextualSpacing/>
        <w:jc w:val="both"/>
        <w:rPr>
          <w:rFonts w:cs="Arial"/>
          <w:szCs w:val="22"/>
        </w:rPr>
      </w:pPr>
    </w:p>
    <w:p w14:paraId="7E6ADE49" w14:textId="77777777" w:rsidR="000D4174" w:rsidRPr="00756A35" w:rsidRDefault="000D4174" w:rsidP="000D4174">
      <w:pPr>
        <w:spacing w:line="360" w:lineRule="auto"/>
        <w:contextualSpacing/>
        <w:jc w:val="both"/>
        <w:rPr>
          <w:rFonts w:cs="Arial"/>
          <w:szCs w:val="22"/>
        </w:rPr>
      </w:pPr>
      <w:r>
        <w:rPr>
          <w:rFonts w:cs="Arial"/>
          <w:szCs w:val="22"/>
        </w:rPr>
        <w:t>W</w:t>
      </w:r>
      <w:r w:rsidRPr="00756A35">
        <w:rPr>
          <w:rFonts w:cs="Arial"/>
          <w:szCs w:val="22"/>
        </w:rPr>
        <w:t xml:space="preserve">ill </w:t>
      </w:r>
      <w:r>
        <w:rPr>
          <w:rFonts w:cs="Arial"/>
          <w:szCs w:val="22"/>
        </w:rPr>
        <w:t>the</w:t>
      </w:r>
      <w:r w:rsidRPr="00756A35">
        <w:rPr>
          <w:rFonts w:cs="Arial"/>
          <w:szCs w:val="22"/>
        </w:rPr>
        <w:t xml:space="preserve"> depositary be obliged not to carry out activities with regard to the UCITS or the management company on behalf of the UCITS that may create </w:t>
      </w:r>
      <w:r>
        <w:rPr>
          <w:rFonts w:cs="Arial"/>
          <w:szCs w:val="22"/>
        </w:rPr>
        <w:t xml:space="preserve">a different set of </w:t>
      </w:r>
      <w:r w:rsidRPr="00756A35">
        <w:rPr>
          <w:rFonts w:cs="Arial"/>
          <w:szCs w:val="22"/>
        </w:rPr>
        <w:t xml:space="preserve">conflicts of interest between the UCITS, the investor in the UCITS, the management company and in itself, unless the depositary has functionally and hierarchically separated the performance of its depositary tasks from its other potential conflicting tasks and the potential conflicts of interest are properly identified, managed, monitored and disclosed to the investors of the UCITS. As ESMA rightly states in paragraph 39 </w:t>
      </w:r>
      <w:r w:rsidRPr="00756A35">
        <w:rPr>
          <w:rFonts w:cs="Arial"/>
          <w:i/>
          <w:szCs w:val="22"/>
        </w:rPr>
        <w:t>‘… such empowerment does not relate to the independence of the management company/investment company and the depositary in general (i.e. it only relates to the links between these entities).</w:t>
      </w:r>
      <w:r w:rsidRPr="00756A35">
        <w:rPr>
          <w:rFonts w:cs="Arial"/>
          <w:szCs w:val="22"/>
        </w:rPr>
        <w:t xml:space="preserve">’ Moreover, already de </w:t>
      </w:r>
      <w:r w:rsidRPr="00756A35">
        <w:rPr>
          <w:rFonts w:cs="Arial"/>
          <w:i/>
          <w:szCs w:val="22"/>
        </w:rPr>
        <w:t>lege lata</w:t>
      </w:r>
      <w:r w:rsidRPr="00756A35">
        <w:rPr>
          <w:rFonts w:cs="Arial"/>
          <w:szCs w:val="22"/>
        </w:rPr>
        <w:t xml:space="preserve">, there are a number of statutory provisions that ensure the mutual independence of the asset management company and the depositary. These and other provisions that regulate investment services already provide for a system of "checks and balances" between the management company and the depositary. </w:t>
      </w:r>
      <w:r>
        <w:rPr>
          <w:rFonts w:cs="Arial"/>
          <w:szCs w:val="22"/>
        </w:rPr>
        <w:t>The Association</w:t>
      </w:r>
      <w:r w:rsidRPr="00756A35">
        <w:rPr>
          <w:rFonts w:cs="Arial"/>
          <w:szCs w:val="22"/>
        </w:rPr>
        <w:t xml:space="preserve"> would like to stress that already today the activities of depositaries are intensively examined in detail by independent auditors on a yearly basis. Moreover, </w:t>
      </w:r>
      <w:r>
        <w:rPr>
          <w:rFonts w:cs="Arial"/>
          <w:szCs w:val="22"/>
        </w:rPr>
        <w:t xml:space="preserve">in many cases, </w:t>
      </w:r>
      <w:r w:rsidRPr="00756A35">
        <w:rPr>
          <w:rFonts w:cs="Arial"/>
          <w:szCs w:val="22"/>
        </w:rPr>
        <w:t xml:space="preserve">depositaries are already strictly supervised credit institutions, and the competent supervisory authorities can always take action in case a problem is observed. Respective conflicts of interest are already covered by detailed compliance rules. </w:t>
      </w:r>
    </w:p>
    <w:p w14:paraId="64DE8569" w14:textId="77777777" w:rsidR="000D4174" w:rsidRDefault="000D4174" w:rsidP="00783047"/>
    <w:p w14:paraId="47B106C1" w14:textId="77777777" w:rsidR="00783047" w:rsidRDefault="00783047" w:rsidP="00783047">
      <w:r>
        <w:t>&lt;ESMA_UCITS_QUESTION_13&gt;</w:t>
      </w:r>
    </w:p>
    <w:p w14:paraId="6D5CEC62" w14:textId="77777777" w:rsidR="00783047" w:rsidRDefault="00783047" w:rsidP="00783047"/>
    <w:p w14:paraId="20E55660" w14:textId="77777777" w:rsidR="00783047" w:rsidRDefault="00783047" w:rsidP="00783047">
      <w:pPr>
        <w:pStyle w:val="Heading5"/>
        <w:keepNext w:val="0"/>
        <w:keepLines w:val="0"/>
        <w:numPr>
          <w:ilvl w:val="0"/>
          <w:numId w:val="6"/>
        </w:numPr>
        <w:spacing w:after="250" w:line="276" w:lineRule="auto"/>
        <w:ind w:left="0" w:firstLine="0"/>
      </w:pPr>
      <w:r>
        <w:t>Do you consider that any additional links should be taken into account such as, for instance, the existence of any contractual commitment or other relationship which would affect the independence of the Relevant Entities? If yes, please provide details.</w:t>
      </w:r>
    </w:p>
    <w:p w14:paraId="192F7493" w14:textId="77777777" w:rsidR="00783047" w:rsidRDefault="00783047" w:rsidP="00783047">
      <w:r>
        <w:t>&lt;ESMA_UCITS_QUESTION_14&gt;</w:t>
      </w:r>
    </w:p>
    <w:p w14:paraId="4C97DAC2" w14:textId="77777777" w:rsidR="000D4174" w:rsidRPr="00756A35" w:rsidRDefault="000D4174" w:rsidP="000D4174">
      <w:pPr>
        <w:spacing w:line="360" w:lineRule="auto"/>
        <w:contextualSpacing/>
        <w:jc w:val="both"/>
        <w:rPr>
          <w:rFonts w:cs="Arial"/>
          <w:szCs w:val="22"/>
        </w:rPr>
      </w:pPr>
      <w:r w:rsidRPr="00756A35">
        <w:rPr>
          <w:rFonts w:cs="Arial"/>
          <w:szCs w:val="22"/>
        </w:rPr>
        <w:t xml:space="preserve">No. </w:t>
      </w:r>
      <w:r w:rsidR="00D0217F" w:rsidRPr="00756A35">
        <w:rPr>
          <w:rFonts w:cs="Arial"/>
          <w:szCs w:val="22"/>
        </w:rPr>
        <w:t>What counts first and foremost is the robustness of the group as a whole and</w:t>
      </w:r>
      <w:r w:rsidR="00D0217F">
        <w:rPr>
          <w:rFonts w:cs="Arial"/>
          <w:szCs w:val="22"/>
        </w:rPr>
        <w:t xml:space="preserve"> the anti-conflicts of interest</w:t>
      </w:r>
      <w:r w:rsidR="00D0217F" w:rsidRPr="00756A35">
        <w:rPr>
          <w:rFonts w:cs="Arial"/>
          <w:szCs w:val="22"/>
        </w:rPr>
        <w:t xml:space="preserve"> policies that it has put in place as required by other regulations. </w:t>
      </w:r>
      <w:r w:rsidRPr="00756A35">
        <w:rPr>
          <w:rFonts w:cs="Arial"/>
          <w:szCs w:val="22"/>
        </w:rPr>
        <w:t>In addition</w:t>
      </w:r>
      <w:r>
        <w:rPr>
          <w:rFonts w:cs="Arial"/>
          <w:szCs w:val="22"/>
        </w:rPr>
        <w:t>,</w:t>
      </w:r>
      <w:r w:rsidRPr="00756A35">
        <w:rPr>
          <w:rFonts w:cs="Arial"/>
          <w:szCs w:val="22"/>
        </w:rPr>
        <w:t xml:space="preserve"> it is likely that a regulation may not draw an exhaustive list of all </w:t>
      </w:r>
      <w:r w:rsidR="00D0217F" w:rsidRPr="00756A35">
        <w:rPr>
          <w:rFonts w:cs="Arial"/>
          <w:szCs w:val="22"/>
        </w:rPr>
        <w:t>cases;</w:t>
      </w:r>
      <w:r w:rsidRPr="00756A35">
        <w:rPr>
          <w:rFonts w:cs="Arial"/>
          <w:szCs w:val="22"/>
        </w:rPr>
        <w:t xml:space="preserve"> the ABBL would therefore propose to concentrate on the principles.</w:t>
      </w:r>
    </w:p>
    <w:p w14:paraId="78B01685" w14:textId="77777777" w:rsidR="00783047" w:rsidRDefault="00783047" w:rsidP="00783047">
      <w:r>
        <w:t>&lt;ESMA_UCITS_QUESTION_14&gt;</w:t>
      </w:r>
    </w:p>
    <w:p w14:paraId="165CE88D" w14:textId="77777777" w:rsidR="00783047" w:rsidRDefault="00783047" w:rsidP="00783047"/>
    <w:p w14:paraId="055222FF" w14:textId="77777777" w:rsidR="00783047" w:rsidRDefault="00783047" w:rsidP="00783047">
      <w:pPr>
        <w:pStyle w:val="Heading5"/>
        <w:keepNext w:val="0"/>
        <w:keepLines w:val="0"/>
        <w:numPr>
          <w:ilvl w:val="0"/>
          <w:numId w:val="6"/>
        </w:numPr>
        <w:spacing w:after="250" w:line="276" w:lineRule="auto"/>
        <w:ind w:left="0" w:firstLine="0"/>
      </w:pPr>
      <w:r>
        <w:t>Do you consider that the cumulative presence of all or some of the identified links is necessary to jeopardise the independence of the Relevant Entities or the presence of any of these links is sufficient to determine a lack of independence?</w:t>
      </w:r>
    </w:p>
    <w:p w14:paraId="3B1545D6" w14:textId="77777777" w:rsidR="00783047" w:rsidRDefault="00783047" w:rsidP="00783047">
      <w:r>
        <w:t>&lt;ESMA_UCITS_QUESTION_15&gt;</w:t>
      </w:r>
    </w:p>
    <w:p w14:paraId="3A24FB3C" w14:textId="77777777" w:rsidR="000D4174" w:rsidRPr="00756A35" w:rsidRDefault="000D4174" w:rsidP="000D4174">
      <w:pPr>
        <w:spacing w:line="360" w:lineRule="auto"/>
        <w:contextualSpacing/>
        <w:jc w:val="both"/>
        <w:rPr>
          <w:rFonts w:cs="Arial"/>
          <w:szCs w:val="22"/>
        </w:rPr>
      </w:pPr>
      <w:r w:rsidRPr="00756A35">
        <w:rPr>
          <w:rFonts w:cs="Arial"/>
          <w:szCs w:val="22"/>
        </w:rPr>
        <w:t xml:space="preserve">No at the very least because both links shall be analysed separately rather than cumulatively. </w:t>
      </w:r>
      <w:r>
        <w:rPr>
          <w:rFonts w:cs="Arial"/>
          <w:szCs w:val="22"/>
        </w:rPr>
        <w:t>Potential</w:t>
      </w:r>
      <w:r w:rsidRPr="00756A35">
        <w:rPr>
          <w:rFonts w:cs="Arial"/>
          <w:szCs w:val="22"/>
        </w:rPr>
        <w:t xml:space="preserve"> conflicts are mitigated by means of functionally and hierarchically separation of performance of the depositary function (tasks) from other potential conflicting tasks. Prohibition of performing certain activities shall take into account </w:t>
      </w:r>
      <w:r>
        <w:rPr>
          <w:rFonts w:cs="Arial"/>
          <w:szCs w:val="22"/>
        </w:rPr>
        <w:t xml:space="preserve">both </w:t>
      </w:r>
      <w:r w:rsidRPr="00756A35">
        <w:rPr>
          <w:rFonts w:cs="Arial"/>
          <w:szCs w:val="22"/>
        </w:rPr>
        <w:t>the functional level in the hierarchy of institutions and focus on the task performed. Namely, for universal banks having a depositary department</w:t>
      </w:r>
      <w:r>
        <w:rPr>
          <w:rFonts w:cs="Arial"/>
          <w:szCs w:val="22"/>
        </w:rPr>
        <w:t xml:space="preserve"> </w:t>
      </w:r>
      <w:r w:rsidRPr="00756A35">
        <w:rPr>
          <w:rFonts w:cs="Arial"/>
          <w:szCs w:val="22"/>
        </w:rPr>
        <w:t>maybe the head of the department shall not be performing decision making tasks for the ManCo, but what if the CFO is both in charge of finance for the depositary and the ManCo even if it is a separated, but consolidated entity. Furthermore, whenever potential conflicts of interests are identified they are managed, monitored and adequately disclosed to unit-holders via the prospectus of the UCITS or by other means.</w:t>
      </w:r>
    </w:p>
    <w:p w14:paraId="37C6F421" w14:textId="77777777" w:rsidR="000D4174" w:rsidRDefault="000D4174" w:rsidP="00783047"/>
    <w:p w14:paraId="66906CD4" w14:textId="77777777" w:rsidR="00783047" w:rsidRDefault="00783047" w:rsidP="00783047">
      <w:r>
        <w:t>&lt;ESMA_UCITS_QUESTION_15&gt;</w:t>
      </w:r>
    </w:p>
    <w:p w14:paraId="4DABEEDC" w14:textId="77777777" w:rsidR="00783047" w:rsidRDefault="00783047" w:rsidP="00783047"/>
    <w:p w14:paraId="57F752B3" w14:textId="77777777" w:rsidR="00783047" w:rsidRDefault="00783047" w:rsidP="00783047">
      <w:pPr>
        <w:pStyle w:val="Heading5"/>
        <w:keepNext w:val="0"/>
        <w:keepLines w:val="0"/>
        <w:numPr>
          <w:ilvl w:val="0"/>
          <w:numId w:val="6"/>
        </w:numPr>
        <w:spacing w:after="250" w:line="276" w:lineRule="auto"/>
        <w:ind w:left="0" w:firstLine="0"/>
      </w:pPr>
      <w:r>
        <w:t>Do you agree with the proposed option to ensure the separation of the ma</w:t>
      </w:r>
      <w:r>
        <w:t>n</w:t>
      </w:r>
      <w:r>
        <w:t>agement bodies/bodies in charge of the supervisory functions of the Relevant Ent</w:t>
      </w:r>
      <w:r>
        <w:t>i</w:t>
      </w:r>
      <w:r>
        <w:t xml:space="preserve">ties? </w:t>
      </w:r>
    </w:p>
    <w:p w14:paraId="462C82A1" w14:textId="77777777" w:rsidR="00783047" w:rsidRDefault="00783047" w:rsidP="00783047">
      <w:pPr>
        <w:pStyle w:val="Heading5"/>
        <w:keepNext w:val="0"/>
        <w:keepLines w:val="0"/>
        <w:numPr>
          <w:ilvl w:val="0"/>
          <w:numId w:val="0"/>
        </w:numPr>
        <w:spacing w:after="250" w:line="276" w:lineRule="auto"/>
      </w:pPr>
      <w:r>
        <w:t>Do you have any alternative options to suggest, taking into account those identified under paragraph 47?</w:t>
      </w:r>
    </w:p>
    <w:p w14:paraId="349C4004" w14:textId="77777777" w:rsidR="00783047" w:rsidRDefault="00783047" w:rsidP="00783047">
      <w:r>
        <w:t>&lt;ESMA_UCITS_QUESTION_16&gt;</w:t>
      </w:r>
    </w:p>
    <w:p w14:paraId="6950B803" w14:textId="77777777" w:rsidR="000D4174" w:rsidRDefault="000D4174" w:rsidP="000D4174">
      <w:pPr>
        <w:spacing w:line="360" w:lineRule="auto"/>
        <w:contextualSpacing/>
        <w:jc w:val="both"/>
        <w:rPr>
          <w:rFonts w:cs="Arial"/>
          <w:szCs w:val="22"/>
        </w:rPr>
      </w:pPr>
      <w:r w:rsidRPr="00756A35">
        <w:rPr>
          <w:rFonts w:cs="Arial"/>
          <w:szCs w:val="22"/>
        </w:rPr>
        <w:t xml:space="preserve">No, </w:t>
      </w:r>
      <w:r>
        <w:rPr>
          <w:rFonts w:cs="Arial"/>
          <w:szCs w:val="22"/>
        </w:rPr>
        <w:t>the ABBL</w:t>
      </w:r>
      <w:r w:rsidRPr="00756A35">
        <w:rPr>
          <w:rFonts w:cs="Arial"/>
          <w:szCs w:val="22"/>
        </w:rPr>
        <w:t xml:space="preserve"> partly disagree</w:t>
      </w:r>
      <w:r>
        <w:rPr>
          <w:rFonts w:cs="Arial"/>
          <w:szCs w:val="22"/>
        </w:rPr>
        <w:t>s</w:t>
      </w:r>
      <w:r w:rsidRPr="00756A35">
        <w:rPr>
          <w:rFonts w:cs="Arial"/>
          <w:szCs w:val="22"/>
        </w:rPr>
        <w:t>. As a general remark</w:t>
      </w:r>
      <w:r>
        <w:rPr>
          <w:rFonts w:cs="Arial"/>
          <w:szCs w:val="22"/>
        </w:rPr>
        <w:t xml:space="preserve">, the Association </w:t>
      </w:r>
      <w:r w:rsidRPr="00756A35">
        <w:rPr>
          <w:rFonts w:cs="Arial"/>
          <w:szCs w:val="22"/>
        </w:rPr>
        <w:t xml:space="preserve">would like to emphasis that the integrated business model/universal bank organisation model have proven in the past its robustness and resilience. It should be acknowledged that universal banks bring benefits in terms of client service and more broadly that activities such as asset management usefully contribute to the financing of the economy. Against this background, the established and proven European universal banking model should not be jeopardized by the proposed independent requirements. </w:t>
      </w:r>
      <w:r>
        <w:rPr>
          <w:rFonts w:cs="Arial"/>
          <w:szCs w:val="22"/>
        </w:rPr>
        <w:t>A</w:t>
      </w:r>
      <w:r w:rsidRPr="00756A35">
        <w:rPr>
          <w:rFonts w:cs="Arial"/>
          <w:szCs w:val="22"/>
        </w:rPr>
        <w:t xml:space="preserve">lready </w:t>
      </w:r>
      <w:r>
        <w:rPr>
          <w:rFonts w:cs="Arial"/>
          <w:szCs w:val="22"/>
        </w:rPr>
        <w:t>today</w:t>
      </w:r>
      <w:r w:rsidRPr="00756A35">
        <w:rPr>
          <w:rFonts w:cs="Arial"/>
          <w:szCs w:val="22"/>
        </w:rPr>
        <w:t xml:space="preserve"> supervisory practices are in </w:t>
      </w:r>
      <w:r w:rsidR="00D0217F" w:rsidRPr="00756A35">
        <w:rPr>
          <w:rFonts w:cs="Arial"/>
          <w:szCs w:val="22"/>
        </w:rPr>
        <w:t>place, which</w:t>
      </w:r>
      <w:r w:rsidRPr="00756A35">
        <w:rPr>
          <w:rFonts w:cs="Arial"/>
          <w:szCs w:val="22"/>
        </w:rPr>
        <w:t xml:space="preserve"> sustainabl</w:t>
      </w:r>
      <w:r>
        <w:rPr>
          <w:rFonts w:cs="Arial"/>
          <w:szCs w:val="22"/>
        </w:rPr>
        <w:t>y</w:t>
      </w:r>
      <w:r w:rsidRPr="00756A35">
        <w:rPr>
          <w:rFonts w:cs="Arial"/>
          <w:szCs w:val="22"/>
        </w:rPr>
        <w:t xml:space="preserve"> ensure independence between the management company, investment company on one side and the depositary one the other side. </w:t>
      </w:r>
    </w:p>
    <w:p w14:paraId="58B02DC5" w14:textId="77777777" w:rsidR="000D4174" w:rsidRDefault="000D4174" w:rsidP="000D4174">
      <w:pPr>
        <w:spacing w:line="360" w:lineRule="auto"/>
        <w:contextualSpacing/>
        <w:jc w:val="both"/>
        <w:rPr>
          <w:rFonts w:cs="Arial"/>
          <w:szCs w:val="22"/>
        </w:rPr>
      </w:pPr>
    </w:p>
    <w:p w14:paraId="79D8C0DE" w14:textId="77777777" w:rsidR="000D4174" w:rsidRPr="00756A35" w:rsidRDefault="000D4174" w:rsidP="000D4174">
      <w:pPr>
        <w:spacing w:line="360" w:lineRule="auto"/>
        <w:contextualSpacing/>
        <w:jc w:val="both"/>
        <w:rPr>
          <w:rFonts w:cs="Arial"/>
          <w:i/>
          <w:szCs w:val="22"/>
        </w:rPr>
      </w:pPr>
      <w:r w:rsidRPr="00756A35">
        <w:rPr>
          <w:rFonts w:cs="Arial"/>
          <w:szCs w:val="22"/>
        </w:rPr>
        <w:t>In line with the approach taken by the Commission de Surveillance du Secteur Financier (‘CSSF’) we suggest a</w:t>
      </w:r>
      <w:r w:rsidRPr="00756A35">
        <w:rPr>
          <w:rFonts w:cs="Arial"/>
          <w:i/>
          <w:szCs w:val="22"/>
        </w:rPr>
        <w:t>s an alternative to the first option that</w:t>
      </w:r>
      <w:r w:rsidRPr="00756A35">
        <w:rPr>
          <w:rFonts w:cs="Arial"/>
          <w:szCs w:val="22"/>
        </w:rPr>
        <w:t xml:space="preserve"> </w:t>
      </w:r>
      <w:r w:rsidRPr="00756A35">
        <w:rPr>
          <w:rFonts w:cs="Arial"/>
          <w:i/>
          <w:szCs w:val="22"/>
        </w:rPr>
        <w:t xml:space="preserve">the management body of one of the Relevant Entities should not </w:t>
      </w:r>
      <w:r>
        <w:rPr>
          <w:rFonts w:cs="Arial"/>
          <w:i/>
          <w:szCs w:val="22"/>
        </w:rPr>
        <w:t xml:space="preserve">be </w:t>
      </w:r>
      <w:r w:rsidRPr="00756A35">
        <w:rPr>
          <w:rFonts w:cs="Arial"/>
          <w:i/>
          <w:szCs w:val="22"/>
          <w:u w:val="single"/>
        </w:rPr>
        <w:t>predominantly composed</w:t>
      </w:r>
      <w:r w:rsidRPr="00756A35">
        <w:rPr>
          <w:rFonts w:cs="Arial"/>
          <w:i/>
          <w:szCs w:val="22"/>
        </w:rPr>
        <w:t xml:space="preserve"> of representatives from member(s) of the management body or employee(s) of the other Relevant Entity.</w:t>
      </w:r>
    </w:p>
    <w:p w14:paraId="0B6C10D8" w14:textId="77777777" w:rsidR="000D4174" w:rsidRPr="00756A35" w:rsidRDefault="000D4174" w:rsidP="000D4174">
      <w:pPr>
        <w:spacing w:line="360" w:lineRule="auto"/>
        <w:contextualSpacing/>
        <w:jc w:val="both"/>
        <w:rPr>
          <w:rFonts w:cs="Arial"/>
          <w:i/>
          <w:szCs w:val="22"/>
        </w:rPr>
      </w:pPr>
    </w:p>
    <w:p w14:paraId="4BCEDC40" w14:textId="77777777" w:rsidR="000D4174" w:rsidRPr="00756A35" w:rsidRDefault="000D4174" w:rsidP="000D4174">
      <w:pPr>
        <w:spacing w:line="360" w:lineRule="auto"/>
        <w:contextualSpacing/>
        <w:jc w:val="both"/>
        <w:rPr>
          <w:rFonts w:cs="Arial"/>
          <w:i/>
          <w:szCs w:val="22"/>
        </w:rPr>
      </w:pPr>
      <w:r w:rsidRPr="00756A35">
        <w:rPr>
          <w:rFonts w:cs="Arial"/>
          <w:i/>
          <w:szCs w:val="22"/>
        </w:rPr>
        <w:t>In case of direct/indirect shareholding or qualified participation of the Depositary in a management</w:t>
      </w:r>
      <w:r>
        <w:rPr>
          <w:rFonts w:cs="Arial"/>
          <w:i/>
          <w:szCs w:val="22"/>
        </w:rPr>
        <w:t xml:space="preserve"> </w:t>
      </w:r>
      <w:r w:rsidRPr="00756A35">
        <w:rPr>
          <w:rFonts w:cs="Arial"/>
          <w:i/>
          <w:szCs w:val="22"/>
        </w:rPr>
        <w:t>company,</w:t>
      </w:r>
    </w:p>
    <w:p w14:paraId="59E45C6A" w14:textId="77777777" w:rsidR="000D4174" w:rsidRPr="00756A35" w:rsidRDefault="000D4174" w:rsidP="000D4174">
      <w:pPr>
        <w:pStyle w:val="ListParagraph"/>
        <w:numPr>
          <w:ilvl w:val="1"/>
          <w:numId w:val="8"/>
        </w:numPr>
        <w:spacing w:line="360" w:lineRule="auto"/>
        <w:ind w:firstLine="0"/>
        <w:jc w:val="both"/>
        <w:rPr>
          <w:rFonts w:ascii="Arial" w:hAnsi="Arial" w:cs="Arial"/>
          <w:i/>
          <w:color w:val="auto"/>
          <w:sz w:val="22"/>
          <w:szCs w:val="22"/>
          <w:lang w:val="en-US"/>
        </w:rPr>
      </w:pPr>
      <w:r w:rsidRPr="00756A35">
        <w:rPr>
          <w:rFonts w:ascii="Arial" w:hAnsi="Arial" w:cs="Arial"/>
          <w:i/>
          <w:color w:val="auto"/>
          <w:sz w:val="22"/>
          <w:szCs w:val="22"/>
          <w:lang w:val="en-US"/>
        </w:rPr>
        <w:t>the Depositary and the UCITS shall take into consideration such qualified participation in their respective conflict of interests policy; and</w:t>
      </w:r>
    </w:p>
    <w:p w14:paraId="28BA2E31" w14:textId="77777777" w:rsidR="000D4174" w:rsidRPr="00756A35" w:rsidRDefault="000D4174" w:rsidP="000D4174">
      <w:pPr>
        <w:pStyle w:val="ListParagraph"/>
        <w:numPr>
          <w:ilvl w:val="1"/>
          <w:numId w:val="8"/>
        </w:numPr>
        <w:spacing w:line="360" w:lineRule="auto"/>
        <w:ind w:firstLine="0"/>
        <w:jc w:val="both"/>
        <w:rPr>
          <w:rFonts w:ascii="Arial" w:hAnsi="Arial" w:cs="Arial"/>
          <w:i/>
          <w:color w:val="auto"/>
          <w:sz w:val="22"/>
          <w:szCs w:val="22"/>
          <w:lang w:val="en-US"/>
        </w:rPr>
      </w:pPr>
      <w:r w:rsidRPr="00756A35">
        <w:rPr>
          <w:rFonts w:ascii="Arial" w:hAnsi="Arial" w:cs="Arial"/>
          <w:i/>
          <w:color w:val="auto"/>
          <w:sz w:val="22"/>
          <w:szCs w:val="22"/>
          <w:lang w:val="en-US"/>
        </w:rPr>
        <w:t>when the Depositary is shareholder of the management company, managers and employees of the Depositary business line can accept to be appointed director(s) of the management company/ self-managed SICAV</w:t>
      </w:r>
      <w:r w:rsidRPr="00756A35">
        <w:rPr>
          <w:rFonts w:ascii="Arial" w:hAnsi="Arial" w:cs="Arial"/>
          <w:color w:val="auto"/>
          <w:sz w:val="22"/>
          <w:szCs w:val="22"/>
          <w:lang w:val="en-US" w:eastAsia="en-GB"/>
        </w:rPr>
        <w:t xml:space="preserve"> </w:t>
      </w:r>
      <w:r w:rsidRPr="00756A35">
        <w:rPr>
          <w:rFonts w:ascii="Arial" w:hAnsi="Arial" w:cs="Arial"/>
          <w:i/>
          <w:color w:val="auto"/>
          <w:sz w:val="22"/>
          <w:szCs w:val="22"/>
          <w:lang w:val="en-US"/>
        </w:rPr>
        <w:t>provided they do not represent the majority of the board members.</w:t>
      </w:r>
    </w:p>
    <w:p w14:paraId="098AE5EC" w14:textId="77777777" w:rsidR="000D4174" w:rsidRPr="00756A35" w:rsidRDefault="000D4174" w:rsidP="000D4174">
      <w:pPr>
        <w:spacing w:line="360" w:lineRule="auto"/>
        <w:contextualSpacing/>
        <w:jc w:val="both"/>
        <w:rPr>
          <w:rFonts w:cs="Arial"/>
          <w:szCs w:val="22"/>
        </w:rPr>
      </w:pPr>
      <w:r w:rsidRPr="00756A35">
        <w:rPr>
          <w:rFonts w:cs="Arial"/>
          <w:szCs w:val="22"/>
        </w:rPr>
        <w:t xml:space="preserve">In addition, the principle of independence of the management company from the depositary prevents a conducting officer (‘senior management’) from being employed by the depositary of a </w:t>
      </w:r>
      <w:r w:rsidR="00D0217F" w:rsidRPr="00756A35">
        <w:rPr>
          <w:rFonts w:cs="Arial"/>
          <w:szCs w:val="22"/>
        </w:rPr>
        <w:t>UCITS that</w:t>
      </w:r>
      <w:r w:rsidRPr="00756A35">
        <w:rPr>
          <w:rFonts w:cs="Arial"/>
          <w:szCs w:val="22"/>
        </w:rPr>
        <w:t xml:space="preserve"> the management company manages. </w:t>
      </w:r>
    </w:p>
    <w:p w14:paraId="30A3333A" w14:textId="77777777" w:rsidR="000D4174" w:rsidRPr="00756A35" w:rsidRDefault="000D4174" w:rsidP="000D4174">
      <w:pPr>
        <w:spacing w:line="360" w:lineRule="auto"/>
        <w:contextualSpacing/>
        <w:jc w:val="both"/>
        <w:rPr>
          <w:rFonts w:cs="Arial"/>
          <w:szCs w:val="22"/>
        </w:rPr>
      </w:pPr>
    </w:p>
    <w:p w14:paraId="7FF0FD27" w14:textId="77777777" w:rsidR="000D4174" w:rsidRPr="00756A35" w:rsidRDefault="000D4174" w:rsidP="000D4174">
      <w:pPr>
        <w:spacing w:line="360" w:lineRule="auto"/>
        <w:contextualSpacing/>
        <w:jc w:val="both"/>
        <w:rPr>
          <w:rFonts w:cs="Arial"/>
          <w:szCs w:val="22"/>
        </w:rPr>
      </w:pPr>
      <w:r>
        <w:rPr>
          <w:rFonts w:cs="Arial"/>
          <w:szCs w:val="22"/>
        </w:rPr>
        <w:t xml:space="preserve">An alternative </w:t>
      </w:r>
      <w:r w:rsidRPr="00756A35">
        <w:rPr>
          <w:rFonts w:cs="Arial"/>
          <w:szCs w:val="22"/>
        </w:rPr>
        <w:t xml:space="preserve">option could be to provide that those members of the management body </w:t>
      </w:r>
      <w:r>
        <w:rPr>
          <w:rFonts w:cs="Arial"/>
          <w:szCs w:val="22"/>
        </w:rPr>
        <w:t xml:space="preserve">(taking care of the appropriate hierarchical level) </w:t>
      </w:r>
      <w:r w:rsidRPr="00756A35">
        <w:rPr>
          <w:rFonts w:cs="Arial"/>
          <w:szCs w:val="22"/>
        </w:rPr>
        <w:t>of one of the Relevant Entities who are also members of the management body or employees of the other Relevant Entity have limits in their decision - making capacity in the latter Relevant Entity.</w:t>
      </w:r>
    </w:p>
    <w:p w14:paraId="5B2CAD23" w14:textId="77777777" w:rsidR="000D4174" w:rsidRPr="00756A35" w:rsidRDefault="000D4174" w:rsidP="000D4174">
      <w:pPr>
        <w:spacing w:line="360" w:lineRule="auto"/>
        <w:contextualSpacing/>
        <w:jc w:val="both"/>
        <w:rPr>
          <w:rFonts w:cs="Arial"/>
          <w:szCs w:val="22"/>
        </w:rPr>
      </w:pPr>
    </w:p>
    <w:p w14:paraId="5BFB0E2D" w14:textId="77777777" w:rsidR="000D4174" w:rsidRPr="00756A35" w:rsidRDefault="000D4174" w:rsidP="000D4174">
      <w:pPr>
        <w:spacing w:line="360" w:lineRule="auto"/>
        <w:contextualSpacing/>
        <w:jc w:val="both"/>
        <w:rPr>
          <w:rFonts w:cs="Arial"/>
          <w:szCs w:val="22"/>
        </w:rPr>
      </w:pPr>
      <w:r w:rsidRPr="00756A35">
        <w:rPr>
          <w:rFonts w:cs="Arial"/>
          <w:szCs w:val="22"/>
        </w:rPr>
        <w:t xml:space="preserve">Finally, </w:t>
      </w:r>
      <w:r>
        <w:rPr>
          <w:rFonts w:cs="Arial"/>
          <w:szCs w:val="22"/>
        </w:rPr>
        <w:t>the ABBL</w:t>
      </w:r>
      <w:r w:rsidRPr="00756A35">
        <w:rPr>
          <w:rFonts w:cs="Arial"/>
          <w:szCs w:val="22"/>
        </w:rPr>
        <w:t xml:space="preserve"> believe</w:t>
      </w:r>
      <w:r>
        <w:rPr>
          <w:rFonts w:cs="Arial"/>
          <w:szCs w:val="22"/>
        </w:rPr>
        <w:t>s</w:t>
      </w:r>
      <w:r w:rsidRPr="00756A35">
        <w:rPr>
          <w:rFonts w:cs="Arial"/>
          <w:szCs w:val="22"/>
        </w:rPr>
        <w:t xml:space="preserve"> that ESMA’s proposals would put the integrative model into disadvantage compared to the independent companies. </w:t>
      </w:r>
    </w:p>
    <w:p w14:paraId="495BB4DB" w14:textId="77777777" w:rsidR="00783047" w:rsidRDefault="00783047" w:rsidP="00783047">
      <w:r>
        <w:t>&lt;ESMA_UCITS_QUESTION_16&gt;</w:t>
      </w:r>
    </w:p>
    <w:p w14:paraId="5E360D99" w14:textId="77777777" w:rsidR="00783047" w:rsidRDefault="00783047" w:rsidP="00783047"/>
    <w:p w14:paraId="5AB490D4" w14:textId="77777777" w:rsidR="00783047" w:rsidRDefault="00783047" w:rsidP="00783047">
      <w:pPr>
        <w:pStyle w:val="Heading5"/>
        <w:keepNext w:val="0"/>
        <w:keepLines w:val="0"/>
        <w:numPr>
          <w:ilvl w:val="0"/>
          <w:numId w:val="6"/>
        </w:numPr>
        <w:spacing w:after="250" w:line="276" w:lineRule="auto"/>
        <w:ind w:left="0" w:firstLine="0"/>
      </w:pPr>
      <w:r>
        <w:t>Do you consider that the cap of one third of members of the body in charge of the supervisory functions of one of the Relevant Entities to also be members of the management body, the body in charge of the supervisory functions or employees of the other Rel</w:t>
      </w:r>
      <w:r>
        <w:t>e</w:t>
      </w:r>
      <w:r>
        <w:t>vant Entity is appropriate?</w:t>
      </w:r>
      <w:r>
        <w:rPr>
          <w:sz w:val="22"/>
        </w:rPr>
        <w:t xml:space="preserve"> </w:t>
      </w:r>
      <w:r>
        <w:t>Would you suggest any alternative percentage? If yes, please provide the reasons why.</w:t>
      </w:r>
    </w:p>
    <w:p w14:paraId="5C250495" w14:textId="77777777" w:rsidR="00783047" w:rsidRDefault="00783047" w:rsidP="00783047">
      <w:r>
        <w:t>&lt;ESMA_UCITS_QUESTION_17&gt;</w:t>
      </w:r>
    </w:p>
    <w:p w14:paraId="132DB3BB" w14:textId="77777777" w:rsidR="000D4174" w:rsidRPr="00756A35" w:rsidRDefault="000D4174" w:rsidP="000D4174">
      <w:pPr>
        <w:spacing w:line="360" w:lineRule="auto"/>
        <w:contextualSpacing/>
        <w:jc w:val="both"/>
        <w:rPr>
          <w:rFonts w:cs="Arial"/>
          <w:szCs w:val="22"/>
        </w:rPr>
      </w:pPr>
      <w:r w:rsidRPr="00756A35">
        <w:rPr>
          <w:rFonts w:cs="Arial"/>
          <w:szCs w:val="22"/>
        </w:rPr>
        <w:t xml:space="preserve">Provided that potential conflicts of interests are identified, managed, monitored and adequately disclosed to unit-holders </w:t>
      </w:r>
      <w:r>
        <w:rPr>
          <w:rFonts w:cs="Arial"/>
          <w:szCs w:val="22"/>
        </w:rPr>
        <w:t>there may not b</w:t>
      </w:r>
      <w:r w:rsidRPr="00756A35">
        <w:rPr>
          <w:rFonts w:cs="Arial"/>
          <w:szCs w:val="22"/>
        </w:rPr>
        <w:t xml:space="preserve">e </w:t>
      </w:r>
      <w:r>
        <w:rPr>
          <w:rFonts w:cs="Arial"/>
          <w:szCs w:val="22"/>
        </w:rPr>
        <w:t>a</w:t>
      </w:r>
      <w:r w:rsidRPr="00756A35">
        <w:rPr>
          <w:rFonts w:cs="Arial"/>
          <w:szCs w:val="22"/>
        </w:rPr>
        <w:t>dditional benefit</w:t>
      </w:r>
      <w:r>
        <w:rPr>
          <w:rFonts w:cs="Arial"/>
          <w:szCs w:val="22"/>
        </w:rPr>
        <w:t>s</w:t>
      </w:r>
      <w:r w:rsidRPr="00756A35">
        <w:rPr>
          <w:rFonts w:cs="Arial"/>
          <w:szCs w:val="22"/>
        </w:rPr>
        <w:t xml:space="preserve"> of a hard percentage </w:t>
      </w:r>
      <w:r>
        <w:rPr>
          <w:rFonts w:cs="Arial"/>
          <w:szCs w:val="22"/>
        </w:rPr>
        <w:t>when</w:t>
      </w:r>
      <w:r w:rsidRPr="00756A35">
        <w:rPr>
          <w:rFonts w:cs="Arial"/>
          <w:szCs w:val="22"/>
        </w:rPr>
        <w:t xml:space="preserve"> it is ensured that not a majority of members of the body in charge of the supervisory functions of one of the Relevant Entities is also members of the management body, the body in charge of the supervisory functions or employees of the other Relevant Entity. Furthermore the 1/3</w:t>
      </w:r>
      <w:r w:rsidRPr="00756A35">
        <w:rPr>
          <w:rFonts w:cs="Arial"/>
          <w:szCs w:val="22"/>
          <w:vertAlign w:val="superscript"/>
        </w:rPr>
        <w:t>rd</w:t>
      </w:r>
      <w:r w:rsidRPr="00756A35">
        <w:rPr>
          <w:rFonts w:cs="Arial"/>
          <w:szCs w:val="22"/>
        </w:rPr>
        <w:t xml:space="preserve"> requirement may be workable only in small structures, but if there are today already 10 members it means that one additional third, thus five persons will have to be appointed, more cost for what benefits?</w:t>
      </w:r>
    </w:p>
    <w:p w14:paraId="5B54BA1D" w14:textId="77777777" w:rsidR="00783047" w:rsidRDefault="00783047" w:rsidP="00783047">
      <w:r>
        <w:t>&lt;ESMA_UCITS_QUESTION_17&gt;</w:t>
      </w:r>
    </w:p>
    <w:p w14:paraId="5C74D8AE" w14:textId="77777777" w:rsidR="00783047" w:rsidRDefault="00783047" w:rsidP="00783047"/>
    <w:p w14:paraId="09A96581" w14:textId="77777777" w:rsidR="00783047" w:rsidRDefault="00783047" w:rsidP="00783047">
      <w:pPr>
        <w:pStyle w:val="Heading5"/>
        <w:keepNext w:val="0"/>
        <w:keepLines w:val="0"/>
        <w:numPr>
          <w:ilvl w:val="0"/>
          <w:numId w:val="6"/>
        </w:numPr>
        <w:spacing w:after="250" w:line="276" w:lineRule="auto"/>
        <w:ind w:left="0" w:firstLine="0"/>
      </w:pPr>
      <w:r>
        <w:t>Do you have knowledge of any restructuring in the composition of the ma</w:t>
      </w:r>
      <w:r>
        <w:t>n</w:t>
      </w:r>
      <w:r>
        <w:t>agement bodies/bodies in charge of the supervisory functions of any Relevant Ent</w:t>
      </w:r>
      <w:r>
        <w:t>i</w:t>
      </w:r>
      <w:r>
        <w:t>ties that would be triggered by the identified option? If yes, please provide data and an estimation of the one-off and ongoing costs that would be incurred.</w:t>
      </w:r>
    </w:p>
    <w:p w14:paraId="42A7B49E" w14:textId="77777777" w:rsidR="00783047" w:rsidRDefault="00783047" w:rsidP="00783047">
      <w:r>
        <w:t>&lt;ESMA_UCITS_QUESTION_18&gt;</w:t>
      </w:r>
    </w:p>
    <w:p w14:paraId="36C8F86D" w14:textId="77777777" w:rsidR="000D4174" w:rsidRPr="00756A35" w:rsidRDefault="000D4174" w:rsidP="000D4174">
      <w:pPr>
        <w:spacing w:line="360" w:lineRule="auto"/>
        <w:contextualSpacing/>
        <w:jc w:val="both"/>
        <w:rPr>
          <w:rFonts w:cs="Arial"/>
          <w:szCs w:val="22"/>
        </w:rPr>
      </w:pPr>
      <w:r w:rsidRPr="00756A35">
        <w:rPr>
          <w:rFonts w:cs="Arial"/>
          <w:szCs w:val="22"/>
        </w:rPr>
        <w:t>The ABBL is not in a position to answer, as it would depend on each group structure</w:t>
      </w:r>
      <w:r>
        <w:rPr>
          <w:rFonts w:cs="Arial"/>
          <w:szCs w:val="22"/>
        </w:rPr>
        <w:t xml:space="preserve"> and occurrence of such cases under the UCITS regulation</w:t>
      </w:r>
      <w:r w:rsidRPr="00756A35">
        <w:rPr>
          <w:rFonts w:cs="Arial"/>
          <w:szCs w:val="22"/>
        </w:rPr>
        <w:t>.</w:t>
      </w:r>
    </w:p>
    <w:p w14:paraId="56EF3E12" w14:textId="77777777" w:rsidR="00783047" w:rsidRDefault="00783047" w:rsidP="00783047">
      <w:r>
        <w:t>&lt;ESMA_UCITS_QUESTION_18&gt;</w:t>
      </w:r>
    </w:p>
    <w:p w14:paraId="332D1587" w14:textId="77777777" w:rsidR="00783047" w:rsidRDefault="00783047" w:rsidP="00783047"/>
    <w:p w14:paraId="639F9F7A" w14:textId="77777777" w:rsidR="00783047" w:rsidRDefault="00783047" w:rsidP="00783047">
      <w:pPr>
        <w:pStyle w:val="Heading5"/>
        <w:keepNext w:val="0"/>
        <w:keepLines w:val="0"/>
        <w:numPr>
          <w:ilvl w:val="0"/>
          <w:numId w:val="6"/>
        </w:numPr>
        <w:spacing w:after="250" w:line="276" w:lineRule="auto"/>
        <w:ind w:left="0" w:firstLine="0"/>
      </w:pPr>
      <w:r>
        <w:t>Which of the two identified options do you prefer? Would you suggest any altern</w:t>
      </w:r>
      <w:r>
        <w:t>a</w:t>
      </w:r>
      <w:r>
        <w:t>tive option? If yes, please provide details.</w:t>
      </w:r>
    </w:p>
    <w:p w14:paraId="7DB5F770" w14:textId="77777777" w:rsidR="00783047" w:rsidRDefault="00783047" w:rsidP="00783047">
      <w:r>
        <w:t>&lt;ESMA_UCITS_QUESTION_19&gt;</w:t>
      </w:r>
    </w:p>
    <w:p w14:paraId="48E28803" w14:textId="77777777" w:rsidR="000D4174" w:rsidRPr="00756A35" w:rsidRDefault="000D4174" w:rsidP="000D4174">
      <w:pPr>
        <w:spacing w:line="360" w:lineRule="auto"/>
        <w:contextualSpacing/>
        <w:jc w:val="both"/>
        <w:rPr>
          <w:rFonts w:cs="Arial"/>
          <w:szCs w:val="22"/>
        </w:rPr>
      </w:pPr>
      <w:r>
        <w:rPr>
          <w:rFonts w:cs="Arial"/>
          <w:szCs w:val="22"/>
        </w:rPr>
        <w:t>The ABBL</w:t>
      </w:r>
      <w:r w:rsidRPr="00756A35">
        <w:rPr>
          <w:rFonts w:cs="Arial"/>
          <w:szCs w:val="22"/>
        </w:rPr>
        <w:t xml:space="preserve"> would have a clear preference for a revised version of Option </w:t>
      </w:r>
      <w:r w:rsidR="00D0217F" w:rsidRPr="00756A35">
        <w:rPr>
          <w:rFonts w:cs="Arial"/>
          <w:szCs w:val="22"/>
        </w:rPr>
        <w:t>2,</w:t>
      </w:r>
      <w:r w:rsidRPr="00756A35">
        <w:rPr>
          <w:rFonts w:cs="Arial"/>
          <w:szCs w:val="22"/>
        </w:rPr>
        <w:t xml:space="preserve"> as this is partly already longstanding market practice and a legal requirement in Luxembourg. In addition, we agree with ESMA that the introduction of the rules foreseen in Option 1 will have substantive impact on the existing shareholding structures of ManCo/ investment companies (self-managed SICAVs) and depositaries. </w:t>
      </w:r>
      <w:r>
        <w:rPr>
          <w:rFonts w:cs="Arial"/>
          <w:szCs w:val="22"/>
        </w:rPr>
        <w:t>The Association is</w:t>
      </w:r>
      <w:r w:rsidRPr="00756A35">
        <w:rPr>
          <w:rFonts w:cs="Arial"/>
          <w:szCs w:val="22"/>
        </w:rPr>
        <w:t xml:space="preserve"> afraid that beside increased cost, the introduction of option 1 might lead </w:t>
      </w:r>
      <w:r>
        <w:rPr>
          <w:rFonts w:cs="Arial"/>
          <w:szCs w:val="22"/>
        </w:rPr>
        <w:t>to</w:t>
      </w:r>
      <w:r w:rsidRPr="00756A35">
        <w:rPr>
          <w:rFonts w:cs="Arial"/>
          <w:szCs w:val="22"/>
        </w:rPr>
        <w:t xml:space="preserve"> unintended consequences such as increased systemic risk for the global financial system triggered by an accelerated concentration process in the depositary/custody business. In addition, </w:t>
      </w:r>
      <w:r>
        <w:rPr>
          <w:rFonts w:cs="Arial"/>
          <w:szCs w:val="22"/>
        </w:rPr>
        <w:t>the ABBL</w:t>
      </w:r>
      <w:r w:rsidRPr="00756A35">
        <w:rPr>
          <w:rFonts w:cs="Arial"/>
          <w:szCs w:val="22"/>
        </w:rPr>
        <w:t xml:space="preserve"> question</w:t>
      </w:r>
      <w:r>
        <w:rPr>
          <w:rFonts w:cs="Arial"/>
          <w:szCs w:val="22"/>
        </w:rPr>
        <w:t>s</w:t>
      </w:r>
      <w:r w:rsidRPr="00756A35">
        <w:rPr>
          <w:rFonts w:cs="Arial"/>
          <w:szCs w:val="22"/>
        </w:rPr>
        <w:t xml:space="preserve"> ESMA’s general statement in paragraph 63 that option 1 would lead to higher investor protection standards. </w:t>
      </w:r>
      <w:r>
        <w:rPr>
          <w:rFonts w:cs="Arial"/>
          <w:szCs w:val="22"/>
        </w:rPr>
        <w:t>The Association is</w:t>
      </w:r>
      <w:r w:rsidRPr="00756A35">
        <w:rPr>
          <w:rFonts w:cs="Arial"/>
          <w:szCs w:val="22"/>
        </w:rPr>
        <w:t xml:space="preserve"> of the firm opinion the existing strict conflicts of interest rules and robust corporate governance rules </w:t>
      </w:r>
      <w:r>
        <w:rPr>
          <w:rFonts w:cs="Arial"/>
          <w:szCs w:val="22"/>
        </w:rPr>
        <w:t>already satisfy the objectives.</w:t>
      </w:r>
    </w:p>
    <w:p w14:paraId="3588AC8A" w14:textId="77777777" w:rsidR="00783047" w:rsidRDefault="00783047" w:rsidP="00783047">
      <w:r>
        <w:t>&lt;ESMA_UCITS_QUESTION_19&gt;</w:t>
      </w:r>
    </w:p>
    <w:p w14:paraId="574FEE9E" w14:textId="77777777" w:rsidR="00783047" w:rsidRDefault="00783047" w:rsidP="00783047"/>
    <w:p w14:paraId="3081FDFD" w14:textId="77777777" w:rsidR="00783047" w:rsidRDefault="00783047" w:rsidP="00783047">
      <w:pPr>
        <w:pStyle w:val="Heading5"/>
        <w:keepNext w:val="0"/>
        <w:keepLines w:val="0"/>
        <w:numPr>
          <w:ilvl w:val="0"/>
          <w:numId w:val="6"/>
        </w:numPr>
        <w:spacing w:after="250" w:line="276" w:lineRule="auto"/>
        <w:ind w:left="0" w:firstLine="0"/>
      </w:pPr>
      <w:r>
        <w:t>Under the second option, do you consider that it would be appropriate to r</w:t>
      </w:r>
      <w:r>
        <w:t>e</w:t>
      </w:r>
      <w:r>
        <w:t>quire that – whenever the Relevant Entities are part of the same group – at least one third of the members of the management body of the management company/investment co</w:t>
      </w:r>
      <w:r>
        <w:t>m</w:t>
      </w:r>
      <w:r>
        <w:t>pany and depositary should be independent? Would you suggest any alternative pe</w:t>
      </w:r>
      <w:r>
        <w:t>r</w:t>
      </w:r>
      <w:r>
        <w:t xml:space="preserve">centage? If yes, please provide the reasons why. </w:t>
      </w:r>
    </w:p>
    <w:p w14:paraId="05F99D8B" w14:textId="77777777" w:rsidR="00783047" w:rsidRDefault="00783047" w:rsidP="00783047">
      <w:r>
        <w:t>&lt;ESMA_UCITS_QUESTION_20&gt;</w:t>
      </w:r>
    </w:p>
    <w:p w14:paraId="541D8DAD" w14:textId="77777777" w:rsidR="000D4174" w:rsidRPr="00756A35" w:rsidRDefault="000D4174" w:rsidP="000D4174">
      <w:pPr>
        <w:spacing w:line="360" w:lineRule="auto"/>
        <w:contextualSpacing/>
        <w:jc w:val="both"/>
        <w:rPr>
          <w:rFonts w:cs="Arial"/>
          <w:szCs w:val="22"/>
        </w:rPr>
      </w:pPr>
      <w:r>
        <w:rPr>
          <w:rFonts w:cs="Arial"/>
          <w:szCs w:val="22"/>
        </w:rPr>
        <w:t>The ABBL</w:t>
      </w:r>
      <w:r w:rsidRPr="00756A35">
        <w:rPr>
          <w:rFonts w:cs="Arial"/>
          <w:szCs w:val="22"/>
        </w:rPr>
        <w:t xml:space="preserve"> disagree</w:t>
      </w:r>
      <w:r>
        <w:rPr>
          <w:rFonts w:cs="Arial"/>
          <w:szCs w:val="22"/>
        </w:rPr>
        <w:t>s</w:t>
      </w:r>
      <w:r w:rsidRPr="00756A35">
        <w:rPr>
          <w:rFonts w:cs="Arial"/>
          <w:szCs w:val="22"/>
        </w:rPr>
        <w:t>. First of all</w:t>
      </w:r>
      <w:r>
        <w:rPr>
          <w:rFonts w:cs="Arial"/>
          <w:szCs w:val="22"/>
        </w:rPr>
        <w:t xml:space="preserve">, </w:t>
      </w:r>
      <w:r w:rsidRPr="00756A35">
        <w:rPr>
          <w:rFonts w:cs="Arial"/>
          <w:szCs w:val="22"/>
        </w:rPr>
        <w:t xml:space="preserve">it </w:t>
      </w:r>
      <w:r>
        <w:rPr>
          <w:rFonts w:cs="Arial"/>
          <w:szCs w:val="22"/>
        </w:rPr>
        <w:t>may not be</w:t>
      </w:r>
      <w:r w:rsidRPr="00756A35">
        <w:rPr>
          <w:rFonts w:cs="Arial"/>
          <w:szCs w:val="22"/>
        </w:rPr>
        <w:t xml:space="preserve"> necessary to impose a rigid percentage. </w:t>
      </w:r>
      <w:r>
        <w:rPr>
          <w:rFonts w:cs="Arial"/>
          <w:szCs w:val="22"/>
        </w:rPr>
        <w:t>The ABBL</w:t>
      </w:r>
      <w:r w:rsidRPr="00756A35">
        <w:rPr>
          <w:rFonts w:cs="Arial"/>
          <w:szCs w:val="22"/>
        </w:rPr>
        <w:t xml:space="preserve"> believe</w:t>
      </w:r>
      <w:r>
        <w:rPr>
          <w:rFonts w:cs="Arial"/>
          <w:szCs w:val="22"/>
        </w:rPr>
        <w:t>s</w:t>
      </w:r>
      <w:r w:rsidRPr="00756A35">
        <w:rPr>
          <w:rFonts w:cs="Arial"/>
          <w:szCs w:val="22"/>
        </w:rPr>
        <w:t xml:space="preserve"> it</w:t>
      </w:r>
      <w:r>
        <w:rPr>
          <w:rFonts w:cs="Arial"/>
          <w:szCs w:val="22"/>
        </w:rPr>
        <w:t xml:space="preserve"> is</w:t>
      </w:r>
      <w:r w:rsidRPr="00756A35">
        <w:rPr>
          <w:rFonts w:cs="Arial"/>
          <w:szCs w:val="22"/>
        </w:rPr>
        <w:t xml:space="preserve"> even more important that high standard of corporate governance are applied at all times. Particular emphasis should be put on fact that the Board of Directors /management body should have good professional standing and appropriate experience and ensure that it is collectively competent to </w:t>
      </w:r>
      <w:r w:rsidR="00D0217F" w:rsidRPr="00756A35">
        <w:rPr>
          <w:rFonts w:cs="Arial"/>
          <w:szCs w:val="22"/>
        </w:rPr>
        <w:t>fulfil</w:t>
      </w:r>
      <w:r w:rsidRPr="00756A35">
        <w:rPr>
          <w:rFonts w:cs="Arial"/>
          <w:szCs w:val="22"/>
        </w:rPr>
        <w:t xml:space="preserve"> its responsibilities. In doing so considerations should be given to the inclusion in the Board of one or more members that are, in the opinion of the Board, independent. </w:t>
      </w:r>
      <w:r>
        <w:rPr>
          <w:rFonts w:cs="Arial"/>
          <w:szCs w:val="22"/>
        </w:rPr>
        <w:t xml:space="preserve">Boards shall also </w:t>
      </w:r>
      <w:r w:rsidRPr="00756A35">
        <w:rPr>
          <w:rFonts w:cs="Arial"/>
          <w:szCs w:val="22"/>
        </w:rPr>
        <w:t xml:space="preserve">act fairly and independently in the best interest of the investors regardless whether they are ‘independent directors’ or not. </w:t>
      </w:r>
      <w:r>
        <w:rPr>
          <w:rFonts w:cs="Arial"/>
          <w:szCs w:val="22"/>
        </w:rPr>
        <w:t>More information may be available via the ALFI code of conduct.</w:t>
      </w:r>
      <w:r w:rsidRPr="00756A35">
        <w:rPr>
          <w:rFonts w:cs="Arial"/>
          <w:szCs w:val="22"/>
        </w:rPr>
        <w:t xml:space="preserve"> </w:t>
      </w:r>
    </w:p>
    <w:p w14:paraId="0CD0F7D3" w14:textId="77777777" w:rsidR="000D4174" w:rsidRPr="00756A35" w:rsidRDefault="000D4174" w:rsidP="000D4174">
      <w:pPr>
        <w:spacing w:line="360" w:lineRule="auto"/>
        <w:contextualSpacing/>
        <w:jc w:val="both"/>
        <w:rPr>
          <w:rFonts w:cs="Arial"/>
          <w:szCs w:val="22"/>
        </w:rPr>
      </w:pPr>
    </w:p>
    <w:p w14:paraId="47C00230" w14:textId="77777777" w:rsidR="000D4174" w:rsidRPr="00756A35" w:rsidRDefault="000D4174" w:rsidP="000D4174">
      <w:pPr>
        <w:spacing w:line="360" w:lineRule="auto"/>
        <w:contextualSpacing/>
        <w:jc w:val="both"/>
        <w:rPr>
          <w:rFonts w:cs="Arial"/>
          <w:szCs w:val="22"/>
        </w:rPr>
      </w:pPr>
      <w:r w:rsidRPr="00756A35">
        <w:rPr>
          <w:rFonts w:cs="Arial"/>
          <w:szCs w:val="22"/>
        </w:rPr>
        <w:t>Finally</w:t>
      </w:r>
      <w:r>
        <w:rPr>
          <w:rFonts w:cs="Arial"/>
          <w:szCs w:val="22"/>
        </w:rPr>
        <w:t>,</w:t>
      </w:r>
      <w:r w:rsidRPr="00756A35">
        <w:rPr>
          <w:rFonts w:cs="Arial"/>
          <w:szCs w:val="22"/>
        </w:rPr>
        <w:t xml:space="preserve"> ESMA should consider introduce a principle of proportionality. The principle of proportionality is intended to ensure that regulatory measures go no furthe</w:t>
      </w:r>
      <w:r>
        <w:rPr>
          <w:rFonts w:cs="Arial"/>
          <w:szCs w:val="22"/>
        </w:rPr>
        <w:t xml:space="preserve">r than is required to achieve an </w:t>
      </w:r>
      <w:r w:rsidRPr="00756A35">
        <w:rPr>
          <w:rFonts w:cs="Arial"/>
          <w:szCs w:val="22"/>
        </w:rPr>
        <w:t>objective, which is to ensure that both the management company and the depositary have specific safeguards against conflicts of interest to allow for the independent performance of its activities.</w:t>
      </w:r>
    </w:p>
    <w:p w14:paraId="2C20CF8B" w14:textId="77777777" w:rsidR="00783047" w:rsidRDefault="00783047" w:rsidP="00783047">
      <w:r>
        <w:t>&lt;ESMA_UCITS_QUESTION_20&gt;</w:t>
      </w:r>
    </w:p>
    <w:p w14:paraId="01C6D4C0" w14:textId="77777777" w:rsidR="00783047" w:rsidRDefault="00783047" w:rsidP="00783047"/>
    <w:p w14:paraId="43DC87A4" w14:textId="77777777" w:rsidR="00783047" w:rsidRDefault="00783047" w:rsidP="00783047">
      <w:pPr>
        <w:pStyle w:val="Heading5"/>
        <w:keepNext w:val="0"/>
        <w:keepLines w:val="0"/>
        <w:numPr>
          <w:ilvl w:val="0"/>
          <w:numId w:val="6"/>
        </w:numPr>
        <w:spacing w:after="250" w:line="276" w:lineRule="auto"/>
        <w:ind w:left="0" w:firstLine="0"/>
      </w:pPr>
      <w:r>
        <w:t>Do you agree that the concept of independence should be understood as r</w:t>
      </w:r>
      <w:r>
        <w:t>e</w:t>
      </w:r>
      <w:r>
        <w:t>quiring that independent directors should not be member of the management body or the body in charge of the supervisory function nor employees of any of the unde</w:t>
      </w:r>
      <w:r>
        <w:t>r</w:t>
      </w:r>
      <w:r>
        <w:t>takings within the group?</w:t>
      </w:r>
    </w:p>
    <w:p w14:paraId="7E4C79C4" w14:textId="77777777" w:rsidR="00783047" w:rsidRDefault="00783047" w:rsidP="00783047">
      <w:r>
        <w:t>&lt;ESMA_UCITS_QUESTION_21&gt;</w:t>
      </w:r>
    </w:p>
    <w:p w14:paraId="56E84738" w14:textId="77777777" w:rsidR="000D4174" w:rsidRPr="00756A35" w:rsidRDefault="000D4174" w:rsidP="000D4174">
      <w:pPr>
        <w:spacing w:line="360" w:lineRule="auto"/>
        <w:contextualSpacing/>
        <w:jc w:val="both"/>
        <w:rPr>
          <w:rFonts w:cs="Arial"/>
          <w:szCs w:val="22"/>
        </w:rPr>
      </w:pPr>
      <w:r w:rsidRPr="00756A35">
        <w:rPr>
          <w:rFonts w:cs="Arial"/>
          <w:szCs w:val="22"/>
        </w:rPr>
        <w:t>No</w:t>
      </w:r>
      <w:r>
        <w:rPr>
          <w:rFonts w:cs="Arial"/>
          <w:szCs w:val="22"/>
        </w:rPr>
        <w:t>,</w:t>
      </w:r>
      <w:r w:rsidRPr="00756A35">
        <w:rPr>
          <w:rFonts w:cs="Arial"/>
          <w:szCs w:val="22"/>
        </w:rPr>
        <w:t xml:space="preserve"> the ABBL disagrees, notably the proposal lacks clear definition of the management level of reference and does not take into account the current organization of financial institutions. </w:t>
      </w:r>
      <w:r>
        <w:rPr>
          <w:rFonts w:cs="Arial"/>
          <w:szCs w:val="22"/>
        </w:rPr>
        <w:t xml:space="preserve">The </w:t>
      </w:r>
      <w:r w:rsidRPr="00756A35">
        <w:rPr>
          <w:rFonts w:cs="Arial"/>
          <w:szCs w:val="22"/>
        </w:rPr>
        <w:t>ABBL considers that the conflicts are first and foremost an issue of persons rather than entity. The governance structure of the Management Company and/or of the Investment Company shall provide for independent oversight of the management company and of fund operations through entities that can take different forms (i.e. auditor, depositary or a number of independent directors on the Board). Such entities can either be independent of management, shareholders of the Fund Management Company and service providers, or be related parties.</w:t>
      </w:r>
    </w:p>
    <w:p w14:paraId="2801024B" w14:textId="77777777" w:rsidR="000D4174" w:rsidRPr="00756A35" w:rsidRDefault="000D4174" w:rsidP="000D4174">
      <w:pPr>
        <w:spacing w:line="360" w:lineRule="auto"/>
        <w:contextualSpacing/>
        <w:jc w:val="both"/>
        <w:rPr>
          <w:rFonts w:cs="Arial"/>
          <w:szCs w:val="22"/>
        </w:rPr>
      </w:pPr>
    </w:p>
    <w:p w14:paraId="49C1ADA5" w14:textId="77777777" w:rsidR="000D4174" w:rsidRPr="00756A35" w:rsidRDefault="000D4174" w:rsidP="000D4174">
      <w:pPr>
        <w:spacing w:line="360" w:lineRule="auto"/>
        <w:contextualSpacing/>
        <w:jc w:val="both"/>
        <w:rPr>
          <w:rFonts w:cs="Arial"/>
          <w:szCs w:val="22"/>
        </w:rPr>
      </w:pPr>
      <w:r w:rsidRPr="00756A35">
        <w:rPr>
          <w:rFonts w:cs="Arial"/>
          <w:szCs w:val="22"/>
        </w:rPr>
        <w:t xml:space="preserve">In order to provide effective independent oversight and </w:t>
      </w:r>
      <w:r w:rsidR="00D0217F" w:rsidRPr="00756A35">
        <w:rPr>
          <w:rFonts w:cs="Arial"/>
          <w:szCs w:val="22"/>
        </w:rPr>
        <w:t>fulfil</w:t>
      </w:r>
      <w:r w:rsidRPr="00756A35">
        <w:rPr>
          <w:rFonts w:cs="Arial"/>
          <w:szCs w:val="22"/>
        </w:rPr>
        <w:t xml:space="preserve"> their fiduciary duty to protect investors’ interests, related parties </w:t>
      </w:r>
      <w:r w:rsidR="00D0217F" w:rsidRPr="00756A35">
        <w:rPr>
          <w:rFonts w:cs="Arial"/>
          <w:szCs w:val="22"/>
        </w:rPr>
        <w:t>should</w:t>
      </w:r>
      <w:r w:rsidRPr="00756A35">
        <w:rPr>
          <w:rFonts w:cs="Arial"/>
          <w:szCs w:val="22"/>
        </w:rPr>
        <w:t xml:space="preserve"> take all necessary measures to minimize conflicts of interest and maintain a functional and economical separation of group entities. The independent oversight shall ensure that the Fund Management Company and/or the Fund respect applicable rules, contractual obligations and duties and protect the interests of investors. </w:t>
      </w:r>
    </w:p>
    <w:p w14:paraId="262F67D6" w14:textId="77777777" w:rsidR="000D4174" w:rsidRPr="00756A35" w:rsidRDefault="000D4174" w:rsidP="000D4174">
      <w:pPr>
        <w:spacing w:line="360" w:lineRule="auto"/>
        <w:contextualSpacing/>
        <w:jc w:val="both"/>
        <w:rPr>
          <w:rFonts w:cs="Arial"/>
          <w:szCs w:val="22"/>
        </w:rPr>
      </w:pPr>
    </w:p>
    <w:p w14:paraId="03AF4EDE" w14:textId="77777777" w:rsidR="000D4174" w:rsidRPr="00756A35" w:rsidRDefault="000D4174" w:rsidP="000D4174">
      <w:pPr>
        <w:spacing w:line="360" w:lineRule="auto"/>
        <w:jc w:val="both"/>
        <w:rPr>
          <w:rFonts w:cs="Arial"/>
          <w:b/>
          <w:u w:val="single"/>
        </w:rPr>
      </w:pPr>
      <w:r>
        <w:rPr>
          <w:rFonts w:cs="Arial"/>
        </w:rPr>
        <w:t>To conclude, the concept of i</w:t>
      </w:r>
      <w:r w:rsidRPr="00756A35">
        <w:rPr>
          <w:rFonts w:cs="Arial"/>
        </w:rPr>
        <w:t xml:space="preserve">ndependence should not include members of the </w:t>
      </w:r>
      <w:r w:rsidR="00D0217F">
        <w:rPr>
          <w:rFonts w:cs="Arial"/>
        </w:rPr>
        <w:t xml:space="preserve">group’s </w:t>
      </w:r>
      <w:r w:rsidRPr="00756A35">
        <w:rPr>
          <w:rFonts w:cs="Arial"/>
        </w:rPr>
        <w:t>management body nor employees of undertakings of the group that are functionally and hierarchically separated from management company and/or investment company and depositary function.</w:t>
      </w:r>
    </w:p>
    <w:p w14:paraId="7771511E" w14:textId="77777777" w:rsidR="00783047" w:rsidRDefault="00783047" w:rsidP="00783047">
      <w:r>
        <w:t>&lt;ESMA_UCITS_QUESTION_21&gt;</w:t>
      </w:r>
    </w:p>
    <w:p w14:paraId="5141EE20" w14:textId="77777777" w:rsidR="00783047" w:rsidRDefault="00783047" w:rsidP="00783047"/>
    <w:p w14:paraId="69590FC6" w14:textId="77777777" w:rsidR="00783047" w:rsidRDefault="00783047" w:rsidP="00783047">
      <w:pPr>
        <w:pStyle w:val="Heading5"/>
        <w:keepNext w:val="0"/>
        <w:keepLines w:val="0"/>
        <w:numPr>
          <w:ilvl w:val="0"/>
          <w:numId w:val="6"/>
        </w:numPr>
        <w:spacing w:after="250" w:line="276" w:lineRule="auto"/>
        <w:ind w:left="0" w:firstLine="0"/>
      </w:pPr>
      <w:r>
        <w:t>Do you have knowledge of the impact that each of the two options identified would have in terms of restructuring the shareholding of any Relevant Entities or finding altern</w:t>
      </w:r>
      <w:r>
        <w:t>a</w:t>
      </w:r>
      <w:r>
        <w:t>tive service providers? If yes, please provide data and an estimation of the one-off and ongoing costs that would be incurred.</w:t>
      </w:r>
    </w:p>
    <w:p w14:paraId="18BF0A14" w14:textId="77777777" w:rsidR="00783047" w:rsidRDefault="00783047" w:rsidP="00783047">
      <w:r>
        <w:t>&lt;ESMA_UCITS_QUESTION_22&gt;</w:t>
      </w:r>
    </w:p>
    <w:p w14:paraId="73F2715C" w14:textId="77777777" w:rsidR="000D4174" w:rsidRPr="00756A35" w:rsidRDefault="000D4174" w:rsidP="000D4174">
      <w:pPr>
        <w:spacing w:line="360" w:lineRule="auto"/>
        <w:contextualSpacing/>
        <w:jc w:val="both"/>
        <w:rPr>
          <w:rFonts w:cs="Arial"/>
          <w:szCs w:val="22"/>
        </w:rPr>
      </w:pPr>
      <w:r w:rsidRPr="00756A35">
        <w:rPr>
          <w:rFonts w:cs="Arial"/>
          <w:szCs w:val="22"/>
        </w:rPr>
        <w:t>Firstly, option one is for most countries unworkable given the nature of the group organization, furthermore the issue about conflict via a sole option of separation may go much further than what is required from level 1 (hierarchical independence) and would present dramatic changes and movements across the industry which would result in more complexity higher costs and less clear structures. There are other ways to handle potential conflicts of interests than to simply ban participation in different subsidiaries of a group</w:t>
      </w:r>
    </w:p>
    <w:p w14:paraId="36F3DD4B" w14:textId="77777777" w:rsidR="000D4174" w:rsidRPr="00756A35" w:rsidRDefault="000D4174" w:rsidP="000D4174">
      <w:pPr>
        <w:spacing w:line="360" w:lineRule="auto"/>
        <w:contextualSpacing/>
        <w:jc w:val="both"/>
        <w:rPr>
          <w:rFonts w:cs="Arial"/>
          <w:szCs w:val="22"/>
        </w:rPr>
      </w:pPr>
    </w:p>
    <w:p w14:paraId="447D5E49" w14:textId="77777777" w:rsidR="000D4174" w:rsidRPr="00756A35" w:rsidRDefault="000D4174" w:rsidP="000D4174">
      <w:pPr>
        <w:spacing w:line="360" w:lineRule="auto"/>
        <w:contextualSpacing/>
        <w:jc w:val="both"/>
        <w:rPr>
          <w:rFonts w:cs="Arial"/>
          <w:szCs w:val="22"/>
        </w:rPr>
      </w:pPr>
      <w:r w:rsidRPr="00756A35">
        <w:rPr>
          <w:rFonts w:cs="Arial"/>
          <w:szCs w:val="22"/>
        </w:rPr>
        <w:t xml:space="preserve">The second option on may be workable although the reference to “external” members is </w:t>
      </w:r>
      <w:r w:rsidR="00D0217F" w:rsidRPr="00756A35">
        <w:rPr>
          <w:rFonts w:cs="Arial"/>
          <w:szCs w:val="22"/>
        </w:rPr>
        <w:t>debatable;</w:t>
      </w:r>
      <w:r w:rsidRPr="00756A35">
        <w:rPr>
          <w:rFonts w:cs="Arial"/>
          <w:szCs w:val="22"/>
        </w:rPr>
        <w:t xml:space="preserve"> again recourse to independent person may make some sense, but up to one third may be important in larger groups</w:t>
      </w:r>
      <w:r>
        <w:rPr>
          <w:rFonts w:cs="Arial"/>
          <w:szCs w:val="22"/>
        </w:rPr>
        <w:t>.</w:t>
      </w:r>
      <w:r w:rsidRPr="00756A35">
        <w:rPr>
          <w:rFonts w:cs="Arial"/>
          <w:szCs w:val="22"/>
        </w:rPr>
        <w:t xml:space="preserve"> </w:t>
      </w:r>
      <w:r>
        <w:rPr>
          <w:rFonts w:cs="Arial"/>
          <w:szCs w:val="22"/>
        </w:rPr>
        <w:t>T</w:t>
      </w:r>
      <w:r w:rsidRPr="00756A35">
        <w:rPr>
          <w:rFonts w:cs="Arial"/>
          <w:szCs w:val="22"/>
        </w:rPr>
        <w:t xml:space="preserve">he notion of independence meaning fully outside the group may </w:t>
      </w:r>
      <w:r>
        <w:rPr>
          <w:rFonts w:cs="Arial"/>
          <w:szCs w:val="22"/>
        </w:rPr>
        <w:t>be concretely translate in a way so</w:t>
      </w:r>
      <w:r w:rsidRPr="00756A35">
        <w:rPr>
          <w:rFonts w:cs="Arial"/>
          <w:szCs w:val="22"/>
        </w:rPr>
        <w:t xml:space="preserve"> that bank X will have to have a representative from one of its competitor for supervisory purposes as the persons shall be qualified (obligation coming from notably CRD IV and MIFID II) which impacts depositaries, this without even mentioning the limitation of external mandates that may apply at the top of the organisations.</w:t>
      </w:r>
    </w:p>
    <w:p w14:paraId="189700C5" w14:textId="77777777" w:rsidR="000D4174" w:rsidRPr="00756A35" w:rsidRDefault="000D4174" w:rsidP="000D4174">
      <w:pPr>
        <w:spacing w:line="360" w:lineRule="auto"/>
        <w:contextualSpacing/>
        <w:jc w:val="both"/>
        <w:rPr>
          <w:rFonts w:cs="Arial"/>
          <w:szCs w:val="22"/>
        </w:rPr>
      </w:pPr>
    </w:p>
    <w:p w14:paraId="74054EC5" w14:textId="77777777" w:rsidR="000D4174" w:rsidRPr="00756A35" w:rsidRDefault="000D4174" w:rsidP="000D4174">
      <w:pPr>
        <w:spacing w:line="360" w:lineRule="auto"/>
        <w:jc w:val="both"/>
      </w:pPr>
      <w:r w:rsidRPr="00756A35">
        <w:t xml:space="preserve">In the ABBL view if option 1 (“the management company company/investment company shall not be included in the same group...”) is retained by ESMA, markets may be faced with three types of consequences, both significantly detrimental to the investors: </w:t>
      </w:r>
    </w:p>
    <w:p w14:paraId="0AABC72B" w14:textId="77777777" w:rsidR="000D4174" w:rsidRPr="00756A35" w:rsidRDefault="000D4174" w:rsidP="000D4174">
      <w:pPr>
        <w:spacing w:line="360" w:lineRule="auto"/>
        <w:jc w:val="both"/>
      </w:pPr>
    </w:p>
    <w:p w14:paraId="7B0469CD" w14:textId="77777777" w:rsidR="000D4174" w:rsidRPr="00756A35" w:rsidRDefault="000D4174" w:rsidP="000D4174">
      <w:pPr>
        <w:numPr>
          <w:ilvl w:val="0"/>
          <w:numId w:val="9"/>
        </w:numPr>
        <w:spacing w:line="360" w:lineRule="auto"/>
        <w:jc w:val="both"/>
      </w:pPr>
      <w:r w:rsidRPr="00756A35">
        <w:t xml:space="preserve">The choice of </w:t>
      </w:r>
      <w:r>
        <w:t>o</w:t>
      </w:r>
      <w:r w:rsidRPr="00756A35">
        <w:t>ption 1 could have the adverse consequence of increasing the costs of the products for the end investors, as for most actors having to be integrated or for a management company to move all assets to a depositary not being part of the same Group, could prove to be very expensive to match the current standards adopted in terms of workflows and information mechanisms which are possible in the integrated models.</w:t>
      </w:r>
    </w:p>
    <w:p w14:paraId="735BCB9D" w14:textId="77777777" w:rsidR="000D4174" w:rsidRPr="00756A35" w:rsidRDefault="000D4174" w:rsidP="000D4174">
      <w:pPr>
        <w:spacing w:line="360" w:lineRule="auto"/>
        <w:ind w:left="360"/>
        <w:jc w:val="both"/>
      </w:pPr>
    </w:p>
    <w:p w14:paraId="239F46D7" w14:textId="77777777" w:rsidR="000D4174" w:rsidRPr="00756A35" w:rsidRDefault="000D4174" w:rsidP="000D4174">
      <w:pPr>
        <w:numPr>
          <w:ilvl w:val="0"/>
          <w:numId w:val="9"/>
        </w:numPr>
        <w:spacing w:line="360" w:lineRule="auto"/>
        <w:jc w:val="both"/>
      </w:pPr>
      <w:r w:rsidRPr="00756A35">
        <w:t xml:space="preserve">European-based diversified financial groups with a depositary arm will be compelled to limit their operations in asset management, thus depriving the market of a substantial part of the range of products available for investment for the retail market. </w:t>
      </w:r>
    </w:p>
    <w:p w14:paraId="306D62E0" w14:textId="77777777" w:rsidR="000D4174" w:rsidRPr="00756A35" w:rsidRDefault="000D4174" w:rsidP="000D4174">
      <w:pPr>
        <w:spacing w:line="360" w:lineRule="auto"/>
        <w:ind w:left="360"/>
        <w:jc w:val="both"/>
      </w:pPr>
    </w:p>
    <w:p w14:paraId="6F76EAC3" w14:textId="77777777" w:rsidR="000D4174" w:rsidRPr="00756A35" w:rsidRDefault="000D4174" w:rsidP="000D4174">
      <w:pPr>
        <w:numPr>
          <w:ilvl w:val="0"/>
          <w:numId w:val="9"/>
        </w:numPr>
        <w:spacing w:line="360" w:lineRule="auto"/>
        <w:jc w:val="both"/>
      </w:pPr>
      <w:r w:rsidRPr="00756A35">
        <w:t>European-based diversified financial groups with an asset management arm will exit the depositary sector. Depositary service offering in the European Union will therefore be reduced, be limited to fewer players, and is likely to be offered by banks somewhat away from the asset industry constraints.</w:t>
      </w:r>
    </w:p>
    <w:p w14:paraId="40192E4E" w14:textId="77777777" w:rsidR="000D4174" w:rsidRPr="00756A35" w:rsidRDefault="000D4174" w:rsidP="000D4174">
      <w:pPr>
        <w:pStyle w:val="ListParagraph"/>
        <w:jc w:val="both"/>
        <w:rPr>
          <w:lang w:val="en-US"/>
        </w:rPr>
      </w:pPr>
    </w:p>
    <w:p w14:paraId="21123CBB" w14:textId="77777777" w:rsidR="000D4174" w:rsidRPr="00756A35" w:rsidRDefault="000D4174" w:rsidP="000D4174">
      <w:pPr>
        <w:spacing w:line="360" w:lineRule="auto"/>
        <w:jc w:val="both"/>
      </w:pPr>
      <w:r w:rsidRPr="00756A35">
        <w:t>All this may lead to a significant restructuring of the UCITS universe (e.g. merger, closing, transfer) with significant follow-up costs related to changes of prospectus, KIID, shift of depositary or management company, etc.</w:t>
      </w:r>
      <w:r>
        <w:t xml:space="preserve"> All </w:t>
      </w:r>
      <w:r w:rsidR="00D0217F">
        <w:t>this without taking into accounts</w:t>
      </w:r>
      <w:r>
        <w:t xml:space="preserve"> the impacts on employment.</w:t>
      </w:r>
    </w:p>
    <w:p w14:paraId="53B095F8" w14:textId="77777777" w:rsidR="000D4174" w:rsidRPr="00756A35" w:rsidRDefault="000D4174" w:rsidP="000D4174">
      <w:pPr>
        <w:spacing w:line="360" w:lineRule="auto"/>
        <w:jc w:val="both"/>
        <w:rPr>
          <w:b/>
          <w:bCs/>
        </w:rPr>
      </w:pPr>
    </w:p>
    <w:p w14:paraId="3876223C" w14:textId="77777777" w:rsidR="000D4174" w:rsidRPr="00756A35" w:rsidRDefault="000D4174" w:rsidP="000D4174">
      <w:pPr>
        <w:spacing w:line="360" w:lineRule="auto"/>
        <w:jc w:val="both"/>
      </w:pPr>
      <w:r>
        <w:t>O</w:t>
      </w:r>
      <w:r w:rsidRPr="00756A35">
        <w:t>ption 1 would entail huge costs and a complete transformation of the existing models with a chance to put at risk and to weaken the overall sector</w:t>
      </w:r>
      <w:r>
        <w:t xml:space="preserve"> (every stakeholder having to exit some business at the same moment) with the likely systemic consequences</w:t>
      </w:r>
      <w:r w:rsidRPr="00756A35">
        <w:t>. These costs would ultimately be borne by UCITS investors with no added benefits in terms of protection given the absence of proven market failure.</w:t>
      </w:r>
    </w:p>
    <w:p w14:paraId="270C3B27" w14:textId="77777777" w:rsidR="000D4174" w:rsidRPr="00756A35" w:rsidRDefault="000D4174" w:rsidP="000D4174">
      <w:pPr>
        <w:spacing w:line="360" w:lineRule="auto"/>
        <w:jc w:val="both"/>
      </w:pPr>
      <w:r w:rsidRPr="00756A35">
        <w:t xml:space="preserve">The ABBL </w:t>
      </w:r>
      <w:r>
        <w:t>was</w:t>
      </w:r>
      <w:r w:rsidRPr="00756A35">
        <w:t xml:space="preserve"> very surprised by some references in the Annex</w:t>
      </w:r>
      <w:r>
        <w:t>,</w:t>
      </w:r>
      <w:r w:rsidRPr="00756A35">
        <w:t xml:space="preserve"> notably the </w:t>
      </w:r>
      <w:r>
        <w:t>percentage</w:t>
      </w:r>
      <w:r w:rsidRPr="00756A35">
        <w:t xml:space="preserve"> of assets under management (‘AuM’) that would need to be transferred to another depositary and the number of potentially impacted management companies and depositaries</w:t>
      </w:r>
      <w:r>
        <w:t>. The ABBL figures show a different picture (in a country) that may by design be relatively open to multiple structures</w:t>
      </w:r>
      <w:r w:rsidRPr="00756A35">
        <w:t>:</w:t>
      </w:r>
    </w:p>
    <w:p w14:paraId="1B461B77" w14:textId="77777777" w:rsidR="000D4174" w:rsidRPr="00756A35" w:rsidRDefault="000D4174" w:rsidP="000D4174">
      <w:pPr>
        <w:spacing w:line="360" w:lineRule="auto"/>
        <w:jc w:val="both"/>
      </w:pPr>
    </w:p>
    <w:p w14:paraId="6B9864F7" w14:textId="77777777" w:rsidR="000D4174" w:rsidRPr="00756A35" w:rsidRDefault="000D4174" w:rsidP="000D4174">
      <w:pPr>
        <w:numPr>
          <w:ilvl w:val="0"/>
          <w:numId w:val="10"/>
        </w:numPr>
        <w:spacing w:line="360" w:lineRule="auto"/>
        <w:jc w:val="both"/>
      </w:pPr>
      <w:r w:rsidRPr="00756A35">
        <w:t>39.54% of the Luxembourg UCITS;</w:t>
      </w:r>
    </w:p>
    <w:p w14:paraId="50665589" w14:textId="77777777" w:rsidR="000D4174" w:rsidRPr="00756A35" w:rsidRDefault="000D4174" w:rsidP="000D4174">
      <w:pPr>
        <w:numPr>
          <w:ilvl w:val="0"/>
          <w:numId w:val="10"/>
        </w:numPr>
        <w:spacing w:line="360" w:lineRule="auto"/>
        <w:jc w:val="both"/>
      </w:pPr>
      <w:r w:rsidRPr="00756A35">
        <w:t>30.66 % of the UCITS AuM in Luxemb</w:t>
      </w:r>
      <w:r>
        <w:t>o</w:t>
      </w:r>
      <w:r w:rsidRPr="00756A35">
        <w:t>urg (</w:t>
      </w:r>
      <w:r>
        <w:t>representing</w:t>
      </w:r>
      <w:r w:rsidRPr="00756A35">
        <w:t xml:space="preserve"> € 755</w:t>
      </w:r>
      <w:r>
        <w:t>,</w:t>
      </w:r>
      <w:r w:rsidRPr="00756A35">
        <w:t>484 million AuM);</w:t>
      </w:r>
    </w:p>
    <w:p w14:paraId="00EC41B7" w14:textId="77777777" w:rsidR="000D4174" w:rsidRPr="00756A35" w:rsidRDefault="000D4174" w:rsidP="000D4174">
      <w:pPr>
        <w:numPr>
          <w:ilvl w:val="0"/>
          <w:numId w:val="10"/>
        </w:numPr>
        <w:spacing w:line="360" w:lineRule="auto"/>
        <w:jc w:val="both"/>
      </w:pPr>
      <w:r w:rsidRPr="00756A35">
        <w:t>39 Management Companies and 32 Depositaries.</w:t>
      </w:r>
    </w:p>
    <w:p w14:paraId="02A1ADE6" w14:textId="77777777" w:rsidR="000D4174" w:rsidRPr="00756A35" w:rsidRDefault="000D4174" w:rsidP="000D4174">
      <w:pPr>
        <w:spacing w:line="360" w:lineRule="auto"/>
        <w:jc w:val="both"/>
      </w:pPr>
    </w:p>
    <w:p w14:paraId="0F990EAD" w14:textId="77777777" w:rsidR="000D4174" w:rsidRPr="00756A35" w:rsidRDefault="000D4174" w:rsidP="000D4174">
      <w:pPr>
        <w:spacing w:line="360" w:lineRule="auto"/>
        <w:jc w:val="both"/>
      </w:pPr>
      <w:r w:rsidRPr="00756A35">
        <w:t xml:space="preserve">This instead of the 14% retained, the Association was </w:t>
      </w:r>
      <w:r>
        <w:t xml:space="preserve">also </w:t>
      </w:r>
      <w:r w:rsidRPr="00756A35">
        <w:t>surprised</w:t>
      </w:r>
      <w:r>
        <w:t xml:space="preserve"> </w:t>
      </w:r>
      <w:r w:rsidRPr="00756A35">
        <w:t>that some countries were not listed.</w:t>
      </w:r>
    </w:p>
    <w:p w14:paraId="7DD4B1B6" w14:textId="77777777" w:rsidR="000D4174" w:rsidRPr="00756A35" w:rsidRDefault="000D4174" w:rsidP="000D4174">
      <w:pPr>
        <w:spacing w:line="360" w:lineRule="auto"/>
        <w:jc w:val="both"/>
      </w:pPr>
    </w:p>
    <w:p w14:paraId="63B280C6" w14:textId="77777777" w:rsidR="000D4174" w:rsidRPr="00756A35" w:rsidRDefault="000D4174" w:rsidP="000D4174">
      <w:pPr>
        <w:spacing w:line="360" w:lineRule="auto"/>
        <w:jc w:val="both"/>
      </w:pPr>
      <w:r>
        <w:t>To conclude and beyond</w:t>
      </w:r>
      <w:r w:rsidRPr="00756A35">
        <w:t xml:space="preserve"> the costs consequences may be far </w:t>
      </w:r>
      <w:r>
        <w:t xml:space="preserve">more </w:t>
      </w:r>
      <w:r w:rsidRPr="00756A35">
        <w:t>reaching than a transfer notably because option 1 would, in the ABBL view</w:t>
      </w:r>
      <w:r>
        <w:t>,</w:t>
      </w:r>
      <w:r w:rsidRPr="00756A35">
        <w:t xml:space="preserve"> contradict without any compelling grounds, the freedom of enterprise in the European financial industry and lead to a far reaching market restructuring detrimental to:</w:t>
      </w:r>
    </w:p>
    <w:p w14:paraId="52031281" w14:textId="77777777" w:rsidR="000D4174" w:rsidRPr="00756A35" w:rsidRDefault="000D4174" w:rsidP="000D4174">
      <w:pPr>
        <w:spacing w:line="360" w:lineRule="auto"/>
        <w:jc w:val="both"/>
      </w:pPr>
      <w:r w:rsidRPr="00756A35">
        <w:t xml:space="preserve">1) </w:t>
      </w:r>
      <w:r>
        <w:t>t</w:t>
      </w:r>
      <w:r w:rsidRPr="00756A35">
        <w:t>he employment in the financing sector,</w:t>
      </w:r>
    </w:p>
    <w:p w14:paraId="5AE9D240" w14:textId="77777777" w:rsidR="000D4174" w:rsidRPr="00756A35" w:rsidRDefault="000D4174" w:rsidP="000D4174">
      <w:pPr>
        <w:spacing w:line="360" w:lineRule="auto"/>
        <w:jc w:val="both"/>
      </w:pPr>
      <w:r w:rsidRPr="00756A35">
        <w:t xml:space="preserve">2) </w:t>
      </w:r>
      <w:r>
        <w:t>t</w:t>
      </w:r>
      <w:r w:rsidRPr="00756A35">
        <w:t>he financing of the economy,</w:t>
      </w:r>
    </w:p>
    <w:p w14:paraId="5733D6F6" w14:textId="77777777" w:rsidR="000D4174" w:rsidRPr="00756A35" w:rsidRDefault="000D4174" w:rsidP="000D4174">
      <w:pPr>
        <w:spacing w:line="360" w:lineRule="auto"/>
        <w:jc w:val="both"/>
      </w:pPr>
      <w:r w:rsidRPr="00756A35">
        <w:t xml:space="preserve">3) </w:t>
      </w:r>
      <w:r>
        <w:t>t</w:t>
      </w:r>
      <w:r w:rsidRPr="00756A35">
        <w:t>he stability and safety of the whole UCITS model,</w:t>
      </w:r>
    </w:p>
    <w:p w14:paraId="7ACA82EA" w14:textId="77777777" w:rsidR="000D4174" w:rsidRPr="00756A35" w:rsidRDefault="000D4174" w:rsidP="000D4174">
      <w:pPr>
        <w:spacing w:line="360" w:lineRule="auto"/>
        <w:jc w:val="both"/>
      </w:pPr>
      <w:r w:rsidRPr="00756A35">
        <w:t xml:space="preserve">4) </w:t>
      </w:r>
      <w:r>
        <w:t>t</w:t>
      </w:r>
      <w:r w:rsidRPr="00756A35">
        <w:t xml:space="preserve">he stability of the banking sector. </w:t>
      </w:r>
    </w:p>
    <w:p w14:paraId="460D4C42" w14:textId="77777777" w:rsidR="00783047" w:rsidRDefault="00783047" w:rsidP="00783047">
      <w:r>
        <w:t>&lt;ESMA_UCITS_QUESTION_22&gt;</w:t>
      </w:r>
    </w:p>
    <w:p w14:paraId="0733668F" w14:textId="77777777" w:rsidR="00783047" w:rsidRDefault="00783047" w:rsidP="00783047"/>
    <w:p w14:paraId="59F2229C" w14:textId="77777777" w:rsidR="00783047" w:rsidRDefault="00783047" w:rsidP="00783047">
      <w:pPr>
        <w:rPr>
          <w:b/>
        </w:rPr>
      </w:pPr>
      <w:r>
        <w:rPr>
          <w:b/>
        </w:rPr>
        <w:t>Annex III</w:t>
      </w:r>
    </w:p>
    <w:p w14:paraId="3926B063" w14:textId="77777777" w:rsidR="00783047" w:rsidRDefault="00783047" w:rsidP="00783047">
      <w:pPr>
        <w:rPr>
          <w:b/>
        </w:rPr>
      </w:pPr>
    </w:p>
    <w:p w14:paraId="1C498728" w14:textId="77777777" w:rsidR="00783047" w:rsidRPr="00037818" w:rsidRDefault="00783047" w:rsidP="00783047">
      <w:pPr>
        <w:rPr>
          <w:b/>
        </w:rPr>
      </w:pPr>
      <w:r w:rsidRPr="00037818">
        <w:rPr>
          <w:b/>
        </w:rPr>
        <w:t>Cost-benefit analysis</w:t>
      </w:r>
    </w:p>
    <w:p w14:paraId="4BD2BE0E" w14:textId="77777777" w:rsidR="00783047" w:rsidRDefault="00783047" w:rsidP="00783047"/>
    <w:p w14:paraId="6ED20596" w14:textId="77777777" w:rsidR="00783047" w:rsidRDefault="00783047" w:rsidP="00783047">
      <w:pPr>
        <w:pStyle w:val="Heading5"/>
        <w:keepNext w:val="0"/>
        <w:keepLines w:val="0"/>
        <w:numPr>
          <w:ilvl w:val="0"/>
          <w:numId w:val="6"/>
        </w:numPr>
        <w:spacing w:after="250" w:line="276" w:lineRule="auto"/>
        <w:ind w:left="0" w:firstLine="0"/>
      </w:pPr>
      <w:r>
        <w:t>Do you agree with ESMA’s approach to discard the second and third options d</w:t>
      </w:r>
      <w:r>
        <w:t>e</w:t>
      </w:r>
      <w:r>
        <w:t>scribed above?</w:t>
      </w:r>
    </w:p>
    <w:p w14:paraId="0A2D37EB" w14:textId="77777777" w:rsidR="00783047" w:rsidRDefault="00783047" w:rsidP="00783047">
      <w:r>
        <w:t>&lt;ESMA_UCITS_QUESTION_23&gt;</w:t>
      </w:r>
    </w:p>
    <w:p w14:paraId="7F7B125D" w14:textId="2E05B069" w:rsidR="00783047" w:rsidRDefault="00EF4EAF" w:rsidP="00783047">
      <w:r w:rsidRPr="00C327C0">
        <w:t xml:space="preserve">We agree with ESMA’s approach to discard the </w:t>
      </w:r>
      <w:r>
        <w:t xml:space="preserve">second and </w:t>
      </w:r>
      <w:r w:rsidRPr="00C327C0">
        <w:t>third option</w:t>
      </w:r>
      <w:r>
        <w:t>s</w:t>
      </w:r>
      <w:r>
        <w:t xml:space="preserve"> </w:t>
      </w:r>
      <w:r w:rsidR="00783047">
        <w:t>&lt;ESMA_UCITS_QUESTION_23&gt;</w:t>
      </w:r>
    </w:p>
    <w:p w14:paraId="2F7C7A70" w14:textId="77777777" w:rsidR="00783047" w:rsidRDefault="00783047" w:rsidP="00783047"/>
    <w:p w14:paraId="5571EFE1" w14:textId="77777777" w:rsidR="00783047" w:rsidRPr="009137B6" w:rsidRDefault="00783047" w:rsidP="00783047">
      <w:pPr>
        <w:pStyle w:val="aNEW-Level0"/>
        <w:numPr>
          <w:ilvl w:val="0"/>
          <w:numId w:val="0"/>
        </w:numPr>
        <w:ind w:left="425" w:hanging="425"/>
      </w:pPr>
    </w:p>
    <w:p w14:paraId="0F0C78BC" w14:textId="77777777" w:rsidR="00702B4A" w:rsidRPr="0090632F" w:rsidRDefault="00702B4A">
      <w:pPr>
        <w:rPr>
          <w:rFonts w:ascii="Arial" w:hAnsi="Arial"/>
        </w:rPr>
      </w:pPr>
    </w:p>
    <w:sectPr w:rsidR="00702B4A" w:rsidRPr="0090632F" w:rsidSect="00926354">
      <w:headerReference w:type="even" r:id="rId15"/>
      <w:headerReference w:type="first" r:id="rId16"/>
      <w:footerReference w:type="first" r:id="rId17"/>
      <w:pgSz w:w="11906" w:h="16838" w:code="9"/>
      <w:pgMar w:top="2552" w:right="1247" w:bottom="1361" w:left="1247" w:header="709" w:footer="709"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4AE3A2" w14:textId="77777777" w:rsidR="004F3FB0" w:rsidRDefault="004F3FB0" w:rsidP="00783047">
      <w:r>
        <w:separator/>
      </w:r>
    </w:p>
  </w:endnote>
  <w:endnote w:type="continuationSeparator" w:id="0">
    <w:p w14:paraId="53B87C99" w14:textId="77777777" w:rsidR="004F3FB0" w:rsidRDefault="004F3FB0" w:rsidP="00783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Georgia">
    <w:panose1 w:val="02040502050405020303"/>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 w:name="HelveticaNeueLT Com 45 Lt">
    <w:altName w:val="Cambria"/>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4F3FB0" w:rsidRPr="00315E96" w14:paraId="43CB19C6" w14:textId="77777777" w:rsidTr="00926354">
      <w:trPr>
        <w:trHeight w:val="284"/>
      </w:trPr>
      <w:tc>
        <w:tcPr>
          <w:tcW w:w="8460" w:type="dxa"/>
        </w:tcPr>
        <w:p w14:paraId="7DE696AE" w14:textId="77777777" w:rsidR="004F3FB0" w:rsidRPr="00315E96" w:rsidRDefault="004F3FB0" w:rsidP="00926354">
          <w:pPr>
            <w:pStyle w:val="00Footer"/>
            <w:rPr>
              <w:lang w:val="fr-FR"/>
            </w:rPr>
          </w:pPr>
        </w:p>
      </w:tc>
      <w:tc>
        <w:tcPr>
          <w:tcW w:w="952" w:type="dxa"/>
        </w:tcPr>
        <w:p w14:paraId="122F8341" w14:textId="77777777" w:rsidR="004F3FB0" w:rsidRPr="002C5B2D" w:rsidRDefault="004F3FB0" w:rsidP="00926354">
          <w:pPr>
            <w:pStyle w:val="00aPagenumber"/>
          </w:pPr>
          <w:r>
            <w:fldChar w:fldCharType="begin"/>
          </w:r>
          <w:r>
            <w:instrText xml:space="preserve"> PAGE </w:instrText>
          </w:r>
          <w:r>
            <w:fldChar w:fldCharType="separate"/>
          </w:r>
          <w:r w:rsidR="008774CC">
            <w:rPr>
              <w:noProof/>
            </w:rPr>
            <w:t>16</w:t>
          </w:r>
          <w:r>
            <w:rPr>
              <w:noProof/>
            </w:rPr>
            <w:fldChar w:fldCharType="end"/>
          </w:r>
        </w:p>
      </w:tc>
    </w:tr>
  </w:tbl>
  <w:p w14:paraId="61A88D81" w14:textId="77777777" w:rsidR="004F3FB0" w:rsidRDefault="004F3FB0">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F2B0438" w14:textId="77777777" w:rsidR="004F3FB0" w:rsidRDefault="004F3FB0" w:rsidP="00926354">
    <w:pPr>
      <w:pStyle w:val="Footer"/>
      <w:tabs>
        <w:tab w:val="clear" w:pos="4536"/>
        <w:tab w:val="clear" w:pos="9072"/>
        <w:tab w:val="left" w:pos="8115"/>
      </w:tabs>
    </w:pP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36234903" w14:textId="77777777" w:rsidR="004F3FB0" w:rsidRDefault="004F3FB0">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8090A5" w14:textId="77777777" w:rsidR="004F3FB0" w:rsidRDefault="004F3FB0" w:rsidP="00783047">
      <w:r>
        <w:separator/>
      </w:r>
    </w:p>
  </w:footnote>
  <w:footnote w:type="continuationSeparator" w:id="0">
    <w:p w14:paraId="1D2B1930" w14:textId="77777777" w:rsidR="004F3FB0" w:rsidRDefault="004F3FB0" w:rsidP="00783047">
      <w:r>
        <w:continuationSeparator/>
      </w:r>
    </w:p>
  </w:footnote>
  <w:footnote w:id="1">
    <w:p w14:paraId="493BE4F2" w14:textId="77777777" w:rsidR="004F3FB0" w:rsidRDefault="004F3FB0" w:rsidP="00783047">
      <w:pPr>
        <w:pStyle w:val="FootnoteText"/>
      </w:pPr>
      <w:r>
        <w:rPr>
          <w:rStyle w:val="FootnoteReference"/>
        </w:rPr>
        <w:footnoteRef/>
      </w:r>
      <w:r>
        <w:t xml:space="preserve"> </w:t>
      </w:r>
      <w:r w:rsidRPr="00395D33">
        <w:t>Article 22a(3)(d) in the text of UCITS V published in the Official Journal.</w:t>
      </w:r>
    </w:p>
  </w:footnote>
  <w:footnote w:id="2">
    <w:p w14:paraId="19CAF56D" w14:textId="77777777" w:rsidR="004F3FB0" w:rsidRPr="00BC75E3" w:rsidRDefault="004F3FB0" w:rsidP="00926354">
      <w:pPr>
        <w:pStyle w:val="FootnoteText"/>
        <w:rPr>
          <w:rFonts w:ascii="Arial" w:hAnsi="Arial" w:cs="Arial"/>
          <w:sz w:val="18"/>
          <w:szCs w:val="18"/>
        </w:rPr>
      </w:pPr>
      <w:r w:rsidRPr="00BC75E3">
        <w:rPr>
          <w:rStyle w:val="FootnoteReference"/>
          <w:rFonts w:ascii="Arial" w:hAnsi="Arial" w:cs="Arial"/>
          <w:sz w:val="18"/>
          <w:szCs w:val="18"/>
        </w:rPr>
        <w:footnoteRef/>
      </w:r>
      <w:r w:rsidRPr="00BC75E3">
        <w:rPr>
          <w:rFonts w:ascii="Arial" w:hAnsi="Arial" w:cs="Arial"/>
          <w:sz w:val="18"/>
          <w:szCs w:val="18"/>
        </w:rPr>
        <w:t xml:space="preserve"> IOSCO Consultation Report: Principles regarding the Custody of Collective Investment Schemes’ Assets, Chapter 3, Paragraph 38.</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3C5EAD23" w14:textId="77777777" w:rsidR="004F3FB0" w:rsidRDefault="004F3FB0">
    <w:pPr>
      <w:pStyle w:val="Header"/>
    </w:pPr>
    <w:r>
      <w:rPr>
        <w:noProof/>
      </w:rPr>
      <w:pict w14:anchorId="769ADC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 o:spid="_x0000_s1028" type="#_x0000_t75" alt="esma_8_V3_no_claim" style="position:absolute;margin-left:62.35pt;margin-top:48.2pt;width:44.25pt;height:44.25pt;z-index:251662336;visibility:visible;mso-position-horizontal-relative:page;mso-position-vertical-relative:page">
          <v:imagedata r:id="rId1" o:title="esma_8_V3_no_claim"/>
          <w10:wrap anchorx="page" anchory="page"/>
        </v:shape>
      </w:pict>
    </w:r>
    <w:r>
      <w:rPr>
        <w:noProof/>
      </w:rPr>
      <w:pict w14:anchorId="2E0D2A01">
        <v:line id="Line 16" o:spid="_x0000_s1026" style="position:absolute;z-index:251660288;visibility:visible;mso-wrap-distance-left:114296emu;mso-wrap-distance-right:114296emu;mso-position-horizontal-relative:page;mso-position-vertical-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10C54BE8" w14:textId="77777777" w:rsidR="004F3FB0" w:rsidRDefault="004F3FB0" w:rsidP="00926354">
    <w:pPr>
      <w:pStyle w:val="Header"/>
      <w:jc w:val="right"/>
    </w:pPr>
    <w:r>
      <w:rPr>
        <w:noProof/>
      </w:rPr>
      <w:pict w14:anchorId="4A1135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 o:spid="_x0000_s1027" type="#_x0000_t75" alt="esma_8_V3" style="position:absolute;left:0;text-align:left;margin-left:29.75pt;margin-top:29.75pt;width:174pt;height:71.25pt;z-index:251661312;visibility:visible;mso-position-horizontal-relative:page;mso-position-vertical-relative:page">
          <v:imagedata r:id="rId1" o:title="esma_8_V3"/>
          <w10:wrap anchorx="page" anchory="page"/>
        </v:shape>
      </w:pict>
    </w:r>
    <w:r>
      <w:rPr>
        <w:noProof/>
      </w:rPr>
      <w:pict w14:anchorId="11316D11">
        <v:shape id="Picture 21" o:spid="_x0000_s1025" type="#_x0000_t75" alt="report_db" style="position:absolute;left:0;text-align:left;margin-left:0;margin-top:306.75pt;width:595.3pt;height:535.5pt;z-index:-251657216;visibility:visible;mso-position-horizontal-relative:page;mso-position-vertical-relative:page">
          <v:imagedata r:id="rId2" o:title="report_db"/>
          <w10:wrap anchorx="page" anchory="page"/>
        </v:shape>
      </w:pict>
    </w:r>
    <w:r>
      <w:t xml:space="preserve"> </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E1019E2" w14:textId="77777777" w:rsidR="004F3FB0" w:rsidRDefault="004F3FB0"/>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4F3FB0" w:rsidRPr="002F4496" w14:paraId="123E2A42" w14:textId="77777777" w:rsidTr="00926354">
      <w:trPr>
        <w:trHeight w:val="284"/>
      </w:trPr>
      <w:tc>
        <w:tcPr>
          <w:tcW w:w="8460" w:type="dxa"/>
        </w:tcPr>
        <w:p w14:paraId="73851095" w14:textId="77777777" w:rsidR="004F3FB0" w:rsidRPr="000C3B6D" w:rsidRDefault="004F3FB0" w:rsidP="00926354">
          <w:pPr>
            <w:pStyle w:val="00Footer"/>
            <w:rPr>
              <w:lang w:val="fr-FR"/>
            </w:rPr>
          </w:pPr>
        </w:p>
      </w:tc>
      <w:tc>
        <w:tcPr>
          <w:tcW w:w="952" w:type="dxa"/>
        </w:tcPr>
        <w:p w14:paraId="52DA0D54" w14:textId="77777777" w:rsidR="004F3FB0" w:rsidRPr="00146B34" w:rsidRDefault="004F3FB0" w:rsidP="00926354">
          <w:pPr>
            <w:pStyle w:val="00aPagenumber"/>
            <w:rPr>
              <w:lang w:val="fr-FR"/>
            </w:rPr>
          </w:pPr>
        </w:p>
      </w:tc>
    </w:tr>
  </w:tbl>
  <w:p w14:paraId="75E7D82D" w14:textId="77777777" w:rsidR="004F3FB0" w:rsidRPr="00DB46C3" w:rsidRDefault="004F3FB0">
    <w:pPr>
      <w:rPr>
        <w:lang w:val="fr-FR"/>
      </w:rPr>
    </w:pPr>
  </w:p>
  <w:p w14:paraId="5A5D2B02" w14:textId="77777777" w:rsidR="004F3FB0" w:rsidRPr="002F4496" w:rsidRDefault="004F3FB0">
    <w:pPr>
      <w:pStyle w:val="Header"/>
      <w:rPr>
        <w:lang w:val="fr-FR"/>
      </w:rPr>
    </w:pPr>
  </w:p>
  <w:p w14:paraId="4347E4E3" w14:textId="77777777" w:rsidR="004F3FB0" w:rsidRPr="002F4496" w:rsidRDefault="004F3FB0" w:rsidP="00926354">
    <w:pPr>
      <w:pStyle w:val="Header"/>
      <w:tabs>
        <w:tab w:val="clear" w:pos="4536"/>
        <w:tab w:val="clear" w:pos="9072"/>
        <w:tab w:val="left" w:pos="8227"/>
      </w:tabs>
      <w:rPr>
        <w:lang w:val="fr-FR"/>
      </w:rPr>
    </w:pPr>
  </w:p>
  <w:p w14:paraId="3824A74A" w14:textId="77777777" w:rsidR="004F3FB0" w:rsidRPr="002F4496" w:rsidRDefault="004F3FB0" w:rsidP="00926354">
    <w:pPr>
      <w:pStyle w:val="Header"/>
      <w:tabs>
        <w:tab w:val="clear" w:pos="4536"/>
        <w:tab w:val="clear" w:pos="9072"/>
        <w:tab w:val="left" w:pos="8227"/>
      </w:tabs>
      <w:rPr>
        <w:lang w:val="fr-FR"/>
      </w:rPr>
    </w:pPr>
  </w:p>
  <w:p w14:paraId="71329F04" w14:textId="77777777" w:rsidR="004F3FB0" w:rsidRPr="002F4496" w:rsidRDefault="004F3FB0">
    <w:pPr>
      <w:pStyle w:val="Header"/>
      <w:rPr>
        <w:lang w:val="fr-FR"/>
      </w:rPr>
    </w:pPr>
  </w:p>
  <w:p w14:paraId="3E0B5430" w14:textId="77777777" w:rsidR="004F3FB0" w:rsidRPr="002F4496" w:rsidRDefault="004F3FB0">
    <w:pPr>
      <w:pStyle w:val="Header"/>
      <w:rPr>
        <w:lang w:val="fr-FR"/>
      </w:rPr>
    </w:pPr>
  </w:p>
  <w:p w14:paraId="53A99977" w14:textId="77777777" w:rsidR="004F3FB0" w:rsidRPr="002F4496" w:rsidRDefault="004F3FB0">
    <w:pPr>
      <w:pStyle w:val="Header"/>
      <w:rPr>
        <w:lang w:val="fr-FR"/>
      </w:rPr>
    </w:pPr>
  </w:p>
  <w:p w14:paraId="2C7156E1" w14:textId="77777777" w:rsidR="004F3FB0" w:rsidRPr="002F4496" w:rsidRDefault="004F3FB0">
    <w:pPr>
      <w:pStyle w:val="Header"/>
      <w:rPr>
        <w:lang w:val="fr-FR"/>
      </w:rPr>
    </w:pPr>
  </w:p>
  <w:p w14:paraId="131EB7C1" w14:textId="77777777" w:rsidR="004F3FB0" w:rsidRPr="002F4496" w:rsidRDefault="004F3FB0">
    <w:pPr>
      <w:pStyle w:val="Header"/>
      <w:rPr>
        <w:highlight w:val="yellow"/>
        <w:lang w:val="fr-FR"/>
      </w:rPr>
    </w:pPr>
  </w:p>
  <w:p w14:paraId="1C7C1B91" w14:textId="77777777" w:rsidR="004F3FB0" w:rsidRDefault="004F3FB0">
    <w:pPr>
      <w:pStyle w:val="Header"/>
    </w:pPr>
    <w:r>
      <w:rPr>
        <w:noProof/>
      </w:rPr>
      <w:pict w14:anchorId="3031F2BA">
        <v:line id="Straight Connector 138" o:spid="_x0000_s1030" style="position:absolute;z-index:251658240;visibility:visible;mso-position-horizontal-relative:page;mso-position-vertical-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w:r>
    <w:r>
      <w:rPr>
        <w:noProof/>
      </w:rPr>
      <w:pict w14:anchorId="0739A3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0" o:spid="_x0000_s1029" type="#_x0000_t75" alt="esma_8_V3" style="position:absolute;margin-left:62.35pt;margin-top:48.2pt;width:174pt;height:71.25pt;z-index:251658240;visibility:visible;mso-position-horizontal-relative:page;mso-position-vertical-relative:page">
          <v:imagedata r:id="rId1" o:title="esma_8_V3"/>
          <w10:wrap anchorx="page" anchory="page"/>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03005"/>
    <w:multiLevelType w:val="hybridMultilevel"/>
    <w:tmpl w:val="F4BA0B02"/>
    <w:lvl w:ilvl="0" w:tplc="046E001B">
      <w:start w:val="1"/>
      <w:numFmt w:val="lowerRoman"/>
      <w:lvlText w:val="%1."/>
      <w:lvlJc w:val="righ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03017BBD"/>
    <w:multiLevelType w:val="hybridMultilevel"/>
    <w:tmpl w:val="83EA1CC8"/>
    <w:lvl w:ilvl="0" w:tplc="00DA126C">
      <w:start w:val="1"/>
      <w:numFmt w:val="lowerRoman"/>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A34FE7"/>
    <w:multiLevelType w:val="hybridMultilevel"/>
    <w:tmpl w:val="83EA1CC8"/>
    <w:lvl w:ilvl="0" w:tplc="00DA126C">
      <w:start w:val="1"/>
      <w:numFmt w:val="lowerRoman"/>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72F245F"/>
    <w:multiLevelType w:val="hybridMultilevel"/>
    <w:tmpl w:val="00D41A64"/>
    <w:lvl w:ilvl="0" w:tplc="E896658E">
      <w:start w:val="1"/>
      <w:numFmt w:val="decimal"/>
      <w:pStyle w:val="Footer"/>
      <w:lvlText w:val="Q%1:"/>
      <w:lvlJc w:val="left"/>
      <w:pPr>
        <w:ind w:left="360" w:hanging="360"/>
      </w:pPr>
      <w:rPr>
        <w:b/>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
    <w:nsid w:val="25487780"/>
    <w:multiLevelType w:val="hybridMultilevel"/>
    <w:tmpl w:val="406CD0D4"/>
    <w:lvl w:ilvl="0" w:tplc="08090001">
      <w:start w:val="1"/>
      <w:numFmt w:val="bullet"/>
      <w:lvlText w:val=""/>
      <w:lvlJc w:val="left"/>
      <w:pPr>
        <w:ind w:left="720" w:hanging="360"/>
      </w:pPr>
      <w:rPr>
        <w:rFonts w:ascii="Symbol" w:hAnsi="Symbol" w:hint="default"/>
      </w:rPr>
    </w:lvl>
    <w:lvl w:ilvl="1" w:tplc="E6366C56">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nsid w:val="5DC103BE"/>
    <w:multiLevelType w:val="hybridMultilevel"/>
    <w:tmpl w:val="9B14BF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F787ECB"/>
    <w:multiLevelType w:val="hybridMultilevel"/>
    <w:tmpl w:val="AB3EFF44"/>
    <w:lvl w:ilvl="0" w:tplc="FD566192">
      <w:numFmt w:val="bullet"/>
      <w:lvlText w:val="-"/>
      <w:lvlJc w:val="left"/>
      <w:pPr>
        <w:ind w:left="360" w:hanging="360"/>
      </w:pPr>
      <w:rPr>
        <w:rFonts w:ascii="Arial" w:eastAsia="Calibri" w:hAnsi="Arial" w:cs="Symbol" w:hint="default"/>
      </w:rPr>
    </w:lvl>
    <w:lvl w:ilvl="1" w:tplc="04090003">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2"/>
  </w:num>
  <w:num w:numId="3">
    <w:abstractNumId w:val="8"/>
  </w:num>
  <w:num w:numId="4">
    <w:abstractNumId w:val="3"/>
  </w:num>
  <w:num w:numId="5">
    <w:abstractNumId w:val="1"/>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5"/>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defaultTabStop w:val="708"/>
  <w:hyphenationZone w:val="425"/>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3047"/>
    <w:rsid w:val="00065003"/>
    <w:rsid w:val="000D4174"/>
    <w:rsid w:val="001B4436"/>
    <w:rsid w:val="00387072"/>
    <w:rsid w:val="0042321E"/>
    <w:rsid w:val="004F3FB0"/>
    <w:rsid w:val="00702B4A"/>
    <w:rsid w:val="00783047"/>
    <w:rsid w:val="0080181D"/>
    <w:rsid w:val="008774CC"/>
    <w:rsid w:val="008A4464"/>
    <w:rsid w:val="0090632F"/>
    <w:rsid w:val="00926354"/>
    <w:rsid w:val="00A901D2"/>
    <w:rsid w:val="00B96293"/>
    <w:rsid w:val="00D0217F"/>
    <w:rsid w:val="00D536FD"/>
    <w:rsid w:val="00DD625E"/>
    <w:rsid w:val="00EC0033"/>
    <w:rsid w:val="00EF4EAF"/>
  </w:rsids>
  <m:mathPr>
    <m:mathFont m:val="Cambria Math"/>
    <m:brkBin m:val="before"/>
    <m:brkBinSub m:val="--"/>
    <m:smallFrac m:val="0"/>
    <m:dispDef m:val="0"/>
    <m:lMargin m:val="0"/>
    <m:rMargin m:val="0"/>
    <m:defJc m:val="centerGroup"/>
    <m:wrapRight/>
    <m:intLim m:val="subSup"/>
    <m:naryLim m:val="subSup"/>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53B11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fr-FR"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3047"/>
    <w:pPr>
      <w:spacing w:after="0"/>
    </w:pPr>
    <w:rPr>
      <w:rFonts w:ascii="Georgia" w:eastAsia="Times New Roman" w:hAnsi="Georgia" w:cs="Times New Roman"/>
      <w:szCs w:val="24"/>
      <w:lang w:val="en-GB" w:eastAsia="de-DE"/>
    </w:rPr>
  </w:style>
  <w:style w:type="paragraph" w:styleId="Heading5">
    <w:name w:val="heading 5"/>
    <w:aliases w:val="Questions"/>
    <w:basedOn w:val="Normal"/>
    <w:next w:val="Normal"/>
    <w:link w:val="Heading5Char14"/>
    <w:qFormat/>
    <w:rsid w:val="00783047"/>
    <w:pPr>
      <w:keepNext/>
      <w:keepLines/>
      <w:numPr>
        <w:numId w:val="3"/>
      </w:numPr>
      <w:ind w:left="0" w:firstLine="0"/>
      <w:jc w:val="both"/>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uiPriority w:val="9"/>
    <w:semiHidden/>
    <w:rsid w:val="00783047"/>
    <w:rPr>
      <w:rFonts w:asciiTheme="majorHAnsi" w:eastAsiaTheme="majorEastAsia" w:hAnsiTheme="majorHAnsi" w:cstheme="majorBidi"/>
      <w:color w:val="243F60" w:themeColor="accent1" w:themeShade="7F"/>
      <w:szCs w:val="24"/>
      <w:lang w:val="en-GB" w:eastAsia="de-DE"/>
    </w:rPr>
  </w:style>
  <w:style w:type="paragraph" w:styleId="Header">
    <w:name w:val="header"/>
    <w:basedOn w:val="Normal"/>
    <w:link w:val="HeaderChar"/>
    <w:rsid w:val="00783047"/>
    <w:pPr>
      <w:tabs>
        <w:tab w:val="center" w:pos="4536"/>
        <w:tab w:val="right" w:pos="9072"/>
      </w:tabs>
    </w:pPr>
  </w:style>
  <w:style w:type="character" w:customStyle="1" w:styleId="HeaderChar">
    <w:name w:val="Header Char"/>
    <w:basedOn w:val="DefaultParagraphFont"/>
    <w:link w:val="Header"/>
    <w:rsid w:val="00783047"/>
    <w:rPr>
      <w:rFonts w:ascii="Georgia" w:eastAsia="Times New Roman" w:hAnsi="Georgia" w:cs="Times New Roman"/>
      <w:szCs w:val="24"/>
      <w:lang w:val="en-GB" w:eastAsia="de-DE"/>
    </w:rPr>
  </w:style>
  <w:style w:type="paragraph" w:styleId="Footer">
    <w:name w:val="footer"/>
    <w:basedOn w:val="Normal"/>
    <w:link w:val="FooterChar"/>
    <w:rsid w:val="00783047"/>
    <w:pPr>
      <w:numPr>
        <w:numId w:val="6"/>
      </w:numPr>
      <w:tabs>
        <w:tab w:val="center" w:pos="4536"/>
        <w:tab w:val="right" w:pos="9072"/>
      </w:tabs>
      <w:ind w:left="0" w:firstLine="0"/>
    </w:pPr>
  </w:style>
  <w:style w:type="character" w:customStyle="1" w:styleId="FooterChar">
    <w:name w:val="Footer Char"/>
    <w:basedOn w:val="DefaultParagraphFont"/>
    <w:link w:val="Footer"/>
    <w:rsid w:val="00783047"/>
    <w:rPr>
      <w:rFonts w:ascii="Georgia" w:eastAsia="Times New Roman" w:hAnsi="Georgia" w:cs="Times New Roman"/>
      <w:szCs w:val="24"/>
      <w:lang w:val="en-GB" w:eastAsia="de-DE"/>
    </w:rPr>
  </w:style>
  <w:style w:type="paragraph" w:customStyle="1" w:styleId="00Footer">
    <w:name w:val="00_Footer"/>
    <w:basedOn w:val="Normal"/>
    <w:rsid w:val="00783047"/>
    <w:pPr>
      <w:spacing w:line="200" w:lineRule="exact"/>
    </w:pPr>
    <w:rPr>
      <w:color w:val="2D4190"/>
      <w:sz w:val="16"/>
    </w:rPr>
  </w:style>
  <w:style w:type="paragraph" w:customStyle="1" w:styleId="02Date">
    <w:name w:val="02_Date"/>
    <w:basedOn w:val="Normal"/>
    <w:rsid w:val="00783047"/>
    <w:pPr>
      <w:spacing w:line="220" w:lineRule="exact"/>
    </w:pPr>
    <w:rPr>
      <w:sz w:val="17"/>
    </w:rPr>
  </w:style>
  <w:style w:type="paragraph" w:customStyle="1" w:styleId="00aPagenumber">
    <w:name w:val="00a_Page number"/>
    <w:basedOn w:val="00Footer"/>
    <w:rsid w:val="00783047"/>
    <w:pPr>
      <w:spacing w:line="280" w:lineRule="atLeast"/>
      <w:jc w:val="right"/>
    </w:pPr>
    <w:rPr>
      <w:color w:val="000000"/>
      <w:sz w:val="20"/>
    </w:rPr>
  </w:style>
  <w:style w:type="paragraph" w:customStyle="1" w:styleId="04BodyText">
    <w:name w:val="04_Body Text"/>
    <w:basedOn w:val="Normal"/>
    <w:link w:val="04BodyTextChar"/>
    <w:rsid w:val="00783047"/>
    <w:pPr>
      <w:spacing w:after="250" w:line="276" w:lineRule="auto"/>
      <w:jc w:val="both"/>
    </w:pPr>
  </w:style>
  <w:style w:type="paragraph" w:customStyle="1" w:styleId="05HeadlinenoIndex">
    <w:name w:val="05_Headline no Index"/>
    <w:basedOn w:val="04BodyText"/>
    <w:rsid w:val="00783047"/>
    <w:pPr>
      <w:spacing w:line="300" w:lineRule="exact"/>
    </w:pPr>
    <w:rPr>
      <w:b/>
      <w:sz w:val="24"/>
    </w:rPr>
  </w:style>
  <w:style w:type="paragraph" w:customStyle="1" w:styleId="00bDBInfo">
    <w:name w:val="00b_DB_Info"/>
    <w:basedOn w:val="00aPagenumber"/>
    <w:rsid w:val="00783047"/>
    <w:rPr>
      <w:color w:val="FFFFFF"/>
    </w:rPr>
  </w:style>
  <w:style w:type="paragraph" w:customStyle="1" w:styleId="01aDBTitle">
    <w:name w:val="01a_DB_Title"/>
    <w:basedOn w:val="Normal"/>
    <w:rsid w:val="00783047"/>
    <w:pPr>
      <w:spacing w:line="400" w:lineRule="exact"/>
      <w:jc w:val="right"/>
    </w:pPr>
    <w:rPr>
      <w:b/>
      <w:color w:val="2D4190"/>
      <w:sz w:val="40"/>
    </w:rPr>
  </w:style>
  <w:style w:type="paragraph" w:customStyle="1" w:styleId="01bDBSubtitle">
    <w:name w:val="01b_DB_Subtitle"/>
    <w:rsid w:val="00783047"/>
    <w:pPr>
      <w:spacing w:after="0"/>
      <w:jc w:val="right"/>
    </w:pPr>
    <w:rPr>
      <w:rFonts w:ascii="Georgia" w:eastAsia="Times New Roman" w:hAnsi="Georgia" w:cs="Times New Roman"/>
      <w:color w:val="000000"/>
      <w:sz w:val="24"/>
      <w:szCs w:val="24"/>
      <w:lang w:val="en-GB" w:eastAsia="de-DE"/>
    </w:rPr>
  </w:style>
  <w:style w:type="character" w:styleId="Hyperlink">
    <w:name w:val="Hyperlink"/>
    <w:uiPriority w:val="99"/>
    <w:rsid w:val="00783047"/>
    <w:rPr>
      <w:color w:val="0000FF"/>
      <w:u w:val="single"/>
    </w:rPr>
  </w:style>
  <w:style w:type="paragraph" w:customStyle="1" w:styleId="04bList">
    <w:name w:val="04b_List"/>
    <w:basedOn w:val="04BodyText"/>
    <w:uiPriority w:val="99"/>
    <w:rsid w:val="00783047"/>
    <w:pPr>
      <w:numPr>
        <w:numId w:val="1"/>
      </w:numPr>
      <w:tabs>
        <w:tab w:val="clear" w:pos="568"/>
        <w:tab w:val="num" w:pos="360"/>
      </w:tabs>
      <w:ind w:left="0" w:firstLine="0"/>
    </w:p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
    <w:basedOn w:val="Normal"/>
    <w:link w:val="FootnoteTextChar"/>
    <w:rsid w:val="00783047"/>
    <w:pPr>
      <w:spacing w:line="200" w:lineRule="exact"/>
    </w:pPr>
    <w:rPr>
      <w:sz w:val="16"/>
      <w:szCs w:val="20"/>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basedOn w:val="DefaultParagraphFont"/>
    <w:link w:val="FootnoteText"/>
    <w:rsid w:val="00783047"/>
    <w:rPr>
      <w:rFonts w:ascii="Georgia" w:eastAsia="Times New Roman" w:hAnsi="Georgia" w:cs="Times New Roman"/>
      <w:sz w:val="16"/>
      <w:lang w:val="en-GB" w:eastAsia="de-DE"/>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rsid w:val="00783047"/>
    <w:rPr>
      <w:vertAlign w:val="superscript"/>
    </w:rPr>
  </w:style>
  <w:style w:type="character" w:customStyle="1" w:styleId="Heading5Char14">
    <w:name w:val="Heading 5 Char14"/>
    <w:aliases w:val="Questions Char7"/>
    <w:link w:val="Heading5"/>
    <w:rsid w:val="00783047"/>
    <w:rPr>
      <w:rFonts w:ascii="Georgia" w:eastAsia="Times New Roman" w:hAnsi="Georgia" w:cs="Times New Roman"/>
      <w:b/>
      <w:szCs w:val="24"/>
      <w:lang w:val="en-GB" w:eastAsia="de-DE"/>
    </w:rPr>
  </w:style>
  <w:style w:type="character" w:customStyle="1" w:styleId="04BodyTextChar">
    <w:name w:val="04_Body Text Char"/>
    <w:link w:val="04BodyText"/>
    <w:rsid w:val="00783047"/>
    <w:rPr>
      <w:rFonts w:ascii="Georgia" w:eastAsia="Times New Roman" w:hAnsi="Georgia" w:cs="Times New Roman"/>
      <w:szCs w:val="24"/>
      <w:lang w:val="en-GB" w:eastAsia="de-DE"/>
    </w:rPr>
  </w:style>
  <w:style w:type="paragraph" w:customStyle="1" w:styleId="NEW-Level0">
    <w:name w:val="NEW-Level0"/>
    <w:basedOn w:val="Normal"/>
    <w:rsid w:val="00783047"/>
    <w:pPr>
      <w:keepNext/>
      <w:numPr>
        <w:numId w:val="4"/>
      </w:numPr>
      <w:spacing w:before="240" w:after="250" w:line="276" w:lineRule="auto"/>
      <w:outlineLvl w:val="0"/>
    </w:pPr>
    <w:rPr>
      <w:rFonts w:cs="Arial"/>
      <w:b/>
      <w:bCs/>
      <w:kern w:val="32"/>
      <w:sz w:val="28"/>
      <w:szCs w:val="28"/>
    </w:rPr>
  </w:style>
  <w:style w:type="paragraph" w:customStyle="1" w:styleId="NEW-Level1">
    <w:name w:val="NEW-Level1"/>
    <w:basedOn w:val="Normal"/>
    <w:rsid w:val="00783047"/>
    <w:pPr>
      <w:keepNext/>
      <w:numPr>
        <w:ilvl w:val="1"/>
        <w:numId w:val="4"/>
      </w:numPr>
      <w:spacing w:before="240" w:after="250" w:line="276" w:lineRule="auto"/>
      <w:outlineLvl w:val="0"/>
    </w:pPr>
    <w:rPr>
      <w:rFonts w:cs="Arial"/>
      <w:b/>
      <w:bCs/>
      <w:kern w:val="32"/>
      <w:sz w:val="24"/>
      <w:szCs w:val="32"/>
    </w:rPr>
  </w:style>
  <w:style w:type="paragraph" w:customStyle="1" w:styleId="aNEW-Level0">
    <w:name w:val="aNEW-Level0"/>
    <w:basedOn w:val="NEW-Level0"/>
    <w:link w:val="aNEW-Level0Char"/>
    <w:qFormat/>
    <w:rsid w:val="00783047"/>
    <w:pPr>
      <w:spacing w:before="120" w:after="120"/>
      <w:ind w:left="425" w:hanging="425"/>
    </w:pPr>
  </w:style>
  <w:style w:type="character" w:customStyle="1" w:styleId="aNEW-Level0Char">
    <w:name w:val="aNEW-Level0 Char"/>
    <w:link w:val="aNEW-Level0"/>
    <w:rsid w:val="00783047"/>
    <w:rPr>
      <w:rFonts w:ascii="Georgia" w:eastAsia="Times New Roman" w:hAnsi="Georgia" w:cs="Arial"/>
      <w:b/>
      <w:bCs/>
      <w:kern w:val="32"/>
      <w:sz w:val="28"/>
      <w:szCs w:val="28"/>
      <w:lang w:val="en-GB" w:eastAsia="de-DE"/>
    </w:rPr>
  </w:style>
  <w:style w:type="paragraph" w:styleId="ListParagraph">
    <w:name w:val="List Paragraph"/>
    <w:aliases w:val="Paragraphe EI,Paragraphe de liste1,EC"/>
    <w:basedOn w:val="Normal"/>
    <w:link w:val="ListParagraphChar"/>
    <w:uiPriority w:val="34"/>
    <w:qFormat/>
    <w:rsid w:val="000D4174"/>
    <w:pPr>
      <w:spacing w:after="120" w:line="270" w:lineRule="exact"/>
      <w:ind w:left="720"/>
      <w:contextualSpacing/>
    </w:pPr>
    <w:rPr>
      <w:rFonts w:ascii="HelveticaNeueLT Com 45 Lt" w:eastAsiaTheme="minorEastAsia" w:hAnsi="HelveticaNeueLT Com 45 Lt" w:cstheme="minorBidi"/>
      <w:color w:val="000000" w:themeColor="text1"/>
      <w:sz w:val="17"/>
      <w:lang w:val="de-DE"/>
    </w:rPr>
  </w:style>
  <w:style w:type="character" w:customStyle="1" w:styleId="ListParagraphChar">
    <w:name w:val="List Paragraph Char"/>
    <w:aliases w:val="Paragraphe EI Char,Paragraphe de liste1 Char,EC Char"/>
    <w:link w:val="ListParagraph"/>
    <w:uiPriority w:val="34"/>
    <w:locked/>
    <w:rsid w:val="000D4174"/>
    <w:rPr>
      <w:rFonts w:ascii="HelveticaNeueLT Com 45 Lt" w:hAnsi="HelveticaNeueLT Com 45 Lt"/>
      <w:color w:val="000000" w:themeColor="text1"/>
      <w:sz w:val="17"/>
      <w:szCs w:val="24"/>
      <w:lang w:val="de-DE" w:eastAsia="de-D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fr-FR"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3047"/>
    <w:pPr>
      <w:spacing w:after="0"/>
    </w:pPr>
    <w:rPr>
      <w:rFonts w:ascii="Georgia" w:eastAsia="Times New Roman" w:hAnsi="Georgia" w:cs="Times New Roman"/>
      <w:szCs w:val="24"/>
      <w:lang w:val="en-GB" w:eastAsia="de-DE"/>
    </w:rPr>
  </w:style>
  <w:style w:type="paragraph" w:styleId="Heading5">
    <w:name w:val="heading 5"/>
    <w:aliases w:val="Questions"/>
    <w:basedOn w:val="Normal"/>
    <w:next w:val="Normal"/>
    <w:link w:val="Heading5Char14"/>
    <w:qFormat/>
    <w:rsid w:val="00783047"/>
    <w:pPr>
      <w:keepNext/>
      <w:keepLines/>
      <w:numPr>
        <w:numId w:val="3"/>
      </w:numPr>
      <w:ind w:left="0" w:firstLine="0"/>
      <w:jc w:val="both"/>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uiPriority w:val="9"/>
    <w:semiHidden/>
    <w:rsid w:val="00783047"/>
    <w:rPr>
      <w:rFonts w:asciiTheme="majorHAnsi" w:eastAsiaTheme="majorEastAsia" w:hAnsiTheme="majorHAnsi" w:cstheme="majorBidi"/>
      <w:color w:val="243F60" w:themeColor="accent1" w:themeShade="7F"/>
      <w:szCs w:val="24"/>
      <w:lang w:val="en-GB" w:eastAsia="de-DE"/>
    </w:rPr>
  </w:style>
  <w:style w:type="paragraph" w:styleId="Header">
    <w:name w:val="header"/>
    <w:basedOn w:val="Normal"/>
    <w:link w:val="HeaderChar"/>
    <w:rsid w:val="00783047"/>
    <w:pPr>
      <w:tabs>
        <w:tab w:val="center" w:pos="4536"/>
        <w:tab w:val="right" w:pos="9072"/>
      </w:tabs>
    </w:pPr>
  </w:style>
  <w:style w:type="character" w:customStyle="1" w:styleId="HeaderChar">
    <w:name w:val="Header Char"/>
    <w:basedOn w:val="DefaultParagraphFont"/>
    <w:link w:val="Header"/>
    <w:rsid w:val="00783047"/>
    <w:rPr>
      <w:rFonts w:ascii="Georgia" w:eastAsia="Times New Roman" w:hAnsi="Georgia" w:cs="Times New Roman"/>
      <w:szCs w:val="24"/>
      <w:lang w:val="en-GB" w:eastAsia="de-DE"/>
    </w:rPr>
  </w:style>
  <w:style w:type="paragraph" w:styleId="Footer">
    <w:name w:val="footer"/>
    <w:basedOn w:val="Normal"/>
    <w:link w:val="FooterChar"/>
    <w:rsid w:val="00783047"/>
    <w:pPr>
      <w:numPr>
        <w:numId w:val="6"/>
      </w:numPr>
      <w:tabs>
        <w:tab w:val="center" w:pos="4536"/>
        <w:tab w:val="right" w:pos="9072"/>
      </w:tabs>
      <w:ind w:left="0" w:firstLine="0"/>
    </w:pPr>
  </w:style>
  <w:style w:type="character" w:customStyle="1" w:styleId="FooterChar">
    <w:name w:val="Footer Char"/>
    <w:basedOn w:val="DefaultParagraphFont"/>
    <w:link w:val="Footer"/>
    <w:rsid w:val="00783047"/>
    <w:rPr>
      <w:rFonts w:ascii="Georgia" w:eastAsia="Times New Roman" w:hAnsi="Georgia" w:cs="Times New Roman"/>
      <w:szCs w:val="24"/>
      <w:lang w:val="en-GB" w:eastAsia="de-DE"/>
    </w:rPr>
  </w:style>
  <w:style w:type="paragraph" w:customStyle="1" w:styleId="00Footer">
    <w:name w:val="00_Footer"/>
    <w:basedOn w:val="Normal"/>
    <w:rsid w:val="00783047"/>
    <w:pPr>
      <w:spacing w:line="200" w:lineRule="exact"/>
    </w:pPr>
    <w:rPr>
      <w:color w:val="2D4190"/>
      <w:sz w:val="16"/>
    </w:rPr>
  </w:style>
  <w:style w:type="paragraph" w:customStyle="1" w:styleId="02Date">
    <w:name w:val="02_Date"/>
    <w:basedOn w:val="Normal"/>
    <w:rsid w:val="00783047"/>
    <w:pPr>
      <w:spacing w:line="220" w:lineRule="exact"/>
    </w:pPr>
    <w:rPr>
      <w:sz w:val="17"/>
    </w:rPr>
  </w:style>
  <w:style w:type="paragraph" w:customStyle="1" w:styleId="00aPagenumber">
    <w:name w:val="00a_Page number"/>
    <w:basedOn w:val="00Footer"/>
    <w:rsid w:val="00783047"/>
    <w:pPr>
      <w:spacing w:line="280" w:lineRule="atLeast"/>
      <w:jc w:val="right"/>
    </w:pPr>
    <w:rPr>
      <w:color w:val="000000"/>
      <w:sz w:val="20"/>
    </w:rPr>
  </w:style>
  <w:style w:type="paragraph" w:customStyle="1" w:styleId="04BodyText">
    <w:name w:val="04_Body Text"/>
    <w:basedOn w:val="Normal"/>
    <w:link w:val="04BodyTextChar"/>
    <w:rsid w:val="00783047"/>
    <w:pPr>
      <w:spacing w:after="250" w:line="276" w:lineRule="auto"/>
      <w:jc w:val="both"/>
    </w:pPr>
  </w:style>
  <w:style w:type="paragraph" w:customStyle="1" w:styleId="05HeadlinenoIndex">
    <w:name w:val="05_Headline no Index"/>
    <w:basedOn w:val="04BodyText"/>
    <w:rsid w:val="00783047"/>
    <w:pPr>
      <w:spacing w:line="300" w:lineRule="exact"/>
    </w:pPr>
    <w:rPr>
      <w:b/>
      <w:sz w:val="24"/>
    </w:rPr>
  </w:style>
  <w:style w:type="paragraph" w:customStyle="1" w:styleId="00bDBInfo">
    <w:name w:val="00b_DB_Info"/>
    <w:basedOn w:val="00aPagenumber"/>
    <w:rsid w:val="00783047"/>
    <w:rPr>
      <w:color w:val="FFFFFF"/>
    </w:rPr>
  </w:style>
  <w:style w:type="paragraph" w:customStyle="1" w:styleId="01aDBTitle">
    <w:name w:val="01a_DB_Title"/>
    <w:basedOn w:val="Normal"/>
    <w:rsid w:val="00783047"/>
    <w:pPr>
      <w:spacing w:line="400" w:lineRule="exact"/>
      <w:jc w:val="right"/>
    </w:pPr>
    <w:rPr>
      <w:b/>
      <w:color w:val="2D4190"/>
      <w:sz w:val="40"/>
    </w:rPr>
  </w:style>
  <w:style w:type="paragraph" w:customStyle="1" w:styleId="01bDBSubtitle">
    <w:name w:val="01b_DB_Subtitle"/>
    <w:rsid w:val="00783047"/>
    <w:pPr>
      <w:spacing w:after="0"/>
      <w:jc w:val="right"/>
    </w:pPr>
    <w:rPr>
      <w:rFonts w:ascii="Georgia" w:eastAsia="Times New Roman" w:hAnsi="Georgia" w:cs="Times New Roman"/>
      <w:color w:val="000000"/>
      <w:sz w:val="24"/>
      <w:szCs w:val="24"/>
      <w:lang w:val="en-GB" w:eastAsia="de-DE"/>
    </w:rPr>
  </w:style>
  <w:style w:type="character" w:styleId="Hyperlink">
    <w:name w:val="Hyperlink"/>
    <w:uiPriority w:val="99"/>
    <w:rsid w:val="00783047"/>
    <w:rPr>
      <w:color w:val="0000FF"/>
      <w:u w:val="single"/>
    </w:rPr>
  </w:style>
  <w:style w:type="paragraph" w:customStyle="1" w:styleId="04bList">
    <w:name w:val="04b_List"/>
    <w:basedOn w:val="04BodyText"/>
    <w:uiPriority w:val="99"/>
    <w:rsid w:val="00783047"/>
    <w:pPr>
      <w:numPr>
        <w:numId w:val="1"/>
      </w:numPr>
      <w:tabs>
        <w:tab w:val="clear" w:pos="568"/>
        <w:tab w:val="num" w:pos="360"/>
      </w:tabs>
      <w:ind w:left="0" w:firstLine="0"/>
    </w:p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
    <w:basedOn w:val="Normal"/>
    <w:link w:val="FootnoteTextChar"/>
    <w:rsid w:val="00783047"/>
    <w:pPr>
      <w:spacing w:line="200" w:lineRule="exact"/>
    </w:pPr>
    <w:rPr>
      <w:sz w:val="16"/>
      <w:szCs w:val="20"/>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basedOn w:val="DefaultParagraphFont"/>
    <w:link w:val="FootnoteText"/>
    <w:rsid w:val="00783047"/>
    <w:rPr>
      <w:rFonts w:ascii="Georgia" w:eastAsia="Times New Roman" w:hAnsi="Georgia" w:cs="Times New Roman"/>
      <w:sz w:val="16"/>
      <w:lang w:val="en-GB" w:eastAsia="de-DE"/>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rsid w:val="00783047"/>
    <w:rPr>
      <w:vertAlign w:val="superscript"/>
    </w:rPr>
  </w:style>
  <w:style w:type="character" w:customStyle="1" w:styleId="Heading5Char14">
    <w:name w:val="Heading 5 Char14"/>
    <w:aliases w:val="Questions Char7"/>
    <w:link w:val="Heading5"/>
    <w:rsid w:val="00783047"/>
    <w:rPr>
      <w:rFonts w:ascii="Georgia" w:eastAsia="Times New Roman" w:hAnsi="Georgia" w:cs="Times New Roman"/>
      <w:b/>
      <w:szCs w:val="24"/>
      <w:lang w:val="en-GB" w:eastAsia="de-DE"/>
    </w:rPr>
  </w:style>
  <w:style w:type="character" w:customStyle="1" w:styleId="04BodyTextChar">
    <w:name w:val="04_Body Text Char"/>
    <w:link w:val="04BodyText"/>
    <w:rsid w:val="00783047"/>
    <w:rPr>
      <w:rFonts w:ascii="Georgia" w:eastAsia="Times New Roman" w:hAnsi="Georgia" w:cs="Times New Roman"/>
      <w:szCs w:val="24"/>
      <w:lang w:val="en-GB" w:eastAsia="de-DE"/>
    </w:rPr>
  </w:style>
  <w:style w:type="paragraph" w:customStyle="1" w:styleId="NEW-Level0">
    <w:name w:val="NEW-Level0"/>
    <w:basedOn w:val="Normal"/>
    <w:rsid w:val="00783047"/>
    <w:pPr>
      <w:keepNext/>
      <w:numPr>
        <w:numId w:val="4"/>
      </w:numPr>
      <w:spacing w:before="240" w:after="250" w:line="276" w:lineRule="auto"/>
      <w:outlineLvl w:val="0"/>
    </w:pPr>
    <w:rPr>
      <w:rFonts w:cs="Arial"/>
      <w:b/>
      <w:bCs/>
      <w:kern w:val="32"/>
      <w:sz w:val="28"/>
      <w:szCs w:val="28"/>
    </w:rPr>
  </w:style>
  <w:style w:type="paragraph" w:customStyle="1" w:styleId="NEW-Level1">
    <w:name w:val="NEW-Level1"/>
    <w:basedOn w:val="Normal"/>
    <w:rsid w:val="00783047"/>
    <w:pPr>
      <w:keepNext/>
      <w:numPr>
        <w:ilvl w:val="1"/>
        <w:numId w:val="4"/>
      </w:numPr>
      <w:spacing w:before="240" w:after="250" w:line="276" w:lineRule="auto"/>
      <w:outlineLvl w:val="0"/>
    </w:pPr>
    <w:rPr>
      <w:rFonts w:cs="Arial"/>
      <w:b/>
      <w:bCs/>
      <w:kern w:val="32"/>
      <w:sz w:val="24"/>
      <w:szCs w:val="32"/>
    </w:rPr>
  </w:style>
  <w:style w:type="paragraph" w:customStyle="1" w:styleId="aNEW-Level0">
    <w:name w:val="aNEW-Level0"/>
    <w:basedOn w:val="NEW-Level0"/>
    <w:link w:val="aNEW-Level0Char"/>
    <w:qFormat/>
    <w:rsid w:val="00783047"/>
    <w:pPr>
      <w:spacing w:before="120" w:after="120"/>
      <w:ind w:left="425" w:hanging="425"/>
    </w:pPr>
  </w:style>
  <w:style w:type="character" w:customStyle="1" w:styleId="aNEW-Level0Char">
    <w:name w:val="aNEW-Level0 Char"/>
    <w:link w:val="aNEW-Level0"/>
    <w:rsid w:val="00783047"/>
    <w:rPr>
      <w:rFonts w:ascii="Georgia" w:eastAsia="Times New Roman" w:hAnsi="Georgia" w:cs="Arial"/>
      <w:b/>
      <w:bCs/>
      <w:kern w:val="32"/>
      <w:sz w:val="28"/>
      <w:szCs w:val="28"/>
      <w:lang w:val="en-GB" w:eastAsia="de-DE"/>
    </w:rPr>
  </w:style>
  <w:style w:type="paragraph" w:styleId="ListParagraph">
    <w:name w:val="List Paragraph"/>
    <w:aliases w:val="Paragraphe EI,Paragraphe de liste1,EC"/>
    <w:basedOn w:val="Normal"/>
    <w:link w:val="ListParagraphChar"/>
    <w:uiPriority w:val="34"/>
    <w:qFormat/>
    <w:rsid w:val="000D4174"/>
    <w:pPr>
      <w:spacing w:after="120" w:line="270" w:lineRule="exact"/>
      <w:ind w:left="720"/>
      <w:contextualSpacing/>
    </w:pPr>
    <w:rPr>
      <w:rFonts w:ascii="HelveticaNeueLT Com 45 Lt" w:eastAsiaTheme="minorEastAsia" w:hAnsi="HelveticaNeueLT Com 45 Lt" w:cstheme="minorBidi"/>
      <w:color w:val="000000" w:themeColor="text1"/>
      <w:sz w:val="17"/>
      <w:lang w:val="de-DE"/>
    </w:rPr>
  </w:style>
  <w:style w:type="character" w:customStyle="1" w:styleId="ListParagraphChar">
    <w:name w:val="List Paragraph Char"/>
    <w:aliases w:val="Paragraphe EI Char,Paragraphe de liste1 Char,EC Char"/>
    <w:link w:val="ListParagraph"/>
    <w:uiPriority w:val="34"/>
    <w:locked/>
    <w:rsid w:val="000D4174"/>
    <w:rPr>
      <w:rFonts w:ascii="HelveticaNeueLT Com 45 Lt" w:hAnsi="HelveticaNeueLT Com 45 Lt"/>
      <w:color w:val="000000" w:themeColor="text1"/>
      <w:sz w:val="17"/>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yperlink" Target="http://www.esma.europa.eu/consultation/Consultation-delegated-acts-required-UCITS-V-Directive" TargetMode="External"/><Relationship Id="rId13" Type="http://schemas.openxmlformats.org/officeDocument/2006/relationships/hyperlink" Target="http://www.esma.europa.eu" TargetMode="External"/><Relationship Id="rId14" Type="http://schemas.openxmlformats.org/officeDocument/2006/relationships/hyperlink" Target="http://www.esma.europa.eu" TargetMode="External"/><Relationship Id="rId15" Type="http://schemas.openxmlformats.org/officeDocument/2006/relationships/header" Target="header3.xml"/><Relationship Id="rId16" Type="http://schemas.openxmlformats.org/officeDocument/2006/relationships/header" Target="header4.xml"/><Relationship Id="rId17" Type="http://schemas.openxmlformats.org/officeDocument/2006/relationships/footer" Target="footer3.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 Id="rId2" Type="http://schemas.openxmlformats.org/officeDocument/2006/relationships/image" Target="media/image3.jpeg"/></Relationships>
</file>

<file path=word/_rels/header4.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16</Pages>
  <Words>5464</Words>
  <Characters>31145</Characters>
  <Application>Microsoft Macintosh Word</Application>
  <DocSecurity>0</DocSecurity>
  <Lines>259</Lines>
  <Paragraphs>73</Paragraphs>
  <ScaleCrop>false</ScaleCrop>
  <Company>ABBL</Company>
  <LinksUpToDate>false</LinksUpToDate>
  <CharactersWithSpaces>36536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Benoît SAUVAGE</dc:creator>
  <cp:keywords/>
  <dc:description/>
  <cp:lastModifiedBy>Benoît SAUVAGE</cp:lastModifiedBy>
  <cp:revision>6</cp:revision>
  <dcterms:created xsi:type="dcterms:W3CDTF">2014-10-22T13:23:00Z</dcterms:created>
  <dcterms:modified xsi:type="dcterms:W3CDTF">2014-10-22T14:34:00Z</dcterms:modified>
</cp:coreProperties>
</file>