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bookmarkStart w:id="0" w:name="_GoBack"/>
            <w:bookmarkEnd w:id="0"/>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7E2302" w:rsidRPr="00F520E3" w:rsidRDefault="007E2302" w:rsidP="007E2302">
      <w:pPr>
        <w:jc w:val="both"/>
      </w:pPr>
      <w:bookmarkStart w:id="3"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otnoteReference"/>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B130FF">
        <w:tc>
          <w:tcPr>
            <w:tcW w:w="3929" w:type="dxa"/>
            <w:shd w:val="clear" w:color="auto" w:fill="auto"/>
          </w:tcPr>
          <w:p w:rsidR="00D34282" w:rsidRPr="00AB6D88" w:rsidRDefault="00D34282" w:rsidP="00B130FF">
            <w:pPr>
              <w:rPr>
                <w:rFonts w:cs="Arial"/>
              </w:rPr>
            </w:pPr>
            <w:permStart w:id="130706679"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permStart w:id="478033196" w:edGrp="everyone" w:displacedByCustomXml="prev"/>
            <w:tc>
              <w:tcPr>
                <w:tcW w:w="5595" w:type="dxa"/>
                <w:shd w:val="clear" w:color="auto" w:fill="auto"/>
              </w:tcPr>
              <w:p w:rsidR="00D34282" w:rsidRPr="00AB6D88" w:rsidRDefault="002667FA" w:rsidP="002667FA">
                <w:pPr>
                  <w:rPr>
                    <w:rStyle w:val="PlaceholderText"/>
                    <w:rFonts w:cs="Arial"/>
                  </w:rPr>
                </w:pPr>
                <w:r>
                  <w:rPr>
                    <w:rStyle w:val="PlaceholderText"/>
                    <w:rFonts w:cs="Arial"/>
                  </w:rPr>
                  <w:t>MOVEMENT FOR RISK TRANSPARENCY</w:t>
                </w:r>
              </w:p>
            </w:tc>
            <w:permEnd w:id="478033196" w:displacedByCustomXml="next"/>
          </w:sdtContent>
        </w:sdt>
      </w:tr>
      <w:tr w:rsidR="00D34282" w:rsidRPr="00AB6D88" w:rsidTr="00B130FF">
        <w:tc>
          <w:tcPr>
            <w:tcW w:w="3929" w:type="dxa"/>
            <w:shd w:val="clear" w:color="auto" w:fill="auto"/>
          </w:tcPr>
          <w:p w:rsidR="00D34282" w:rsidRPr="00AB6D88" w:rsidRDefault="00D34282" w:rsidP="00B130FF">
            <w:pPr>
              <w:rPr>
                <w:rFonts w:cs="Arial"/>
              </w:rPr>
            </w:pPr>
            <w:permStart w:id="2006190006" w:edGrp="everyone" w:colFirst="1" w:colLast="1"/>
            <w:permEnd w:id="130706679"/>
            <w:r w:rsidRPr="00AB6D88">
              <w:rPr>
                <w:rFonts w:cs="Arial"/>
              </w:rPr>
              <w:t>Activity</w:t>
            </w:r>
          </w:p>
        </w:tc>
        <w:tc>
          <w:tcPr>
            <w:tcW w:w="5595" w:type="dxa"/>
            <w:shd w:val="clear" w:color="auto" w:fill="auto"/>
          </w:tcPr>
          <w:p w:rsidR="00D34282" w:rsidRPr="00AB6D88" w:rsidRDefault="000A2C54" w:rsidP="00B130FF">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309020089" w:edGrp="everyone"/>
                <w:r w:rsidR="002667FA">
                  <w:rPr>
                    <w:rFonts w:cs="Arial"/>
                  </w:rPr>
                  <w:t>Audit/Legal/Individual</w:t>
                </w:r>
                <w:permEnd w:id="309020089"/>
              </w:sdtContent>
            </w:sdt>
          </w:p>
        </w:tc>
      </w:tr>
      <w:tr w:rsidR="00D34282" w:rsidRPr="00AB6D88" w:rsidTr="00B130FF">
        <w:tc>
          <w:tcPr>
            <w:tcW w:w="3929" w:type="dxa"/>
            <w:shd w:val="clear" w:color="auto" w:fill="auto"/>
          </w:tcPr>
          <w:p w:rsidR="00D34282" w:rsidRPr="00AB6D88" w:rsidRDefault="00D34282" w:rsidP="00B130FF">
            <w:pPr>
              <w:rPr>
                <w:rFonts w:cs="Arial"/>
              </w:rPr>
            </w:pPr>
            <w:permStart w:id="27148782" w:edGrp="everyone" w:colFirst="1" w:colLast="1"/>
            <w:permEnd w:id="2006190006"/>
            <w:r w:rsidRPr="00AB6D88">
              <w:rPr>
                <w:rFonts w:cs="Arial"/>
              </w:rPr>
              <w:t>Are you representing an association?</w:t>
            </w:r>
          </w:p>
        </w:tc>
        <w:sdt>
          <w:sdtPr>
            <w:rPr>
              <w:rFonts w:cs="Arial"/>
            </w:rPr>
            <w:id w:val="-242871467"/>
          </w:sdtPr>
          <w:sdtEndPr/>
          <w:sdtContent>
            <w:tc>
              <w:tcPr>
                <w:tcW w:w="5595" w:type="dxa"/>
                <w:shd w:val="clear" w:color="auto" w:fill="auto"/>
              </w:tcPr>
              <w:p w:rsidR="00D34282" w:rsidRPr="00AB6D88" w:rsidRDefault="002667FA" w:rsidP="00B130FF">
                <w:pPr>
                  <w:rPr>
                    <w:rFonts w:cs="Arial"/>
                  </w:rPr>
                </w:pPr>
                <w:r>
                  <w:rPr>
                    <w:rFonts w:cs="Arial"/>
                  </w:rPr>
                  <w:t>YES</w:t>
                </w:r>
                <w:r w:rsidR="00D34282" w:rsidRPr="00AB6D88">
                  <w:rPr>
                    <w:rFonts w:ascii="MS Gothic" w:eastAsia="MS Gothic" w:hAnsi="MS Gothic" w:cs="MS Gothic" w:hint="eastAsia"/>
                  </w:rPr>
                  <w:t>☐</w:t>
                </w:r>
              </w:p>
            </w:tc>
          </w:sdtContent>
        </w:sdt>
      </w:tr>
      <w:tr w:rsidR="00D34282" w:rsidRPr="00AB6D88" w:rsidTr="00B130FF">
        <w:tc>
          <w:tcPr>
            <w:tcW w:w="3929" w:type="dxa"/>
            <w:shd w:val="clear" w:color="auto" w:fill="auto"/>
          </w:tcPr>
          <w:p w:rsidR="00D34282" w:rsidRPr="00AB6D88" w:rsidRDefault="00D34282" w:rsidP="00B130FF">
            <w:pPr>
              <w:rPr>
                <w:rFonts w:cs="Arial"/>
              </w:rPr>
            </w:pPr>
            <w:permStart w:id="317933679" w:edGrp="everyone" w:colFirst="1" w:colLast="1"/>
            <w:permEnd w:id="27148782"/>
            <w:r w:rsidRPr="00AB6D88">
              <w:rPr>
                <w:rFonts w:cs="Arial"/>
              </w:rPr>
              <w:t>Country/Region</w:t>
            </w:r>
          </w:p>
        </w:tc>
        <w:permStart w:id="830541612" w:edGrp="everyone" w:displacedByCustomXml="next"/>
        <w:sdt>
          <w:sdtPr>
            <w:rPr>
              <w:rFonts w:cs="Arial"/>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314726145" w:edGrp="everyone" w:displacedByCustomXml="prev"/>
            <w:tc>
              <w:tcPr>
                <w:tcW w:w="5595" w:type="dxa"/>
                <w:shd w:val="clear" w:color="auto" w:fill="auto"/>
              </w:tcPr>
              <w:p w:rsidR="00D34282" w:rsidRPr="00AB6D88" w:rsidRDefault="002667FA" w:rsidP="00B130FF">
                <w:pPr>
                  <w:rPr>
                    <w:rFonts w:cs="Arial"/>
                  </w:rPr>
                </w:pPr>
                <w:r>
                  <w:rPr>
                    <w:rFonts w:cs="Arial"/>
                  </w:rPr>
                  <w:t xml:space="preserve">     </w:t>
                </w:r>
              </w:p>
            </w:tc>
            <w:permEnd w:id="314726145" w:displacedByCustomXml="next"/>
          </w:sdtContent>
        </w:sdt>
        <w:permEnd w:id="830541612" w:displacedByCustomXml="prev"/>
      </w:tr>
      <w:permEnd w:id="317933679"/>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2667FA" w:rsidRPr="00D73A1F" w:rsidRDefault="002667FA" w:rsidP="00B130FF">
      <w:pPr>
        <w:jc w:val="both"/>
        <w:rPr>
          <w:b/>
          <w:sz w:val="24"/>
        </w:rPr>
      </w:pPr>
      <w:permStart w:id="890838929" w:edGrp="everyone"/>
      <w:r w:rsidRPr="009C652B">
        <w:rPr>
          <w:b/>
          <w:sz w:val="24"/>
        </w:rPr>
        <w:t xml:space="preserve">Response to the Consultation by EBA, EIOPA and ESMA on the Discussion Paper (JC/DP/2015/01) on “Risk, Performance Scenarios and Cost Disclosures in Key Information Documents for Packaged Retail and Insurance-based Investment Products”. </w:t>
      </w:r>
    </w:p>
    <w:p w:rsidR="00FE1E44" w:rsidRDefault="002667FA" w:rsidP="00D34282">
      <w:r>
        <w:t>We are a group of academics, consumers associations, unions and other representatives of investors’ interests who want to express a common view about the issues regarding Packaged Retail and Insu</w:t>
      </w:r>
      <w:r>
        <w:t>r</w:t>
      </w:r>
      <w:r>
        <w:t xml:space="preserve">ance‐ based Investment Products that have been raised in the </w:t>
      </w:r>
      <w:r w:rsidRPr="00D74B4F">
        <w:t>JC/DP/2015/01</w:t>
      </w:r>
      <w:r>
        <w:rPr>
          <w:b/>
        </w:rPr>
        <w:t xml:space="preserve"> </w:t>
      </w:r>
      <w:r>
        <w:t>consultation paper. We want to remember that on December 4th 2010 and January 31th 2011 we sent two different letters to the European Commission and to ESMA in response to two public consultations on “the selection and prese</w:t>
      </w:r>
      <w:r>
        <w:t>n</w:t>
      </w:r>
      <w:r>
        <w:t>tation of performance scenarios in the Key Investor Information document (KIID) for structured UCITS” and on “the legislative steps for the Packaged Retail Investment Products initiative”, expressing in both contributions our shared position about the use of the scenario analysis/valuation matrix (also known as “what‐if” analysis) approach to implement the performance scenarios in the KIID for structured UCITs and PRIPs. Also, on 17th June 2013 we submitted a public response to the IOSCO consultation on Retail Structured Products (CR05/13), highlighting our strong preference for the use of probability scenarios as a tool to properly inform the retail investor about the risks of the product. Eventually, on 16</w:t>
      </w:r>
      <w:r w:rsidRPr="00D74B4F">
        <w:rPr>
          <w:vertAlign w:val="superscript"/>
        </w:rPr>
        <w:t>th</w:t>
      </w:r>
      <w:r>
        <w:t xml:space="preserve"> February 2015 we reaffirmed strongly our point of view by responding to the public consultation JC/DP/2014/02 on the Key Information Document for PRIIPs. In all these letters we highlighted the inadequacy of the scenario analysis/valuation matrix as transparency tool, since it provides a partial representation of the potential returns of a structured product. We also pointed out that the natural use of the scenario analysis/valuation matrix is inside advertising pamphlets, while its unavoidable arbitrariness makes it of little use in a doc</w:t>
      </w:r>
      <w:r>
        <w:t>u</w:t>
      </w:r>
      <w:r>
        <w:t>ment (like the KIID for UCITs and the now imminent KIID for PRIIPs), especially if the final aim of the document is to provide “sufficient information for the average retail investor to make an informed inves</w:t>
      </w:r>
      <w:r>
        <w:t>t</w:t>
      </w:r>
      <w:r>
        <w:t>ment decision”, (as previously stated in the Consultative Document on PRIPs published by the European Commission on November 26th 2010). With the present public response, we want to confirm again our reasoned opinion about the usefulness and validity of probability scenarios by responding concretely to the majority of the questions arisen in the discussion paper.</w:t>
      </w:r>
    </w:p>
    <w:p w:rsidR="00FE1E44" w:rsidRDefault="00FE1E44" w:rsidP="00D34282"/>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 xml:space="preserve">Dr. Alberto Aghemo - Fondazione Giacomo Matteotti - </w:t>
      </w:r>
      <w:hyperlink r:id="rId14" w:history="1">
        <w:r w:rsidRPr="000A2C54">
          <w:rPr>
            <w:rStyle w:val="Hyperlink"/>
            <w:rFonts w:ascii="Arial" w:hAnsi="Arial" w:cs="Arial"/>
            <w:sz w:val="19"/>
            <w:szCs w:val="19"/>
            <w:lang w:val="en-GB"/>
          </w:rPr>
          <w:t>info@fondazionematteottiroma.org</w:t>
        </w:r>
      </w:hyperlink>
    </w:p>
    <w:p w:rsidR="00FE1E44" w:rsidRDefault="00FE1E44" w:rsidP="00FE1E44">
      <w:pPr>
        <w:pStyle w:val="NormalWeb"/>
        <w:spacing w:after="250" w:afterAutospacing="0" w:line="252" w:lineRule="auto"/>
        <w:rPr>
          <w:rFonts w:ascii="Arial" w:hAnsi="Arial" w:cs="Arial"/>
          <w:color w:val="3A3A3A"/>
          <w:sz w:val="19"/>
          <w:szCs w:val="19"/>
        </w:rPr>
      </w:pPr>
      <w:r>
        <w:rPr>
          <w:rFonts w:ascii="Arial" w:hAnsi="Arial" w:cs="Arial"/>
          <w:color w:val="3A3A3A"/>
          <w:sz w:val="19"/>
          <w:szCs w:val="19"/>
        </w:rPr>
        <w:t>Dr. Giuseppe Amari - Fondazione Giuseppe Di Vittorio - g.amari@fdv.cgil.it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Flavio Angelini - University of Perugia - flavio.angelini@unipg.it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Antonio Annibali - Dip. Memotef - Univ Sapienza Roma - antonio.annibali@uniroma1.it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Amedeo Argentiero - University of Perugia - amedeo.argentiero@gmail.com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Michele Bagella - Tor Vergata University, Rome - </w:t>
      </w:r>
      <w:r w:rsidRPr="000A2C54">
        <w:rPr>
          <w:rStyle w:val="Emphasis"/>
          <w:rFonts w:ascii="Arial" w:hAnsi="Arial" w:cs="Arial"/>
          <w:color w:val="3A3A3A"/>
          <w:sz w:val="19"/>
          <w:szCs w:val="19"/>
          <w:bdr w:val="none" w:sz="0" w:space="0" w:color="auto" w:frame="1"/>
          <w:lang w:val="en-GB"/>
        </w:rPr>
        <w:t>bagella</w:t>
      </w:r>
      <w:r w:rsidRPr="000A2C54">
        <w:rPr>
          <w:rFonts w:ascii="Arial" w:hAnsi="Arial" w:cs="Arial"/>
          <w:color w:val="3A3A3A"/>
          <w:sz w:val="19"/>
          <w:szCs w:val="19"/>
          <w:lang w:val="en-GB"/>
        </w:rPr>
        <w:t>@economia.uniroma2.it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Emilio Barone - LUISS, Rome - ebarone@luiss.it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lastRenderedPageBreak/>
        <w:t>Prof. Diana Barro - Ca' Foscari University Venice - d.barro@unive.it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Christopher Baum - Boston College - baum@bc.edu</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Antonella Basso - Ca' Foscari University of Venice - basso@unive.it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Francesca Beccacece - Bocconi University, Milan - francesca.beccacece@unibocconi.it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Nicola Benini - ASSOFINANCE - nicolabenini@ifaconsulting.eu</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Fred Espen Benth - University of Oslo - fredb@math.uio.no</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Daniele Bernardi - DIAMAN SCF - daniele@diaman.it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.Franco Berti - B&amp;B consulting - f.berti@bebconsulting.org</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Marida Bertocchi - University of Bergamo - marida.bertocchi@unibg.it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Marco Bigelli - University of Bologna - marco.bigelli@unibo.it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Ing. Giuseppe Bivona - Independent - g_bivona@yahoo.it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Francesco Bochicchio - Studio Legale Bochicchio - studiobochicchio@legalebochicchio.it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Salvatore Bragantini - Independent - sbragantini@gmail.com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Dr. Thilo Meyer-Brandis - University of Munich - t.meyer-brandis@web.de</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Sandro Brunelli - University of Rome Tor Vergata - brunellisandro82@gmail.com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Susanna Camusso - CGIL - segreteria.camusso@cgil.it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Giorgio Canobbio - Concentric - g.canobbio@concentric.it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Massimiliano Caporin - University of Padova - massimiliano.caporin@unipd.it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Antonio Castagna - Iason - antonio.castagna@iasonltd.com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Rosella Castellano - University of Macerata - castellano@unimc.it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Filippo Cavazzuti - University of Bologna - filippo.cavazzuti@unibo.it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Stefano Cenni - University of Bologna - stefano.cenni@unibo.it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Avv. Massimo Cerniglia - Studio Legale Cerniglia - segreteria@studiolegalecerniglia.it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Roy Cerqueti - University of Macerata - roy.cerqueti@unimc.it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Umberto Cherubini - University of Bologna - umberto.cherubini@unibo.it</w:t>
      </w:r>
    </w:p>
    <w:p w:rsidR="00FE1E44" w:rsidRDefault="00FE1E44" w:rsidP="00FE1E44">
      <w:pPr>
        <w:pStyle w:val="NormalWeb"/>
        <w:spacing w:after="250" w:afterAutospacing="0" w:line="252" w:lineRule="auto"/>
        <w:rPr>
          <w:rFonts w:ascii="Arial" w:hAnsi="Arial" w:cs="Arial"/>
          <w:color w:val="3A3A3A"/>
          <w:sz w:val="19"/>
          <w:szCs w:val="19"/>
        </w:rPr>
      </w:pPr>
      <w:r>
        <w:rPr>
          <w:rFonts w:ascii="Arial" w:hAnsi="Arial" w:cs="Arial"/>
          <w:color w:val="3A3A3A"/>
          <w:sz w:val="19"/>
          <w:szCs w:val="19"/>
        </w:rPr>
        <w:t>Prof. Alain Chevalier - ESCP Europe - chevalierescp@gmail.com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lastRenderedPageBreak/>
        <w:t>Prof. Giuseppe Ciccarone - Sapienza University of Rome - giuseppe.ciccarone@uniroma1.it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Andrea Consiglio - University of Palermo - andrea.consiglio@unipa.it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Giorgio Consigli - University of Bergamo - giorgio.consigli@unibg.it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Cesare Conti - Bocconi University, Milan - cesare.conti@unibocconi.it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Francesco Corielli - Bocconi University, Milan - francesco.corielli@unibocconi.it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Jaksa Cvitanic - Caltech - cvitanic@hss.caltech.edu</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Carlo D'Adda - University of Bologna - carlo.dadda@unibo.it</w:t>
      </w:r>
    </w:p>
    <w:p w:rsidR="00FE1E44" w:rsidRDefault="00FE1E44" w:rsidP="00FE1E44">
      <w:pPr>
        <w:pStyle w:val="NormalWeb"/>
        <w:spacing w:after="250" w:afterAutospacing="0" w:line="252" w:lineRule="auto"/>
        <w:rPr>
          <w:rFonts w:ascii="Arial" w:hAnsi="Arial" w:cs="Arial"/>
          <w:color w:val="3A3A3A"/>
          <w:sz w:val="19"/>
          <w:szCs w:val="19"/>
        </w:rPr>
      </w:pPr>
      <w:r>
        <w:rPr>
          <w:rFonts w:ascii="Arial" w:hAnsi="Arial" w:cs="Arial"/>
          <w:color w:val="3A3A3A"/>
          <w:sz w:val="19"/>
          <w:szCs w:val="19"/>
        </w:rPr>
        <w:t>Avv. Roberto D'Atri - Ordine degli Avvocati di Roma - robertodatri@gmail.com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Rita Laura D'Ecclesia - Sapienza University, Rome - ritadec022@gmail.com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Giuseppe De Arcangelis - Sapienza University of Rome - giuseppe.dearcangelis@uniroma1.it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Giorgio Di Giorgio - LUISS University - gdg@luiss.it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Elvira Di Nardo - Università Basilicata, Potenza - elvira.dinardo@unibas.it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Carlo Ambrogio Favero - Bocconi University, Milan - carlo.favero@unibocconi.it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Gino Favero - University of Parma - gino.favero@unipr.it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Riccardo Ferretti - Università di Modena e Reggio Emilia - riccardo.ferretti@unimore.it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Antonio Foglia - Independent - AFoglia@belgrave.com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Paolo Foschi - University of Bologna - paolo.foschi2@unibo.it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Maurizio Franzini - Sapienza University, Rome - maurizio.franzini@uniroma1.it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Marco Frittelli - Università degli Studi di Milano - marco.frittelli@unimi.it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Gianluca Fusai - Università del Piemonte Orientale - Fusai@eco.unipmn.it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Avv. Federico Gambini - avv.federicogambini@gmail.com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Gino Gandolfi - University of Parma - gino.gandolfi@unipr.it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Donald Geman - Johns Hopkins University - geman@jhu.edu</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Helyette Geman - Birbeck University of London - h.geman@bbk.ac.uk</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Emilio Girino - CUOA Finance Department - girino@ghidini-associati.it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Martino Grasselli - Dipartimento di Matematica (University of Padova) and Finance Lab (Pole Universitaire Léonard De Vinci, Paris La Defense) - grassell@math.unipd.it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lastRenderedPageBreak/>
        <w:t>Prof. Giancarlo Giudici - Politecnico di Milano - giancarlo.giudici@polimi.it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Luigi Guiso - Einaudi Institute for Economics and Finance - guiso@tin.it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Riccardo Gusso - Ca' Foscari University of Venice - rgusso@unive.it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Marco Isopi - Sapienza University, Rome - isopi@mat.uniroma1.it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Avv. Raffaele Izzo - Studio Legale Vaiano-Izzo - r.izzo@vaianoizzo.it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Stephany Griffith Jones - Columbia University, NY -  s.griffith-jones@ids.ac.uk</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Markku Kallio - Aalto University School of Business - markku.kallio@aalto.fi</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Vincent Kaminski - Rice University - vincent.kaminski@rice.edu</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Burak Kazaz - Whitman School of Management, Syracuse University - bkazaz@syr.edu</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Ruediger Kiesel - University Duisburg-Essen - ruediger.kiesel@uni-due.de</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Miloš Kopa - Charles University Prague - kopa@karlin.mff.cuni.cz</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Mr. Maurizio Landini - FIOM CGIL - segreteria.generale@fiom.cgil.it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Sen. Elio Lannutti - ADUSBEF - eliolannutti@adusbef.it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Avv. Paola Leocani - White&amp;Case - Leocani.paola@gmail.com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Daniele Maffeis - University of Brescia - daniele.maffeis@unibs.it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Marco Malgarini - ANVUR - Italy - malgmarco@gmail.com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Tassos Malliaris - Loyola University Chicago - tmallia@luc.edu</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Raimondo Manca - Sapienza University of Rome - raimondo.manca@uniroma1.it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Maddalena Manzi - Ca' Foscari University of Venice - manzi.maddalena@gmail.com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Andrea Mariani - Pegaso Pension Fund - amariani@fondopegaso.it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Marco Marini - Sapienza University of Rome - marini@dis.uniroma1.it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Massimiliano Marzo - University of Bologna - massimiliano.marzo@unibo.it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Rainer Masera - University "Guglielmo Marconi”, Rome - r.masera@unimarconi.it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Agostino Megale - FISAC-CGIL - amegale@fisac.it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Fabio Mercurio - New York University - fabiomerc@gmail.com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Federico Merola - Arpinge SPA - federicomerola@yahoo.it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lastRenderedPageBreak/>
        <w:t>Prof. Marcello Messori - LUISS, Rome - mmessori@luiss.it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Marco Minozzo - University of Verona - marco.minozzo@univr.it</w:t>
      </w:r>
    </w:p>
    <w:p w:rsidR="00FE1E44" w:rsidRDefault="00FE1E44" w:rsidP="00FE1E44">
      <w:pPr>
        <w:pStyle w:val="NormalWeb"/>
        <w:spacing w:after="250" w:afterAutospacing="0" w:line="252" w:lineRule="auto"/>
        <w:rPr>
          <w:rFonts w:ascii="Arial" w:hAnsi="Arial" w:cs="Arial"/>
          <w:color w:val="3A3A3A"/>
          <w:sz w:val="19"/>
          <w:szCs w:val="19"/>
        </w:rPr>
      </w:pPr>
      <w:r>
        <w:rPr>
          <w:rFonts w:ascii="Arial" w:hAnsi="Arial" w:cs="Arial"/>
          <w:color w:val="3A3A3A"/>
          <w:sz w:val="19"/>
          <w:szCs w:val="19"/>
        </w:rPr>
        <w:t>Prof. Franco Molinari - Università di Trento - franco.molinari@unitn.it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John M. Mulvey - Princeton University - mulvey@princeton.edu</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Marco Nicolosi - University of Perugia - marco.nicolosi@unipg.it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Salvatore Nistico - Sapienza University, Rome - salvatore.nistico@uniroma1.it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Marco Onado - Bocconi University, Milan - marco.onado@unibocconi.it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Sergio Ortobelli - University of Bergamo - sergio.ortobelli@unibg.it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Carmelo Pierpaolo Parello - Sapienza University, Rome - Carmelo.Parello@uniroma1.it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Lucia Visconti Parisio - University of Milan Bicocca - Lucia.parisio@unimib.it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Ugo Patroni Griffi - University of Bari - ugo@patronigriffi.com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Cristian Pelizzari - University of Brescia - cristian.pelizzari@unibs.it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Paolo Pellizzari - Ca' Foscari University of Venice - paolop@unive.it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Alessandro Penati - Università Cattolica di Milano - alessandro.penati@mac.com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Michele Pezzinga - Independent - mpezzinga@virgilio.it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Georg Pflug - University of Vienna - georg.pflug@univie.ac.at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Gustavo Piga - Tor Vergata University, Rome - gustavo.piga@uniroma2.it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Roberto Poli - Studio Poli e Associati - Roberto.Poli@poli-associati.net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Thierry Post - Koc University Graduate School of Business - thierrypost@hotmail.com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Andrea Pradi - University of Trento - andrea.pradi@unitn.it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Svetlozar Rachev - College of Business, Stony</w:t>
      </w:r>
      <w:r w:rsidRPr="000A2C54">
        <w:rPr>
          <w:rFonts w:ascii="Cambria Math" w:hAnsi="Cambria Math" w:cs="Cambria Math"/>
          <w:color w:val="3A3A3A"/>
          <w:sz w:val="19"/>
          <w:szCs w:val="19"/>
          <w:lang w:val="en-GB"/>
        </w:rPr>
        <w:t>‐</w:t>
      </w:r>
      <w:r w:rsidRPr="000A2C54">
        <w:rPr>
          <w:rFonts w:ascii="Arial" w:hAnsi="Arial" w:cs="Arial"/>
          <w:color w:val="3A3A3A"/>
          <w:sz w:val="19"/>
          <w:szCs w:val="19"/>
          <w:lang w:val="en-GB"/>
        </w:rPr>
        <w:t>Brook University - svetlozar.rachev@stonybrook.edu</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Marina Resta - University of Genova - resta@economia.unige.it</w:t>
      </w:r>
    </w:p>
    <w:p w:rsidR="00FE1E44" w:rsidRDefault="00FE1E44" w:rsidP="00FE1E44">
      <w:pPr>
        <w:pStyle w:val="NormalWeb"/>
        <w:spacing w:after="250" w:afterAutospacing="0" w:line="252" w:lineRule="auto"/>
        <w:rPr>
          <w:rFonts w:ascii="Arial" w:hAnsi="Arial" w:cs="Arial"/>
          <w:color w:val="3A3A3A"/>
          <w:sz w:val="19"/>
          <w:szCs w:val="19"/>
        </w:rPr>
      </w:pPr>
      <w:r>
        <w:rPr>
          <w:rFonts w:ascii="Arial" w:hAnsi="Arial" w:cs="Arial"/>
          <w:color w:val="3A3A3A"/>
          <w:sz w:val="19"/>
          <w:szCs w:val="19"/>
        </w:rPr>
        <w:t>Dr. Nicoletta Rocchi - Osservatorio Finanza CGIL - n.rocchi@cgil.it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Andrea Roncoroni - ESSEC Business School (Paris - Singapore) - roncoroni@essec.edu</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Emilio Roncoroni - Studio Associato Politema - politema@iol.it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Francesco Rossi - University of Verona - francesco.rossi@univr.it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lastRenderedPageBreak/>
        <w:t>Avv. Marco Rossi - Studio tributario e legale associato Rossi &amp; Partners - marco.rossi@studiorrp.it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Giulia Rotundo - Sapienza University, Rome - giulia.rotundo@uniroma1.it</w:t>
      </w:r>
    </w:p>
    <w:p w:rsidR="00FE1E44" w:rsidRDefault="00FE1E44" w:rsidP="00FE1E44">
      <w:pPr>
        <w:pStyle w:val="NormalWeb"/>
        <w:spacing w:after="250" w:afterAutospacing="0" w:line="252" w:lineRule="auto"/>
        <w:rPr>
          <w:rFonts w:ascii="Arial" w:hAnsi="Arial" w:cs="Arial"/>
          <w:color w:val="3A3A3A"/>
          <w:sz w:val="19"/>
          <w:szCs w:val="19"/>
        </w:rPr>
      </w:pPr>
      <w:r>
        <w:rPr>
          <w:rFonts w:ascii="Arial" w:hAnsi="Arial" w:cs="Arial"/>
          <w:color w:val="3A3A3A"/>
          <w:sz w:val="19"/>
          <w:szCs w:val="19"/>
        </w:rPr>
        <w:t>Prof. Carlo Rovelli - Aix-Marseille University - rovelli@cpt.univ-mrs.fr</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Wolfgang Runggaldier - University of Padova - runggal@math.unipd.it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Antonio Saitta - University of Messina - ansaitta@unime.it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Claudio Sardoni - Sapienza University of Rome - claudio.sardoni@uniroma1.it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Filippo Sartori - University of Trento - filippo.sartori@unitn.it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Pasquale Scaramozzino - SOAS, University of London - ps6@soas.ac.uk</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Alfonso Scarano - ASSOTAG - scaralfonso@gmail.com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Sergio Scarlatti - Tor Vergata University Rome - sergio.scarlatti@uniroma2.it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Paolo Sironi - IBM Risk Analytics - thepsironi@yahoo.it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Mikhail Smirnov - Columbia University, NY - smirnov@math.columbia.edu</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Dr. Gerhard Speckbacher - Vienna University of Economics and Business - unternehmens.fuehrung@wu.ac.at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Jaap Spronk - RSM Erasmus University, Rotterdam - jspronk@rsm.nl</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Silvana Stefani - University of Milano Bicocca - silvana.stefani@unimib.it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Giorgio Szego - Sapienza University of Rome - gsz.jbf@fastwebnet.it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Paola Musile Tanzi - University of Perugia - paola.musiletanzi@unipg.it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Roberto Tasca - University of Bologna - roberto.tasca@unibo.it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Pietro Terna - University of Torino, Italy - pietro.terna@unito.it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Luisa Tibiletti - University of Torino - luisa.tibiletti@unito.it</w:t>
      </w:r>
    </w:p>
    <w:p w:rsidR="00FE1E44" w:rsidRDefault="00FE1E44" w:rsidP="00FE1E44">
      <w:pPr>
        <w:pStyle w:val="NormalWeb"/>
        <w:spacing w:after="250" w:afterAutospacing="0" w:line="252" w:lineRule="auto"/>
        <w:rPr>
          <w:rFonts w:ascii="Arial" w:hAnsi="Arial" w:cs="Arial"/>
          <w:color w:val="3A3A3A"/>
          <w:sz w:val="19"/>
          <w:szCs w:val="19"/>
        </w:rPr>
      </w:pPr>
      <w:r>
        <w:rPr>
          <w:rFonts w:ascii="Arial" w:hAnsi="Arial" w:cs="Arial"/>
          <w:color w:val="3A3A3A"/>
          <w:sz w:val="19"/>
          <w:szCs w:val="19"/>
        </w:rPr>
        <w:t>Prof. Tomáš Tichy -  VŠB-TU Ostrava - tomas.tichy@vsb.cz</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Marco Tolotti - Ca' Foscari University of Venice - tolotti@unive.it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Giuseppe Torluccio - University of Bologna - giuseppe.torluccio@unibo.it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Anna Torriero - Catholic University of Milan - anna.torriero@unicatt.it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Rosario Trefiletti - FEDERCONSUMATORI - rosario.trefiletti@federconsumatori.it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Tiziano Vargiolu - University of Padova - vargiolu@math.unipd.it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lastRenderedPageBreak/>
        <w:t>Prof. Emeritus Oldřich Alfons Vašíček -  oldrich.vasicek@gmail.com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On. Elio Veltri - Democrazia e Legalità - elio.veltri2004@libero.it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Antonio Viotto - FINERGIA SRL MILANO ITALY - aviotto@finrisk.it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Vincenzo Visco - NENS - vincenzo.visco@nens.it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Gerhard-Wilhelm Weber - IAM, METU - gweber@metu.edu.tr</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Rafal Weron - Wroclaw University of Technology - rafal.weron@pwr.edu.pl</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Zvi Wiener - The Hebrew University of Jerusalem – mswiener@mscc.huji.ac.il</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Avv. Luca Zamagni - Axiis Legal Network - zamagni@axiis.it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Stefano Zamagni - University of Bologna - stefano.zamagni@unibo.it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Vera Negri Zamagni - University of Bologna - vera.negri@unibo.it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Luca Zamparelli - Sapienza University, Rome - luca.zamparelli@uniroma1.it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Stavros A. Zenios - University of Cyprus - zenios.stavros@ucy.ac.cy</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Giovanni Zambruno - Università di Milano Bicocca - giovanni.zambruno@unimib.it</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Dr. Paola Zerilli - University of York - paola.zerilli@york.ac.uk</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Emeritus William Ziemba - London School of Economics - wtzimi@mac.com</w:t>
      </w:r>
    </w:p>
    <w:p w:rsidR="00FE1E44" w:rsidRPr="000A2C54" w:rsidRDefault="00FE1E44" w:rsidP="00FE1E44">
      <w:pPr>
        <w:pStyle w:val="NormalWeb"/>
        <w:spacing w:after="250" w:afterAutospacing="0" w:line="252" w:lineRule="auto"/>
        <w:rPr>
          <w:rFonts w:ascii="Arial" w:hAnsi="Arial" w:cs="Arial"/>
          <w:color w:val="3A3A3A"/>
          <w:sz w:val="19"/>
          <w:szCs w:val="19"/>
          <w:lang w:val="en-GB"/>
        </w:rPr>
      </w:pPr>
      <w:r w:rsidRPr="000A2C54">
        <w:rPr>
          <w:rFonts w:ascii="Arial" w:hAnsi="Arial" w:cs="Arial"/>
          <w:color w:val="3A3A3A"/>
          <w:sz w:val="19"/>
          <w:szCs w:val="19"/>
          <w:lang w:val="en-GB"/>
        </w:rPr>
        <w:t>Prof. Constantin Zopounidis - Technical University of Crete - kostas@dpem.tuc.gr</w:t>
      </w:r>
    </w:p>
    <w:p w:rsidR="00FE1E44" w:rsidRDefault="00FE1E44" w:rsidP="00D34282"/>
    <w:permEnd w:id="890838929"/>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purposes. I</w:t>
      </w:r>
      <w:r>
        <w:t>n</w:t>
      </w:r>
      <w:r>
        <w:t xml:space="preserve">clude your considerations and caveats. </w:t>
      </w:r>
    </w:p>
    <w:p w:rsidR="00F31E57" w:rsidRDefault="00F31E57" w:rsidP="00F31E57"/>
    <w:p w:rsidR="00F31E57" w:rsidRDefault="00F31E57" w:rsidP="00F31E57">
      <w:r>
        <w:t>&lt;ESMA_QUESTION_PRIIPs_1&gt;</w:t>
      </w:r>
    </w:p>
    <w:p w:rsidR="00F31E57" w:rsidRDefault="002667FA" w:rsidP="00F31E57">
      <w:permStart w:id="845309469" w:edGrp="everyone"/>
      <w:r w:rsidRPr="00D73A1F">
        <w:rPr>
          <w:sz w:val="18"/>
        </w:rPr>
        <w:t>The value of any PRIIP can be represented, over the period comprised by its time horizon, by a specific stochastic process denoted by</w:t>
      </w:r>
      <w:r w:rsidRPr="00D73A1F">
        <w:rPr>
          <w:position w:val="-20"/>
          <w:sz w:val="18"/>
        </w:rPr>
        <w:object w:dxaOrig="90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18.8pt;mso-position-horizontal:absolute" o:ole="">
            <v:imagedata r:id="rId15" o:title=""/>
          </v:shape>
          <o:OLEObject Type="Embed" ProgID="Equation.DSMT4" ShapeID="_x0000_i1025" DrawAspect="Content" ObjectID="_1501501658" r:id="rId16"/>
        </w:object>
      </w:r>
      <w:r w:rsidRPr="00D73A1F">
        <w:rPr>
          <w:sz w:val="18"/>
        </w:rPr>
        <w:t xml:space="preserve">. For </w:t>
      </w:r>
      <w:r w:rsidRPr="00D73A1F">
        <w:rPr>
          <w:position w:val="-6"/>
          <w:sz w:val="18"/>
        </w:rPr>
        <w:object w:dxaOrig="540" w:dyaOrig="279">
          <v:shape id="_x0000_i1026" type="#_x0000_t75" style="width:21.9pt;height:11.25pt" o:ole="">
            <v:imagedata r:id="rId17" o:title=""/>
          </v:shape>
          <o:OLEObject Type="Embed" ProgID="Equation.DSMT4" ShapeID="_x0000_i1026" DrawAspect="Content" ObjectID="_1501501659" r:id="rId18"/>
        </w:object>
      </w:r>
      <w:r w:rsidRPr="00D73A1F">
        <w:rPr>
          <w:sz w:val="18"/>
        </w:rPr>
        <w:t xml:space="preserve">, the final value of the product (i.e. </w:t>
      </w:r>
      <w:r w:rsidRPr="00D73A1F">
        <w:rPr>
          <w:position w:val="-12"/>
          <w:sz w:val="18"/>
        </w:rPr>
        <w:object w:dxaOrig="300" w:dyaOrig="360">
          <v:shape id="_x0000_i1027" type="#_x0000_t75" style="width:11.9pt;height:14.4pt" o:ole="">
            <v:imagedata r:id="rId19" o:title=""/>
          </v:shape>
          <o:OLEObject Type="Embed" ProgID="Equation.DSMT4" ShapeID="_x0000_i1027" DrawAspect="Content" ObjectID="_1501501660" r:id="rId20"/>
        </w:object>
      </w:r>
      <w:r w:rsidRPr="00D73A1F">
        <w:rPr>
          <w:sz w:val="18"/>
        </w:rPr>
        <w:t xml:space="preserve">), is a random variable whose risk-neutral density is the raw data to be analyzed in order to build both the risk indicator and the performance scenarios. The adoption of the risk-neutral measure </w:t>
      </w:r>
      <w:r w:rsidRPr="00D73A1F">
        <w:rPr>
          <w:position w:val="-10"/>
          <w:sz w:val="18"/>
        </w:rPr>
        <w:object w:dxaOrig="260" w:dyaOrig="320">
          <v:shape id="_x0000_i1028" type="#_x0000_t75" style="width:10.65pt;height:13.15pt" o:ole="">
            <v:imagedata r:id="rId21" o:title=""/>
          </v:shape>
          <o:OLEObject Type="Embed" ProgID="Equation.DSMT4" ShapeID="_x0000_i1028" DrawAspect="Content" ObjectID="_1501501661" r:id="rId22"/>
        </w:object>
      </w:r>
      <w:r w:rsidRPr="00D73A1F">
        <w:rPr>
          <w:sz w:val="18"/>
        </w:rPr>
        <w:t xml:space="preserve"> represents the basic methodological requirement on order to ensure that information conveyed by the risk indicator and the performance scenarios is objective, meaningful and also consistent both intrinsically (i.e. across the various indicators it encloses) and with respect to the message provided. It’s only under the measure that any arbitrary assumption on the future evolution of the market variables is discarded, allowing an effective comparability across the fair prices of different PRIIPs and across their potential performances and the associated variability. This comes directly from the fact that the risk-neutral measure is the only one consistent with the no-arbitrage principle, which, in fact, provides the connection between the fair value of any contingent claim with a time horizon </w:t>
      </w:r>
      <w:r w:rsidRPr="00D73A1F">
        <w:rPr>
          <w:position w:val="-4"/>
          <w:sz w:val="18"/>
        </w:rPr>
        <w:object w:dxaOrig="220" w:dyaOrig="260">
          <v:shape id="_x0000_i1029" type="#_x0000_t75" style="width:8.75pt;height:10.65pt;mso-position-horizontal:absolute" o:ole="">
            <v:imagedata r:id="rId23" o:title=""/>
          </v:shape>
          <o:OLEObject Type="Embed" ProgID="Equation.DSMT4" ShapeID="_x0000_i1029" DrawAspect="Content" ObjectID="_1501501662" r:id="rId24"/>
        </w:object>
      </w:r>
      <w:r w:rsidRPr="00D73A1F">
        <w:rPr>
          <w:sz w:val="18"/>
        </w:rPr>
        <w:t xml:space="preserve">and the risk-neutral probability density function of the possible final values of the contingent claim at time </w:t>
      </w:r>
      <w:r w:rsidRPr="00D73A1F">
        <w:rPr>
          <w:position w:val="-4"/>
          <w:sz w:val="18"/>
        </w:rPr>
        <w:object w:dxaOrig="220" w:dyaOrig="260">
          <v:shape id="_x0000_i1030" type="#_x0000_t75" style="width:8.75pt;height:10.65pt" o:ole="">
            <v:imagedata r:id="rId23" o:title=""/>
          </v:shape>
          <o:OLEObject Type="Embed" ProgID="Equation.DSMT4" ShapeID="_x0000_i1030" DrawAspect="Content" ObjectID="_1501501663" r:id="rId25"/>
        </w:object>
      </w:r>
      <w:r w:rsidRPr="00D73A1F">
        <w:rPr>
          <w:sz w:val="18"/>
        </w:rPr>
        <w:t xml:space="preserve">. This is also the reason why market practitioners make use, in their business, of pricing and hedging models defined under the stated measure. Sometimes, especially for elementary and short-term PRIIPs, the risk-neutral density of </w:t>
      </w:r>
      <w:r w:rsidRPr="00D73A1F">
        <w:rPr>
          <w:position w:val="-12"/>
          <w:sz w:val="18"/>
        </w:rPr>
        <w:object w:dxaOrig="300" w:dyaOrig="360">
          <v:shape id="_x0000_i1031" type="#_x0000_t75" style="width:11.9pt;height:14.4pt" o:ole="">
            <v:imagedata r:id="rId19" o:title=""/>
          </v:shape>
          <o:OLEObject Type="Embed" ProgID="Equation.DSMT4" ShapeID="_x0000_i1031" DrawAspect="Content" ObjectID="_1501501664" r:id="rId26"/>
        </w:object>
      </w:r>
      <w:r w:rsidRPr="00D73A1F">
        <w:rPr>
          <w:sz w:val="18"/>
        </w:rPr>
        <w:t xml:space="preserve"> has a closed form, but in general terms it can always determined through Monte Carlo simulation techniques</w:t>
      </w:r>
      <w:r w:rsidRPr="00D73A1F">
        <w:rPr>
          <w:rStyle w:val="FootnoteReference"/>
          <w:sz w:val="18"/>
        </w:rPr>
        <w:footnoteReference w:id="3"/>
      </w:r>
      <w:r w:rsidRPr="00D73A1F">
        <w:rPr>
          <w:sz w:val="18"/>
        </w:rPr>
        <w:t>.</w:t>
      </w:r>
    </w:p>
    <w:permEnd w:id="845309469"/>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w:t>
      </w:r>
      <w:r>
        <w:t>e</w:t>
      </w:r>
      <w:r>
        <w:t>termining performance under a variety of scenarios?</w:t>
      </w:r>
    </w:p>
    <w:p w:rsidR="00F31E57" w:rsidRDefault="00F31E57" w:rsidP="00F31E57"/>
    <w:p w:rsidR="00F31E57" w:rsidRDefault="00F31E57" w:rsidP="00F31E57">
      <w:r>
        <w:t>&lt;ESMA_QUESTION_PRIIPs_2&gt;</w:t>
      </w:r>
    </w:p>
    <w:p w:rsidR="002667FA" w:rsidRPr="00D73A1F" w:rsidRDefault="002667FA" w:rsidP="002667FA">
      <w:pPr>
        <w:jc w:val="both"/>
        <w:rPr>
          <w:sz w:val="18"/>
        </w:rPr>
      </w:pPr>
      <w:permStart w:id="158469170" w:edGrp="everyone"/>
      <w:r w:rsidRPr="00D73A1F">
        <w:rPr>
          <w:sz w:val="18"/>
        </w:rPr>
        <w:t>Most of the stochastic models used to describe the above processes (see Q</w:t>
      </w:r>
      <w:r w:rsidRPr="00D73A1F">
        <w:rPr>
          <w:smallCaps/>
          <w:sz w:val="18"/>
        </w:rPr>
        <w:t xml:space="preserve">uestion 1) </w:t>
      </w:r>
      <w:r w:rsidRPr="00D73A1F">
        <w:rPr>
          <w:sz w:val="18"/>
        </w:rPr>
        <w:t>can be chosen by the man</w:t>
      </w:r>
      <w:r w:rsidRPr="00D73A1F">
        <w:rPr>
          <w:sz w:val="18"/>
        </w:rPr>
        <w:t>u</w:t>
      </w:r>
      <w:r w:rsidRPr="00D73A1F">
        <w:rPr>
          <w:sz w:val="18"/>
        </w:rPr>
        <w:t xml:space="preserve">facturer for the purposes of calculating a risk measure and determining performance. The majority of them is defined in continuous time and then suitably discretised to perform the necessary simulations. The preference for continuous-time models stems from their greater flexibility (also in computational terms), since, also in the case of quite complex PRIIPs whose pay-offs depend on specific quantitative algorithms and are exposed to a multiplicity of risk factors, they allow a description of the dynamics of the variables of interest and the ways in which they affect the value of the PRIIP over time. With regards to the time step of the simulation, it should be reasonably short and close to the common continuous-time </w:t>
      </w:r>
      <w:r w:rsidR="00CE4AAE" w:rsidRPr="00D73A1F">
        <w:rPr>
          <w:sz w:val="18"/>
        </w:rPr>
        <w:t>modelling</w:t>
      </w:r>
      <w:r w:rsidRPr="00D73A1F">
        <w:rPr>
          <w:sz w:val="18"/>
        </w:rPr>
        <w:t xml:space="preserve"> assumptions. Weekly or daily discretisation grids are fine. </w:t>
      </w:r>
    </w:p>
    <w:p w:rsidR="002667FA" w:rsidRPr="00D73A1F" w:rsidRDefault="002667FA" w:rsidP="002667FA">
      <w:pPr>
        <w:jc w:val="both"/>
        <w:rPr>
          <w:sz w:val="18"/>
        </w:rPr>
      </w:pPr>
      <w:r w:rsidRPr="00D73A1F">
        <w:rPr>
          <w:sz w:val="18"/>
        </w:rPr>
        <w:t xml:space="preserve">From a technical point of view, the adoption of the risk-neutral probability measure is obtained by properly inserting the simulated trajectories of the short risk-free rate into the dynamics of the process </w:t>
      </w:r>
      <w:r w:rsidRPr="00D73A1F">
        <w:rPr>
          <w:position w:val="-20"/>
          <w:sz w:val="18"/>
        </w:rPr>
        <w:object w:dxaOrig="900" w:dyaOrig="460">
          <v:shape id="_x0000_i1032" type="#_x0000_t75" style="width:36.95pt;height:18.8pt" o:ole="">
            <v:imagedata r:id="rId15" o:title=""/>
          </v:shape>
          <o:OLEObject Type="Embed" ProgID="Equation.DSMT4" ShapeID="_x0000_i1032" DrawAspect="Content" ObjectID="_1501501665" r:id="rId27"/>
        </w:object>
      </w:r>
      <w:r w:rsidRPr="00D73A1F">
        <w:rPr>
          <w:sz w:val="18"/>
        </w:rPr>
        <w:t xml:space="preserve">, in either a direct or indirect way, depending on the characteristic of the PRIIP. For instance, where the value of the PRIIP depends, among other things, on the </w:t>
      </w:r>
      <w:r w:rsidR="00CE4AAE" w:rsidRPr="00D73A1F">
        <w:rPr>
          <w:sz w:val="18"/>
        </w:rPr>
        <w:t>behaviour</w:t>
      </w:r>
      <w:r w:rsidRPr="00D73A1F">
        <w:rPr>
          <w:sz w:val="18"/>
        </w:rPr>
        <w:t xml:space="preserve"> of a share of an equity index, the trajectories of these underlying assets must be built, as is well known, by inserting into their drift component, at any step of the simulation, the value of the short risk-free rate obtained corresponding to the same time step.</w:t>
      </w:r>
    </w:p>
    <w:p w:rsidR="002667FA" w:rsidRPr="00D73A1F" w:rsidRDefault="002667FA" w:rsidP="002667FA">
      <w:pPr>
        <w:jc w:val="both"/>
        <w:rPr>
          <w:sz w:val="18"/>
        </w:rPr>
      </w:pPr>
      <w:r w:rsidRPr="00D73A1F">
        <w:rPr>
          <w:sz w:val="18"/>
        </w:rPr>
        <w:t>Among the simplest PRIIPs, some are typically easy to model, as they usually exhibit a direct dependence on the portfolio of the underlying assets; they can be accurately represented by means of common stochastic differential equations, such as Geometric Brownian Motion, possibly slightly revised to reflect features connected to the ma</w:t>
      </w:r>
      <w:r w:rsidRPr="00D73A1F">
        <w:rPr>
          <w:sz w:val="18"/>
        </w:rPr>
        <w:t>n</w:t>
      </w:r>
      <w:r w:rsidRPr="00D73A1F">
        <w:rPr>
          <w:sz w:val="18"/>
        </w:rPr>
        <w:t xml:space="preserve">agement style adopted or (if necessary) to the stochastic term structure of the benchmark’s volatility. Other PRIIPs, on the other hands, are in all respects, contingent claims, that is, PRIIPs whose payoffs structures work over a specific time horizon and are linked (often in a non-linear way) to underlying assets or reference values, according to specific formulas and subject to the </w:t>
      </w:r>
      <w:r w:rsidR="00BA74B1" w:rsidRPr="00D73A1F">
        <w:rPr>
          <w:sz w:val="18"/>
        </w:rPr>
        <w:t>fulfilment</w:t>
      </w:r>
      <w:r w:rsidRPr="00D73A1F">
        <w:rPr>
          <w:sz w:val="18"/>
        </w:rPr>
        <w:t xml:space="preserve"> of precise conditions. This implies that stochastic models used to describe the possible patterns of the PRIIPs over time must carefully consider all relevant risk factors and the particularly way in which, depending in financial engineering choices, these factors can affect the future cash flows of the investment until the expiry of its time horizon. Parameters and variable associated with different risk factors have to be properly calibrated by the manufacturer through estimates based on current market data and by taking care of their consiste</w:t>
      </w:r>
      <w:r w:rsidRPr="00D73A1F">
        <w:rPr>
          <w:sz w:val="18"/>
        </w:rPr>
        <w:t>n</w:t>
      </w:r>
      <w:r w:rsidRPr="00D73A1F">
        <w:rPr>
          <w:sz w:val="18"/>
        </w:rPr>
        <w:t>cy with the features of any single PRIIP and with the reality of the reference market.</w:t>
      </w:r>
    </w:p>
    <w:p w:rsidR="002667FA" w:rsidRPr="00D73A1F" w:rsidRDefault="002667FA" w:rsidP="002667FA">
      <w:pPr>
        <w:jc w:val="both"/>
        <w:rPr>
          <w:sz w:val="18"/>
        </w:rPr>
      </w:pPr>
      <w:r w:rsidRPr="00D73A1F">
        <w:rPr>
          <w:sz w:val="18"/>
        </w:rPr>
        <w:lastRenderedPageBreak/>
        <w:t>Clearly, since most PRIIPs have a time horizon longer than one year, variables like interest rates, credit spreads, volatilities and correlations cannot be assumed to be constant; models used to perform simulations must therefore include a suitable set of stochastic differential equations in order to cope with this element of complexity. The same requirements are used in the models developed by market practitioners to obtain the most accurate assessments of the value of any PRIIP which they want to sell or include in their proprietary portfolios.</w:t>
      </w:r>
    </w:p>
    <w:p w:rsidR="00F31E57" w:rsidRDefault="002667FA" w:rsidP="002667FA">
      <w:r w:rsidRPr="00D73A1F">
        <w:rPr>
          <w:sz w:val="18"/>
        </w:rPr>
        <w:t>Risk-neutral simulations must also consider the size and the time schedule of periodic or one-off amounts paid to the investor or invested in other financial assets during the implicit time horizon of the PRIIP; simulations must also suitably deal with PRIIPs including path-dependent features which can trigger an early redemption (like callable or puttable bonds, American or Bermudan options</w:t>
      </w:r>
      <w:r w:rsidRPr="00D73A1F">
        <w:rPr>
          <w:rStyle w:val="FootnoteReference"/>
          <w:sz w:val="18"/>
        </w:rPr>
        <w:footnoteReference w:id="4"/>
      </w:r>
      <w:r w:rsidRPr="00D73A1F">
        <w:rPr>
          <w:sz w:val="18"/>
        </w:rPr>
        <w:t>), the coupon size or existence or the switch to another pay-off stru</w:t>
      </w:r>
      <w:r w:rsidRPr="00D73A1F">
        <w:rPr>
          <w:sz w:val="18"/>
        </w:rPr>
        <w:t>c</w:t>
      </w:r>
      <w:r w:rsidRPr="00D73A1F">
        <w:rPr>
          <w:sz w:val="18"/>
        </w:rPr>
        <w:t>ture (e.g. flipping the coupons from fixed to floating or vice versa).</w:t>
      </w:r>
    </w:p>
    <w:permEnd w:id="158469170"/>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w:t>
      </w:r>
      <w:r>
        <w:t>f</w:t>
      </w:r>
      <w:r>
        <w:t>ic products or underlying investments for which a specific growth rate would be more or less applicable?</w:t>
      </w:r>
    </w:p>
    <w:p w:rsidR="00F31E57" w:rsidRDefault="00F31E57" w:rsidP="00F31E57"/>
    <w:p w:rsidR="00F31E57" w:rsidRDefault="00F31E57" w:rsidP="00F31E57">
      <w:r>
        <w:t>&lt;ESMA_QUESTION_PRIIPs_3&gt;</w:t>
      </w:r>
    </w:p>
    <w:p w:rsidR="00B130FF" w:rsidRPr="00D73A1F" w:rsidRDefault="00B130FF" w:rsidP="00B130FF">
      <w:pPr>
        <w:jc w:val="both"/>
        <w:rPr>
          <w:sz w:val="18"/>
        </w:rPr>
      </w:pPr>
      <w:permStart w:id="449140758" w:edGrp="everyone"/>
      <w:r w:rsidRPr="00D73A1F">
        <w:rPr>
          <w:sz w:val="18"/>
        </w:rPr>
        <w:t>We believe, that in the methodological environment described in the answers of Q</w:t>
      </w:r>
      <w:r w:rsidRPr="00D73A1F">
        <w:rPr>
          <w:smallCaps/>
          <w:sz w:val="18"/>
        </w:rPr>
        <w:t xml:space="preserve">uestion 1 and </w:t>
      </w:r>
      <w:r w:rsidRPr="00D73A1F">
        <w:rPr>
          <w:sz w:val="18"/>
        </w:rPr>
        <w:t>Q</w:t>
      </w:r>
      <w:r w:rsidRPr="00D73A1F">
        <w:rPr>
          <w:smallCaps/>
          <w:sz w:val="18"/>
        </w:rPr>
        <w:t xml:space="preserve">uestion 2, </w:t>
      </w:r>
      <w:r w:rsidRPr="00D73A1F">
        <w:rPr>
          <w:sz w:val="18"/>
        </w:rPr>
        <w:t xml:space="preserve">the most correct choice is </w:t>
      </w:r>
      <w:r w:rsidRPr="00D73A1F">
        <w:rPr>
          <w:i/>
          <w:sz w:val="18"/>
        </w:rPr>
        <w:t>b. The amount invested grown at the risk-free growth rate</w:t>
      </w:r>
      <w:r w:rsidRPr="00D73A1F">
        <w:rPr>
          <w:sz w:val="18"/>
        </w:rPr>
        <w:t>.</w:t>
      </w:r>
    </w:p>
    <w:p w:rsidR="00F31E57" w:rsidRDefault="00B130FF" w:rsidP="00B130FF">
      <w:r w:rsidRPr="00D73A1F">
        <w:rPr>
          <w:sz w:val="18"/>
        </w:rPr>
        <w:t>In fact, in this context the most reasonable choice is to identify the macro-events according to criteria able to immed</w:t>
      </w:r>
      <w:r w:rsidRPr="00D73A1F">
        <w:rPr>
          <w:sz w:val="18"/>
        </w:rPr>
        <w:t>i</w:t>
      </w:r>
      <w:r w:rsidRPr="00D73A1F">
        <w:rPr>
          <w:sz w:val="18"/>
        </w:rPr>
        <w:t>ately disclose the performance risks of a PRIIP, defined as its ability to create added value for the investor with r</w:t>
      </w:r>
      <w:r w:rsidRPr="00D73A1F">
        <w:rPr>
          <w:sz w:val="18"/>
        </w:rPr>
        <w:t>e</w:t>
      </w:r>
      <w:r w:rsidRPr="00D73A1F">
        <w:rPr>
          <w:sz w:val="18"/>
        </w:rPr>
        <w:t>spect to the initial outlay per se and also to the results achievable by taking an alternative investment decision. Hence, it is necessary to look for an alternative investment which minimizes any arbitrary assumption on investor’s prefe</w:t>
      </w:r>
      <w:r w:rsidRPr="00D73A1F">
        <w:rPr>
          <w:sz w:val="18"/>
        </w:rPr>
        <w:t>r</w:t>
      </w:r>
      <w:r w:rsidRPr="00D73A1F">
        <w:rPr>
          <w:sz w:val="18"/>
        </w:rPr>
        <w:t xml:space="preserve">ences and, at the same time, is able to represent in a clear, immediate and significant way how the specific risk factors and financial structure of the PRIIP will affect the payoffs that can be obtained. From this perspective, the simplest choice is to compare the risk-neutral density of the product with the density associated with the investment of the same amount of money in the risk-free asset. The latter is intended as an investment which, over the same time horizon of the PRIIP and given an initial outlay equal to the issue price (i.e. 100), pays a return equal to that accrued at the risk-free rate of the currency are where the PRIIP is sold. In finance this process is also called risk-neutral numéraire  and it is </w:t>
      </w:r>
      <w:r w:rsidR="00CE4AAE" w:rsidRPr="00D73A1F">
        <w:rPr>
          <w:sz w:val="18"/>
        </w:rPr>
        <w:t>modelled</w:t>
      </w:r>
      <w:r w:rsidRPr="00D73A1F">
        <w:rPr>
          <w:sz w:val="18"/>
        </w:rPr>
        <w:t xml:space="preserve"> through the stochastic process </w:t>
      </w:r>
      <w:r w:rsidRPr="00D73A1F">
        <w:rPr>
          <w:position w:val="-20"/>
          <w:sz w:val="18"/>
        </w:rPr>
        <w:object w:dxaOrig="920" w:dyaOrig="460">
          <v:shape id="_x0000_i1033" type="#_x0000_t75" style="width:37.55pt;height:18.8pt" o:ole="">
            <v:imagedata r:id="rId28" o:title=""/>
          </v:shape>
          <o:OLEObject Type="Embed" ProgID="Equation.DSMT4" ShapeID="_x0000_i1033" DrawAspect="Content" ObjectID="_1501501666" r:id="rId29"/>
        </w:object>
      </w:r>
      <w:r w:rsidRPr="00D73A1F">
        <w:rPr>
          <w:sz w:val="18"/>
        </w:rPr>
        <w:t xml:space="preserve"> which is governed by the equation </w:t>
      </w:r>
      <w:r w:rsidRPr="00D73A1F">
        <w:rPr>
          <w:position w:val="-24"/>
          <w:sz w:val="18"/>
        </w:rPr>
        <w:object w:dxaOrig="1780" w:dyaOrig="600">
          <v:shape id="_x0000_i1034" type="#_x0000_t75" style="width:1in;height:24.4pt" o:ole="">
            <v:imagedata r:id="rId30" o:title=""/>
          </v:shape>
          <o:OLEObject Type="Embed" ProgID="Equation.DSMT4" ShapeID="_x0000_i1034" DrawAspect="Content" ObjectID="_1501501667" r:id="rId31"/>
        </w:object>
      </w:r>
      <w:r w:rsidRPr="00D73A1F">
        <w:rPr>
          <w:sz w:val="18"/>
        </w:rPr>
        <w:t>, which reveals that the unique source of uncertainty for the risk-free asset are the movement in the interest rate curve. Hence, the risk-neutral density of the final values of an initial investment of 100 in the risk-free asset reproduces exactly the impact of interest rate volatility on the returns of a financial investment, ensuring that the comparison with the PRIIP highlights the influence of the specific features that characterize such a PRIIP.</w:t>
      </w:r>
    </w:p>
    <w:permEnd w:id="449140758"/>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994A94" w:rsidRPr="00DF4B06" w:rsidRDefault="00994A94" w:rsidP="00994A94">
      <w:pPr>
        <w:jc w:val="both"/>
        <w:rPr>
          <w:sz w:val="18"/>
        </w:rPr>
      </w:pPr>
      <w:permStart w:id="953967513" w:edGrp="everyone"/>
      <w:r w:rsidRPr="00DF4B06">
        <w:rPr>
          <w:sz w:val="18"/>
        </w:rPr>
        <w:t>We believe, that in the methodological environment described in the answers of Q</w:t>
      </w:r>
      <w:r w:rsidRPr="00DF4B06">
        <w:rPr>
          <w:smallCaps/>
          <w:sz w:val="18"/>
        </w:rPr>
        <w:t xml:space="preserve">uestion 1 </w:t>
      </w:r>
      <w:r w:rsidRPr="00DF4B06">
        <w:rPr>
          <w:sz w:val="18"/>
        </w:rPr>
        <w:t>Q</w:t>
      </w:r>
      <w:r w:rsidRPr="00DF4B06">
        <w:rPr>
          <w:smallCaps/>
          <w:sz w:val="18"/>
        </w:rPr>
        <w:t xml:space="preserve">uestion 2 </w:t>
      </w:r>
      <w:r w:rsidRPr="00DF4B06">
        <w:rPr>
          <w:sz w:val="18"/>
        </w:rPr>
        <w:t>and</w:t>
      </w:r>
      <w:r w:rsidRPr="00DF4B06">
        <w:rPr>
          <w:smallCaps/>
          <w:sz w:val="18"/>
        </w:rPr>
        <w:t xml:space="preserve"> </w:t>
      </w:r>
      <w:r w:rsidRPr="00DF4B06">
        <w:rPr>
          <w:sz w:val="18"/>
        </w:rPr>
        <w:t>Q</w:t>
      </w:r>
      <w:r w:rsidRPr="00DF4B06">
        <w:rPr>
          <w:smallCaps/>
          <w:sz w:val="18"/>
        </w:rPr>
        <w:t xml:space="preserve">uestion 3, </w:t>
      </w:r>
      <w:r w:rsidRPr="00DF4B06">
        <w:rPr>
          <w:sz w:val="18"/>
        </w:rPr>
        <w:t xml:space="preserve">the most correct choice is </w:t>
      </w:r>
      <w:r w:rsidRPr="00DF4B06">
        <w:rPr>
          <w:i/>
          <w:sz w:val="18"/>
        </w:rPr>
        <w:t>a. The asset grows at the risk free rate (with the hypothesis that the risk-premium is equal to zero)</w:t>
      </w:r>
      <w:r w:rsidRPr="00DF4B06">
        <w:rPr>
          <w:sz w:val="18"/>
        </w:rPr>
        <w:t>.</w:t>
      </w:r>
    </w:p>
    <w:p w:rsidR="00F31E57" w:rsidRDefault="00994A94" w:rsidP="00994A94">
      <w:r w:rsidRPr="00DF4B06">
        <w:rPr>
          <w:sz w:val="18"/>
        </w:rPr>
        <w:t xml:space="preserve">In fact, from a technical point of view, the adoption of the risk-neutral measure implies a risk premium equal to zero. The final risk-neutral probability distribution is therefore obtained by properly inserting the simulated trajectories of the short risk-free rate into the dynamics of the process </w:t>
      </w:r>
      <w:r w:rsidRPr="00DF4B06">
        <w:rPr>
          <w:position w:val="-20"/>
          <w:sz w:val="18"/>
        </w:rPr>
        <w:object w:dxaOrig="900" w:dyaOrig="460">
          <v:shape id="_x0000_i1035" type="#_x0000_t75" style="width:45.1pt;height:23.15pt" o:ole="">
            <v:imagedata r:id="rId15" o:title=""/>
          </v:shape>
          <o:OLEObject Type="Embed" ProgID="Equation.DSMT4" ShapeID="_x0000_i1035" DrawAspect="Content" ObjectID="_1501501668" r:id="rId32"/>
        </w:object>
      </w:r>
      <w:r w:rsidRPr="00DF4B06">
        <w:rPr>
          <w:sz w:val="18"/>
        </w:rPr>
        <w:t xml:space="preserve">, in either a direct or indirect way, depending on the characteristics of the PRIIP. For instance, where the value of the PRIIP depends, among other things, on the </w:t>
      </w:r>
      <w:r w:rsidR="00CE4AAE" w:rsidRPr="00DF4B06">
        <w:rPr>
          <w:sz w:val="18"/>
        </w:rPr>
        <w:t>beha</w:t>
      </w:r>
      <w:r w:rsidR="00CE4AAE" w:rsidRPr="00DF4B06">
        <w:rPr>
          <w:sz w:val="18"/>
        </w:rPr>
        <w:t>v</w:t>
      </w:r>
      <w:r w:rsidR="00CE4AAE" w:rsidRPr="00DF4B06">
        <w:rPr>
          <w:sz w:val="18"/>
        </w:rPr>
        <w:t>iour</w:t>
      </w:r>
      <w:r w:rsidRPr="00DF4B06">
        <w:rPr>
          <w:sz w:val="18"/>
        </w:rPr>
        <w:t xml:space="preserve"> of a share or an equity index, the trajectories of these underlying assets must be built, as is well known, by inserting into their drift component, at any step of the simulation, the value of the short risk-free rate obtained corr</w:t>
      </w:r>
      <w:r w:rsidRPr="00DF4B06">
        <w:rPr>
          <w:sz w:val="18"/>
        </w:rPr>
        <w:t>e</w:t>
      </w:r>
      <w:r w:rsidRPr="00DF4B06">
        <w:rPr>
          <w:sz w:val="18"/>
        </w:rPr>
        <w:t>sponding to the same time step.</w:t>
      </w:r>
    </w:p>
    <w:permEnd w:id="953967513"/>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F31E57" w:rsidRPr="00994A94" w:rsidRDefault="00994A94" w:rsidP="00994A94">
      <w:pPr>
        <w:jc w:val="both"/>
        <w:rPr>
          <w:sz w:val="18"/>
        </w:rPr>
      </w:pPr>
      <w:permStart w:id="547820008" w:edGrp="everyone"/>
      <w:r w:rsidRPr="00DF4B06">
        <w:rPr>
          <w:sz w:val="18"/>
        </w:rPr>
        <w:t xml:space="preserve">Our position on the subject is coherent more with option </w:t>
      </w:r>
      <w:r w:rsidRPr="00DF4B06">
        <w:rPr>
          <w:i/>
          <w:sz w:val="18"/>
        </w:rPr>
        <w:t>c. Show the risk indicator for the recommended holding period, but include a warning or narrative text that explains the possible variation in risk over time.</w:t>
      </w:r>
      <w:r w:rsidRPr="00DF4B06">
        <w:rPr>
          <w:sz w:val="18"/>
        </w:rPr>
        <w:t xml:space="preserve"> Nevertheless, additional performance scenarios may be considered suitable for PRIIPs with path-dependent features which can trigger an early redemption (like callable or puttable bonds, American or Bermudan options), the coupon size or existence or the switch to another pay-off structure (e.g. flipping the coupons from fixed to floating or vice versa).</w:t>
      </w:r>
    </w:p>
    <w:permEnd w:id="547820008"/>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994A94" w:rsidRPr="00DF4B06" w:rsidRDefault="00994A94" w:rsidP="00994A94">
      <w:pPr>
        <w:jc w:val="both"/>
        <w:rPr>
          <w:sz w:val="18"/>
        </w:rPr>
      </w:pPr>
      <w:permStart w:id="845111677" w:edGrp="everyone"/>
      <w:r w:rsidRPr="00DF4B06">
        <w:rPr>
          <w:sz w:val="18"/>
        </w:rPr>
        <w:t xml:space="preserve">Our view on the delicate issue of the assessment of credit risk is oriented towards the use of </w:t>
      </w:r>
      <w:r w:rsidRPr="00DF4B06">
        <w:rPr>
          <w:i/>
          <w:sz w:val="18"/>
        </w:rPr>
        <w:t>credit spreads</w:t>
      </w:r>
      <w:r w:rsidRPr="00DF4B06">
        <w:rPr>
          <w:sz w:val="18"/>
        </w:rPr>
        <w:t xml:space="preserve"> inferred from quoted CDS or liquid bonds of the PRIIP’s manufacturer, where the market is active and liquid. It is obvious that, in absence of reliable information about credit spreads, second best methodologies should come into play, such as the use of </w:t>
      </w:r>
      <w:r w:rsidRPr="00DF4B06">
        <w:rPr>
          <w:i/>
          <w:sz w:val="18"/>
        </w:rPr>
        <w:t>credit ratings</w:t>
      </w:r>
      <w:r w:rsidRPr="00DF4B06">
        <w:rPr>
          <w:sz w:val="18"/>
        </w:rPr>
        <w:t xml:space="preserve"> of the issuer or of a comparable obligor, where available . </w:t>
      </w:r>
    </w:p>
    <w:p w:rsidR="00F31E57" w:rsidRPr="00994A94" w:rsidRDefault="00994A94" w:rsidP="00994A94">
      <w:pPr>
        <w:jc w:val="both"/>
        <w:rPr>
          <w:sz w:val="18"/>
        </w:rPr>
      </w:pPr>
      <w:r w:rsidRPr="00DF4B06">
        <w:rPr>
          <w:sz w:val="18"/>
        </w:rPr>
        <w:t>Anyway, we want to remark that the information to be embedded in the implied probability distribution via CDS or bonds spreads has the indisputable advantage of being always updated and reactive to the variable market cond</w:t>
      </w:r>
      <w:r w:rsidRPr="00DF4B06">
        <w:rPr>
          <w:sz w:val="18"/>
        </w:rPr>
        <w:t>i</w:t>
      </w:r>
      <w:r w:rsidRPr="00DF4B06">
        <w:rPr>
          <w:sz w:val="18"/>
        </w:rPr>
        <w:t>tions, having considered moreover its direct connection with the quoted prices of liquid assets. When the market volatility is high, this technical properties is of fundamental importance in the perspective of the investor protection, especially with respect to other metrics that are based on historical data or economic and accounting information, e.g. the rating estimated for the evaluation of the credit risk of the issuers of PRIIPs.</w:t>
      </w:r>
    </w:p>
    <w:permEnd w:id="845111677"/>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F31E57" w:rsidRPr="00994A94" w:rsidRDefault="00994A94" w:rsidP="00994A94">
      <w:pPr>
        <w:jc w:val="both"/>
        <w:rPr>
          <w:sz w:val="18"/>
        </w:rPr>
      </w:pPr>
      <w:permStart w:id="247142324" w:edGrp="everyone"/>
      <w:r w:rsidRPr="00DF4B06">
        <w:rPr>
          <w:sz w:val="18"/>
        </w:rPr>
        <w:t>We agree in full with the proposed KID scheme on liquidity risk.</w:t>
      </w:r>
    </w:p>
    <w:permEnd w:id="247142324"/>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w:t>
      </w:r>
      <w:r>
        <w:t>x</w:t>
      </w:r>
      <w:r>
        <w:t>tent?</w:t>
      </w:r>
    </w:p>
    <w:p w:rsidR="00F31E57" w:rsidRDefault="00F31E57" w:rsidP="00F31E57"/>
    <w:p w:rsidR="00F31E57" w:rsidRDefault="00F31E57" w:rsidP="00F31E57">
      <w:r>
        <w:t>&lt;ESMA_QUESTION_PRIIPs_8&gt;</w:t>
      </w:r>
    </w:p>
    <w:p w:rsidR="00994A94" w:rsidRPr="00DF4B06" w:rsidRDefault="00994A94" w:rsidP="00994A94">
      <w:pPr>
        <w:jc w:val="both"/>
        <w:rPr>
          <w:sz w:val="18"/>
        </w:rPr>
      </w:pPr>
      <w:permStart w:id="970807569" w:edGrp="everyone"/>
      <w:r w:rsidRPr="00DF4B06">
        <w:rPr>
          <w:sz w:val="18"/>
        </w:rPr>
        <w:t>We believe that quantitative information is inherently more objective and less manipulable and therefore it should be exploited to the possible maximum extent. In this perspective, we advise the use of quantitative indicators like the bid-offer spreads, where a secondary market is active. However, we acknowledge that here are many situations where such information is not available or is not sufficiently reliable to be incorporated in the KID; only in these cases qualit</w:t>
      </w:r>
      <w:r w:rsidRPr="00DF4B06">
        <w:rPr>
          <w:sz w:val="18"/>
        </w:rPr>
        <w:t>a</w:t>
      </w:r>
      <w:r w:rsidRPr="00DF4B06">
        <w:rPr>
          <w:sz w:val="18"/>
        </w:rPr>
        <w:t>tive information should be supplemented, with clear warnings about the unavailability of more objective measures of liquidity risks.</w:t>
      </w:r>
    </w:p>
    <w:p w:rsidR="00F31E57" w:rsidRPr="00994A94" w:rsidRDefault="00994A94" w:rsidP="00994A94">
      <w:pPr>
        <w:jc w:val="both"/>
        <w:rPr>
          <w:sz w:val="18"/>
        </w:rPr>
      </w:pPr>
      <w:r w:rsidRPr="00DF4B06">
        <w:rPr>
          <w:sz w:val="18"/>
        </w:rPr>
        <w:t>For what regards the debate regarding the influence of costs and early redemptions penalties, we are keen to sustain that a PRIIP burdened by high exit penalties is inherently less liquid and that this feature should be reflected in the definition of an appropriate liquidity risk indicator.</w:t>
      </w:r>
    </w:p>
    <w:permEnd w:id="970807569"/>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F31E57" w:rsidRPr="00994A94" w:rsidRDefault="00994A94" w:rsidP="00994A94">
      <w:pPr>
        <w:jc w:val="both"/>
        <w:rPr>
          <w:sz w:val="18"/>
        </w:rPr>
      </w:pPr>
      <w:permStart w:id="597823762" w:edGrp="everyone"/>
      <w:r w:rsidRPr="00DF4B06">
        <w:rPr>
          <w:sz w:val="18"/>
        </w:rPr>
        <w:t>We don’t think that the implementation of Option 1 could be feasible and improve the standard of information co</w:t>
      </w:r>
      <w:r w:rsidRPr="00DF4B06">
        <w:rPr>
          <w:sz w:val="18"/>
        </w:rPr>
        <w:t>n</w:t>
      </w:r>
      <w:r w:rsidRPr="00DF4B06">
        <w:rPr>
          <w:sz w:val="18"/>
        </w:rPr>
        <w:t xml:space="preserve">veyed to the investor without the development of an objective quantitative measure of risk that integrates market and </w:t>
      </w:r>
      <w:r w:rsidRPr="00DF4B06">
        <w:rPr>
          <w:sz w:val="18"/>
        </w:rPr>
        <w:lastRenderedPageBreak/>
        <w:t>credit risk. This approach is characterized by over-reliance on qualitative measure. However, in the logic of offering a contribution also on topics we do not fully support, we consider a 6-levels scale for risks richer and theoretically more able to capture the inherent riskiness of different PRIIPs. The level of loss should be calculated with the aid of the most reliable quantitative measures (preferably volatility-based).</w:t>
      </w:r>
    </w:p>
    <w:permEnd w:id="597823762"/>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F31E57" w:rsidRPr="00994A94" w:rsidRDefault="00994A94" w:rsidP="00994A94">
      <w:pPr>
        <w:jc w:val="both"/>
        <w:rPr>
          <w:sz w:val="18"/>
        </w:rPr>
      </w:pPr>
      <w:permStart w:id="847324666" w:edGrp="everyone"/>
      <w:r w:rsidRPr="00DF4B06">
        <w:rPr>
          <w:sz w:val="18"/>
        </w:rPr>
        <w:t>We clearly dismiss Option 2 since it appears a theoretical construction not supported by literature and empirical tests. Instead, in this context it’s interesting to recognize how reliable and economic is the information connected with the full evaluation approach, since these data have been already calculated, verified and stored by the manufacturer for reasons of hedging and risk management. The benefits of exploiting this set of information in the perspective of the construction of a robust and integrated risk indicator is invaluable. More considerations on these topics are developed in the following questions.</w:t>
      </w:r>
    </w:p>
    <w:permEnd w:id="847324666"/>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994A94" w:rsidRPr="00DF4B06" w:rsidRDefault="00994A94" w:rsidP="00994A94">
      <w:pPr>
        <w:jc w:val="both"/>
        <w:rPr>
          <w:sz w:val="18"/>
        </w:rPr>
      </w:pPr>
      <w:permStart w:id="201337531" w:edGrp="everyone"/>
      <w:r w:rsidRPr="00DF4B06">
        <w:rPr>
          <w:sz w:val="18"/>
        </w:rPr>
        <w:t>Our position, as expressed in the answers of Q</w:t>
      </w:r>
      <w:r w:rsidRPr="00DF4B06">
        <w:rPr>
          <w:smallCaps/>
          <w:sz w:val="18"/>
        </w:rPr>
        <w:t xml:space="preserve">uestion 1, </w:t>
      </w:r>
      <w:r w:rsidRPr="00DF4B06">
        <w:rPr>
          <w:sz w:val="18"/>
        </w:rPr>
        <w:t>Q</w:t>
      </w:r>
      <w:r w:rsidRPr="00DF4B06">
        <w:rPr>
          <w:smallCaps/>
          <w:sz w:val="18"/>
        </w:rPr>
        <w:t xml:space="preserve">uestion 2, </w:t>
      </w:r>
      <w:r w:rsidRPr="00DF4B06">
        <w:rPr>
          <w:sz w:val="18"/>
        </w:rPr>
        <w:t>Q</w:t>
      </w:r>
      <w:r w:rsidRPr="00DF4B06">
        <w:rPr>
          <w:smallCaps/>
          <w:sz w:val="18"/>
        </w:rPr>
        <w:t xml:space="preserve">uestion 3 and 4, </w:t>
      </w:r>
      <w:r w:rsidRPr="00DF4B06">
        <w:rPr>
          <w:sz w:val="18"/>
        </w:rPr>
        <w:t xml:space="preserve">is clearly in </w:t>
      </w:r>
      <w:r w:rsidR="00CE4AAE" w:rsidRPr="00DF4B06">
        <w:rPr>
          <w:sz w:val="18"/>
        </w:rPr>
        <w:t>favour</w:t>
      </w:r>
      <w:r w:rsidRPr="00DF4B06">
        <w:rPr>
          <w:sz w:val="18"/>
        </w:rPr>
        <w:t xml:space="preserve"> of the use of forward looking simulation models, for reasons of consistency, robustness and coherency. We believe that the manufacturer has to employ the same models he uses for hedging and risk management operations in his day-to-day activities, on whose he has full control. The regulator should only supervise the process of information production, by giving guidelines and principles and controlling the quality of the information produced. By exploiting the existent and reliable internal models of the manufacturer, a final probability distribution of the potential returns is obtained, that fully incorporates all the PRIIPs relevant risk components. In this perspective, we support the</w:t>
      </w:r>
      <w:r w:rsidRPr="00DF4B06">
        <w:rPr>
          <w:i/>
          <w:sz w:val="18"/>
        </w:rPr>
        <w:t xml:space="preserve"> integration of credit risk via the incorporation of default scenarios into the distribution of returns</w:t>
      </w:r>
      <w:r w:rsidRPr="00DF4B06">
        <w:rPr>
          <w:sz w:val="18"/>
        </w:rPr>
        <w:t>.</w:t>
      </w:r>
    </w:p>
    <w:p w:rsidR="00F31E57" w:rsidRPr="00994A94" w:rsidRDefault="00994A94" w:rsidP="00994A94">
      <w:pPr>
        <w:jc w:val="both"/>
        <w:rPr>
          <w:sz w:val="18"/>
        </w:rPr>
      </w:pPr>
      <w:r w:rsidRPr="00DF4B06">
        <w:rPr>
          <w:sz w:val="18"/>
        </w:rPr>
        <w:t>After having obtained the distribution of returns, we acknowledge that different measure can be consistently calcula</w:t>
      </w:r>
      <w:r w:rsidRPr="00DF4B06">
        <w:rPr>
          <w:sz w:val="18"/>
        </w:rPr>
        <w:t>t</w:t>
      </w:r>
      <w:r w:rsidRPr="00DF4B06">
        <w:rPr>
          <w:sz w:val="18"/>
        </w:rPr>
        <w:t>ed: VaR, ES, volatility of the forward looking returns. Among these, we slightly prefer a volatility-based indicator, that appears simple and more manageable, especially if complemented with the additional information of probability scenarios (see Q</w:t>
      </w:r>
      <w:r w:rsidRPr="00DF4B06">
        <w:rPr>
          <w:smallCaps/>
          <w:sz w:val="18"/>
        </w:rPr>
        <w:t>uestion 15, 16, 17 and 18)</w:t>
      </w:r>
      <w:r w:rsidRPr="00DF4B06">
        <w:rPr>
          <w:sz w:val="18"/>
        </w:rPr>
        <w:t>.</w:t>
      </w:r>
    </w:p>
    <w:permEnd w:id="201337531"/>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994A94" w:rsidRPr="00DF4B06" w:rsidRDefault="00994A94" w:rsidP="00994A94">
      <w:pPr>
        <w:jc w:val="both"/>
        <w:rPr>
          <w:sz w:val="18"/>
        </w:rPr>
      </w:pPr>
      <w:permStart w:id="1535843518" w:edGrp="everyone"/>
      <w:r w:rsidRPr="00DF4B06">
        <w:rPr>
          <w:sz w:val="18"/>
        </w:rPr>
        <w:t xml:space="preserve">An informed evaluation about the variation proposed here cannot be released, since the methodology described is incomplete and rather obscure. </w:t>
      </w:r>
    </w:p>
    <w:p w:rsidR="00994A94" w:rsidRDefault="00994A94" w:rsidP="00994A94">
      <w:pPr>
        <w:jc w:val="both"/>
        <w:rPr>
          <w:sz w:val="18"/>
        </w:rPr>
      </w:pPr>
      <w:r w:rsidRPr="00DF4B06">
        <w:rPr>
          <w:sz w:val="18"/>
        </w:rPr>
        <w:t>In principle, we continue to support a forward-looking approach that exploits the internal models of the manufacturer, under a general framework where the regulator gives some general technical guidelines of reference (i.e. for instance in our proposal, the adoption of a zero risk-premium and some technical standards in the Monte Carlo simulations). The models parameters must be consistent with the value of the PRIIP estimated by the manufacturer in order to ensure internal coherence, and not superimposed by the regulator; in fact we firmly believe that significant discrepa</w:t>
      </w:r>
      <w:r w:rsidRPr="00DF4B06">
        <w:rPr>
          <w:sz w:val="18"/>
        </w:rPr>
        <w:t>n</w:t>
      </w:r>
      <w:r w:rsidRPr="00DF4B06">
        <w:rPr>
          <w:sz w:val="18"/>
        </w:rPr>
        <w:t>cies in the evaluation process of PRIIPs between different manufacturer with proprietary models can be avoided or reduced at minimum, via a proper regulatory oversight and an inevitable market pressure towards the convergence of results.</w:t>
      </w:r>
    </w:p>
    <w:p w:rsidR="00994A94" w:rsidRPr="00DF4B06" w:rsidRDefault="00994A94" w:rsidP="00994A94">
      <w:pPr>
        <w:jc w:val="both"/>
        <w:rPr>
          <w:sz w:val="18"/>
        </w:rPr>
      </w:pPr>
      <w:r w:rsidRPr="00DF4B06">
        <w:rPr>
          <w:sz w:val="18"/>
        </w:rPr>
        <w:t xml:space="preserve">We support the </w:t>
      </w:r>
      <w:r w:rsidRPr="00DF4B06">
        <w:rPr>
          <w:i/>
          <w:sz w:val="18"/>
        </w:rPr>
        <w:t>integration of credit risks into the simulation via a Poisson distribution considering the default risk of a PRIIP</w:t>
      </w:r>
      <w:r w:rsidRPr="00DF4B06">
        <w:rPr>
          <w:sz w:val="18"/>
        </w:rPr>
        <w:t>.</w:t>
      </w:r>
    </w:p>
    <w:p w:rsidR="00F31E57" w:rsidRDefault="00F31E57" w:rsidP="00F31E57"/>
    <w:permEnd w:id="1535843518"/>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potential use of a two-level indicator. What kind of differentiators should be set both for the first level and the second level of such an i</w:t>
      </w:r>
      <w:r>
        <w:t>n</w:t>
      </w:r>
      <w:r>
        <w:t xml:space="preserve">dicator? </w:t>
      </w:r>
    </w:p>
    <w:p w:rsidR="00F31E57" w:rsidRDefault="00F31E57" w:rsidP="00F31E57"/>
    <w:p w:rsidR="00F31E57" w:rsidRDefault="00F31E57" w:rsidP="00F31E57">
      <w:r>
        <w:t>&lt;ESMA_QUESTION_PRIIPs_13&gt;</w:t>
      </w:r>
    </w:p>
    <w:p w:rsidR="00F31E57" w:rsidRPr="00994A94" w:rsidRDefault="00994A94" w:rsidP="00994A94">
      <w:pPr>
        <w:jc w:val="both"/>
        <w:rPr>
          <w:sz w:val="18"/>
        </w:rPr>
      </w:pPr>
      <w:permStart w:id="1888566478" w:edGrp="everyone"/>
      <w:r w:rsidRPr="00DF4B06">
        <w:rPr>
          <w:sz w:val="18"/>
        </w:rPr>
        <w:t>We are keen to dismiss the “two-level” indicator proposal for the inherent difficulty of implementation explained in the consultation paper.</w:t>
      </w:r>
    </w:p>
    <w:permEnd w:id="1888566478"/>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994A94" w:rsidRPr="00DF4B06" w:rsidRDefault="00994A94" w:rsidP="00994A94">
      <w:pPr>
        <w:jc w:val="both"/>
        <w:rPr>
          <w:sz w:val="18"/>
        </w:rPr>
      </w:pPr>
      <w:permStart w:id="143075433" w:edGrp="everyone"/>
      <w:r w:rsidRPr="00DF4B06">
        <w:rPr>
          <w:sz w:val="18"/>
        </w:rPr>
        <w:t>Our reference table to define the scale of the risk indicator is the one tested by C</w:t>
      </w:r>
      <w:r w:rsidRPr="00DF4B06">
        <w:rPr>
          <w:smallCaps/>
          <w:sz w:val="18"/>
        </w:rPr>
        <w:t xml:space="preserve">onsob, </w:t>
      </w:r>
      <w:r w:rsidRPr="00DF4B06">
        <w:rPr>
          <w:sz w:val="18"/>
        </w:rPr>
        <w:t>the Italy’s Securities and Exchange Commission. In fact since a few years C</w:t>
      </w:r>
      <w:r w:rsidRPr="00DF4B06">
        <w:rPr>
          <w:smallCaps/>
          <w:sz w:val="18"/>
        </w:rPr>
        <w:t>onsob</w:t>
      </w:r>
      <w:r w:rsidRPr="00DF4B06">
        <w:rPr>
          <w:sz w:val="18"/>
        </w:rPr>
        <w:t xml:space="preserve"> has adopted a risk-based approach to transparency for insurance products as Index and Unit linked, which implements consistently a forward-looking probability approach</w:t>
      </w:r>
      <w:r w:rsidRPr="00DF4B06">
        <w:rPr>
          <w:rStyle w:val="FootnoteReference"/>
          <w:sz w:val="18"/>
        </w:rPr>
        <w:footnoteReference w:id="5"/>
      </w:r>
      <w:r w:rsidRPr="00DF4B06">
        <w:rPr>
          <w:sz w:val="18"/>
        </w:rPr>
        <w:t>. The methodology provides a qualitative scale of risk composed by 6 sub-classes; the PRIIP is classified inside each class by calculating a volatility-based indicator, fully consistent with the rest of the information provided.</w:t>
      </w:r>
    </w:p>
    <w:p w:rsidR="00F31E57" w:rsidRPr="00994A94" w:rsidRDefault="00994A94" w:rsidP="00994A94">
      <w:pPr>
        <w:jc w:val="both"/>
        <w:rPr>
          <w:sz w:val="18"/>
        </w:rPr>
      </w:pPr>
      <w:r w:rsidRPr="00DF4B06">
        <w:rPr>
          <w:sz w:val="18"/>
        </w:rPr>
        <w:t>The cut-off points were determinate periodically on the basis of a complex methodology that makes extensive use of GARCH diffusive models (see note 1). An example of application of this risk scale has been provided in the answer to the consultation paper JC/DP/2014/02.</w:t>
      </w:r>
    </w:p>
    <w:permEnd w:id="143075433"/>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w:t>
      </w:r>
      <w:r>
        <w:t>e</w:t>
      </w:r>
      <w:r>
        <w:t>vance of the different criteria that may be considered.</w:t>
      </w:r>
    </w:p>
    <w:p w:rsidR="00F31E57" w:rsidRDefault="00F31E57" w:rsidP="00F31E57"/>
    <w:p w:rsidR="00F31E57" w:rsidRDefault="00F31E57" w:rsidP="00F31E57">
      <w:r>
        <w:t>&lt;ESMA_QUESTION_PRIIPs_15&gt;</w:t>
      </w:r>
    </w:p>
    <w:p w:rsidR="00994A94" w:rsidRPr="00DF4B06" w:rsidRDefault="00994A94" w:rsidP="00994A94">
      <w:pPr>
        <w:jc w:val="both"/>
        <w:rPr>
          <w:sz w:val="18"/>
        </w:rPr>
      </w:pPr>
      <w:permStart w:id="1691963873" w:edGrp="everyone"/>
      <w:r w:rsidRPr="00DF4B06">
        <w:rPr>
          <w:sz w:val="18"/>
        </w:rPr>
        <w:t>As properly expressed in other public consultations (see for instance JC/DP/2014/02) , we strongly believe that a performance scenarios can only be stated in terms of probability: transparency has to do with helping retailers to make clear the probability of success of their investments, while a what-if analysis provides a representation of a single state of the world out of an infinity of other possible ones, and as such has zero probability; collecting all sc</w:t>
      </w:r>
      <w:r w:rsidRPr="00DF4B06">
        <w:rPr>
          <w:sz w:val="18"/>
        </w:rPr>
        <w:t>e</w:t>
      </w:r>
      <w:r w:rsidRPr="00DF4B06">
        <w:rPr>
          <w:sz w:val="18"/>
        </w:rPr>
        <w:t>narios and distinguishing among good, bad and fair necessarily leads to a probability approach.</w:t>
      </w:r>
    </w:p>
    <w:p w:rsidR="00994A94" w:rsidRPr="00DF4B06" w:rsidRDefault="00994A94" w:rsidP="00994A94">
      <w:pPr>
        <w:jc w:val="both"/>
        <w:rPr>
          <w:sz w:val="18"/>
          <w:highlight w:val="green"/>
        </w:rPr>
      </w:pPr>
      <w:r w:rsidRPr="00DF4B06">
        <w:rPr>
          <w:sz w:val="18"/>
        </w:rPr>
        <w:t>We reaffirm that comparison of different products can only be done in terms of probability: in a scenario disclosure, every product is evaluated (and not measured) in a different setting and cannot be compared across different asset classes and products unless all possible scenarios are collected (and measured) in a probability table.</w:t>
      </w:r>
    </w:p>
    <w:p w:rsidR="00994A94" w:rsidRPr="00DF4B06" w:rsidRDefault="00994A94" w:rsidP="00994A94">
      <w:pPr>
        <w:jc w:val="both"/>
        <w:rPr>
          <w:sz w:val="18"/>
        </w:rPr>
      </w:pPr>
      <w:r w:rsidRPr="00DF4B06">
        <w:rPr>
          <w:sz w:val="18"/>
        </w:rPr>
        <w:t>Hence we confirm again our view that performance information should not be offered through the what-if approach (even if prescribed). As clearly stated in the consultation document, out of an infinity of possible results of the inves</w:t>
      </w:r>
      <w:r w:rsidRPr="00DF4B06">
        <w:rPr>
          <w:sz w:val="18"/>
        </w:rPr>
        <w:t>t</w:t>
      </w:r>
      <w:r w:rsidRPr="00DF4B06">
        <w:rPr>
          <w:sz w:val="18"/>
        </w:rPr>
        <w:t>ment, this approach considers three elementary outcomes, selected at the convenience of the issuer. As witnessed by several studies and by tests on large samples of individuals, this representation fosters biased beliefs, since the three elementary scenarios are perceived as exhaustive of all performances achievable by a product and they are also considered as having the same 33% probability of occurring.</w:t>
      </w:r>
    </w:p>
    <w:p w:rsidR="00994A94" w:rsidRPr="00DF4B06" w:rsidRDefault="00994A94" w:rsidP="00994A94">
      <w:pPr>
        <w:jc w:val="both"/>
        <w:rPr>
          <w:sz w:val="18"/>
        </w:rPr>
      </w:pPr>
      <w:r w:rsidRPr="00DF4B06">
        <w:rPr>
          <w:sz w:val="18"/>
        </w:rPr>
        <w:t>We think that the probabilistic approach is a much better alternative to concretely support investors, as it enco</w:t>
      </w:r>
      <w:r w:rsidRPr="00DF4B06">
        <w:rPr>
          <w:sz w:val="18"/>
        </w:rPr>
        <w:t>m</w:t>
      </w:r>
      <w:r w:rsidRPr="00DF4B06">
        <w:rPr>
          <w:sz w:val="18"/>
        </w:rPr>
        <w:t xml:space="preserve">passes the entire probability distribution of the product’s final performances and summarizes it in a set of events –  calculated on a time frame that is specific for each product and corresponds to the recommended holding period – of significant importance for any investor: for example experiencing a loss (negative return), or getting back the amount invested plus a return below, above or in line with the risk-free. </w:t>
      </w:r>
    </w:p>
    <w:p w:rsidR="00994A94" w:rsidRPr="00DF4B06" w:rsidRDefault="00994A94" w:rsidP="00994A94">
      <w:pPr>
        <w:jc w:val="both"/>
        <w:rPr>
          <w:sz w:val="18"/>
        </w:rPr>
      </w:pPr>
      <w:r w:rsidRPr="00DF4B06">
        <w:rPr>
          <w:sz w:val="18"/>
        </w:rPr>
        <w:t>For what regards the costs, we believe that, given the in-house availability of the mentioned models, issuers can provide consumers with this key information without any additional burden with respect to their usual pricing and risk management activities. Eventually, the reference to the risk-neutral measure used to calculate the fair price of the product should ensure also consistency and comparability across firms and products.</w:t>
      </w:r>
    </w:p>
    <w:p w:rsidR="00F31E57" w:rsidRPr="00994A94" w:rsidRDefault="00994A94" w:rsidP="00994A94">
      <w:pPr>
        <w:jc w:val="both"/>
        <w:rPr>
          <w:sz w:val="18"/>
        </w:rPr>
      </w:pPr>
      <w:r w:rsidRPr="00DF4B06">
        <w:rPr>
          <w:sz w:val="18"/>
        </w:rPr>
        <w:t>We agree with the need to supplement the probability scenarios with a proper narrative; disclaimer and warning have to be put in place in order to avoid the wrong interpretation of the probabilities. This is especially true when the longer maturity of the PRIIP or the calculated results (i.e. a negative scenario with 0% probability) make difficult to correctly read the probabilities.</w:t>
      </w:r>
    </w:p>
    <w:permEnd w:id="1691963873"/>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F31E57" w:rsidRPr="00994A94" w:rsidRDefault="00994A94" w:rsidP="00994A94">
      <w:pPr>
        <w:jc w:val="both"/>
        <w:rPr>
          <w:sz w:val="18"/>
        </w:rPr>
      </w:pPr>
      <w:permStart w:id="798960063" w:edGrp="everyone"/>
      <w:r w:rsidRPr="00DF4B06">
        <w:rPr>
          <w:sz w:val="18"/>
        </w:rPr>
        <w:t>We believe that what-if scenarios are very prone to be manipulated in order to magnify the investor’s expectations about a PRIIP’s performances. In the standard approach, where the manufacturer can choose freely the scenarios to be represented, an intended distortion of the results is straightforward. The imposition of more strict rules can improve the comparability, but not in a decisive way.</w:t>
      </w:r>
    </w:p>
    <w:permEnd w:id="798960063"/>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w:t>
      </w:r>
      <w:r>
        <w:t>r</w:t>
      </w:r>
      <w:r>
        <w:t>ios? What other standardized scenarios may be fixed?</w:t>
      </w:r>
    </w:p>
    <w:p w:rsidR="00F31E57" w:rsidRDefault="00F31E57" w:rsidP="00F31E57"/>
    <w:p w:rsidR="00F31E57" w:rsidRDefault="00F31E57" w:rsidP="00F31E57">
      <w:r>
        <w:t>&lt;ESMA_QUESTION_PRIIPs_17&gt;</w:t>
      </w:r>
    </w:p>
    <w:p w:rsidR="00994A94" w:rsidRPr="00DF4B06" w:rsidRDefault="00994A94" w:rsidP="00994A94">
      <w:pPr>
        <w:jc w:val="both"/>
        <w:rPr>
          <w:sz w:val="18"/>
        </w:rPr>
      </w:pPr>
      <w:permStart w:id="581244259" w:edGrp="everyone"/>
      <w:r w:rsidRPr="00DF4B06">
        <w:rPr>
          <w:sz w:val="18"/>
        </w:rPr>
        <w:t>Our idea is that historical information about the past performances of a PRIIP should carefully be avoided, since it clearly can be misleading for the investor; past information can anyway be recovered inside a standardized synthetic risk indicator, based on returns’ volatility.</w:t>
      </w:r>
    </w:p>
    <w:p w:rsidR="00F31E57" w:rsidRPr="00994A94" w:rsidRDefault="00994A94" w:rsidP="00994A94">
      <w:pPr>
        <w:jc w:val="both"/>
        <w:rPr>
          <w:i/>
          <w:sz w:val="18"/>
        </w:rPr>
      </w:pPr>
      <w:r w:rsidRPr="00DF4B06">
        <w:rPr>
          <w:sz w:val="18"/>
        </w:rPr>
        <w:t>The proposal to set prescriptive scenario and growth rates seem very difficult to implement, while the benefits in terms of reasonability and greater comparability appear to us at most dim.</w:t>
      </w:r>
    </w:p>
    <w:permEnd w:id="581244259"/>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994A94" w:rsidRPr="00DF4B06" w:rsidRDefault="00994A94" w:rsidP="00994A94">
      <w:pPr>
        <w:jc w:val="both"/>
        <w:rPr>
          <w:sz w:val="18"/>
        </w:rPr>
      </w:pPr>
      <w:permStart w:id="1984250723" w:edGrp="everyone"/>
      <w:r w:rsidRPr="00DF4B06">
        <w:rPr>
          <w:sz w:val="18"/>
        </w:rPr>
        <w:t>A fixed partition of the probability distribution of returns as the one proposed in the consultation paper (i.e. 10%, 50%, 90%) has the undoubted advantage to be objective and simple to obtain.</w:t>
      </w:r>
    </w:p>
    <w:p w:rsidR="00994A94" w:rsidRPr="00DF4B06" w:rsidRDefault="00994A94" w:rsidP="00994A94">
      <w:pPr>
        <w:jc w:val="both"/>
        <w:rPr>
          <w:sz w:val="18"/>
        </w:rPr>
      </w:pPr>
      <w:r w:rsidRPr="00DF4B06">
        <w:rPr>
          <w:sz w:val="18"/>
        </w:rPr>
        <w:t>Nevertheless, we want to highlight that other solutions, only marginally more complex, may show important benefits, as the immediate adaptivity to continuously changing markets conditions. Our reference methodology is the one tested by C</w:t>
      </w:r>
      <w:r w:rsidRPr="00DF4B06">
        <w:rPr>
          <w:smallCaps/>
          <w:sz w:val="18"/>
        </w:rPr>
        <w:t xml:space="preserve">onsob, </w:t>
      </w:r>
      <w:r w:rsidRPr="00DF4B06">
        <w:rPr>
          <w:sz w:val="18"/>
        </w:rPr>
        <w:t>the Italy’s Securities and Exchange Commission. In fact since a few years C</w:t>
      </w:r>
      <w:r w:rsidRPr="00DF4B06">
        <w:rPr>
          <w:smallCaps/>
          <w:sz w:val="18"/>
        </w:rPr>
        <w:t>onsob</w:t>
      </w:r>
      <w:r w:rsidRPr="00DF4B06">
        <w:rPr>
          <w:sz w:val="18"/>
        </w:rPr>
        <w:t xml:space="preserve"> has adopted a risk-based approach to transparency for insurance products as Index and Unit linked, which implements consistently a forward-looking probability approach</w:t>
      </w:r>
      <w:r w:rsidRPr="00DF4B06">
        <w:rPr>
          <w:rStyle w:val="FootnoteReference"/>
          <w:sz w:val="18"/>
        </w:rPr>
        <w:footnoteReference w:id="6"/>
      </w:r>
      <w:r w:rsidRPr="00DF4B06">
        <w:rPr>
          <w:sz w:val="18"/>
        </w:rPr>
        <w:t>.</w:t>
      </w:r>
    </w:p>
    <w:p w:rsidR="00994A94" w:rsidRPr="00DF4B06" w:rsidRDefault="00994A94" w:rsidP="00994A94">
      <w:pPr>
        <w:jc w:val="both"/>
        <w:rPr>
          <w:sz w:val="18"/>
        </w:rPr>
      </w:pPr>
      <w:r w:rsidRPr="00DF4B06">
        <w:rPr>
          <w:sz w:val="18"/>
        </w:rPr>
        <w:t>In the C</w:t>
      </w:r>
      <w:r w:rsidRPr="00DF4B06">
        <w:rPr>
          <w:smallCaps/>
          <w:sz w:val="18"/>
        </w:rPr>
        <w:t>onsob</w:t>
      </w:r>
      <w:r w:rsidRPr="00DF4B06">
        <w:rPr>
          <w:sz w:val="18"/>
        </w:rPr>
        <w:t xml:space="preserve"> approach the percentiles are variable and determined by exploiting the information contained in the risk-neutral numéraire probability distribution (see answer to Q</w:t>
      </w:r>
      <w:r w:rsidRPr="00DF4B06">
        <w:rPr>
          <w:smallCaps/>
          <w:sz w:val="18"/>
        </w:rPr>
        <w:t>uestion 3).</w:t>
      </w:r>
      <w:r w:rsidRPr="00DF4B06">
        <w:rPr>
          <w:sz w:val="18"/>
        </w:rPr>
        <w:t xml:space="preserve"> To conduct the partition of the probability distributions of the returns, the safest financial investment (i.e. the risk-neutral numéraire, </w:t>
      </w:r>
      <w:r w:rsidRPr="00DF4B06">
        <w:rPr>
          <w:i/>
          <w:sz w:val="18"/>
        </w:rPr>
        <w:t xml:space="preserve">rfa </w:t>
      </w:r>
      <w:r w:rsidRPr="00DF4B06">
        <w:rPr>
          <w:position w:val="-20"/>
          <w:sz w:val="18"/>
        </w:rPr>
        <w:object w:dxaOrig="920" w:dyaOrig="460">
          <v:shape id="_x0000_i1036" type="#_x0000_t75" style="width:36.95pt;height:18.8pt" o:ole="">
            <v:imagedata r:id="rId28" o:title=""/>
          </v:shape>
          <o:OLEObject Type="Embed" ProgID="Equation.DSMT4" ShapeID="_x0000_i1036" DrawAspect="Content" ObjectID="_1501501669" r:id="rId33"/>
        </w:object>
      </w:r>
      <w:r w:rsidRPr="00DF4B06">
        <w:rPr>
          <w:sz w:val="18"/>
        </w:rPr>
        <w:t xml:space="preserve">) – that at the present date in Europe can be identified in the Overnight Index Swap term structure (OIS) – is adopted. It allows to identify three to four main performance scenarios (negative return and positive return respectively below, in line and above the </w:t>
      </w:r>
      <w:r w:rsidRPr="00DF4B06">
        <w:rPr>
          <w:i/>
          <w:sz w:val="18"/>
        </w:rPr>
        <w:t>rfa</w:t>
      </w:r>
      <w:r w:rsidRPr="00DF4B06">
        <w:rPr>
          <w:sz w:val="18"/>
        </w:rPr>
        <w:t xml:space="preserve">) each one identified by the associated probability and by a value (i.e. the conditional expected return of each partition) which synthesizes the returns achievable in that scenario. The methodology is also known as the </w:t>
      </w:r>
      <w:r w:rsidRPr="00DF4B06">
        <w:rPr>
          <w:i/>
          <w:sz w:val="18"/>
        </w:rPr>
        <w:t>superimposition technique</w:t>
      </w:r>
      <w:r w:rsidRPr="00DF4B06">
        <w:rPr>
          <w:rStyle w:val="FootnoteReference"/>
          <w:sz w:val="18"/>
        </w:rPr>
        <w:footnoteReference w:id="7"/>
      </w:r>
      <w:r w:rsidRPr="00DF4B06">
        <w:rPr>
          <w:sz w:val="18"/>
        </w:rPr>
        <w:t>.</w:t>
      </w:r>
    </w:p>
    <w:p w:rsidR="00994A94" w:rsidRPr="00DF4B06" w:rsidRDefault="00994A94" w:rsidP="00994A94">
      <w:pPr>
        <w:jc w:val="both"/>
        <w:rPr>
          <w:sz w:val="18"/>
        </w:rPr>
      </w:pPr>
      <w:r w:rsidRPr="00DF4B06">
        <w:rPr>
          <w:sz w:val="18"/>
        </w:rPr>
        <w:t xml:space="preserve">From a technical point of view, since both the probability density of the returns and that of a PRIIP are calculated under the risk-neutral measure </w:t>
      </w:r>
      <w:r w:rsidRPr="00DF4B06">
        <w:rPr>
          <w:position w:val="-10"/>
          <w:sz w:val="18"/>
        </w:rPr>
        <w:object w:dxaOrig="260" w:dyaOrig="320">
          <v:shape id="_x0000_i1037" type="#_x0000_t75" style="width:12.5pt;height:15.65pt" o:ole="">
            <v:imagedata r:id="rId34" o:title=""/>
          </v:shape>
          <o:OLEObject Type="Embed" ProgID="Equation.DSMT4" ShapeID="_x0000_i1037" DrawAspect="Content" ObjectID="_1501501670" r:id="rId35"/>
        </w:object>
      </w:r>
      <w:r w:rsidRPr="00DF4B06">
        <w:rPr>
          <w:sz w:val="18"/>
        </w:rPr>
        <w:t xml:space="preserve">, it is legitimate to compare their final value and to properly define events to be quantified using this measure. The probability density of the risk-neutral numéraire at time </w:t>
      </w:r>
      <w:r w:rsidRPr="00DF4B06">
        <w:rPr>
          <w:i/>
          <w:sz w:val="18"/>
        </w:rPr>
        <w:t>T</w:t>
      </w:r>
      <w:r w:rsidRPr="00DF4B06">
        <w:rPr>
          <w:sz w:val="18"/>
        </w:rPr>
        <w:t xml:space="preserve"> inherently associates a predetermined quantile of probability with a final value of this asset; in the search of a coherent set of reference thresholds, it is then possible to connect two values of </w:t>
      </w:r>
      <w:r w:rsidRPr="00DF4B06">
        <w:rPr>
          <w:position w:val="-12"/>
          <w:sz w:val="18"/>
        </w:rPr>
        <w:object w:dxaOrig="279" w:dyaOrig="360">
          <v:shape id="_x0000_i1038" type="#_x0000_t75" style="width:14.4pt;height:18.15pt" o:ole="">
            <v:imagedata r:id="rId36" o:title=""/>
          </v:shape>
          <o:OLEObject Type="Embed" ProgID="Equation.DSMT4" ShapeID="_x0000_i1038" DrawAspect="Content" ObjectID="_1501501671" r:id="rId37"/>
        </w:object>
      </w:r>
      <w:r w:rsidRPr="00DF4B06">
        <w:rPr>
          <w:sz w:val="18"/>
        </w:rPr>
        <w:t xml:space="preserve"> and </w:t>
      </w:r>
      <w:r w:rsidRPr="00DF4B06">
        <w:rPr>
          <w:position w:val="-12"/>
          <w:sz w:val="18"/>
        </w:rPr>
        <w:object w:dxaOrig="300" w:dyaOrig="360">
          <v:shape id="_x0000_i1039" type="#_x0000_t75" style="width:15.05pt;height:18.15pt" o:ole="">
            <v:imagedata r:id="rId38" o:title=""/>
          </v:shape>
          <o:OLEObject Type="Embed" ProgID="Equation.DSMT4" ShapeID="_x0000_i1039" DrawAspect="Content" ObjectID="_1501501672" r:id="rId39"/>
        </w:object>
      </w:r>
      <w:r w:rsidRPr="00DF4B06">
        <w:rPr>
          <w:sz w:val="18"/>
        </w:rPr>
        <w:t xml:space="preserve"> with the events “the final value of the </w:t>
      </w:r>
      <w:r w:rsidRPr="00DF4B06">
        <w:rPr>
          <w:i/>
          <w:sz w:val="18"/>
        </w:rPr>
        <w:t>rfa</w:t>
      </w:r>
      <w:r w:rsidRPr="00DF4B06">
        <w:rPr>
          <w:sz w:val="18"/>
        </w:rPr>
        <w:t xml:space="preserve"> is lower than </w:t>
      </w:r>
      <w:r w:rsidRPr="00DF4B06">
        <w:rPr>
          <w:position w:val="-14"/>
          <w:sz w:val="18"/>
        </w:rPr>
        <w:object w:dxaOrig="300" w:dyaOrig="380">
          <v:shape id="_x0000_i1040" type="#_x0000_t75" style="width:11.9pt;height:15.65pt;mso-position-vertical:absolute" o:ole="">
            <v:imagedata r:id="rId40" o:title=""/>
          </v:shape>
          <o:OLEObject Type="Embed" ProgID="Equation.DSMT4" ShapeID="_x0000_i1040" DrawAspect="Content" ObjectID="_1501501673" r:id="rId41"/>
        </w:object>
      </w:r>
      <w:r w:rsidRPr="00DF4B06">
        <w:rPr>
          <w:sz w:val="18"/>
        </w:rPr>
        <w:t xml:space="preserve">” (for </w:t>
      </w:r>
      <w:r w:rsidRPr="00DF4B06">
        <w:rPr>
          <w:position w:val="-10"/>
          <w:sz w:val="18"/>
        </w:rPr>
        <w:object w:dxaOrig="720" w:dyaOrig="320">
          <v:shape id="_x0000_i1041" type="#_x0000_t75" style="width:29.45pt;height:13.15pt" o:ole="">
            <v:imagedata r:id="rId42" o:title=""/>
          </v:shape>
          <o:OLEObject Type="Embed" ProgID="Equation.DSMT4" ShapeID="_x0000_i1041" DrawAspect="Content" ObjectID="_1501501674" r:id="rId43"/>
        </w:object>
      </w:r>
      <w:r w:rsidRPr="00DF4B06">
        <w:rPr>
          <w:sz w:val="18"/>
        </w:rPr>
        <w:t xml:space="preserve">), in terms of probability quantiles on the final distribution of the numéraire. This is formally stated as follows: </w:t>
      </w:r>
      <w:r w:rsidRPr="00DF4B06">
        <w:rPr>
          <w:position w:val="-16"/>
          <w:sz w:val="18"/>
        </w:rPr>
        <w:object w:dxaOrig="3100" w:dyaOrig="440">
          <v:shape id="_x0000_i1042" type="#_x0000_t75" style="width:125.2pt;height:17.55pt" o:ole="">
            <v:imagedata r:id="rId44" o:title=""/>
          </v:shape>
          <o:OLEObject Type="Embed" ProgID="Equation.DSMT4" ShapeID="_x0000_i1042" DrawAspect="Content" ObjectID="_1501501675" r:id="rId45"/>
        </w:object>
      </w:r>
      <w:r w:rsidRPr="00DF4B06">
        <w:rPr>
          <w:sz w:val="18"/>
        </w:rPr>
        <w:t xml:space="preserve">, where </w:t>
      </w:r>
      <w:r w:rsidRPr="00DF4B06">
        <w:rPr>
          <w:i/>
          <w:sz w:val="18"/>
        </w:rPr>
        <w:t>T</w:t>
      </w:r>
      <w:r w:rsidRPr="00DF4B06">
        <w:rPr>
          <w:sz w:val="18"/>
        </w:rPr>
        <w:t xml:space="preserve"> denotes the investment time horizon of the PRIIP. The choice of specific quantiles </w:t>
      </w:r>
      <w:r w:rsidRPr="00DF4B06">
        <w:rPr>
          <w:position w:val="-14"/>
          <w:sz w:val="18"/>
        </w:rPr>
        <w:object w:dxaOrig="260" w:dyaOrig="380">
          <v:shape id="_x0000_i1043" type="#_x0000_t75" style="width:10pt;height:15.05pt" o:ole="">
            <v:imagedata r:id="rId46" o:title=""/>
          </v:shape>
          <o:OLEObject Type="Embed" ProgID="Equation.DSMT4" ShapeID="_x0000_i1043" DrawAspect="Content" ObjectID="_1501501676" r:id="rId47"/>
        </w:object>
      </w:r>
      <w:r w:rsidRPr="00DF4B06">
        <w:rPr>
          <w:sz w:val="18"/>
        </w:rPr>
        <w:t xml:space="preserve"> for </w:t>
      </w:r>
      <w:r w:rsidRPr="00DF4B06">
        <w:rPr>
          <w:position w:val="-10"/>
          <w:sz w:val="18"/>
        </w:rPr>
        <w:object w:dxaOrig="720" w:dyaOrig="320">
          <v:shape id="_x0000_i1044" type="#_x0000_t75" style="width:29.45pt;height:13.15pt" o:ole="">
            <v:imagedata r:id="rId42" o:title=""/>
          </v:shape>
          <o:OLEObject Type="Embed" ProgID="Equation.DSMT4" ShapeID="_x0000_i1044" DrawAspect="Content" ObjectID="_1501501677" r:id="rId48"/>
        </w:object>
      </w:r>
      <w:r w:rsidRPr="00DF4B06">
        <w:rPr>
          <w:sz w:val="18"/>
        </w:rPr>
        <w:t xml:space="preserve"> on the density of the </w:t>
      </w:r>
      <w:r w:rsidRPr="00DF4B06">
        <w:rPr>
          <w:i/>
          <w:sz w:val="18"/>
        </w:rPr>
        <w:t xml:space="preserve">rfa </w:t>
      </w:r>
      <w:r w:rsidRPr="00DF4B06">
        <w:rPr>
          <w:sz w:val="18"/>
        </w:rPr>
        <w:t xml:space="preserve">to characterise the reference thresholds of the PRIIP’s probability density implicitly assumes a “cut” of a fixed percentage of the trajectories of the process of the </w:t>
      </w:r>
      <w:r w:rsidRPr="00DF4B06">
        <w:rPr>
          <w:i/>
          <w:sz w:val="18"/>
        </w:rPr>
        <w:t xml:space="preserve">rfa </w:t>
      </w:r>
      <w:r w:rsidRPr="00DF4B06">
        <w:rPr>
          <w:sz w:val="18"/>
        </w:rPr>
        <w:t xml:space="preserve">that are inevitably considered as not representative of the potential behaviour of the process itself at time </w:t>
      </w:r>
      <w:r w:rsidRPr="00DF4B06">
        <w:rPr>
          <w:i/>
          <w:sz w:val="18"/>
        </w:rPr>
        <w:t>T</w:t>
      </w:r>
      <w:r w:rsidRPr="00DF4B06">
        <w:rPr>
          <w:sz w:val="18"/>
        </w:rPr>
        <w:t xml:space="preserve">. Hence, the cutting </w:t>
      </w:r>
      <w:r w:rsidRPr="00DF4B06">
        <w:rPr>
          <w:sz w:val="18"/>
        </w:rPr>
        <w:lastRenderedPageBreak/>
        <w:t>procedure can be considered as a sort of correction aimed at excluding extreme events from the risk-neutral distrib</w:t>
      </w:r>
      <w:r w:rsidRPr="00DF4B06">
        <w:rPr>
          <w:sz w:val="18"/>
        </w:rPr>
        <w:t>u</w:t>
      </w:r>
      <w:r w:rsidRPr="00DF4B06">
        <w:rPr>
          <w:sz w:val="18"/>
        </w:rPr>
        <w:t xml:space="preserve">tion of the risk-neutral numéraire and, to this end, the choice of the thresholds </w:t>
      </w:r>
      <w:r w:rsidRPr="00DF4B06">
        <w:rPr>
          <w:position w:val="-12"/>
          <w:sz w:val="18"/>
        </w:rPr>
        <w:object w:dxaOrig="279" w:dyaOrig="360">
          <v:shape id="_x0000_i1045" type="#_x0000_t75" style="width:11.25pt;height:14.4pt" o:ole="">
            <v:imagedata r:id="rId36" o:title=""/>
          </v:shape>
          <o:OLEObject Type="Embed" ProgID="Equation.DSMT4" ShapeID="_x0000_i1045" DrawAspect="Content" ObjectID="_1501501678" r:id="rId49"/>
        </w:object>
      </w:r>
      <w:r w:rsidRPr="00DF4B06">
        <w:rPr>
          <w:sz w:val="18"/>
        </w:rPr>
        <w:t xml:space="preserve"> and </w:t>
      </w:r>
      <w:r w:rsidRPr="00DF4B06">
        <w:rPr>
          <w:position w:val="-12"/>
          <w:sz w:val="18"/>
        </w:rPr>
        <w:object w:dxaOrig="300" w:dyaOrig="360">
          <v:shape id="_x0000_i1046" type="#_x0000_t75" style="width:11.9pt;height:14.4pt" o:ole="">
            <v:imagedata r:id="rId38" o:title=""/>
          </v:shape>
          <o:OLEObject Type="Embed" ProgID="Equation.DSMT4" ShapeID="_x0000_i1046" DrawAspect="Content" ObjectID="_1501501679" r:id="rId50"/>
        </w:object>
      </w:r>
      <w:r w:rsidRPr="00DF4B06">
        <w:rPr>
          <w:sz w:val="18"/>
        </w:rPr>
        <w:t xml:space="preserve"> must be related respectively to very low and very high quantiles. Moreover, in a broader sense, it is self-evident that if the original distribution of the risk-neutral numéraire is defined in an open interval like </w:t>
      </w:r>
      <w:r w:rsidRPr="00DF4B06">
        <w:rPr>
          <w:position w:val="-14"/>
          <w:sz w:val="18"/>
        </w:rPr>
        <w:object w:dxaOrig="600" w:dyaOrig="400">
          <v:shape id="_x0000_i1047" type="#_x0000_t75" style="width:24.4pt;height:16.3pt" o:ole="">
            <v:imagedata r:id="rId51" o:title=""/>
          </v:shape>
          <o:OLEObject Type="Embed" ProgID="Equation.DSMT4" ShapeID="_x0000_i1047" DrawAspect="Content" ObjectID="_1501501680" r:id="rId52"/>
        </w:object>
      </w:r>
      <w:r w:rsidRPr="00DF4B06">
        <w:rPr>
          <w:sz w:val="18"/>
        </w:rPr>
        <w:t xml:space="preserve">, cuts on given quantiles are mandatory in order to effectively implement a criterion connected with the density of the </w:t>
      </w:r>
      <w:r w:rsidRPr="00DF4B06">
        <w:rPr>
          <w:i/>
          <w:sz w:val="18"/>
        </w:rPr>
        <w:t>rfa</w:t>
      </w:r>
      <w:r w:rsidRPr="00DF4B06">
        <w:rPr>
          <w:sz w:val="18"/>
        </w:rPr>
        <w:t>. In the C</w:t>
      </w:r>
      <w:r w:rsidRPr="00DF4B06">
        <w:rPr>
          <w:smallCaps/>
          <w:sz w:val="18"/>
        </w:rPr>
        <w:t xml:space="preserve">onsob </w:t>
      </w:r>
      <w:r w:rsidRPr="00DF4B06">
        <w:rPr>
          <w:sz w:val="18"/>
        </w:rPr>
        <w:t xml:space="preserve">implementation, the values of </w:t>
      </w:r>
      <w:r w:rsidRPr="00DF4B06">
        <w:rPr>
          <w:position w:val="-12"/>
          <w:sz w:val="18"/>
        </w:rPr>
        <w:object w:dxaOrig="279" w:dyaOrig="360">
          <v:shape id="_x0000_i1048" type="#_x0000_t75" style="width:11.25pt;height:14.4pt" o:ole="">
            <v:imagedata r:id="rId36" o:title=""/>
          </v:shape>
          <o:OLEObject Type="Embed" ProgID="Equation.DSMT4" ShapeID="_x0000_i1048" DrawAspect="Content" ObjectID="_1501501681" r:id="rId53"/>
        </w:object>
      </w:r>
      <w:r w:rsidRPr="00DF4B06">
        <w:rPr>
          <w:sz w:val="18"/>
        </w:rPr>
        <w:t xml:space="preserve"> and </w:t>
      </w:r>
      <w:r w:rsidRPr="00DF4B06">
        <w:rPr>
          <w:position w:val="-12"/>
          <w:sz w:val="18"/>
        </w:rPr>
        <w:object w:dxaOrig="300" w:dyaOrig="360">
          <v:shape id="_x0000_i1049" type="#_x0000_t75" style="width:11.9pt;height:14.4pt" o:ole="">
            <v:imagedata r:id="rId38" o:title=""/>
          </v:shape>
          <o:OLEObject Type="Embed" ProgID="Equation.DSMT4" ShapeID="_x0000_i1049" DrawAspect="Content" ObjectID="_1501501682" r:id="rId54"/>
        </w:object>
      </w:r>
      <w:r w:rsidRPr="00DF4B06">
        <w:rPr>
          <w:sz w:val="18"/>
        </w:rPr>
        <w:t xml:space="preserve"> are set respectively to be the 2.5% and 97.5$ percentiles. In formal terms this means that: </w:t>
      </w:r>
      <w:r w:rsidRPr="00DF4B06">
        <w:rPr>
          <w:position w:val="-14"/>
          <w:sz w:val="18"/>
        </w:rPr>
        <w:object w:dxaOrig="4760" w:dyaOrig="400">
          <v:shape id="_x0000_i1050" type="#_x0000_t75" style="width:193.45pt;height:16.3pt" o:ole="">
            <v:imagedata r:id="rId55" o:title=""/>
          </v:shape>
          <o:OLEObject Type="Embed" ProgID="Equation.DSMT4" ShapeID="_x0000_i1050" DrawAspect="Content" ObjectID="_1501501683" r:id="rId56"/>
        </w:object>
      </w:r>
      <w:r w:rsidRPr="00DF4B06">
        <w:rPr>
          <w:sz w:val="18"/>
        </w:rPr>
        <w:t>.</w:t>
      </w:r>
    </w:p>
    <w:p w:rsidR="00994A94" w:rsidRPr="00DF4B06" w:rsidRDefault="00994A94" w:rsidP="00994A94">
      <w:pPr>
        <w:jc w:val="both"/>
        <w:rPr>
          <w:sz w:val="18"/>
        </w:rPr>
      </w:pPr>
      <w:r w:rsidRPr="00DF4B06">
        <w:rPr>
          <w:sz w:val="18"/>
        </w:rPr>
        <w:t>It’s interesting to observe that, by using this identification criterion, the reference thresholds are automatically a</w:t>
      </w:r>
      <w:r w:rsidRPr="00DF4B06">
        <w:rPr>
          <w:sz w:val="18"/>
        </w:rPr>
        <w:t>n</w:t>
      </w:r>
      <w:r w:rsidRPr="00DF4B06">
        <w:rPr>
          <w:sz w:val="18"/>
        </w:rPr>
        <w:t>chored to variations in the positions and the dispersion of the density of the risk-neutral numéraire, and consequently these thresholds objectively reflect changes in the volatility of the interest rates and in the overall market conditions.</w:t>
      </w:r>
    </w:p>
    <w:p w:rsidR="00994A94" w:rsidRPr="00DF4B06" w:rsidRDefault="00994A94" w:rsidP="00994A94">
      <w:pPr>
        <w:jc w:val="both"/>
        <w:rPr>
          <w:sz w:val="18"/>
        </w:rPr>
      </w:pPr>
      <w:r w:rsidRPr="00DF4B06">
        <w:rPr>
          <w:sz w:val="18"/>
        </w:rPr>
        <w:t>Anyway, the proposed idea of fixed percentiles can be considered a second-best option in conveying the necessary information to the investors by the means of a table.</w:t>
      </w:r>
    </w:p>
    <w:p w:rsidR="00F31E57" w:rsidRDefault="00F31E57" w:rsidP="00F31E57"/>
    <w:permEnd w:id="1984250723"/>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F31E57" w:rsidRDefault="00994A94" w:rsidP="00F31E57">
      <w:permStart w:id="1746407914" w:edGrp="everyone"/>
      <w:r w:rsidRPr="00DF4B06">
        <w:rPr>
          <w:sz w:val="18"/>
          <w:szCs w:val="18"/>
        </w:rPr>
        <w:t xml:space="preserve">We think that option </w:t>
      </w:r>
      <w:r w:rsidRPr="00DF4B06">
        <w:rPr>
          <w:i/>
          <w:sz w:val="18"/>
          <w:szCs w:val="18"/>
        </w:rPr>
        <w:t>c) Probability approach (three scenarios) + an insurance event</w:t>
      </w:r>
      <w:r w:rsidRPr="00DF4B06">
        <w:rPr>
          <w:sz w:val="18"/>
          <w:szCs w:val="18"/>
        </w:rPr>
        <w:t xml:space="preserve"> is the best option. In fact, the baseline partition in three events (negative, neutral, positive) can be always supplemented by an additional sub-partition where the PRIIP’s financial structure requires it. This flexibility is one of the main advantages of the adoption of a probabilistic approach.</w:t>
      </w:r>
    </w:p>
    <w:permEnd w:id="1746407914"/>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F31E57" w:rsidRPr="00994A94" w:rsidRDefault="00994A94" w:rsidP="00994A94">
      <w:pPr>
        <w:jc w:val="both"/>
        <w:rPr>
          <w:sz w:val="18"/>
          <w:szCs w:val="18"/>
        </w:rPr>
      </w:pPr>
      <w:permStart w:id="593897404" w:edGrp="everyone"/>
      <w:r w:rsidRPr="00DF4B06">
        <w:rPr>
          <w:sz w:val="18"/>
          <w:szCs w:val="18"/>
        </w:rPr>
        <w:t>In coherence with what we stated in answers to Q</w:t>
      </w:r>
      <w:r w:rsidRPr="00DF4B06">
        <w:rPr>
          <w:smallCaps/>
          <w:sz w:val="18"/>
          <w:szCs w:val="18"/>
        </w:rPr>
        <w:t xml:space="preserve">uestion 11 </w:t>
      </w:r>
      <w:r w:rsidRPr="00DF4B06">
        <w:rPr>
          <w:sz w:val="18"/>
          <w:szCs w:val="18"/>
        </w:rPr>
        <w:t>and Q</w:t>
      </w:r>
      <w:r w:rsidRPr="00DF4B06">
        <w:rPr>
          <w:smallCaps/>
          <w:sz w:val="18"/>
          <w:szCs w:val="18"/>
        </w:rPr>
        <w:t xml:space="preserve">uestion 12, </w:t>
      </w:r>
      <w:r w:rsidRPr="00DF4B06">
        <w:rPr>
          <w:sz w:val="18"/>
          <w:szCs w:val="18"/>
        </w:rPr>
        <w:t>our view comprehend the inclusion of credit events in the probabilistic performance scenarios. Obviously, these occurrences of default have to be repr</w:t>
      </w:r>
      <w:r w:rsidRPr="00DF4B06">
        <w:rPr>
          <w:sz w:val="18"/>
          <w:szCs w:val="18"/>
        </w:rPr>
        <w:t>e</w:t>
      </w:r>
      <w:r w:rsidRPr="00DF4B06">
        <w:rPr>
          <w:sz w:val="18"/>
          <w:szCs w:val="18"/>
        </w:rPr>
        <w:t>sented in the negative scenario; it’s worth noticing that the proposed partition of the distribution of the returns by using fixed percentiles not necessarily assures it. Conversely, in the probabilistic approach described in the answer to Q</w:t>
      </w:r>
      <w:r w:rsidRPr="00DF4B06">
        <w:rPr>
          <w:smallCaps/>
          <w:sz w:val="18"/>
          <w:szCs w:val="18"/>
        </w:rPr>
        <w:t>uestion 19</w:t>
      </w:r>
      <w:r w:rsidRPr="00DF4B06">
        <w:rPr>
          <w:i/>
          <w:smallCaps/>
          <w:sz w:val="18"/>
          <w:szCs w:val="18"/>
        </w:rPr>
        <w:t xml:space="preserve"> </w:t>
      </w:r>
      <w:r w:rsidRPr="00DF4B06">
        <w:rPr>
          <w:sz w:val="18"/>
          <w:szCs w:val="18"/>
        </w:rPr>
        <w:t>not only the credit risk is fully integrated in the probability distribution of returns, but the proposed part</w:t>
      </w:r>
      <w:r w:rsidRPr="00DF4B06">
        <w:rPr>
          <w:sz w:val="18"/>
          <w:szCs w:val="18"/>
        </w:rPr>
        <w:t>i</w:t>
      </w:r>
      <w:r w:rsidRPr="00DF4B06">
        <w:rPr>
          <w:sz w:val="18"/>
          <w:szCs w:val="18"/>
        </w:rPr>
        <w:t>tion allows to include the defaulted scenarios always in the negative probability bucket.</w:t>
      </w:r>
    </w:p>
    <w:permEnd w:id="593897404"/>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F31E57" w:rsidRPr="00994A94" w:rsidRDefault="00994A94" w:rsidP="00994A94">
      <w:pPr>
        <w:jc w:val="both"/>
        <w:rPr>
          <w:sz w:val="18"/>
          <w:szCs w:val="18"/>
        </w:rPr>
      </w:pPr>
      <w:permStart w:id="1830240175" w:edGrp="everyone"/>
      <w:r w:rsidRPr="00DF4B06">
        <w:rPr>
          <w:sz w:val="18"/>
          <w:szCs w:val="18"/>
        </w:rPr>
        <w:t>Triggered redemption events connected with financial products like auto-callable or knock-our products can be easily modelled in the probabilistic framework described above; the final probability distribution of the returns would then consider the effects of those sophisticated contractual terms. More difficult, if not unfeasible, appears the modelisation of what appears to be a mere faculty of the investor, like a voluntary redemption. Inserting performance scenarios - calculated at specific times to highlight the impact of redemption events - would surely help the investor’s comprehe</w:t>
      </w:r>
      <w:r w:rsidRPr="00DF4B06">
        <w:rPr>
          <w:sz w:val="18"/>
          <w:szCs w:val="18"/>
        </w:rPr>
        <w:t>n</w:t>
      </w:r>
      <w:r w:rsidRPr="00DF4B06">
        <w:rPr>
          <w:sz w:val="18"/>
          <w:szCs w:val="18"/>
        </w:rPr>
        <w:t xml:space="preserve">sion. </w:t>
      </w:r>
    </w:p>
    <w:permEnd w:id="1830240175"/>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w:t>
      </w:r>
      <w:r>
        <w:t>o</w:t>
      </w:r>
      <w:r>
        <w:t>logical issues in computing performance in several holding periods?</w:t>
      </w:r>
    </w:p>
    <w:p w:rsidR="00F31E57" w:rsidRDefault="00F31E57" w:rsidP="00F31E57"/>
    <w:p w:rsidR="00F31E57" w:rsidRDefault="00F31E57" w:rsidP="00F31E57">
      <w:r>
        <w:t>&lt;ESMA_QUESTION_PRIIPs_22&gt;</w:t>
      </w:r>
    </w:p>
    <w:p w:rsidR="00F31E57" w:rsidRPr="00994A94" w:rsidRDefault="00994A94" w:rsidP="00994A94">
      <w:pPr>
        <w:jc w:val="both"/>
        <w:rPr>
          <w:sz w:val="18"/>
          <w:szCs w:val="18"/>
        </w:rPr>
      </w:pPr>
      <w:permStart w:id="585521832" w:edGrp="everyone"/>
      <w:r w:rsidRPr="00DF4B06">
        <w:rPr>
          <w:sz w:val="18"/>
          <w:szCs w:val="18"/>
        </w:rPr>
        <w:t xml:space="preserve">Again, we are talking exclusively of probability scenarios and dismissing what-if representations. From a general point of view, it could be useful adding more information related to early redemption, but it may prove technically difficult or </w:t>
      </w:r>
      <w:r w:rsidRPr="00DF4B06">
        <w:rPr>
          <w:sz w:val="18"/>
          <w:szCs w:val="18"/>
        </w:rPr>
        <w:lastRenderedPageBreak/>
        <w:t>too costly for certain products. In fact, the construction of the probability distribution of the returns at an arbitrary point in time could require in some cases the modelisation of the behaviour of all the underlying financial variables over time, an analytical and computational burden that may not worth the game.</w:t>
      </w:r>
    </w:p>
    <w:permEnd w:id="585521832"/>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F31E57" w:rsidRDefault="00F31E57" w:rsidP="00F31E57">
      <w:permStart w:id="96408199" w:edGrp="everyone"/>
      <w:r>
        <w:t>TYPE YOUR TEXT HERE</w:t>
      </w:r>
    </w:p>
    <w:permEnd w:id="96408199"/>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F31E57" w:rsidP="00F31E57">
      <w:permStart w:id="1462510012" w:edGrp="everyone"/>
      <w:r>
        <w:t>TYPE YOUR TEXT HERE</w:t>
      </w:r>
    </w:p>
    <w:permEnd w:id="1462510012"/>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F31E57" w:rsidP="00F31E57">
      <w:permStart w:id="1236892291" w:edGrp="everyone"/>
      <w:r>
        <w:t>TYPE YOUR TEXT HERE</w:t>
      </w:r>
    </w:p>
    <w:permEnd w:id="1236892291"/>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Default="00F31E57" w:rsidP="00F31E57">
      <w:permStart w:id="1546877865" w:edGrp="everyone"/>
      <w:r>
        <w:t>TYPE YOUR TEXT HERE</w:t>
      </w:r>
    </w:p>
    <w:permEnd w:id="1546877865"/>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Default="00F31E57" w:rsidP="00F31E57">
      <w:permStart w:id="662138044" w:edGrp="everyone"/>
      <w:r>
        <w:t>TYPE YOUR TEXT HERE</w:t>
      </w:r>
    </w:p>
    <w:permEnd w:id="662138044"/>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Default="00F31E57" w:rsidP="00F31E57">
      <w:permStart w:id="233979204" w:edGrp="everyone"/>
      <w:r>
        <w:t>TYPE YOUR TEXT HERE</w:t>
      </w:r>
    </w:p>
    <w:permEnd w:id="233979204"/>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1012999231" w:edGrp="everyone"/>
      <w:r>
        <w:t>TYPE YOUR TEXT HERE</w:t>
      </w:r>
    </w:p>
    <w:permEnd w:id="1012999231"/>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w:t>
      </w:r>
      <w:r>
        <w:rPr>
          <w:rFonts w:cs="Arial"/>
        </w:rPr>
        <w:t>i</w:t>
      </w:r>
      <w:r>
        <w:rPr>
          <w:rFonts w:cs="Arial"/>
        </w:rPr>
        <w:t>tion of Costs for capital guarantee or capital protection would you suggest? (Contr</w:t>
      </w:r>
      <w:r>
        <w:rPr>
          <w:rFonts w:cs="Arial"/>
        </w:rPr>
        <w:t>i</w:t>
      </w:r>
      <w:r>
        <w:rPr>
          <w:rFonts w:cs="Arial"/>
        </w:rPr>
        <w:t>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31E57" w:rsidP="00F31E57">
      <w:permStart w:id="477824394" w:edGrp="everyone"/>
      <w:r>
        <w:t>TYPE YOUR TEXT HERE</w:t>
      </w:r>
    </w:p>
    <w:permEnd w:id="477824394"/>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w:t>
      </w:r>
      <w:r>
        <w:rPr>
          <w:rFonts w:cs="Arial"/>
        </w:rPr>
        <w:t>e</w:t>
      </w:r>
      <w:r>
        <w:rPr>
          <w:rFonts w:cs="Arial"/>
        </w:rPr>
        <w:t xml:space="preserv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F31E57" w:rsidP="00F31E57">
      <w:permStart w:id="508578958" w:edGrp="everyone"/>
      <w:r>
        <w:t>TYPE YOUR TEXT HERE</w:t>
      </w:r>
    </w:p>
    <w:permEnd w:id="508578958"/>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F31E57" w:rsidP="00F31E57">
      <w:permStart w:id="2052074268" w:edGrp="everyone"/>
      <w:r>
        <w:t>TYPE YOUR TEXT HERE</w:t>
      </w:r>
    </w:p>
    <w:permEnd w:id="2052074268"/>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F31E57" w:rsidRDefault="00F31E57" w:rsidP="00F31E57">
      <w:permStart w:id="127146402" w:edGrp="everyone"/>
      <w:r>
        <w:t>TYPE YOUR TEXT HERE</w:t>
      </w:r>
    </w:p>
    <w:permEnd w:id="127146402"/>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F31E57" w:rsidP="00F31E57">
      <w:permStart w:id="1500345744" w:edGrp="everyone"/>
      <w:r>
        <w:t>TYPE YOUR TEXT HERE</w:t>
      </w:r>
    </w:p>
    <w:permEnd w:id="1500345744"/>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w:t>
      </w:r>
      <w:r>
        <w:rPr>
          <w:rFonts w:cs="Arial"/>
        </w:rPr>
        <w:t>m</w:t>
      </w:r>
      <w:r>
        <w:rPr>
          <w:rFonts w:cs="Arial"/>
        </w:rPr>
        <w:t>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F31E57" w:rsidP="00F31E57">
      <w:permStart w:id="267019023" w:edGrp="everyone"/>
      <w:r>
        <w:t>TYPE YOUR TEXT HERE</w:t>
      </w:r>
    </w:p>
    <w:permEnd w:id="267019023"/>
    <w:p w:rsidR="00F31E57" w:rsidRDefault="00F31E57" w:rsidP="00F31E57">
      <w:r>
        <w:lastRenderedPageBreak/>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w:t>
      </w:r>
      <w:r>
        <w:rPr>
          <w:rFonts w:eastAsia="Times New Roman" w:cs="Arial"/>
          <w:lang w:eastAsia="en-GB"/>
        </w:rPr>
        <w:t>k</w:t>
      </w:r>
      <w:r>
        <w:rPr>
          <w:rFonts w:eastAsia="Times New Roman" w:cs="Arial"/>
          <w:lang w:eastAsia="en-GB"/>
        </w:rPr>
        <w:t>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F31E57" w:rsidP="00F31E57">
      <w:permStart w:id="454961671" w:edGrp="everyone"/>
      <w:r>
        <w:t>TYPE YOUR TEXT HERE</w:t>
      </w:r>
    </w:p>
    <w:permEnd w:id="454961671"/>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ootnoteReference"/>
          <w:rFonts w:cs="Arial"/>
        </w:rPr>
        <w:footnoteReference w:id="8"/>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F31E57" w:rsidP="00F31E57">
      <w:permStart w:id="283840726" w:edGrp="everyone"/>
      <w:r>
        <w:t>TYPE YOUR TEXT HERE</w:t>
      </w:r>
    </w:p>
    <w:permEnd w:id="283840726"/>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t xml:space="preserve">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F31E57" w:rsidRDefault="00F31E57" w:rsidP="00F31E57">
      <w:permStart w:id="1413429313" w:edGrp="everyone"/>
      <w:r>
        <w:t>TYPE YOUR TEXT HERE</w:t>
      </w:r>
    </w:p>
    <w:permEnd w:id="1413429313"/>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F31E57" w:rsidP="00F31E57">
      <w:permStart w:id="1491287289" w:edGrp="everyone"/>
      <w:r>
        <w:t>TYPE YOUR TEXT HERE</w:t>
      </w:r>
    </w:p>
    <w:permEnd w:id="1491287289"/>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F31E57" w:rsidP="00F31E57">
      <w:permStart w:id="95311183" w:edGrp="everyone"/>
      <w:r>
        <w:t>TYPE YOUR TEXT HERE</w:t>
      </w:r>
    </w:p>
    <w:permEnd w:id="95311183"/>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lastRenderedPageBreak/>
        <w:t>Which other technical specifications would you suggest adding to the abovementioned methodology</w:t>
      </w:r>
      <w:r>
        <w:rPr>
          <w:rFonts w:cs="Arial"/>
        </w:rPr>
        <w:t>? Which other technical issues do you identify as r</w:t>
      </w:r>
      <w:r>
        <w:rPr>
          <w:rFonts w:cs="Arial"/>
        </w:rPr>
        <w:t>e</w:t>
      </w:r>
      <w:r>
        <w:rPr>
          <w:rFonts w:cs="Arial"/>
        </w:rPr>
        <w:t>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1034420541" w:edGrp="everyone"/>
      <w:r>
        <w:t>TYPE YOUR TEXT HERE</w:t>
      </w:r>
    </w:p>
    <w:permEnd w:id="1034420541"/>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w:t>
      </w:r>
      <w:r>
        <w:rPr>
          <w:rFonts w:cs="Arial"/>
        </w:rPr>
        <w:t>o</w:t>
      </w:r>
      <w:r>
        <w:rPr>
          <w:rFonts w:cs="Arial"/>
        </w:rPr>
        <w:t>sure of the PRIIPs Regulation?</w:t>
      </w:r>
    </w:p>
    <w:p w:rsidR="00F31E57" w:rsidRDefault="00F31E57" w:rsidP="00F31E57">
      <w:pPr>
        <w:rPr>
          <w:rFonts w:cstheme="minorBidi"/>
        </w:rPr>
      </w:pPr>
    </w:p>
    <w:p w:rsidR="00F31E57" w:rsidRDefault="00F31E57" w:rsidP="00F31E57">
      <w:r>
        <w:t>&lt;ESMA_QUESTION_PRIIPs_42&gt;</w:t>
      </w:r>
    </w:p>
    <w:p w:rsidR="00F31E57" w:rsidRDefault="00F31E57" w:rsidP="00F31E57">
      <w:permStart w:id="366480901" w:edGrp="everyone"/>
      <w:r>
        <w:t>TYPE YOUR TEXT HERE</w:t>
      </w:r>
    </w:p>
    <w:permEnd w:id="366480901"/>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F31E57" w:rsidP="00F31E57">
      <w:permStart w:id="1584607337" w:edGrp="everyone"/>
      <w:r>
        <w:t>TYPE YOUR TEXT HERE</w:t>
      </w:r>
    </w:p>
    <w:permEnd w:id="1584607337"/>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w:t>
      </w:r>
      <w:r>
        <w:rPr>
          <w:rFonts w:cs="Arial"/>
        </w:rPr>
        <w:t>o</w:t>
      </w:r>
      <w:r>
        <w:rPr>
          <w:rFonts w:cs="Arial"/>
        </w:rPr>
        <w:t>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31E57" w:rsidRDefault="00F31E57" w:rsidP="00F31E57">
      <w:permStart w:id="1414799820" w:edGrp="everyone"/>
      <w:r>
        <w:t>TYPE YOUR TEXT HERE</w:t>
      </w:r>
    </w:p>
    <w:permEnd w:id="1414799820"/>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w:t>
      </w:r>
      <w:r>
        <w:rPr>
          <w:rFonts w:eastAsia="Times New Roman" w:cs="Arial"/>
          <w:lang w:eastAsia="hu-HU"/>
        </w:rPr>
        <w:t>i</w:t>
      </w:r>
      <w:r>
        <w:rPr>
          <w:rFonts w:eastAsia="Times New Roman" w:cs="Arial"/>
          <w:lang w:eastAsia="hu-HU"/>
        </w:rPr>
        <w:t>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w:t>
      </w:r>
      <w:r>
        <w:rPr>
          <w:rFonts w:eastAsia="Times New Roman" w:cs="Arial"/>
          <w:lang w:eastAsia="hu-HU"/>
        </w:rPr>
        <w:t>c</w:t>
      </w:r>
      <w:r>
        <w:rPr>
          <w:rFonts w:eastAsia="Times New Roman" w:cs="Arial"/>
          <w:lang w:eastAsia="hu-HU"/>
        </w:rPr>
        <w:t xml:space="preserve">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1242525671" w:edGrp="everyone"/>
      <w:r>
        <w:t>TYPE YOUR TEXT HERE</w:t>
      </w:r>
    </w:p>
    <w:permEnd w:id="1242525671"/>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F31E57" w:rsidP="00F31E57">
      <w:permStart w:id="2056546757" w:edGrp="everyone"/>
      <w:r>
        <w:t>TYPE YOUR TEXT HERE</w:t>
      </w:r>
    </w:p>
    <w:permEnd w:id="2056546757"/>
    <w:p w:rsidR="00F31E57" w:rsidRDefault="00F31E57" w:rsidP="00F31E57">
      <w:r>
        <w:lastRenderedPageBreak/>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1567578850" w:edGrp="everyone"/>
      <w:r>
        <w:t>TYPE YOUR TEXT HERE</w:t>
      </w:r>
    </w:p>
    <w:permEnd w:id="1567578850"/>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1699098295" w:edGrp="everyone"/>
      <w:r>
        <w:t>TYPE YOUR TEXT HERE</w:t>
      </w:r>
    </w:p>
    <w:permEnd w:id="1699098295"/>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F31E57" w:rsidP="00F31E57">
      <w:permStart w:id="58096925" w:edGrp="everyone"/>
      <w:r>
        <w:t>TYPE YOUR TEXT HERE</w:t>
      </w:r>
    </w:p>
    <w:permEnd w:id="58096925"/>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1349217218" w:edGrp="everyone"/>
      <w:r>
        <w:t>TYPE YOUR TEXT HERE</w:t>
      </w:r>
    </w:p>
    <w:permEnd w:id="1349217218"/>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1071407321" w:edGrp="everyone"/>
      <w:r>
        <w:t>TYPE YOUR TEXT HERE</w:t>
      </w:r>
    </w:p>
    <w:permEnd w:id="1071407321"/>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1011621560" w:edGrp="everyone"/>
      <w:r>
        <w:t>TYPE YOUR TEXT HERE</w:t>
      </w:r>
    </w:p>
    <w:permEnd w:id="1011621560"/>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F31E57" w:rsidP="00F31E57">
      <w:permStart w:id="944399628" w:edGrp="everyone"/>
      <w:r>
        <w:t>TYPE YOUR TEXT HERE</w:t>
      </w:r>
    </w:p>
    <w:permEnd w:id="944399628"/>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244654128" w:edGrp="everyone"/>
      <w:r>
        <w:t>TYPE YOUR TEXT HERE</w:t>
      </w:r>
    </w:p>
    <w:permEnd w:id="244654128"/>
    <w:p w:rsidR="00F31E57" w:rsidRDefault="00F31E57" w:rsidP="00F31E57">
      <w:r>
        <w:lastRenderedPageBreak/>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1328222714" w:edGrp="everyone"/>
      <w:r>
        <w:t>TYPE YOUR TEXT HERE</w:t>
      </w:r>
    </w:p>
    <w:permEnd w:id="1328222714"/>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w:t>
      </w:r>
      <w:r>
        <w:rPr>
          <w:rFonts w:cs="Arial"/>
        </w:rPr>
        <w:t>h</w:t>
      </w:r>
      <w:r>
        <w:rPr>
          <w:rFonts w:cs="Arial"/>
        </w:rPr>
        <w:t>anisms? Would you say that they are known to the insurance company? Do you think an estimate based on the previous historical data is the most appropriate methodol</w:t>
      </w:r>
      <w:r>
        <w:rPr>
          <w:rFonts w:cs="Arial"/>
        </w:rPr>
        <w:t>o</w:t>
      </w:r>
      <w:r>
        <w:rPr>
          <w:rFonts w:cs="Arial"/>
        </w:rPr>
        <w:t>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2116975086" w:edGrp="everyone"/>
      <w:r>
        <w:t>TYPE YOUR TEXT HERE</w:t>
      </w:r>
    </w:p>
    <w:permEnd w:id="2116975086"/>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1452280764" w:edGrp="everyone"/>
      <w:r>
        <w:t>TYPE YOUR TEXT HERE</w:t>
      </w:r>
    </w:p>
    <w:permEnd w:id="1452280764"/>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compr</w:t>
      </w:r>
      <w:r>
        <w:rPr>
          <w:rFonts w:cs="Arial"/>
        </w:rPr>
        <w:t>e</w:t>
      </w:r>
      <w:r>
        <w:rPr>
          <w:rFonts w:cs="Arial"/>
        </w:rPr>
        <w:t xml:space="preserv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103164893" w:edGrp="everyone"/>
      <w:r>
        <w:t>TYPE YOUR TEXT HERE</w:t>
      </w:r>
    </w:p>
    <w:permEnd w:id="103164893"/>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465568898" w:edGrp="everyone"/>
      <w:r>
        <w:t>TYPE YOUR TEXT HERE</w:t>
      </w:r>
    </w:p>
    <w:permEnd w:id="465568898"/>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w:t>
      </w:r>
      <w:r>
        <w:rPr>
          <w:rFonts w:cs="Arial"/>
          <w:color w:val="000000"/>
          <w:lang w:eastAsia="it-IT"/>
        </w:rPr>
        <w:t>e</w:t>
      </w:r>
      <w:r>
        <w:rPr>
          <w:rFonts w:cs="Arial"/>
          <w:color w:val="000000"/>
          <w:lang w:eastAsia="it-IT"/>
        </w:rPr>
        <w:t>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1353267725" w:edGrp="everyone"/>
      <w:r>
        <w:t>TYPE YOUR TEXT HERE</w:t>
      </w:r>
    </w:p>
    <w:permEnd w:id="1353267725"/>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agree with the above mentioned list of entry costs? Which of these costs are embedded in the price? Should we differentiate between “delta 1” and “option based” structured products? In which cases do you think that some of these costs might not </w:t>
      </w:r>
      <w:r>
        <w:rPr>
          <w:rFonts w:cs="Arial"/>
        </w:rPr>
        <w:lastRenderedPageBreak/>
        <w:t>be known to the manufacturer? Which of these types of costs should be further d</w:t>
      </w:r>
      <w:r>
        <w:rPr>
          <w:rFonts w:cs="Arial"/>
        </w:rPr>
        <w:t>e</w:t>
      </w:r>
      <w:r>
        <w:rPr>
          <w:rFonts w:cs="Arial"/>
        </w:rPr>
        <w:t>fined?</w:t>
      </w:r>
    </w:p>
    <w:p w:rsidR="00F31E57" w:rsidRDefault="00F31E57" w:rsidP="00F31E57">
      <w:pPr>
        <w:rPr>
          <w:rFonts w:cstheme="minorBidi"/>
        </w:rPr>
      </w:pPr>
    </w:p>
    <w:p w:rsidR="00F31E57" w:rsidRDefault="00F31E57" w:rsidP="00F31E57">
      <w:r>
        <w:t>&lt;ESMA_QUESTION_PRIIPs_61&gt;</w:t>
      </w:r>
    </w:p>
    <w:p w:rsidR="00F31E57" w:rsidRDefault="00F31E57" w:rsidP="00F31E57">
      <w:permStart w:id="94583040" w:edGrp="everyone"/>
      <w:r>
        <w:t>TYPE YOUR TEXT HERE</w:t>
      </w:r>
    </w:p>
    <w:permEnd w:id="94583040"/>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1547659489" w:edGrp="everyone"/>
      <w:r>
        <w:t>TYPE YOUR TEXT HERE</w:t>
      </w:r>
    </w:p>
    <w:permEnd w:id="1547659489"/>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F31E57" w:rsidP="00F31E57">
      <w:permStart w:id="1275474194" w:edGrp="everyone"/>
      <w:r>
        <w:t>TYPE YOUR TEXT HERE</w:t>
      </w:r>
    </w:p>
    <w:permEnd w:id="1275474194"/>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prescri</w:t>
      </w:r>
      <w:r>
        <w:rPr>
          <w:rFonts w:cs="Arial"/>
        </w:rPr>
        <w:t>p</w:t>
      </w:r>
      <w:r>
        <w:rPr>
          <w:rFonts w:cs="Arial"/>
        </w:rPr>
        <w:t>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1362776384" w:edGrp="everyone"/>
      <w:r>
        <w:t>TYPE YOUR TEXT HERE</w:t>
      </w:r>
    </w:p>
    <w:permEnd w:id="1362776384"/>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1251897159" w:edGrp="everyone"/>
      <w:r>
        <w:t>TYPE YOUR TEXT HERE</w:t>
      </w:r>
    </w:p>
    <w:permEnd w:id="1251897159"/>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2026718879" w:edGrp="everyone"/>
      <w:r>
        <w:t>TYPE YOUR TEXT HERE</w:t>
      </w:r>
    </w:p>
    <w:permEnd w:id="2026718879"/>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w:t>
      </w:r>
      <w:r>
        <w:rPr>
          <w:rFonts w:cs="Arial"/>
        </w:rPr>
        <w:t>n</w:t>
      </w:r>
      <w:r>
        <w:rPr>
          <w:rFonts w:cs="Arial"/>
        </w:rPr>
        <w:t>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1839927536" w:edGrp="everyone"/>
      <w:r>
        <w:lastRenderedPageBreak/>
        <w:t>TYPE YOUR TEXT HERE</w:t>
      </w:r>
    </w:p>
    <w:permEnd w:id="1839927536"/>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369301478" w:edGrp="everyone"/>
      <w:r>
        <w:t>TYPE YOUR TEXT HERE</w:t>
      </w:r>
    </w:p>
    <w:permEnd w:id="369301478"/>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994A94" w:rsidRPr="00DF4B06" w:rsidRDefault="00994A94" w:rsidP="00994A94">
      <w:pPr>
        <w:jc w:val="both"/>
        <w:rPr>
          <w:sz w:val="18"/>
          <w:szCs w:val="18"/>
        </w:rPr>
      </w:pPr>
      <w:permStart w:id="143076671" w:edGrp="everyone"/>
      <w:r w:rsidRPr="00DF4B06">
        <w:rPr>
          <w:sz w:val="18"/>
          <w:szCs w:val="18"/>
        </w:rPr>
        <w:t>From our point of view, in order to highlight costs and fees, a proper calculation of the fair value of the PRIIP is always needed. In this way the investor will be immediately aware that any gap between price and fair value is a cost he is paying, either explicitly or not. Indeed, apart from explicit up-front charges, whose amount at the subscription date is a known constant to be immediately subtracted from the price, the discovery process of the fair value requires proper estimation of the negative impact of any cost item (whose amount is often random) applied during the time of the PRIIP.</w:t>
      </w:r>
    </w:p>
    <w:p w:rsidR="00F31E57" w:rsidRPr="00994A94" w:rsidRDefault="00994A94" w:rsidP="00994A94">
      <w:pPr>
        <w:jc w:val="both"/>
        <w:rPr>
          <w:sz w:val="18"/>
          <w:szCs w:val="18"/>
        </w:rPr>
      </w:pPr>
      <w:r w:rsidRPr="00DF4B06">
        <w:rPr>
          <w:sz w:val="18"/>
          <w:szCs w:val="18"/>
        </w:rPr>
        <w:t>In this perspective, we fully agree with the general framework outlined in the consultation paper.</w:t>
      </w:r>
    </w:p>
    <w:permEnd w:id="143076671"/>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F31E57" w:rsidP="00F31E57">
      <w:permStart w:id="2059160220" w:edGrp="everyone"/>
      <w:r>
        <w:t>TYPE YOUR TEXT HERE</w:t>
      </w:r>
    </w:p>
    <w:permEnd w:id="2059160220"/>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1281573707" w:edGrp="everyone"/>
      <w:r>
        <w:t>TYPE YOUR TEXT HERE</w:t>
      </w:r>
    </w:p>
    <w:permEnd w:id="1281573707"/>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1864972988" w:edGrp="everyone"/>
      <w:r>
        <w:t>TYPE YOUR TEXT HERE</w:t>
      </w:r>
    </w:p>
    <w:permEnd w:id="1864972988"/>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1070158958" w:edGrp="everyone"/>
      <w:r>
        <w:t>TYPE YOUR TEXT HERE</w:t>
      </w:r>
    </w:p>
    <w:permEnd w:id="1070158958"/>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736709871" w:edGrp="everyone"/>
      <w:r>
        <w:t>TYPE YOUR TEXT HERE</w:t>
      </w:r>
    </w:p>
    <w:permEnd w:id="736709871"/>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25905893" w:edGrp="everyone"/>
      <w:r>
        <w:t>TYPE YOUR TEXT HERE</w:t>
      </w:r>
    </w:p>
    <w:permEnd w:id="25905893"/>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1079137056" w:edGrp="everyone"/>
      <w:r>
        <w:t>TYPE YOUR TEXT HERE</w:t>
      </w:r>
    </w:p>
    <w:permEnd w:id="1079137056"/>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374097591" w:edGrp="everyone"/>
      <w:r>
        <w:t>TYPE YOUR TEXT HERE</w:t>
      </w:r>
    </w:p>
    <w:permEnd w:id="374097591"/>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1573135671" w:edGrp="everyone"/>
      <w:r>
        <w:t>TYPE YOUR TEXT HERE</w:t>
      </w:r>
    </w:p>
    <w:permEnd w:id="1573135671"/>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1364223838" w:edGrp="everyone"/>
      <w:r>
        <w:t>TYPE YOUR TEXT HERE</w:t>
      </w:r>
    </w:p>
    <w:permEnd w:id="1364223838"/>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31E57" w:rsidRDefault="00F31E57" w:rsidP="00F31E57">
      <w:permStart w:id="898964969" w:edGrp="everyone"/>
      <w:r>
        <w:t>TYPE YOUR TEXT HERE</w:t>
      </w:r>
    </w:p>
    <w:permEnd w:id="898964969"/>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F31E57" w:rsidP="00F31E57">
      <w:permStart w:id="231366639" w:edGrp="everyone"/>
      <w:r>
        <w:t>TYPE YOUR TEXT HERE</w:t>
      </w:r>
    </w:p>
    <w:permEnd w:id="231366639"/>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F31E57" w:rsidRDefault="00F31E57" w:rsidP="00F31E57">
      <w:permStart w:id="1753756540" w:edGrp="everyone"/>
      <w:r>
        <w:t>TYPE YOUR TEXT HERE</w:t>
      </w:r>
    </w:p>
    <w:permEnd w:id="1753756540"/>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F31E57" w:rsidP="00F31E57">
      <w:permStart w:id="2095477627" w:edGrp="everyone"/>
      <w:r>
        <w:t>TYPE YOUR TEXT HERE</w:t>
      </w:r>
    </w:p>
    <w:permEnd w:id="2095477627"/>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F31E57" w:rsidRDefault="00F31E57" w:rsidP="00F31E57">
      <w:permStart w:id="1495880234" w:edGrp="everyone"/>
      <w:r>
        <w:t>TYPE YOUR TEXT HERE</w:t>
      </w:r>
    </w:p>
    <w:permEnd w:id="1495880234"/>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w:t>
      </w:r>
      <w:r>
        <w:rPr>
          <w:rFonts w:cs="Arial"/>
        </w:rPr>
        <w:t>d</w:t>
      </w:r>
      <w:r>
        <w:rPr>
          <w:rFonts w:cs="Arial"/>
        </w:rPr>
        <w:t>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F31E57" w:rsidRDefault="00F31E57" w:rsidP="00F31E57">
      <w:permStart w:id="1555056953" w:edGrp="everyone"/>
      <w:r>
        <w:t>TYPE YOUR TEXT HERE</w:t>
      </w:r>
    </w:p>
    <w:permEnd w:id="1555056953"/>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w:t>
      </w:r>
      <w:r>
        <w:rPr>
          <w:rFonts w:cs="Arial"/>
        </w:rPr>
        <w:t>r</w:t>
      </w:r>
      <w:r>
        <w:rPr>
          <w:rFonts w:cs="Arial"/>
        </w:rPr>
        <w:t>tized costs to the invested amount in the fund. However in that case the question r</w:t>
      </w:r>
      <w:r>
        <w:rPr>
          <w:rFonts w:cs="Arial"/>
        </w:rPr>
        <w:t>e</w:t>
      </w:r>
      <w:r>
        <w:rPr>
          <w:rFonts w:cs="Arial"/>
        </w:rPr>
        <w:t>mains as to how to aggregate this ratio with the on-going charges ratio. Another po</w:t>
      </w:r>
      <w:r>
        <w:rPr>
          <w:rFonts w:cs="Arial"/>
        </w:rPr>
        <w:t>s</w:t>
      </w:r>
      <w:r>
        <w:rPr>
          <w:rFonts w:cs="Arial"/>
        </w:rPr>
        <w:t xml:space="preserve">sible approach could be to use the ratio between the total amount of costs over the holding period and the average net investment (assumed during the whole period, in </w:t>
      </w:r>
      <w:r>
        <w:rPr>
          <w:rFonts w:cs="Arial"/>
        </w:rPr>
        <w:lastRenderedPageBreak/>
        <w:t>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Default="00F31E57" w:rsidP="00F31E57">
      <w:permStart w:id="893853792" w:edGrp="everyone"/>
      <w:r>
        <w:t>TYPE YOUR TEXT HERE</w:t>
      </w:r>
    </w:p>
    <w:permEnd w:id="893853792"/>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w:t>
      </w:r>
      <w:r>
        <w:rPr>
          <w:rFonts w:cs="Arial"/>
        </w:rPr>
        <w:t>f</w:t>
      </w:r>
      <w:r>
        <w:rPr>
          <w:rFonts w:cs="Arial"/>
        </w:rPr>
        <w:t>inition would you favour? How to ensure a level playing field and a common definition with the other types of PRIIPs in this regard? Another possible approach could be to use the ratio between the total amount of costs over the holding period and the ave</w:t>
      </w:r>
      <w:r>
        <w:rPr>
          <w:rFonts w:cs="Arial"/>
        </w:rPr>
        <w:t>r</w:t>
      </w:r>
      <w:r>
        <w:rPr>
          <w:rFonts w:cs="Arial"/>
        </w:rPr>
        <w:t>age net investment (assumed during the whole period, in order to take into account future additional investments, partial withdrawals, payments (i.e. programmed i</w:t>
      </w:r>
      <w:r>
        <w:rPr>
          <w:rFonts w:cs="Arial"/>
        </w:rPr>
        <w:t>n</w:t>
      </w:r>
      <w:r>
        <w:rPr>
          <w:rFonts w:cs="Arial"/>
        </w:rPr>
        <w:t xml:space="preserve">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F31E57" w:rsidP="00F31E57">
      <w:permStart w:id="1299914768" w:edGrp="everyone"/>
      <w:r>
        <w:t>TYPE YOUR TEXT HERE</w:t>
      </w:r>
    </w:p>
    <w:permEnd w:id="1299914768"/>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w:t>
      </w:r>
      <w:r>
        <w:rPr>
          <w:rFonts w:cs="Arial"/>
        </w:rPr>
        <w:t>d</w:t>
      </w:r>
      <w:r>
        <w:rPr>
          <w:rFonts w:cs="Arial"/>
        </w:rPr>
        <w:t>ucts? Do you identify other specific issues in relation to the TCR if applied to stru</w:t>
      </w:r>
      <w:r>
        <w:rPr>
          <w:rFonts w:cs="Arial"/>
        </w:rPr>
        <w:t>c</w:t>
      </w:r>
      <w:r>
        <w:rPr>
          <w:rFonts w:cs="Arial"/>
        </w:rPr>
        <w:t>tured products? Another possible approach could be to use the ratio between the t</w:t>
      </w:r>
      <w:r>
        <w:rPr>
          <w:rFonts w:cs="Arial"/>
        </w:rPr>
        <w:t>o</w:t>
      </w:r>
      <w:r>
        <w:rPr>
          <w:rFonts w:cs="Arial"/>
        </w:rPr>
        <w:t>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w:t>
      </w:r>
      <w:r>
        <w:rPr>
          <w:rFonts w:cs="Arial"/>
        </w:rPr>
        <w:t>i</w:t>
      </w:r>
      <w:r>
        <w:rPr>
          <w:rFonts w:cs="Arial"/>
        </w:rPr>
        <w:t>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F31E57" w:rsidP="00F31E57">
      <w:permStart w:id="1829253522" w:edGrp="everyone"/>
      <w:r>
        <w:t>TYPE YOUR TEXT HERE</w:t>
      </w:r>
    </w:p>
    <w:permEnd w:id="1829253522"/>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lastRenderedPageBreak/>
        <w:t>&lt;ESMA_QUESTION_PRIIPs_89&gt;</w:t>
      </w:r>
    </w:p>
    <w:p w:rsidR="00F31E57" w:rsidRDefault="00F31E57" w:rsidP="00F31E57">
      <w:permStart w:id="1275602858" w:edGrp="everyone"/>
      <w:r>
        <w:t>TYPE YOUR TEXT HERE</w:t>
      </w:r>
    </w:p>
    <w:permEnd w:id="1275602858"/>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F31E57" w:rsidP="00F31E57">
      <w:permStart w:id="72356667" w:edGrp="everyone"/>
      <w:r>
        <w:t>TYPE YOUR TEXT HERE</w:t>
      </w:r>
    </w:p>
    <w:permEnd w:id="72356667"/>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F31E57" w:rsidP="00F31E57">
      <w:permStart w:id="1727798569" w:edGrp="everyone"/>
      <w:r>
        <w:t>TYPE YOUR TEXT HERE</w:t>
      </w:r>
    </w:p>
    <w:permEnd w:id="1727798569"/>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usua</w:t>
      </w:r>
      <w:r>
        <w:rPr>
          <w:rFonts w:cs="Arial"/>
        </w:rPr>
        <w:t>l</w:t>
      </w:r>
      <w:r>
        <w:rPr>
          <w:rFonts w:cs="Arial"/>
        </w:rPr>
        <w:t>ly are not likely to be designed for per contract calculations. Life insurers may restrict the calculation of technical provisions in the Solvency II-Balance-Sheet to homog</w:t>
      </w:r>
      <w:r>
        <w:rPr>
          <w:rFonts w:cs="Arial"/>
        </w:rPr>
        <w:t>e</w:t>
      </w:r>
      <w:r>
        <w:rPr>
          <w:rFonts w:cs="Arial"/>
        </w:rPr>
        <w:t xml:space="preserv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1405166085" w:edGrp="everyone"/>
      <w:r>
        <w:t>TYPE YOUR TEXT HERE</w:t>
      </w:r>
    </w:p>
    <w:permEnd w:id="1405166085"/>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1911581932" w:edGrp="everyone"/>
      <w:r>
        <w:t>TYPE YOUR TEXT HERE</w:t>
      </w:r>
    </w:p>
    <w:permEnd w:id="1911581932"/>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w:t>
      </w:r>
      <w:r>
        <w:rPr>
          <w:rFonts w:cs="Arial"/>
        </w:rPr>
        <w:t>a</w:t>
      </w:r>
      <w:r>
        <w:rPr>
          <w:rFonts w:cs="Arial"/>
        </w:rPr>
        <w:t>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F31E57" w:rsidP="00F31E57">
      <w:permStart w:id="1024278937" w:edGrp="everyone"/>
      <w:r>
        <w:t>TYPE YOUR TEXT HERE</w:t>
      </w:r>
    </w:p>
    <w:permEnd w:id="1024278937"/>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F31E57" w:rsidRDefault="00F31E57" w:rsidP="00F31E57">
      <w:permStart w:id="972317947" w:edGrp="everyone"/>
      <w:r>
        <w:t>TYPE YOUR TEXT HERE</w:t>
      </w:r>
    </w:p>
    <w:permEnd w:id="972317947"/>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633738678" w:edGrp="everyone"/>
      <w:r>
        <w:t>TYPE YOUR TEXT HERE</w:t>
      </w:r>
    </w:p>
    <w:permEnd w:id="633738678"/>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631851340" w:edGrp="everyone"/>
      <w:r>
        <w:t>TYPE YOUR TEXT HERE</w:t>
      </w:r>
    </w:p>
    <w:permEnd w:id="631851340"/>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1369374938" w:edGrp="everyone"/>
      <w:r>
        <w:t>TYPE YOUR TEXT HERE</w:t>
      </w:r>
    </w:p>
    <w:permEnd w:id="1369374938"/>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231410765" w:edGrp="everyone"/>
      <w:r>
        <w:t>TYPE YOUR TEXT HERE</w:t>
      </w:r>
    </w:p>
    <w:permEnd w:id="231410765"/>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57"/>
      <w:headerReference w:type="first" r:id="rId58"/>
      <w:footerReference w:type="first" r:id="rId5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483" w:rsidRDefault="007E0483">
      <w:r>
        <w:separator/>
      </w:r>
    </w:p>
    <w:p w:rsidR="007E0483" w:rsidRDefault="007E0483"/>
  </w:endnote>
  <w:endnote w:type="continuationSeparator" w:id="0">
    <w:p w:rsidR="007E0483" w:rsidRDefault="007E0483">
      <w:r>
        <w:continuationSeparator/>
      </w:r>
    </w:p>
    <w:p w:rsidR="007E0483" w:rsidRDefault="007E0483"/>
  </w:endnote>
  <w:endnote w:type="continuationNotice" w:id="1">
    <w:p w:rsidR="007E0483" w:rsidRDefault="007E0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A74B1" w:rsidRPr="00616B9B" w:rsidTr="00315E96">
      <w:trPr>
        <w:trHeight w:val="284"/>
      </w:trPr>
      <w:tc>
        <w:tcPr>
          <w:tcW w:w="8460" w:type="dxa"/>
        </w:tcPr>
        <w:p w:rsidR="00BA74B1" w:rsidRPr="00315E96" w:rsidRDefault="00BA74B1" w:rsidP="00315E96">
          <w:pPr>
            <w:pStyle w:val="00Footer"/>
            <w:rPr>
              <w:lang w:val="fr-FR"/>
            </w:rPr>
          </w:pPr>
        </w:p>
      </w:tc>
      <w:tc>
        <w:tcPr>
          <w:tcW w:w="952" w:type="dxa"/>
        </w:tcPr>
        <w:p w:rsidR="00BA74B1" w:rsidRPr="00616B9B" w:rsidRDefault="00BA74B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0A2C54">
            <w:rPr>
              <w:rFonts w:cs="Arial"/>
              <w:noProof/>
              <w:sz w:val="22"/>
              <w:szCs w:val="22"/>
            </w:rPr>
            <w:t>4</w:t>
          </w:r>
          <w:r w:rsidRPr="00616B9B">
            <w:rPr>
              <w:rFonts w:cs="Arial"/>
              <w:noProof/>
              <w:sz w:val="22"/>
              <w:szCs w:val="22"/>
            </w:rPr>
            <w:fldChar w:fldCharType="end"/>
          </w:r>
        </w:p>
      </w:tc>
    </w:tr>
  </w:tbl>
  <w:p w:rsidR="00BA74B1" w:rsidRDefault="00BA74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B1" w:rsidRDefault="00BA7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483" w:rsidRDefault="007E0483">
      <w:r>
        <w:separator/>
      </w:r>
    </w:p>
    <w:p w:rsidR="007E0483" w:rsidRDefault="007E0483"/>
  </w:footnote>
  <w:footnote w:type="continuationSeparator" w:id="0">
    <w:p w:rsidR="007E0483" w:rsidRDefault="007E0483">
      <w:r>
        <w:continuationSeparator/>
      </w:r>
    </w:p>
    <w:p w:rsidR="007E0483" w:rsidRDefault="007E0483"/>
  </w:footnote>
  <w:footnote w:type="continuationNotice" w:id="1">
    <w:p w:rsidR="007E0483" w:rsidRDefault="007E0483"/>
  </w:footnote>
  <w:footnote w:id="2">
    <w:p w:rsidR="00BA74B1" w:rsidRPr="00554E48" w:rsidRDefault="00BA74B1" w:rsidP="007E2302">
      <w:pPr>
        <w:pStyle w:val="FootnoteText"/>
        <w:rPr>
          <w:szCs w:val="16"/>
        </w:rPr>
      </w:pPr>
      <w:r w:rsidRPr="00554E48">
        <w:rPr>
          <w:rStyle w:val="FootnoteReference"/>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BA74B1" w:rsidRPr="00B02FE8" w:rsidRDefault="00BA74B1" w:rsidP="002667FA">
      <w:pPr>
        <w:pStyle w:val="FootnoteText"/>
        <w:rPr>
          <w:lang w:val="en-US"/>
        </w:rPr>
      </w:pPr>
      <w:r>
        <w:rPr>
          <w:rStyle w:val="FootnoteReference"/>
        </w:rPr>
        <w:footnoteRef/>
      </w:r>
      <w:r>
        <w:t xml:space="preserve"> </w:t>
      </w:r>
      <w:r w:rsidRPr="00B02FE8">
        <w:rPr>
          <w:rFonts w:asciiTheme="minorHAnsi" w:hAnsiTheme="minorHAnsi"/>
          <w:szCs w:val="16"/>
          <w:lang w:val="en-US"/>
        </w:rPr>
        <w:t>Glasserman P., 2004, “Monte Carlo Methods in Financial Engineering” (Springer).</w:t>
      </w:r>
    </w:p>
  </w:footnote>
  <w:footnote w:id="4">
    <w:p w:rsidR="00BA74B1" w:rsidRPr="00B02FE8" w:rsidRDefault="00BA74B1" w:rsidP="002667FA">
      <w:pPr>
        <w:pStyle w:val="FootnoteText"/>
        <w:rPr>
          <w:lang w:val="en-US"/>
        </w:rPr>
      </w:pPr>
      <w:r>
        <w:rPr>
          <w:rStyle w:val="FootnoteReference"/>
        </w:rPr>
        <w:footnoteRef/>
      </w:r>
      <w:r>
        <w:t xml:space="preserve"> </w:t>
      </w:r>
      <w:r w:rsidRPr="00B02FE8">
        <w:rPr>
          <w:rFonts w:asciiTheme="minorHAnsi" w:hAnsiTheme="minorHAnsi"/>
          <w:szCs w:val="16"/>
          <w:lang w:val="en-US"/>
        </w:rPr>
        <w:t>Hull J., 2011 “Options, Futures and Other Derivatives”, 8th Edition (Englewood Cliffs, NJ:Prentice Hall).</w:t>
      </w:r>
    </w:p>
  </w:footnote>
  <w:footnote w:id="5">
    <w:p w:rsidR="00BA74B1" w:rsidRPr="00483860" w:rsidRDefault="00BA74B1" w:rsidP="00994A94">
      <w:pPr>
        <w:pStyle w:val="FootnoteText"/>
        <w:jc w:val="both"/>
        <w:rPr>
          <w:rFonts w:ascii="Calibri" w:hAnsi="Calibri"/>
        </w:rPr>
      </w:pPr>
      <w:r w:rsidRPr="00483860">
        <w:rPr>
          <w:rStyle w:val="FootnoteReference"/>
          <w:rFonts w:ascii="Calibri" w:hAnsi="Calibri"/>
        </w:rPr>
        <w:footnoteRef/>
      </w:r>
      <w:r w:rsidRPr="00483860">
        <w:rPr>
          <w:rFonts w:ascii="Calibri" w:hAnsi="Calibri"/>
        </w:rPr>
        <w:t xml:space="preserve"> </w:t>
      </w:r>
      <w:r w:rsidRPr="00483860">
        <w:rPr>
          <w:rFonts w:ascii="Calibri" w:hAnsi="Calibri"/>
          <w:szCs w:val="16"/>
        </w:rPr>
        <w:t>Technical details about this approach, that address the majority of the questions regarding the implementation of performance scenario via probability, can be found in Minenna M. (2011) “A Quantitative Framework to Assess the Risk-Reward Profile of Non-Equity Products”, Risk Books.</w:t>
      </w:r>
    </w:p>
  </w:footnote>
  <w:footnote w:id="6">
    <w:p w:rsidR="00BA74B1" w:rsidRPr="00483860" w:rsidRDefault="00BA74B1" w:rsidP="00994A94">
      <w:pPr>
        <w:pStyle w:val="FootnoteText"/>
        <w:jc w:val="both"/>
        <w:rPr>
          <w:rFonts w:ascii="Calibri" w:hAnsi="Calibri"/>
        </w:rPr>
      </w:pPr>
      <w:r w:rsidRPr="00483860">
        <w:rPr>
          <w:rStyle w:val="FootnoteReference"/>
          <w:rFonts w:ascii="Calibri" w:hAnsi="Calibri"/>
        </w:rPr>
        <w:footnoteRef/>
      </w:r>
      <w:r>
        <w:rPr>
          <w:rFonts w:ascii="Calibri" w:hAnsi="Calibri"/>
          <w:szCs w:val="16"/>
        </w:rPr>
        <w:t xml:space="preserve"> See note 3</w:t>
      </w:r>
      <w:r w:rsidRPr="00483860">
        <w:rPr>
          <w:rFonts w:ascii="Calibri" w:hAnsi="Calibri"/>
          <w:szCs w:val="16"/>
        </w:rPr>
        <w:t>.</w:t>
      </w:r>
    </w:p>
  </w:footnote>
  <w:footnote w:id="7">
    <w:p w:rsidR="00BA74B1" w:rsidRPr="00483860" w:rsidRDefault="00BA74B1" w:rsidP="00994A94">
      <w:pPr>
        <w:pStyle w:val="FootnoteText"/>
        <w:jc w:val="both"/>
        <w:rPr>
          <w:rFonts w:ascii="Calibri" w:hAnsi="Calibri"/>
        </w:rPr>
      </w:pPr>
      <w:r w:rsidRPr="00483860">
        <w:rPr>
          <w:rStyle w:val="FootnoteReference"/>
          <w:rFonts w:ascii="Calibri" w:hAnsi="Calibri"/>
        </w:rPr>
        <w:footnoteRef/>
      </w:r>
      <w:r>
        <w:rPr>
          <w:rFonts w:ascii="Calibri" w:hAnsi="Calibri"/>
          <w:szCs w:val="16"/>
        </w:rPr>
        <w:t xml:space="preserve"> See note 3</w:t>
      </w:r>
      <w:r w:rsidRPr="00483860">
        <w:rPr>
          <w:rFonts w:ascii="Calibri" w:hAnsi="Calibri"/>
          <w:szCs w:val="16"/>
        </w:rPr>
        <w:t>.</w:t>
      </w:r>
    </w:p>
  </w:footnote>
  <w:footnote w:id="8">
    <w:p w:rsidR="00BA74B1" w:rsidRDefault="00BA74B1" w:rsidP="00F31E57">
      <w:pPr>
        <w:pStyle w:val="FootnoteText"/>
        <w:rPr>
          <w:szCs w:val="16"/>
        </w:rPr>
      </w:pPr>
      <w:r>
        <w:rPr>
          <w:rStyle w:val="FootnoteReferenc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B1" w:rsidRDefault="00BA74B1">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0A2C54">
      <w:rPr>
        <w:noProof/>
        <w:lang w:eastAsia="en-GB"/>
      </w:rPr>
      <mc:AlternateContent>
        <mc:Choice Requires="wps">
          <w:drawing>
            <wp:anchor distT="0" distB="0" distL="114294" distR="114294"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3mm;mso-wrap-distance-top:0;mso-wrap-distance-right:3.17483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B1" w:rsidRDefault="00BA74B1"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B1" w:rsidRDefault="00BA74B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A74B1" w:rsidRPr="002F4496" w:rsidTr="000C06C9">
      <w:trPr>
        <w:trHeight w:val="284"/>
      </w:trPr>
      <w:tc>
        <w:tcPr>
          <w:tcW w:w="8460" w:type="dxa"/>
        </w:tcPr>
        <w:p w:rsidR="00BA74B1" w:rsidRPr="000C3B6D" w:rsidRDefault="00BA74B1" w:rsidP="000C06C9">
          <w:pPr>
            <w:pStyle w:val="00Footer"/>
            <w:rPr>
              <w:lang w:val="fr-FR"/>
            </w:rPr>
          </w:pPr>
        </w:p>
      </w:tc>
      <w:tc>
        <w:tcPr>
          <w:tcW w:w="952" w:type="dxa"/>
        </w:tcPr>
        <w:p w:rsidR="00BA74B1" w:rsidRPr="00146B34" w:rsidRDefault="00BA74B1" w:rsidP="000C06C9">
          <w:pPr>
            <w:pStyle w:val="00aPagenumber"/>
            <w:rPr>
              <w:lang w:val="fr-FR"/>
            </w:rPr>
          </w:pPr>
        </w:p>
      </w:tc>
    </w:tr>
  </w:tbl>
  <w:p w:rsidR="00BA74B1" w:rsidRPr="00DB46C3" w:rsidRDefault="00BA74B1">
    <w:pPr>
      <w:rPr>
        <w:lang w:val="fr-FR"/>
      </w:rPr>
    </w:pPr>
  </w:p>
  <w:p w:rsidR="00BA74B1" w:rsidRPr="002F4496" w:rsidRDefault="00BA74B1">
    <w:pPr>
      <w:pStyle w:val="Header"/>
      <w:rPr>
        <w:lang w:val="fr-FR"/>
      </w:rPr>
    </w:pPr>
  </w:p>
  <w:p w:rsidR="00BA74B1" w:rsidRPr="002F4496" w:rsidRDefault="00BA74B1" w:rsidP="000C06C9">
    <w:pPr>
      <w:pStyle w:val="Header"/>
      <w:tabs>
        <w:tab w:val="clear" w:pos="4536"/>
        <w:tab w:val="clear" w:pos="9072"/>
        <w:tab w:val="left" w:pos="8227"/>
      </w:tabs>
      <w:rPr>
        <w:lang w:val="fr-FR"/>
      </w:rPr>
    </w:pPr>
  </w:p>
  <w:p w:rsidR="00BA74B1" w:rsidRPr="002F4496" w:rsidRDefault="00BA74B1" w:rsidP="000C06C9">
    <w:pPr>
      <w:pStyle w:val="Header"/>
      <w:tabs>
        <w:tab w:val="clear" w:pos="4536"/>
        <w:tab w:val="clear" w:pos="9072"/>
        <w:tab w:val="left" w:pos="8227"/>
      </w:tabs>
      <w:rPr>
        <w:lang w:val="fr-FR"/>
      </w:rPr>
    </w:pPr>
  </w:p>
  <w:p w:rsidR="00BA74B1" w:rsidRPr="002F4496" w:rsidRDefault="00BA74B1">
    <w:pPr>
      <w:pStyle w:val="Header"/>
      <w:rPr>
        <w:lang w:val="fr-FR"/>
      </w:rPr>
    </w:pPr>
  </w:p>
  <w:p w:rsidR="00BA74B1" w:rsidRPr="002F4496" w:rsidRDefault="00BA74B1">
    <w:pPr>
      <w:pStyle w:val="Header"/>
      <w:rPr>
        <w:lang w:val="fr-FR"/>
      </w:rPr>
    </w:pPr>
  </w:p>
  <w:p w:rsidR="00BA74B1" w:rsidRPr="002F4496" w:rsidRDefault="00BA74B1">
    <w:pPr>
      <w:pStyle w:val="Header"/>
      <w:rPr>
        <w:lang w:val="fr-FR"/>
      </w:rPr>
    </w:pPr>
  </w:p>
  <w:p w:rsidR="00BA74B1" w:rsidRPr="002F4496" w:rsidRDefault="00BA74B1">
    <w:pPr>
      <w:pStyle w:val="Header"/>
      <w:rPr>
        <w:lang w:val="fr-FR"/>
      </w:rPr>
    </w:pPr>
  </w:p>
  <w:p w:rsidR="00BA74B1" w:rsidRPr="002F4496" w:rsidRDefault="00BA74B1">
    <w:pPr>
      <w:pStyle w:val="Header"/>
      <w:rPr>
        <w:highlight w:val="yellow"/>
        <w:lang w:val="fr-FR"/>
      </w:rPr>
    </w:pPr>
  </w:p>
  <w:p w:rsidR="00BA74B1" w:rsidRDefault="000A2C54">
    <w:pPr>
      <w:pStyle w:val="Header"/>
    </w:pPr>
    <w:r>
      <w:rPr>
        <w:noProof/>
        <w:lang w:eastAsia="en-GB"/>
      </w:rPr>
      <mc:AlternateContent>
        <mc:Choice Requires="wps">
          <w:drawing>
            <wp:anchor distT="0" distB="0" distL="114298" distR="114298"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BA74B1">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9"/>
  </w:num>
  <w:num w:numId="24">
    <w:abstractNumId w:val="29"/>
  </w:num>
  <w:num w:numId="25">
    <w:abstractNumId w:val="28"/>
  </w:num>
  <w:num w:numId="26">
    <w:abstractNumId w:val="18"/>
  </w:num>
  <w:num w:numId="27">
    <w:abstractNumId w:val="32"/>
  </w:num>
  <w:num w:numId="28">
    <w:abstractNumId w:val="37"/>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4"/>
  </w:num>
  <w:num w:numId="36">
    <w:abstractNumId w:val="34"/>
    <w:lvlOverride w:ilvl="0">
      <w:startOverride w:val="1"/>
    </w:lvlOverride>
  </w:num>
  <w:num w:numId="37">
    <w:abstractNumId w:val="34"/>
    <w:lvlOverride w:ilvl="0">
      <w:startOverride w:val="1"/>
    </w:lvlOverride>
  </w:num>
  <w:num w:numId="38">
    <w:abstractNumId w:val="34"/>
    <w:lvlOverride w:ilvl="0">
      <w:startOverride w:val="1"/>
    </w:lvlOverride>
  </w:num>
  <w:num w:numId="39">
    <w:abstractNumId w:val="34"/>
    <w:lvlOverride w:ilvl="0">
      <w:startOverride w:val="1"/>
    </w:lvlOverride>
  </w:num>
  <w:num w:numId="40">
    <w:abstractNumId w:val="34"/>
    <w:lvlOverride w:ilvl="0">
      <w:startOverride w:val="1"/>
    </w:lvlOverride>
  </w:num>
  <w:num w:numId="41">
    <w:abstractNumId w:val="34"/>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1229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2C54"/>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7FA"/>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3098"/>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483"/>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078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4A94"/>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30FF"/>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407"/>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4B1"/>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4AAE"/>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05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1E44"/>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1">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68099966">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ma.europa.eu" TargetMode="External"/><Relationship Id="rId18" Type="http://schemas.openxmlformats.org/officeDocument/2006/relationships/oleObject" Target="embeddings/oleObject2.bin"/><Relationship Id="rId26" Type="http://schemas.openxmlformats.org/officeDocument/2006/relationships/oleObject" Target="embeddings/oleObject7.bin"/><Relationship Id="rId39" Type="http://schemas.openxmlformats.org/officeDocument/2006/relationships/oleObject" Target="embeddings/oleObject15.bin"/><Relationship Id="rId21" Type="http://schemas.openxmlformats.org/officeDocument/2006/relationships/image" Target="media/image7.wmf"/><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oleObject" Target="embeddings/oleObject19.bin"/><Relationship Id="rId50" Type="http://schemas.openxmlformats.org/officeDocument/2006/relationships/oleObject" Target="embeddings/oleObject22.bin"/><Relationship Id="rId55" Type="http://schemas.openxmlformats.org/officeDocument/2006/relationships/image" Target="media/image19.wmf"/><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9.bin"/><Relationship Id="rId41" Type="http://schemas.openxmlformats.org/officeDocument/2006/relationships/oleObject" Target="embeddings/oleObject16.bin"/><Relationship Id="rId54" Type="http://schemas.openxmlformats.org/officeDocument/2006/relationships/oleObject" Target="embeddings/oleObject25.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oleObject" Target="embeddings/oleObject5.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4.wmf"/><Relationship Id="rId45" Type="http://schemas.openxmlformats.org/officeDocument/2006/relationships/oleObject" Target="embeddings/oleObject18.bin"/><Relationship Id="rId53" Type="http://schemas.openxmlformats.org/officeDocument/2006/relationships/oleObject" Target="embeddings/oleObject24.bin"/><Relationship Id="rId58" Type="http://schemas.openxmlformats.org/officeDocument/2006/relationships/header" Target="header4.xml"/><Relationship Id="rId5" Type="http://schemas.microsoft.com/office/2007/relationships/stylesWithEffects" Target="stylesWithEffect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9.wmf"/><Relationship Id="rId36" Type="http://schemas.openxmlformats.org/officeDocument/2006/relationships/image" Target="media/image12.wmf"/><Relationship Id="rId49" Type="http://schemas.openxmlformats.org/officeDocument/2006/relationships/oleObject" Target="embeddings/oleObject21.bin"/><Relationship Id="rId57" Type="http://schemas.openxmlformats.org/officeDocument/2006/relationships/header" Target="header3.xml"/><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wmf"/><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oleObject" Target="embeddings/oleObject23.bin"/><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info@fondazionematteottiroma.org" TargetMode="External"/><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6.bin"/><Relationship Id="rId8" Type="http://schemas.openxmlformats.org/officeDocument/2006/relationships/footnotes" Target="footnotes.xml"/><Relationship Id="rId51" Type="http://schemas.openxmlformats.org/officeDocument/2006/relationships/image" Target="media/image18.wmf"/><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oleObject" Target="embeddings/oleObject6.bin"/><Relationship Id="rId33" Type="http://schemas.openxmlformats.org/officeDocument/2006/relationships/oleObject" Target="embeddings/oleObject12.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14582-0B7C-4B63-B190-BA5D042D90A5}">
  <ds:schemaRefs>
    <ds:schemaRef ds:uri="http://schemas.openxmlformats.org/officeDocument/2006/bibliography"/>
  </ds:schemaRefs>
</ds:datastoreItem>
</file>

<file path=customXml/itemProps2.xml><?xml version="1.0" encoding="utf-8"?>
<ds:datastoreItem xmlns:ds="http://schemas.openxmlformats.org/officeDocument/2006/customXml" ds:itemID="{7DB9382F-9794-4968-8A07-C4519A9F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6A8B9463</Template>
  <TotalTime>1</TotalTime>
  <Pages>30</Pages>
  <Words>10642</Words>
  <Characters>60660</Characters>
  <Application>Microsoft Office Word</Application>
  <DocSecurity>12</DocSecurity>
  <Lines>505</Lines>
  <Paragraphs>142</Paragraphs>
  <ScaleCrop>false</ScaleCrop>
  <HeadingPairs>
    <vt:vector size="10" baseType="variant">
      <vt:variant>
        <vt:lpstr>Title</vt:lpstr>
      </vt:variant>
      <vt:variant>
        <vt:i4>1</vt:i4>
      </vt:variant>
      <vt:variant>
        <vt:lpstr>Titolo</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71160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Severine Mitchell</cp:lastModifiedBy>
  <cp:revision>2</cp:revision>
  <cp:lastPrinted>2015-02-18T11:01:00Z</cp:lastPrinted>
  <dcterms:created xsi:type="dcterms:W3CDTF">2015-08-19T13:01:00Z</dcterms:created>
  <dcterms:modified xsi:type="dcterms:W3CDTF">2015-08-19T13:01:00Z</dcterms:modified>
</cp:coreProperties>
</file>