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w:t>
      </w:r>
      <w:r w:rsidR="00F574D0" w:rsidRPr="00EF0769">
        <w:rPr>
          <w:rFonts w:cs="Arial"/>
        </w:rPr>
        <w:t>s</w:t>
      </w:r>
      <w:r w:rsidR="00F574D0" w:rsidRPr="00EF0769">
        <w:rPr>
          <w:rFonts w:cs="Arial"/>
        </w:rPr>
        <w:t>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tnotsreferens"/>
        </w:rPr>
        <w:footnoteReference w:id="2"/>
      </w:r>
      <w:r w:rsidRPr="00F520E3">
        <w:t xml:space="preserve"> We may consult you if we receive such a request. Any decision we make not to disclose the response is reviewable by the Board of Appeal of the ESAs and the European Ombud</w:t>
      </w:r>
      <w:r w:rsidRPr="00F520E3">
        <w:t>s</w:t>
      </w:r>
      <w:r w:rsidRPr="00F520E3">
        <w:t xml:space="preserve">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Rubrik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D34282" w:rsidRPr="00AB6D88" w:rsidTr="0019589E">
        <w:tc>
          <w:tcPr>
            <w:tcW w:w="3929" w:type="dxa"/>
            <w:shd w:val="clear" w:color="auto" w:fill="auto"/>
          </w:tcPr>
          <w:p w:rsidR="00D34282" w:rsidRPr="00AB6D88" w:rsidRDefault="00D34282" w:rsidP="0019589E">
            <w:pPr>
              <w:rPr>
                <w:rFonts w:cs="Arial"/>
              </w:rPr>
            </w:pPr>
            <w:permStart w:id="0" w:edGrp="everyone" w:colFirst="1" w:colLast="1"/>
            <w:r w:rsidRPr="00AB6D88">
              <w:rPr>
                <w:rFonts w:cs="Arial"/>
              </w:rPr>
              <w:t>Name of the company / organisation</w:t>
            </w:r>
          </w:p>
        </w:tc>
        <w:sdt>
          <w:sdtPr>
            <w:rPr>
              <w:rStyle w:val="Platshllartext"/>
              <w:rFonts w:cs="Arial"/>
            </w:rPr>
            <w:id w:val="-1905066999"/>
            <w:text/>
          </w:sdtPr>
          <w:sdtContent>
            <w:permStart w:id="1" w:edGrp="everyone" w:displacedByCustomXml="prev"/>
            <w:tc>
              <w:tcPr>
                <w:tcW w:w="5595" w:type="dxa"/>
                <w:shd w:val="clear" w:color="auto" w:fill="auto"/>
              </w:tcPr>
              <w:p w:rsidR="00D34282" w:rsidRPr="00AB6D88" w:rsidRDefault="0019589E" w:rsidP="0019589E">
                <w:pPr>
                  <w:rPr>
                    <w:rStyle w:val="Platshllartext"/>
                    <w:rFonts w:cs="Arial"/>
                  </w:rPr>
                </w:pPr>
                <w:r>
                  <w:rPr>
                    <w:rStyle w:val="Platshllartext"/>
                    <w:rFonts w:cs="Arial"/>
                  </w:rPr>
                  <w:t>Swedish Investment Fund Association</w:t>
                </w:r>
              </w:p>
            </w:tc>
            <w:permEnd w:id="1" w:displacedByCustomXml="next"/>
          </w:sdtContent>
        </w:sdt>
      </w:tr>
      <w:tr w:rsidR="00D34282" w:rsidRPr="00AB6D88" w:rsidTr="0019589E">
        <w:tc>
          <w:tcPr>
            <w:tcW w:w="3929" w:type="dxa"/>
            <w:shd w:val="clear" w:color="auto" w:fill="auto"/>
          </w:tcPr>
          <w:p w:rsidR="00D34282" w:rsidRPr="00AB6D88" w:rsidRDefault="00D34282" w:rsidP="0019589E">
            <w:pPr>
              <w:rPr>
                <w:rFonts w:cs="Arial"/>
              </w:rPr>
            </w:pPr>
            <w:permStart w:id="2" w:edGrp="everyone" w:colFirst="1" w:colLast="1"/>
            <w:permEnd w:id="0"/>
            <w:r w:rsidRPr="00AB6D88">
              <w:rPr>
                <w:rFonts w:cs="Arial"/>
              </w:rPr>
              <w:t>Activity</w:t>
            </w:r>
          </w:p>
        </w:tc>
        <w:tc>
          <w:tcPr>
            <w:tcW w:w="5595" w:type="dxa"/>
            <w:shd w:val="clear" w:color="auto" w:fill="auto"/>
          </w:tcPr>
          <w:p w:rsidR="00D34282" w:rsidRPr="00AB6D88" w:rsidRDefault="00253864" w:rsidP="0019589E">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3" w:edGrp="everyone"/>
                <w:r w:rsidR="0019589E">
                  <w:rPr>
                    <w:rFonts w:cs="Arial"/>
                  </w:rPr>
                  <w:t>Investment Services</w:t>
                </w:r>
                <w:permEnd w:id="3"/>
              </w:sdtContent>
            </w:sdt>
          </w:p>
        </w:tc>
      </w:tr>
      <w:tr w:rsidR="00D34282" w:rsidRPr="00AB6D88" w:rsidTr="0019589E">
        <w:tc>
          <w:tcPr>
            <w:tcW w:w="3929" w:type="dxa"/>
            <w:shd w:val="clear" w:color="auto" w:fill="auto"/>
          </w:tcPr>
          <w:p w:rsidR="00D34282" w:rsidRPr="00AB6D88" w:rsidRDefault="00D34282" w:rsidP="0019589E">
            <w:pPr>
              <w:rPr>
                <w:rFonts w:cs="Arial"/>
              </w:rPr>
            </w:pPr>
            <w:permStart w:id="4" w:edGrp="everyone" w:colFirst="1" w:colLast="1"/>
            <w:permEnd w:id="2"/>
            <w:r w:rsidRPr="00AB6D88">
              <w:rPr>
                <w:rFonts w:cs="Arial"/>
              </w:rPr>
              <w:t>Are you representing an association?</w:t>
            </w:r>
          </w:p>
        </w:tc>
        <w:sdt>
          <w:sdtPr>
            <w:rPr>
              <w:rFonts w:cs="Arial"/>
            </w:rPr>
            <w:id w:val="-242871467"/>
          </w:sdtPr>
          <w:sdtContent>
            <w:tc>
              <w:tcPr>
                <w:tcW w:w="5595" w:type="dxa"/>
                <w:shd w:val="clear" w:color="auto" w:fill="auto"/>
              </w:tcPr>
              <w:p w:rsidR="00D34282" w:rsidRPr="00AB6D88" w:rsidRDefault="0019589E" w:rsidP="0019589E">
                <w:pPr>
                  <w:rPr>
                    <w:rFonts w:cs="Arial"/>
                  </w:rPr>
                </w:pPr>
                <w:r>
                  <w:rPr>
                    <w:rFonts w:ascii="MS Gothic" w:eastAsia="MS Gothic" w:hAnsi="MS Gothic" w:cs="Arial" w:hint="eastAsia"/>
                  </w:rPr>
                  <w:t>☒</w:t>
                </w:r>
              </w:p>
            </w:tc>
          </w:sdtContent>
        </w:sdt>
      </w:tr>
      <w:tr w:rsidR="00D34282" w:rsidRPr="00AB6D88" w:rsidTr="0019589E">
        <w:tc>
          <w:tcPr>
            <w:tcW w:w="3929" w:type="dxa"/>
            <w:shd w:val="clear" w:color="auto" w:fill="auto"/>
          </w:tcPr>
          <w:p w:rsidR="00D34282" w:rsidRPr="00AB6D88" w:rsidRDefault="00D34282" w:rsidP="0019589E">
            <w:pPr>
              <w:rPr>
                <w:rFonts w:cs="Arial"/>
              </w:rPr>
            </w:pPr>
            <w:permStart w:id="5" w:edGrp="everyone" w:colFirst="1" w:colLast="1"/>
            <w:permEnd w:id="4"/>
            <w:r w:rsidRPr="00AB6D88">
              <w:rPr>
                <w:rFonts w:cs="Arial"/>
              </w:rPr>
              <w:t>Country/Region</w:t>
            </w:r>
          </w:p>
        </w:tc>
        <w:permStart w:id="6"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7" w:edGrp="everyone" w:displacedByCustomXml="prev"/>
            <w:tc>
              <w:tcPr>
                <w:tcW w:w="5595" w:type="dxa"/>
                <w:shd w:val="clear" w:color="auto" w:fill="auto"/>
              </w:tcPr>
              <w:p w:rsidR="00D34282" w:rsidRPr="00AB6D88" w:rsidRDefault="0019589E" w:rsidP="0019589E">
                <w:pPr>
                  <w:rPr>
                    <w:rFonts w:cs="Arial"/>
                  </w:rPr>
                </w:pPr>
                <w:r>
                  <w:rPr>
                    <w:rFonts w:cs="Arial"/>
                  </w:rPr>
                  <w:t>Sweden</w:t>
                </w:r>
              </w:p>
            </w:tc>
            <w:permEnd w:id="7" w:displacedByCustomXml="next"/>
          </w:sdtContent>
        </w:sdt>
        <w:permEnd w:id="6" w:displacedByCustomXml="prev"/>
      </w:tr>
      <w:permEnd w:id="5"/>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Rubrik1"/>
        <w:numPr>
          <w:ilvl w:val="0"/>
          <w:numId w:val="0"/>
        </w:numPr>
        <w:ind w:left="431" w:hanging="431"/>
      </w:pPr>
      <w:r>
        <w:t>Introduction</w:t>
      </w:r>
    </w:p>
    <w:p w:rsidR="00D34282" w:rsidRPr="001D47A5" w:rsidRDefault="00D34282" w:rsidP="00D34282">
      <w:pPr>
        <w:rPr>
          <w:rStyle w:val="Starkbetoning"/>
        </w:rPr>
      </w:pPr>
      <w:r w:rsidRPr="001D47A5">
        <w:rPr>
          <w:rStyle w:val="Starkbetoni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19589E" w:rsidRDefault="0019589E" w:rsidP="00D34282">
      <w:permStart w:id="8" w:edGrp="everyone"/>
      <w:r>
        <w:t xml:space="preserve">The Swedish Investment Association (SIFA) is an industry association representing the Swedish Fund Market. SIFA is a member of EFAMA and </w:t>
      </w:r>
      <w:r w:rsidR="005C3A1B">
        <w:t>is in agreement with</w:t>
      </w:r>
      <w:r>
        <w:t xml:space="preserve"> those statements made by EFAMA in relation to this consultation. However, as an addition to the comments made by EFAMA, SIFA has given </w:t>
      </w:r>
      <w:r w:rsidR="005C3A1B">
        <w:t>a short</w:t>
      </w:r>
      <w:r w:rsidR="00EA69F6">
        <w:t xml:space="preserve"> answer to question 16 </w:t>
      </w:r>
      <w:r>
        <w:t xml:space="preserve">in the consultation paper and would like to make some general remarks. </w:t>
      </w:r>
    </w:p>
    <w:p w:rsidR="0019589E" w:rsidRDefault="0019589E" w:rsidP="00D34282"/>
    <w:p w:rsidR="00D34282" w:rsidRDefault="0019589E" w:rsidP="00D34282">
      <w:r>
        <w:t>The Swedish Fund Industry has been a major advocate for the U</w:t>
      </w:r>
      <w:r w:rsidR="008C045B">
        <w:t xml:space="preserve">CITS KID which is regarded as the main consumer information standard for funds in Sweden. A level playing field where all investment products are required to provide their clients with easy access to clear information is a </w:t>
      </w:r>
      <w:r w:rsidR="005C3A1B">
        <w:t xml:space="preserve">highly </w:t>
      </w:r>
      <w:r w:rsidR="008C045B">
        <w:t>desirable develo</w:t>
      </w:r>
      <w:r w:rsidR="008C045B">
        <w:t>p</w:t>
      </w:r>
      <w:r w:rsidR="008C045B">
        <w:t xml:space="preserve">ment. However, with the implementation process of the UCITS KIID in mind, SIFA members are keen to point out that the requirements must be built on numbers and calculations that can actually be obtained by the manufacturer of the financial products. </w:t>
      </w:r>
      <w:r w:rsidR="00EA69F6">
        <w:t xml:space="preserve">Making forecasts about future </w:t>
      </w:r>
      <w:r w:rsidR="005C3A1B">
        <w:t>performance</w:t>
      </w:r>
      <w:r w:rsidR="00EA69F6">
        <w:t xml:space="preserve"> has been consi</w:t>
      </w:r>
      <w:r w:rsidR="00EA69F6">
        <w:t>d</w:t>
      </w:r>
      <w:r w:rsidR="00EA69F6">
        <w:t>ered questionable marketing on the Swedish market for over ten years due to the r</w:t>
      </w:r>
      <w:r w:rsidR="00B01C2F">
        <w:t>isk of clients misinte</w:t>
      </w:r>
      <w:r w:rsidR="00B01C2F">
        <w:t>r</w:t>
      </w:r>
      <w:r w:rsidR="00B01C2F">
        <w:t xml:space="preserve">preting </w:t>
      </w:r>
      <w:r w:rsidR="00EA69F6">
        <w:t xml:space="preserve">the statements. To actually benefit the investors such calculations and descriptions would need to be clearly defined by the authorities. </w:t>
      </w:r>
      <w:r w:rsidR="008C045B">
        <w:t xml:space="preserve">  </w:t>
      </w:r>
      <w:r>
        <w:t xml:space="preserve"> </w:t>
      </w:r>
    </w:p>
    <w:permEnd w:id="8"/>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purposes. I</w:t>
      </w:r>
      <w:r>
        <w:t>n</w:t>
      </w:r>
      <w:r>
        <w:t xml:space="preserve">clude your considerations and caveats. </w:t>
      </w:r>
    </w:p>
    <w:p w:rsidR="00F31E57" w:rsidRDefault="00F31E57" w:rsidP="00F31E57"/>
    <w:p w:rsidR="00F31E57" w:rsidRDefault="00F31E57" w:rsidP="00F31E57">
      <w:r>
        <w:t>&lt;ESMA_QUESTION_PRIIPs_1&gt;</w:t>
      </w:r>
    </w:p>
    <w:p w:rsidR="00F31E57" w:rsidRDefault="00F31E57" w:rsidP="00F31E57">
      <w:permStart w:id="9" w:edGrp="everyone"/>
      <w:r>
        <w:t>TYPE YOUR TEXT HERE</w:t>
      </w:r>
    </w:p>
    <w:permEnd w:id="9"/>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w:t>
      </w:r>
      <w:r>
        <w:t>e</w:t>
      </w:r>
      <w:r>
        <w:t>termining performance under a variety of scenarios?</w:t>
      </w:r>
    </w:p>
    <w:p w:rsidR="00F31E57" w:rsidRDefault="00F31E57" w:rsidP="00F31E57"/>
    <w:p w:rsidR="00F31E57" w:rsidRDefault="00F31E57" w:rsidP="00F31E57">
      <w:r>
        <w:t>&lt;ESMA_QUESTION_PRIIPs_2&gt;</w:t>
      </w:r>
    </w:p>
    <w:p w:rsidR="00F31E57" w:rsidRDefault="00F31E57" w:rsidP="00F31E57">
      <w:permStart w:id="10" w:edGrp="everyone"/>
      <w:r>
        <w:t>TYPE YOUR TEXT HERE</w:t>
      </w:r>
    </w:p>
    <w:permEnd w:id="10"/>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w:t>
      </w:r>
      <w:r>
        <w:t>e</w:t>
      </w:r>
      <w:r>
        <w:t>cific products or underlying investments for which a specific growth rate would be more or less applicable?</w:t>
      </w:r>
    </w:p>
    <w:p w:rsidR="00F31E57" w:rsidRDefault="00F31E57" w:rsidP="00F31E57"/>
    <w:p w:rsidR="00F31E57" w:rsidRDefault="00F31E57" w:rsidP="00F31E57">
      <w:r>
        <w:t>&lt;ESMA_QUESTION_PRIIPs_3&gt;</w:t>
      </w:r>
    </w:p>
    <w:p w:rsidR="00F31E57" w:rsidRDefault="00F31E57" w:rsidP="00F31E57">
      <w:permStart w:id="11" w:edGrp="everyone"/>
      <w:r>
        <w:t>TYPE YOUR TEXT HERE</w:t>
      </w:r>
    </w:p>
    <w:permEnd w:id="11"/>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Default="00F31E57" w:rsidP="00F31E57">
      <w:permStart w:id="12" w:edGrp="everyone"/>
      <w:r>
        <w:t>TYPE YOUR TEXT HERE</w:t>
      </w:r>
    </w:p>
    <w:permEnd w:id="12"/>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F31E57" w:rsidRDefault="00F31E57" w:rsidP="00F31E57">
      <w:permStart w:id="13" w:edGrp="everyone"/>
      <w:r>
        <w:t>TYPE YOUR TEXT HERE</w:t>
      </w:r>
    </w:p>
    <w:permEnd w:id="13"/>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F31E57" w:rsidRDefault="00F31E57" w:rsidP="00F31E57">
      <w:permStart w:id="14" w:edGrp="everyone"/>
      <w:r>
        <w:t>TYPE YOUR TEXT HERE</w:t>
      </w:r>
    </w:p>
    <w:permEnd w:id="14"/>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F31E57" w:rsidRDefault="00F31E57" w:rsidP="00F31E57">
      <w:permStart w:id="15" w:edGrp="everyone"/>
      <w:r>
        <w:t>TYPE YOUR TEXT HERE</w:t>
      </w:r>
    </w:p>
    <w:permEnd w:id="1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Do you consider that qualitative measures such as the ones proposed are appropriate or that they need to be supplemented with some quantitative measure to some e</w:t>
      </w:r>
      <w:r>
        <w:t>x</w:t>
      </w:r>
      <w:r>
        <w:t>tent?</w:t>
      </w:r>
    </w:p>
    <w:p w:rsidR="00F31E57" w:rsidRDefault="00F31E57" w:rsidP="00F31E57"/>
    <w:p w:rsidR="00F31E57" w:rsidRDefault="00F31E57" w:rsidP="00F31E57">
      <w:r>
        <w:t>&lt;ESMA_QUESTION_PRIIPs_8&gt;</w:t>
      </w:r>
    </w:p>
    <w:p w:rsidR="00F31E57" w:rsidRDefault="00F31E57" w:rsidP="00F31E57">
      <w:permStart w:id="16" w:edGrp="everyone"/>
      <w:r>
        <w:t>TYPE YOUR TEXT HERE</w:t>
      </w:r>
    </w:p>
    <w:permEnd w:id="16"/>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F31E57" w:rsidRDefault="00F31E57" w:rsidP="00F31E57">
      <w:permStart w:id="17" w:edGrp="everyone"/>
      <w:r>
        <w:t>TYPE YOUR TEXT HERE</w:t>
      </w:r>
    </w:p>
    <w:permEnd w:id="1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F31E57" w:rsidRDefault="00F31E57" w:rsidP="00F31E57">
      <w:permStart w:id="18" w:edGrp="everyone"/>
      <w:r>
        <w:t>TYPE YOUR TEXT HERE</w:t>
      </w:r>
    </w:p>
    <w:permEnd w:id="18"/>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F31E57" w:rsidRDefault="00F31E57" w:rsidP="00F31E57">
      <w:permStart w:id="19" w:edGrp="everyone"/>
      <w:r>
        <w:t>TYPE YOUR TEXT HERE</w:t>
      </w:r>
    </w:p>
    <w:permEnd w:id="19"/>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general principles of this approach, should it be s</w:t>
      </w:r>
      <w:r>
        <w:t>e</w:t>
      </w:r>
      <w:r>
        <w:t xml:space="preserve">lected. How would you like to see the risk measure and parameters, why? </w:t>
      </w:r>
    </w:p>
    <w:p w:rsidR="00F31E57" w:rsidRDefault="00F31E57" w:rsidP="00F31E57"/>
    <w:p w:rsidR="00F31E57" w:rsidRDefault="00F31E57" w:rsidP="00F31E57">
      <w:r>
        <w:t>&lt;ESMA_QUESTION_PRIIPs_12&gt;</w:t>
      </w:r>
    </w:p>
    <w:p w:rsidR="00F31E57" w:rsidRDefault="00F31E57" w:rsidP="00F31E57">
      <w:permStart w:id="20" w:edGrp="everyone"/>
      <w:r>
        <w:t>TYPE YOUR TEXT HERE</w:t>
      </w:r>
    </w:p>
    <w:permEnd w:id="20"/>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potential use of a two-level indicator. What kind of differentiators should be set both for the first level and the second level of such an i</w:t>
      </w:r>
      <w:r>
        <w:t>n</w:t>
      </w:r>
      <w:r>
        <w:t xml:space="preserve">dicator? </w:t>
      </w:r>
    </w:p>
    <w:p w:rsidR="00F31E57" w:rsidRDefault="00F31E57" w:rsidP="00F31E57"/>
    <w:p w:rsidR="00F31E57" w:rsidRDefault="00F31E57" w:rsidP="00F31E57">
      <w:r>
        <w:t>&lt;ESMA_QUESTION_PRIIPs_13&gt;</w:t>
      </w:r>
    </w:p>
    <w:p w:rsidR="00F31E57" w:rsidRDefault="00F31E57" w:rsidP="00F31E57">
      <w:permStart w:id="21" w:edGrp="everyone"/>
      <w:r>
        <w:t>TYPE YOUR TEXT HERE</w:t>
      </w:r>
    </w:p>
    <w:permEnd w:id="21"/>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Default="00F31E57" w:rsidP="00F31E57">
      <w:permStart w:id="22" w:edGrp="everyone"/>
      <w:r>
        <w:t>TYPE YOUR TEXT HERE</w:t>
      </w:r>
    </w:p>
    <w:permEnd w:id="22"/>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express your views on the assessment described above and the relative rel</w:t>
      </w:r>
      <w:r>
        <w:t>e</w:t>
      </w:r>
      <w:r>
        <w:t>vance of the different criteria that may be considered.</w:t>
      </w:r>
    </w:p>
    <w:p w:rsidR="00F31E57" w:rsidRDefault="00F31E57" w:rsidP="00F31E57"/>
    <w:p w:rsidR="00F31E57" w:rsidRDefault="00F31E57" w:rsidP="00F31E57">
      <w:r>
        <w:t>&lt;ESMA_QUESTION_PRIIPs_15&gt;</w:t>
      </w:r>
    </w:p>
    <w:p w:rsidR="00F31E57" w:rsidRDefault="005C3A1B" w:rsidP="00F31E57">
      <w:permStart w:id="23" w:edGrp="everyone"/>
      <w:r>
        <w:t>As has been explained above</w:t>
      </w:r>
      <w:r w:rsidR="00F202E4">
        <w:t xml:space="preserve">, SIFA is in agreement with the EFAMA comments made to this consultation. SIFA would like to specially emphasise the need for investors to be able to see past performance for the reasons given by EFAMA. </w:t>
      </w:r>
      <w:permEnd w:id="23"/>
      <w:r w:rsidR="00F31E57">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216790" w:rsidRDefault="008F7FAE" w:rsidP="00216790">
      <w:bookmarkStart w:id="3" w:name="_GoBack"/>
      <w:permStart w:id="24" w:edGrp="everyone"/>
      <w:r>
        <w:t>SIFA would like to add some comments relating to performance scenarios</w:t>
      </w:r>
      <w:r w:rsidR="00216790">
        <w:t xml:space="preserve"> strengthening the arguments made by EFAMA</w:t>
      </w:r>
      <w:r w:rsidR="00D87321">
        <w:t>. Fifteen years ago</w:t>
      </w:r>
      <w:r>
        <w:t xml:space="preserve"> scenarios were common in the marketing of funds</w:t>
      </w:r>
      <w:r w:rsidR="00D87321">
        <w:t xml:space="preserve"> in Sweden and non-realistic performance scenarios would emerge from time to time. Due to this fact and other inappr</w:t>
      </w:r>
      <w:r w:rsidR="00D87321">
        <w:t>o</w:t>
      </w:r>
      <w:r w:rsidR="00D87321">
        <w:t>priate marketing techniques the fund industry together with the consumer agency developed an agre</w:t>
      </w:r>
      <w:r w:rsidR="00D87321">
        <w:t>e</w:t>
      </w:r>
      <w:r w:rsidR="00D87321">
        <w:t>ment</w:t>
      </w:r>
      <w:r w:rsidR="00216790">
        <w:t xml:space="preserve"> and a guideline</w:t>
      </w:r>
      <w:r w:rsidR="00D87321">
        <w:t xml:space="preserve"> about marketing of funds in Sweden. </w:t>
      </w:r>
      <w:r w:rsidR="00633DB0">
        <w:t>The</w:t>
      </w:r>
      <w:r w:rsidR="00D87321">
        <w:t xml:space="preserve"> guideline is considered good practice in Sweden and address, among other things, </w:t>
      </w:r>
      <w:r w:rsidR="00216790">
        <w:t xml:space="preserve">performance scenarios. </w:t>
      </w:r>
    </w:p>
    <w:p w:rsidR="00216790" w:rsidRDefault="00216790" w:rsidP="00216790"/>
    <w:p w:rsidR="00216790" w:rsidRDefault="00216790" w:rsidP="00216790">
      <w:r>
        <w:t>According to the guideline it shall be clearly stated, in conjunction with suppositions regarding future pe</w:t>
      </w:r>
      <w:r>
        <w:t>r</w:t>
      </w:r>
      <w:r>
        <w:t>formance, that they are only to be considered as mathematical examples. Several alternatives should be provided in this context, using different preconditions. Mathematical examples to illustrate a fund’s future growth in value shall corr</w:t>
      </w:r>
      <w:r>
        <w:t>e</w:t>
      </w:r>
      <w:r>
        <w:t>spond, in their entirety, with good practice and must not be misleading in any respect. This means, amongst other things:</w:t>
      </w:r>
    </w:p>
    <w:p w:rsidR="00216790" w:rsidRDefault="00216790" w:rsidP="00216790">
      <w:pPr>
        <w:pStyle w:val="Liststycke"/>
        <w:numPr>
          <w:ilvl w:val="0"/>
          <w:numId w:val="51"/>
        </w:numPr>
      </w:pPr>
      <w:r>
        <w:t>that mathematical examples shall be based on cautious and clearly stated assumptions,</w:t>
      </w:r>
    </w:p>
    <w:p w:rsidR="00216790" w:rsidRDefault="00216790" w:rsidP="00216790">
      <w:pPr>
        <w:pStyle w:val="Liststycke"/>
        <w:numPr>
          <w:ilvl w:val="0"/>
          <w:numId w:val="51"/>
        </w:numPr>
      </w:pPr>
      <w:r>
        <w:t>and that it clearly must be stated that suppositions with regard to growth in value do not constitute a guarantee.</w:t>
      </w:r>
    </w:p>
    <w:p w:rsidR="00F31E57" w:rsidRDefault="00216790" w:rsidP="00216790">
      <w:r>
        <w:t>General information about the effect of inflation and tax implications for the consumer, if any, shall be provided when it is necessary to give a correct impression.</w:t>
      </w:r>
    </w:p>
    <w:p w:rsidR="00216790" w:rsidRDefault="00216790" w:rsidP="00216790"/>
    <w:p w:rsidR="00216790" w:rsidRDefault="00216790" w:rsidP="00216790">
      <w:r>
        <w:t xml:space="preserve">The effect of the guideline has been that performance scenarios are very seldom used in marketing. The reason is of course that it is very hard to explain performance scenarios to the customers in a way that is not misleading. Performance scenarios can easily be considered as </w:t>
      </w:r>
      <w:r w:rsidR="00633DB0">
        <w:t>a guarantee or promise</w:t>
      </w:r>
      <w:r>
        <w:t xml:space="preserve"> of future performance.  If, as is the case with PRIIPs, the objective is to provide the customers with a chance to compare different pro</w:t>
      </w:r>
      <w:r>
        <w:t>d</w:t>
      </w:r>
      <w:r>
        <w:t>ucts</w:t>
      </w:r>
      <w:r w:rsidR="00633DB0">
        <w:t xml:space="preserve"> it becomes even harder and clearly prescribed input parameters are essential</w:t>
      </w:r>
      <w:r w:rsidR="00561425">
        <w:t xml:space="preserve"> as well as close supervision</w:t>
      </w:r>
      <w:r w:rsidR="00633DB0">
        <w:t>.</w:t>
      </w:r>
      <w:r>
        <w:t xml:space="preserve"> </w:t>
      </w:r>
    </w:p>
    <w:bookmarkEnd w:id="3"/>
    <w:permEnd w:id="24"/>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w:t>
      </w:r>
      <w:r>
        <w:t>r</w:t>
      </w:r>
      <w:r>
        <w:t>ios? What other standardized scenarios may be fixed?</w:t>
      </w:r>
    </w:p>
    <w:p w:rsidR="00F31E57" w:rsidRDefault="00F31E57" w:rsidP="00F31E57"/>
    <w:p w:rsidR="00F31E57" w:rsidRDefault="00F31E57" w:rsidP="00F31E57">
      <w:r>
        <w:t>&lt;ESMA_QUESTION_PRIIPs_17&gt;</w:t>
      </w:r>
    </w:p>
    <w:p w:rsidR="00F31E57" w:rsidRDefault="00F31E57" w:rsidP="00F31E57">
      <w:permStart w:id="25" w:edGrp="everyone"/>
      <w:r>
        <w:t>TYPE YOUR TEXT HERE</w:t>
      </w:r>
    </w:p>
    <w:permEnd w:id="2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F31E57" w:rsidP="00F31E57">
      <w:permStart w:id="26" w:edGrp="everyone"/>
      <w:r>
        <w:t>TYPE YOUR TEXT HERE</w:t>
      </w:r>
    </w:p>
    <w:permEnd w:id="2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lastRenderedPageBreak/>
        <w:t>&lt;ESMA_QUESTION_PRIIPs_19&gt;</w:t>
      </w:r>
    </w:p>
    <w:p w:rsidR="00F31E57" w:rsidRDefault="00F31E57" w:rsidP="00F31E57">
      <w:permStart w:id="27" w:edGrp="everyone"/>
      <w:r>
        <w:t>TYPE YOUR TEXT HERE</w:t>
      </w:r>
    </w:p>
    <w:permEnd w:id="2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F31E57" w:rsidRDefault="00F31E57" w:rsidP="00F31E57">
      <w:permStart w:id="28" w:edGrp="everyone"/>
      <w:r>
        <w:t>TYPE YOUR TEXT HERE</w:t>
      </w:r>
    </w:p>
    <w:permEnd w:id="28"/>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Default="00F31E57" w:rsidP="00F31E57">
      <w:permStart w:id="29" w:edGrp="everyone"/>
      <w:r>
        <w:t>TYPE YOUR TEXT HERE</w:t>
      </w:r>
    </w:p>
    <w:permEnd w:id="29"/>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w:t>
      </w:r>
      <w:r>
        <w:t>o</w:t>
      </w:r>
      <w:r>
        <w:t>logical issues in computing performance in several holding periods?</w:t>
      </w:r>
    </w:p>
    <w:p w:rsidR="00F31E57" w:rsidRDefault="00F31E57" w:rsidP="00F31E57"/>
    <w:p w:rsidR="00F31E57" w:rsidRDefault="00F31E57" w:rsidP="00F31E57">
      <w:r>
        <w:t>&lt;ESMA_QUESTION_PRIIPs_22&gt;</w:t>
      </w:r>
    </w:p>
    <w:p w:rsidR="00F31E57" w:rsidRDefault="00F31E57" w:rsidP="00F31E57">
      <w:permStart w:id="30" w:edGrp="everyone"/>
      <w:r>
        <w:t>TYPE YOUR TEXT HERE</w:t>
      </w:r>
    </w:p>
    <w:permEnd w:id="30"/>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F31E57" w:rsidRDefault="00F31E57" w:rsidP="00F31E57">
      <w:permStart w:id="31" w:edGrp="everyone"/>
      <w:r>
        <w:t>TYPE YOUR TEXT HERE</w:t>
      </w:r>
    </w:p>
    <w:permEnd w:id="31"/>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F31E57" w:rsidRDefault="00F31E57" w:rsidP="00F31E57">
      <w:permStart w:id="32" w:edGrp="everyone"/>
      <w:r>
        <w:t>TYPE YOUR TEXT HERE</w:t>
      </w:r>
    </w:p>
    <w:permEnd w:id="32"/>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F31E57" w:rsidP="00F31E57">
      <w:permStart w:id="33" w:edGrp="everyone"/>
      <w:r>
        <w:t>TYPE YOUR TEXT HERE</w:t>
      </w:r>
    </w:p>
    <w:permEnd w:id="33"/>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Default="00F31E57" w:rsidP="00F31E57">
      <w:permStart w:id="34" w:edGrp="everyone"/>
      <w:r>
        <w:t>TYPE YOUR TEXT HERE</w:t>
      </w:r>
    </w:p>
    <w:permEnd w:id="34"/>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w:t>
      </w:r>
      <w:r>
        <w:rPr>
          <w:rFonts w:cs="Arial"/>
        </w:rPr>
        <w:t>r</w:t>
      </w:r>
      <w:r>
        <w:rPr>
          <w:rFonts w:cs="Arial"/>
        </w:rPr>
        <w:t>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Default="00F31E57" w:rsidP="00F31E57">
      <w:permStart w:id="35" w:edGrp="everyone"/>
      <w:r>
        <w:t>TYPE YOUR TEXT HERE</w:t>
      </w:r>
    </w:p>
    <w:permEnd w:id="35"/>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F31E57" w:rsidRDefault="00F31E57" w:rsidP="00F31E57">
      <w:permStart w:id="36" w:edGrp="everyone"/>
      <w:r>
        <w:t>TYPE YOUR TEXT HERE</w:t>
      </w:r>
    </w:p>
    <w:permEnd w:id="36"/>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37" w:edGrp="everyone"/>
      <w:r>
        <w:t>TYPE YOUR TEXT HERE</w:t>
      </w:r>
    </w:p>
    <w:permEnd w:id="37"/>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w:t>
      </w:r>
      <w:r>
        <w:rPr>
          <w:rFonts w:cs="Arial"/>
        </w:rPr>
        <w:t>i</w:t>
      </w:r>
      <w:r>
        <w:rPr>
          <w:rFonts w:cs="Arial"/>
        </w:rPr>
        <w:t>tion of Costs for capital guarantee or capital protection would you suggest? (Contr</w:t>
      </w:r>
      <w:r>
        <w:rPr>
          <w:rFonts w:cs="Arial"/>
        </w:rPr>
        <w:t>i</w:t>
      </w:r>
      <w:r>
        <w:rPr>
          <w:rFonts w:cs="Arial"/>
        </w:rPr>
        <w:t>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F31E57" w:rsidP="00F31E57">
      <w:permStart w:id="38" w:edGrp="everyone"/>
      <w:r>
        <w:t>TYPE YOUR TEXT HERE</w:t>
      </w:r>
    </w:p>
    <w:permEnd w:id="38"/>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are the specific issues in relation to this type of costs? Should the scope of these costs be narrowed to administrative costs in connection with investments in d</w:t>
      </w:r>
      <w:r>
        <w:rPr>
          <w:rFonts w:cs="Arial"/>
        </w:rPr>
        <w:t>e</w:t>
      </w:r>
      <w:r>
        <w:rPr>
          <w:rFonts w:cs="Arial"/>
        </w:rPr>
        <w:t xml:space="preserv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Default="00F31E57" w:rsidP="00F31E57">
      <w:permStart w:id="39" w:edGrp="everyone"/>
      <w:r>
        <w:t>TYPE YOUR TEXT HERE</w:t>
      </w:r>
    </w:p>
    <w:permEnd w:id="39"/>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F31E57" w:rsidP="00F31E57">
      <w:permStart w:id="40" w:edGrp="everyone"/>
      <w:r>
        <w:lastRenderedPageBreak/>
        <w:t>TYPE YOUR TEXT HERE</w:t>
      </w:r>
    </w:p>
    <w:permEnd w:id="40"/>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F31E57" w:rsidRDefault="00F31E57" w:rsidP="00F31E57">
      <w:permStart w:id="41" w:edGrp="everyone"/>
      <w:r>
        <w:t>TYPE YOUR TEXT HERE</w:t>
      </w:r>
    </w:p>
    <w:permEnd w:id="4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F31E57" w:rsidP="00F31E57">
      <w:permStart w:id="42" w:edGrp="everyone"/>
      <w:r>
        <w:t>TYPE YOUR TEXT HERE</w:t>
      </w:r>
    </w:p>
    <w:permEnd w:id="42"/>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w:t>
      </w:r>
      <w:r>
        <w:rPr>
          <w:rFonts w:cs="Arial"/>
        </w:rPr>
        <w:t>m</w:t>
      </w:r>
      <w:r>
        <w:rPr>
          <w:rFonts w:cs="Arial"/>
        </w:rPr>
        <w:t>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F31E57" w:rsidP="00F31E57">
      <w:permStart w:id="43" w:edGrp="everyone"/>
      <w:r>
        <w:t>TYPE YOUR TEXT HERE</w:t>
      </w:r>
    </w:p>
    <w:permEnd w:id="43"/>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w:t>
      </w:r>
      <w:r>
        <w:rPr>
          <w:rFonts w:eastAsia="Times New Roman" w:cs="Arial"/>
          <w:lang w:eastAsia="en-GB"/>
        </w:rPr>
        <w:t>k</w:t>
      </w:r>
      <w:r>
        <w:rPr>
          <w:rFonts w:eastAsia="Times New Roman" w:cs="Arial"/>
          <w:lang w:eastAsia="en-GB"/>
        </w:rPr>
        <w:t>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F31E57" w:rsidP="00F31E57">
      <w:permStart w:id="44" w:edGrp="everyone"/>
      <w:r>
        <w:t>TYPE YOUR TEXT HERE</w:t>
      </w:r>
    </w:p>
    <w:permEnd w:id="44"/>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tnotsreferens"/>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F31E57" w:rsidRDefault="00F31E57" w:rsidP="00F31E57">
      <w:permStart w:id="45" w:edGrp="everyone"/>
      <w:r>
        <w:t>TYPE YOUR TEXT HERE</w:t>
      </w:r>
    </w:p>
    <w:permEnd w:id="45"/>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w:t>
      </w:r>
      <w:r>
        <w:rPr>
          <w:rFonts w:cs="Arial"/>
        </w:rPr>
        <w:t>s</w:t>
      </w:r>
      <w:r>
        <w:rPr>
          <w:rFonts w:cs="Arial"/>
        </w:rPr>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F31E57" w:rsidRDefault="00F31E57" w:rsidP="00F31E57">
      <w:permStart w:id="46" w:edGrp="everyone"/>
      <w:r>
        <w:t>TYPE YOUR TEXT HERE</w:t>
      </w:r>
    </w:p>
    <w:permEnd w:id="46"/>
    <w:p w:rsidR="00F31E57" w:rsidRDefault="00F31E57" w:rsidP="00F31E57">
      <w:r>
        <w:lastRenderedPageBreak/>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F31E57" w:rsidP="00F31E57">
      <w:permStart w:id="47" w:edGrp="everyone"/>
      <w:r>
        <w:t>TYPE YOUR TEXT HERE</w:t>
      </w:r>
    </w:p>
    <w:permEnd w:id="47"/>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F31E57" w:rsidP="00F31E57">
      <w:permStart w:id="48" w:edGrp="everyone"/>
      <w:r>
        <w:t>TYPE YOUR TEXT HERE</w:t>
      </w:r>
    </w:p>
    <w:permEnd w:id="48"/>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w:t>
      </w:r>
      <w:r>
        <w:rPr>
          <w:rFonts w:cs="Arial"/>
        </w:rPr>
        <w:t>e</w:t>
      </w:r>
      <w:r>
        <w:rPr>
          <w:rFonts w:cs="Arial"/>
        </w:rPr>
        <w:t>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49" w:edGrp="everyone"/>
      <w:r>
        <w:t>TYPE YOUR TEXT HERE</w:t>
      </w:r>
    </w:p>
    <w:permEnd w:id="49"/>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w:t>
      </w:r>
      <w:r>
        <w:rPr>
          <w:rFonts w:cs="Arial"/>
        </w:rPr>
        <w:t>o</w:t>
      </w:r>
      <w:r>
        <w:rPr>
          <w:rFonts w:cs="Arial"/>
        </w:rPr>
        <w:t>sure of the PRIIPs Regulation?</w:t>
      </w:r>
    </w:p>
    <w:p w:rsidR="00F31E57" w:rsidRDefault="00F31E57" w:rsidP="00F31E57">
      <w:pPr>
        <w:rPr>
          <w:rFonts w:cstheme="minorBidi"/>
        </w:rPr>
      </w:pPr>
    </w:p>
    <w:p w:rsidR="00F31E57" w:rsidRDefault="00F31E57" w:rsidP="00F31E57">
      <w:r>
        <w:t>&lt;ESMA_QUESTION_PRIIPs_42&gt;</w:t>
      </w:r>
    </w:p>
    <w:p w:rsidR="00F31E57" w:rsidRDefault="00F31E57" w:rsidP="00F31E57">
      <w:permStart w:id="50" w:edGrp="everyone"/>
      <w:r>
        <w:t>TYPE YOUR TEXT HERE</w:t>
      </w:r>
    </w:p>
    <w:permEnd w:id="5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51" w:edGrp="everyone"/>
      <w:r>
        <w:t>TYPE YOUR TEXT HERE</w:t>
      </w:r>
    </w:p>
    <w:permEnd w:id="51"/>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w:t>
      </w:r>
      <w:r>
        <w:rPr>
          <w:rFonts w:cs="Arial"/>
        </w:rPr>
        <w:t>o</w:t>
      </w:r>
      <w:r>
        <w:rPr>
          <w:rFonts w:cs="Arial"/>
        </w:rPr>
        <w:t>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52" w:edGrp="everyone"/>
      <w:r>
        <w:t>TYPE YOUR TEXT HERE</w:t>
      </w:r>
    </w:p>
    <w:permEnd w:id="52"/>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Which of the above mentioned options 1 and 2 for the calculation of aggregate costs would you prefer? Do you agree with above mentioned assumptions on the specific</w:t>
      </w:r>
      <w:r>
        <w:rPr>
          <w:rFonts w:eastAsia="Times New Roman" w:cs="Arial"/>
          <w:lang w:eastAsia="hu-HU"/>
        </w:rPr>
        <w:t>i</w:t>
      </w:r>
      <w:r>
        <w:rPr>
          <w:rFonts w:eastAsia="Times New Roman" w:cs="Arial"/>
          <w:lang w:eastAsia="hu-HU"/>
        </w:rPr>
        <w:lastRenderedPageBreak/>
        <w:t>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w:t>
      </w:r>
      <w:r>
        <w:rPr>
          <w:rFonts w:eastAsia="Times New Roman" w:cs="Arial"/>
          <w:lang w:eastAsia="hu-HU"/>
        </w:rPr>
        <w:t>c</w:t>
      </w:r>
      <w:r>
        <w:rPr>
          <w:rFonts w:eastAsia="Times New Roman" w:cs="Arial"/>
          <w:lang w:eastAsia="hu-HU"/>
        </w:rPr>
        <w:t xml:space="preserve">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53" w:edGrp="everyone"/>
      <w:r>
        <w:t>TYPE YOUR TEXT HERE</w:t>
      </w:r>
    </w:p>
    <w:permEnd w:id="5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F31E57" w:rsidRDefault="00F31E57" w:rsidP="00F31E57">
      <w:permStart w:id="54" w:edGrp="everyone"/>
      <w:r>
        <w:t>TYPE YOUR TEXT HERE</w:t>
      </w:r>
    </w:p>
    <w:permEnd w:id="54"/>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55" w:edGrp="everyone"/>
      <w:r>
        <w:t>TYPE YOUR TEXT HERE</w:t>
      </w:r>
    </w:p>
    <w:permEnd w:id="55"/>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56" w:edGrp="everyone"/>
      <w:r>
        <w:t>TYPE YOUR TEXT HERE</w:t>
      </w:r>
    </w:p>
    <w:permEnd w:id="56"/>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F31E57" w:rsidRDefault="00F31E57" w:rsidP="00F31E57">
      <w:permStart w:id="57" w:edGrp="everyone"/>
      <w:r>
        <w:t>TYPE YOUR TEXT HERE</w:t>
      </w:r>
    </w:p>
    <w:permEnd w:id="57"/>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58" w:edGrp="everyone"/>
      <w:r>
        <w:t>TYPE YOUR TEXT HERE</w:t>
      </w:r>
    </w:p>
    <w:permEnd w:id="58"/>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9" w:edGrp="everyone"/>
      <w:r>
        <w:t>TYPE YOUR TEXT HERE</w:t>
      </w:r>
    </w:p>
    <w:permEnd w:id="59"/>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lastRenderedPageBreak/>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60" w:edGrp="everyone"/>
      <w:r>
        <w:t>TYPE YOUR TEXT HERE</w:t>
      </w:r>
    </w:p>
    <w:permEnd w:id="60"/>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61" w:edGrp="everyone"/>
      <w:r>
        <w:t>TYPE YOUR TEXT HERE</w:t>
      </w:r>
    </w:p>
    <w:permEnd w:id="61"/>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62" w:edGrp="everyone"/>
      <w:r>
        <w:t>TYPE YOUR TEXT HERE</w:t>
      </w:r>
    </w:p>
    <w:permEnd w:id="62"/>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63" w:edGrp="everyone"/>
      <w:r>
        <w:t>TYPE YOUR TEXT HERE</w:t>
      </w:r>
    </w:p>
    <w:permEnd w:id="63"/>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w:t>
      </w:r>
      <w:r>
        <w:rPr>
          <w:rFonts w:cs="Arial"/>
        </w:rPr>
        <w:t>h</w:t>
      </w:r>
      <w:r>
        <w:rPr>
          <w:rFonts w:cs="Arial"/>
        </w:rPr>
        <w:t>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64" w:edGrp="everyone"/>
      <w:r>
        <w:t>TYPE YOUR TEXT HERE</w:t>
      </w:r>
    </w:p>
    <w:permEnd w:id="6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65" w:edGrp="everyone"/>
      <w:r>
        <w:t>TYPE YOUR TEXT HERE</w:t>
      </w:r>
    </w:p>
    <w:permEnd w:id="65"/>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think the list of costs of life-insurance products presented above is compr</w:t>
      </w:r>
      <w:r>
        <w:rPr>
          <w:rFonts w:cs="Arial"/>
        </w:rPr>
        <w:t>e</w:t>
      </w:r>
      <w:r>
        <w:rPr>
          <w:rFonts w:cs="Arial"/>
        </w:rPr>
        <w:t xml:space="preserv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66" w:edGrp="everyone"/>
      <w:r>
        <w:t>TYPE YOUR TEXT HERE</w:t>
      </w:r>
    </w:p>
    <w:permEnd w:id="66"/>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F31E57" w:rsidRDefault="00F31E57" w:rsidP="00F31E57">
      <w:permStart w:id="67" w:edGrp="everyone"/>
      <w:r>
        <w:t>TYPE YOUR TEXT HERE</w:t>
      </w:r>
    </w:p>
    <w:permEnd w:id="67"/>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w:t>
      </w:r>
      <w:r>
        <w:rPr>
          <w:rFonts w:cs="Arial"/>
          <w:color w:val="000000"/>
          <w:lang w:eastAsia="it-IT"/>
        </w:rPr>
        <w:t>c</w:t>
      </w:r>
      <w:r>
        <w:rPr>
          <w:rFonts w:cs="Arial"/>
          <w:color w:val="000000"/>
          <w:lang w:eastAsia="it-IT"/>
        </w:rPr>
        <w:t>tured deposits? Do you think that the potential external guarantees of structured d</w:t>
      </w:r>
      <w:r>
        <w:rPr>
          <w:rFonts w:cs="Arial"/>
          <w:color w:val="000000"/>
          <w:lang w:eastAsia="it-IT"/>
        </w:rPr>
        <w:t>e</w:t>
      </w:r>
      <w:r>
        <w:rPr>
          <w:rFonts w:cs="Arial"/>
          <w:color w:val="000000"/>
          <w:lang w:eastAsia="it-IT"/>
        </w:rPr>
        <w:t>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Default="00F31E57" w:rsidP="00F31E57">
      <w:permStart w:id="68" w:edGrp="everyone"/>
      <w:r>
        <w:t>TYPE YOUR TEXT HERE</w:t>
      </w:r>
    </w:p>
    <w:permEnd w:id="68"/>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w:t>
      </w:r>
      <w:r>
        <w:rPr>
          <w:rFonts w:cs="Arial"/>
        </w:rPr>
        <w:t>e</w:t>
      </w:r>
      <w:r>
        <w:rPr>
          <w:rFonts w:cs="Arial"/>
        </w:rPr>
        <w:t>fined?</w:t>
      </w:r>
    </w:p>
    <w:p w:rsidR="00F31E57" w:rsidRDefault="00F31E57" w:rsidP="00F31E57">
      <w:pPr>
        <w:rPr>
          <w:rFonts w:cstheme="minorBidi"/>
        </w:rPr>
      </w:pPr>
    </w:p>
    <w:p w:rsidR="00F31E57" w:rsidRDefault="00F31E57" w:rsidP="00F31E57">
      <w:r>
        <w:t>&lt;ESMA_QUESTION_PRIIPs_61&gt;</w:t>
      </w:r>
    </w:p>
    <w:p w:rsidR="00F31E57" w:rsidRDefault="00F31E57" w:rsidP="00F31E57">
      <w:permStart w:id="69" w:edGrp="everyone"/>
      <w:r>
        <w:t>TYPE YOUR TEXT HERE</w:t>
      </w:r>
    </w:p>
    <w:permEnd w:id="69"/>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you think these types of costs should be further defined and d</w:t>
      </w:r>
      <w:r>
        <w:rPr>
          <w:rFonts w:cs="Arial"/>
        </w:rPr>
        <w:t>e</w:t>
      </w:r>
      <w:r>
        <w:rPr>
          <w:rFonts w:cs="Arial"/>
        </w:rPr>
        <w:t xml:space="preserve">tailed? </w:t>
      </w:r>
    </w:p>
    <w:p w:rsidR="00F31E57" w:rsidRDefault="00F31E57" w:rsidP="00F31E57">
      <w:pPr>
        <w:rPr>
          <w:rFonts w:cstheme="minorBidi"/>
        </w:rPr>
      </w:pPr>
    </w:p>
    <w:p w:rsidR="00F31E57" w:rsidRDefault="00F31E57" w:rsidP="00F31E57">
      <w:r>
        <w:t>&lt;ESMA_QUESTION_PRIIPs_62&gt;</w:t>
      </w:r>
    </w:p>
    <w:p w:rsidR="00F31E57" w:rsidRDefault="00F31E57" w:rsidP="00F31E57">
      <w:permStart w:id="70" w:edGrp="everyone"/>
      <w:r>
        <w:t>TYPE YOUR TEXT HERE</w:t>
      </w:r>
    </w:p>
    <w:permEnd w:id="70"/>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F31E57" w:rsidRDefault="00F31E57" w:rsidP="00F31E57">
      <w:permStart w:id="71" w:edGrp="everyone"/>
      <w:r>
        <w:t>TYPE YOUR TEXT HERE</w:t>
      </w:r>
    </w:p>
    <w:permEnd w:id="7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w:t>
      </w:r>
      <w:r>
        <w:rPr>
          <w:rFonts w:cs="Arial"/>
        </w:rPr>
        <w:t>e</w:t>
      </w:r>
      <w:r>
        <w:rPr>
          <w:rFonts w:cs="Arial"/>
        </w:rPr>
        <w:t>quire more precise definitions? To what extent should the methodology be prescri</w:t>
      </w:r>
      <w:r>
        <w:rPr>
          <w:rFonts w:cs="Arial"/>
        </w:rPr>
        <w:t>p</w:t>
      </w:r>
      <w:r>
        <w:rPr>
          <w:rFonts w:cs="Arial"/>
        </w:rPr>
        <w:t>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F31E57" w:rsidRDefault="00F31E57" w:rsidP="00F31E57">
      <w:permStart w:id="72" w:edGrp="everyone"/>
      <w:r>
        <w:t>TYPE YOUR TEXT HERE</w:t>
      </w:r>
    </w:p>
    <w:permEnd w:id="72"/>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F31E57" w:rsidRDefault="00F31E57" w:rsidP="00F31E57">
      <w:permStart w:id="73" w:edGrp="everyone"/>
      <w:r>
        <w:lastRenderedPageBreak/>
        <w:t>TYPE YOUR TEXT HERE</w:t>
      </w:r>
    </w:p>
    <w:permEnd w:id="73"/>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Default="00F31E57" w:rsidP="00F31E57">
      <w:permStart w:id="74" w:edGrp="everyone"/>
      <w:r>
        <w:t>TYPE YOUR TEXT HERE</w:t>
      </w:r>
    </w:p>
    <w:permEnd w:id="74"/>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w:t>
      </w:r>
      <w:r>
        <w:rPr>
          <w:rFonts w:cs="Arial"/>
        </w:rPr>
        <w:t>n</w:t>
      </w:r>
      <w:r>
        <w:rPr>
          <w:rFonts w:cs="Arial"/>
        </w:rPr>
        <w:t>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75" w:edGrp="everyone"/>
      <w:r>
        <w:t>TYPE YOUR TEXT HERE</w:t>
      </w:r>
    </w:p>
    <w:permEnd w:id="75"/>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Default="00F31E57" w:rsidP="00F31E57">
      <w:permStart w:id="76" w:edGrp="everyone"/>
      <w:r>
        <w:t>TYPE YOUR TEXT HERE</w:t>
      </w:r>
    </w:p>
    <w:permEnd w:id="76"/>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F31E57" w:rsidRDefault="00F31E57" w:rsidP="00F31E57">
      <w:permStart w:id="77" w:edGrp="everyone"/>
      <w:r>
        <w:t>TYPE YOUR TEXT HERE</w:t>
      </w:r>
    </w:p>
    <w:permEnd w:id="77"/>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F31E57" w:rsidRDefault="00F31E57" w:rsidP="00F31E57">
      <w:permStart w:id="78" w:edGrp="everyone"/>
      <w:r>
        <w:t>TYPE YOUR TEXT HERE</w:t>
      </w:r>
    </w:p>
    <w:permEnd w:id="78"/>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F31E57" w:rsidRDefault="00F31E57" w:rsidP="00F31E57">
      <w:permStart w:id="79" w:edGrp="everyone"/>
      <w:r>
        <w:t>TYPE YOUR TEXT HERE</w:t>
      </w:r>
    </w:p>
    <w:permEnd w:id="79"/>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lastRenderedPageBreak/>
        <w:t>&lt;ESMA_QUESTION_PRIIPs_72&gt;</w:t>
      </w:r>
    </w:p>
    <w:p w:rsidR="00F31E57" w:rsidRDefault="00F31E57" w:rsidP="00F31E57">
      <w:permStart w:id="80" w:edGrp="everyone"/>
      <w:r>
        <w:t>TYPE YOUR TEXT HERE</w:t>
      </w:r>
    </w:p>
    <w:permEnd w:id="8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F31E57" w:rsidRDefault="00F31E57" w:rsidP="00F31E57">
      <w:permStart w:id="81" w:edGrp="everyone"/>
      <w:r>
        <w:t>TYPE YOUR TEXT HERE</w:t>
      </w:r>
    </w:p>
    <w:permEnd w:id="81"/>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F31E57" w:rsidP="00F31E57">
      <w:permStart w:id="82" w:edGrp="everyone"/>
      <w:r>
        <w:t>TYPE YOUR TEXT HERE</w:t>
      </w:r>
    </w:p>
    <w:permEnd w:id="82"/>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F31E57" w:rsidRDefault="00F31E57" w:rsidP="00F31E57">
      <w:permStart w:id="83" w:edGrp="everyone"/>
      <w:r>
        <w:t>TYPE YOUR TEXT HERE</w:t>
      </w:r>
    </w:p>
    <w:permEnd w:id="83"/>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F31E57" w:rsidP="00F31E57">
      <w:permStart w:id="84" w:edGrp="everyone"/>
      <w:r>
        <w:t>TYPE YOUR TEXT HERE</w:t>
      </w:r>
    </w:p>
    <w:permEnd w:id="84"/>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85" w:edGrp="everyone"/>
      <w:r>
        <w:t>TYPE YOUR TEXT HERE</w:t>
      </w:r>
    </w:p>
    <w:permEnd w:id="8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F31E57" w:rsidRDefault="00F31E57" w:rsidP="00F31E57">
      <w:permStart w:id="86" w:edGrp="everyone"/>
      <w:r>
        <w:t>TYPE YOUR TEXT HERE</w:t>
      </w:r>
    </w:p>
    <w:permEnd w:id="86"/>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Default="00F31E57" w:rsidP="00F31E57">
      <w:permStart w:id="87" w:edGrp="everyone"/>
      <w:r>
        <w:t>TYPE YOUR TEXT HERE</w:t>
      </w:r>
    </w:p>
    <w:permEnd w:id="8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F31E57" w:rsidP="00F31E57">
      <w:permStart w:id="88" w:edGrp="everyone"/>
      <w:r>
        <w:t>TYPE YOUR TEXT HERE</w:t>
      </w:r>
    </w:p>
    <w:permEnd w:id="88"/>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89" w:edGrp="everyone"/>
      <w:r>
        <w:t>TYPE YOUR TEXT HERE</w:t>
      </w:r>
    </w:p>
    <w:permEnd w:id="89"/>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F31E57" w:rsidRDefault="00F31E57" w:rsidP="00F31E57">
      <w:permStart w:id="90" w:edGrp="everyone"/>
      <w:r>
        <w:t>TYPE YOUR TEXT HERE</w:t>
      </w:r>
    </w:p>
    <w:permEnd w:id="90"/>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F31E57" w:rsidP="00F31E57">
      <w:permStart w:id="91" w:edGrp="everyone"/>
      <w:r>
        <w:t>TYPE YOUR TEXT HERE</w:t>
      </w:r>
    </w:p>
    <w:permEnd w:id="91"/>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Default="00F31E57" w:rsidP="00F31E57">
      <w:permStart w:id="92" w:edGrp="everyone"/>
      <w:r>
        <w:t>TYPE YOUR TEXT HERE</w:t>
      </w:r>
    </w:p>
    <w:permEnd w:id="92"/>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w:t>
      </w:r>
      <w:r>
        <w:rPr>
          <w:rFonts w:cs="Arial"/>
        </w:rPr>
        <w:t>d</w:t>
      </w:r>
      <w:r>
        <w:rPr>
          <w:rFonts w:cs="Arial"/>
        </w:rPr>
        <w:t>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lastRenderedPageBreak/>
        <w:t>&lt;ESMA_QUESTION_PRIIPs_85&gt;</w:t>
      </w:r>
    </w:p>
    <w:p w:rsidR="00F31E57" w:rsidRDefault="00F31E57" w:rsidP="00F31E57">
      <w:permStart w:id="93" w:edGrp="everyone"/>
      <w:r>
        <w:t>TYPE YOUR TEXT HERE</w:t>
      </w:r>
    </w:p>
    <w:permEnd w:id="93"/>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w:t>
      </w:r>
      <w:r>
        <w:rPr>
          <w:rFonts w:cs="Arial"/>
        </w:rPr>
        <w:t>r</w:t>
      </w:r>
      <w:r>
        <w:rPr>
          <w:rFonts w:cs="Arial"/>
        </w:rPr>
        <w:t>tized costs to the invested amount in the fund. However in that case the question r</w:t>
      </w:r>
      <w:r>
        <w:rPr>
          <w:rFonts w:cs="Arial"/>
        </w:rPr>
        <w:t>e</w:t>
      </w:r>
      <w:r>
        <w:rPr>
          <w:rFonts w:cs="Arial"/>
        </w:rPr>
        <w:t>mains as to how to aggregate this ratio with the on-going charges ratio. Another po</w:t>
      </w:r>
      <w:r>
        <w:rPr>
          <w:rFonts w:cs="Arial"/>
        </w:rPr>
        <w:t>s</w:t>
      </w:r>
      <w:r>
        <w:rPr>
          <w:rFonts w:cs="Arial"/>
        </w:rPr>
        <w:t>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F31E57" w:rsidP="00F31E57">
      <w:permStart w:id="94" w:edGrp="everyone"/>
      <w:r>
        <w:t>TYPE YOUR TEXT HERE</w:t>
      </w:r>
    </w:p>
    <w:permEnd w:id="94"/>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life-insurance products? What about the case of regular payments or regular increasing? Which definition would you favour? How to ensure a level playing field and a common defin</w:t>
      </w:r>
      <w:r>
        <w:rPr>
          <w:rFonts w:cs="Arial"/>
        </w:rPr>
        <w:t>i</w:t>
      </w:r>
      <w:r>
        <w:rPr>
          <w:rFonts w:cs="Arial"/>
        </w:rPr>
        <w:t>tion with the other types of PRIIPs in this regard? Another possible approach could be to use the ratio between the total amount of costs over the holding period and the a</w:t>
      </w:r>
      <w:r>
        <w:rPr>
          <w:rFonts w:cs="Arial"/>
        </w:rPr>
        <w:t>v</w:t>
      </w:r>
      <w:r>
        <w:rPr>
          <w:rFonts w:cs="Arial"/>
        </w:rPr>
        <w:t>erage net investment (assumed during the whole period, in order to take into account future additional investments, partial withdrawals, payments (i.e. programmed i</w:t>
      </w:r>
      <w:r>
        <w:rPr>
          <w:rFonts w:cs="Arial"/>
        </w:rPr>
        <w:t>n</w:t>
      </w:r>
      <w:r>
        <w:rPr>
          <w:rFonts w:cs="Arial"/>
        </w:rPr>
        <w:t xml:space="preserve">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F31E57" w:rsidP="00F31E57">
      <w:permStart w:id="95" w:edGrp="everyone"/>
      <w:r>
        <w:t>TYPE YOUR TEXT HERE</w:t>
      </w:r>
    </w:p>
    <w:permEnd w:id="95"/>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w:t>
      </w:r>
      <w:r>
        <w:rPr>
          <w:rFonts w:cs="Arial"/>
        </w:rPr>
        <w:t>d</w:t>
      </w:r>
      <w:r>
        <w:rPr>
          <w:rFonts w:cs="Arial"/>
        </w:rPr>
        <w:t>ucts? Do you identify other specific issues in relation to the TCR if applied to stru</w:t>
      </w:r>
      <w:r>
        <w:rPr>
          <w:rFonts w:cs="Arial"/>
        </w:rPr>
        <w:t>c</w:t>
      </w:r>
      <w:r>
        <w:rPr>
          <w:rFonts w:cs="Arial"/>
        </w:rPr>
        <w:t>tured products? Another possible approach could be to use the ratio between the t</w:t>
      </w:r>
      <w:r>
        <w:rPr>
          <w:rFonts w:cs="Arial"/>
        </w:rPr>
        <w:t>o</w:t>
      </w:r>
      <w:r>
        <w:rPr>
          <w:rFonts w:cs="Arial"/>
        </w:rPr>
        <w:t>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w:t>
      </w:r>
      <w:r>
        <w:rPr>
          <w:rFonts w:cs="Arial"/>
        </w:rPr>
        <w:t>i</w:t>
      </w:r>
      <w:r>
        <w:rPr>
          <w:rFonts w:cs="Arial"/>
        </w:rPr>
        <w:t>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F31E57" w:rsidRDefault="00F31E57" w:rsidP="00F31E57">
      <w:permStart w:id="96" w:edGrp="everyone"/>
      <w:r>
        <w:lastRenderedPageBreak/>
        <w:t>TYPE YOUR TEXT HERE</w:t>
      </w:r>
    </w:p>
    <w:permEnd w:id="96"/>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w:t>
      </w:r>
      <w:r>
        <w:rPr>
          <w:rFonts w:cs="Arial"/>
        </w:rPr>
        <w:t>y</w:t>
      </w:r>
      <w:r>
        <w:rPr>
          <w:rFonts w:cs="Arial"/>
        </w:rPr>
        <w:t>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F31E57" w:rsidP="00F31E57">
      <w:permStart w:id="97" w:edGrp="everyone"/>
      <w:r>
        <w:t>TYPE YOUR TEXT HERE</w:t>
      </w:r>
    </w:p>
    <w:permEnd w:id="9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F31E57" w:rsidP="00F31E57">
      <w:permStart w:id="98" w:edGrp="everyone"/>
      <w:r>
        <w:t>TYPE YOUR TEXT HERE</w:t>
      </w:r>
    </w:p>
    <w:permEnd w:id="98"/>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Default="00F31E57" w:rsidP="00F31E57">
      <w:permStart w:id="99" w:edGrp="everyone"/>
      <w:r>
        <w:t>TYPE YOUR TEXT HERE</w:t>
      </w:r>
    </w:p>
    <w:permEnd w:id="99"/>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Do you think this methodology should be further detailed? To what extent do you think this methodology is appropriate and feasible (notably in terms of calibration of the model)? It might indeed be considered that valuation models for Solvency II us</w:t>
      </w:r>
      <w:r>
        <w:rPr>
          <w:rFonts w:cs="Arial"/>
        </w:rPr>
        <w:t>u</w:t>
      </w:r>
      <w:r>
        <w:rPr>
          <w:rFonts w:cs="Arial"/>
        </w:rPr>
        <w:t>ally are not likely to be designed for per contract calculations. Life insurers may r</w:t>
      </w:r>
      <w:r>
        <w:rPr>
          <w:rFonts w:cs="Arial"/>
        </w:rPr>
        <w:t>e</w:t>
      </w:r>
      <w:r>
        <w:rPr>
          <w:rFonts w:cs="Arial"/>
        </w:rPr>
        <w:t>strict the calculation of technical provisions in the Solvency II-Balance-Sheet to h</w:t>
      </w:r>
      <w:r>
        <w:rPr>
          <w:rFonts w:cs="Arial"/>
        </w:rPr>
        <w:t>o</w:t>
      </w:r>
      <w:r>
        <w:rPr>
          <w:rFonts w:cs="Arial"/>
        </w:rPr>
        <w:t xml:space="preserve">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00" w:edGrp="everyone"/>
      <w:r>
        <w:t>TYPE YOUR TEXT HERE</w:t>
      </w:r>
    </w:p>
    <w:permEnd w:id="100"/>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w:t>
      </w:r>
      <w:r>
        <w:rPr>
          <w:rFonts w:cs="Arial"/>
        </w:rPr>
        <w:t>p</w:t>
      </w:r>
      <w:r>
        <w:rPr>
          <w:rFonts w:cs="Arial"/>
        </w:rPr>
        <w:t>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101" w:edGrp="everyone"/>
      <w:r>
        <w:t>TYPE YOUR TEXT HERE</w:t>
      </w:r>
    </w:p>
    <w:permEnd w:id="101"/>
    <w:p w:rsidR="00F31E57" w:rsidRDefault="00F31E57" w:rsidP="00F31E57">
      <w:r>
        <w:lastRenderedPageBreak/>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w:t>
      </w:r>
      <w:r>
        <w:rPr>
          <w:rFonts w:cs="Arial"/>
        </w:rPr>
        <w:t>a</w:t>
      </w:r>
      <w:r>
        <w:rPr>
          <w:rFonts w:cs="Arial"/>
        </w:rPr>
        <w:t>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102" w:edGrp="everyone"/>
      <w:r>
        <w:t>TYPE YOUR TEXT HERE</w:t>
      </w:r>
    </w:p>
    <w:permEnd w:id="102"/>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F31E57" w:rsidRDefault="00F31E57" w:rsidP="00F31E57">
      <w:permStart w:id="103" w:edGrp="everyone"/>
      <w:r>
        <w:t>TYPE YOUR TEXT HERE</w:t>
      </w:r>
    </w:p>
    <w:permEnd w:id="103"/>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F31E57" w:rsidP="00F31E57">
      <w:permStart w:id="104" w:edGrp="everyone"/>
      <w:r>
        <w:t>TYPE YOUR TEXT HERE</w:t>
      </w:r>
    </w:p>
    <w:permEnd w:id="104"/>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F31E57" w:rsidP="00F31E57">
      <w:permStart w:id="105" w:edGrp="everyone"/>
      <w:r>
        <w:t>TYPE YOUR TEXT HERE</w:t>
      </w:r>
    </w:p>
    <w:permEnd w:id="10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106" w:edGrp="everyone"/>
      <w:r>
        <w:t>TYPE YOUR TEXT HERE</w:t>
      </w:r>
    </w:p>
    <w:permEnd w:id="106"/>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07" w:edGrp="everyone"/>
      <w:r>
        <w:t>TYPE YOUR TEXT HERE</w:t>
      </w:r>
    </w:p>
    <w:permEnd w:id="107"/>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790" w:rsidRDefault="00216790">
      <w:r>
        <w:separator/>
      </w:r>
    </w:p>
    <w:p w:rsidR="00216790" w:rsidRDefault="00216790"/>
  </w:endnote>
  <w:endnote w:type="continuationSeparator" w:id="0">
    <w:p w:rsidR="00216790" w:rsidRDefault="00216790">
      <w:r>
        <w:continuationSeparator/>
      </w:r>
    </w:p>
    <w:p w:rsidR="00216790" w:rsidRDefault="00216790"/>
  </w:endnote>
  <w:endnote w:type="continuationNotice" w:id="1">
    <w:p w:rsidR="00216790" w:rsidRDefault="0021679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16790" w:rsidRPr="00616B9B" w:rsidTr="00315E96">
      <w:trPr>
        <w:trHeight w:val="284"/>
      </w:trPr>
      <w:tc>
        <w:tcPr>
          <w:tcW w:w="8460" w:type="dxa"/>
        </w:tcPr>
        <w:p w:rsidR="00216790" w:rsidRPr="00315E96" w:rsidRDefault="00216790" w:rsidP="00315E96">
          <w:pPr>
            <w:pStyle w:val="00Footer"/>
            <w:rPr>
              <w:lang w:val="fr-FR"/>
            </w:rPr>
          </w:pPr>
        </w:p>
      </w:tc>
      <w:tc>
        <w:tcPr>
          <w:tcW w:w="952" w:type="dxa"/>
        </w:tcPr>
        <w:p w:rsidR="00216790" w:rsidRPr="00616B9B" w:rsidRDefault="00216790"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61425">
            <w:rPr>
              <w:rFonts w:cs="Arial"/>
              <w:noProof/>
              <w:sz w:val="22"/>
              <w:szCs w:val="22"/>
            </w:rPr>
            <w:t>7</w:t>
          </w:r>
          <w:r w:rsidRPr="00616B9B">
            <w:rPr>
              <w:rFonts w:cs="Arial"/>
              <w:noProof/>
              <w:sz w:val="22"/>
              <w:szCs w:val="22"/>
            </w:rPr>
            <w:fldChar w:fldCharType="end"/>
          </w:r>
        </w:p>
      </w:tc>
    </w:tr>
  </w:tbl>
  <w:p w:rsidR="00216790" w:rsidRDefault="00216790">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90" w:rsidRDefault="00216790">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790" w:rsidRDefault="00216790">
      <w:r>
        <w:separator/>
      </w:r>
    </w:p>
    <w:p w:rsidR="00216790" w:rsidRDefault="00216790"/>
  </w:footnote>
  <w:footnote w:type="continuationSeparator" w:id="0">
    <w:p w:rsidR="00216790" w:rsidRDefault="00216790">
      <w:r>
        <w:continuationSeparator/>
      </w:r>
    </w:p>
    <w:p w:rsidR="00216790" w:rsidRDefault="00216790"/>
  </w:footnote>
  <w:footnote w:type="continuationNotice" w:id="1">
    <w:p w:rsidR="00216790" w:rsidRDefault="00216790"/>
  </w:footnote>
  <w:footnote w:id="2">
    <w:p w:rsidR="00216790" w:rsidRPr="00554E48" w:rsidRDefault="00216790" w:rsidP="007E2302">
      <w:pPr>
        <w:pStyle w:val="Fotnotstext"/>
        <w:rPr>
          <w:szCs w:val="16"/>
        </w:rPr>
      </w:pPr>
      <w:r w:rsidRPr="00554E48">
        <w:rPr>
          <w:rStyle w:val="Fotnotsreferens"/>
          <w:szCs w:val="16"/>
        </w:rPr>
        <w:footnoteRef/>
      </w:r>
      <w:r w:rsidRPr="00554E48">
        <w:rPr>
          <w:szCs w:val="16"/>
        </w:rPr>
        <w:t xml:space="preserve"> See </w:t>
      </w:r>
      <w:hyperlink r:id="rId1" w:history="1">
        <w:r w:rsidRPr="00554E48">
          <w:rPr>
            <w:rStyle w:val="Hyperlnk"/>
            <w:szCs w:val="16"/>
          </w:rPr>
          <w:t>https://eiopa.europa.eu/about-eiopa/legal-framework/public-access-to-documents/index.html</w:t>
        </w:r>
      </w:hyperlink>
      <w:r w:rsidRPr="00554E48">
        <w:rPr>
          <w:szCs w:val="16"/>
        </w:rPr>
        <w:t xml:space="preserve">. </w:t>
      </w:r>
    </w:p>
  </w:footnote>
  <w:footnote w:id="3">
    <w:p w:rsidR="00216790" w:rsidRDefault="00216790" w:rsidP="00F31E57">
      <w:pPr>
        <w:pStyle w:val="Fotnotstext"/>
        <w:rPr>
          <w:szCs w:val="16"/>
        </w:rPr>
      </w:pPr>
      <w:r>
        <w:rPr>
          <w:rStyle w:val="Fotnotsreferens"/>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90" w:rsidRDefault="00216790">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Pr>
        <w:noProof/>
        <w:lang w:val="sv-SE" w:eastAsia="sv-SE"/>
      </w:rPr>
      <w:pict>
        <v:line id="Line 16" o:spid="_x0000_s1638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90" w:rsidRDefault="00216790"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6790" w:rsidRDefault="0021679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216790" w:rsidRPr="002F4496" w:rsidTr="000C06C9">
      <w:trPr>
        <w:trHeight w:val="284"/>
      </w:trPr>
      <w:tc>
        <w:tcPr>
          <w:tcW w:w="8460" w:type="dxa"/>
        </w:tcPr>
        <w:p w:rsidR="00216790" w:rsidRPr="000C3B6D" w:rsidRDefault="00216790" w:rsidP="000C06C9">
          <w:pPr>
            <w:pStyle w:val="00Footer"/>
            <w:rPr>
              <w:lang w:val="fr-FR"/>
            </w:rPr>
          </w:pPr>
        </w:p>
      </w:tc>
      <w:tc>
        <w:tcPr>
          <w:tcW w:w="952" w:type="dxa"/>
        </w:tcPr>
        <w:p w:rsidR="00216790" w:rsidRPr="00146B34" w:rsidRDefault="00216790" w:rsidP="000C06C9">
          <w:pPr>
            <w:pStyle w:val="00aPagenumber"/>
            <w:rPr>
              <w:lang w:val="fr-FR"/>
            </w:rPr>
          </w:pPr>
        </w:p>
      </w:tc>
    </w:tr>
  </w:tbl>
  <w:p w:rsidR="00216790" w:rsidRPr="00DB46C3" w:rsidRDefault="00216790">
    <w:pPr>
      <w:rPr>
        <w:lang w:val="fr-FR"/>
      </w:rPr>
    </w:pPr>
  </w:p>
  <w:p w:rsidR="00216790" w:rsidRPr="002F4496" w:rsidRDefault="00216790">
    <w:pPr>
      <w:pStyle w:val="Sidhuvud"/>
      <w:rPr>
        <w:lang w:val="fr-FR"/>
      </w:rPr>
    </w:pPr>
  </w:p>
  <w:p w:rsidR="00216790" w:rsidRPr="002F4496" w:rsidRDefault="00216790" w:rsidP="000C06C9">
    <w:pPr>
      <w:pStyle w:val="Sidhuvud"/>
      <w:tabs>
        <w:tab w:val="clear" w:pos="4536"/>
        <w:tab w:val="clear" w:pos="9072"/>
        <w:tab w:val="left" w:pos="8227"/>
      </w:tabs>
      <w:rPr>
        <w:lang w:val="fr-FR"/>
      </w:rPr>
    </w:pPr>
  </w:p>
  <w:p w:rsidR="00216790" w:rsidRPr="002F4496" w:rsidRDefault="00216790" w:rsidP="000C06C9">
    <w:pPr>
      <w:pStyle w:val="Sidhuvud"/>
      <w:tabs>
        <w:tab w:val="clear" w:pos="4536"/>
        <w:tab w:val="clear" w:pos="9072"/>
        <w:tab w:val="left" w:pos="8227"/>
      </w:tabs>
      <w:rPr>
        <w:lang w:val="fr-FR"/>
      </w:rPr>
    </w:pPr>
  </w:p>
  <w:p w:rsidR="00216790" w:rsidRPr="002F4496" w:rsidRDefault="00216790">
    <w:pPr>
      <w:pStyle w:val="Sidhuvud"/>
      <w:rPr>
        <w:lang w:val="fr-FR"/>
      </w:rPr>
    </w:pPr>
  </w:p>
  <w:p w:rsidR="00216790" w:rsidRPr="002F4496" w:rsidRDefault="00216790">
    <w:pPr>
      <w:pStyle w:val="Sidhuvud"/>
      <w:rPr>
        <w:lang w:val="fr-FR"/>
      </w:rPr>
    </w:pPr>
  </w:p>
  <w:p w:rsidR="00216790" w:rsidRPr="002F4496" w:rsidRDefault="00216790">
    <w:pPr>
      <w:pStyle w:val="Sidhuvud"/>
      <w:rPr>
        <w:lang w:val="fr-FR"/>
      </w:rPr>
    </w:pPr>
  </w:p>
  <w:p w:rsidR="00216790" w:rsidRPr="002F4496" w:rsidRDefault="00216790">
    <w:pPr>
      <w:pStyle w:val="Sidhuvud"/>
      <w:rPr>
        <w:lang w:val="fr-FR"/>
      </w:rPr>
    </w:pPr>
  </w:p>
  <w:p w:rsidR="00216790" w:rsidRPr="002F4496" w:rsidRDefault="00216790">
    <w:pPr>
      <w:pStyle w:val="Sidhuvud"/>
      <w:rPr>
        <w:highlight w:val="yellow"/>
        <w:lang w:val="fr-FR"/>
      </w:rPr>
    </w:pPr>
  </w:p>
  <w:p w:rsidR="00216790" w:rsidRDefault="00216790">
    <w:pPr>
      <w:pStyle w:val="Sidhuvud"/>
    </w:pPr>
    <w:r>
      <w:rPr>
        <w:noProof/>
        <w:lang w:val="sv-SE" w:eastAsia="sv-SE"/>
      </w:rPr>
      <w:pict>
        <v:line id="Straight Connector 138" o:spid="_x0000_s16385"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sv-SE" w:eastAsia="sv-S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1AE2A35"/>
    <w:multiLevelType w:val="hybridMultilevel"/>
    <w:tmpl w:val="94AE3DE6"/>
    <w:lvl w:ilvl="0" w:tplc="960E0C2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2"/>
  </w:num>
  <w:num w:numId="15">
    <w:abstractNumId w:val="11"/>
  </w:num>
  <w:num w:numId="16">
    <w:abstractNumId w:val="2"/>
  </w:num>
  <w:num w:numId="17">
    <w:abstractNumId w:val="14"/>
  </w:num>
  <w:num w:numId="18">
    <w:abstractNumId w:val="15"/>
  </w:num>
  <w:num w:numId="19">
    <w:abstractNumId w:val="17"/>
  </w:num>
  <w:num w:numId="20">
    <w:abstractNumId w:val="26"/>
  </w:num>
  <w:num w:numId="21">
    <w:abstractNumId w:val="36"/>
  </w:num>
  <w:num w:numId="22">
    <w:abstractNumId w:val="24"/>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1F01"/>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6387">
      <o:colormru v:ext="edit" colors="#2d4491,#283583"/>
    </o:shapedefaults>
    <o:shapelayout v:ext="edit">
      <o:idmap v:ext="edit" data="16"/>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589E"/>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679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3864"/>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42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A1B"/>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6BB8"/>
    <w:rsid w:val="00627999"/>
    <w:rsid w:val="00630FF7"/>
    <w:rsid w:val="00633433"/>
    <w:rsid w:val="00633DB0"/>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045B"/>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FAE"/>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1C2F"/>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321"/>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5466"/>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69F6"/>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2E4"/>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769"/>
    <w:rPr>
      <w:rFonts w:ascii="Arial" w:hAnsi="Arial"/>
      <w:szCs w:val="24"/>
      <w:lang w:eastAsia="de-DE"/>
    </w:rPr>
  </w:style>
  <w:style w:type="paragraph" w:styleId="Rubrik1">
    <w:name w:val="heading 1"/>
    <w:basedOn w:val="Normal"/>
    <w:next w:val="Normal"/>
    <w:link w:val="Rubrik1Char"/>
    <w:qFormat/>
    <w:rsid w:val="009E7724"/>
    <w:pPr>
      <w:keepNext/>
      <w:numPr>
        <w:numId w:val="5"/>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3"/>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tnotstextChar"/>
    <w:uiPriority w:val="99"/>
    <w:qFormat/>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8"/>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rsid w:val="000D2D0B"/>
    <w:pPr>
      <w:pBdr>
        <w:bottom w:val="single" w:sz="4" w:space="12" w:color="000000"/>
      </w:pBdr>
      <w:tabs>
        <w:tab w:val="left" w:pos="454"/>
      </w:tabs>
    </w:pPr>
    <w:rPr>
      <w:color w:val="000000"/>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rPr>
  </w:style>
  <w:style w:type="character" w:customStyle="1" w:styleId="aStyle1Char">
    <w:name w:val="a. Style1 Char"/>
    <w:link w:val="aStyle1"/>
    <w:rsid w:val="000D2D0B"/>
    <w:rPr>
      <w:rFonts w:ascii="Georgia" w:hAnsi="Georgia"/>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rdstycketeckensnit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Starkbetoning">
    <w:name w:val="Intense Emphasis"/>
    <w:basedOn w:val="Standardstycketeckensnitt"/>
    <w:uiPriority w:val="21"/>
    <w:qFormat/>
    <w:rsid w:val="00D34282"/>
    <w:rPr>
      <w:b/>
      <w:bCs/>
      <w:i/>
      <w:iCs/>
    </w:rPr>
  </w:style>
  <w:style w:type="character" w:customStyle="1" w:styleId="CPTitle1Char">
    <w:name w:val="CP_Title1 Char"/>
    <w:basedOn w:val="Standardstycketeckensnitt"/>
    <w:link w:val="CPTitle1"/>
    <w:locked/>
    <w:rsid w:val="00D34282"/>
    <w:rPr>
      <w:rFonts w:asciiTheme="majorHAnsi" w:eastAsiaTheme="majorEastAsia" w:hAnsiTheme="majorHAnsi" w:cstheme="majorHAnsi"/>
      <w:b/>
      <w:sz w:val="32"/>
      <w:szCs w:val="32"/>
    </w:rPr>
  </w:style>
  <w:style w:type="paragraph" w:customStyle="1" w:styleId="CPTitle1">
    <w:name w:val="CP_Title1"/>
    <w:basedOn w:val="Rubrik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Rubrik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r="http://schemas.openxmlformats.org/officeDocument/2006/relationships" xmlns:w="http://schemas.openxmlformats.org/wordprocessingml/2006/main">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4AA74-99BA-4584-9151-6150E6156139}">
  <ds:schemaRefs>
    <ds:schemaRef ds:uri="http://schemas.openxmlformats.org/officeDocument/2006/bibliography"/>
  </ds:schemaRefs>
</ds:datastoreItem>
</file>

<file path=customXml/itemProps2.xml><?xml version="1.0" encoding="utf-8"?>
<ds:datastoreItem xmlns:ds="http://schemas.openxmlformats.org/officeDocument/2006/customXml" ds:itemID="{0E20F5D2-16FE-4986-AB77-D801B965D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20</Pages>
  <Words>5411</Words>
  <Characters>28679</Characters>
  <Application>Microsoft Office Word</Application>
  <DocSecurity>8</DocSecurity>
  <Lines>238</Lines>
  <Paragraphs>68</Paragraphs>
  <ScaleCrop>false</ScaleCrop>
  <HeadingPairs>
    <vt:vector size="12" baseType="variant">
      <vt:variant>
        <vt:lpstr>Rubrik</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MiFID II/MiFIR Consultation Paper</vt:lpstr>
      <vt:lpstr>Reply form for the MiFID II/MiFIR Consultation Paper</vt:lpstr>
      <vt:lpstr>20110000</vt:lpstr>
      <vt:lpstr>20110000</vt:lpstr>
      <vt:lpstr>20110000</vt:lpstr>
      <vt:lpstr>20110000</vt:lpstr>
    </vt:vector>
  </TitlesOfParts>
  <Company>ESMA</Company>
  <LinksUpToDate>false</LinksUpToDate>
  <CharactersWithSpaces>34022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Lena Falk</cp:lastModifiedBy>
  <cp:revision>8</cp:revision>
  <cp:lastPrinted>2015-02-18T11:01:00Z</cp:lastPrinted>
  <dcterms:created xsi:type="dcterms:W3CDTF">2015-08-13T12:58:00Z</dcterms:created>
  <dcterms:modified xsi:type="dcterms:W3CDTF">2015-08-14T11:29:00Z</dcterms:modified>
</cp:coreProperties>
</file>