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552261"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sdt>
          <w:sdtPr>
            <w:rPr>
              <w:lang w:val="en-US"/>
            </w:rPr>
            <w:id w:val="-1905066999"/>
            <w:text/>
          </w:sdtPr>
          <w:sdtContent>
            <w:permStart w:id="1" w:edGrp="everyone" w:displacedByCustomXml="prev"/>
            <w:tc>
              <w:tcPr>
                <w:tcW w:w="5595" w:type="dxa"/>
                <w:shd w:val="clear" w:color="auto" w:fill="auto"/>
              </w:tcPr>
              <w:p w:rsidR="000632C2" w:rsidRPr="00AB6D88" w:rsidRDefault="004265B7" w:rsidP="009E5107">
                <w:pPr>
                  <w:rPr>
                    <w:rStyle w:val="Platzhaltertext"/>
                    <w:rFonts w:ascii="Arial" w:hAnsi="Arial" w:cs="Arial"/>
                  </w:rPr>
                </w:pPr>
                <w:r w:rsidRPr="004265B7">
                  <w:rPr>
                    <w:lang w:val="en-US"/>
                  </w:rPr>
                  <w:t>German Association of Energy and Water Industries (BDEW</w:t>
                </w:r>
                <w:r w:rsidR="00786985">
                  <w:rPr>
                    <w:lang w:val="en-US"/>
                  </w:rPr>
                  <w:t>)</w:t>
                </w:r>
              </w:p>
            </w:tc>
            <w:permEnd w:id="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0"/>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sdtPr>
          <w:sdtContent>
            <w:tc>
              <w:tcPr>
                <w:tcW w:w="5595" w:type="dxa"/>
                <w:shd w:val="clear" w:color="auto" w:fill="auto"/>
              </w:tcPr>
              <w:p w:rsidR="000632C2" w:rsidRPr="00AB6D88" w:rsidRDefault="000932BC"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 w:edGrp="everyone" w:colFirst="1" w:colLast="1"/>
            <w:permEnd w:id="2"/>
            <w:r w:rsidRPr="00AB6D88">
              <w:rPr>
                <w:rFonts w:ascii="Arial" w:hAnsi="Arial" w:cs="Arial"/>
              </w:rPr>
              <w:t>Activity:</w:t>
            </w:r>
          </w:p>
        </w:tc>
        <w:tc>
          <w:tcPr>
            <w:tcW w:w="5595" w:type="dxa"/>
            <w:shd w:val="clear" w:color="auto" w:fill="auto"/>
          </w:tcPr>
          <w:p w:rsidR="000632C2" w:rsidRPr="00AB6D88" w:rsidRDefault="00552261" w:rsidP="009E5107">
            <w:pPr>
              <w:rPr>
                <w:rFonts w:ascii="Arial" w:hAnsi="Arial" w:cs="Arial"/>
              </w:rPr>
            </w:pPr>
            <w:sdt>
              <w:sdtPr>
                <w:rPr>
                  <w:lang w:val="en-US"/>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4265B7" w:rsidRPr="004265B7">
                  <w:rPr>
                    <w:lang w:val="en-US"/>
                  </w:rPr>
                  <w:t>In the energy sector, BDEW represents companies active in generation, trading, transmission, distribution and retail.</w:t>
                </w:r>
                <w:permEnd w:id="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3"/>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AB6D88" w:rsidRDefault="004265B7" w:rsidP="004265B7">
                <w:pPr>
                  <w:rPr>
                    <w:rFonts w:ascii="Arial" w:hAnsi="Arial" w:cs="Arial"/>
                  </w:rPr>
                </w:pPr>
                <w:r>
                  <w:rPr>
                    <w:rFonts w:ascii="MS Gothic" w:eastAsia="MS Gothic" w:hAnsi="MS Gothic" w:cs="MS Gothic"/>
                  </w:rPr>
                  <w:t>x</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 w:edGrp="everyone" w:colFirst="1" w:colLast="1"/>
            <w:permEnd w:id="5"/>
            <w:r w:rsidRPr="00AB6D88">
              <w:rPr>
                <w:rFonts w:ascii="Arial" w:hAnsi="Arial" w:cs="Arial"/>
              </w:rPr>
              <w:t>Country/Region</w:t>
            </w:r>
          </w:p>
        </w:tc>
        <w:permStart w:id="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 w:edGrp="everyone" w:displacedByCustomXml="prev"/>
            <w:tc>
              <w:tcPr>
                <w:tcW w:w="5595" w:type="dxa"/>
                <w:shd w:val="clear" w:color="auto" w:fill="auto"/>
              </w:tcPr>
              <w:p w:rsidR="000632C2" w:rsidRPr="00AB6D88" w:rsidRDefault="004265B7" w:rsidP="004265B7">
                <w:pPr>
                  <w:rPr>
                    <w:rFonts w:ascii="Arial" w:hAnsi="Arial" w:cs="Arial"/>
                  </w:rPr>
                </w:pPr>
                <w:r>
                  <w:rPr>
                    <w:rFonts w:ascii="Arial" w:hAnsi="Arial" w:cs="Arial"/>
                  </w:rPr>
                  <w:t>Germany</w:t>
                </w:r>
              </w:p>
            </w:tc>
            <w:permEnd w:id="8" w:displacedByCustomXml="next"/>
          </w:sdtContent>
        </w:sdt>
        <w:permEnd w:id="7" w:displacedByCustomXml="prev"/>
      </w:tr>
      <w:permEnd w:id="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4265B7" w:rsidRPr="008057B3" w:rsidRDefault="004265B7" w:rsidP="004265B7">
      <w:pPr>
        <w:rPr>
          <w:b/>
          <w:lang w:val="en-US"/>
        </w:rPr>
      </w:pPr>
      <w:permStart w:id="9" w:edGrp="everyone"/>
      <w:r w:rsidRPr="008057B3">
        <w:rPr>
          <w:b/>
          <w:lang w:val="en-US"/>
        </w:rPr>
        <w:t>Key points</w:t>
      </w:r>
    </w:p>
    <w:p w:rsidR="004265B7" w:rsidRPr="003E72E0" w:rsidRDefault="004265B7" w:rsidP="004265B7">
      <w:pPr>
        <w:rPr>
          <w:lang w:val="en-US"/>
        </w:rPr>
      </w:pPr>
      <w:r w:rsidRPr="003E72E0">
        <w:rPr>
          <w:lang w:val="en-US"/>
        </w:rPr>
        <w:t>BDEW welcomes the opportunity to comment on ESMA</w:t>
      </w:r>
      <w:r>
        <w:rPr>
          <w:lang w:val="en-US"/>
        </w:rPr>
        <w:t>’s</w:t>
      </w:r>
      <w:r w:rsidRPr="003E72E0">
        <w:rPr>
          <w:lang w:val="en-US"/>
        </w:rPr>
        <w:t xml:space="preserve"> consultation paper on Regulatory Technical Standards on MIFID II and MIFIR</w:t>
      </w:r>
      <w:r>
        <w:rPr>
          <w:lang w:val="en-US"/>
        </w:rPr>
        <w:t xml:space="preserve"> and would like to </w:t>
      </w:r>
      <w:proofErr w:type="spellStart"/>
      <w:r>
        <w:rPr>
          <w:lang w:val="en-US"/>
        </w:rPr>
        <w:t>emphasise</w:t>
      </w:r>
      <w:proofErr w:type="spellEnd"/>
      <w:r>
        <w:rPr>
          <w:lang w:val="en-US"/>
        </w:rPr>
        <w:t xml:space="preserve"> the following points.</w:t>
      </w:r>
    </w:p>
    <w:p w:rsidR="004265B7" w:rsidRPr="003E72E0" w:rsidRDefault="004265B7" w:rsidP="004265B7">
      <w:pPr>
        <w:rPr>
          <w:lang w:val="en-US"/>
        </w:rPr>
      </w:pPr>
    </w:p>
    <w:p w:rsidR="004265B7" w:rsidRPr="008057B3" w:rsidRDefault="004265B7" w:rsidP="004265B7">
      <w:pPr>
        <w:rPr>
          <w:b/>
          <w:lang w:val="en-US"/>
        </w:rPr>
      </w:pPr>
      <w:r w:rsidRPr="008057B3">
        <w:rPr>
          <w:b/>
          <w:lang w:val="en-US"/>
        </w:rPr>
        <w:t>Thresholds for ancillary service</w:t>
      </w:r>
      <w:r>
        <w:rPr>
          <w:b/>
          <w:lang w:val="en-US"/>
        </w:rPr>
        <w:t xml:space="preserve"> Activities</w:t>
      </w:r>
    </w:p>
    <w:p w:rsidR="004265B7" w:rsidRPr="003E72E0" w:rsidRDefault="004265B7" w:rsidP="004265B7">
      <w:pPr>
        <w:rPr>
          <w:lang w:val="en-US"/>
        </w:rPr>
      </w:pPr>
      <w:r w:rsidRPr="003E72E0">
        <w:rPr>
          <w:lang w:val="en-US"/>
        </w:rPr>
        <w:t>BDEW is deeply concerned about the proposed thresholds for the definition of ancillary services for non-financial firm</w:t>
      </w:r>
      <w:r>
        <w:rPr>
          <w:lang w:val="en-US"/>
        </w:rPr>
        <w:t>s</w:t>
      </w:r>
      <w:r w:rsidRPr="003E72E0">
        <w:rPr>
          <w:lang w:val="en-US"/>
        </w:rPr>
        <w:t xml:space="preserve"> of the commodity sector. The proposed thresholds </w:t>
      </w:r>
      <w:r>
        <w:rPr>
          <w:lang w:val="en-US"/>
        </w:rPr>
        <w:t>seem</w:t>
      </w:r>
      <w:r w:rsidRPr="003E72E0">
        <w:rPr>
          <w:lang w:val="en-US"/>
        </w:rPr>
        <w:t xml:space="preserve"> very low and BDEW fears that without a deep analysis of the possible consequences the application of such </w:t>
      </w:r>
      <w:r>
        <w:rPr>
          <w:lang w:val="en-US"/>
        </w:rPr>
        <w:t xml:space="preserve">a </w:t>
      </w:r>
      <w:r w:rsidRPr="003E72E0">
        <w:rPr>
          <w:lang w:val="en-US"/>
        </w:rPr>
        <w:t xml:space="preserve">threshold will have a severe impact on the European energy </w:t>
      </w:r>
      <w:r>
        <w:rPr>
          <w:lang w:val="en-US"/>
        </w:rPr>
        <w:t>m</w:t>
      </w:r>
      <w:r w:rsidRPr="003E72E0">
        <w:rPr>
          <w:lang w:val="en-US"/>
        </w:rPr>
        <w:t xml:space="preserve">arket. BDEW is convinced that these thresholds do not attain the principle of proportionality in Level 1 and with the absence of reliable </w:t>
      </w:r>
      <w:proofErr w:type="gramStart"/>
      <w:r w:rsidRPr="003E72E0">
        <w:rPr>
          <w:lang w:val="en-US"/>
        </w:rPr>
        <w:t>data</w:t>
      </w:r>
      <w:r>
        <w:rPr>
          <w:lang w:val="en-US"/>
        </w:rPr>
        <w:t>,</w:t>
      </w:r>
      <w:proofErr w:type="gramEnd"/>
      <w:r w:rsidRPr="003E72E0">
        <w:rPr>
          <w:lang w:val="en-US"/>
        </w:rPr>
        <w:t xml:space="preserve"> thresholds should be cautiously higher to avoid market disruptions and negative consequences on the real economy. A revision clause of the thresholds </w:t>
      </w:r>
      <w:r>
        <w:rPr>
          <w:lang w:val="en-US"/>
        </w:rPr>
        <w:t>c</w:t>
      </w:r>
      <w:r w:rsidRPr="003E72E0">
        <w:rPr>
          <w:lang w:val="en-US"/>
        </w:rPr>
        <w:t xml:space="preserve">ould be implemented, so that the thresholds can be adapted after a thorough analysis of the relevant data. BDEW is also concerned that ESMA proposes that both </w:t>
      </w:r>
      <w:r>
        <w:rPr>
          <w:lang w:val="en-US"/>
        </w:rPr>
        <w:t>tests</w:t>
      </w:r>
      <w:r w:rsidRPr="003E72E0">
        <w:rPr>
          <w:lang w:val="en-US"/>
        </w:rPr>
        <w:t xml:space="preserve"> should be met in order to remain excepted from MiFID II.</w:t>
      </w:r>
    </w:p>
    <w:p w:rsidR="004265B7" w:rsidRPr="003E72E0" w:rsidRDefault="004265B7" w:rsidP="004265B7">
      <w:pPr>
        <w:rPr>
          <w:lang w:val="en-US"/>
        </w:rPr>
      </w:pPr>
      <w:r w:rsidRPr="003E72E0">
        <w:rPr>
          <w:lang w:val="en-US"/>
        </w:rPr>
        <w:t xml:space="preserve"> </w:t>
      </w:r>
    </w:p>
    <w:p w:rsidR="004265B7" w:rsidRPr="0048370F" w:rsidRDefault="004265B7" w:rsidP="004265B7">
      <w:pPr>
        <w:rPr>
          <w:b/>
          <w:lang w:val="en-US"/>
        </w:rPr>
      </w:pPr>
      <w:r w:rsidRPr="0048370F">
        <w:rPr>
          <w:b/>
          <w:lang w:val="en-US"/>
        </w:rPr>
        <w:t>Calculation method</w:t>
      </w:r>
    </w:p>
    <w:p w:rsidR="004265B7" w:rsidRPr="008057B3" w:rsidRDefault="004265B7" w:rsidP="004265B7">
      <w:pPr>
        <w:rPr>
          <w:lang w:val="en-US"/>
        </w:rPr>
      </w:pPr>
      <w:r w:rsidRPr="003E72E0">
        <w:rPr>
          <w:lang w:val="en-US"/>
        </w:rPr>
        <w:t>Furthermore</w:t>
      </w:r>
      <w:r>
        <w:rPr>
          <w:lang w:val="en-US"/>
        </w:rPr>
        <w:t>,</w:t>
      </w:r>
      <w:r w:rsidRPr="003E72E0">
        <w:rPr>
          <w:lang w:val="en-US"/>
        </w:rPr>
        <w:t xml:space="preserve"> the calculation method is not sufficient</w:t>
      </w:r>
      <w:r>
        <w:rPr>
          <w:lang w:val="en-US"/>
        </w:rPr>
        <w:t>ly</w:t>
      </w:r>
      <w:r w:rsidRPr="003E72E0">
        <w:rPr>
          <w:lang w:val="en-US"/>
        </w:rPr>
        <w:t xml:space="preserve"> clear, as parts of the calculation methods, like the overall market size is unknown. </w:t>
      </w:r>
      <w:r>
        <w:rPr>
          <w:lang w:val="en-US"/>
        </w:rPr>
        <w:t xml:space="preserve">BDEW </w:t>
      </w:r>
      <w:r w:rsidRPr="008057B3">
        <w:rPr>
          <w:lang w:val="en-US"/>
        </w:rPr>
        <w:t xml:space="preserve">would like to emphasize, that the questions about the threshold calculation cannot be solved without taking into account an adequate product categorization due to the interdependency of defining the correct set of contracts and of calculating the exposure relative to the corresponding thresholds. </w:t>
      </w:r>
      <w:r>
        <w:rPr>
          <w:lang w:val="en-US"/>
        </w:rPr>
        <w:t xml:space="preserve">Clarity is especially needed for the </w:t>
      </w:r>
      <w:r w:rsidRPr="008057B3">
        <w:rPr>
          <w:lang w:val="en-US"/>
        </w:rPr>
        <w:t>definition of “financial instrument</w:t>
      </w:r>
      <w:r>
        <w:rPr>
          <w:lang w:val="en-US"/>
        </w:rPr>
        <w:t>s</w:t>
      </w:r>
      <w:r w:rsidRPr="008057B3">
        <w:rPr>
          <w:lang w:val="en-US"/>
        </w:rPr>
        <w:t>”, since this effectively sets the borderline between financial trading (covered by MiFID and the Market Abuse Regulation) and phys</w:t>
      </w:r>
      <w:r>
        <w:rPr>
          <w:lang w:val="en-US"/>
        </w:rPr>
        <w:t>ical trading (covered by REMIT).</w:t>
      </w:r>
    </w:p>
    <w:p w:rsidR="004265B7" w:rsidRDefault="004265B7" w:rsidP="004265B7">
      <w:pPr>
        <w:rPr>
          <w:lang w:val="en-US"/>
        </w:rPr>
      </w:pPr>
    </w:p>
    <w:p w:rsidR="004265B7" w:rsidRPr="003E72E0" w:rsidRDefault="004265B7" w:rsidP="004265B7">
      <w:pPr>
        <w:rPr>
          <w:lang w:val="en-US"/>
        </w:rPr>
      </w:pPr>
      <w:r w:rsidRPr="003E72E0">
        <w:rPr>
          <w:lang w:val="en-US"/>
        </w:rPr>
        <w:t xml:space="preserve">BDEW believes it is very important </w:t>
      </w:r>
      <w:r>
        <w:rPr>
          <w:lang w:val="en-US"/>
        </w:rPr>
        <w:t>for</w:t>
      </w:r>
      <w:r w:rsidRPr="003E72E0">
        <w:rPr>
          <w:lang w:val="en-US"/>
        </w:rPr>
        <w:t xml:space="preserve"> ESMA </w:t>
      </w:r>
      <w:r>
        <w:rPr>
          <w:lang w:val="en-US"/>
        </w:rPr>
        <w:t>to</w:t>
      </w:r>
      <w:r w:rsidRPr="003E72E0">
        <w:rPr>
          <w:lang w:val="en-US"/>
        </w:rPr>
        <w:t xml:space="preserve"> publish the market size of the commodity asset classes as a condition for the exemption process to apply. In the absence of reliable additional information market participants are likely to cautiously retract from markets to avoid breaching the very low threshold proposed. When assessing the market size, ESMA should assemble all energy commodities and emission allowances in one single asset class as done for metals and agricultural commodities. Furthermore the RTS do not include definitions and processes that are </w:t>
      </w:r>
      <w:proofErr w:type="gramStart"/>
      <w:r w:rsidRPr="003E72E0">
        <w:rPr>
          <w:lang w:val="en-US"/>
        </w:rPr>
        <w:t>key</w:t>
      </w:r>
      <w:proofErr w:type="gramEnd"/>
      <w:r w:rsidRPr="003E72E0">
        <w:rPr>
          <w:lang w:val="en-US"/>
        </w:rPr>
        <w:t xml:space="preserve"> to ensure certainty. The definition of ‘trading activity’ is missing and this should be understood as dealing on European regulated platforms, unless exempted, and/or with EU counterparties. The term ‘capital employed in the ancillary activity’ is not defined and this creates additional uncertainty because it may give scope to a broad set of interpretations.</w:t>
      </w:r>
    </w:p>
    <w:p w:rsidR="004265B7" w:rsidRPr="003E72E0" w:rsidRDefault="004265B7" w:rsidP="004265B7">
      <w:pPr>
        <w:rPr>
          <w:lang w:val="en-US"/>
        </w:rPr>
      </w:pPr>
    </w:p>
    <w:p w:rsidR="004265B7" w:rsidRPr="0048370F" w:rsidRDefault="004265B7" w:rsidP="004265B7">
      <w:pPr>
        <w:rPr>
          <w:b/>
          <w:lang w:val="en-US"/>
        </w:rPr>
      </w:pPr>
      <w:r>
        <w:rPr>
          <w:b/>
          <w:lang w:val="en-US"/>
        </w:rPr>
        <w:t>Uncertain availability of d</w:t>
      </w:r>
      <w:r w:rsidRPr="0048370F">
        <w:rPr>
          <w:b/>
          <w:lang w:val="en-US"/>
        </w:rPr>
        <w:t>ata for the calculation</w:t>
      </w:r>
      <w:r>
        <w:rPr>
          <w:b/>
          <w:lang w:val="en-US"/>
        </w:rPr>
        <w:t>s</w:t>
      </w:r>
    </w:p>
    <w:p w:rsidR="004265B7" w:rsidRPr="003E72E0" w:rsidRDefault="004265B7" w:rsidP="004265B7">
      <w:pPr>
        <w:rPr>
          <w:lang w:val="en-US"/>
        </w:rPr>
      </w:pPr>
      <w:r w:rsidRPr="003E72E0">
        <w:rPr>
          <w:lang w:val="en-US"/>
        </w:rPr>
        <w:t>BDEW is concerned about the proposal to consider for both assessments to be based on data of the year 2016. In 2016</w:t>
      </w:r>
      <w:r>
        <w:rPr>
          <w:lang w:val="en-US"/>
        </w:rPr>
        <w:t>,</w:t>
      </w:r>
      <w:r w:rsidRPr="003E72E0">
        <w:rPr>
          <w:lang w:val="en-US"/>
        </w:rPr>
        <w:t xml:space="preserve"> MiFID II will not yet be in force and the definition of derivative is expected to change considerably. From a practical point of view it is impossible to expect companies to be able to assess the exemption based on annual accounts of 2016 by the date of applicability of MiFID II i.e. 3</w:t>
      </w:r>
      <w:r w:rsidRPr="003E72E0">
        <w:rPr>
          <w:vertAlign w:val="superscript"/>
          <w:lang w:val="en-US"/>
        </w:rPr>
        <w:t>rd</w:t>
      </w:r>
      <w:r w:rsidRPr="003E72E0">
        <w:rPr>
          <w:lang w:val="en-US"/>
        </w:rPr>
        <w:t xml:space="preserve"> January 2017 because the approval of consolidated accounts usually takes place </w:t>
      </w:r>
      <w:r>
        <w:rPr>
          <w:lang w:val="en-US"/>
        </w:rPr>
        <w:t>three</w:t>
      </w:r>
      <w:r w:rsidRPr="003E72E0">
        <w:rPr>
          <w:lang w:val="en-US"/>
        </w:rPr>
        <w:t xml:space="preserve"> to </w:t>
      </w:r>
      <w:r>
        <w:rPr>
          <w:lang w:val="en-US"/>
        </w:rPr>
        <w:t xml:space="preserve">four </w:t>
      </w:r>
      <w:r w:rsidRPr="003E72E0">
        <w:rPr>
          <w:lang w:val="en-US"/>
        </w:rPr>
        <w:t>months after the end of the financial year if not more.</w:t>
      </w:r>
    </w:p>
    <w:p w:rsidR="004265B7" w:rsidRDefault="004265B7" w:rsidP="004265B7">
      <w:pPr>
        <w:rPr>
          <w:lang w:val="en-US"/>
        </w:rPr>
      </w:pPr>
      <w:r w:rsidRPr="003E72E0">
        <w:rPr>
          <w:lang w:val="en-US"/>
        </w:rPr>
        <w:t>Hence</w:t>
      </w:r>
      <w:r>
        <w:rPr>
          <w:lang w:val="en-US"/>
        </w:rPr>
        <w:t>,</w:t>
      </w:r>
      <w:r w:rsidRPr="003E72E0">
        <w:rPr>
          <w:lang w:val="en-US"/>
        </w:rPr>
        <w:t xml:space="preserve"> to avoid this uncertainty for companies, BDEW proposes again to set the thresholds sufficiently high and review them after the phase in period.</w:t>
      </w:r>
    </w:p>
    <w:p w:rsidR="004265B7" w:rsidRPr="0048370F" w:rsidRDefault="004265B7" w:rsidP="004265B7">
      <w:pPr>
        <w:rPr>
          <w:b/>
          <w:lang w:val="en-US"/>
        </w:rPr>
      </w:pPr>
      <w:r w:rsidRPr="0048370F">
        <w:rPr>
          <w:b/>
          <w:lang w:val="en-US"/>
        </w:rPr>
        <w:t>Position limits</w:t>
      </w:r>
    </w:p>
    <w:p w:rsidR="004265B7" w:rsidRPr="003E72E0" w:rsidRDefault="004265B7" w:rsidP="004265B7">
      <w:pPr>
        <w:rPr>
          <w:lang w:val="en-US"/>
        </w:rPr>
      </w:pPr>
      <w:r w:rsidRPr="003E72E0">
        <w:rPr>
          <w:lang w:val="en-US"/>
        </w:rPr>
        <w:t xml:space="preserve">BDEW believes that the procedure proposed by ESMA to obtain the approval of an exemption from position limits for risk reducing purposes is very impractical and may hinder the ability of managing risks related to the commercial activity. </w:t>
      </w:r>
    </w:p>
    <w:permEnd w:id="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 w:edGrp="everyone"/>
      <w:r>
        <w:t>TYPE YOUR TEXT HERE</w:t>
      </w:r>
    </w:p>
    <w:permEnd w:id="1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 w:edGrp="everyone"/>
      <w:r>
        <w:t>TYPE YOUR TEXT HERE</w:t>
      </w:r>
    </w:p>
    <w:permEnd w:id="1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 w:edGrp="everyone"/>
      <w:r>
        <w:t>TYPE YOUR TEXT HERE</w:t>
      </w:r>
    </w:p>
    <w:permEnd w:id="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 w:edGrp="everyone"/>
      <w:r>
        <w:t>TYPE YOUR TEXT HERE</w:t>
      </w:r>
    </w:p>
    <w:permEnd w:id="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 w:edGrp="everyone"/>
      <w:r>
        <w:t>TYPE YOUR TEXT HERE</w:t>
      </w:r>
    </w:p>
    <w:permEnd w:id="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 w:edGrp="everyone"/>
      <w:r>
        <w:t>TYPE YOUR TEXT HERE</w:t>
      </w:r>
    </w:p>
    <w:permEnd w:id="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Default="00577C33" w:rsidP="00EC2C93">
      <w:pPr>
        <w:keepNext/>
      </w:pPr>
      <w:permStart w:id="16" w:edGrp="everyone"/>
      <w:r>
        <w:t>TYPE YOUR TEXT HERE</w:t>
      </w:r>
    </w:p>
    <w:permEnd w:id="1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7" w:edGrp="everyone"/>
      <w:r>
        <w:t>TYPE YOUR TEXT HERE</w:t>
      </w:r>
    </w:p>
    <w:permEnd w:id="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 w:edGrp="everyone"/>
      <w:r>
        <w:t>TYPE YOUR TEXT HERE</w:t>
      </w:r>
    </w:p>
    <w:permEnd w:id="1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 w:edGrp="everyone"/>
      <w:r>
        <w:t>TYPE YOUR TEXT HERE</w:t>
      </w:r>
    </w:p>
    <w:permEnd w:id="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 w:edGrp="everyone"/>
      <w:r>
        <w:t>TYPE YOUR TEXT HERE</w:t>
      </w:r>
    </w:p>
    <w:permEnd w:id="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1" w:edGrp="everyone"/>
      <w:r>
        <w:t>TYPE YOUR TEXT HERE</w:t>
      </w:r>
    </w:p>
    <w:permEnd w:id="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2" w:edGrp="everyone"/>
      <w:r>
        <w:t>TYPE YOUR TEXT HERE</w:t>
      </w:r>
    </w:p>
    <w:permEnd w:id="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577C33" w:rsidP="00EC2C93">
      <w:pPr>
        <w:keepNext/>
      </w:pPr>
      <w:permStart w:id="23" w:edGrp="everyone"/>
      <w:r>
        <w:t>TYPE YOUR TEXT HERE</w:t>
      </w:r>
    </w:p>
    <w:permEnd w:id="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4" w:edGrp="everyone"/>
      <w:r>
        <w:t>TYPE YOUR TEXT HERE</w:t>
      </w:r>
    </w:p>
    <w:permEnd w:id="2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 w:edGrp="everyone"/>
      <w:r>
        <w:t>TYPE YOUR TEXT HERE</w:t>
      </w:r>
    </w:p>
    <w:permEnd w:id="2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6" w:edGrp="everyone"/>
      <w:r>
        <w:t>TYPE YOUR TEXT HERE</w:t>
      </w:r>
    </w:p>
    <w:permEnd w:id="2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7" w:edGrp="everyone"/>
      <w:r>
        <w:t>TYPE YOUR TEXT HERE</w:t>
      </w:r>
    </w:p>
    <w:permEnd w:id="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8" w:edGrp="everyone"/>
      <w:r>
        <w:t>TYPE YOUR TEXT HERE</w:t>
      </w:r>
    </w:p>
    <w:permEnd w:id="2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9" w:edGrp="everyone"/>
      <w:r>
        <w:t>TYPE YOUR TEXT HERE</w:t>
      </w:r>
    </w:p>
    <w:permEnd w:id="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577C33" w:rsidP="00EC2C93">
      <w:pPr>
        <w:keepNext/>
      </w:pPr>
      <w:permStart w:id="30" w:edGrp="everyone"/>
      <w:r>
        <w:t>TYPE YOUR TEXT HERE</w:t>
      </w:r>
    </w:p>
    <w:permEnd w:id="3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1" w:edGrp="everyone"/>
      <w:r>
        <w:t>TYPE YOUR TEXT HERE</w:t>
      </w:r>
    </w:p>
    <w:permEnd w:id="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2" w:edGrp="everyone"/>
      <w:r>
        <w:t>TYPE YOUR TEXT HERE</w:t>
      </w:r>
    </w:p>
    <w:permEnd w:id="3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3" w:edGrp="everyone"/>
      <w:r>
        <w:t>TYPE YOUR TEXT HERE</w:t>
      </w:r>
    </w:p>
    <w:permEnd w:id="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4" w:edGrp="everyone"/>
      <w:r>
        <w:t>TYPE YOUR TEXT HERE</w:t>
      </w:r>
    </w:p>
    <w:permEnd w:id="3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5" w:edGrp="everyone"/>
      <w:r>
        <w:t>TYPE YOUR TEXT HERE</w:t>
      </w:r>
    </w:p>
    <w:permEnd w:id="3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6" w:edGrp="everyone"/>
      <w:r>
        <w:t>TYPE YOUR TEXT HERE</w:t>
      </w:r>
    </w:p>
    <w:permEnd w:id="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37" w:edGrp="everyone"/>
      <w:r>
        <w:t>TYPE YOUR TEXT HERE</w:t>
      </w:r>
    </w:p>
    <w:permEnd w:id="3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8" w:edGrp="everyone"/>
      <w:r>
        <w:t>TYPE YOUR TEXT HERE</w:t>
      </w:r>
    </w:p>
    <w:permEnd w:id="3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39" w:edGrp="everyone"/>
      <w:r>
        <w:t>TYPE YOUR TEXT HERE</w:t>
      </w:r>
    </w:p>
    <w:permEnd w:id="3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0" w:edGrp="everyone"/>
      <w:r>
        <w:t>TYPE YOUR TEXT HERE</w:t>
      </w:r>
    </w:p>
    <w:permEnd w:id="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41" w:edGrp="everyone"/>
      <w:r>
        <w:t>TYPE YOUR TEXT HERE</w:t>
      </w:r>
    </w:p>
    <w:permEnd w:id="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2" w:edGrp="everyone"/>
      <w:r>
        <w:t>TYPE YOUR TEXT HERE</w:t>
      </w:r>
    </w:p>
    <w:permEnd w:id="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3" w:edGrp="everyone"/>
      <w:r>
        <w:t>TYPE YOUR TEXT HERE</w:t>
      </w:r>
    </w:p>
    <w:permEnd w:id="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44" w:edGrp="everyone"/>
      <w:r>
        <w:t>TYPE YOUR TEXT HERE</w:t>
      </w:r>
    </w:p>
    <w:permEnd w:id="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45" w:edGrp="everyone"/>
      <w:r>
        <w:t>TYPE YOUR TEXT HERE</w:t>
      </w:r>
    </w:p>
    <w:permEnd w:id="4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46" w:edGrp="everyone"/>
      <w:r>
        <w:t>TYPE YOUR TEXT HERE</w:t>
      </w:r>
    </w:p>
    <w:permEnd w:id="4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7" w:edGrp="everyone"/>
      <w:r>
        <w:t>TYPE YOUR TEXT HERE</w:t>
      </w:r>
    </w:p>
    <w:permEnd w:id="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8" w:edGrp="everyone"/>
      <w:r>
        <w:t>TYPE YOUR TEXT HERE</w:t>
      </w:r>
    </w:p>
    <w:permEnd w:id="4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9" w:edGrp="everyone"/>
      <w:r>
        <w:t>TYPE YOUR TEXT HERE</w:t>
      </w:r>
    </w:p>
    <w:permEnd w:id="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0" w:edGrp="everyone"/>
      <w:r>
        <w:t>TYPE YOUR TEXT HERE</w:t>
      </w:r>
    </w:p>
    <w:permEnd w:id="5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1" w:edGrp="everyone"/>
      <w:r>
        <w:t>TYPE YOUR TEXT HERE</w:t>
      </w:r>
    </w:p>
    <w:permEnd w:id="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52" w:edGrp="everyone"/>
      <w:r>
        <w:t>TYPE YOUR TEXT HERE</w:t>
      </w:r>
    </w:p>
    <w:permEnd w:id="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3" w:edGrp="everyone"/>
      <w:r>
        <w:t>TYPE YOUR TEXT HERE</w:t>
      </w:r>
    </w:p>
    <w:permEnd w:id="5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54" w:edGrp="everyone"/>
      <w:r>
        <w:t>TYPE YOUR TEXT HERE</w:t>
      </w:r>
    </w:p>
    <w:permEnd w:id="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5" w:edGrp="everyone"/>
      <w:r>
        <w:t>TYPE YOUR TEXT HERE</w:t>
      </w:r>
    </w:p>
    <w:permEnd w:id="5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6" w:edGrp="everyone"/>
      <w:r>
        <w:t>TYPE YOUR TEXT HERE</w:t>
      </w:r>
    </w:p>
    <w:permEnd w:id="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7" w:edGrp="everyone"/>
      <w:r>
        <w:t>TYPE YOUR TEXT HERE</w:t>
      </w:r>
    </w:p>
    <w:permEnd w:id="5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8" w:edGrp="everyone"/>
      <w:r>
        <w:t>TYPE YOUR TEXT HERE</w:t>
      </w:r>
    </w:p>
    <w:permEnd w:id="5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59" w:edGrp="everyone"/>
      <w:r>
        <w:t>TYPE YOUR TEXT HERE</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0" w:edGrp="everyone"/>
      <w:r>
        <w:t>TYPE YOUR TEXT HERE</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1" w:edGrp="everyone"/>
      <w:r>
        <w:t>TYPE YOUR TEXT HERE</w:t>
      </w:r>
    </w:p>
    <w:permEnd w:id="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2" w:edGrp="everyone"/>
      <w:r>
        <w:t>TYPE YOUR TEXT HERE</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3" w:edGrp="everyone"/>
      <w:r>
        <w:t>TYPE YOUR TEXT HERE</w:t>
      </w: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4" w:edGrp="everyone"/>
      <w:r>
        <w:t>TYPE YOUR TEXT HERE</w:t>
      </w:r>
    </w:p>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 w:edGrp="everyone"/>
      <w:r>
        <w:t>TYPE YOUR TEXT HERE</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66" w:edGrp="everyone"/>
      <w:r>
        <w:t>TYPE YOUR TEXT HERE</w:t>
      </w:r>
    </w:p>
    <w:permEnd w:id="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7" w:edGrp="everyone"/>
      <w:r>
        <w:t>TYPE YOUR TEXT HERE</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8" w:edGrp="everyone"/>
      <w:r>
        <w:t>TYPE YOUR TEXT HERE</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 w:edGrp="everyone"/>
      <w:r>
        <w:t>TYPE YOUR TEXT HERE</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70" w:edGrp="everyone"/>
      <w:r>
        <w:t>TYPE YOUR TEXT HERE</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1" w:edGrp="everyone"/>
      <w:r>
        <w:t>TYPE YOUR TEXT HERE</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2" w:edGrp="everyone"/>
      <w:r>
        <w:t>TYPE YOUR TEXT HERE</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73" w:edGrp="everyone"/>
      <w:r>
        <w:t>TYPE YOUR TEXT HERE</w:t>
      </w:r>
    </w:p>
    <w:permEnd w:id="7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4" w:edGrp="everyone"/>
      <w:r>
        <w:t>TYPE YOUR TEXT HERE</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5" w:edGrp="everyone"/>
      <w:r>
        <w:t>TYPE YOUR TEXT HERE</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6" w:edGrp="everyone"/>
      <w:r>
        <w:t>TYPE YOUR TEXT HERE</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7" w:edGrp="everyone"/>
      <w:r>
        <w:t>TYPE YOUR TEXT HERE</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78" w:edGrp="everyone"/>
      <w:r>
        <w:t>TYPE YOUR TEXT HERE</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9" w:edGrp="everyone"/>
      <w:r>
        <w:t>TYPE YOUR TEXT HERE</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0" w:edGrp="everyone"/>
      <w:r>
        <w:t>TYPE YOUR TEXT HERE</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1" w:edGrp="everyone"/>
      <w:r>
        <w:t>TYPE YOUR TEXT HERE</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82" w:edGrp="everyone"/>
      <w:r>
        <w:t>TYPE YOUR TEXT HERE</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83" w:edGrp="everyone"/>
      <w:r>
        <w:t>TYPE YOUR TEXT HERE</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4" w:edGrp="everyone"/>
      <w:r>
        <w:t>TYPE YOUR TEXT HERE</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85" w:edGrp="everyone"/>
      <w:r>
        <w:t>TYPE YOUR TEXT HERE</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86" w:edGrp="everyone"/>
      <w:r>
        <w:t>TYPE YOUR TEXT HERE</w:t>
      </w: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87" w:edGrp="everyone"/>
      <w:r>
        <w:t>TYPE YOUR TEXT HERE</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88" w:edGrp="everyone"/>
      <w:r>
        <w:t>TYPE YOUR TEXT HERE</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9" w:edGrp="everyone"/>
      <w:r>
        <w:t>TYPE YOUR TEXT HERE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0" w:edGrp="everyone"/>
      <w:r>
        <w:t>TYPE YOUR TEXT HERE</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1" w:edGrp="everyone"/>
      <w:r>
        <w:t>TYPE YOUR TEXT HERE</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92" w:edGrp="everyone"/>
      <w:r>
        <w:t>TYPE YOUR TEXT HERE</w:t>
      </w:r>
    </w:p>
    <w:permEnd w:id="9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93" w:edGrp="everyone"/>
      <w:r>
        <w:t>TYPE YOUR TEXT HERE</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4" w:edGrp="everyone"/>
      <w:r>
        <w:t>TYPE YOUR TEXT HERE</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5" w:edGrp="everyone"/>
      <w:r>
        <w:t>TYPE YOUR TEXT HERE</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6" w:edGrp="everyone"/>
      <w:r>
        <w:t>TYPE YOUR TEXT HERE</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7" w:edGrp="everyone"/>
      <w:r>
        <w:t>TYPE YOUR TEXT HERE</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8" w:edGrp="everyone"/>
      <w:r>
        <w:t>TYPE YOUR TEXT HERE</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99" w:edGrp="everyone"/>
      <w:r>
        <w:t>TYPE YOUR TEXT HERE</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0" w:edGrp="everyone"/>
      <w:r>
        <w:t>TYPE YOUR TEXT HERE</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01" w:edGrp="everyone"/>
      <w:r>
        <w:t>TYPE YOUR TEXT HERE</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2" w:edGrp="everyone"/>
      <w:r>
        <w:t>TYPE YOUR TEXT HERE</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3" w:edGrp="everyone"/>
      <w:r>
        <w:t>TYPE YOUR TEXT HERE</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4" w:edGrp="everyone"/>
      <w:r>
        <w:t>TYPE YOUR TEXT HERE</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5" w:edGrp="everyone"/>
      <w:r>
        <w:t>TYPE YOUR TEXT HERE</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6" w:edGrp="everyone"/>
      <w:r>
        <w:t>TYPE YOUR TEXT HERE</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7" w:edGrp="everyone"/>
      <w:r>
        <w:t>TYPE YOUR TEXT HERE</w:t>
      </w:r>
    </w:p>
    <w:permEnd w:id="1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8" w:edGrp="everyone"/>
      <w:r>
        <w:t>TYPE YOUR TEXT HERE</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109" w:edGrp="everyone"/>
      <w:r>
        <w:t>TYPE YOUR TEXT HERE</w:t>
      </w:r>
    </w:p>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10" w:edGrp="everyone"/>
      <w:r>
        <w:t>TYPE YOUR TEXT HERE</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11" w:edGrp="everyone"/>
      <w:r>
        <w:t>TYPE YOUR TEXT HERE</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12" w:edGrp="everyone"/>
      <w:r>
        <w:t>TYPE YOUR TEXT HERE</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13" w:edGrp="everyone"/>
      <w:r>
        <w:t>TYPE YOUR TEXT HERE</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4" w:edGrp="everyone"/>
      <w:r>
        <w:t>TYPE YOUR TEXT HERE</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5" w:edGrp="everyone"/>
      <w:r>
        <w:t>TYPE YOUR TEXT HERE</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16" w:edGrp="everyone"/>
      <w:r>
        <w:t>TYPE YOUR TEXT HERE</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17" w:edGrp="everyone"/>
      <w:r>
        <w:t>TYPE YOUR TEXT HERE</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18" w:edGrp="everyone"/>
      <w:r>
        <w:t>TYPE YOUR TEXT HERE</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 w:edGrp="everyone"/>
      <w:r>
        <w:t>TYPE YOUR TEXT HERE</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 w:edGrp="everyone"/>
      <w:r>
        <w:t>TYPE YOUR TEXT HERE</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1" w:edGrp="everyone"/>
      <w:r>
        <w:t>TYPE YOUR TEXT HERE</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22" w:edGrp="everyone"/>
      <w:r>
        <w:t>TYPE YOUR TEXT HERE</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3" w:edGrp="everyone"/>
      <w:r>
        <w:t>TYPE YOUR TEXT HERE</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4" w:edGrp="everyone"/>
      <w:r>
        <w:t>TYPE YOUR TEXT HERE</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125" w:edGrp="everyone"/>
      <w:r>
        <w:t>TYPE YOUR TEXT HERE</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6" w:edGrp="everyone"/>
      <w:r>
        <w:t>TYPE YOUR TEXT HERE</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 w:edGrp="everyone"/>
      <w:r>
        <w:t>TYPE YOUR TEXT HERE</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 w:edGrp="everyone"/>
      <w:r>
        <w:t>TYPE YOUR TEXT HERE</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29" w:edGrp="everyone"/>
      <w:r>
        <w:t>TYPE YOUR TEXT HERE</w:t>
      </w:r>
    </w:p>
    <w:permEnd w:id="12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0" w:edGrp="everyone"/>
      <w:r>
        <w:t>TYPE YOUR TEXT HERE</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1" w:edGrp="everyone"/>
      <w:r>
        <w:t>TYPE YOUR TEXT HERE</w:t>
      </w:r>
    </w:p>
    <w:permEnd w:id="1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32" w:edGrp="everyone"/>
      <w:r>
        <w:t>TYPE YOUR TEXT HERE</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33" w:edGrp="everyone"/>
      <w:r>
        <w:t>TYPE YOUR TEXT HERE</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4" w:edGrp="everyone"/>
      <w:r>
        <w:t>TYPE YOUR TEXT HERE</w:t>
      </w:r>
    </w:p>
    <w:permEnd w:id="1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5" w:edGrp="everyone"/>
      <w:r>
        <w:t>TYPE YOUR TEXT HERE</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6" w:edGrp="everyone"/>
      <w:r>
        <w:t>TYPE YOUR TEXT HERE</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7" w:edGrp="everyone"/>
      <w:r>
        <w:t>TYPE YOUR TEXT HERE</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8" w:edGrp="everyone"/>
      <w:r>
        <w:t>TYPE YOUR TEXT HERE</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39" w:edGrp="everyone"/>
      <w:r>
        <w:t>TYPE YOUR TEXT HERE</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0" w:edGrp="everyone"/>
      <w:r>
        <w:t>TYPE YOUR TEXT HERE</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1" w:edGrp="everyone"/>
      <w:r>
        <w:t>TYPE YOUR TEXT HERE</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2" w:edGrp="everyone"/>
      <w:r>
        <w:t>TYPE YOUR TEXT HERE</w:t>
      </w:r>
    </w:p>
    <w:permEnd w:id="14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3" w:edGrp="everyone"/>
      <w:r>
        <w:t>TYPE YOUR TEXT HERE</w:t>
      </w:r>
    </w:p>
    <w:permEnd w:id="1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4" w:edGrp="everyone"/>
      <w:r>
        <w:t>TYPE YOUR TEXT HERE</w:t>
      </w:r>
    </w:p>
    <w:permEnd w:id="1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5" w:edGrp="everyone"/>
      <w:r>
        <w:t>TYPE YOUR TEXT HERE</w:t>
      </w:r>
    </w:p>
    <w:permEnd w:id="1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46" w:edGrp="everyone"/>
      <w:r>
        <w:t>TYPE YOUR TEXT HERE</w:t>
      </w:r>
    </w:p>
    <w:permEnd w:id="14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47" w:edGrp="everyone"/>
      <w:r>
        <w:t>TYPE YOUR TEXT HERE</w:t>
      </w:r>
    </w:p>
    <w:permEnd w:id="1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8" w:edGrp="everyone"/>
      <w:r>
        <w:t>TYPE YOUR TEXT HERE</w:t>
      </w:r>
    </w:p>
    <w:permEnd w:id="14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49" w:edGrp="everyone"/>
      <w:r>
        <w:t>TYPE YOUR TEXT HERE</w:t>
      </w:r>
    </w:p>
    <w:permEnd w:id="14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150" w:edGrp="everyone"/>
      <w:r>
        <w:t>TYPE YOUR TEXT HERE</w:t>
      </w:r>
    </w:p>
    <w:permEnd w:id="1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1" w:edGrp="everyone"/>
      <w:r>
        <w:t>TYPE YOUR TEXT HERE</w:t>
      </w:r>
    </w:p>
    <w:permEnd w:id="15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52" w:edGrp="everyone"/>
      <w:r>
        <w:t>TYPE YOUR TEXT HERE</w:t>
      </w:r>
    </w:p>
    <w:permEnd w:id="15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3" w:edGrp="everyone"/>
      <w:r>
        <w:t>TYPE YOUR TEXT HERE</w:t>
      </w:r>
    </w:p>
    <w:permEnd w:id="15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54" w:edGrp="everyone"/>
      <w:r>
        <w:t>TYPE YOUR TEXT HERE</w:t>
      </w:r>
    </w:p>
    <w:permEnd w:id="15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55" w:edGrp="everyone"/>
      <w:r>
        <w:t>TYPE YOUR TEXT HERE</w:t>
      </w:r>
    </w:p>
    <w:permEnd w:id="15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56" w:edGrp="everyone"/>
      <w:r>
        <w:t>TYPE YOUR TEXT HERE</w:t>
      </w:r>
    </w:p>
    <w:permEnd w:id="1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157" w:edGrp="everyone"/>
      <w:r>
        <w:t>TYPE YOUR TEXT HERE</w:t>
      </w:r>
    </w:p>
    <w:permEnd w:id="15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58" w:edGrp="everyone"/>
      <w:r>
        <w:t>TYPE YOUR TEXT HERE</w:t>
      </w:r>
    </w:p>
    <w:permEnd w:id="1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9" w:edGrp="everyone"/>
      <w:r>
        <w:t>TYPE YOUR TEXT HERE</w:t>
      </w:r>
    </w:p>
    <w:permEnd w:id="1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0" w:edGrp="everyone"/>
      <w:r>
        <w:t>TYPE YOUR TEXT HERE</w:t>
      </w:r>
    </w:p>
    <w:permEnd w:id="1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1" w:edGrp="everyone"/>
      <w:r>
        <w:t>TYPE YOUR TEXT HERE</w:t>
      </w:r>
    </w:p>
    <w:permEnd w:id="16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2" w:edGrp="everyone"/>
      <w:r>
        <w:t>TYPE YOUR TEXT HERE</w:t>
      </w:r>
    </w:p>
    <w:permEnd w:id="16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63" w:edGrp="everyone"/>
      <w:r>
        <w:t>TYPE YOUR TEXT HERE</w:t>
      </w:r>
    </w:p>
    <w:permEnd w:id="1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164" w:edGrp="everyone"/>
      <w:r>
        <w:t>TYPE YOUR TEXT HERE</w:t>
      </w:r>
    </w:p>
    <w:permEnd w:id="16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65" w:edGrp="everyone"/>
      <w:r>
        <w:t>TYPE YOUR TEXT HERE</w:t>
      </w:r>
    </w:p>
    <w:permEnd w:id="16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6" w:edGrp="everyone"/>
      <w:r>
        <w:t>TYPE YOUR TEXT HERE</w:t>
      </w:r>
    </w:p>
    <w:permEnd w:id="16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67" w:edGrp="everyone"/>
      <w:r>
        <w:t>TYPE YOUR TEXT HERE</w:t>
      </w:r>
    </w:p>
    <w:permEnd w:id="16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68" w:edGrp="everyone"/>
      <w:r>
        <w:t>TYPE YOUR TEXT HERE</w:t>
      </w:r>
    </w:p>
    <w:permEnd w:id="16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69" w:edGrp="everyone"/>
      <w:r>
        <w:t>TYPE YOUR TEXT HERE</w:t>
      </w:r>
    </w:p>
    <w:permEnd w:id="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0" w:edGrp="everyone"/>
      <w:r>
        <w:t>TYPE YOUR TEXT HERE</w:t>
      </w:r>
    </w:p>
    <w:permEnd w:id="17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1" w:edGrp="everyone"/>
      <w:r>
        <w:t>TYPE YOUR TEXT HERE</w:t>
      </w:r>
    </w:p>
    <w:permEnd w:id="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2" w:edGrp="everyone"/>
      <w:r>
        <w:t>TYPE YOUR TEXT HERE</w:t>
      </w:r>
    </w:p>
    <w:permEnd w:id="1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73" w:edGrp="everyone"/>
      <w:r>
        <w:t>TYPE YOUR TEXT HERE</w:t>
      </w:r>
    </w:p>
    <w:permEnd w:id="1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4" w:edGrp="everyone"/>
      <w:r>
        <w:t>TYPE YOUR TEXT HERE</w:t>
      </w:r>
    </w:p>
    <w:permEnd w:id="1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5" w:edGrp="everyone"/>
      <w:r>
        <w:t>TYPE YOUR TEXT HERE</w:t>
      </w:r>
    </w:p>
    <w:permEnd w:id="1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577C33" w:rsidP="00EC2C93">
      <w:pPr>
        <w:keepNext/>
      </w:pPr>
      <w:permStart w:id="176" w:edGrp="everyone"/>
      <w:r>
        <w:t>TYPE YOUR TEXT HERE</w:t>
      </w:r>
    </w:p>
    <w:permEnd w:id="17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4265B7" w:rsidRDefault="004265B7" w:rsidP="004265B7">
      <w:pPr>
        <w:spacing w:before="120"/>
        <w:rPr>
          <w:lang w:val="en-US"/>
        </w:rPr>
      </w:pPr>
      <w:permStart w:id="177" w:edGrp="everyone"/>
      <w:r>
        <w:rPr>
          <w:lang w:val="en-US"/>
        </w:rPr>
        <w:t xml:space="preserve">No, BDEW disagrees. </w:t>
      </w:r>
    </w:p>
    <w:p w:rsidR="004265B7" w:rsidRDefault="004265B7" w:rsidP="004265B7">
      <w:pPr>
        <w:spacing w:before="120"/>
        <w:rPr>
          <w:lang w:val="en-US"/>
        </w:rPr>
      </w:pPr>
      <w:r>
        <w:rPr>
          <w:lang w:val="en-US"/>
        </w:rPr>
        <w:t>Our main point of disagreement refers to ESMA´s view that the breach of just one of the tests (ancillary activity test or trading activity test) would lead non-financial companies to fall under the scope of MiFID II.</w:t>
      </w:r>
    </w:p>
    <w:p w:rsidR="004265B7" w:rsidRDefault="004265B7" w:rsidP="004265B7">
      <w:pPr>
        <w:spacing w:before="120"/>
        <w:rPr>
          <w:lang w:val="en-US"/>
        </w:rPr>
      </w:pPr>
      <w:r>
        <w:rPr>
          <w:lang w:val="en-US"/>
        </w:rPr>
        <w:t xml:space="preserve">We believe that ESMA´s interpretation is in breach with Article 2.4 of MiFID, which requires to take into account </w:t>
      </w:r>
      <w:r w:rsidRPr="00CC24BC">
        <w:rPr>
          <w:i/>
          <w:lang w:val="en-US"/>
        </w:rPr>
        <w:t>at least</w:t>
      </w:r>
      <w:r>
        <w:rPr>
          <w:lang w:val="en-US"/>
        </w:rPr>
        <w:t xml:space="preserve"> the elements mentioned thereof. Our understanding of this clause is that both the ancillary activity test AND the trading activity test must be breached before a company falls under the scope of MiFID II.</w:t>
      </w:r>
    </w:p>
    <w:p w:rsidR="004265B7" w:rsidRPr="00BC2FBE" w:rsidRDefault="004265B7" w:rsidP="004265B7">
      <w:pPr>
        <w:spacing w:before="120"/>
        <w:rPr>
          <w:lang w:val="en-US"/>
        </w:rPr>
      </w:pPr>
      <w:r w:rsidRPr="00BC2FBE">
        <w:rPr>
          <w:lang w:val="en-US"/>
        </w:rPr>
        <w:t>We are concerned about the macroeconomic impact that ESMA’s proposals will have, if implemented. As ESMA acknowledges in the consultation paper, there are a number of secondary effects on firms that will fall into the MiFID II scope, due to the interactions with other EU legislation such as EMIR, CRD.</w:t>
      </w:r>
    </w:p>
    <w:p w:rsidR="004265B7" w:rsidRDefault="004265B7" w:rsidP="004265B7">
      <w:pPr>
        <w:spacing w:before="120"/>
        <w:rPr>
          <w:lang w:val="en-US"/>
        </w:rPr>
      </w:pPr>
      <w:r w:rsidRPr="00BC2FBE">
        <w:rPr>
          <w:lang w:val="en-US"/>
        </w:rPr>
        <w:t>Further</w:t>
      </w:r>
      <w:r>
        <w:rPr>
          <w:lang w:val="en-US"/>
        </w:rPr>
        <w:t>more</w:t>
      </w:r>
      <w:r w:rsidRPr="00BC2FBE">
        <w:rPr>
          <w:lang w:val="en-US"/>
        </w:rPr>
        <w:t xml:space="preserve">, ESMA has not been able to quantify the effects of the proposals as “no data is available to run a simulation with different threshold levels”. It is therefore impossible to predict the post-2017 landscape of commodity markets resulting from the interplay between the proposals and firms’ strategic responses to them that will be taken in advance especially if the framework remains so uncertain. </w:t>
      </w:r>
    </w:p>
    <w:p w:rsidR="004265B7" w:rsidRPr="00B91EF4" w:rsidRDefault="004265B7" w:rsidP="004265B7">
      <w:pPr>
        <w:spacing w:before="120"/>
        <w:rPr>
          <w:lang w:val="en-US"/>
        </w:rPr>
      </w:pPr>
      <w:r>
        <w:rPr>
          <w:lang w:val="en-US"/>
        </w:rPr>
        <w:t>BDEW would also like to point out t</w:t>
      </w:r>
      <w:r w:rsidRPr="00B91EF4">
        <w:rPr>
          <w:lang w:val="en-US"/>
        </w:rPr>
        <w:t xml:space="preserve">he risk reducing effect of central clearing by Central Counterparties (CCPs) </w:t>
      </w:r>
      <w:r>
        <w:rPr>
          <w:lang w:val="en-US"/>
        </w:rPr>
        <w:t>and its reflection</w:t>
      </w:r>
      <w:r w:rsidRPr="00B91EF4">
        <w:rPr>
          <w:lang w:val="en-US"/>
        </w:rPr>
        <w:t xml:space="preserve"> in the determination of the ancillary activity tests</w:t>
      </w:r>
      <w:r>
        <w:rPr>
          <w:lang w:val="en-US"/>
        </w:rPr>
        <w:t>.</w:t>
      </w:r>
    </w:p>
    <w:p w:rsidR="004265B7" w:rsidRPr="00B91EF4" w:rsidRDefault="004265B7" w:rsidP="004265B7">
      <w:pPr>
        <w:spacing w:before="120"/>
        <w:rPr>
          <w:lang w:val="en-US"/>
        </w:rPr>
      </w:pPr>
      <w:r>
        <w:rPr>
          <w:lang w:val="en-US"/>
        </w:rPr>
        <w:t xml:space="preserve">BDEW </w:t>
      </w:r>
      <w:r w:rsidRPr="00B91EF4">
        <w:rPr>
          <w:lang w:val="en-US"/>
        </w:rPr>
        <w:t xml:space="preserve">suggests that commodity and emission allowances derivatives that are traded on Regulated Markets (RMs) should only count towards the ancillary activity thresholds in a risk-adjusted manner. Indeed, the significant narrowing of the MiFID I exemptions in MiFID II aims primarily at mitigating systemic risk. Yet, contracts traded on regulated markets are systematically centrally cleared and do thus not pose the same level of systemic risk as non-cleared contracts that are traded on other platforms. This aspect is taken into account by the European Market Infrastructure Regulation (EMIR). Under EMIR, exchange-traded and centrally cleared derivatives (ETDs) do not count towards the clearing threshold. </w:t>
      </w:r>
    </w:p>
    <w:p w:rsidR="004265B7" w:rsidRPr="00B91EF4" w:rsidRDefault="004265B7" w:rsidP="004265B7">
      <w:pPr>
        <w:spacing w:before="120"/>
        <w:rPr>
          <w:lang w:val="en-US"/>
        </w:rPr>
      </w:pPr>
      <w:r w:rsidRPr="00B91EF4">
        <w:rPr>
          <w:lang w:val="en-US"/>
        </w:rPr>
        <w:t xml:space="preserve">When a derivative is centrally cleared, the counterparty risk arising from the transaction is managed by the CCP. The risk to cover an open position of a clearing member in the event of a default is inter alia captured by the initial margin provided by the clearing member. In this context, the initial margin corresponds to the default risk in case of a cleared contract. The value of the initial margin can vary depending on the contract as it depends on the contract volatility. In gas and power derivative markets, initial margins do not exceed 15%. </w:t>
      </w:r>
    </w:p>
    <w:p w:rsidR="004265B7" w:rsidRPr="00B91EF4" w:rsidRDefault="004265B7" w:rsidP="004265B7">
      <w:pPr>
        <w:spacing w:before="120"/>
        <w:rPr>
          <w:lang w:val="en-US"/>
        </w:rPr>
      </w:pPr>
      <w:r>
        <w:rPr>
          <w:lang w:val="en-US"/>
        </w:rPr>
        <w:t>BDEW</w:t>
      </w:r>
      <w:r w:rsidRPr="00B91EF4">
        <w:rPr>
          <w:lang w:val="en-US"/>
        </w:rPr>
        <w:t xml:space="preserve"> therefore suggests that the capital employed for carrying out the ancillary activity should be measured via the initial margin in relation to contracts traded on a RM. Therefore, an exchange-traded contract would be considered with 15% compared to an OTC-derivative with similar characteristics which is not cleared. This would better reflect both the actual capital employed by the market participants as well as the risk structure of cleared contracts. </w:t>
      </w:r>
    </w:p>
    <w:p w:rsidR="004265B7" w:rsidRDefault="004265B7" w:rsidP="004265B7">
      <w:pPr>
        <w:spacing w:before="120"/>
        <w:rPr>
          <w:lang w:val="en-US"/>
        </w:rPr>
      </w:pPr>
      <w:r>
        <w:rPr>
          <w:lang w:val="en-US"/>
        </w:rPr>
        <w:t>Overall, the</w:t>
      </w:r>
      <w:r w:rsidRPr="00BC2FBE">
        <w:rPr>
          <w:lang w:val="en-US"/>
        </w:rPr>
        <w:t xml:space="preserve"> uncertainty poses a degree of risk to commodity markets, the wider economy, and also to market participants, which they can really only manage away by exiting EU markets.</w:t>
      </w:r>
    </w:p>
    <w:permEnd w:id="17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4265B7" w:rsidRPr="00224691" w:rsidRDefault="004265B7" w:rsidP="004265B7">
      <w:pPr>
        <w:autoSpaceDE w:val="0"/>
        <w:autoSpaceDN w:val="0"/>
        <w:adjustRightInd w:val="0"/>
        <w:spacing w:before="120"/>
        <w:rPr>
          <w:lang w:val="en-US"/>
        </w:rPr>
      </w:pPr>
      <w:permStart w:id="178" w:edGrp="everyone"/>
      <w:r>
        <w:rPr>
          <w:bCs/>
          <w:lang w:val="en-US"/>
        </w:rPr>
        <w:t>Yes, BDEW agrees.</w:t>
      </w:r>
    </w:p>
    <w:permEnd w:id="1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4265B7" w:rsidRPr="00224691" w:rsidRDefault="004265B7" w:rsidP="004265B7">
      <w:pPr>
        <w:autoSpaceDE w:val="0"/>
        <w:autoSpaceDN w:val="0"/>
        <w:adjustRightInd w:val="0"/>
        <w:spacing w:before="120"/>
        <w:rPr>
          <w:lang w:val="en-US"/>
        </w:rPr>
      </w:pPr>
      <w:permStart w:id="179" w:edGrp="everyone"/>
      <w:r>
        <w:rPr>
          <w:lang w:val="en-US"/>
        </w:rPr>
        <w:t>Yes, BDEW considers the revised method of calculation for the first test as being appropriate.</w:t>
      </w:r>
    </w:p>
    <w:permEnd w:id="17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F663CE" w:rsidRDefault="00F663CE" w:rsidP="00F663CE">
      <w:pPr>
        <w:autoSpaceDE w:val="0"/>
        <w:autoSpaceDN w:val="0"/>
        <w:adjustRightInd w:val="0"/>
        <w:spacing w:before="120"/>
        <w:rPr>
          <w:bCs/>
          <w:lang w:val="en-US"/>
        </w:rPr>
      </w:pPr>
      <w:permStart w:id="180" w:edGrp="everyone"/>
      <w:r>
        <w:rPr>
          <w:bCs/>
          <w:lang w:val="en-US"/>
        </w:rPr>
        <w:t>Yes, the trading activity undertaken by a MiFID licensed subsidiary of the group should be deducted from the ancillary activity.</w:t>
      </w:r>
    </w:p>
    <w:p w:rsidR="00F663CE" w:rsidRPr="00224691" w:rsidRDefault="00F663CE" w:rsidP="00F663CE">
      <w:pPr>
        <w:autoSpaceDE w:val="0"/>
        <w:autoSpaceDN w:val="0"/>
        <w:adjustRightInd w:val="0"/>
        <w:spacing w:before="120"/>
        <w:rPr>
          <w:lang w:val="en-US"/>
        </w:rPr>
      </w:pPr>
      <w:r>
        <w:rPr>
          <w:bCs/>
          <w:lang w:val="en-US"/>
        </w:rPr>
        <w:t>Additionally, we believe any subsidiary of the group that can make use of any other MiFID II Article 2 exemption in its own right should also be deducted from the numerator. This is valid especially for compliance-buyers of emission allowances which could be exempted under Article 2(1</w:t>
      </w:r>
      <w:proofErr w:type="gramStart"/>
      <w:r>
        <w:rPr>
          <w:bCs/>
          <w:lang w:val="en-US"/>
        </w:rPr>
        <w:t>)(</w:t>
      </w:r>
      <w:proofErr w:type="gramEnd"/>
      <w:r>
        <w:rPr>
          <w:bCs/>
          <w:lang w:val="en-US"/>
        </w:rPr>
        <w:t>e).</w:t>
      </w:r>
    </w:p>
    <w:permEnd w:id="18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F663CE" w:rsidRPr="00702CE4" w:rsidRDefault="00F663CE" w:rsidP="00F663CE">
      <w:pPr>
        <w:rPr>
          <w:lang w:val="en-US" w:eastAsia="en-GB"/>
        </w:rPr>
      </w:pPr>
      <w:permStart w:id="181" w:edGrp="everyone"/>
      <w:r w:rsidRPr="00702CE4">
        <w:rPr>
          <w:lang w:val="en-US" w:eastAsia="en-GB"/>
        </w:rPr>
        <w:t xml:space="preserve">We believe that the calculation should be done at </w:t>
      </w:r>
      <w:r w:rsidRPr="00702CE4">
        <w:rPr>
          <w:i/>
          <w:lang w:val="en-US" w:eastAsia="en-GB"/>
        </w:rPr>
        <w:t xml:space="preserve">person </w:t>
      </w:r>
      <w:r w:rsidRPr="00702CE4">
        <w:rPr>
          <w:lang w:val="en-US" w:eastAsia="en-GB"/>
        </w:rPr>
        <w:t>level as per the MiFID II mandate. We believe that the thresholds proposed are extremely low even if applied at the level of a person. Therefore it is difficult to see how the threshold proposed could be revised further in case the calculation will be done at person level rather than at group level.</w:t>
      </w:r>
    </w:p>
    <w:p w:rsidR="00F663CE" w:rsidRPr="00702CE4" w:rsidRDefault="00F663CE" w:rsidP="00F663CE">
      <w:pPr>
        <w:rPr>
          <w:lang w:val="en-US" w:eastAsia="en-GB"/>
        </w:rPr>
      </w:pPr>
      <w:r w:rsidRPr="00702CE4">
        <w:rPr>
          <w:lang w:val="en-US" w:eastAsia="en-GB"/>
        </w:rPr>
        <w:t>A calculation ‘at group level’ is not in our view in line with the level 1 text because the licens</w:t>
      </w:r>
      <w:r>
        <w:rPr>
          <w:lang w:val="en-US" w:eastAsia="en-GB"/>
        </w:rPr>
        <w:t xml:space="preserve">ing regime </w:t>
      </w:r>
      <w:r w:rsidRPr="00702CE4">
        <w:rPr>
          <w:lang w:val="en-US" w:eastAsia="en-GB"/>
        </w:rPr>
        <w:t xml:space="preserve">in MiFID II applies to </w:t>
      </w:r>
      <w:r w:rsidRPr="00702CE4">
        <w:rPr>
          <w:i/>
          <w:lang w:val="en-US" w:eastAsia="en-GB"/>
        </w:rPr>
        <w:t>persons</w:t>
      </w:r>
      <w:r w:rsidRPr="00702CE4">
        <w:rPr>
          <w:lang w:val="en-US" w:eastAsia="en-GB"/>
        </w:rPr>
        <w:t xml:space="preserve"> and the exemption from such regime apply at </w:t>
      </w:r>
      <w:r w:rsidRPr="00702CE4">
        <w:rPr>
          <w:i/>
          <w:lang w:val="en-US" w:eastAsia="en-GB"/>
        </w:rPr>
        <w:t xml:space="preserve">person </w:t>
      </w:r>
      <w:r w:rsidRPr="00702CE4">
        <w:rPr>
          <w:lang w:val="en-US" w:eastAsia="en-GB"/>
        </w:rPr>
        <w:t xml:space="preserve">level, </w:t>
      </w:r>
      <w:r>
        <w:rPr>
          <w:lang w:val="en-US" w:eastAsia="en-GB"/>
        </w:rPr>
        <w:t>as clearly defined in level 1 (A</w:t>
      </w:r>
      <w:r w:rsidRPr="00702CE4">
        <w:rPr>
          <w:lang w:val="en-US" w:eastAsia="en-GB"/>
        </w:rPr>
        <w:t xml:space="preserve">rticle 2.1). </w:t>
      </w:r>
    </w:p>
    <w:p w:rsidR="00F663CE" w:rsidRPr="00702CE4" w:rsidRDefault="00F663CE" w:rsidP="00F663CE">
      <w:pPr>
        <w:rPr>
          <w:lang w:val="en-US" w:eastAsia="en-GB"/>
        </w:rPr>
      </w:pPr>
      <w:r w:rsidRPr="00702CE4">
        <w:rPr>
          <w:lang w:val="en-US" w:eastAsia="en-GB"/>
        </w:rPr>
        <w:t xml:space="preserve">Additionally, the calculations and the consequences of failing the tests would affect </w:t>
      </w:r>
      <w:r w:rsidRPr="00702CE4">
        <w:rPr>
          <w:i/>
          <w:lang w:val="en-US" w:eastAsia="en-GB"/>
        </w:rPr>
        <w:t>all</w:t>
      </w:r>
      <w:r w:rsidRPr="00702CE4">
        <w:rPr>
          <w:lang w:val="en-US" w:eastAsia="en-GB"/>
        </w:rPr>
        <w:t xml:space="preserve"> persons within the group and not only those persons involved in investment services/activities. A full dependence between different entities within a group engaged in different activities, but still counting towards the thresholds, is not appropriate.</w:t>
      </w:r>
    </w:p>
    <w:p w:rsidR="00F663CE" w:rsidRPr="00702CE4" w:rsidRDefault="00F663CE" w:rsidP="00F663CE">
      <w:pPr>
        <w:rPr>
          <w:lang w:val="en-US" w:eastAsia="en-GB"/>
        </w:rPr>
      </w:pPr>
      <w:r w:rsidRPr="00702CE4">
        <w:rPr>
          <w:lang w:val="en-US" w:eastAsia="en-GB"/>
        </w:rPr>
        <w:t xml:space="preserve">Finally it </w:t>
      </w:r>
      <w:r w:rsidRPr="002F0452">
        <w:rPr>
          <w:lang w:val="en-US" w:eastAsia="en-GB"/>
        </w:rPr>
        <w:t>may require</w:t>
      </w:r>
      <w:r w:rsidRPr="00702CE4">
        <w:rPr>
          <w:lang w:val="en-US" w:eastAsia="en-GB"/>
        </w:rPr>
        <w:t xml:space="preserve"> additional processes at the parent company level that are not always possible considering different national and international regimes (e.g. accounting, classification of privileged transactions, </w:t>
      </w:r>
      <w:proofErr w:type="gramStart"/>
      <w:r w:rsidRPr="00702CE4">
        <w:rPr>
          <w:lang w:val="en-US" w:eastAsia="en-GB"/>
        </w:rPr>
        <w:t>calculation</w:t>
      </w:r>
      <w:proofErr w:type="gramEnd"/>
      <w:r w:rsidRPr="00702CE4">
        <w:rPr>
          <w:lang w:val="en-US" w:eastAsia="en-GB"/>
        </w:rPr>
        <w:t xml:space="preserve"> of trading activity).</w:t>
      </w:r>
    </w:p>
    <w:p w:rsidR="00F663CE" w:rsidRPr="00702CE4" w:rsidRDefault="00F663CE" w:rsidP="00F663CE">
      <w:pPr>
        <w:rPr>
          <w:lang w:val="en-US" w:eastAsia="en-GB"/>
        </w:rPr>
      </w:pPr>
    </w:p>
    <w:p w:rsidR="00F663CE" w:rsidRPr="00702CE4" w:rsidRDefault="00F663CE" w:rsidP="00F663CE">
      <w:pPr>
        <w:rPr>
          <w:lang w:val="en-US" w:eastAsia="en-GB"/>
        </w:rPr>
      </w:pPr>
      <w:r w:rsidRPr="00702CE4">
        <w:rPr>
          <w:lang w:val="en-US" w:eastAsia="en-GB"/>
        </w:rPr>
        <w:t xml:space="preserve">Nevertheless, if ESMA maintains the proposal to consider a ‘group-level’ calculation, it is necessary that it clarifies in the RTS how the process should work in practice. </w:t>
      </w:r>
    </w:p>
    <w:p w:rsidR="00F663CE" w:rsidRPr="00702CE4" w:rsidRDefault="00F663CE" w:rsidP="00F663CE">
      <w:pPr>
        <w:rPr>
          <w:lang w:val="en-US" w:eastAsia="en-GB"/>
        </w:rPr>
      </w:pPr>
      <w:r w:rsidRPr="00702CE4">
        <w:rPr>
          <w:lang w:val="en-US" w:eastAsia="en-GB"/>
        </w:rPr>
        <w:t xml:space="preserve">ESMA should consider that performing activities regulated by MiFID without a license may be punished with fines and as criminal offence. We read the draft RTS in a way that, following a breach of the trading activity or capital test by </w:t>
      </w:r>
      <w:r w:rsidRPr="00702CE4">
        <w:rPr>
          <w:i/>
          <w:lang w:val="en-US" w:eastAsia="en-GB"/>
        </w:rPr>
        <w:t>one entity</w:t>
      </w:r>
      <w:r w:rsidRPr="00702CE4">
        <w:rPr>
          <w:lang w:val="en-US" w:eastAsia="en-GB"/>
        </w:rPr>
        <w:t xml:space="preserve"> within a group, </w:t>
      </w:r>
      <w:r w:rsidRPr="00702CE4">
        <w:rPr>
          <w:i/>
          <w:lang w:val="en-US" w:eastAsia="en-GB"/>
        </w:rPr>
        <w:t>every other</w:t>
      </w:r>
      <w:r w:rsidRPr="00702CE4">
        <w:rPr>
          <w:lang w:val="en-US" w:eastAsia="en-GB"/>
        </w:rPr>
        <w:t xml:space="preserve"> </w:t>
      </w:r>
      <w:r w:rsidRPr="00702CE4">
        <w:rPr>
          <w:i/>
          <w:lang w:val="en-US" w:eastAsia="en-GB"/>
        </w:rPr>
        <w:t>unregulated entity</w:t>
      </w:r>
      <w:r w:rsidRPr="00702CE4">
        <w:rPr>
          <w:lang w:val="en-US" w:eastAsia="en-GB"/>
        </w:rPr>
        <w:t xml:space="preserve"> within such group will be required to obtain a MiFID II license because they all need to take into account the activities ‘at group level’. </w:t>
      </w:r>
    </w:p>
    <w:p w:rsidR="00F663CE" w:rsidRPr="00702CE4" w:rsidRDefault="00F663CE" w:rsidP="00F663CE">
      <w:pPr>
        <w:rPr>
          <w:lang w:val="en-US" w:eastAsia="en-GB"/>
        </w:rPr>
      </w:pPr>
      <w:r w:rsidRPr="00702CE4">
        <w:rPr>
          <w:lang w:val="en-US" w:eastAsia="en-GB"/>
        </w:rPr>
        <w:t xml:space="preserve">Therefore it is crucial that ESMA provides a process allowing excluding from the assessment of the ancillary activity exemption also activities of entities </w:t>
      </w:r>
      <w:r w:rsidRPr="00702CE4">
        <w:rPr>
          <w:i/>
          <w:lang w:val="en-US" w:eastAsia="en-GB"/>
        </w:rPr>
        <w:t>in the process to require or obtain</w:t>
      </w:r>
      <w:r w:rsidRPr="00702CE4">
        <w:rPr>
          <w:lang w:val="en-US" w:eastAsia="en-GB"/>
        </w:rPr>
        <w:t xml:space="preserve"> a MiFID license. This is necessary to ensure business continuity and avoid undue consequences.</w:t>
      </w:r>
    </w:p>
    <w:p w:rsidR="00F663CE" w:rsidRPr="00702CE4" w:rsidRDefault="00F663CE" w:rsidP="00F663CE">
      <w:pPr>
        <w:rPr>
          <w:lang w:val="en-US" w:eastAsia="en-GB"/>
        </w:rPr>
      </w:pPr>
    </w:p>
    <w:p w:rsidR="00F663CE" w:rsidRPr="00702CE4" w:rsidRDefault="00F663CE" w:rsidP="00F663CE">
      <w:pPr>
        <w:rPr>
          <w:lang w:val="en-US" w:eastAsia="en-GB"/>
        </w:rPr>
      </w:pPr>
      <w:r w:rsidRPr="00702CE4">
        <w:rPr>
          <w:lang w:val="en-US" w:eastAsia="en-GB"/>
        </w:rPr>
        <w:t>We interpret th</w:t>
      </w:r>
      <w:r>
        <w:rPr>
          <w:lang w:val="en-US" w:eastAsia="en-GB"/>
        </w:rPr>
        <w:t xml:space="preserve">e term ‘sum of capital employed </w:t>
      </w:r>
      <w:r w:rsidRPr="00702CE4">
        <w:rPr>
          <w:i/>
          <w:lang w:val="en-US" w:eastAsia="en-GB"/>
        </w:rPr>
        <w:t>by the group in the European Union’</w:t>
      </w:r>
      <w:r w:rsidRPr="00702CE4">
        <w:rPr>
          <w:lang w:val="en-US" w:eastAsia="en-GB"/>
        </w:rPr>
        <w:t xml:space="preserve"> as capital employed by all the entities of the group which are incorporated or otherwise domiciled in a Member State of the European Union and it should include only activities as dealing on European regulated platforms, unless exempted, and/or with EU counterparties (see also response to Q177 on the definition of size of the trading activity).</w:t>
      </w:r>
    </w:p>
    <w:p w:rsidR="00F663CE" w:rsidRPr="00702CE4" w:rsidRDefault="00F663CE" w:rsidP="00F663CE">
      <w:pPr>
        <w:rPr>
          <w:lang w:val="en-US" w:eastAsia="en-GB"/>
        </w:rPr>
      </w:pPr>
      <w:r w:rsidRPr="00702CE4">
        <w:rPr>
          <w:lang w:val="en-US" w:eastAsia="en-GB"/>
        </w:rPr>
        <w:t xml:space="preserve">Finally we do not understand the reference in Recital (9) of the draft RTS 28 and point 74 (p.525) of the consultation paper to third countries entities wishing to benefit from the exemption in article 2.1(j). MiFID II does not require entities wishing to benefit from the exemption to establish a branch in the European Union. Therefore we believe that those entities should be able to make a self-assessment and should be required to notify ESMA only upon request. </w:t>
      </w:r>
    </w:p>
    <w:p w:rsidR="00F663CE" w:rsidRPr="00702CE4" w:rsidRDefault="00F663CE" w:rsidP="00F663CE">
      <w:pPr>
        <w:rPr>
          <w:lang w:val="en-US" w:eastAsia="en-GB"/>
        </w:rPr>
      </w:pPr>
      <w:r w:rsidRPr="00702CE4">
        <w:rPr>
          <w:lang w:val="en-US" w:eastAsia="en-GB"/>
        </w:rPr>
        <w:t>Any arrangement that would require third country entities to set a branch in the EU for dealing on own account in commodity derivatives increases the risk of EU and third country participants moving their commodity derivatives’ trading activity (speculative as well as hedging) outside of the EU. Reduced liquidity and effectiveness of EU markets would be the result and EU exchanges in particular would struggle with the decreased levels of liquidity which we believe to be contrary to EU goals to promote growth and investment.</w:t>
      </w:r>
    </w:p>
    <w:permEnd w:id="18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F663CE" w:rsidRDefault="00F663CE" w:rsidP="00F663CE">
      <w:pPr>
        <w:autoSpaceDE w:val="0"/>
        <w:autoSpaceDN w:val="0"/>
        <w:adjustRightInd w:val="0"/>
        <w:spacing w:before="120"/>
        <w:rPr>
          <w:lang w:val="en-US"/>
        </w:rPr>
      </w:pPr>
      <w:permStart w:id="182" w:edGrp="everyone"/>
      <w:r w:rsidRPr="00E95090">
        <w:rPr>
          <w:lang w:val="en-US"/>
        </w:rPr>
        <w:t xml:space="preserve">No, </w:t>
      </w:r>
      <w:r>
        <w:rPr>
          <w:lang w:val="en-US"/>
        </w:rPr>
        <w:t>BDEW does not consider the</w:t>
      </w:r>
      <w:r w:rsidRPr="00E95090">
        <w:rPr>
          <w:lang w:val="en-US"/>
        </w:rPr>
        <w:t xml:space="preserve"> threshold of 5</w:t>
      </w:r>
      <w:r>
        <w:rPr>
          <w:lang w:val="en-US"/>
        </w:rPr>
        <w:t xml:space="preserve"> </w:t>
      </w:r>
      <w:r w:rsidRPr="00E95090">
        <w:rPr>
          <w:lang w:val="en-US"/>
        </w:rPr>
        <w:t>% in relation to</w:t>
      </w:r>
      <w:r>
        <w:rPr>
          <w:lang w:val="en-US"/>
        </w:rPr>
        <w:t xml:space="preserve"> </w:t>
      </w:r>
      <w:r w:rsidRPr="00E95090">
        <w:rPr>
          <w:lang w:val="en-US"/>
        </w:rPr>
        <w:t xml:space="preserve">the first test </w:t>
      </w:r>
      <w:r>
        <w:rPr>
          <w:lang w:val="en-US"/>
        </w:rPr>
        <w:t>as</w:t>
      </w:r>
      <w:r w:rsidRPr="00E95090">
        <w:rPr>
          <w:lang w:val="en-US"/>
        </w:rPr>
        <w:t xml:space="preserve"> appropriate</w:t>
      </w:r>
      <w:r>
        <w:rPr>
          <w:lang w:val="en-US"/>
        </w:rPr>
        <w:t xml:space="preserve">. But as there is a lot of uncertainty around the variables for the calculation, BDEW is not yet able to make a fully informed statement on the size of ancillary activities in the energy sector according to the proposed formula. </w:t>
      </w:r>
    </w:p>
    <w:p w:rsidR="00F663CE" w:rsidRPr="00702CE4" w:rsidRDefault="00F663CE" w:rsidP="00F663CE">
      <w:pPr>
        <w:autoSpaceDE w:val="0"/>
        <w:autoSpaceDN w:val="0"/>
        <w:adjustRightInd w:val="0"/>
        <w:spacing w:before="120"/>
      </w:pPr>
      <w:r w:rsidRPr="00702CE4">
        <w:t xml:space="preserve">We </w:t>
      </w:r>
      <w:r>
        <w:t xml:space="preserve">do </w:t>
      </w:r>
      <w:r w:rsidRPr="00702CE4">
        <w:t xml:space="preserve">believe </w:t>
      </w:r>
      <w:r>
        <w:t xml:space="preserve">however, </w:t>
      </w:r>
      <w:r w:rsidRPr="00702CE4">
        <w:t>that a threshold of 5</w:t>
      </w:r>
      <w:r>
        <w:t xml:space="preserve"> </w:t>
      </w:r>
      <w:r w:rsidRPr="00702CE4">
        <w:t xml:space="preserve">% is unreasonably low when compared to the proportionality principle and ESMA fails to provide evidence on how this threshold is meant to meet such a concept. The co-legislators intention is to narrow down the existing exemption but not render it void, as it would be with the level of the threshold proposed. </w:t>
      </w:r>
    </w:p>
    <w:p w:rsidR="00F663CE" w:rsidRPr="00702CE4" w:rsidRDefault="00F663CE" w:rsidP="00F663CE">
      <w:pPr>
        <w:autoSpaceDE w:val="0"/>
        <w:autoSpaceDN w:val="0"/>
        <w:adjustRightInd w:val="0"/>
        <w:spacing w:before="120"/>
      </w:pPr>
      <w:r w:rsidRPr="00702CE4">
        <w:t xml:space="preserve">Accordingly, the wording made by the co-legislators stipulates a “need for ancillary activities to constitute a minority of activities at a group level”. A </w:t>
      </w:r>
      <w:r w:rsidRPr="00702CE4">
        <w:rPr>
          <w:i/>
        </w:rPr>
        <w:t>minority</w:t>
      </w:r>
      <w:r w:rsidRPr="00702CE4">
        <w:t xml:space="preserve"> cannot linguistically be interpreted as only 5</w:t>
      </w:r>
      <w:r>
        <w:t xml:space="preserve"> </w:t>
      </w:r>
      <w:r w:rsidRPr="00702CE4">
        <w:t>%.</w:t>
      </w:r>
    </w:p>
    <w:p w:rsidR="00F663CE" w:rsidRDefault="00F663CE" w:rsidP="00F663CE">
      <w:pPr>
        <w:autoSpaceDE w:val="0"/>
        <w:autoSpaceDN w:val="0"/>
        <w:adjustRightInd w:val="0"/>
        <w:spacing w:before="120"/>
        <w:rPr>
          <w:lang w:val="en-US"/>
        </w:rPr>
      </w:pPr>
      <w:r>
        <w:t xml:space="preserve">Instead BDEW proposes </w:t>
      </w:r>
      <w:r>
        <w:rPr>
          <w:lang w:val="en-US"/>
        </w:rPr>
        <w:t xml:space="preserve">a threshold around 20-25 % </w:t>
      </w:r>
      <w:proofErr w:type="spellStart"/>
      <w:proofErr w:type="gramStart"/>
      <w:r>
        <w:rPr>
          <w:lang w:val="en-US"/>
        </w:rPr>
        <w:t>a</w:t>
      </w:r>
      <w:proofErr w:type="spellEnd"/>
      <w:proofErr w:type="gramEnd"/>
      <w:r>
        <w:rPr>
          <w:lang w:val="en-US"/>
        </w:rPr>
        <w:t xml:space="preserve"> as more adequate approach. This could at a later stage </w:t>
      </w:r>
      <w:proofErr w:type="gramStart"/>
      <w:r>
        <w:rPr>
          <w:lang w:val="en-US"/>
        </w:rPr>
        <w:t>reviewed</w:t>
      </w:r>
      <w:proofErr w:type="gramEnd"/>
      <w:r>
        <w:rPr>
          <w:lang w:val="en-US"/>
        </w:rPr>
        <w:t xml:space="preserve"> when the actual basis for the calculations are known.</w:t>
      </w:r>
    </w:p>
    <w:p w:rsidR="00F663CE" w:rsidRDefault="00F663CE" w:rsidP="00F663CE">
      <w:pPr>
        <w:autoSpaceDE w:val="0"/>
        <w:autoSpaceDN w:val="0"/>
        <w:adjustRightInd w:val="0"/>
        <w:spacing w:before="120"/>
        <w:rPr>
          <w:lang w:val="en-US"/>
        </w:rPr>
      </w:pPr>
      <w:r w:rsidRPr="00E95090">
        <w:rPr>
          <w:lang w:val="en-US"/>
        </w:rPr>
        <w:t>If ESMA insist</w:t>
      </w:r>
      <w:r>
        <w:rPr>
          <w:lang w:val="en-US"/>
        </w:rPr>
        <w:t>ed</w:t>
      </w:r>
      <w:r w:rsidRPr="00E95090">
        <w:rPr>
          <w:lang w:val="en-US"/>
        </w:rPr>
        <w:t xml:space="preserve"> on such a low figure, there is a substantial risk that a lot of energy companies </w:t>
      </w:r>
      <w:r>
        <w:rPr>
          <w:lang w:val="en-US"/>
        </w:rPr>
        <w:t>might fall unintentionally under the scope of MiFID II. We believe that ESMA is not in favor of supervising a large number of small or medium sized energy companies, just because they breach a figure, which was never tested according to the reality and which at this stage cannot really be tested, as there are large uncertainties about the elements, which should be used in the calculation and especially about the elements, which should be included in the numerator (Capital employed for MiFID II activity at a group level in the EU).</w:t>
      </w:r>
    </w:p>
    <w:p w:rsidR="00F663CE" w:rsidRDefault="00F663CE" w:rsidP="00F663CE">
      <w:pPr>
        <w:autoSpaceDE w:val="0"/>
        <w:autoSpaceDN w:val="0"/>
        <w:adjustRightInd w:val="0"/>
        <w:spacing w:before="120"/>
        <w:rPr>
          <w:lang w:val="en-US"/>
        </w:rPr>
      </w:pPr>
      <w:r>
        <w:rPr>
          <w:lang w:val="en-US"/>
        </w:rPr>
        <w:t>Whereby for the denominator there was a common understanding about the elements included,</w:t>
      </w:r>
      <w:r w:rsidRPr="00EB2E4B">
        <w:rPr>
          <w:lang w:val="en-US"/>
        </w:rPr>
        <w:t xml:space="preserve"> there is a large room for interpretation of </w:t>
      </w:r>
      <w:r>
        <w:rPr>
          <w:lang w:val="en-US"/>
        </w:rPr>
        <w:t>the term “capital employed for MiFID II activity”. As one could expect, the results of these calculation methods vary a lot. Additionally these figures are not comparable and in many cases extremely volatile depending on the date of their calculation.</w:t>
      </w:r>
    </w:p>
    <w:p w:rsidR="00F663CE" w:rsidRDefault="00F663CE" w:rsidP="00F663CE">
      <w:pPr>
        <w:autoSpaceDE w:val="0"/>
        <w:autoSpaceDN w:val="0"/>
        <w:adjustRightInd w:val="0"/>
        <w:spacing w:before="120"/>
        <w:rPr>
          <w:lang w:val="en-US"/>
        </w:rPr>
      </w:pPr>
      <w:r>
        <w:rPr>
          <w:lang w:val="en-US"/>
        </w:rPr>
        <w:t>Because of this uncertainty, the companies are not able at this stage to make a reliable statement on the size of their ancillary activity according to the proposed formula. For this reason we strongly plead for a threshold between 20-25 %.</w:t>
      </w:r>
    </w:p>
    <w:p w:rsidR="00F663CE" w:rsidRPr="00702CE4" w:rsidRDefault="00F663CE" w:rsidP="00F663CE">
      <w:pPr>
        <w:autoSpaceDE w:val="0"/>
        <w:autoSpaceDN w:val="0"/>
        <w:adjustRightInd w:val="0"/>
        <w:spacing w:before="120"/>
        <w:rPr>
          <w:lang w:val="en-US"/>
        </w:rPr>
      </w:pPr>
      <w:r w:rsidRPr="00702CE4">
        <w:rPr>
          <w:lang w:val="en-US"/>
        </w:rPr>
        <w:t>In this sense we believe that a higher threshold, in the range 20-25</w:t>
      </w:r>
      <w:r>
        <w:rPr>
          <w:lang w:val="en-US"/>
        </w:rPr>
        <w:t xml:space="preserve"> </w:t>
      </w:r>
      <w:r w:rsidRPr="00702CE4">
        <w:rPr>
          <w:lang w:val="en-US"/>
        </w:rPr>
        <w:t>% is more appropriate and coherent with the principle of proportionality. In fact, where the main business covers between the 75-80</w:t>
      </w:r>
      <w:r>
        <w:rPr>
          <w:lang w:val="en-US"/>
        </w:rPr>
        <w:t xml:space="preserve"> </w:t>
      </w:r>
      <w:r w:rsidRPr="00702CE4">
        <w:rPr>
          <w:lang w:val="en-US"/>
        </w:rPr>
        <w:t>% of the capital employed it can be clearly identified as a majority of the business.</w:t>
      </w:r>
    </w:p>
    <w:p w:rsidR="00F663CE" w:rsidRPr="00702CE4" w:rsidRDefault="00F663CE" w:rsidP="00F663CE">
      <w:pPr>
        <w:autoSpaceDE w:val="0"/>
        <w:autoSpaceDN w:val="0"/>
        <w:adjustRightInd w:val="0"/>
        <w:spacing w:before="120"/>
        <w:rPr>
          <w:lang w:val="en-US"/>
        </w:rPr>
      </w:pPr>
      <w:r w:rsidRPr="00702CE4">
        <w:rPr>
          <w:lang w:val="en-US"/>
        </w:rPr>
        <w:t xml:space="preserve">We believe that such </w:t>
      </w:r>
      <w:r>
        <w:rPr>
          <w:lang w:val="en-US"/>
        </w:rPr>
        <w:t xml:space="preserve">a </w:t>
      </w:r>
      <w:r w:rsidRPr="00702CE4">
        <w:rPr>
          <w:lang w:val="en-US"/>
        </w:rPr>
        <w:t>proportion would better reflect the original intent of the MiFID II legislation because it would be a considerable narrowing of the existing exemptions and consistent with the principle of ‘proportionality’ mentioned above.</w:t>
      </w:r>
    </w:p>
    <w:p w:rsidR="00F663CE" w:rsidRPr="00702CE4" w:rsidRDefault="00F663CE" w:rsidP="00F663CE">
      <w:pPr>
        <w:autoSpaceDE w:val="0"/>
        <w:autoSpaceDN w:val="0"/>
        <w:adjustRightInd w:val="0"/>
        <w:spacing w:before="120"/>
        <w:rPr>
          <w:lang w:val="en-US"/>
        </w:rPr>
      </w:pPr>
      <w:r w:rsidRPr="00702CE4">
        <w:rPr>
          <w:lang w:val="en-US"/>
        </w:rPr>
        <w:t xml:space="preserve">We would like to highlight the very limited influence of energy/commodity companies in relation to the resilience and stability of the financial system and improved investor protection. Counterparties in the energy sectors are professionals, transparency and integrity are covered by sector regulation or market abuse rules (see MAR) and counterparty risks are monitored or regulated through EMIR. </w:t>
      </w:r>
    </w:p>
    <w:p w:rsidR="00F663CE" w:rsidRPr="00702CE4" w:rsidRDefault="00F663CE" w:rsidP="00F663CE">
      <w:pPr>
        <w:autoSpaceDE w:val="0"/>
        <w:autoSpaceDN w:val="0"/>
        <w:adjustRightInd w:val="0"/>
        <w:spacing w:before="120"/>
        <w:rPr>
          <w:lang w:val="en-US"/>
        </w:rPr>
      </w:pPr>
      <w:r w:rsidRPr="00702CE4">
        <w:rPr>
          <w:lang w:val="en-US"/>
        </w:rPr>
        <w:t>Consequently, commodity companies in scope of MiFID will mainly imply additional costs to be paid by energy costumers in terms of higher prices with a negative impact on the competitiveness of Europe.</w:t>
      </w:r>
    </w:p>
    <w:p w:rsidR="00F663CE" w:rsidRPr="00EB2E4B" w:rsidRDefault="00F663CE" w:rsidP="00F663CE">
      <w:pPr>
        <w:autoSpaceDE w:val="0"/>
        <w:autoSpaceDN w:val="0"/>
        <w:adjustRightInd w:val="0"/>
        <w:spacing w:before="120"/>
        <w:rPr>
          <w:lang w:val="en-US"/>
        </w:rPr>
      </w:pPr>
      <w:r w:rsidRPr="00702CE4">
        <w:rPr>
          <w:lang w:val="en-US"/>
        </w:rPr>
        <w:t>Please see also the negative impacts that are expected on wholesale energy markets in response to Q179</w:t>
      </w:r>
    </w:p>
    <w:permEnd w:id="1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F663CE" w:rsidRDefault="00F663CE" w:rsidP="00F663CE">
      <w:pPr>
        <w:autoSpaceDE w:val="0"/>
        <w:autoSpaceDN w:val="0"/>
        <w:adjustRightInd w:val="0"/>
        <w:spacing w:before="120"/>
        <w:rPr>
          <w:lang w:val="en-US"/>
        </w:rPr>
      </w:pPr>
      <w:permStart w:id="183" w:edGrp="everyone"/>
      <w:r>
        <w:rPr>
          <w:lang w:val="en-US"/>
        </w:rPr>
        <w:t>Yes, BDEW agrees.</w:t>
      </w:r>
    </w:p>
    <w:p w:rsidR="00F663CE" w:rsidRPr="00702CE4" w:rsidRDefault="00F663CE" w:rsidP="00F663CE">
      <w:pPr>
        <w:autoSpaceDE w:val="0"/>
        <w:autoSpaceDN w:val="0"/>
        <w:adjustRightInd w:val="0"/>
        <w:spacing w:before="120"/>
        <w:rPr>
          <w:lang w:val="en-US"/>
        </w:rPr>
      </w:pPr>
      <w:r w:rsidRPr="00702CE4">
        <w:rPr>
          <w:lang w:val="en-US"/>
        </w:rPr>
        <w:t>However</w:t>
      </w:r>
      <w:r>
        <w:rPr>
          <w:lang w:val="en-US"/>
        </w:rPr>
        <w:t>,</w:t>
      </w:r>
      <w:r w:rsidRPr="00702CE4">
        <w:rPr>
          <w:lang w:val="en-US"/>
        </w:rPr>
        <w:t xml:space="preserve"> we believe that it may be proving difficult to extrapolate privileged transactions from the ancillary activity because they are not accounted and evidenced separately in the balance sheet. </w:t>
      </w:r>
    </w:p>
    <w:p w:rsidR="00F663CE" w:rsidRDefault="00F663CE" w:rsidP="00F663CE">
      <w:pPr>
        <w:autoSpaceDE w:val="0"/>
        <w:autoSpaceDN w:val="0"/>
        <w:adjustRightInd w:val="0"/>
        <w:spacing w:before="120"/>
        <w:rPr>
          <w:lang w:val="en-US"/>
        </w:rPr>
      </w:pPr>
      <w:r w:rsidRPr="00702CE4">
        <w:rPr>
          <w:lang w:val="en-US"/>
        </w:rPr>
        <w:t>Therefore</w:t>
      </w:r>
      <w:r>
        <w:rPr>
          <w:lang w:val="en-US"/>
        </w:rPr>
        <w:t>,</w:t>
      </w:r>
      <w:r w:rsidRPr="00702CE4">
        <w:rPr>
          <w:lang w:val="en-US"/>
        </w:rPr>
        <w:t xml:space="preserve"> ESMA shall accept that different entities and groups may adopt one or more of the proxy methodologies suggested at point 41, depending on the group structure and the way in which persons classify privileged transactions.</w:t>
      </w:r>
    </w:p>
    <w:p w:rsidR="00F663CE" w:rsidRDefault="00F663CE" w:rsidP="00F663CE">
      <w:pPr>
        <w:autoSpaceDE w:val="0"/>
        <w:autoSpaceDN w:val="0"/>
        <w:adjustRightInd w:val="0"/>
        <w:spacing w:before="120"/>
        <w:rPr>
          <w:lang w:val="en-US"/>
        </w:rPr>
      </w:pPr>
      <w:r w:rsidRPr="00AA7074">
        <w:rPr>
          <w:lang w:val="en-US"/>
        </w:rPr>
        <w:t xml:space="preserve">As already mentioned under Q173 there is a lot of uncertainty regarding the definition </w:t>
      </w:r>
      <w:r>
        <w:rPr>
          <w:lang w:val="en-US"/>
        </w:rPr>
        <w:t>of t</w:t>
      </w:r>
      <w:r w:rsidRPr="00AA7074">
        <w:rPr>
          <w:lang w:val="en-US"/>
        </w:rPr>
        <w:t xml:space="preserve">he term </w:t>
      </w:r>
      <w:r>
        <w:rPr>
          <w:lang w:val="en-US"/>
        </w:rPr>
        <w:t>“</w:t>
      </w:r>
      <w:r w:rsidRPr="00AA7074">
        <w:rPr>
          <w:lang w:val="en-US"/>
        </w:rPr>
        <w:t>capital</w:t>
      </w:r>
      <w:r>
        <w:rPr>
          <w:lang w:val="en-US"/>
        </w:rPr>
        <w:t>”</w:t>
      </w:r>
      <w:r w:rsidRPr="00AA7074">
        <w:rPr>
          <w:lang w:val="en-US"/>
        </w:rPr>
        <w:t>, especially in regard to the elements, which should be included in the numerator.</w:t>
      </w:r>
    </w:p>
    <w:permEnd w:id="18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F663CE" w:rsidRDefault="00F663CE" w:rsidP="00F663CE">
      <w:pPr>
        <w:autoSpaceDE w:val="0"/>
        <w:autoSpaceDN w:val="0"/>
        <w:adjustRightInd w:val="0"/>
        <w:spacing w:before="240"/>
        <w:rPr>
          <w:bCs/>
          <w:lang w:val="en-US"/>
        </w:rPr>
      </w:pPr>
      <w:permStart w:id="184" w:edGrp="everyone"/>
      <w:r w:rsidRPr="00AA33F2">
        <w:rPr>
          <w:bCs/>
          <w:lang w:val="en-US"/>
        </w:rPr>
        <w:t xml:space="preserve">We agree that the capital employed in the main business (the denominator) should encompass equity, current debt and non-current debt. </w:t>
      </w:r>
    </w:p>
    <w:p w:rsidR="00F663CE" w:rsidRPr="00AA33F2" w:rsidRDefault="00F663CE" w:rsidP="00F663CE">
      <w:pPr>
        <w:autoSpaceDE w:val="0"/>
        <w:autoSpaceDN w:val="0"/>
        <w:adjustRightInd w:val="0"/>
        <w:spacing w:before="240"/>
        <w:rPr>
          <w:bCs/>
          <w:lang w:val="en-US"/>
        </w:rPr>
      </w:pPr>
      <w:r w:rsidRPr="00AA33F2">
        <w:rPr>
          <w:bCs/>
          <w:lang w:val="en-US"/>
        </w:rPr>
        <w:t xml:space="preserve">However, we believe that also provisions should be included because they are part of the main business of the group. Replacing the terms current-debt and non-current debt with liabilities may help clarifying this point. </w:t>
      </w:r>
    </w:p>
    <w:p w:rsidR="00F663CE" w:rsidRPr="00AA33F2" w:rsidRDefault="00F663CE" w:rsidP="00F663CE">
      <w:pPr>
        <w:autoSpaceDE w:val="0"/>
        <w:autoSpaceDN w:val="0"/>
        <w:adjustRightInd w:val="0"/>
        <w:spacing w:before="240"/>
        <w:rPr>
          <w:bCs/>
          <w:lang w:val="en-US"/>
        </w:rPr>
      </w:pPr>
      <w:r w:rsidRPr="00AA33F2">
        <w:rPr>
          <w:bCs/>
          <w:lang w:val="en-US"/>
        </w:rPr>
        <w:t xml:space="preserve">For the calculation of the capital employed in the ancillary activities (the numerator), ESMA shall accept that different persons and groups may adopt one or more combinations of the proxies suggested at point 41, because some elements may not be separately evidenced in the accounting statements or information flow due to the specific definitions applied in MiFID. </w:t>
      </w:r>
    </w:p>
    <w:p w:rsidR="00F663CE" w:rsidRDefault="00F663CE" w:rsidP="00F663CE">
      <w:pPr>
        <w:autoSpaceDE w:val="0"/>
        <w:autoSpaceDN w:val="0"/>
        <w:adjustRightInd w:val="0"/>
        <w:spacing w:before="240"/>
        <w:rPr>
          <w:bCs/>
          <w:lang w:val="en-US"/>
        </w:rPr>
      </w:pPr>
      <w:r w:rsidRPr="00AA33F2">
        <w:rPr>
          <w:bCs/>
          <w:lang w:val="en-US"/>
        </w:rPr>
        <w:t>The proxies adopted will have to be in any case documented by the entities wanting to benefit from the exemption and they should be tested against the principles underlying the ancillary activity exemption and the privileged transactions.</w:t>
      </w:r>
    </w:p>
    <w:permEnd w:id="18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F663CE" w:rsidRPr="00AA33F2" w:rsidRDefault="00F663CE" w:rsidP="00F663CE">
      <w:pPr>
        <w:rPr>
          <w:lang w:val="en-US" w:eastAsia="en-GB"/>
        </w:rPr>
      </w:pPr>
      <w:permStart w:id="185" w:edGrp="everyone"/>
      <w:r w:rsidRPr="00AA33F2">
        <w:rPr>
          <w:lang w:val="en-US" w:eastAsia="en-GB"/>
        </w:rPr>
        <w:t xml:space="preserve">We believe that the answer depends on the level of disaggregation of the commodity asset classes for such test. </w:t>
      </w:r>
    </w:p>
    <w:p w:rsidR="00F663CE" w:rsidRPr="00AA33F2" w:rsidRDefault="00F663CE" w:rsidP="00F663CE">
      <w:pPr>
        <w:rPr>
          <w:lang w:val="en-US" w:eastAsia="en-GB"/>
        </w:rPr>
      </w:pPr>
      <w:r w:rsidRPr="00AA33F2">
        <w:rPr>
          <w:lang w:val="en-US" w:eastAsia="en-GB"/>
        </w:rPr>
        <w:t xml:space="preserve">In case, as we propose, a single energy asset class is defined (encompassing gas, power, coal and oil/oil products – see also answer to Q178), we support the proposal to use the gross notional values of contracts because this would make easier the aggregations. Indeed, the gross notional value of contracts should be possible to calculate on the basis of EMIR reporting in derivatives. </w:t>
      </w:r>
    </w:p>
    <w:p w:rsidR="00F663CE" w:rsidRPr="00AA33F2" w:rsidRDefault="00F663CE" w:rsidP="00F663CE">
      <w:pPr>
        <w:rPr>
          <w:lang w:val="en-US" w:eastAsia="en-GB"/>
        </w:rPr>
      </w:pPr>
      <w:r w:rsidRPr="00AA33F2">
        <w:rPr>
          <w:lang w:val="en-US" w:eastAsia="en-GB"/>
        </w:rPr>
        <w:t>ESMA should already start publishing the market size for each commodity asset class for the year 2014 through collection of the data from Trade Repositories. Persons seeking the exemption should be enabled to make the required calculation through the data provided by TRs. This should not exclude the possibility to use further data e.g. to identify privileged transactions.</w:t>
      </w:r>
    </w:p>
    <w:p w:rsidR="00F663CE" w:rsidRPr="00AA33F2" w:rsidRDefault="00F663CE" w:rsidP="00F663CE">
      <w:pPr>
        <w:rPr>
          <w:lang w:val="en-US" w:eastAsia="en-GB"/>
        </w:rPr>
      </w:pPr>
      <w:r w:rsidRPr="00AA33F2">
        <w:rPr>
          <w:lang w:val="en-US" w:eastAsia="en-GB"/>
        </w:rPr>
        <w:t>We believe that the RTS must include an obligation for ESMA to publish reliable EU market size figures in each of the relevant commodity asset classes as a pre-condition for the exemption process to apply. In the absence of reliable data market participants will simply not be able to calculate their positions relative to the market and will therefore cautiously retract from markets to avoid inadvertently breaching the very low threshold proposed.</w:t>
      </w:r>
    </w:p>
    <w:permEnd w:id="18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F663CE" w:rsidRPr="00AA33F2" w:rsidRDefault="00F663CE" w:rsidP="00F663CE">
      <w:pPr>
        <w:pStyle w:val="Default"/>
        <w:spacing w:before="120"/>
        <w:rPr>
          <w:bCs/>
          <w:sz w:val="22"/>
          <w:szCs w:val="22"/>
          <w:lang w:val="en-US"/>
        </w:rPr>
      </w:pPr>
      <w:permStart w:id="186" w:edGrp="everyone"/>
      <w:r w:rsidRPr="00AA33F2">
        <w:rPr>
          <w:bCs/>
          <w:sz w:val="22"/>
          <w:szCs w:val="22"/>
          <w:lang w:val="en-US"/>
        </w:rPr>
        <w:t>We believe that the calculation should be done at person level as per the MiFID II mandate. The threshold proposed is extremely low even if applied at the level of a person. Therefore we find it difficult to see how the threshold proposed could be revised further even in case the calculation should be done at person level rather than at group level.</w:t>
      </w:r>
    </w:p>
    <w:p w:rsidR="00F663CE" w:rsidRPr="00AA33F2" w:rsidRDefault="00F663CE" w:rsidP="00F663CE">
      <w:pPr>
        <w:pStyle w:val="Default"/>
        <w:spacing w:before="120"/>
        <w:rPr>
          <w:bCs/>
          <w:sz w:val="22"/>
          <w:szCs w:val="22"/>
          <w:lang w:val="en-US"/>
        </w:rPr>
      </w:pPr>
      <w:r w:rsidRPr="00AA33F2">
        <w:rPr>
          <w:bCs/>
          <w:sz w:val="22"/>
          <w:szCs w:val="22"/>
          <w:lang w:val="en-US"/>
        </w:rPr>
        <w:t xml:space="preserve">A calculation ‘at group level’ is not in our view in line with the level 1 text because the licensing regime in MiFID II applies to persons and the exemption from such regime should apply at person level, as clearly defined in level 1 (article 2.1). </w:t>
      </w:r>
    </w:p>
    <w:p w:rsidR="00F663CE" w:rsidRPr="00AA33F2" w:rsidRDefault="00F663CE" w:rsidP="00F663CE">
      <w:pPr>
        <w:pStyle w:val="Default"/>
        <w:spacing w:before="120"/>
        <w:rPr>
          <w:bCs/>
          <w:sz w:val="22"/>
          <w:szCs w:val="22"/>
          <w:lang w:val="en-US"/>
        </w:rPr>
      </w:pPr>
      <w:r w:rsidRPr="00AA33F2">
        <w:rPr>
          <w:bCs/>
          <w:sz w:val="22"/>
          <w:szCs w:val="22"/>
          <w:lang w:val="en-US"/>
        </w:rPr>
        <w:t>Additionally, the calculations and the consequences of failing the tests would affect all persons within the group and not only those persons involved in investment services/activities. A full dependence between different entities within a group engaged in different activities, but still counting towards the thresholds, is not appropriate.</w:t>
      </w:r>
    </w:p>
    <w:p w:rsidR="00F663CE" w:rsidRPr="00AA33F2" w:rsidRDefault="00F663CE" w:rsidP="00F663CE">
      <w:pPr>
        <w:pStyle w:val="Default"/>
        <w:spacing w:before="120"/>
        <w:rPr>
          <w:bCs/>
          <w:sz w:val="22"/>
          <w:szCs w:val="22"/>
          <w:lang w:val="en-US"/>
        </w:rPr>
      </w:pPr>
      <w:r w:rsidRPr="00AA33F2">
        <w:rPr>
          <w:bCs/>
          <w:sz w:val="22"/>
          <w:szCs w:val="22"/>
          <w:lang w:val="en-US"/>
        </w:rPr>
        <w:t xml:space="preserve">Finally it will create the need for additional processes at the parent company level that are not always possible considering different national and international regimes (e.g. accounting, classification of privileged transactions, </w:t>
      </w:r>
      <w:proofErr w:type="gramStart"/>
      <w:r w:rsidRPr="00AA33F2">
        <w:rPr>
          <w:bCs/>
          <w:sz w:val="22"/>
          <w:szCs w:val="22"/>
          <w:lang w:val="en-US"/>
        </w:rPr>
        <w:t>calculation</w:t>
      </w:r>
      <w:proofErr w:type="gramEnd"/>
      <w:r w:rsidRPr="00AA33F2">
        <w:rPr>
          <w:bCs/>
          <w:sz w:val="22"/>
          <w:szCs w:val="22"/>
          <w:lang w:val="en-US"/>
        </w:rPr>
        <w:t xml:space="preserve"> of trading activity).</w:t>
      </w:r>
    </w:p>
    <w:p w:rsidR="00F663CE" w:rsidRPr="00AA33F2" w:rsidRDefault="00F663CE" w:rsidP="00F663CE">
      <w:pPr>
        <w:pStyle w:val="Default"/>
        <w:spacing w:before="120"/>
        <w:rPr>
          <w:bCs/>
          <w:sz w:val="22"/>
          <w:szCs w:val="22"/>
          <w:lang w:val="en-US"/>
        </w:rPr>
      </w:pPr>
      <w:r w:rsidRPr="00AA33F2">
        <w:rPr>
          <w:bCs/>
          <w:sz w:val="22"/>
          <w:szCs w:val="22"/>
          <w:lang w:val="en-US"/>
        </w:rPr>
        <w:t xml:space="preserve">Nevertheless, if ESMA maintains the proposal to consider a ‘group-level’ calculation, it is necessary that it clarifies in the RTS how the process should work in practice. </w:t>
      </w:r>
    </w:p>
    <w:p w:rsidR="00F663CE" w:rsidRPr="00AA33F2" w:rsidRDefault="00F663CE" w:rsidP="00F663CE">
      <w:pPr>
        <w:pStyle w:val="Default"/>
        <w:spacing w:before="120"/>
        <w:rPr>
          <w:bCs/>
          <w:sz w:val="22"/>
          <w:szCs w:val="22"/>
          <w:lang w:val="en-US"/>
        </w:rPr>
      </w:pPr>
      <w:r w:rsidRPr="00AA33F2">
        <w:rPr>
          <w:bCs/>
          <w:sz w:val="22"/>
          <w:szCs w:val="22"/>
          <w:lang w:val="en-US"/>
        </w:rPr>
        <w:t xml:space="preserve">ESMA should consider that performing activities regulated by MiFID without a license may be punished with fines and as criminal offence. We read the draft RTS in a way that, following a breach of the trading activity or capital test by one entity within a group, every other unregulated entity within such group will be required to obtain a MiFID II license because they all need to take into account the activities ‘at group level’. </w:t>
      </w:r>
    </w:p>
    <w:p w:rsidR="00F663CE" w:rsidRPr="00AA33F2" w:rsidRDefault="00F663CE" w:rsidP="00F663CE">
      <w:pPr>
        <w:pStyle w:val="Default"/>
        <w:spacing w:before="120"/>
        <w:rPr>
          <w:bCs/>
          <w:sz w:val="22"/>
          <w:szCs w:val="22"/>
          <w:lang w:val="en-US"/>
        </w:rPr>
      </w:pPr>
      <w:r w:rsidRPr="00AA33F2">
        <w:rPr>
          <w:bCs/>
          <w:sz w:val="22"/>
          <w:szCs w:val="22"/>
          <w:lang w:val="en-US"/>
        </w:rPr>
        <w:t>Therefore ESMA it is crucial that ESMA provide a process allowing excluding from the assessment of the ancillary activity exemption also activities of entities in the process to require or obtain a MiFID license. This is necessary to ensure business continuity and avoid undue consequences.</w:t>
      </w:r>
    </w:p>
    <w:p w:rsidR="00F663CE" w:rsidRDefault="00F663CE" w:rsidP="00F663CE">
      <w:pPr>
        <w:pStyle w:val="Default"/>
        <w:spacing w:before="120"/>
        <w:rPr>
          <w:bCs/>
          <w:sz w:val="22"/>
          <w:szCs w:val="22"/>
          <w:lang w:val="en-US"/>
        </w:rPr>
      </w:pPr>
      <w:r w:rsidRPr="00AA33F2">
        <w:rPr>
          <w:bCs/>
          <w:sz w:val="22"/>
          <w:szCs w:val="22"/>
          <w:lang w:val="en-US"/>
        </w:rPr>
        <w:t>Finally, we read the term</w:t>
      </w:r>
      <w:r>
        <w:rPr>
          <w:bCs/>
          <w:sz w:val="22"/>
          <w:szCs w:val="22"/>
          <w:lang w:val="en-US"/>
        </w:rPr>
        <w:t xml:space="preserve"> ‘size of the trading activity </w:t>
      </w:r>
      <w:r w:rsidRPr="00AA33F2">
        <w:rPr>
          <w:bCs/>
          <w:sz w:val="22"/>
          <w:szCs w:val="22"/>
          <w:lang w:val="en-US"/>
        </w:rPr>
        <w:t xml:space="preserve">of the group in the European Union’ (draft RTS 28 article 4) as the trading activities of entities in the group which are subject to the reporting obligation under Article 9 of EMIR. Indeed TRs would only contain data submitted by persons who are subject to the reporting obligation under Article 9 of EMIR. ESMA should give this clarification in the definitions (RTS 28, article 1). </w:t>
      </w:r>
    </w:p>
    <w:permEnd w:id="18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F663CE" w:rsidRPr="00AA33F2" w:rsidRDefault="00F663CE" w:rsidP="00F663CE">
      <w:pPr>
        <w:autoSpaceDE w:val="0"/>
        <w:autoSpaceDN w:val="0"/>
        <w:adjustRightInd w:val="0"/>
        <w:spacing w:before="120"/>
        <w:rPr>
          <w:bCs/>
          <w:lang w:val="en-US"/>
        </w:rPr>
      </w:pPr>
      <w:permStart w:id="187" w:edGrp="everyone"/>
      <w:r w:rsidRPr="00AA33F2">
        <w:rPr>
          <w:bCs/>
          <w:lang w:val="en-US"/>
        </w:rPr>
        <w:t>No. We fear t</w:t>
      </w:r>
      <w:r>
        <w:rPr>
          <w:bCs/>
          <w:lang w:val="en-US"/>
        </w:rPr>
        <w:t>hat a separate asset class for f</w:t>
      </w:r>
      <w:r w:rsidRPr="00AA33F2">
        <w:rPr>
          <w:bCs/>
          <w:lang w:val="en-US"/>
        </w:rPr>
        <w:t xml:space="preserve">reight has the risk to create a market that is too </w:t>
      </w:r>
      <w:r>
        <w:rPr>
          <w:bCs/>
          <w:lang w:val="en-US"/>
        </w:rPr>
        <w:t>small</w:t>
      </w:r>
      <w:r w:rsidRPr="00AA33F2">
        <w:rPr>
          <w:bCs/>
          <w:lang w:val="en-US"/>
        </w:rPr>
        <w:t xml:space="preserve">. It is preferable to include freight into the asset classes of oil/oil products and coal, depending on how freight is used. </w:t>
      </w:r>
    </w:p>
    <w:p w:rsidR="00F663CE" w:rsidRDefault="00F663CE" w:rsidP="00F663CE">
      <w:pPr>
        <w:autoSpaceDE w:val="0"/>
        <w:autoSpaceDN w:val="0"/>
        <w:adjustRightInd w:val="0"/>
        <w:spacing w:before="120"/>
        <w:rPr>
          <w:bCs/>
          <w:lang w:val="en-US"/>
        </w:rPr>
      </w:pPr>
      <w:r>
        <w:rPr>
          <w:bCs/>
          <w:lang w:val="en-US"/>
        </w:rPr>
        <w:t>I</w:t>
      </w:r>
      <w:r w:rsidRPr="00AA33F2">
        <w:rPr>
          <w:bCs/>
          <w:lang w:val="en-US"/>
        </w:rPr>
        <w:t>n general</w:t>
      </w:r>
      <w:r>
        <w:rPr>
          <w:bCs/>
          <w:lang w:val="en-US"/>
        </w:rPr>
        <w:t>, we disagree</w:t>
      </w:r>
      <w:r w:rsidRPr="00AA33F2">
        <w:rPr>
          <w:bCs/>
          <w:lang w:val="en-US"/>
        </w:rPr>
        <w:t xml:space="preserve"> with the split of energy commodities and emission allowances into five commodity asset classes rather than being grouped in </w:t>
      </w:r>
      <w:r w:rsidRPr="00FA78AE">
        <w:rPr>
          <w:bCs/>
          <w:lang w:val="en-US"/>
        </w:rPr>
        <w:t xml:space="preserve">only </w:t>
      </w:r>
      <w:r w:rsidRPr="00AA33F2">
        <w:rPr>
          <w:bCs/>
          <w:lang w:val="en-US"/>
        </w:rPr>
        <w:t xml:space="preserve">one. </w:t>
      </w:r>
    </w:p>
    <w:p w:rsidR="00F663CE" w:rsidRDefault="00F663CE" w:rsidP="00F663CE">
      <w:pPr>
        <w:autoSpaceDE w:val="0"/>
        <w:autoSpaceDN w:val="0"/>
        <w:adjustRightInd w:val="0"/>
        <w:spacing w:before="120"/>
        <w:rPr>
          <w:bCs/>
          <w:lang w:val="en-US"/>
        </w:rPr>
      </w:pPr>
      <w:r w:rsidRPr="00AA33F2">
        <w:rPr>
          <w:bCs/>
          <w:lang w:val="en-US"/>
        </w:rPr>
        <w:t>ESMA refers to the fact that ‘many’ argued for wider categories ‘asking to merge the categories related to energy into one’. Nonetheless ESMA fails to explain the reason why this proposal, in line with the other comm</w:t>
      </w:r>
      <w:r>
        <w:rPr>
          <w:bCs/>
          <w:lang w:val="en-US"/>
        </w:rPr>
        <w:t>odities, has not been accepted.</w:t>
      </w:r>
    </w:p>
    <w:p w:rsidR="00F663CE" w:rsidRPr="00AA33F2" w:rsidRDefault="00F663CE" w:rsidP="00F663CE">
      <w:pPr>
        <w:autoSpaceDE w:val="0"/>
        <w:autoSpaceDN w:val="0"/>
        <w:adjustRightInd w:val="0"/>
        <w:spacing w:before="120"/>
        <w:rPr>
          <w:bCs/>
          <w:lang w:val="en-US"/>
        </w:rPr>
      </w:pPr>
      <w:r w:rsidRPr="00AA33F2">
        <w:rPr>
          <w:bCs/>
          <w:lang w:val="en-US"/>
        </w:rPr>
        <w:t xml:space="preserve">Energy commodities are generally traded altogether by </w:t>
      </w:r>
      <w:proofErr w:type="spellStart"/>
      <w:r w:rsidRPr="00AA33F2">
        <w:rPr>
          <w:bCs/>
          <w:lang w:val="en-US"/>
        </w:rPr>
        <w:t>specialised</w:t>
      </w:r>
      <w:proofErr w:type="spellEnd"/>
      <w:r w:rsidRPr="00AA33F2">
        <w:rPr>
          <w:bCs/>
          <w:lang w:val="en-US"/>
        </w:rPr>
        <w:t xml:space="preserve"> trading companies within energy groups (utilities or producers) because of the high correlation (e.g. power and emission allowances).</w:t>
      </w:r>
    </w:p>
    <w:p w:rsidR="00F663CE" w:rsidRPr="00AA33F2" w:rsidRDefault="00F663CE" w:rsidP="00F663CE">
      <w:pPr>
        <w:autoSpaceDE w:val="0"/>
        <w:autoSpaceDN w:val="0"/>
        <w:adjustRightInd w:val="0"/>
        <w:spacing w:before="120"/>
        <w:rPr>
          <w:bCs/>
          <w:lang w:val="en-US"/>
        </w:rPr>
      </w:pPr>
      <w:r w:rsidRPr="00AA33F2">
        <w:rPr>
          <w:bCs/>
          <w:lang w:val="en-US"/>
        </w:rPr>
        <w:t>Similarly, market participants (producers and consumers) often use an energy commodity to produce another (e.g. coal, gas and oil for power) and in some cases there is a high level of substitutability among commodities (e.g. gas/coal for power production, gas/power for heating, gas/oil for transport, etc.).</w:t>
      </w:r>
    </w:p>
    <w:p w:rsidR="00F663CE" w:rsidRPr="00AA33F2" w:rsidRDefault="00F663CE" w:rsidP="00F663CE">
      <w:pPr>
        <w:autoSpaceDE w:val="0"/>
        <w:autoSpaceDN w:val="0"/>
        <w:adjustRightInd w:val="0"/>
        <w:spacing w:before="120"/>
        <w:rPr>
          <w:bCs/>
          <w:lang w:val="en-US"/>
        </w:rPr>
      </w:pPr>
      <w:r w:rsidRPr="00AA33F2">
        <w:rPr>
          <w:bCs/>
          <w:lang w:val="en-US"/>
        </w:rPr>
        <w:t xml:space="preserve">We strongly disagree with the proposal that exceeding the threshold set for one commodity asset class but not another, will lead that person to be subject to MiFID II. This proposal would be reasonable only in case of a single energy commodity asset class. </w:t>
      </w:r>
    </w:p>
    <w:p w:rsidR="00F663CE" w:rsidRDefault="00F663CE" w:rsidP="00F663CE">
      <w:pPr>
        <w:autoSpaceDE w:val="0"/>
        <w:autoSpaceDN w:val="0"/>
        <w:adjustRightInd w:val="0"/>
        <w:spacing w:before="120"/>
        <w:rPr>
          <w:bCs/>
          <w:lang w:val="en-US"/>
        </w:rPr>
      </w:pPr>
      <w:r w:rsidRPr="00AA33F2">
        <w:rPr>
          <w:bCs/>
          <w:lang w:val="en-US"/>
        </w:rPr>
        <w:t>At a very least, we believe that gas and electricity should be grouped in a single asset class considering the very similar regulation and common oversight to which they are subject in the European Union. Also in this case volumes (i.e. energy traded) would be more appropriate than values to assess the market size.</w:t>
      </w:r>
    </w:p>
    <w:permEnd w:id="18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F663CE" w:rsidRDefault="00F663CE" w:rsidP="00F663CE">
      <w:pPr>
        <w:rPr>
          <w:lang w:val="en-US"/>
        </w:rPr>
      </w:pPr>
      <w:permStart w:id="188" w:edGrp="everyone"/>
      <w:r w:rsidRPr="0006557B">
        <w:rPr>
          <w:lang w:val="en-US"/>
        </w:rPr>
        <w:t xml:space="preserve">No, </w:t>
      </w:r>
      <w:r>
        <w:rPr>
          <w:lang w:val="en-US"/>
        </w:rPr>
        <w:t>BDEW strongly disagrees with the threshold of 0.</w:t>
      </w:r>
      <w:r w:rsidRPr="0006557B">
        <w:rPr>
          <w:lang w:val="en-US"/>
        </w:rPr>
        <w:t>5</w:t>
      </w:r>
      <w:r>
        <w:rPr>
          <w:lang w:val="en-US"/>
        </w:rPr>
        <w:t xml:space="preserve"> </w:t>
      </w:r>
      <w:r w:rsidRPr="0006557B">
        <w:rPr>
          <w:lang w:val="en-US"/>
        </w:rPr>
        <w:t xml:space="preserve">% proposed by ESMA. </w:t>
      </w:r>
    </w:p>
    <w:p w:rsidR="00F663CE" w:rsidRPr="00AA33F2" w:rsidRDefault="00F663CE" w:rsidP="00F663CE">
      <w:r w:rsidRPr="00AA33F2">
        <w:t xml:space="preserve">The level proposed is so low that </w:t>
      </w:r>
      <w:r>
        <w:t>this exemption is useless for almost all companies in the commodities trading sector.</w:t>
      </w:r>
      <w:r w:rsidRPr="00AA33F2">
        <w:t xml:space="preserve"> It appears that ESMA intends to capture all non-financial entities that are engaged in financial markets beyond the privileged transactions. Such an approach would transform the ancillary activity exemption into a ‘hedging exemption’, which is different from the content of the level 1 text.</w:t>
      </w:r>
    </w:p>
    <w:p w:rsidR="00F663CE" w:rsidRDefault="00F663CE" w:rsidP="00F663CE">
      <w:pPr>
        <w:rPr>
          <w:lang w:val="en-US"/>
        </w:rPr>
      </w:pPr>
      <w:r w:rsidRPr="0006557B">
        <w:rPr>
          <w:lang w:val="en-US"/>
        </w:rPr>
        <w:t>We consider this figure as far too low, especially for some energy markets, which are not developed and</w:t>
      </w:r>
      <w:r>
        <w:rPr>
          <w:lang w:val="en-US"/>
        </w:rPr>
        <w:t xml:space="preserve"> liquid enough. The figure of 0.</w:t>
      </w:r>
      <w:r w:rsidRPr="0006557B">
        <w:rPr>
          <w:lang w:val="en-US"/>
        </w:rPr>
        <w:t>5</w:t>
      </w:r>
      <w:r>
        <w:rPr>
          <w:lang w:val="en-US"/>
        </w:rPr>
        <w:t xml:space="preserve"> </w:t>
      </w:r>
      <w:r w:rsidRPr="0006557B">
        <w:rPr>
          <w:lang w:val="en-US"/>
        </w:rPr>
        <w:t xml:space="preserve">% implies that the whole market is divided </w:t>
      </w:r>
      <w:r>
        <w:rPr>
          <w:lang w:val="en-US"/>
        </w:rPr>
        <w:t>in</w:t>
      </w:r>
      <w:r w:rsidRPr="0006557B">
        <w:rPr>
          <w:lang w:val="en-US"/>
        </w:rPr>
        <w:t xml:space="preserve">to </w:t>
      </w:r>
      <w:r>
        <w:rPr>
          <w:lang w:val="en-US"/>
        </w:rPr>
        <w:t xml:space="preserve">at least </w:t>
      </w:r>
      <w:r w:rsidRPr="0006557B">
        <w:rPr>
          <w:lang w:val="en-US"/>
        </w:rPr>
        <w:t xml:space="preserve">200 equal market participants. This might be valid for some energy </w:t>
      </w:r>
      <w:r>
        <w:rPr>
          <w:lang w:val="en-US"/>
        </w:rPr>
        <w:t>commodity markets</w:t>
      </w:r>
      <w:r w:rsidRPr="0006557B">
        <w:rPr>
          <w:lang w:val="en-US"/>
        </w:rPr>
        <w:t xml:space="preserve"> during some phases but it does not reflect the dynamic environment and development of these markets</w:t>
      </w:r>
      <w:r>
        <w:rPr>
          <w:lang w:val="en-US"/>
        </w:rPr>
        <w:t xml:space="preserve"> during the year</w:t>
      </w:r>
      <w:r w:rsidRPr="0006557B">
        <w:rPr>
          <w:lang w:val="en-US"/>
        </w:rPr>
        <w:t xml:space="preserve">, which is reflected to varying overall liquidity and varying trading activities of each energy </w:t>
      </w:r>
      <w:r>
        <w:rPr>
          <w:lang w:val="en-US"/>
        </w:rPr>
        <w:t>company</w:t>
      </w:r>
      <w:r w:rsidRPr="0006557B">
        <w:rPr>
          <w:lang w:val="en-US"/>
        </w:rPr>
        <w:t xml:space="preserve">. Such a low figure makes it impossible for energy companies to steer the size of their trading activities in relation to the market and makes a possible breach of this threshold a random event. The overall market size is anyway a figure, which is very difficult to monitor and to react on. So </w:t>
      </w:r>
      <w:r>
        <w:rPr>
          <w:lang w:val="en-US"/>
        </w:rPr>
        <w:t>it is possible that one company</w:t>
      </w:r>
      <w:r w:rsidRPr="0006557B">
        <w:rPr>
          <w:lang w:val="en-US"/>
        </w:rPr>
        <w:t>´s trading activities are well und</w:t>
      </w:r>
      <w:r>
        <w:rPr>
          <w:lang w:val="en-US"/>
        </w:rPr>
        <w:t>er 0.</w:t>
      </w:r>
      <w:r w:rsidRPr="0006557B">
        <w:rPr>
          <w:lang w:val="en-US"/>
        </w:rPr>
        <w:t>5</w:t>
      </w:r>
      <w:r>
        <w:rPr>
          <w:lang w:val="en-US"/>
        </w:rPr>
        <w:t xml:space="preserve"> </w:t>
      </w:r>
      <w:r w:rsidRPr="0006557B">
        <w:rPr>
          <w:lang w:val="en-US"/>
        </w:rPr>
        <w:t>% during the first 3 quarters of a year and breach the 0</w:t>
      </w:r>
      <w:r>
        <w:rPr>
          <w:lang w:val="en-US"/>
        </w:rPr>
        <w:t>.</w:t>
      </w:r>
      <w:r w:rsidRPr="0006557B">
        <w:rPr>
          <w:lang w:val="en-US"/>
        </w:rPr>
        <w:t>5</w:t>
      </w:r>
      <w:r>
        <w:rPr>
          <w:lang w:val="en-US"/>
        </w:rPr>
        <w:t xml:space="preserve"> </w:t>
      </w:r>
      <w:r w:rsidRPr="0006557B">
        <w:rPr>
          <w:lang w:val="en-US"/>
        </w:rPr>
        <w:t>% in the 4</w:t>
      </w:r>
      <w:r w:rsidRPr="0006557B">
        <w:rPr>
          <w:vertAlign w:val="superscript"/>
          <w:lang w:val="en-US"/>
        </w:rPr>
        <w:t>th</w:t>
      </w:r>
      <w:r w:rsidRPr="0006557B">
        <w:rPr>
          <w:lang w:val="en-US"/>
        </w:rPr>
        <w:t xml:space="preserve"> quarter just because the overall liquidity in the market is reduced. </w:t>
      </w:r>
      <w:r>
        <w:rPr>
          <w:lang w:val="en-US"/>
        </w:rPr>
        <w:t>Such a low threshold makes the steering even riskier and more difficult.</w:t>
      </w:r>
    </w:p>
    <w:p w:rsidR="00F663CE" w:rsidRPr="0006557B" w:rsidRDefault="00F663CE" w:rsidP="00F663CE">
      <w:pPr>
        <w:rPr>
          <w:lang w:val="en-US"/>
        </w:rPr>
      </w:pPr>
    </w:p>
    <w:p w:rsidR="00F663CE" w:rsidRPr="0006557B" w:rsidRDefault="00F663CE" w:rsidP="00F663CE">
      <w:pPr>
        <w:rPr>
          <w:lang w:val="en-US"/>
        </w:rPr>
      </w:pPr>
      <w:r w:rsidRPr="0006557B">
        <w:rPr>
          <w:lang w:val="en-US"/>
        </w:rPr>
        <w:t xml:space="preserve">For these reasons we propose a threshold </w:t>
      </w:r>
      <w:r>
        <w:rPr>
          <w:lang w:val="en-US"/>
        </w:rPr>
        <w:t xml:space="preserve">of around 15 </w:t>
      </w:r>
      <w:r w:rsidRPr="0006557B">
        <w:rPr>
          <w:lang w:val="en-US"/>
        </w:rPr>
        <w:t xml:space="preserve">%, whereby even this figure might prove to be too low, as companies at the time of the consultation </w:t>
      </w:r>
      <w:r>
        <w:rPr>
          <w:lang w:val="en-US"/>
        </w:rPr>
        <w:t>were</w:t>
      </w:r>
      <w:r w:rsidRPr="0006557B">
        <w:rPr>
          <w:lang w:val="en-US"/>
        </w:rPr>
        <w:t xml:space="preserve"> not able to estimate their market size, mainly because of</w:t>
      </w:r>
      <w:r>
        <w:rPr>
          <w:lang w:val="en-US"/>
        </w:rPr>
        <w:t xml:space="preserve"> a</w:t>
      </w:r>
      <w:r w:rsidRPr="0006557B">
        <w:rPr>
          <w:lang w:val="en-US"/>
        </w:rPr>
        <w:t xml:space="preserve"> lack of reliable figures of the overall market trading activity. Before a realistic figure for this threshold is decided, ESMA should communicate reliable figures for the overall market trading activity, so that companies can calculate their own market size in relation to the overall market trading activity. </w:t>
      </w:r>
    </w:p>
    <w:p w:rsidR="00F663CE" w:rsidRDefault="00F663CE" w:rsidP="00F663CE">
      <w:pPr>
        <w:rPr>
          <w:lang w:val="en-US"/>
        </w:rPr>
      </w:pPr>
      <w:r w:rsidRPr="0006557B">
        <w:rPr>
          <w:lang w:val="en-US"/>
        </w:rPr>
        <w:t xml:space="preserve">In general we strongly believe that it is ESMA´s responsibility to </w:t>
      </w:r>
      <w:r>
        <w:rPr>
          <w:lang w:val="en-US"/>
        </w:rPr>
        <w:t xml:space="preserve">communicate </w:t>
      </w:r>
      <w:r w:rsidRPr="0006557B">
        <w:rPr>
          <w:lang w:val="en-US"/>
        </w:rPr>
        <w:t xml:space="preserve">reliable figures for the </w:t>
      </w:r>
      <w:r>
        <w:rPr>
          <w:lang w:val="en-US"/>
        </w:rPr>
        <w:t>overall market trading activity</w:t>
      </w:r>
      <w:r w:rsidRPr="0006557B">
        <w:rPr>
          <w:lang w:val="en-US"/>
        </w:rPr>
        <w:t xml:space="preserve"> to the concerned companies. For this purpose ESMA could use the know-how and the data of the Trade Repositories </w:t>
      </w:r>
      <w:r>
        <w:rPr>
          <w:lang w:val="en-US"/>
        </w:rPr>
        <w:t xml:space="preserve">and other sources </w:t>
      </w:r>
      <w:r w:rsidRPr="0006557B">
        <w:rPr>
          <w:lang w:val="en-US"/>
        </w:rPr>
        <w:t>rather than oblige companies to calculate this figure individually</w:t>
      </w:r>
      <w:r>
        <w:rPr>
          <w:lang w:val="en-US"/>
        </w:rPr>
        <w:t>.</w:t>
      </w:r>
    </w:p>
    <w:p w:rsidR="00F663CE" w:rsidRPr="0006557B" w:rsidRDefault="00F663CE" w:rsidP="00F663CE">
      <w:pPr>
        <w:rPr>
          <w:lang w:val="en-US"/>
        </w:rPr>
      </w:pPr>
    </w:p>
    <w:p w:rsidR="00F663CE" w:rsidRPr="00660862" w:rsidRDefault="00F663CE" w:rsidP="00F663CE">
      <w:pPr>
        <w:rPr>
          <w:lang w:val="en-US"/>
        </w:rPr>
      </w:pPr>
      <w:r w:rsidRPr="0006557B">
        <w:rPr>
          <w:lang w:val="en-US"/>
        </w:rPr>
        <w:t xml:space="preserve">We strongly believe that companies should at the most be only obliged to define the size of </w:t>
      </w:r>
      <w:r w:rsidRPr="00660862">
        <w:rPr>
          <w:lang w:val="en-US"/>
        </w:rPr>
        <w:t>their own trading activity. Entities do not have either the resources or the know-how to define the size of the overall market trading activity, not even if they use the TR data.</w:t>
      </w:r>
    </w:p>
    <w:p w:rsidR="00F663CE" w:rsidRDefault="00F663CE" w:rsidP="00F663CE">
      <w:pPr>
        <w:rPr>
          <w:lang w:val="en-US"/>
        </w:rPr>
      </w:pPr>
      <w:r>
        <w:rPr>
          <w:lang w:val="en-US"/>
        </w:rPr>
        <w:t>The usage of external</w:t>
      </w:r>
      <w:r w:rsidRPr="00660862">
        <w:rPr>
          <w:lang w:val="en-US"/>
        </w:rPr>
        <w:t xml:space="preserve"> data would mean that entities should at least once a year request data from each available </w:t>
      </w:r>
      <w:r>
        <w:rPr>
          <w:lang w:val="en-US"/>
        </w:rPr>
        <w:t xml:space="preserve">source including </w:t>
      </w:r>
      <w:r w:rsidRPr="00660862">
        <w:rPr>
          <w:lang w:val="en-US"/>
        </w:rPr>
        <w:t>TR</w:t>
      </w:r>
      <w:r>
        <w:rPr>
          <w:lang w:val="en-US"/>
        </w:rPr>
        <w:t>s</w:t>
      </w:r>
      <w:r w:rsidRPr="00660862">
        <w:rPr>
          <w:lang w:val="en-US"/>
        </w:rPr>
        <w:t xml:space="preserve">, which means that entities should communicate not only with their own TR but with ALL TRs </w:t>
      </w:r>
      <w:r>
        <w:rPr>
          <w:lang w:val="en-US"/>
        </w:rPr>
        <w:t xml:space="preserve">plus any other necessary sources </w:t>
      </w:r>
      <w:r w:rsidRPr="00660862">
        <w:rPr>
          <w:lang w:val="en-US"/>
        </w:rPr>
        <w:t>available in the market.</w:t>
      </w:r>
    </w:p>
    <w:p w:rsidR="00F663CE" w:rsidRPr="00660862" w:rsidRDefault="00F663CE" w:rsidP="00F663CE">
      <w:pPr>
        <w:rPr>
          <w:lang w:val="en-US"/>
        </w:rPr>
      </w:pPr>
    </w:p>
    <w:p w:rsidR="00F663CE" w:rsidRDefault="00F663CE" w:rsidP="00F663CE">
      <w:pPr>
        <w:rPr>
          <w:lang w:val="en-US"/>
        </w:rPr>
      </w:pPr>
      <w:r w:rsidRPr="00760947">
        <w:rPr>
          <w:lang w:val="en-US"/>
        </w:rPr>
        <w:t xml:space="preserve">At the same time, entities would have to take care individually that data received from </w:t>
      </w:r>
      <w:r>
        <w:rPr>
          <w:lang w:val="en-US"/>
        </w:rPr>
        <w:t>different sources</w:t>
      </w:r>
      <w:r w:rsidRPr="00660862">
        <w:rPr>
          <w:lang w:val="en-US"/>
        </w:rPr>
        <w:t xml:space="preserve"> get consolidated in such a way that they are comparable and can be added. Duplication of data should be avoided, as well. All in all we do not understand, what could be the advantage, if each individual company makes the effort to define the size of the overall market trading activity, when ESMA is in the position to do the same just once a year for all relevant companies. This figure calculated by the ESMA would be a lot more trust</w:t>
      </w:r>
      <w:r>
        <w:rPr>
          <w:lang w:val="en-US"/>
        </w:rPr>
        <w:t>worthy</w:t>
      </w:r>
      <w:r w:rsidRPr="00660862">
        <w:rPr>
          <w:lang w:val="en-US"/>
        </w:rPr>
        <w:t xml:space="preserve"> than any individually calculated number. ESMA should also consider that the figures calculated by different entities may vary significantly, even if the entities claim to calculate the figure of the same market.</w:t>
      </w:r>
    </w:p>
    <w:p w:rsidR="00F663CE" w:rsidRDefault="00F663CE" w:rsidP="00F663CE">
      <w:pPr>
        <w:rPr>
          <w:lang w:val="en-US"/>
        </w:rPr>
      </w:pPr>
    </w:p>
    <w:p w:rsidR="00F663CE" w:rsidRDefault="00F663CE" w:rsidP="00F663CE">
      <w:r w:rsidRPr="000F0364">
        <w:t xml:space="preserve">MiFID II refers to a concept of ‘proportionality’ (Those criteria should ensure that non-financial firms dealing in financial instruments in a </w:t>
      </w:r>
      <w:r w:rsidRPr="000F0364">
        <w:rPr>
          <w:i/>
        </w:rPr>
        <w:t>disproportionate</w:t>
      </w:r>
      <w:r w:rsidRPr="000F0364">
        <w:t xml:space="preserve"> manner compared with the level of investment in the main business are covered by the scope of this Directive, Recital 20). </w:t>
      </w:r>
    </w:p>
    <w:p w:rsidR="00F663CE" w:rsidRPr="000F0364" w:rsidRDefault="00F663CE" w:rsidP="00F663CE">
      <w:pPr>
        <w:rPr>
          <w:lang w:val="en-US"/>
        </w:rPr>
      </w:pPr>
    </w:p>
    <w:p w:rsidR="00F663CE" w:rsidRPr="000F0364" w:rsidRDefault="00F663CE" w:rsidP="00F663CE">
      <w:r w:rsidRPr="000F0364">
        <w:t>W</w:t>
      </w:r>
      <w:r>
        <w:t>e believe that a threshold of 0.</w:t>
      </w:r>
      <w:r w:rsidRPr="000F0364">
        <w:t>5</w:t>
      </w:r>
      <w:r>
        <w:t xml:space="preserve"> </w:t>
      </w:r>
      <w:r w:rsidRPr="000F0364">
        <w:t xml:space="preserve">% is extremely and unreasonably low when compared to the proportionality principle. ESMA fails to provide evidence on how this threshold is meant to meet such a concept. The co-legislators intention is to narrow down the existing exemption but not render it void, as it would be with the level of the threshold proposed because almost </w:t>
      </w:r>
      <w:r w:rsidRPr="000F0364">
        <w:rPr>
          <w:i/>
        </w:rPr>
        <w:t xml:space="preserve">all </w:t>
      </w:r>
      <w:r w:rsidRPr="000F0364">
        <w:t xml:space="preserve">commodity trading entities are likely to be captured. In the case of the trading test even a little error in the calculation or the rules of approximation could be devastating. </w:t>
      </w:r>
    </w:p>
    <w:p w:rsidR="00F663CE" w:rsidRPr="000F0364" w:rsidRDefault="00F663CE" w:rsidP="00F663CE">
      <w:r w:rsidRPr="000F0364">
        <w:t xml:space="preserve">As for the capital employed test, ESMA seems not to have made an impact assessment on threshold level as basis for their proposal. Given the potential severe impact on the industries in question a settlement of a threshold level presupposes a solid basis. </w:t>
      </w:r>
    </w:p>
    <w:p w:rsidR="00F663CE" w:rsidRPr="000F0364" w:rsidRDefault="00F663CE" w:rsidP="00F663CE">
      <w:r w:rsidRPr="000F0364">
        <w:t>ESMA does not provide evidence on how many persons would be ca</w:t>
      </w:r>
      <w:r>
        <w:t xml:space="preserve">ptured by MiFID as a result of </w:t>
      </w:r>
      <w:r w:rsidRPr="000F0364">
        <w:t>its proposal. There is a lack of data and ESMA cannot pretend that market participants are able to determine whether they are likely to fall below or beyond the proposed threshold. Only estimations will be possible.</w:t>
      </w:r>
    </w:p>
    <w:p w:rsidR="00F663CE" w:rsidRPr="000F0364" w:rsidRDefault="00F663CE" w:rsidP="00F663CE">
      <w:r w:rsidRPr="000F0364">
        <w:t xml:space="preserve">We believe that the ESMA’s proposals would see the vast majority of energy trading firms being regulated as financial entities, subject to detailed oversight by financial regulators and forced to comply with onerous and costly rules on licensing requirements, clearing and margining, capital and liquidity adequacy. </w:t>
      </w:r>
    </w:p>
    <w:p w:rsidR="00F663CE" w:rsidRPr="000F0364" w:rsidRDefault="00F663CE" w:rsidP="00F663CE">
      <w:r w:rsidRPr="000F0364">
        <w:t>These obligations trigger a cascade of material adverse and unintended impacts on energy markets, energy consumers, energy prices and thus the real economy:</w:t>
      </w:r>
    </w:p>
    <w:p w:rsidR="00F663CE" w:rsidRPr="000F0364" w:rsidRDefault="00F663CE" w:rsidP="00F663CE">
      <w:r w:rsidRPr="000F0364">
        <w:t>Small and medium sized energy (trading) firms will exit the market due to prohibitive compliance and prudential capital and liquidity requirements. Larger firms will curtail or close their EU trading activity in the light of increased compliance and prudential capital costs.</w:t>
      </w:r>
    </w:p>
    <w:p w:rsidR="00F663CE" w:rsidRPr="000F0364" w:rsidRDefault="00F663CE" w:rsidP="00F663CE">
      <w:r w:rsidRPr="000F0364">
        <w:t>Trading activity will, wherever possible, be routed via other international markets to avoid disproportionate licensing and capital costs. Trade will also migrate to purely bilateral, physical markets and products. Trading entities may seek to move outside of the European Union.</w:t>
      </w:r>
    </w:p>
    <w:p w:rsidR="00F663CE" w:rsidRPr="000F0364" w:rsidRDefault="00F663CE" w:rsidP="00F663CE">
      <w:r w:rsidRPr="000F0364">
        <w:t>The energy groups that will remain will have to reallocate capital within their businesses to meet the capital and liquidity ratios for their trading unit. This will “trap” liquidity in the trading unit or force consolidation of asset (generation) businesses with trading businesses in order to utilise the liquidity. Perversely, this would see financial authorities overseeing gas fields, nuclear plants, coal power plants and lignite mines etc. to oversee a minority trading business and simultaneously undermining energy regulators’ needs for effective business separation.</w:t>
      </w:r>
    </w:p>
    <w:p w:rsidR="00F663CE" w:rsidRPr="000F0364" w:rsidRDefault="00F663CE" w:rsidP="00F663CE">
      <w:r w:rsidRPr="000F0364">
        <w:t xml:space="preserve">Despite the need for increased liquidity in many European energy and commodity markets (e.g., as desired by </w:t>
      </w:r>
      <w:proofErr w:type="spellStart"/>
      <w:r w:rsidRPr="000F0364">
        <w:t>Ofgem</w:t>
      </w:r>
      <w:proofErr w:type="spellEnd"/>
      <w:r w:rsidRPr="000F0364">
        <w:t xml:space="preserve"> in the UK power market or as highlighted by ACER for the European gas markets in the recent Gas Target Model analysis) liquidity will dry out. The fall in liquidity will significantly increase the costs of risk management for energy companies and massively reduce opportunities for commodity risk management by industrial customers</w:t>
      </w:r>
    </w:p>
    <w:p w:rsidR="00F663CE" w:rsidRPr="000F0364" w:rsidRDefault="00F663CE" w:rsidP="00F663CE">
      <w:r w:rsidRPr="000F0364">
        <w:t xml:space="preserve">The damage to wholesale energy markets also directly undermines the political aims of the 3rd Energy Package and the </w:t>
      </w:r>
      <w:r>
        <w:t>Internal energy m</w:t>
      </w:r>
      <w:r w:rsidRPr="000F0364">
        <w:t>arket. Illiquid wholesale markets reduce market competition and efficiency in the production and retail markets and energy prices for consumers and industry will increase as a result. Increased risk, constrained investment capital and poor market price signals will also undermine investment, production and consumption decisions and degrade the security of energy supplies.</w:t>
      </w:r>
    </w:p>
    <w:p w:rsidR="00F663CE" w:rsidRDefault="00F663CE" w:rsidP="00F663CE"/>
    <w:p w:rsidR="00F663CE" w:rsidRDefault="00F663CE" w:rsidP="00F663CE">
      <w:r w:rsidRPr="000F0364">
        <w:t>These increased costs and risks come without any corresponding improvement in the risk profile or integrity of the financial markets. The energy markets are already effectively regulated, highly transparent and subject to the same high standards of conduct and integrity under REMIT. EMIR and the Market Abuse regime apply to the limited investm</w:t>
      </w:r>
      <w:r>
        <w:t>ent activity of energy groups.</w:t>
      </w:r>
    </w:p>
    <w:p w:rsidR="00F663CE" w:rsidRPr="000F0364" w:rsidRDefault="00F663CE" w:rsidP="00F663CE"/>
    <w:p w:rsidR="00F663CE" w:rsidRPr="000F0364" w:rsidRDefault="00F663CE" w:rsidP="00F663CE">
      <w:r w:rsidRPr="000F0364">
        <w:t>The requirements related to MiFID will not achieve a “level playing field” between financial and non-financial counterparties as ESMA claims. Trading commodities on own account poses no threat to bank savers and no requirement to protect investors. Nor do commodity traders have access to central bank liquidity to meet liquidity requirements. Imposing the same obligations on different businesses makes the field unplayable.</w:t>
      </w:r>
    </w:p>
    <w:p w:rsidR="00F663CE" w:rsidRPr="000F0364" w:rsidRDefault="00F663CE" w:rsidP="00F663CE">
      <w:r w:rsidRPr="000F0364">
        <w:t xml:space="preserve">We believe that the level of the thresholds could be differentiated per commodity asset class, especially if the disaggregation of energy commodities remains as proposed in the consultation. This is even more reasoned if ESMA confirms that breaching the threshold in any asset class imposes a license requirement. Therefore the RTS should conservatively include relatively high thresholds in the beginning. </w:t>
      </w:r>
    </w:p>
    <w:p w:rsidR="00F663CE" w:rsidRPr="000F0364" w:rsidRDefault="00F663CE" w:rsidP="00F663CE">
      <w:r w:rsidRPr="000F0364">
        <w:t xml:space="preserve">In the absence of reliable data on the size of the market at the time of drafting RTS and in consideration of the extreme consequences on energy markets, consumers and prices of applying incorrectly the MiFID II scheme to non-financial entities that are not relevant for financial markets, we believe that a low-two-digit number is more appropriate for this threshold. </w:t>
      </w:r>
    </w:p>
    <w:p w:rsidR="00F663CE" w:rsidRPr="000F0364" w:rsidRDefault="00F663CE" w:rsidP="00F663CE">
      <w:r w:rsidRPr="000F0364">
        <w:t>Subsequently ESMA may revise the level of the threshold(s) on the basis of the evidence gathered.</w:t>
      </w:r>
    </w:p>
    <w:permEnd w:id="18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F663CE" w:rsidRDefault="00F663CE" w:rsidP="00F663CE">
      <w:pPr>
        <w:autoSpaceDE w:val="0"/>
        <w:autoSpaceDN w:val="0"/>
        <w:adjustRightInd w:val="0"/>
        <w:spacing w:before="120"/>
        <w:rPr>
          <w:bCs/>
          <w:lang w:val="en-US"/>
        </w:rPr>
      </w:pPr>
      <w:permStart w:id="189" w:edGrp="everyone"/>
      <w:r>
        <w:rPr>
          <w:bCs/>
          <w:lang w:val="en-US"/>
        </w:rPr>
        <w:t>Yes, we agree.</w:t>
      </w:r>
    </w:p>
    <w:p w:rsidR="00F663CE" w:rsidRPr="00CB58DB" w:rsidRDefault="00F663CE" w:rsidP="00F663CE">
      <w:pPr>
        <w:autoSpaceDE w:val="0"/>
        <w:autoSpaceDN w:val="0"/>
        <w:adjustRightInd w:val="0"/>
        <w:spacing w:before="120"/>
        <w:rPr>
          <w:bCs/>
          <w:lang w:val="en-US"/>
        </w:rPr>
      </w:pPr>
      <w:r w:rsidRPr="000F0364">
        <w:rPr>
          <w:bCs/>
          <w:lang w:val="en-US"/>
        </w:rPr>
        <w:t xml:space="preserve">However the level should be raised as a consequence of a different approach as suggested in response to Q179. In case the market size threshold is set at a low-two-digit level, the de </w:t>
      </w:r>
      <w:proofErr w:type="spellStart"/>
      <w:r w:rsidRPr="000F0364">
        <w:rPr>
          <w:bCs/>
          <w:lang w:val="en-US"/>
        </w:rPr>
        <w:t>minimis</w:t>
      </w:r>
      <w:proofErr w:type="spellEnd"/>
      <w:r w:rsidRPr="000F0364">
        <w:rPr>
          <w:bCs/>
          <w:lang w:val="en-US"/>
        </w:rPr>
        <w:t xml:space="preserve"> threshold should be set at a more reasonable level in the range </w:t>
      </w:r>
      <w:r>
        <w:rPr>
          <w:bCs/>
          <w:lang w:val="en-US"/>
        </w:rPr>
        <w:t>of</w:t>
      </w:r>
      <w:r w:rsidRPr="000F0364">
        <w:rPr>
          <w:bCs/>
          <w:lang w:val="en-US"/>
        </w:rPr>
        <w:t xml:space="preserve"> 5</w:t>
      </w:r>
      <w:r>
        <w:rPr>
          <w:bCs/>
          <w:lang w:val="en-US"/>
        </w:rPr>
        <w:t xml:space="preserve"> </w:t>
      </w:r>
      <w:r w:rsidRPr="000F0364">
        <w:rPr>
          <w:bCs/>
          <w:lang w:val="en-US"/>
        </w:rPr>
        <w:t xml:space="preserve">%. This level should depend on the level of the threshold for the specific commodity asset class. </w:t>
      </w:r>
    </w:p>
    <w:permEnd w:id="18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F663CE" w:rsidRPr="000F0364" w:rsidRDefault="00F663CE" w:rsidP="00F663CE">
      <w:pPr>
        <w:rPr>
          <w:lang w:val="en-US" w:eastAsia="en-GB"/>
        </w:rPr>
      </w:pPr>
      <w:permStart w:id="190" w:edGrp="everyone"/>
      <w:r w:rsidRPr="000F0364">
        <w:rPr>
          <w:lang w:val="en-US" w:eastAsia="en-GB"/>
        </w:rPr>
        <w:t>In the draft RTS, “</w:t>
      </w:r>
      <w:proofErr w:type="spellStart"/>
      <w:r w:rsidRPr="000F0364">
        <w:rPr>
          <w:lang w:val="en-US" w:eastAsia="en-GB"/>
        </w:rPr>
        <w:t>intragroup</w:t>
      </w:r>
      <w:proofErr w:type="spellEnd"/>
      <w:r w:rsidRPr="000F0364">
        <w:rPr>
          <w:lang w:val="en-US" w:eastAsia="en-GB"/>
        </w:rPr>
        <w:t xml:space="preserve"> transactions” are defined by reference to Article 3 of EMIR. </w:t>
      </w:r>
    </w:p>
    <w:p w:rsidR="00F663CE" w:rsidRPr="000F0364" w:rsidRDefault="00F663CE" w:rsidP="00F663CE">
      <w:pPr>
        <w:rPr>
          <w:lang w:val="en-US" w:eastAsia="en-GB"/>
        </w:rPr>
      </w:pPr>
      <w:r w:rsidRPr="000F0364">
        <w:rPr>
          <w:lang w:val="en-US" w:eastAsia="en-GB"/>
        </w:rPr>
        <w:t>Under this Article, in order for an EU counterparty to qualify a contract with another counterparty in the same group that is established in a third country, it is required that the Commission has adopted an implementing act to deem that third country as being equivalent under EMIR Article 13(2).</w:t>
      </w:r>
    </w:p>
    <w:p w:rsidR="00F663CE" w:rsidRPr="000F0364" w:rsidRDefault="00F663CE" w:rsidP="00F663CE">
      <w:pPr>
        <w:rPr>
          <w:lang w:val="en-US" w:eastAsia="en-GB"/>
        </w:rPr>
      </w:pPr>
      <w:r w:rsidRPr="000F0364">
        <w:rPr>
          <w:lang w:val="en-US" w:eastAsia="en-GB"/>
        </w:rPr>
        <w:t>In the absence of such equivalence assessments currently and uncertainty over when such assessments might eventually be made, we would consider it more appropriate to define an “</w:t>
      </w:r>
      <w:proofErr w:type="spellStart"/>
      <w:r w:rsidRPr="000F0364">
        <w:rPr>
          <w:lang w:val="en-US" w:eastAsia="en-GB"/>
        </w:rPr>
        <w:t>intragroup</w:t>
      </w:r>
      <w:proofErr w:type="spellEnd"/>
      <w:r w:rsidRPr="000F0364">
        <w:rPr>
          <w:lang w:val="en-US" w:eastAsia="en-GB"/>
        </w:rPr>
        <w:t>” transaction as a transaction between two counterparties belonging to the same group maintaining a generic reference to the term group as this is in line with the text of Level 1 and the need to avoid extraterritorial application of MiFID II, as expressed by ESMA in the consultation paper at point 30.</w:t>
      </w:r>
    </w:p>
    <w:p w:rsidR="00F663CE" w:rsidRPr="000F0364" w:rsidRDefault="00F663CE" w:rsidP="00F663CE">
      <w:pPr>
        <w:rPr>
          <w:lang w:val="en-US" w:eastAsia="en-GB"/>
        </w:rPr>
      </w:pPr>
      <w:r w:rsidRPr="000F0364">
        <w:rPr>
          <w:lang w:val="en-US" w:eastAsia="en-GB"/>
        </w:rPr>
        <w:t>Otherwise, in recognition of the possibility that such assessments may not be in place before 2017, we would urge that provisions be made in the technical standards for a transitional regime.</w:t>
      </w:r>
    </w:p>
    <w:p w:rsidR="00F663CE" w:rsidRPr="000F0364" w:rsidRDefault="00F663CE" w:rsidP="00F663CE">
      <w:pPr>
        <w:rPr>
          <w:lang w:val="en-US" w:eastAsia="en-GB"/>
        </w:rPr>
      </w:pPr>
      <w:r w:rsidRPr="000F0364">
        <w:rPr>
          <w:lang w:val="en-US" w:eastAsia="en-GB"/>
        </w:rPr>
        <w:t>Finally</w:t>
      </w:r>
      <w:r>
        <w:rPr>
          <w:lang w:val="en-US" w:eastAsia="en-GB"/>
        </w:rPr>
        <w:t>,</w:t>
      </w:r>
      <w:r w:rsidRPr="000F0364">
        <w:rPr>
          <w:lang w:val="en-US" w:eastAsia="en-GB"/>
        </w:rPr>
        <w:t xml:space="preserve"> we reiterate the need to exclude trading activity in relation to carbon EU-ETS compliance. See also our answer to Q171.</w:t>
      </w:r>
    </w:p>
    <w:permEnd w:id="1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F663CE" w:rsidRPr="004C7E9C" w:rsidRDefault="00F663CE" w:rsidP="00F663CE">
      <w:pPr>
        <w:pStyle w:val="Default"/>
        <w:rPr>
          <w:sz w:val="22"/>
          <w:szCs w:val="22"/>
          <w:lang w:val="en-US"/>
        </w:rPr>
      </w:pPr>
      <w:permStart w:id="191" w:edGrp="everyone"/>
      <w:r>
        <w:rPr>
          <w:bCs/>
          <w:sz w:val="22"/>
          <w:szCs w:val="22"/>
          <w:lang w:val="en-US"/>
        </w:rPr>
        <w:t>No, we do not agree with ESMA´s proposals. Energy companies can calculate the thresholds at the earliest when all year-end closing works are done and the annual financial statements are approved. This might take time until the middle of each year. ESMA should consider that energy companies might only be able to calculate their thresholds for the first time in the middle of 2017.</w:t>
      </w:r>
    </w:p>
    <w:p w:rsidR="00F663CE" w:rsidRDefault="00F663CE" w:rsidP="00F663CE">
      <w:pPr>
        <w:rPr>
          <w:lang w:val="en-US"/>
        </w:rPr>
      </w:pPr>
    </w:p>
    <w:p w:rsidR="00F663CE" w:rsidRPr="000F0364" w:rsidRDefault="00F663CE" w:rsidP="00F663CE">
      <w:pPr>
        <w:rPr>
          <w:bCs/>
        </w:rPr>
      </w:pPr>
      <w:r w:rsidRPr="000F0364">
        <w:rPr>
          <w:bCs/>
        </w:rPr>
        <w:t>We believe that ESMA requires a calculation that is practically impossible to make in the timeframe proposed. The intention in 2017 to use average data for 2016 is very difficult to achieve for member firms. Average data for 2016 will only be available once 2016 has come to an end, i.e. on 2 January 2017 (since 1 January 2017 is a bank holiday in most if not all EU jurisdictions). MiFID II applies from 3 January 2017. The period of implementation of M</w:t>
      </w:r>
      <w:r>
        <w:rPr>
          <w:bCs/>
        </w:rPr>
        <w:t>i</w:t>
      </w:r>
      <w:r w:rsidRPr="000F0364">
        <w:rPr>
          <w:bCs/>
        </w:rPr>
        <w:t xml:space="preserve">FID rules will be of a least one year and therefore it is unclear how a firm, which </w:t>
      </w:r>
      <w:r>
        <w:rPr>
          <w:bCs/>
        </w:rPr>
        <w:t>discovers</w:t>
      </w:r>
      <w:r w:rsidRPr="000F0364">
        <w:rPr>
          <w:bCs/>
        </w:rPr>
        <w:t xml:space="preserve"> after 31 December 2016 (when it has all the data) that it is going to be licensed, puts in place all processes by 3</w:t>
      </w:r>
      <w:r w:rsidRPr="000F0364">
        <w:rPr>
          <w:bCs/>
          <w:vertAlign w:val="superscript"/>
        </w:rPr>
        <w:t>rd</w:t>
      </w:r>
      <w:r w:rsidRPr="000F0364">
        <w:rPr>
          <w:bCs/>
        </w:rPr>
        <w:t xml:space="preserve"> January 2017. </w:t>
      </w:r>
    </w:p>
    <w:p w:rsidR="00F663CE" w:rsidRPr="000F0364" w:rsidRDefault="00F663CE" w:rsidP="00F663CE">
      <w:pPr>
        <w:rPr>
          <w:bCs/>
        </w:rPr>
      </w:pPr>
      <w:r w:rsidRPr="000F0364">
        <w:rPr>
          <w:bCs/>
        </w:rPr>
        <w:t>We also doubt why ESMA wants to use data related to 2016 when MiFID II will not yet be in force.</w:t>
      </w:r>
    </w:p>
    <w:p w:rsidR="00F663CE" w:rsidRPr="000F0364" w:rsidRDefault="00F663CE" w:rsidP="00F663CE">
      <w:pPr>
        <w:rPr>
          <w:bCs/>
        </w:rPr>
      </w:pPr>
      <w:r w:rsidRPr="000F0364">
        <w:rPr>
          <w:bCs/>
        </w:rPr>
        <w:t>It is unclear also why the interim solution covers one year only (2016), whilst ESMA has justified the proposal of calculation over a three years period saying that ‘</w:t>
      </w:r>
      <w:r w:rsidRPr="000F0364">
        <w:rPr>
          <w:bCs/>
          <w:i/>
        </w:rPr>
        <w:t>the amount of capital employed and the size of the trading activity in financial instruments might fluctuate from year to year. Therefore, a firm may fall within the scope of MiFID II because it fulfils the relevant criteria one year but it may qualify for an exemption from MiFID II the following year</w:t>
      </w:r>
      <w:r w:rsidRPr="000F0364">
        <w:rPr>
          <w:bCs/>
        </w:rPr>
        <w:t>’ and it justifies the rejection of the proposal for ‘a second chance’ on the basis of the fact that the procedure ‘</w:t>
      </w:r>
      <w:r w:rsidRPr="000F0364">
        <w:rPr>
          <w:bCs/>
          <w:i/>
        </w:rPr>
        <w:t>relies on monthly inputs for 36 consecutive months seems to provide several chances to check the firm’s position against the thresholds and decide whether to reduce the trading in these instruments in order to fulfil the requirements to benefit from the exemption in the regular annual test’.</w:t>
      </w:r>
    </w:p>
    <w:p w:rsidR="00F663CE" w:rsidRPr="000F0364" w:rsidRDefault="00F663CE" w:rsidP="00F663CE">
      <w:pPr>
        <w:rPr>
          <w:bCs/>
        </w:rPr>
      </w:pPr>
      <w:r w:rsidRPr="000F0364">
        <w:rPr>
          <w:bCs/>
        </w:rPr>
        <w:t>On a practical point of view, it is impossible to acquire data of the balance sheet of the group (for the calculation of the first test) in 2 days after the end of the year. It is expected also to find some difficulty to validate the data from the TRs concerning both the market and the single person making use of the exemption.</w:t>
      </w:r>
    </w:p>
    <w:permEnd w:id="19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F663CE" w:rsidRPr="000F0364" w:rsidRDefault="00F663CE" w:rsidP="00F663CE">
      <w:permStart w:id="192" w:edGrp="everyone"/>
      <w:r w:rsidRPr="000F0364">
        <w:t xml:space="preserve">ESMA should provide concrete examples on how both the spot months and other </w:t>
      </w:r>
      <w:proofErr w:type="gramStart"/>
      <w:r w:rsidRPr="000F0364">
        <w:t>months</w:t>
      </w:r>
      <w:proofErr w:type="gramEnd"/>
      <w:r w:rsidRPr="000F0364">
        <w:t xml:space="preserve"> limits would apply in practice. This would enable understanding the mechanism proposed. We are concerned that a combination of an inappropriate baseline limit, a too narrow definition of OTC economically equivalent contracts (consequently of netting) and the absence of hedging exemption for financial firms may lead to market disruption and may dry liquidity in European commodity derivatives markets.</w:t>
      </w:r>
    </w:p>
    <w:p w:rsidR="00F663CE" w:rsidRPr="000F0364" w:rsidRDefault="00F663CE" w:rsidP="00F663CE">
      <w:r w:rsidRPr="000F0364">
        <w:t xml:space="preserve">In order to overcome the ‘national champions’ problem in regards to concentration of positions as pointed out by ESMA at point 14, a possible way forward is to consider European gas and power markets respectively at continental level when determining the deliverable supply. We fear that exchanges may not be the best placed for collection of such data or at least their information should be cross-checked with data made available by ACER and gas and power system operators. </w:t>
      </w:r>
    </w:p>
    <w:p w:rsidR="00F663CE" w:rsidRPr="000F0364" w:rsidRDefault="00F663CE" w:rsidP="00F663CE">
      <w:r w:rsidRPr="000F0364">
        <w:t xml:space="preserve">We believe that such a geographic aggregation is reasonable in reason of the efforts to achieve the </w:t>
      </w:r>
      <w:r>
        <w:t>internal</w:t>
      </w:r>
      <w:r w:rsidRPr="000F0364">
        <w:t xml:space="preserve"> energy market. Furthermore often contracts related to certain locations (e.g. German electricity </w:t>
      </w:r>
      <w:proofErr w:type="spellStart"/>
      <w:r w:rsidRPr="000F0364">
        <w:t>baseload</w:t>
      </w:r>
      <w:proofErr w:type="spellEnd"/>
      <w:r w:rsidRPr="000F0364">
        <w:t>, or Dutch gas hub) are used as proxies to manage positions in the surrounding, but illiquid/inexistent, national markets. However</w:t>
      </w:r>
      <w:r>
        <w:t>,</w:t>
      </w:r>
      <w:r w:rsidRPr="000F0364">
        <w:t xml:space="preserve"> coordination between national competent authorities is necessary. </w:t>
      </w:r>
    </w:p>
    <w:p w:rsidR="00F663CE" w:rsidRPr="000F0364" w:rsidRDefault="00F663CE" w:rsidP="00F663CE">
      <w:r>
        <w:t>T</w:t>
      </w:r>
      <w:r w:rsidRPr="000F0364">
        <w:t>he meaning of the sentence of ESMA in point 21</w:t>
      </w:r>
      <w:r>
        <w:t xml:space="preserve"> is unclear</w:t>
      </w:r>
      <w:r w:rsidRPr="000F0364">
        <w:t xml:space="preserve">: ‘The baseline figure will be </w:t>
      </w:r>
      <w:r>
        <w:br/>
      </w:r>
      <w:r w:rsidRPr="000F0364">
        <w:t>25</w:t>
      </w:r>
      <w:r>
        <w:t xml:space="preserve"> </w:t>
      </w:r>
      <w:r w:rsidRPr="000F0364">
        <w:t xml:space="preserve">% (...) for the appropriate prediction of deliverable supply that will be available to meet the obligations arising for the other months’ in reference to other months limit. We fear that if the deliverable supply considered is too small compared with the open interest, it would be very easy breaching the limits. It is unclear how seasonality will be taken into account and market swings (e.g. contraction/expansion of the market size with the sentiment about general economic conditions). </w:t>
      </w:r>
    </w:p>
    <w:p w:rsidR="00F663CE" w:rsidRDefault="00F663CE" w:rsidP="00F663CE">
      <w:r w:rsidRPr="000F0364">
        <w:t>For contracts beyond the spot month the consideration of the open interest is preferable at least to consider the appropriateness of the limits proposed. It is of utmost importance full transparency and early involvement of market participants in the process that ESMA, competent authorities and exchanges will adopt to determine this deliverable supply in practice.</w:t>
      </w:r>
    </w:p>
    <w:permEnd w:id="19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F663CE" w:rsidRDefault="00F663CE" w:rsidP="00F663CE">
      <w:permStart w:id="193" w:edGrp="everyone"/>
      <w:r w:rsidRPr="000F0364">
        <w:t xml:space="preserve">In general in seems reasonable for physically settled spot-month commodity derivative contracts. However it is </w:t>
      </w:r>
      <w:proofErr w:type="gramStart"/>
      <w:r w:rsidRPr="000F0364">
        <w:t>key</w:t>
      </w:r>
      <w:proofErr w:type="gramEnd"/>
      <w:r w:rsidRPr="000F0364">
        <w:t xml:space="preserve"> how the calculation of the deliverable supply is made.</w:t>
      </w:r>
    </w:p>
    <w:permEnd w:id="19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F663CE" w:rsidRPr="0021462A" w:rsidRDefault="00F663CE" w:rsidP="00F663CE">
      <w:permStart w:id="194" w:edGrp="everyone"/>
      <w:r w:rsidRPr="0021462A">
        <w:t>The maximum position limit at 40</w:t>
      </w:r>
      <w:r>
        <w:t xml:space="preserve"> </w:t>
      </w:r>
      <w:r w:rsidRPr="0021462A">
        <w:t xml:space="preserve">% is likely to be suitable in most of the cases for liquid markets but it may be not in all markets especially if they are emerging markets. The methodology should be future-proofing to avoid undue constraints in the development of commodity derivative markets. </w:t>
      </w:r>
    </w:p>
    <w:p w:rsidR="00F663CE" w:rsidRDefault="00F663CE" w:rsidP="00F663CE">
      <w:r w:rsidRPr="0021462A">
        <w:t xml:space="preserve">Therefore exceptions should not be excluded considering that certain particular commodities do not have yet a derivative market but this may be created and at the beginning it is more likely that a few players have large positions </w:t>
      </w:r>
    </w:p>
    <w:permEnd w:id="19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F663CE" w:rsidP="00EC2C93">
      <w:pPr>
        <w:keepNext/>
      </w:pPr>
      <w:permStart w:id="195" w:edGrp="everyone"/>
      <w:r w:rsidRPr="0021462A">
        <w:t>It is difficult to assess without the figures of deliverable supply and open interest estimates</w:t>
      </w:r>
      <w:r>
        <w:t xml:space="preserve"> </w:t>
      </w:r>
      <w:permEnd w:id="195"/>
      <w:r w:rsidR="00577C33">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F663CE" w:rsidRPr="0021462A" w:rsidRDefault="00F663CE" w:rsidP="00F663CE">
      <w:permStart w:id="196" w:edGrp="everyone"/>
      <w:r w:rsidRPr="0021462A">
        <w:t xml:space="preserve">We understand that ESMA has a statutory mandate to consider volatility. </w:t>
      </w:r>
    </w:p>
    <w:p w:rsidR="00F663CE" w:rsidRDefault="00F663CE" w:rsidP="00F663CE">
      <w:r w:rsidRPr="0021462A">
        <w:t>We also recognise that volatility may have a residual value in terms of reflecting illiquidity issues. We nevertheless highlight that if open interest is used to determine other month limits, the other factors become incidental. This is because open interest numbers would already factor in such matters as maturity of contracts, volatility, number and size of participants and characteristics of underlying commodity markets.</w:t>
      </w:r>
    </w:p>
    <w:permEnd w:id="1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F663CE" w:rsidRPr="0021462A" w:rsidRDefault="00F663CE" w:rsidP="00F663CE">
      <w:permStart w:id="197" w:edGrp="everyone"/>
      <w:r w:rsidRPr="0021462A">
        <w:t>We reiterate the importance of determining the deliverable supply in a reasonable manner. Please see also the answer to Q183. Especially we reiterate the need to consider open interest for months other than the spot months or the possibility to consider multipliers for the spot-month deliverable supply. Even in this case we believe that the risk of inconsistency is high.</w:t>
      </w:r>
    </w:p>
    <w:p w:rsidR="00F663CE" w:rsidRPr="0021462A" w:rsidRDefault="00F663CE" w:rsidP="00F663CE">
      <w:r w:rsidRPr="0021462A">
        <w:t xml:space="preserve">It will be necessary to adjust the open interest to add the notional volumes of OTC contracts relating to the relevant on-venue contracts. It is also the case that certain commodities may not have a related futures contract and competent authorities will need to estimate the open interest based on notional amounts of swaps and other relevant OTC contracts (e.g. options and forwards). </w:t>
      </w:r>
    </w:p>
    <w:p w:rsidR="00F663CE" w:rsidRPr="0021462A" w:rsidRDefault="00F663CE" w:rsidP="00F663CE">
      <w:r w:rsidRPr="0021462A">
        <w:t xml:space="preserve">Open interest data should be available via trade repositories as a result of EMIR reporting. </w:t>
      </w:r>
    </w:p>
    <w:p w:rsidR="00F663CE" w:rsidRDefault="00F663CE" w:rsidP="00F663CE">
      <w:r w:rsidRPr="0021462A">
        <w:t>Finally, the difference between commodities means that some are durable and can be stored indefinitely and some cannot; therefore for some commodities production deliverable supply should also include stock levels (i.e. surplus production stored from a prior period).</w:t>
      </w:r>
    </w:p>
    <w:permEnd w:id="19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F663CE" w:rsidRPr="0021462A" w:rsidRDefault="00F663CE" w:rsidP="00F663CE">
      <w:permStart w:id="198" w:edGrp="everyone"/>
      <w:r w:rsidRPr="0021462A">
        <w:t>We do not have a suggestion in general because any new commodity derivative market has its own characteristics very much dependent on the structure of the underlying physical market (supply and demand concentration). We believe that exceptions should be possible at least for a limited period of time.</w:t>
      </w:r>
    </w:p>
    <w:p w:rsidR="00F663CE" w:rsidRPr="0021462A" w:rsidRDefault="00F663CE" w:rsidP="00F663CE">
      <w:r w:rsidRPr="0021462A">
        <w:t>The methodology should ensure that the limits do not damage developing liquidity in new contracts. Low liquidity however is not only a characteristic of new contracts, but also of many more regional or specialised commodity products. Where very few market participants exist with respect to a contract, liquidity will naturally be limited. Any consideration and/or methodology adopted for new contracts should therefore be extended to existing illiquid contracts.</w:t>
      </w:r>
    </w:p>
    <w:p w:rsidR="00F663CE" w:rsidRDefault="00F663CE" w:rsidP="00F663CE">
      <w:r w:rsidRPr="0021462A">
        <w:t>We believe that the best approach would be to take each new or illiquid contract separately and consider a reasonable multiple of the current transaction size after a defined period of trading.</w:t>
      </w:r>
    </w:p>
    <w:permEnd w:id="19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F663CE" w:rsidRPr="0021462A" w:rsidRDefault="00F663CE" w:rsidP="00F663CE">
      <w:permStart w:id="199" w:edGrp="everyone"/>
      <w:r w:rsidRPr="0021462A">
        <w:t>The geographic scope for the calculation of the deliverable supply is another important element to be considered because the level of the position limit is much more stringent if, for instance, the deliverable supply is calculated on the basis of a national market rather than being the entire Union.</w:t>
      </w:r>
    </w:p>
    <w:p w:rsidR="00F663CE" w:rsidRDefault="00F663CE" w:rsidP="00F663CE">
      <w:r w:rsidRPr="0021462A">
        <w:t>We believe that if open interest is used for all other months, then this metric would take into account all relevant factors particular to the relevant commodity contract: it would then not be necessary to provide for an adjustment mechanism driven by an exhaustive list of factors.</w:t>
      </w:r>
    </w:p>
    <w:permEnd w:id="1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F663CE" w:rsidRPr="0021462A" w:rsidRDefault="00F663CE" w:rsidP="00F663CE">
      <w:permStart w:id="200" w:edGrp="everyone"/>
      <w:r w:rsidRPr="0021462A">
        <w:t>For energy commodities logistic issues are quite relevant. Especially in gas and power markets it is important to consider the various elements: the production, the import and storage facilities, the transportation and transmission facilities.</w:t>
      </w:r>
    </w:p>
    <w:p w:rsidR="00F663CE" w:rsidRDefault="00F663CE" w:rsidP="00F663CE">
      <w:r w:rsidRPr="0021462A">
        <w:t>Climatic variables can also have an impact. For instance seasonality (related to weather conditions) and the possibility to store energy is another very important element that may affect the deliverable supply from one month to another or in the same month year after year (mild winter vs. cold winter). Also, e.g. ports which get frozen over in winter can have significant activity in other seasons and if a limit is set as an average over a year then it will not be possible to accommodate the busy times. For oil and oil products, e.g. Gasoil, the availability of barges, loading slots, storage are all important elements and they can vary significantly between locations and grades</w:t>
      </w:r>
      <w:r>
        <w:t>.</w:t>
      </w:r>
    </w:p>
    <w:permEnd w:id="20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01" w:edGrp="everyone"/>
      <w:r>
        <w:t>TYPE YOUR TEXT HERE</w:t>
      </w:r>
    </w:p>
    <w:permEnd w:id="20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F663CE" w:rsidRPr="0021462A" w:rsidRDefault="00F663CE" w:rsidP="00F663CE">
      <w:permStart w:id="202" w:edGrp="everyone"/>
      <w:r w:rsidRPr="0021462A">
        <w:t xml:space="preserve">We believe that national competent authorities should seek to understand the composition of market participants before determining the position limit. </w:t>
      </w:r>
    </w:p>
    <w:p w:rsidR="00F663CE" w:rsidRDefault="00F663CE" w:rsidP="00F663CE">
      <w:r w:rsidRPr="0021462A">
        <w:t>For example, a market with a low number of active participants may have a very narrow number of sellers and more buyers, or just one risk management provider. In such markets, a single position limit may have a disproportionate impact on some of the participants.</w:t>
      </w:r>
    </w:p>
    <w:permEnd w:id="20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F663CE" w:rsidRPr="0021462A" w:rsidRDefault="00F663CE" w:rsidP="00F663CE">
      <w:permStart w:id="203" w:edGrp="everyone"/>
      <w:r w:rsidRPr="0021462A">
        <w:t xml:space="preserve">European gas and electricity markets are subject to extensive regulation and oversight. The involvement of ACER and national regulators (e.g. </w:t>
      </w:r>
      <w:proofErr w:type="spellStart"/>
      <w:r w:rsidRPr="0021462A">
        <w:t>Ofgem</w:t>
      </w:r>
      <w:proofErr w:type="spellEnd"/>
      <w:r w:rsidRPr="0021462A">
        <w:t>, BNetzA, CRE, etc.) is a safeguard to ensure that the competent authorities are supported by the right competences when taking into account the factors and the characteristics of the underlying commodity markets.</w:t>
      </w:r>
    </w:p>
    <w:p w:rsidR="00F663CE" w:rsidRPr="0021462A" w:rsidRDefault="00F663CE" w:rsidP="00F663CE">
      <w:r w:rsidRPr="0021462A">
        <w:t>For other energy commodities the involvement of specialised the involvement of independent commodities’ markets information providers can help competent authorities understanding the underlying commodity markets.</w:t>
      </w:r>
    </w:p>
    <w:p w:rsidR="00F663CE" w:rsidRDefault="00F663CE" w:rsidP="00F663CE">
      <w:r w:rsidRPr="0021462A">
        <w:t>We doubt the ESMA’s assumption that position limits should move up in direct proportion to the flexibility of the relevant commodity market. Actually, the reverse is likely to be true, in the sense that the more restricted a market (in terms of few points of delivery, geographic speci</w:t>
      </w:r>
      <w:r>
        <w:t>ficity, and seasonality)</w:t>
      </w:r>
      <w:r w:rsidRPr="0021462A">
        <w:t xml:space="preserve"> the more tolerance for inadvertent large positions needs to be built into the calibration.</w:t>
      </w:r>
    </w:p>
    <w:permEnd w:id="20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F663CE" w:rsidRDefault="00F663CE" w:rsidP="00F663CE">
      <w:permStart w:id="204" w:edGrp="everyone"/>
      <w:r w:rsidRPr="0021462A">
        <w:t>We believe that a minimum time could be set e.g. 24 months. However competent authorities should have discretion to take a view on the relative maturity of a contract after this initial period. After such a period the contract can be either be subject to the ‘standard approach’ or being considered ‘illiquid’ and therefore limits should be set by taking into account this specificity.</w:t>
      </w:r>
    </w:p>
    <w:permEnd w:id="20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F663CE" w:rsidRPr="0021462A" w:rsidRDefault="00F663CE" w:rsidP="00F663CE">
      <w:permStart w:id="205" w:edGrp="everyone"/>
      <w:r w:rsidRPr="00DB7478">
        <w:t>We believe that the age is irrelevant as contract may never reach trading levels which are sufficiently high to result in the need for a position limit to be applied.</w:t>
      </w:r>
    </w:p>
    <w:permEnd w:id="20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F663CE" w:rsidRPr="00F663CE" w:rsidRDefault="00F663CE" w:rsidP="00F663CE">
      <w:pPr>
        <w:rPr>
          <w:lang w:val="es-ES"/>
        </w:rPr>
      </w:pPr>
      <w:permStart w:id="206" w:edGrp="everyone"/>
      <w:r w:rsidRPr="00F663CE">
        <w:rPr>
          <w:lang w:val="es-ES"/>
        </w:rPr>
        <w:t>No</w:t>
      </w:r>
    </w:p>
    <w:permEnd w:id="20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F663CE" w:rsidRPr="00DB7478" w:rsidRDefault="00F663CE" w:rsidP="00F663CE">
      <w:permStart w:id="207" w:edGrp="everyone"/>
      <w:r w:rsidRPr="00DB7478">
        <w:t>Yes. We agree with ESMA that the methodology should provide competent authorities with sufficient scope to take into account the specificities of the different markets without incorporating asset-class specific elements in the methodology. The characteristics of the asset-classes should be taken into account by the competent authorities when setting the limit itself.</w:t>
      </w:r>
    </w:p>
    <w:p w:rsidR="00F663CE" w:rsidRDefault="00F663CE" w:rsidP="00F663CE">
      <w:r w:rsidRPr="00DB7478">
        <w:t>Also, it is critical that open interest is used as the metric for other month limits as open interest will factor in asset specific elements relevant to the particular commodity in question.</w:t>
      </w:r>
    </w:p>
    <w:permEnd w:id="20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F663CE" w:rsidRDefault="00F663CE" w:rsidP="00F663CE">
      <w:permStart w:id="208" w:edGrp="everyone"/>
      <w:r w:rsidRPr="00DB7478">
        <w:t>We believe that these factors would be taken into account through the use of open interest for non-spot month limits and deliverable supply for spot month limits</w:t>
      </w:r>
    </w:p>
    <w:permEnd w:id="20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F663CE" w:rsidRPr="00DB7478" w:rsidRDefault="00F663CE" w:rsidP="00F663CE">
      <w:permStart w:id="209" w:edGrp="everyone"/>
      <w:r w:rsidRPr="00DB7478">
        <w:t xml:space="preserve">We agree with the proposed draft RTS on risk reducing positions. However we do not fully share the view of ESMA that </w:t>
      </w:r>
      <w:r w:rsidRPr="00DB7478">
        <w:rPr>
          <w:i/>
        </w:rPr>
        <w:t>each trade</w:t>
      </w:r>
      <w:r w:rsidRPr="00DB7478">
        <w:t xml:space="preserve"> can be tagged to identify whether it is a hedge or a speculative trade or position. Whilst we agree that a certain level of disaggregation is necessary, entities with a complex and large underlying commodity portfolio necessarily consider derivatives entered into for the reduction of commercial risks related </w:t>
      </w:r>
      <w:r w:rsidRPr="00DB7478">
        <w:rPr>
          <w:i/>
        </w:rPr>
        <w:t>to the portfolio</w:t>
      </w:r>
      <w:r w:rsidRPr="00DB7478">
        <w:t xml:space="preserve"> and the distinction may not </w:t>
      </w:r>
      <w:r w:rsidRPr="00DB7478">
        <w:rPr>
          <w:i/>
        </w:rPr>
        <w:t>always</w:t>
      </w:r>
      <w:r w:rsidRPr="00DB7478">
        <w:t xml:space="preserve"> be identifiable for each single trade.</w:t>
      </w:r>
    </w:p>
    <w:p w:rsidR="00F663CE" w:rsidRPr="00DB7478" w:rsidRDefault="00F663CE" w:rsidP="00F663CE">
      <w:r w:rsidRPr="00DB7478">
        <w:t xml:space="preserve">In general we note that the draft RTS on position limits do not contain definitions that are </w:t>
      </w:r>
      <w:proofErr w:type="gramStart"/>
      <w:r w:rsidRPr="00DB7478">
        <w:t>key</w:t>
      </w:r>
      <w:proofErr w:type="gramEnd"/>
      <w:r w:rsidRPr="00DB7478">
        <w:t xml:space="preserve"> to evaluate the full impact of the rules proposed.</w:t>
      </w:r>
    </w:p>
    <w:permEnd w:id="20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10" w:edGrp="everyone"/>
      <w:r>
        <w:t>TYPE YOUR TEXT HERE</w:t>
      </w:r>
    </w:p>
    <w:permEnd w:id="21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F663CE" w:rsidRPr="00DB7478" w:rsidRDefault="00F663CE" w:rsidP="00F663CE">
      <w:pPr>
        <w:keepNext/>
        <w:rPr>
          <w:lang w:val="en-US"/>
        </w:rPr>
      </w:pPr>
      <w:permStart w:id="211" w:edGrp="everyone"/>
      <w:r w:rsidRPr="00DB7478">
        <w:rPr>
          <w:lang w:val="en-US"/>
        </w:rPr>
        <w:t xml:space="preserve">Yes, partially. </w:t>
      </w:r>
    </w:p>
    <w:p w:rsidR="00F663CE" w:rsidRPr="00DB7478" w:rsidRDefault="00F663CE" w:rsidP="00F663CE">
      <w:pPr>
        <w:keepNext/>
        <w:rPr>
          <w:lang w:val="en-US"/>
        </w:rPr>
      </w:pPr>
      <w:r w:rsidRPr="00DB7478">
        <w:rPr>
          <w:lang w:val="en-US"/>
        </w:rPr>
        <w:t>We support the view that positions of a person should not be aggregate with position of other subsidiaries of a mutual parent. However we disagree that the positions should be aggregated on a whole position basis, they should be rather done on a pro-rata basis otherwise certain positions would be counted twice.</w:t>
      </w:r>
    </w:p>
    <w:permEnd w:id="2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F663CE" w:rsidRDefault="00F663CE" w:rsidP="00F663CE">
      <w:pPr>
        <w:rPr>
          <w:lang w:val="en-US"/>
        </w:rPr>
      </w:pPr>
      <w:permStart w:id="212" w:edGrp="everyone"/>
      <w:r w:rsidRPr="00DB7478">
        <w:rPr>
          <w:lang w:val="en-US"/>
        </w:rPr>
        <w:t>No, we disagree. Positions should be rather aggregate on a pro-rata basis otherwise certain positions would be counted twice</w:t>
      </w:r>
    </w:p>
    <w:permEnd w:id="21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13" w:edGrp="everyone"/>
      <w:r>
        <w:t>TYPE YOUR TEXT HERE</w:t>
      </w:r>
    </w:p>
    <w:permEnd w:id="2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F663CE" w:rsidRDefault="00F663CE" w:rsidP="00F663CE">
      <w:pPr>
        <w:rPr>
          <w:lang w:val="en-US"/>
        </w:rPr>
      </w:pPr>
      <w:permStart w:id="214" w:edGrp="everyone"/>
      <w:r w:rsidRPr="00DB7478">
        <w:rPr>
          <w:lang w:val="en-US"/>
        </w:rPr>
        <w:t>Yes, BDEW agrees. On the practical point of view, we believe that is should be made clear how this equality will be communicated to the market.</w:t>
      </w:r>
    </w:p>
    <w:permEnd w:id="21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15" w:edGrp="everyone"/>
      <w:r>
        <w:t>TYPE YOUR TEXT HERE</w:t>
      </w:r>
    </w:p>
    <w:permEnd w:id="21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16" w:edGrp="everyone"/>
      <w:r>
        <w:t>TYPE YOUR TEXT HERE</w:t>
      </w:r>
    </w:p>
    <w:permEnd w:id="21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F663CE" w:rsidRPr="00DB7478" w:rsidRDefault="00F663CE" w:rsidP="00F663CE">
      <w:pPr>
        <w:keepNext/>
        <w:rPr>
          <w:lang w:val="en-US"/>
        </w:rPr>
      </w:pPr>
      <w:permStart w:id="217" w:edGrp="everyone"/>
      <w:r>
        <w:rPr>
          <w:lang w:val="en-US"/>
        </w:rPr>
        <w:t xml:space="preserve">No, BDEW disagrees. </w:t>
      </w:r>
      <w:r w:rsidRPr="00DB7478">
        <w:rPr>
          <w:lang w:val="en-US"/>
        </w:rPr>
        <w:t>BDEW believes that the proposed procedure is extremely impractical if it has to be applied in all cases and may definitely hinder the ability of managing risks related to the commercial activity. Thirty calendar days for a silent or explicit approval are an infinite time compared with how commodity derivative markets work.</w:t>
      </w:r>
    </w:p>
    <w:permEnd w:id="21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18" w:edGrp="everyone"/>
      <w:r>
        <w:t>TYPE YOUR TEXT HERE</w:t>
      </w:r>
    </w:p>
    <w:permEnd w:id="21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9" w:edGrp="everyone"/>
      <w:r>
        <w:t>TYPE YOUR TEXT HERE</w:t>
      </w:r>
    </w:p>
    <w:permEnd w:id="21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F663CE" w:rsidRPr="00DB7478" w:rsidRDefault="00F663CE" w:rsidP="00F663CE">
      <w:pPr>
        <w:rPr>
          <w:lang w:val="en-US"/>
        </w:rPr>
      </w:pPr>
      <w:permStart w:id="220" w:edGrp="everyone"/>
      <w:r w:rsidRPr="00DB7478">
        <w:rPr>
          <w:lang w:val="en-US"/>
        </w:rPr>
        <w:t xml:space="preserve">BDEW acknowledges that the daily position reports are due by investment firms taking </w:t>
      </w:r>
      <w:proofErr w:type="spellStart"/>
      <w:r w:rsidRPr="00DB7478">
        <w:rPr>
          <w:lang w:val="en-US"/>
        </w:rPr>
        <w:t>posi-tions</w:t>
      </w:r>
      <w:proofErr w:type="spellEnd"/>
      <w:r w:rsidRPr="00DB7478">
        <w:rPr>
          <w:lang w:val="en-US"/>
        </w:rPr>
        <w:t xml:space="preserve"> on their own account or on behalf of clients. </w:t>
      </w:r>
    </w:p>
    <w:p w:rsidR="00F663CE" w:rsidRPr="00DB7478" w:rsidRDefault="00F663CE" w:rsidP="00F663CE">
      <w:pPr>
        <w:rPr>
          <w:lang w:val="en-US"/>
        </w:rPr>
      </w:pPr>
      <w:r w:rsidRPr="00DB7478">
        <w:rPr>
          <w:lang w:val="en-US"/>
        </w:rPr>
        <w:t xml:space="preserve">This will mean that positions of non-financial entities will not be reported. Therefore BDEW wonders how it can be possible for market operators to produce and send the weekly report. </w:t>
      </w:r>
    </w:p>
    <w:p w:rsidR="00F663CE" w:rsidRDefault="00F663CE" w:rsidP="00F663CE">
      <w:pPr>
        <w:rPr>
          <w:lang w:val="en-US"/>
        </w:rPr>
      </w:pPr>
      <w:r w:rsidRPr="00DB7478">
        <w:rPr>
          <w:lang w:val="en-US"/>
        </w:rPr>
        <w:t xml:space="preserve">BDEW suggest that this is tackled via the rulebooks/connections with the platforms in scope of position reporting obligations. However we disagree with the proposal to send to market operators any information related to positions different from the specific Commodity </w:t>
      </w:r>
      <w:proofErr w:type="spellStart"/>
      <w:r w:rsidRPr="00DB7478">
        <w:rPr>
          <w:lang w:val="en-US"/>
        </w:rPr>
        <w:t>Deriva-tive</w:t>
      </w:r>
      <w:proofErr w:type="spellEnd"/>
      <w:r w:rsidRPr="00DB7478">
        <w:rPr>
          <w:lang w:val="en-US"/>
        </w:rPr>
        <w:t xml:space="preserve"> Contract traded on such a venue, even if OTC economically equivalent.</w:t>
      </w:r>
    </w:p>
    <w:permEnd w:id="22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21" w:edGrp="everyone"/>
      <w:r>
        <w:t>TYPE YOUR TEXT HERE</w:t>
      </w:r>
    </w:p>
    <w:permEnd w:id="22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22" w:edGrp="everyone"/>
      <w:r>
        <w:t>TYPE YOUR TEXT HERE</w:t>
      </w:r>
    </w:p>
    <w:permEnd w:id="22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23" w:edGrp="everyone"/>
      <w:r>
        <w:t>TYPE YOUR TEXT HERE</w:t>
      </w:r>
    </w:p>
    <w:permEnd w:id="2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24" w:edGrp="everyone"/>
      <w:r>
        <w:t>TYPE YOUR TEXT HERE</w:t>
      </w:r>
    </w:p>
    <w:permEnd w:id="22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25" w:edGrp="everyone"/>
      <w:r>
        <w:t>TYPE YOUR TEXT HERE</w:t>
      </w:r>
    </w:p>
    <w:permEnd w:id="22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26" w:edGrp="everyone"/>
      <w:r>
        <w:t>TYPE YOUR TEXT HERE</w:t>
      </w:r>
    </w:p>
    <w:permEnd w:id="2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27" w:edGrp="everyone"/>
      <w:r>
        <w:t>TYPE YOUR TEXT HERE</w:t>
      </w:r>
    </w:p>
    <w:permEnd w:id="22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28" w:edGrp="everyone"/>
      <w:r>
        <w:t>TYPE YOUR TEXT HERE</w:t>
      </w:r>
    </w:p>
    <w:permEnd w:id="22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229" w:edGrp="everyone"/>
      <w:r>
        <w:t>TYPE YOUR TEXT HERE</w:t>
      </w:r>
    </w:p>
    <w:permEnd w:id="22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30" w:edGrp="everyone"/>
      <w:r>
        <w:t>TYPE YOUR TEXT HERE</w:t>
      </w:r>
    </w:p>
    <w:permEnd w:id="23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231" w:edGrp="everyone"/>
      <w:r>
        <w:t>TYPE YOUR TEXT HERE</w:t>
      </w:r>
    </w:p>
    <w:permEnd w:id="23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32" w:edGrp="everyone"/>
      <w:r>
        <w:t>TYPE YOUR TEXT HERE</w:t>
      </w:r>
    </w:p>
    <w:permEnd w:id="2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33" w:edGrp="everyone"/>
      <w:r>
        <w:t>TYPE YOUR TEXT HERE</w:t>
      </w:r>
    </w:p>
    <w:permEnd w:id="23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34" w:edGrp="everyone"/>
      <w:r>
        <w:t>TYPE YOUR TEXT HERE</w:t>
      </w:r>
    </w:p>
    <w:permEnd w:id="23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35" w:edGrp="everyone"/>
      <w:r>
        <w:t>TYPE YOUR TEXT HERE</w:t>
      </w:r>
    </w:p>
    <w:permEnd w:id="2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36" w:edGrp="everyone"/>
      <w:r>
        <w:t>TYPE YOUR TEXT HERE</w:t>
      </w:r>
    </w:p>
    <w:permEnd w:id="2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237" w:edGrp="everyone"/>
      <w:r>
        <w:t>TYPE YOUR TEXT HERE</w:t>
      </w:r>
    </w:p>
    <w:permEnd w:id="2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38" w:edGrp="everyone"/>
      <w:r>
        <w:t>TYPE YOUR TEXT HERE</w:t>
      </w:r>
    </w:p>
    <w:permEnd w:id="2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39" w:edGrp="everyone"/>
      <w:r>
        <w:t>TYPE YOUR TEXT HERE</w:t>
      </w:r>
    </w:p>
    <w:permEnd w:id="23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40" w:edGrp="everyone"/>
      <w:r>
        <w:t>TYPE YOUR TEXT HERE</w:t>
      </w:r>
    </w:p>
    <w:permEnd w:id="24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41" w:edGrp="everyone"/>
      <w:r>
        <w:t>TYPE YOUR TEXT HERE</w:t>
      </w:r>
    </w:p>
    <w:permEnd w:id="2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42" w:edGrp="everyone"/>
      <w:r>
        <w:t>TYPE YOUR TEXT HERE</w:t>
      </w:r>
    </w:p>
    <w:permEnd w:id="24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43" w:edGrp="everyone"/>
      <w:r>
        <w:t>TYPE YOUR TEXT HERE</w:t>
      </w:r>
    </w:p>
    <w:permEnd w:id="24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244" w:edGrp="everyone"/>
      <w:r>
        <w:t>TYPE YOUR TEXT HERE</w:t>
      </w:r>
    </w:p>
    <w:permEnd w:id="24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45" w:edGrp="everyone"/>
      <w:r>
        <w:t>TYPE YOUR TEXT HERE</w:t>
      </w:r>
    </w:p>
    <w:permEnd w:id="2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46" w:edGrp="everyone"/>
      <w:r>
        <w:t>TYPE YOUR TEXT HERE</w:t>
      </w:r>
    </w:p>
    <w:permEnd w:id="24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47" w:edGrp="everyone"/>
      <w:r>
        <w:t>TYPE YOUR TEXT HERE</w:t>
      </w:r>
    </w:p>
    <w:permEnd w:id="24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48" w:edGrp="everyone"/>
      <w:r>
        <w:t>TYPE YOUR TEXT HERE</w:t>
      </w:r>
    </w:p>
    <w:permEnd w:id="2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49" w:edGrp="everyone"/>
      <w:r>
        <w:t>TYPE YOUR TEXT HERE</w:t>
      </w:r>
    </w:p>
    <w:permEnd w:id="24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50" w:edGrp="everyone"/>
      <w:r>
        <w:t>TYPE YOUR TEXT HERE</w:t>
      </w:r>
    </w:p>
    <w:permEnd w:id="2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51" w:edGrp="everyone"/>
      <w:r>
        <w:t>TYPE YOUR TEXT HERE</w:t>
      </w:r>
    </w:p>
    <w:permEnd w:id="25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52" w:edGrp="everyone"/>
      <w:r>
        <w:t>TYPE YOUR TEXT HERE</w:t>
      </w:r>
    </w:p>
    <w:permEnd w:id="2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53" w:edGrp="everyone"/>
      <w:r>
        <w:t>TYPE YOUR TEXT HERE</w:t>
      </w:r>
    </w:p>
    <w:permEnd w:id="2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254" w:edGrp="everyone"/>
      <w:r>
        <w:t>TYPE YOUR TEXT HERE</w:t>
      </w:r>
    </w:p>
    <w:permEnd w:id="254"/>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1F5" w:rsidRDefault="00A501F5" w:rsidP="007E7997">
      <w:pPr>
        <w:spacing w:line="240" w:lineRule="auto"/>
      </w:pPr>
      <w:r>
        <w:separator/>
      </w:r>
    </w:p>
  </w:endnote>
  <w:endnote w:type="continuationSeparator" w:id="0">
    <w:p w:rsidR="00A501F5" w:rsidRDefault="00A501F5"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93" w:rsidRDefault="00EC2C93">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EC2C93" w:rsidRDefault="00552261" w:rsidP="00375BA2">
        <w:pPr>
          <w:pStyle w:val="Fuzeile"/>
          <w:jc w:val="right"/>
        </w:pPr>
        <w:r>
          <w:fldChar w:fldCharType="begin"/>
        </w:r>
        <w:r w:rsidR="00EC2C93">
          <w:instrText xml:space="preserve"> PAGE   \* MERGEFORMAT </w:instrText>
        </w:r>
        <w:r>
          <w:fldChar w:fldCharType="separate"/>
        </w:r>
        <w:r w:rsidR="00786985">
          <w:rPr>
            <w:noProof/>
          </w:rPr>
          <w:t>3</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1F5" w:rsidRDefault="00A501F5" w:rsidP="007E7997">
      <w:pPr>
        <w:spacing w:line="240" w:lineRule="auto"/>
      </w:pPr>
      <w:r>
        <w:separator/>
      </w:r>
    </w:p>
  </w:footnote>
  <w:footnote w:type="continuationSeparator" w:id="0">
    <w:p w:rsidR="00A501F5" w:rsidRDefault="00A501F5" w:rsidP="007E7997">
      <w:pPr>
        <w:spacing w:line="240" w:lineRule="auto"/>
      </w:pPr>
      <w:r>
        <w:continuationSeparator/>
      </w:r>
    </w:p>
  </w:footnote>
  <w:footnote w:id="1">
    <w:p w:rsidR="00EC2C93" w:rsidRPr="00AA7A30" w:rsidRDefault="00EC2C93"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93" w:rsidRDefault="00EC2C93">
    <w:pPr>
      <w:pStyle w:val="Kopfzeile"/>
    </w:pPr>
    <w:r>
      <w:rPr>
        <w:noProof/>
        <w:lang w:val="de-DE" w:eastAsia="de-DE"/>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r>
      <w:rPr>
        <w:noProof/>
        <w:lang w:val="de-DE" w:eastAsia="de-DE"/>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93" w:rsidRDefault="00EC2C93" w:rsidP="00B50534">
    <w:pPr>
      <w:pStyle w:val="Kopfzeile"/>
      <w:jc w:val="right"/>
      <w:rPr>
        <w:b/>
        <w:color w:val="FF0000"/>
      </w:rPr>
    </w:pPr>
  </w:p>
  <w:p w:rsidR="00EC2C93" w:rsidRDefault="00552261" w:rsidP="00B50534">
    <w:pPr>
      <w:pStyle w:val="Kopfzeile"/>
      <w:jc w:val="right"/>
      <w:rPr>
        <w:b/>
        <w:color w:val="FF0000"/>
      </w:rPr>
    </w:pPr>
    <w:r w:rsidRPr="00552261">
      <w:rPr>
        <w:rFonts w:ascii="Arial" w:hAnsi="Arial" w:cs="Arial"/>
        <w:noProof/>
        <w:lang w:eastAsia="en-GB"/>
      </w:rPr>
      <w:pict>
        <v:line id="Line 16" o:spid="_x0000_s4097"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EC2C93" w:rsidRPr="00B50534" w:rsidRDefault="00EC2C93"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10E0"/>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265B7"/>
    <w:rsid w:val="00435FE9"/>
    <w:rsid w:val="00445696"/>
    <w:rsid w:val="00455213"/>
    <w:rsid w:val="00484BC5"/>
    <w:rsid w:val="00486D05"/>
    <w:rsid w:val="00487944"/>
    <w:rsid w:val="00526E5D"/>
    <w:rsid w:val="00552261"/>
    <w:rsid w:val="00565193"/>
    <w:rsid w:val="0057799E"/>
    <w:rsid w:val="00577C33"/>
    <w:rsid w:val="0059703C"/>
    <w:rsid w:val="005B26F3"/>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86985"/>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14D"/>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63CE"/>
    <w:rsid w:val="00F67EBD"/>
    <w:rsid w:val="00F80FAB"/>
    <w:rsid w:val="00FB24ED"/>
    <w:rsid w:val="00FE0BD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Anfhrungszeichen">
    <w:name w:val="Quote"/>
    <w:basedOn w:val="Standard"/>
    <w:next w:val="Standard"/>
    <w:link w:val="AnfhrungszeichenZchn"/>
    <w:uiPriority w:val="29"/>
    <w:qFormat/>
    <w:rsid w:val="00AA054E"/>
    <w:pPr>
      <w:spacing w:before="160"/>
      <w:ind w:left="720" w:right="720"/>
    </w:pPr>
    <w:rPr>
      <w:i/>
      <w:iCs/>
      <w:color w:val="404040" w:themeColor="text1" w:themeTint="BF"/>
    </w:rPr>
  </w:style>
  <w:style w:type="character" w:customStyle="1" w:styleId="AnfhrungszeichenZchn">
    <w:name w:val="Anführungszeichen Zchn"/>
    <w:basedOn w:val="Absatz-Standardschriftart"/>
    <w:link w:val="Anfhrungszeichen"/>
    <w:uiPriority w:val="29"/>
    <w:rsid w:val="00AA054E"/>
    <w:rPr>
      <w:i/>
      <w:iCs/>
      <w:color w:val="404040" w:themeColor="text1" w:themeTint="BF"/>
    </w:rPr>
  </w:style>
  <w:style w:type="paragraph" w:styleId="IntensivesAnfhrungszeichen">
    <w:name w:val="Intense Quote"/>
    <w:basedOn w:val="Standard"/>
    <w:next w:val="Standard"/>
    <w:link w:val="IntensivesAnfhrungszeichen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AnfhrungszeichenZchn">
    <w:name w:val="Intensives Anführungszeichen Zchn"/>
    <w:basedOn w:val="Absatz-Standardschriftart"/>
    <w:link w:val="IntensivesAnfhrungszeichen"/>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gitternetz">
    <w:name w:val="Table Grid"/>
    <w:basedOn w:val="NormaleTabelle"/>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F663CE"/>
    <w:pPr>
      <w:autoSpaceDE w:val="0"/>
      <w:autoSpaceDN w:val="0"/>
      <w:adjustRightInd w:val="0"/>
      <w:spacing w:after="0" w:line="240" w:lineRule="auto"/>
    </w:pPr>
    <w:rPr>
      <w:rFonts w:ascii="Arial" w:eastAsiaTheme="minorHAnsi" w:hAnsi="Arial" w:cs="Arial"/>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r="http://schemas.openxmlformats.org/officeDocument/2006/relationships" xmlns:w="http://schemas.openxmlformats.org/wordprocessingml/2006/main">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D052-FA29-42A3-B755-7C1D2520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60</Pages>
  <Words>16938</Words>
  <Characters>106711</Characters>
  <Application>Microsoft Office Word</Application>
  <DocSecurity>8</DocSecurity>
  <Lines>889</Lines>
  <Paragraphs>246</Paragraphs>
  <ScaleCrop>false</ScaleCrop>
  <HeadingPairs>
    <vt:vector size="2" baseType="variant">
      <vt:variant>
        <vt:lpstr>Title</vt:lpstr>
      </vt:variant>
      <vt:variant>
        <vt:i4>1</vt:i4>
      </vt:variant>
    </vt:vector>
  </HeadingPairs>
  <TitlesOfParts>
    <vt:vector size="1" baseType="lpstr">
      <vt:lpstr/>
    </vt:vector>
  </TitlesOfParts>
  <Company>BDEW Bundesverband der Energie- und Wasserwirtschaft</Company>
  <LinksUpToDate>false</LinksUpToDate>
  <CharactersWithSpaces>123403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Jan Willem Lenders</cp:lastModifiedBy>
  <cp:revision>5</cp:revision>
  <dcterms:created xsi:type="dcterms:W3CDTF">2015-03-02T09:58:00Z</dcterms:created>
  <dcterms:modified xsi:type="dcterms:W3CDTF">2015-03-02T11:04:00Z</dcterms:modified>
</cp:coreProperties>
</file>