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8D" w:rsidRDefault="009E288D" w:rsidP="009E288D">
      <w:r>
        <w:t xml:space="preserve">By email to: </w:t>
      </w:r>
      <w:hyperlink r:id="rId9" w:history="1">
        <w:r w:rsidR="005850BF" w:rsidRPr="000D3A0E">
          <w:rPr>
            <w:rStyle w:val="Hyperlink"/>
          </w:rPr>
          <w:t>www.esma.europa.eu</w:t>
        </w:r>
      </w:hyperlink>
      <w:r w:rsidR="005850BF">
        <w:t xml:space="preserve">  Your input/</w:t>
      </w:r>
      <w:r w:rsidR="0088327F">
        <w:t>Consultations</w:t>
      </w:r>
    </w:p>
    <w:p w:rsidR="009E288D" w:rsidRDefault="0088327F" w:rsidP="009E288D">
      <w:r>
        <w:t>27 February 2015</w:t>
      </w:r>
    </w:p>
    <w:p w:rsidR="0088327F" w:rsidRDefault="0088327F" w:rsidP="009E288D"/>
    <w:p w:rsidR="0088327F" w:rsidRDefault="0088327F" w:rsidP="009E288D"/>
    <w:p w:rsidR="009E288D" w:rsidRDefault="009E288D" w:rsidP="009E288D"/>
    <w:p w:rsidR="009E288D" w:rsidRPr="007E1318" w:rsidRDefault="005850BF" w:rsidP="009E288D">
      <w:pPr>
        <w:rPr>
          <w:b/>
        </w:rPr>
      </w:pPr>
      <w:r>
        <w:rPr>
          <w:b/>
        </w:rPr>
        <w:t>Discussion Paper: The Use of Credit Ratings by Financial Intermediaries.  Article 5(a) of the CRA Regulations.</w:t>
      </w:r>
      <w:r w:rsidR="009E288D" w:rsidRPr="007E1318">
        <w:rPr>
          <w:b/>
        </w:rPr>
        <w:t xml:space="preserve"> </w:t>
      </w:r>
    </w:p>
    <w:p w:rsidR="009E288D" w:rsidRDefault="009E288D" w:rsidP="009E288D"/>
    <w:p w:rsidR="009E288D" w:rsidRDefault="005850BF" w:rsidP="009E288D">
      <w:r>
        <w:t>Schroders manages €354.4</w:t>
      </w:r>
      <w:r w:rsidR="009E288D">
        <w:t xml:space="preserve"> billion on behalf of institutional and retail investors, financial institutions and high net worth clients from around the world, invested in a broad range of asset classes across equities, fixed income, multi-asset and alternatives. We are grateful for the opportunity to commen</w:t>
      </w:r>
      <w:r w:rsidR="007C2566">
        <w:t>t on the questions posed to financial intermediaries in the discussion paper.</w:t>
      </w:r>
    </w:p>
    <w:p w:rsidR="0088327F" w:rsidRDefault="0088327F" w:rsidP="009E288D"/>
    <w:p w:rsidR="0088327F" w:rsidRDefault="0088327F" w:rsidP="009E288D">
      <w:r>
        <w:t>Yours faithfully</w:t>
      </w:r>
    </w:p>
    <w:p w:rsidR="0088327F" w:rsidRDefault="0088327F" w:rsidP="009E288D"/>
    <w:p w:rsidR="0088327F" w:rsidRDefault="0088327F" w:rsidP="009E288D"/>
    <w:p w:rsidR="0088327F" w:rsidRDefault="00AA6DAB" w:rsidP="009E288D">
      <w:r>
        <w:rPr>
          <w:rFonts w:cs="Arial"/>
          <w:b/>
          <w:noProof/>
          <w:szCs w:val="22"/>
        </w:rPr>
        <w:drawing>
          <wp:inline distT="0" distB="0" distL="0" distR="0" wp14:anchorId="7B0515A4" wp14:editId="0D1C3083">
            <wp:extent cx="2326430" cy="281337"/>
            <wp:effectExtent l="0" t="0" r="10795" b="0"/>
            <wp:docPr id="2" name="Picture 2" descr="Mac 9:Users:studio9: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9:Users:studio9:Desktop: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430" cy="281337"/>
                    </a:xfrm>
                    <a:prstGeom prst="rect">
                      <a:avLst/>
                    </a:prstGeom>
                    <a:noFill/>
                    <a:ln>
                      <a:noFill/>
                    </a:ln>
                  </pic:spPr>
                </pic:pic>
              </a:graphicData>
            </a:graphic>
          </wp:inline>
        </w:drawing>
      </w:r>
    </w:p>
    <w:p w:rsidR="0088327F" w:rsidRDefault="0088327F" w:rsidP="009E288D"/>
    <w:p w:rsidR="0088327F" w:rsidRDefault="0088327F" w:rsidP="009E288D"/>
    <w:p w:rsidR="0088327F" w:rsidRDefault="0088327F" w:rsidP="009E288D">
      <w:r>
        <w:t>Sheila Nicoll</w:t>
      </w:r>
    </w:p>
    <w:p w:rsidR="0088327F" w:rsidRDefault="0088327F" w:rsidP="009E288D">
      <w:r>
        <w:t>Head of public Policy</w:t>
      </w:r>
    </w:p>
    <w:p w:rsidR="0088327F" w:rsidRDefault="0088327F" w:rsidP="009E288D">
      <w:r>
        <w:br w:type="page"/>
      </w:r>
    </w:p>
    <w:p w:rsidR="007C2566" w:rsidRDefault="007C2566" w:rsidP="007C2566">
      <w:pPr>
        <w:rPr>
          <w:rFonts w:cs="Arial"/>
          <w:b/>
          <w:bCs/>
          <w:sz w:val="20"/>
        </w:rPr>
      </w:pPr>
      <w:r w:rsidRPr="009A006B">
        <w:rPr>
          <w:rFonts w:cs="Arial"/>
          <w:b/>
          <w:bCs/>
          <w:sz w:val="20"/>
        </w:rPr>
        <w:lastRenderedPageBreak/>
        <w:t>Q9. To what extent do your business lines use external ratings? Please specify by activity.</w:t>
      </w:r>
    </w:p>
    <w:p w:rsidR="009A006B" w:rsidRPr="009A006B" w:rsidRDefault="009A006B" w:rsidP="007C2566">
      <w:pPr>
        <w:rPr>
          <w:rFonts w:cs="Arial"/>
          <w:b/>
          <w:bCs/>
        </w:rPr>
      </w:pPr>
    </w:p>
    <w:p w:rsidR="009A006B" w:rsidRPr="009A006B" w:rsidRDefault="009A006B" w:rsidP="009A006B">
      <w:pPr>
        <w:rPr>
          <w:rFonts w:cs="Arial"/>
        </w:rPr>
      </w:pPr>
      <w:r w:rsidRPr="009A006B">
        <w:rPr>
          <w:rFonts w:cs="Arial"/>
        </w:rPr>
        <w:t>External ratings are used in a number of business areas and are currently included in a number of e</w:t>
      </w:r>
      <w:r w:rsidR="0088327F">
        <w:rPr>
          <w:rFonts w:cs="Arial"/>
        </w:rPr>
        <w:t>xternal client facing documents:</w:t>
      </w:r>
    </w:p>
    <w:p w:rsidR="009A006B" w:rsidRPr="009A006B" w:rsidRDefault="009A006B" w:rsidP="009A006B">
      <w:pPr>
        <w:pStyle w:val="ListParagraph"/>
        <w:numPr>
          <w:ilvl w:val="0"/>
          <w:numId w:val="1"/>
        </w:numPr>
        <w:rPr>
          <w:rFonts w:ascii="Arial" w:eastAsia="Gulim" w:hAnsi="Arial" w:cs="Arial"/>
          <w:szCs w:val="20"/>
        </w:rPr>
      </w:pPr>
      <w:r w:rsidRPr="009A006B">
        <w:rPr>
          <w:rFonts w:ascii="Arial" w:eastAsia="Gulim" w:hAnsi="Arial" w:cs="Arial"/>
          <w:szCs w:val="20"/>
        </w:rPr>
        <w:t>Minimum counterparty rating quality for de</w:t>
      </w:r>
      <w:r w:rsidR="007A7627">
        <w:rPr>
          <w:rFonts w:ascii="Arial" w:eastAsia="Gulim" w:hAnsi="Arial" w:cs="Arial"/>
          <w:szCs w:val="20"/>
        </w:rPr>
        <w:t>posits</w:t>
      </w:r>
      <w:r>
        <w:rPr>
          <w:rFonts w:ascii="Arial" w:eastAsia="Gulim" w:hAnsi="Arial" w:cs="Arial"/>
          <w:szCs w:val="20"/>
        </w:rPr>
        <w:t xml:space="preserve"> and term exposure via foreign exchange a</w:t>
      </w:r>
      <w:r w:rsidRPr="009A006B">
        <w:rPr>
          <w:rFonts w:ascii="Arial" w:eastAsia="Gulim" w:hAnsi="Arial" w:cs="Arial"/>
          <w:szCs w:val="20"/>
        </w:rPr>
        <w:t xml:space="preserve">nd other derivatives both for </w:t>
      </w:r>
      <w:r>
        <w:rPr>
          <w:rFonts w:ascii="Arial" w:eastAsia="Gulim" w:hAnsi="Arial" w:cs="Arial"/>
          <w:szCs w:val="20"/>
        </w:rPr>
        <w:t>our investment m</w:t>
      </w:r>
      <w:r w:rsidRPr="009A006B">
        <w:rPr>
          <w:rFonts w:ascii="Arial" w:eastAsia="Gulim" w:hAnsi="Arial" w:cs="Arial"/>
          <w:szCs w:val="20"/>
        </w:rPr>
        <w:t xml:space="preserve">anagement </w:t>
      </w:r>
      <w:r>
        <w:rPr>
          <w:rFonts w:ascii="Arial" w:eastAsia="Gulim" w:hAnsi="Arial" w:cs="Arial"/>
          <w:szCs w:val="20"/>
        </w:rPr>
        <w:t>and wealth management c</w:t>
      </w:r>
      <w:r w:rsidRPr="009A006B">
        <w:rPr>
          <w:rFonts w:ascii="Arial" w:eastAsia="Gulim" w:hAnsi="Arial" w:cs="Arial"/>
          <w:szCs w:val="20"/>
        </w:rPr>
        <w:t>lients.</w:t>
      </w:r>
    </w:p>
    <w:p w:rsidR="009A006B" w:rsidRPr="009A006B" w:rsidRDefault="009A006B" w:rsidP="009A006B">
      <w:pPr>
        <w:pStyle w:val="ListParagraph"/>
        <w:numPr>
          <w:ilvl w:val="0"/>
          <w:numId w:val="1"/>
        </w:numPr>
        <w:rPr>
          <w:rFonts w:ascii="Arial" w:eastAsia="Gulim" w:hAnsi="Arial" w:cs="Arial"/>
          <w:szCs w:val="20"/>
        </w:rPr>
      </w:pPr>
      <w:r>
        <w:rPr>
          <w:rFonts w:ascii="Arial" w:eastAsia="Gulim" w:hAnsi="Arial" w:cs="Arial"/>
          <w:szCs w:val="20"/>
        </w:rPr>
        <w:t xml:space="preserve">Within </w:t>
      </w:r>
      <w:r w:rsidRPr="009A006B">
        <w:rPr>
          <w:rFonts w:ascii="Arial" w:eastAsia="Gulim" w:hAnsi="Arial" w:cs="Arial"/>
          <w:szCs w:val="20"/>
        </w:rPr>
        <w:t>ISDA/</w:t>
      </w:r>
      <w:r w:rsidR="00F07EFF">
        <w:rPr>
          <w:rFonts w:ascii="Arial" w:eastAsia="Gulim" w:hAnsi="Arial" w:cs="Arial"/>
          <w:szCs w:val="20"/>
        </w:rPr>
        <w:t xml:space="preserve"> Credit Support Annex (</w:t>
      </w:r>
      <w:r w:rsidRPr="009A006B">
        <w:rPr>
          <w:rFonts w:ascii="Arial" w:eastAsia="Gulim" w:hAnsi="Arial" w:cs="Arial"/>
          <w:szCs w:val="20"/>
        </w:rPr>
        <w:t>CSA</w:t>
      </w:r>
      <w:r w:rsidR="00F07EFF">
        <w:rPr>
          <w:rFonts w:ascii="Arial" w:eastAsia="Gulim" w:hAnsi="Arial" w:cs="Arial"/>
          <w:szCs w:val="20"/>
        </w:rPr>
        <w:t>)</w:t>
      </w:r>
      <w:r w:rsidRPr="009A006B">
        <w:rPr>
          <w:rFonts w:ascii="Arial" w:eastAsia="Gulim" w:hAnsi="Arial" w:cs="Arial"/>
          <w:szCs w:val="20"/>
        </w:rPr>
        <w:t xml:space="preserve"> documentation</w:t>
      </w:r>
      <w:r w:rsidR="007A7627">
        <w:rPr>
          <w:rFonts w:ascii="Arial" w:eastAsia="Gulim" w:hAnsi="Arial" w:cs="Arial"/>
          <w:szCs w:val="20"/>
        </w:rPr>
        <w:t xml:space="preserve"> when we enter into derivative transactions.</w:t>
      </w:r>
    </w:p>
    <w:p w:rsidR="009A006B" w:rsidRDefault="009A006B" w:rsidP="009A006B">
      <w:pPr>
        <w:pStyle w:val="ListParagraph"/>
        <w:numPr>
          <w:ilvl w:val="0"/>
          <w:numId w:val="1"/>
        </w:numPr>
        <w:rPr>
          <w:rFonts w:ascii="Arial" w:eastAsia="Gulim" w:hAnsi="Arial" w:cs="Arial"/>
          <w:szCs w:val="20"/>
        </w:rPr>
      </w:pPr>
      <w:r>
        <w:rPr>
          <w:rFonts w:ascii="Arial" w:eastAsia="Gulim" w:hAnsi="Arial" w:cs="Arial"/>
          <w:szCs w:val="20"/>
        </w:rPr>
        <w:t xml:space="preserve">Within investment management agreements </w:t>
      </w:r>
      <w:r w:rsidRPr="009A006B">
        <w:rPr>
          <w:rFonts w:ascii="Arial" w:eastAsia="Gulim" w:hAnsi="Arial" w:cs="Arial"/>
          <w:szCs w:val="20"/>
        </w:rPr>
        <w:t>from clients and again referring to minimum counterparty ratings</w:t>
      </w:r>
      <w:r w:rsidR="0088327F">
        <w:rPr>
          <w:rFonts w:ascii="Arial" w:eastAsia="Gulim" w:hAnsi="Arial" w:cs="Arial"/>
          <w:szCs w:val="20"/>
        </w:rPr>
        <w:t>.</w:t>
      </w:r>
    </w:p>
    <w:p w:rsidR="007C2566" w:rsidRPr="00EC7363" w:rsidRDefault="007C2566" w:rsidP="00EC7363">
      <w:pPr>
        <w:rPr>
          <w:rFonts w:eastAsia="Gulim" w:cs="Arial"/>
        </w:rPr>
      </w:pPr>
    </w:p>
    <w:p w:rsidR="007C2566" w:rsidRPr="009A006B" w:rsidRDefault="007C2566" w:rsidP="007C2566">
      <w:pPr>
        <w:rPr>
          <w:rFonts w:cs="Arial"/>
          <w:b/>
          <w:bCs/>
          <w:sz w:val="20"/>
        </w:rPr>
      </w:pPr>
      <w:r w:rsidRPr="009A006B">
        <w:rPr>
          <w:rFonts w:cs="Arial"/>
          <w:b/>
          <w:bCs/>
          <w:sz w:val="20"/>
        </w:rPr>
        <w:t>Q9 i) What are the main reasons to use external ratings in contractual agreements?</w:t>
      </w:r>
    </w:p>
    <w:p w:rsidR="00EC7363" w:rsidRDefault="00EC7363" w:rsidP="00EE7C31">
      <w:pPr>
        <w:rPr>
          <w:szCs w:val="22"/>
        </w:rPr>
      </w:pPr>
    </w:p>
    <w:p w:rsidR="009A006B" w:rsidRDefault="009A006B" w:rsidP="00EE7C31">
      <w:pPr>
        <w:rPr>
          <w:rFonts w:cs="Arial"/>
          <w:szCs w:val="22"/>
        </w:rPr>
      </w:pPr>
      <w:r w:rsidRPr="00EE7C31">
        <w:rPr>
          <w:szCs w:val="22"/>
        </w:rPr>
        <w:t>The</w:t>
      </w:r>
      <w:r w:rsidR="00EE7C31" w:rsidRPr="00EE7C31">
        <w:rPr>
          <w:szCs w:val="22"/>
        </w:rPr>
        <w:t xml:space="preserve"> main reasons they</w:t>
      </w:r>
      <w:r w:rsidRPr="00EE7C31">
        <w:rPr>
          <w:szCs w:val="22"/>
        </w:rPr>
        <w:t xml:space="preserve"> are used </w:t>
      </w:r>
      <w:r w:rsidR="00EE7C31">
        <w:rPr>
          <w:szCs w:val="22"/>
        </w:rPr>
        <w:t xml:space="preserve">within </w:t>
      </w:r>
      <w:r w:rsidRPr="00EE7C31">
        <w:rPr>
          <w:szCs w:val="22"/>
        </w:rPr>
        <w:t>ISDA/CSA</w:t>
      </w:r>
      <w:r w:rsidR="00EE7C31" w:rsidRPr="00EE7C31">
        <w:rPr>
          <w:szCs w:val="22"/>
        </w:rPr>
        <w:t xml:space="preserve"> are so that there is an ability</w:t>
      </w:r>
      <w:r w:rsidRPr="00EE7C31">
        <w:rPr>
          <w:rFonts w:cs="Arial"/>
          <w:szCs w:val="22"/>
        </w:rPr>
        <w:t xml:space="preserve"> to terminate </w:t>
      </w:r>
      <w:r w:rsidR="00EE7C31">
        <w:rPr>
          <w:rFonts w:cs="Arial"/>
          <w:szCs w:val="22"/>
        </w:rPr>
        <w:t xml:space="preserve">any </w:t>
      </w:r>
      <w:r w:rsidRPr="00EE7C31">
        <w:rPr>
          <w:rFonts w:cs="Arial"/>
          <w:szCs w:val="22"/>
        </w:rPr>
        <w:t xml:space="preserve">outstanding transactions if the counterparty falls below an agreed independent credit quality </w:t>
      </w:r>
      <w:r w:rsidR="00EE7C31">
        <w:rPr>
          <w:rFonts w:cs="Arial"/>
          <w:szCs w:val="22"/>
        </w:rPr>
        <w:t>(</w:t>
      </w:r>
      <w:r w:rsidRPr="00EE7C31">
        <w:rPr>
          <w:rFonts w:cs="Arial"/>
          <w:szCs w:val="22"/>
        </w:rPr>
        <w:t>i.e. rating</w:t>
      </w:r>
      <w:r w:rsidR="00EE7C31">
        <w:rPr>
          <w:rFonts w:cs="Arial"/>
          <w:szCs w:val="22"/>
        </w:rPr>
        <w:t>)</w:t>
      </w:r>
      <w:r w:rsidR="00EE7C31" w:rsidRPr="00EE7C31">
        <w:rPr>
          <w:rFonts w:cs="Arial"/>
          <w:szCs w:val="22"/>
        </w:rPr>
        <w:t xml:space="preserve"> and</w:t>
      </w:r>
      <w:r w:rsidRPr="00EE7C31">
        <w:rPr>
          <w:rFonts w:cs="Arial"/>
          <w:szCs w:val="22"/>
        </w:rPr>
        <w:t xml:space="preserve"> to set minimum collateral standards that can be set independent</w:t>
      </w:r>
      <w:r w:rsidR="00EE7C31">
        <w:rPr>
          <w:rFonts w:cs="Arial"/>
          <w:szCs w:val="22"/>
        </w:rPr>
        <w:t>ly</w:t>
      </w:r>
      <w:r w:rsidRPr="00EE7C31">
        <w:rPr>
          <w:rFonts w:cs="Arial"/>
          <w:szCs w:val="22"/>
        </w:rPr>
        <w:t xml:space="preserve"> of the provider or receiver</w:t>
      </w:r>
      <w:r w:rsidR="00EE7C31">
        <w:rPr>
          <w:rFonts w:cs="Arial"/>
          <w:szCs w:val="22"/>
        </w:rPr>
        <w:t>.</w:t>
      </w:r>
    </w:p>
    <w:p w:rsidR="00EC7363" w:rsidRDefault="00EC7363" w:rsidP="00EE7C31">
      <w:pPr>
        <w:rPr>
          <w:rFonts w:cs="Arial"/>
          <w:szCs w:val="22"/>
        </w:rPr>
      </w:pPr>
    </w:p>
    <w:p w:rsidR="007C2566" w:rsidRDefault="007C2566" w:rsidP="007C2566">
      <w:pPr>
        <w:rPr>
          <w:rFonts w:cs="Arial"/>
          <w:b/>
          <w:bCs/>
          <w:sz w:val="20"/>
        </w:rPr>
      </w:pPr>
      <w:r w:rsidRPr="009A006B">
        <w:rPr>
          <w:rFonts w:cs="Arial"/>
          <w:b/>
          <w:bCs/>
          <w:sz w:val="20"/>
        </w:rPr>
        <w:t>Q9 ii) Are there elements in your contractual agreements that limit or mitigate the risk of sole and mechanistic reliance on external ratings?</w:t>
      </w:r>
    </w:p>
    <w:p w:rsidR="00EE7C31" w:rsidRPr="00EE7C31" w:rsidRDefault="00EE7C31" w:rsidP="007C2566">
      <w:pPr>
        <w:rPr>
          <w:rFonts w:cs="Arial"/>
          <w:bCs/>
          <w:szCs w:val="22"/>
        </w:rPr>
      </w:pPr>
    </w:p>
    <w:p w:rsidR="00EE7C31" w:rsidRPr="00EE7C31" w:rsidRDefault="00EE7C31" w:rsidP="007C2566">
      <w:pPr>
        <w:rPr>
          <w:rFonts w:cs="Arial"/>
          <w:bCs/>
          <w:szCs w:val="22"/>
        </w:rPr>
      </w:pPr>
      <w:r w:rsidRPr="00EE7C31">
        <w:rPr>
          <w:rFonts w:cs="Arial"/>
          <w:szCs w:val="22"/>
        </w:rPr>
        <w:t>Whilst we can cease trading with a particular counterparty based on internal assessments before there is a</w:t>
      </w:r>
      <w:r w:rsidR="00BC22B9">
        <w:rPr>
          <w:rFonts w:cs="Arial"/>
          <w:szCs w:val="22"/>
        </w:rPr>
        <w:t>ny ratings action most ISDA/CSA</w:t>
      </w:r>
      <w:r w:rsidRPr="00EE7C31">
        <w:rPr>
          <w:rFonts w:cs="Arial"/>
          <w:szCs w:val="22"/>
        </w:rPr>
        <w:t xml:space="preserve"> </w:t>
      </w:r>
      <w:r>
        <w:rPr>
          <w:rFonts w:cs="Arial"/>
          <w:szCs w:val="22"/>
        </w:rPr>
        <w:t>documentation relies on external ratings</w:t>
      </w:r>
      <w:r w:rsidRPr="00EE7C31">
        <w:rPr>
          <w:rFonts w:cs="Arial"/>
          <w:szCs w:val="22"/>
        </w:rPr>
        <w:t xml:space="preserve"> as one of the triggers to terminate contracts.</w:t>
      </w:r>
    </w:p>
    <w:p w:rsidR="007C2566" w:rsidRPr="00EE7C31" w:rsidRDefault="007C2566" w:rsidP="007C2566">
      <w:pPr>
        <w:rPr>
          <w:rFonts w:cs="Arial"/>
          <w:bCs/>
          <w:szCs w:val="22"/>
        </w:rPr>
      </w:pPr>
    </w:p>
    <w:p w:rsidR="007C2566" w:rsidRPr="009A006B" w:rsidRDefault="007C2566" w:rsidP="007C2566">
      <w:pPr>
        <w:rPr>
          <w:rFonts w:cs="Arial"/>
          <w:b/>
          <w:bCs/>
          <w:sz w:val="20"/>
        </w:rPr>
      </w:pPr>
      <w:r w:rsidRPr="009A006B">
        <w:rPr>
          <w:rFonts w:cs="Arial"/>
          <w:b/>
          <w:bCs/>
          <w:sz w:val="20"/>
        </w:rPr>
        <w:t>Q10. What in your view are the main advantages or disadvantages of using external ratings?</w:t>
      </w:r>
    </w:p>
    <w:p w:rsidR="00EC7363" w:rsidRDefault="00EC7363" w:rsidP="00EE7C31">
      <w:pPr>
        <w:rPr>
          <w:rFonts w:cs="Arial"/>
          <w:szCs w:val="22"/>
        </w:rPr>
      </w:pPr>
    </w:p>
    <w:p w:rsidR="00EE7C31" w:rsidRPr="00EE7C31" w:rsidRDefault="00BC22B9" w:rsidP="00EE7C31">
      <w:pPr>
        <w:rPr>
          <w:rFonts w:cs="Arial"/>
          <w:szCs w:val="22"/>
        </w:rPr>
      </w:pPr>
      <w:r>
        <w:rPr>
          <w:rFonts w:cs="Arial"/>
          <w:szCs w:val="22"/>
        </w:rPr>
        <w:t>An</w:t>
      </w:r>
      <w:r w:rsidR="00EE7C31">
        <w:rPr>
          <w:rFonts w:cs="Arial"/>
          <w:szCs w:val="22"/>
        </w:rPr>
        <w:t xml:space="preserve"> advantage</w:t>
      </w:r>
      <w:r>
        <w:rPr>
          <w:rFonts w:cs="Arial"/>
          <w:szCs w:val="22"/>
        </w:rPr>
        <w:t xml:space="preserve"> of using external ratings for our clients is </w:t>
      </w:r>
      <w:r w:rsidR="00EE7C31" w:rsidRPr="00EE7C31">
        <w:rPr>
          <w:rFonts w:cs="Arial"/>
          <w:szCs w:val="22"/>
        </w:rPr>
        <w:t xml:space="preserve">that </w:t>
      </w:r>
      <w:r>
        <w:rPr>
          <w:rFonts w:cs="Arial"/>
          <w:szCs w:val="22"/>
        </w:rPr>
        <w:t>they</w:t>
      </w:r>
      <w:r w:rsidR="00EE7C31" w:rsidRPr="00EE7C31">
        <w:rPr>
          <w:rFonts w:cs="Arial"/>
          <w:szCs w:val="22"/>
        </w:rPr>
        <w:t xml:space="preserve"> are a benchmark that clients can understand </w:t>
      </w:r>
      <w:r w:rsidR="00EE7C31">
        <w:rPr>
          <w:rFonts w:cs="Arial"/>
          <w:szCs w:val="22"/>
        </w:rPr>
        <w:t>when</w:t>
      </w:r>
      <w:r w:rsidR="00EE7C31" w:rsidRPr="00EE7C31">
        <w:rPr>
          <w:rFonts w:cs="Arial"/>
          <w:szCs w:val="22"/>
        </w:rPr>
        <w:t xml:space="preserve"> comparing </w:t>
      </w:r>
      <w:proofErr w:type="gramStart"/>
      <w:r w:rsidR="00EE7C31" w:rsidRPr="00EE7C31">
        <w:rPr>
          <w:rFonts w:cs="Arial"/>
          <w:szCs w:val="22"/>
        </w:rPr>
        <w:t>one cou</w:t>
      </w:r>
      <w:r w:rsidR="00C65B8D">
        <w:rPr>
          <w:rFonts w:cs="Arial"/>
          <w:szCs w:val="22"/>
        </w:rPr>
        <w:t>nterparty</w:t>
      </w:r>
      <w:proofErr w:type="gramEnd"/>
      <w:r w:rsidR="00C65B8D">
        <w:rPr>
          <w:rFonts w:cs="Arial"/>
          <w:szCs w:val="22"/>
        </w:rPr>
        <w:t xml:space="preserve"> with another and while</w:t>
      </w:r>
      <w:r w:rsidR="00EE7C31" w:rsidRPr="00EE7C31">
        <w:rPr>
          <w:rFonts w:cs="Arial"/>
          <w:szCs w:val="22"/>
        </w:rPr>
        <w:t xml:space="preserve"> they may not understand the ratings methodologies they do use them as a standard benchmark.</w:t>
      </w:r>
    </w:p>
    <w:p w:rsidR="00EE7C31" w:rsidRPr="00EE7C31" w:rsidRDefault="00EE7C31" w:rsidP="00EE7C31">
      <w:pPr>
        <w:rPr>
          <w:rFonts w:cs="Arial"/>
          <w:szCs w:val="22"/>
        </w:rPr>
      </w:pPr>
    </w:p>
    <w:p w:rsidR="00EE7C31" w:rsidRDefault="0088327F" w:rsidP="00EE7C31">
      <w:pPr>
        <w:rPr>
          <w:rFonts w:cs="Arial"/>
          <w:szCs w:val="22"/>
        </w:rPr>
      </w:pPr>
      <w:r>
        <w:rPr>
          <w:rFonts w:cs="Arial"/>
          <w:szCs w:val="22"/>
        </w:rPr>
        <w:t xml:space="preserve">A </w:t>
      </w:r>
      <w:r w:rsidR="00BC22B9">
        <w:rPr>
          <w:rFonts w:cs="Arial"/>
          <w:szCs w:val="22"/>
        </w:rPr>
        <w:t>disadvantage in relation to bank ratings is that</w:t>
      </w:r>
      <w:r w:rsidR="00EE7C31" w:rsidRPr="00EE7C31">
        <w:rPr>
          <w:rFonts w:cs="Arial"/>
          <w:szCs w:val="22"/>
        </w:rPr>
        <w:t xml:space="preserve"> there is little apparent differentiation between a G-SIFI rated ‘A’ and a </w:t>
      </w:r>
      <w:bookmarkStart w:id="0" w:name="_GoBack"/>
      <w:bookmarkEnd w:id="0"/>
      <w:r w:rsidR="00EE7C31" w:rsidRPr="00EE7C31">
        <w:rPr>
          <w:rFonts w:cs="Arial"/>
          <w:szCs w:val="22"/>
        </w:rPr>
        <w:t>small regional bank also rated ‘A’</w:t>
      </w:r>
      <w:r w:rsidR="00C65B8D">
        <w:rPr>
          <w:rFonts w:cs="Arial"/>
          <w:szCs w:val="22"/>
        </w:rPr>
        <w:t>. T</w:t>
      </w:r>
      <w:r w:rsidR="00EE7C31" w:rsidRPr="00EE7C31">
        <w:rPr>
          <w:rFonts w:cs="Arial"/>
          <w:szCs w:val="22"/>
        </w:rPr>
        <w:t>he level of su</w:t>
      </w:r>
      <w:r w:rsidR="00034407">
        <w:rPr>
          <w:rFonts w:cs="Arial"/>
          <w:szCs w:val="22"/>
        </w:rPr>
        <w:t>pport (via its investor base) and their supervision (i.e. being subject to national regulatory regimes compared to ECB</w:t>
      </w:r>
      <w:r w:rsidR="00F07EFF">
        <w:rPr>
          <w:rFonts w:cs="Arial"/>
          <w:szCs w:val="22"/>
        </w:rPr>
        <w:t xml:space="preserve"> oversight</w:t>
      </w:r>
      <w:r w:rsidR="00C65B8D">
        <w:rPr>
          <w:rFonts w:cs="Arial"/>
          <w:szCs w:val="22"/>
        </w:rPr>
        <w:t>)</w:t>
      </w:r>
      <w:r w:rsidR="00EE7C31" w:rsidRPr="00EE7C31">
        <w:rPr>
          <w:rFonts w:cs="Arial"/>
          <w:szCs w:val="22"/>
        </w:rPr>
        <w:t xml:space="preserve"> will be totally different.</w:t>
      </w:r>
      <w:r>
        <w:rPr>
          <w:rFonts w:cs="Arial"/>
          <w:szCs w:val="22"/>
        </w:rPr>
        <w:t xml:space="preserve">  See also our answer to question 11 below.</w:t>
      </w:r>
    </w:p>
    <w:p w:rsidR="00EC7363" w:rsidRPr="00EE7C31" w:rsidRDefault="00EC7363" w:rsidP="00EE7C31">
      <w:pPr>
        <w:rPr>
          <w:rFonts w:cs="Arial"/>
          <w:szCs w:val="22"/>
        </w:rPr>
      </w:pPr>
    </w:p>
    <w:p w:rsidR="007C2566" w:rsidRDefault="007C2566" w:rsidP="007C2566">
      <w:pPr>
        <w:rPr>
          <w:rFonts w:cs="Arial"/>
          <w:b/>
          <w:bCs/>
          <w:sz w:val="20"/>
        </w:rPr>
      </w:pPr>
      <w:r w:rsidRPr="009A006B">
        <w:rPr>
          <w:rFonts w:cs="Arial"/>
          <w:b/>
          <w:bCs/>
          <w:sz w:val="20"/>
        </w:rPr>
        <w:t xml:space="preserve">Q.11 Do you conduct any analysis of the underlying methodologies of the ratings you rely on? If so what in your view are the strengths and weaknesses of the methodology? </w:t>
      </w:r>
    </w:p>
    <w:p w:rsidR="00EC7363" w:rsidRDefault="00EC7363" w:rsidP="001757F0">
      <w:pPr>
        <w:rPr>
          <w:rFonts w:cs="Arial"/>
          <w:szCs w:val="22"/>
        </w:rPr>
      </w:pPr>
    </w:p>
    <w:p w:rsidR="001757F0" w:rsidRDefault="001757F0" w:rsidP="001757F0">
      <w:pPr>
        <w:rPr>
          <w:rFonts w:cs="Arial"/>
          <w:szCs w:val="22"/>
        </w:rPr>
      </w:pPr>
      <w:r w:rsidRPr="00EC7363">
        <w:rPr>
          <w:rFonts w:cs="Arial"/>
          <w:szCs w:val="22"/>
        </w:rPr>
        <w:t xml:space="preserve">Yes, we review the underlying methodologies published by the 3 main agencies, and </w:t>
      </w:r>
      <w:proofErr w:type="gramStart"/>
      <w:r w:rsidRPr="00EC7363">
        <w:rPr>
          <w:rFonts w:cs="Arial"/>
          <w:szCs w:val="22"/>
        </w:rPr>
        <w:t>a strength</w:t>
      </w:r>
      <w:proofErr w:type="gramEnd"/>
      <w:r w:rsidRPr="00EC7363">
        <w:rPr>
          <w:rFonts w:cs="Arial"/>
          <w:szCs w:val="22"/>
        </w:rPr>
        <w:t xml:space="preserve"> is that the rating reviews are usually comprehensive for most banks and especially the many trading and holding entities. </w:t>
      </w:r>
    </w:p>
    <w:p w:rsidR="00CF480D" w:rsidRPr="00EC7363" w:rsidRDefault="00CF480D" w:rsidP="001757F0">
      <w:pPr>
        <w:rPr>
          <w:rFonts w:cs="Arial"/>
          <w:szCs w:val="22"/>
        </w:rPr>
      </w:pPr>
    </w:p>
    <w:p w:rsidR="001757F0" w:rsidRPr="00EC7363" w:rsidRDefault="001757F0" w:rsidP="001757F0">
      <w:pPr>
        <w:rPr>
          <w:rFonts w:cs="Arial"/>
          <w:szCs w:val="22"/>
        </w:rPr>
      </w:pPr>
      <w:r w:rsidRPr="00EC7363">
        <w:rPr>
          <w:rFonts w:cs="Arial"/>
          <w:szCs w:val="22"/>
        </w:rPr>
        <w:t>We consider a weakness to be in terms of</w:t>
      </w:r>
      <w:r w:rsidR="00874A9F" w:rsidRPr="00EC7363">
        <w:rPr>
          <w:rFonts w:cs="Arial"/>
          <w:szCs w:val="22"/>
        </w:rPr>
        <w:t xml:space="preserve"> the reviews of</w:t>
      </w:r>
      <w:r w:rsidRPr="00EC7363">
        <w:rPr>
          <w:rFonts w:cs="Arial"/>
          <w:szCs w:val="22"/>
        </w:rPr>
        <w:t xml:space="preserve"> bank subsidiaries and whether the rating they hold is based in the parent entity or on a completely unsupported basis.  </w:t>
      </w:r>
      <w:r w:rsidR="00CF480D">
        <w:rPr>
          <w:rFonts w:cs="Arial"/>
          <w:szCs w:val="22"/>
        </w:rPr>
        <w:t xml:space="preserve"> </w:t>
      </w:r>
      <w:r w:rsidRPr="00EC7363">
        <w:rPr>
          <w:rFonts w:cs="Arial"/>
          <w:szCs w:val="22"/>
        </w:rPr>
        <w:t>Furthermore</w:t>
      </w:r>
      <w:r w:rsidR="00874A9F" w:rsidRPr="00EC7363">
        <w:rPr>
          <w:rFonts w:cs="Arial"/>
          <w:szCs w:val="22"/>
        </w:rPr>
        <w:t xml:space="preserve">, and in terms of our investment management process, we are wary of the methodologies used particularly in the area of subordinated debt issued by both financials and non-financials. We consider them potentially unstable and prone to revision and we are very sensitive to methodologies that follow their own logic and ignore economic realities.  </w:t>
      </w:r>
      <w:r w:rsidR="00EC7363" w:rsidRPr="00EC7363">
        <w:rPr>
          <w:rFonts w:cs="Arial"/>
          <w:szCs w:val="22"/>
        </w:rPr>
        <w:t>So w</w:t>
      </w:r>
      <w:r w:rsidRPr="00EC7363">
        <w:rPr>
          <w:rFonts w:cs="Arial"/>
          <w:szCs w:val="22"/>
        </w:rPr>
        <w:t>e never rely on a rating agency methodology that doesn’t appear intuitively robust to our teams</w:t>
      </w:r>
      <w:r w:rsidRPr="00EC7363">
        <w:rPr>
          <w:rFonts w:cs="Arial"/>
          <w:szCs w:val="22"/>
          <w:lang w:val="en-US"/>
        </w:rPr>
        <w:t>.</w:t>
      </w:r>
    </w:p>
    <w:p w:rsidR="001757F0" w:rsidRPr="00EC7363" w:rsidRDefault="001757F0" w:rsidP="001757F0">
      <w:pPr>
        <w:rPr>
          <w:rFonts w:cs="Arial"/>
          <w:szCs w:val="22"/>
        </w:rPr>
      </w:pPr>
    </w:p>
    <w:p w:rsidR="007C2566" w:rsidRPr="009A006B" w:rsidRDefault="007C2566" w:rsidP="007C2566">
      <w:pPr>
        <w:rPr>
          <w:rFonts w:cs="Arial"/>
          <w:b/>
          <w:bCs/>
          <w:sz w:val="20"/>
        </w:rPr>
      </w:pPr>
      <w:r w:rsidRPr="009A006B">
        <w:rPr>
          <w:rFonts w:cs="Arial"/>
          <w:b/>
          <w:bCs/>
          <w:sz w:val="20"/>
        </w:rPr>
        <w:t>Q12. Can you provide examples of past experience where external credit ratings provided an inaccurate credit worthiness assessment? If so, what actions were taken in response to mitigate similar occurrences?</w:t>
      </w:r>
    </w:p>
    <w:p w:rsidR="007C2566" w:rsidRPr="00F20543" w:rsidRDefault="007C2566" w:rsidP="007C2566">
      <w:pPr>
        <w:rPr>
          <w:rFonts w:cs="Arial"/>
          <w:bCs/>
          <w:szCs w:val="22"/>
        </w:rPr>
      </w:pPr>
    </w:p>
    <w:p w:rsidR="00EC7363" w:rsidRPr="00F20543" w:rsidRDefault="00F20543" w:rsidP="007C2566">
      <w:pPr>
        <w:rPr>
          <w:rFonts w:cs="Arial"/>
          <w:bCs/>
          <w:szCs w:val="22"/>
        </w:rPr>
      </w:pPr>
      <w:r w:rsidRPr="00F20543">
        <w:rPr>
          <w:rFonts w:cs="Arial"/>
          <w:bCs/>
          <w:szCs w:val="22"/>
        </w:rPr>
        <w:t xml:space="preserve">Historically a prime example would be Icelandic Triple ‘A’ rated </w:t>
      </w:r>
      <w:r>
        <w:rPr>
          <w:rFonts w:cs="Arial"/>
          <w:bCs/>
          <w:szCs w:val="22"/>
        </w:rPr>
        <w:t xml:space="preserve">Icelandic </w:t>
      </w:r>
      <w:r w:rsidRPr="00F20543">
        <w:rPr>
          <w:rFonts w:cs="Arial"/>
          <w:bCs/>
          <w:szCs w:val="22"/>
        </w:rPr>
        <w:t>banks.</w:t>
      </w:r>
      <w:r w:rsidR="001D73DB">
        <w:rPr>
          <w:rFonts w:cs="Arial"/>
          <w:bCs/>
          <w:szCs w:val="22"/>
        </w:rPr>
        <w:t xml:space="preserve">  In terms of actions we would refer you to our answer to question </w:t>
      </w:r>
      <w:r w:rsidR="003D117E">
        <w:rPr>
          <w:rFonts w:cs="Arial"/>
          <w:bCs/>
          <w:szCs w:val="22"/>
        </w:rPr>
        <w:t>11.</w:t>
      </w:r>
    </w:p>
    <w:p w:rsidR="00EC7363" w:rsidRPr="00F20543" w:rsidRDefault="00EC7363" w:rsidP="007C2566">
      <w:pPr>
        <w:rPr>
          <w:rFonts w:cs="Arial"/>
          <w:bCs/>
          <w:szCs w:val="22"/>
        </w:rPr>
      </w:pPr>
    </w:p>
    <w:p w:rsidR="003D117E" w:rsidRPr="009A006B" w:rsidRDefault="007C2566" w:rsidP="007C2566">
      <w:pPr>
        <w:rPr>
          <w:rFonts w:cs="Arial"/>
          <w:b/>
          <w:bCs/>
          <w:sz w:val="20"/>
        </w:rPr>
      </w:pPr>
      <w:r w:rsidRPr="009A006B">
        <w:rPr>
          <w:rFonts w:cs="Arial"/>
          <w:b/>
          <w:bCs/>
          <w:sz w:val="20"/>
        </w:rPr>
        <w:lastRenderedPageBreak/>
        <w:t>Q13. What internal risk analyses do you currently employ? What business lines are these employed in? To what extent do they utilise external ratings? What are the main advantages of these internal analyses?</w:t>
      </w:r>
    </w:p>
    <w:p w:rsidR="003D117E" w:rsidRDefault="003D117E" w:rsidP="007C2566">
      <w:pPr>
        <w:rPr>
          <w:rFonts w:cs="Arial"/>
          <w:bCs/>
          <w:szCs w:val="22"/>
        </w:rPr>
      </w:pPr>
    </w:p>
    <w:p w:rsidR="007C2566" w:rsidRDefault="003D117E" w:rsidP="007C2566">
      <w:pPr>
        <w:rPr>
          <w:rFonts w:cs="Arial"/>
          <w:bCs/>
          <w:szCs w:val="22"/>
        </w:rPr>
      </w:pPr>
      <w:r>
        <w:rPr>
          <w:rFonts w:cs="Arial"/>
          <w:bCs/>
          <w:szCs w:val="22"/>
        </w:rPr>
        <w:t xml:space="preserve">Our assessment of corporate and sovereign credit risk is based on independent research, examining both the business and financial risk of each company using internal and open-source data.  Public credit ratings are used as a sense check and provide a </w:t>
      </w:r>
      <w:r w:rsidRPr="001D73DB">
        <w:rPr>
          <w:rFonts w:cs="Arial"/>
          <w:bCs/>
          <w:szCs w:val="22"/>
        </w:rPr>
        <w:t>valuable piece of market information</w:t>
      </w:r>
      <w:r>
        <w:rPr>
          <w:rFonts w:cs="Arial"/>
          <w:bCs/>
          <w:szCs w:val="22"/>
        </w:rPr>
        <w:t xml:space="preserve"> but</w:t>
      </w:r>
      <w:r w:rsidR="003C11FA">
        <w:rPr>
          <w:rFonts w:cs="Arial"/>
          <w:bCs/>
          <w:szCs w:val="22"/>
        </w:rPr>
        <w:t xml:space="preserve"> other inputs perform similar functions (e.g. yield spread of the instrument above the relevant government bond curve).</w:t>
      </w:r>
    </w:p>
    <w:p w:rsidR="003D117E" w:rsidRDefault="003D117E" w:rsidP="007C2566">
      <w:pPr>
        <w:rPr>
          <w:rFonts w:cs="Arial"/>
          <w:bCs/>
          <w:szCs w:val="22"/>
        </w:rPr>
      </w:pPr>
    </w:p>
    <w:p w:rsidR="007C2566" w:rsidRPr="009A006B" w:rsidRDefault="007C2566" w:rsidP="007C2566">
      <w:pPr>
        <w:rPr>
          <w:rFonts w:cs="Arial"/>
          <w:b/>
          <w:bCs/>
          <w:sz w:val="20"/>
        </w:rPr>
      </w:pPr>
      <w:r w:rsidRPr="009A006B">
        <w:rPr>
          <w:rFonts w:cs="Arial"/>
          <w:b/>
          <w:bCs/>
          <w:sz w:val="20"/>
        </w:rPr>
        <w:t>Q14. Please specify what alternative references or benchmarks your internal risk analyses make use of.</w:t>
      </w:r>
    </w:p>
    <w:p w:rsidR="007C2566" w:rsidRPr="003D117E" w:rsidRDefault="007C2566" w:rsidP="007C2566">
      <w:pPr>
        <w:rPr>
          <w:rFonts w:cs="Arial"/>
          <w:b/>
          <w:bCs/>
          <w:szCs w:val="22"/>
        </w:rPr>
      </w:pPr>
    </w:p>
    <w:p w:rsidR="003D117E" w:rsidRPr="003C11FA" w:rsidRDefault="003C11FA" w:rsidP="007C2566">
      <w:pPr>
        <w:rPr>
          <w:rFonts w:cs="Arial"/>
          <w:bCs/>
          <w:szCs w:val="22"/>
        </w:rPr>
      </w:pPr>
      <w:r w:rsidRPr="003C11FA">
        <w:rPr>
          <w:rFonts w:cs="Arial"/>
          <w:bCs/>
          <w:szCs w:val="22"/>
        </w:rPr>
        <w:t>We use various financial market information</w:t>
      </w:r>
      <w:r>
        <w:rPr>
          <w:rFonts w:cs="Arial"/>
          <w:bCs/>
          <w:szCs w:val="22"/>
        </w:rPr>
        <w:t xml:space="preserve"> such as Common Equity Tier 1</w:t>
      </w:r>
      <w:r w:rsidR="0088327F">
        <w:rPr>
          <w:rFonts w:cs="Arial"/>
          <w:bCs/>
          <w:szCs w:val="22"/>
        </w:rPr>
        <w:t xml:space="preserve"> (CET1)</w:t>
      </w:r>
      <w:r>
        <w:rPr>
          <w:rFonts w:cs="Arial"/>
          <w:bCs/>
          <w:szCs w:val="22"/>
        </w:rPr>
        <w:t xml:space="preserve"> capital, non-performing loan data</w:t>
      </w:r>
      <w:r w:rsidR="00F44908">
        <w:rPr>
          <w:rFonts w:cs="Arial"/>
          <w:bCs/>
          <w:szCs w:val="22"/>
        </w:rPr>
        <w:t xml:space="preserve">, total capital, going forward leverage as well as loan coverage ratios.  Our internal </w:t>
      </w:r>
      <w:r w:rsidR="0088327F">
        <w:rPr>
          <w:rFonts w:cs="Arial"/>
          <w:bCs/>
          <w:szCs w:val="22"/>
        </w:rPr>
        <w:t xml:space="preserve">investment </w:t>
      </w:r>
      <w:r w:rsidR="00F44908">
        <w:rPr>
          <w:rFonts w:cs="Arial"/>
          <w:bCs/>
          <w:szCs w:val="22"/>
        </w:rPr>
        <w:t>processes also model industry dynamics into sales, cash flows and debt/cash flow ratios.</w:t>
      </w:r>
    </w:p>
    <w:p w:rsidR="003D117E" w:rsidRPr="003D117E" w:rsidRDefault="003D117E" w:rsidP="007C2566">
      <w:pPr>
        <w:rPr>
          <w:rFonts w:cs="Arial"/>
          <w:b/>
          <w:bCs/>
          <w:szCs w:val="22"/>
        </w:rPr>
      </w:pPr>
    </w:p>
    <w:p w:rsidR="007C2566" w:rsidRPr="009A006B" w:rsidRDefault="007C2566" w:rsidP="007C2566">
      <w:pPr>
        <w:rPr>
          <w:rFonts w:cs="Arial"/>
          <w:b/>
          <w:bCs/>
          <w:sz w:val="20"/>
        </w:rPr>
      </w:pPr>
      <w:r w:rsidRPr="009A006B">
        <w:rPr>
          <w:rFonts w:cs="Arial"/>
          <w:b/>
          <w:bCs/>
          <w:sz w:val="20"/>
        </w:rPr>
        <w:t>Q15. Are these alternative measures point-in-time or through-the-cycle compared with external ratings?</w:t>
      </w:r>
    </w:p>
    <w:p w:rsidR="007C2566" w:rsidRPr="00F44908" w:rsidRDefault="007C2566" w:rsidP="007C2566">
      <w:pPr>
        <w:rPr>
          <w:rFonts w:cs="Arial"/>
          <w:bCs/>
          <w:szCs w:val="22"/>
        </w:rPr>
      </w:pPr>
    </w:p>
    <w:p w:rsidR="00F44908" w:rsidRPr="00F44908" w:rsidRDefault="00F44908" w:rsidP="007C2566">
      <w:pPr>
        <w:rPr>
          <w:rFonts w:cs="Arial"/>
          <w:bCs/>
          <w:szCs w:val="22"/>
        </w:rPr>
      </w:pPr>
      <w:r>
        <w:rPr>
          <w:rFonts w:cs="Arial"/>
          <w:bCs/>
          <w:szCs w:val="22"/>
        </w:rPr>
        <w:t xml:space="preserve">Through the cycle information is difficult to obtain.  </w:t>
      </w:r>
      <w:r w:rsidR="0088327F">
        <w:rPr>
          <w:rFonts w:cs="Arial"/>
          <w:bCs/>
          <w:szCs w:val="22"/>
        </w:rPr>
        <w:t>In any event, w</w:t>
      </w:r>
      <w:r>
        <w:rPr>
          <w:rFonts w:cs="Arial"/>
          <w:bCs/>
          <w:szCs w:val="22"/>
        </w:rPr>
        <w:t>e consider that structural and technological changes make attempts at projections over a 3-5 year timescale prone to quick decay and so make our own investment conviction forecasts over 18 months at most.</w:t>
      </w:r>
    </w:p>
    <w:p w:rsidR="00F44908" w:rsidRPr="00F44908" w:rsidRDefault="00F44908" w:rsidP="007C2566">
      <w:pPr>
        <w:rPr>
          <w:rFonts w:cs="Arial"/>
          <w:bCs/>
          <w:szCs w:val="22"/>
        </w:rPr>
      </w:pPr>
    </w:p>
    <w:p w:rsidR="007C2566" w:rsidRPr="009A006B" w:rsidRDefault="007C2566" w:rsidP="007C2566">
      <w:pPr>
        <w:rPr>
          <w:rFonts w:cs="Arial"/>
          <w:b/>
          <w:bCs/>
          <w:sz w:val="20"/>
        </w:rPr>
      </w:pPr>
      <w:r w:rsidRPr="009A006B">
        <w:rPr>
          <w:rFonts w:cs="Arial"/>
          <w:b/>
          <w:bCs/>
          <w:sz w:val="20"/>
        </w:rPr>
        <w:t>Q16. In what areas is reducing reliance on external ratings necessary or at least desirable?</w:t>
      </w:r>
    </w:p>
    <w:p w:rsidR="007C2566" w:rsidRPr="003D425E" w:rsidRDefault="007C2566" w:rsidP="007C2566">
      <w:pPr>
        <w:rPr>
          <w:rFonts w:cs="Arial"/>
          <w:bCs/>
          <w:szCs w:val="22"/>
        </w:rPr>
      </w:pPr>
    </w:p>
    <w:p w:rsidR="003D425E" w:rsidRPr="003D425E" w:rsidRDefault="00D14CE2" w:rsidP="007C2566">
      <w:pPr>
        <w:rPr>
          <w:rFonts w:cs="Arial"/>
          <w:bCs/>
          <w:szCs w:val="22"/>
        </w:rPr>
      </w:pPr>
      <w:r>
        <w:rPr>
          <w:rFonts w:cs="Arial"/>
          <w:bCs/>
          <w:szCs w:val="22"/>
        </w:rPr>
        <w:t xml:space="preserve">We </w:t>
      </w:r>
      <w:r w:rsidR="00FF6407">
        <w:rPr>
          <w:rFonts w:cs="Arial"/>
          <w:bCs/>
          <w:szCs w:val="22"/>
        </w:rPr>
        <w:t xml:space="preserve">consider it would be desirable to see </w:t>
      </w:r>
      <w:r>
        <w:rPr>
          <w:rFonts w:cs="Arial"/>
          <w:bCs/>
          <w:szCs w:val="22"/>
        </w:rPr>
        <w:t>a reduction of external rating requirements in investment management agreements.  Such terms</w:t>
      </w:r>
      <w:r w:rsidR="00F07EFF">
        <w:rPr>
          <w:rFonts w:cs="Arial"/>
          <w:bCs/>
          <w:szCs w:val="22"/>
        </w:rPr>
        <w:t xml:space="preserve"> on occasion may constrain investment decisions particularly with </w:t>
      </w:r>
      <w:r>
        <w:rPr>
          <w:rFonts w:cs="Arial"/>
          <w:bCs/>
          <w:szCs w:val="22"/>
        </w:rPr>
        <w:t>investment grade mandates where it has been shown that at the height of economic cycles default risk is underestimated</w:t>
      </w:r>
      <w:r w:rsidR="0088327F">
        <w:rPr>
          <w:rFonts w:cs="Arial"/>
          <w:bCs/>
          <w:szCs w:val="22"/>
        </w:rPr>
        <w:t>,</w:t>
      </w:r>
      <w:r>
        <w:rPr>
          <w:rFonts w:cs="Arial"/>
          <w:bCs/>
          <w:szCs w:val="22"/>
        </w:rPr>
        <w:t xml:space="preserve"> </w:t>
      </w:r>
      <w:r w:rsidR="00FF6407">
        <w:rPr>
          <w:rFonts w:cs="Arial"/>
          <w:bCs/>
          <w:szCs w:val="22"/>
        </w:rPr>
        <w:t>resulting in pro-cyclical behaviour.</w:t>
      </w:r>
    </w:p>
    <w:p w:rsidR="003D425E" w:rsidRPr="003D425E" w:rsidRDefault="003D425E" w:rsidP="007C2566">
      <w:pPr>
        <w:rPr>
          <w:rFonts w:cs="Arial"/>
          <w:bCs/>
          <w:szCs w:val="22"/>
        </w:rPr>
      </w:pPr>
    </w:p>
    <w:p w:rsidR="007C2566" w:rsidRPr="009A006B" w:rsidRDefault="007C2566" w:rsidP="007C2566">
      <w:pPr>
        <w:rPr>
          <w:rFonts w:cs="Arial"/>
          <w:b/>
          <w:bCs/>
          <w:sz w:val="20"/>
        </w:rPr>
      </w:pPr>
      <w:r w:rsidRPr="009A006B">
        <w:rPr>
          <w:rFonts w:cs="Arial"/>
          <w:b/>
          <w:bCs/>
          <w:sz w:val="20"/>
        </w:rPr>
        <w:t>Q17. What in your view are the main challenges preventing you from reducing reliance on external ratings in your business?</w:t>
      </w:r>
    </w:p>
    <w:p w:rsidR="007C2566" w:rsidRPr="00D14CE2" w:rsidRDefault="007C2566" w:rsidP="007C2566">
      <w:pPr>
        <w:rPr>
          <w:rFonts w:cs="Arial"/>
          <w:b/>
          <w:bCs/>
          <w:szCs w:val="22"/>
        </w:rPr>
      </w:pPr>
    </w:p>
    <w:p w:rsidR="00447276" w:rsidRDefault="00447276" w:rsidP="00447276">
      <w:pPr>
        <w:rPr>
          <w:rFonts w:cs="Arial"/>
          <w:szCs w:val="22"/>
        </w:rPr>
      </w:pPr>
      <w:r>
        <w:rPr>
          <w:rFonts w:cs="Arial"/>
          <w:szCs w:val="22"/>
        </w:rPr>
        <w:t>For many clients there is a need for more education on why we are moving away from a benchmarking system that they currently understand.</w:t>
      </w:r>
      <w:r w:rsidR="00F07EFF">
        <w:rPr>
          <w:rFonts w:cs="Arial"/>
          <w:szCs w:val="22"/>
        </w:rPr>
        <w:t xml:space="preserve"> </w:t>
      </w:r>
      <w:r>
        <w:rPr>
          <w:rFonts w:cs="Arial"/>
          <w:szCs w:val="22"/>
        </w:rPr>
        <w:t xml:space="preserve"> Additionally, for those clients acting on behalf of others the use of credit ratings provides a degree of comfort they are meeting their fiduciary duty to their clients in the absence of alternatives. So agreeing a credible alternative that is seen as independent and allows for easy comparisons across counterparties/products will be a major challenge. </w:t>
      </w:r>
    </w:p>
    <w:p w:rsidR="00D14CE2" w:rsidRPr="00D14CE2" w:rsidRDefault="00D14CE2" w:rsidP="007C2566">
      <w:pPr>
        <w:rPr>
          <w:rFonts w:cs="Arial"/>
          <w:b/>
          <w:bCs/>
          <w:szCs w:val="22"/>
        </w:rPr>
      </w:pPr>
    </w:p>
    <w:p w:rsidR="007C2566" w:rsidRPr="009A006B" w:rsidRDefault="007C2566" w:rsidP="007C2566">
      <w:pPr>
        <w:rPr>
          <w:rFonts w:cs="Arial"/>
          <w:b/>
          <w:bCs/>
          <w:sz w:val="20"/>
        </w:rPr>
      </w:pPr>
      <w:r w:rsidRPr="009A006B">
        <w:rPr>
          <w:rFonts w:cs="Arial"/>
          <w:b/>
          <w:bCs/>
          <w:sz w:val="20"/>
        </w:rPr>
        <w:t>Q18. How could the reduction of contractual references to credit ratings influence, in your opinion, the transmission of systemic risk?</w:t>
      </w:r>
    </w:p>
    <w:p w:rsidR="007C2566" w:rsidRPr="00FF6407" w:rsidRDefault="007C2566" w:rsidP="007C2566">
      <w:pPr>
        <w:rPr>
          <w:rFonts w:cs="Arial"/>
          <w:bCs/>
          <w:szCs w:val="22"/>
        </w:rPr>
      </w:pPr>
    </w:p>
    <w:p w:rsidR="00FF6407" w:rsidRPr="00FF6407" w:rsidRDefault="00FF6407" w:rsidP="007C2566">
      <w:pPr>
        <w:rPr>
          <w:rFonts w:cs="Arial"/>
          <w:bCs/>
          <w:szCs w:val="22"/>
        </w:rPr>
      </w:pPr>
      <w:r w:rsidRPr="00FF6407">
        <w:rPr>
          <w:rFonts w:cs="Arial"/>
          <w:bCs/>
          <w:szCs w:val="22"/>
        </w:rPr>
        <w:t xml:space="preserve">The biggest reduction would be through market and client education as whilst clients think they understand ratings they only understand them to compare one bank with the next. </w:t>
      </w:r>
      <w:r w:rsidR="00A07D39">
        <w:rPr>
          <w:rFonts w:cs="Arial"/>
          <w:bCs/>
          <w:szCs w:val="22"/>
        </w:rPr>
        <w:t xml:space="preserve"> </w:t>
      </w:r>
      <w:r w:rsidR="0088327F">
        <w:rPr>
          <w:rFonts w:cs="Arial"/>
          <w:bCs/>
          <w:szCs w:val="22"/>
        </w:rPr>
        <w:t>But</w:t>
      </w:r>
      <w:r w:rsidR="00A07D39">
        <w:rPr>
          <w:rFonts w:cs="Arial"/>
          <w:bCs/>
          <w:szCs w:val="22"/>
        </w:rPr>
        <w:t xml:space="preserve"> mov</w:t>
      </w:r>
      <w:r w:rsidR="00A07D39" w:rsidRPr="00FF6407">
        <w:rPr>
          <w:rFonts w:cs="Arial"/>
          <w:bCs/>
          <w:szCs w:val="22"/>
        </w:rPr>
        <w:t>i</w:t>
      </w:r>
      <w:r w:rsidR="00A07D39">
        <w:rPr>
          <w:rFonts w:cs="Arial"/>
          <w:bCs/>
          <w:szCs w:val="22"/>
        </w:rPr>
        <w:t>ng</w:t>
      </w:r>
      <w:r w:rsidRPr="00FF6407">
        <w:rPr>
          <w:rFonts w:cs="Arial"/>
          <w:bCs/>
          <w:szCs w:val="22"/>
        </w:rPr>
        <w:t xml:space="preserve"> clients away from </w:t>
      </w:r>
      <w:r w:rsidR="00A07D39">
        <w:rPr>
          <w:rFonts w:cs="Arial"/>
          <w:bCs/>
          <w:szCs w:val="22"/>
        </w:rPr>
        <w:t xml:space="preserve">reliance on credit ratings </w:t>
      </w:r>
      <w:r w:rsidRPr="00FF6407">
        <w:rPr>
          <w:rFonts w:cs="Arial"/>
          <w:bCs/>
          <w:szCs w:val="22"/>
        </w:rPr>
        <w:t>to a more internal system w</w:t>
      </w:r>
      <w:r w:rsidR="00A07D39">
        <w:rPr>
          <w:rFonts w:cs="Arial"/>
          <w:bCs/>
          <w:szCs w:val="22"/>
        </w:rPr>
        <w:t>ill</w:t>
      </w:r>
      <w:r w:rsidRPr="00FF6407">
        <w:rPr>
          <w:rFonts w:cs="Arial"/>
          <w:bCs/>
          <w:szCs w:val="22"/>
        </w:rPr>
        <w:t xml:space="preserve"> be a big challenge as it is harder for them to compare</w:t>
      </w:r>
      <w:r w:rsidR="00A07D39">
        <w:rPr>
          <w:rFonts w:cs="Arial"/>
          <w:bCs/>
          <w:szCs w:val="22"/>
        </w:rPr>
        <w:t xml:space="preserve"> the offerings and solutions proposed by one financial institution</w:t>
      </w:r>
      <w:r w:rsidRPr="00FF6407">
        <w:rPr>
          <w:rFonts w:cs="Arial"/>
          <w:bCs/>
          <w:szCs w:val="22"/>
        </w:rPr>
        <w:t xml:space="preserve"> to another without </w:t>
      </w:r>
      <w:r w:rsidR="00A07D39">
        <w:rPr>
          <w:rFonts w:cs="Arial"/>
          <w:bCs/>
          <w:szCs w:val="22"/>
        </w:rPr>
        <w:t>s</w:t>
      </w:r>
      <w:r w:rsidRPr="00FF6407">
        <w:rPr>
          <w:rFonts w:cs="Arial"/>
          <w:bCs/>
          <w:szCs w:val="22"/>
        </w:rPr>
        <w:t>ophisticated credit risk knowledge</w:t>
      </w:r>
      <w:r w:rsidRPr="00A07D39">
        <w:rPr>
          <w:rFonts w:cs="Arial"/>
          <w:bCs/>
          <w:szCs w:val="22"/>
        </w:rPr>
        <w:t>.</w:t>
      </w:r>
    </w:p>
    <w:p w:rsidR="00FF6407" w:rsidRPr="00FF6407" w:rsidRDefault="00FF6407" w:rsidP="007C2566">
      <w:pPr>
        <w:rPr>
          <w:rFonts w:cs="Arial"/>
          <w:bCs/>
          <w:szCs w:val="22"/>
        </w:rPr>
      </w:pPr>
    </w:p>
    <w:p w:rsidR="007C2566" w:rsidRPr="009A006B" w:rsidRDefault="007C2566" w:rsidP="007C2566">
      <w:pPr>
        <w:rPr>
          <w:rFonts w:cs="Arial"/>
          <w:b/>
          <w:bCs/>
          <w:sz w:val="20"/>
        </w:rPr>
      </w:pPr>
      <w:r w:rsidRPr="009A006B">
        <w:rPr>
          <w:rFonts w:cs="Arial"/>
          <w:b/>
          <w:bCs/>
          <w:sz w:val="20"/>
        </w:rPr>
        <w:t>Q19. Are there any additional points you would like to highlight with regards to contractual reliance on external ratings?</w:t>
      </w:r>
    </w:p>
    <w:p w:rsidR="007C2566" w:rsidRPr="00A07D39" w:rsidRDefault="007C2566" w:rsidP="007C2566">
      <w:pPr>
        <w:rPr>
          <w:rFonts w:cs="Arial"/>
          <w:szCs w:val="22"/>
        </w:rPr>
      </w:pPr>
    </w:p>
    <w:p w:rsidR="00A07D39" w:rsidRPr="00A07D39" w:rsidRDefault="00A07D39" w:rsidP="00A07D39">
      <w:pPr>
        <w:rPr>
          <w:szCs w:val="22"/>
        </w:rPr>
      </w:pPr>
      <w:r w:rsidRPr="00A07D39">
        <w:rPr>
          <w:rFonts w:cs="Arial"/>
          <w:szCs w:val="22"/>
        </w:rPr>
        <w:t xml:space="preserve">We would echo the point made at paragraph 60 of the Discussion Paper that without an independent benchmark that is accepted by market participants we believe that it will be difficult for market participants to move away from including external credit ratings in contractual documentation as a means to provide for a termination right and to agree a minimum credit quality for collateral assets. </w:t>
      </w:r>
    </w:p>
    <w:p w:rsidR="007C2566" w:rsidRPr="00A07D39" w:rsidRDefault="007C2566" w:rsidP="009E288D">
      <w:pPr>
        <w:rPr>
          <w:szCs w:val="22"/>
        </w:rPr>
      </w:pPr>
    </w:p>
    <w:p w:rsidR="009E288D" w:rsidRPr="00A07D39" w:rsidRDefault="009E288D" w:rsidP="009E288D">
      <w:pPr>
        <w:rPr>
          <w:szCs w:val="22"/>
        </w:rPr>
      </w:pPr>
    </w:p>
    <w:sectPr w:rsidR="009E288D" w:rsidRPr="00A07D39" w:rsidSect="00827792">
      <w:headerReference w:type="default" r:id="rId11"/>
      <w:footerReference w:type="default" r:id="rId12"/>
      <w:headerReference w:type="first" r:id="rId13"/>
      <w:footerReference w:type="first" r:id="rId14"/>
      <w:pgSz w:w="11907" w:h="16840" w:code="9"/>
      <w:pgMar w:top="1418" w:right="680" w:bottom="1134" w:left="851" w:header="34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8D" w:rsidRDefault="009E288D">
      <w:r>
        <w:separator/>
      </w:r>
    </w:p>
  </w:endnote>
  <w:endnote w:type="continuationSeparator" w:id="0">
    <w:p w:rsidR="009E288D" w:rsidRDefault="009E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EE" w:rsidRDefault="00177DEE">
    <w:pPr>
      <w:pStyle w:val="Footer"/>
      <w:pBdr>
        <w:top w:val="none" w:sz="0" w:space="0" w:color="auto"/>
      </w:pBdr>
      <w:tabs>
        <w:tab w:val="clear" w:pos="567"/>
        <w:tab w:val="clear" w:pos="2665"/>
        <w:tab w:val="clear" w:pos="9498"/>
        <w:tab w:val="left" w:pos="993"/>
        <w:tab w:val="left" w:pos="3119"/>
        <w:tab w:val="right" w:pos="10065"/>
      </w:tabs>
      <w:ind w:left="0" w:righ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854" w:rsidRDefault="003103E6">
    <w:pPr>
      <w:pStyle w:val="Footer"/>
      <w:pBdr>
        <w:top w:val="none" w:sz="0" w:space="0" w:color="auto"/>
      </w:pBdr>
      <w:tabs>
        <w:tab w:val="clear" w:pos="567"/>
        <w:tab w:val="clear" w:pos="2665"/>
        <w:tab w:val="clear" w:pos="9498"/>
        <w:tab w:val="left" w:pos="993"/>
        <w:tab w:val="left" w:pos="3119"/>
        <w:tab w:val="right" w:pos="10065"/>
      </w:tabs>
      <w:ind w:left="0" w:right="0"/>
    </w:pPr>
    <w:r>
      <w:t>Registered Office at the above address. Registered number 1893220 England</w:t>
    </w:r>
  </w:p>
  <w:p w:rsidR="00AC5CF4" w:rsidRDefault="003103E6">
    <w:pPr>
      <w:pStyle w:val="Footer"/>
      <w:pBdr>
        <w:top w:val="none" w:sz="0" w:space="0" w:color="auto"/>
      </w:pBdr>
      <w:tabs>
        <w:tab w:val="clear" w:pos="567"/>
        <w:tab w:val="clear" w:pos="2665"/>
        <w:tab w:val="clear" w:pos="9498"/>
        <w:tab w:val="left" w:pos="993"/>
        <w:tab w:val="left" w:pos="3119"/>
        <w:tab w:val="right" w:pos="10065"/>
      </w:tabs>
      <w:ind w:left="0" w:right="0"/>
    </w:pPr>
    <w:r>
      <w:t>Authorised and regulated by the Financial Conduct Authority. For your security, communications may be taped or monitored.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8D" w:rsidRDefault="009E288D">
      <w:r>
        <w:separator/>
      </w:r>
    </w:p>
  </w:footnote>
  <w:footnote w:type="continuationSeparator" w:id="0">
    <w:p w:rsidR="009E288D" w:rsidRDefault="009E2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EE" w:rsidRDefault="00177DEE">
    <w:pPr>
      <w:pStyle w:val="Header"/>
    </w:pPr>
    <w:r>
      <w:rPr>
        <w:rStyle w:val="PageNumber"/>
        <w:snapToGrid w:val="0"/>
        <w:lang w:eastAsia="en-US"/>
      </w:rPr>
      <w:t xml:space="preserve">Page </w:t>
    </w:r>
    <w:r>
      <w:rPr>
        <w:rStyle w:val="PageNumber"/>
        <w:snapToGrid w:val="0"/>
        <w:lang w:eastAsia="en-US"/>
      </w:rPr>
      <w:fldChar w:fldCharType="begin"/>
    </w:r>
    <w:r>
      <w:rPr>
        <w:rStyle w:val="PageNumber"/>
        <w:snapToGrid w:val="0"/>
        <w:lang w:eastAsia="en-US"/>
      </w:rPr>
      <w:instrText xml:space="preserve"> PAGE </w:instrText>
    </w:r>
    <w:r>
      <w:rPr>
        <w:rStyle w:val="PageNumber"/>
        <w:snapToGrid w:val="0"/>
        <w:lang w:eastAsia="en-US"/>
      </w:rPr>
      <w:fldChar w:fldCharType="separate"/>
    </w:r>
    <w:r w:rsidR="00C65B8D">
      <w:rPr>
        <w:rStyle w:val="PageNumber"/>
        <w:noProof/>
        <w:snapToGrid w:val="0"/>
        <w:lang w:eastAsia="en-US"/>
      </w:rPr>
      <w:t>2</w:t>
    </w:r>
    <w:r>
      <w:rPr>
        <w:rStyle w:val="PageNumber"/>
        <w:snapToGrid w:val="0"/>
        <w:lang w:eastAsia="en-US"/>
      </w:rPr>
      <w:fldChar w:fldCharType="end"/>
    </w:r>
    <w:r>
      <w:rPr>
        <w:rStyle w:val="PageNumber"/>
        <w:snapToGrid w:val="0"/>
        <w:lang w:eastAsia="en-US"/>
      </w:rPr>
      <w:t xml:space="preserve"> of </w:t>
    </w:r>
    <w:r>
      <w:rPr>
        <w:rStyle w:val="PageNumber"/>
        <w:snapToGrid w:val="0"/>
        <w:lang w:eastAsia="en-US"/>
      </w:rPr>
      <w:fldChar w:fldCharType="begin"/>
    </w:r>
    <w:r>
      <w:rPr>
        <w:rStyle w:val="PageNumber"/>
        <w:snapToGrid w:val="0"/>
        <w:lang w:eastAsia="en-US"/>
      </w:rPr>
      <w:instrText xml:space="preserve"> NUMPAGES </w:instrText>
    </w:r>
    <w:r>
      <w:rPr>
        <w:rStyle w:val="PageNumber"/>
        <w:snapToGrid w:val="0"/>
        <w:lang w:eastAsia="en-US"/>
      </w:rPr>
      <w:fldChar w:fldCharType="separate"/>
    </w:r>
    <w:r w:rsidR="00C65B8D">
      <w:rPr>
        <w:rStyle w:val="PageNumber"/>
        <w:noProof/>
        <w:snapToGrid w:val="0"/>
        <w:lang w:eastAsia="en-US"/>
      </w:rPr>
      <w:t>3</w:t>
    </w:r>
    <w:r>
      <w:rPr>
        <w:rStyle w:val="PageNumber"/>
        <w:snapToGrid w:val="0"/>
        <w:lang w:eastAsia="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tblGrid>
    <w:tr w:rsidR="00C164D1" w:rsidTr="00D81F2B">
      <w:tc>
        <w:tcPr>
          <w:tcW w:w="7338" w:type="dxa"/>
        </w:tcPr>
        <w:p w:rsidR="00C164D1" w:rsidRDefault="00C70117" w:rsidP="007230E2">
          <w:pPr>
            <w:pStyle w:val="Header"/>
            <w:tabs>
              <w:tab w:val="clear" w:pos="4153"/>
              <w:tab w:val="clear" w:pos="8306"/>
              <w:tab w:val="left" w:pos="0"/>
            </w:tabs>
            <w:rPr>
              <w:rFonts w:cs="Arial"/>
              <w:b/>
            </w:rPr>
          </w:pPr>
          <w:r>
            <w:rPr>
              <w:noProof/>
            </w:rPr>
            <w:drawing>
              <wp:anchor distT="0" distB="0" distL="114300" distR="114300" simplePos="0" relativeHeight="251659264" behindDoc="0" locked="0" layoutInCell="1" allowOverlap="1" wp14:anchorId="71FF950D" wp14:editId="750606F6">
                <wp:simplePos x="0" y="0"/>
                <wp:positionH relativeFrom="column">
                  <wp:posOffset>4536440</wp:posOffset>
                </wp:positionH>
                <wp:positionV relativeFrom="paragraph">
                  <wp:posOffset>25400</wp:posOffset>
                </wp:positionV>
                <wp:extent cx="2000250" cy="3429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3E6">
            <w:rPr>
              <w:rFonts w:cs="Arial"/>
              <w:b/>
            </w:rPr>
            <w:t>Schroder Investment Management Limited</w:t>
          </w:r>
        </w:p>
      </w:tc>
    </w:tr>
    <w:tr w:rsidR="00C164D1" w:rsidTr="00D81F2B">
      <w:tc>
        <w:tcPr>
          <w:tcW w:w="7338" w:type="dxa"/>
        </w:tcPr>
        <w:p w:rsidR="00C164D1" w:rsidRDefault="003103E6" w:rsidP="007230E2">
          <w:pPr>
            <w:pStyle w:val="Header"/>
            <w:tabs>
              <w:tab w:val="clear" w:pos="4153"/>
              <w:tab w:val="clear" w:pos="8306"/>
              <w:tab w:val="left" w:pos="0"/>
            </w:tabs>
            <w:rPr>
              <w:rFonts w:cs="Arial"/>
            </w:rPr>
          </w:pPr>
          <w:r>
            <w:rPr>
              <w:rFonts w:cs="Arial"/>
            </w:rPr>
            <w:t>31 Gresham Street, London EC2V 7QA</w:t>
          </w:r>
        </w:p>
        <w:p w:rsidR="00BE053C" w:rsidRPr="00C164D1" w:rsidRDefault="00BE053C" w:rsidP="007230E2">
          <w:pPr>
            <w:pStyle w:val="Header"/>
            <w:tabs>
              <w:tab w:val="clear" w:pos="4153"/>
              <w:tab w:val="clear" w:pos="8306"/>
              <w:tab w:val="left" w:pos="0"/>
            </w:tabs>
            <w:rPr>
              <w:rFonts w:cs="Arial"/>
            </w:rPr>
          </w:pPr>
        </w:p>
      </w:tc>
    </w:tr>
    <w:tr w:rsidR="00D81F2B" w:rsidTr="00D81F2B">
      <w:tc>
        <w:tcPr>
          <w:tcW w:w="7338" w:type="dxa"/>
        </w:tcPr>
        <w:p w:rsidR="00D81F2B" w:rsidRDefault="00D81F2B" w:rsidP="007230E2">
          <w:pPr>
            <w:pStyle w:val="Header"/>
            <w:tabs>
              <w:tab w:val="clear" w:pos="4153"/>
              <w:tab w:val="clear" w:pos="8306"/>
              <w:tab w:val="left" w:pos="0"/>
            </w:tabs>
            <w:rPr>
              <w:rFonts w:cs="Arial"/>
            </w:rPr>
          </w:pPr>
        </w:p>
      </w:tc>
    </w:tr>
    <w:tr w:rsidR="00C164D1" w:rsidTr="00D81F2B">
      <w:tc>
        <w:tcPr>
          <w:tcW w:w="7338" w:type="dxa"/>
        </w:tcPr>
        <w:p w:rsidR="00C164D1" w:rsidRPr="00C164D1" w:rsidRDefault="003103E6" w:rsidP="007230E2">
          <w:pPr>
            <w:pStyle w:val="Header"/>
            <w:tabs>
              <w:tab w:val="clear" w:pos="4153"/>
              <w:tab w:val="clear" w:pos="8306"/>
              <w:tab w:val="left" w:pos="0"/>
            </w:tabs>
            <w:rPr>
              <w:rFonts w:cs="Arial"/>
            </w:rPr>
          </w:pPr>
          <w:r>
            <w:rPr>
              <w:rFonts w:cs="Arial"/>
            </w:rPr>
            <w:t>Tel: 020 7658 6000   Fax: 020 7658 6965</w:t>
          </w:r>
        </w:p>
      </w:tc>
    </w:tr>
    <w:tr w:rsidR="00C164D1" w:rsidTr="00D81F2B">
      <w:tc>
        <w:tcPr>
          <w:tcW w:w="7338" w:type="dxa"/>
        </w:tcPr>
        <w:p w:rsidR="00C164D1" w:rsidRPr="00C164D1" w:rsidRDefault="003103E6" w:rsidP="007230E2">
          <w:pPr>
            <w:pStyle w:val="Header"/>
            <w:tabs>
              <w:tab w:val="clear" w:pos="4153"/>
              <w:tab w:val="clear" w:pos="8306"/>
              <w:tab w:val="left" w:pos="0"/>
            </w:tabs>
            <w:rPr>
              <w:rFonts w:cs="Arial"/>
            </w:rPr>
          </w:pPr>
          <w:r>
            <w:rPr>
              <w:rFonts w:cs="Arial"/>
            </w:rPr>
            <w:t>www.schroders.com</w:t>
          </w:r>
        </w:p>
      </w:tc>
    </w:tr>
    <w:tr w:rsidR="00C164D1" w:rsidTr="00D81F2B">
      <w:tc>
        <w:tcPr>
          <w:tcW w:w="7338" w:type="dxa"/>
        </w:tcPr>
        <w:p w:rsidR="00C164D1" w:rsidRPr="00C164D1" w:rsidRDefault="00C164D1" w:rsidP="007230E2">
          <w:pPr>
            <w:pStyle w:val="Header"/>
            <w:tabs>
              <w:tab w:val="clear" w:pos="4153"/>
              <w:tab w:val="clear" w:pos="8306"/>
              <w:tab w:val="left" w:pos="0"/>
            </w:tabs>
          </w:pPr>
        </w:p>
      </w:tc>
    </w:tr>
    <w:tr w:rsidR="00C164D1" w:rsidTr="00D81F2B">
      <w:tc>
        <w:tcPr>
          <w:tcW w:w="7338" w:type="dxa"/>
        </w:tcPr>
        <w:p w:rsidR="00C164D1" w:rsidRDefault="00C164D1" w:rsidP="007230E2">
          <w:pPr>
            <w:pStyle w:val="Header"/>
            <w:tabs>
              <w:tab w:val="left" w:pos="0"/>
            </w:tabs>
            <w:rPr>
              <w:rFonts w:cs="Arial"/>
              <w:b/>
            </w:rPr>
          </w:pPr>
        </w:p>
      </w:tc>
    </w:tr>
    <w:tr w:rsidR="00C164D1" w:rsidTr="00D81F2B">
      <w:tc>
        <w:tcPr>
          <w:tcW w:w="7338" w:type="dxa"/>
        </w:tcPr>
        <w:p w:rsidR="00C164D1" w:rsidRDefault="00C164D1" w:rsidP="007230E2">
          <w:pPr>
            <w:pStyle w:val="Header"/>
            <w:tabs>
              <w:tab w:val="clear" w:pos="4153"/>
              <w:tab w:val="clear" w:pos="8306"/>
              <w:tab w:val="left" w:pos="0"/>
            </w:tabs>
          </w:pPr>
        </w:p>
      </w:tc>
    </w:tr>
  </w:tbl>
  <w:p w:rsidR="00AC5CF4" w:rsidRPr="00EA1854" w:rsidRDefault="00AC5CF4" w:rsidP="00AC5CF4">
    <w:pPr>
      <w:pStyle w:val="Header"/>
      <w:tabs>
        <w:tab w:val="clear" w:pos="4153"/>
        <w:tab w:val="clear" w:pos="8306"/>
        <w:tab w:val="left" w:pos="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D5E"/>
    <w:multiLevelType w:val="hybridMultilevel"/>
    <w:tmpl w:val="E1423AD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nsid w:val="4ACA7E20"/>
    <w:multiLevelType w:val="hybridMultilevel"/>
    <w:tmpl w:val="8BD29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6DA4435"/>
    <w:multiLevelType w:val="hybridMultilevel"/>
    <w:tmpl w:val="D29426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52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9E288D"/>
    <w:rsid w:val="00034407"/>
    <w:rsid w:val="000C13D7"/>
    <w:rsid w:val="001757F0"/>
    <w:rsid w:val="00177DEE"/>
    <w:rsid w:val="001D73DB"/>
    <w:rsid w:val="002A1CED"/>
    <w:rsid w:val="002D6C3A"/>
    <w:rsid w:val="003103E6"/>
    <w:rsid w:val="003873C7"/>
    <w:rsid w:val="00393B40"/>
    <w:rsid w:val="003A4AF1"/>
    <w:rsid w:val="003C11FA"/>
    <w:rsid w:val="003D117E"/>
    <w:rsid w:val="003D425E"/>
    <w:rsid w:val="00447276"/>
    <w:rsid w:val="004D042E"/>
    <w:rsid w:val="005114B5"/>
    <w:rsid w:val="005850BF"/>
    <w:rsid w:val="005D5D00"/>
    <w:rsid w:val="00627006"/>
    <w:rsid w:val="00696030"/>
    <w:rsid w:val="007230E2"/>
    <w:rsid w:val="00733A8D"/>
    <w:rsid w:val="00743FCF"/>
    <w:rsid w:val="00750F50"/>
    <w:rsid w:val="007A7627"/>
    <w:rsid w:val="007C2566"/>
    <w:rsid w:val="007E1318"/>
    <w:rsid w:val="00820B27"/>
    <w:rsid w:val="00827792"/>
    <w:rsid w:val="00867E56"/>
    <w:rsid w:val="00874A9F"/>
    <w:rsid w:val="0088327F"/>
    <w:rsid w:val="008F5010"/>
    <w:rsid w:val="00977DE4"/>
    <w:rsid w:val="009A006B"/>
    <w:rsid w:val="009E288D"/>
    <w:rsid w:val="009E4C7E"/>
    <w:rsid w:val="00A07D39"/>
    <w:rsid w:val="00A21CA6"/>
    <w:rsid w:val="00A64DBD"/>
    <w:rsid w:val="00AA6DAB"/>
    <w:rsid w:val="00AB26F8"/>
    <w:rsid w:val="00AC5CF4"/>
    <w:rsid w:val="00B25B4F"/>
    <w:rsid w:val="00BC22B9"/>
    <w:rsid w:val="00BC262A"/>
    <w:rsid w:val="00BE053C"/>
    <w:rsid w:val="00C15785"/>
    <w:rsid w:val="00C164D1"/>
    <w:rsid w:val="00C24788"/>
    <w:rsid w:val="00C55D44"/>
    <w:rsid w:val="00C65B8D"/>
    <w:rsid w:val="00C70117"/>
    <w:rsid w:val="00C76F81"/>
    <w:rsid w:val="00C82822"/>
    <w:rsid w:val="00CF480D"/>
    <w:rsid w:val="00D14CE2"/>
    <w:rsid w:val="00D30507"/>
    <w:rsid w:val="00D40CA0"/>
    <w:rsid w:val="00D81F2B"/>
    <w:rsid w:val="00D833CB"/>
    <w:rsid w:val="00DA19B0"/>
    <w:rsid w:val="00EA1854"/>
    <w:rsid w:val="00EC7363"/>
    <w:rsid w:val="00ED5394"/>
    <w:rsid w:val="00EE7C31"/>
    <w:rsid w:val="00F07EFF"/>
    <w:rsid w:val="00F20543"/>
    <w:rsid w:val="00F44908"/>
    <w:rsid w:val="00FB3A50"/>
    <w:rsid w:val="00FF6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indow" stroke="f">
      <v:fill color="window"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F50"/>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left" w:pos="567"/>
        <w:tab w:val="left" w:pos="2665"/>
        <w:tab w:val="right" w:pos="9498"/>
      </w:tabs>
      <w:ind w:left="-426" w:right="-426"/>
    </w:pPr>
    <w:rPr>
      <w:sz w:val="18"/>
    </w:rPr>
  </w:style>
  <w:style w:type="paragraph" w:customStyle="1" w:styleId="subject">
    <w:name w:val="subject"/>
    <w:basedOn w:val="Normal"/>
    <w:pPr>
      <w:spacing w:before="240" w:after="240"/>
    </w:pPr>
    <w:rPr>
      <w:b/>
      <w:u w:val="single"/>
    </w:rPr>
  </w:style>
  <w:style w:type="paragraph" w:styleId="Header">
    <w:name w:val="header"/>
    <w:basedOn w:val="Normal"/>
    <w:pPr>
      <w:tabs>
        <w:tab w:val="center" w:pos="4153"/>
        <w:tab w:val="right" w:pos="8306"/>
      </w:tabs>
    </w:pPr>
  </w:style>
  <w:style w:type="paragraph" w:customStyle="1" w:styleId="Division">
    <w:name w:val="Division"/>
    <w:basedOn w:val="Normal"/>
    <w:pPr>
      <w:spacing w:before="240" w:after="120"/>
      <w:ind w:right="-425"/>
      <w:jc w:val="right"/>
    </w:pPr>
    <w:rPr>
      <w:b/>
      <w:sz w:val="20"/>
    </w:rPr>
  </w:style>
  <w:style w:type="character" w:styleId="PageNumber">
    <w:name w:val="page number"/>
    <w:basedOn w:val="DefaultParagraphFont"/>
  </w:style>
  <w:style w:type="paragraph" w:customStyle="1" w:styleId="AutoCorrect">
    <w:name w:val="AutoCorrect"/>
    <w:rPr>
      <w:rFonts w:ascii="Times New Roman" w:hAnsi="Times New Roman"/>
    </w:rPr>
  </w:style>
  <w:style w:type="character" w:styleId="Hyperlink">
    <w:name w:val="Hyperlink"/>
    <w:basedOn w:val="DefaultParagraphFont"/>
    <w:rPr>
      <w:color w:val="0000FF"/>
      <w:u w:val="single"/>
    </w:rPr>
  </w:style>
  <w:style w:type="table" w:styleId="TableGrid">
    <w:name w:val="Table Grid"/>
    <w:basedOn w:val="TableNormal"/>
    <w:rsid w:val="00C16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6030"/>
    <w:rPr>
      <w:rFonts w:ascii="Tahoma" w:hAnsi="Tahoma" w:cs="Tahoma"/>
      <w:sz w:val="16"/>
      <w:szCs w:val="16"/>
    </w:rPr>
  </w:style>
  <w:style w:type="character" w:customStyle="1" w:styleId="BalloonTextChar">
    <w:name w:val="Balloon Text Char"/>
    <w:basedOn w:val="DefaultParagraphFont"/>
    <w:link w:val="BalloonText"/>
    <w:rsid w:val="00696030"/>
    <w:rPr>
      <w:rFonts w:ascii="Tahoma" w:hAnsi="Tahoma" w:cs="Tahoma"/>
      <w:sz w:val="16"/>
      <w:szCs w:val="16"/>
    </w:rPr>
  </w:style>
  <w:style w:type="paragraph" w:styleId="ListParagraph">
    <w:name w:val="List Paragraph"/>
    <w:basedOn w:val="Normal"/>
    <w:uiPriority w:val="34"/>
    <w:qFormat/>
    <w:rsid w:val="009A006B"/>
    <w:pPr>
      <w:ind w:left="720"/>
    </w:pPr>
    <w:rPr>
      <w:rFonts w:ascii="Calibri" w:eastAsiaTheme="minorHAnsi" w:hAnsi="Calibri" w:cs="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F50"/>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left" w:pos="567"/>
        <w:tab w:val="left" w:pos="2665"/>
        <w:tab w:val="right" w:pos="9498"/>
      </w:tabs>
      <w:ind w:left="-426" w:right="-426"/>
    </w:pPr>
    <w:rPr>
      <w:sz w:val="18"/>
    </w:rPr>
  </w:style>
  <w:style w:type="paragraph" w:customStyle="1" w:styleId="subject">
    <w:name w:val="subject"/>
    <w:basedOn w:val="Normal"/>
    <w:pPr>
      <w:spacing w:before="240" w:after="240"/>
    </w:pPr>
    <w:rPr>
      <w:b/>
      <w:u w:val="single"/>
    </w:rPr>
  </w:style>
  <w:style w:type="paragraph" w:styleId="Header">
    <w:name w:val="header"/>
    <w:basedOn w:val="Normal"/>
    <w:pPr>
      <w:tabs>
        <w:tab w:val="center" w:pos="4153"/>
        <w:tab w:val="right" w:pos="8306"/>
      </w:tabs>
    </w:pPr>
  </w:style>
  <w:style w:type="paragraph" w:customStyle="1" w:styleId="Division">
    <w:name w:val="Division"/>
    <w:basedOn w:val="Normal"/>
    <w:pPr>
      <w:spacing w:before="240" w:after="120"/>
      <w:ind w:right="-425"/>
      <w:jc w:val="right"/>
    </w:pPr>
    <w:rPr>
      <w:b/>
      <w:sz w:val="20"/>
    </w:rPr>
  </w:style>
  <w:style w:type="character" w:styleId="PageNumber">
    <w:name w:val="page number"/>
    <w:basedOn w:val="DefaultParagraphFont"/>
  </w:style>
  <w:style w:type="paragraph" w:customStyle="1" w:styleId="AutoCorrect">
    <w:name w:val="AutoCorrect"/>
    <w:rPr>
      <w:rFonts w:ascii="Times New Roman" w:hAnsi="Times New Roman"/>
    </w:rPr>
  </w:style>
  <w:style w:type="character" w:styleId="Hyperlink">
    <w:name w:val="Hyperlink"/>
    <w:basedOn w:val="DefaultParagraphFont"/>
    <w:rPr>
      <w:color w:val="0000FF"/>
      <w:u w:val="single"/>
    </w:rPr>
  </w:style>
  <w:style w:type="table" w:styleId="TableGrid">
    <w:name w:val="Table Grid"/>
    <w:basedOn w:val="TableNormal"/>
    <w:rsid w:val="00C16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6030"/>
    <w:rPr>
      <w:rFonts w:ascii="Tahoma" w:hAnsi="Tahoma" w:cs="Tahoma"/>
      <w:sz w:val="16"/>
      <w:szCs w:val="16"/>
    </w:rPr>
  </w:style>
  <w:style w:type="character" w:customStyle="1" w:styleId="BalloonTextChar">
    <w:name w:val="Balloon Text Char"/>
    <w:basedOn w:val="DefaultParagraphFont"/>
    <w:link w:val="BalloonText"/>
    <w:rsid w:val="00696030"/>
    <w:rPr>
      <w:rFonts w:ascii="Tahoma" w:hAnsi="Tahoma" w:cs="Tahoma"/>
      <w:sz w:val="16"/>
      <w:szCs w:val="16"/>
    </w:rPr>
  </w:style>
  <w:style w:type="paragraph" w:styleId="ListParagraph">
    <w:name w:val="List Paragraph"/>
    <w:basedOn w:val="Normal"/>
    <w:uiPriority w:val="34"/>
    <w:qFormat/>
    <w:rsid w:val="009A006B"/>
    <w:pPr>
      <w:ind w:left="720"/>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7836">
      <w:bodyDiv w:val="1"/>
      <w:marLeft w:val="0"/>
      <w:marRight w:val="0"/>
      <w:marTop w:val="0"/>
      <w:marBottom w:val="0"/>
      <w:divBdr>
        <w:top w:val="none" w:sz="0" w:space="0" w:color="auto"/>
        <w:left w:val="none" w:sz="0" w:space="0" w:color="auto"/>
        <w:bottom w:val="none" w:sz="0" w:space="0" w:color="auto"/>
        <w:right w:val="none" w:sz="0" w:space="0" w:color="auto"/>
      </w:divBdr>
    </w:div>
    <w:div w:id="442964656">
      <w:bodyDiv w:val="1"/>
      <w:marLeft w:val="0"/>
      <w:marRight w:val="0"/>
      <w:marTop w:val="0"/>
      <w:marBottom w:val="0"/>
      <w:divBdr>
        <w:top w:val="none" w:sz="0" w:space="0" w:color="auto"/>
        <w:left w:val="none" w:sz="0" w:space="0" w:color="auto"/>
        <w:bottom w:val="none" w:sz="0" w:space="0" w:color="auto"/>
        <w:right w:val="none" w:sz="0" w:space="0" w:color="auto"/>
      </w:divBdr>
    </w:div>
    <w:div w:id="1257668092">
      <w:bodyDiv w:val="1"/>
      <w:marLeft w:val="0"/>
      <w:marRight w:val="0"/>
      <w:marTop w:val="0"/>
      <w:marBottom w:val="0"/>
      <w:divBdr>
        <w:top w:val="none" w:sz="0" w:space="0" w:color="auto"/>
        <w:left w:val="none" w:sz="0" w:space="0" w:color="auto"/>
        <w:bottom w:val="none" w:sz="0" w:space="0" w:color="auto"/>
        <w:right w:val="none" w:sz="0" w:space="0" w:color="auto"/>
      </w:divBdr>
    </w:div>
    <w:div w:id="1699546911">
      <w:bodyDiv w:val="1"/>
      <w:marLeft w:val="0"/>
      <w:marRight w:val="0"/>
      <w:marTop w:val="0"/>
      <w:marBottom w:val="0"/>
      <w:divBdr>
        <w:top w:val="none" w:sz="0" w:space="0" w:color="auto"/>
        <w:left w:val="none" w:sz="0" w:space="0" w:color="auto"/>
        <w:bottom w:val="none" w:sz="0" w:space="0" w:color="auto"/>
        <w:right w:val="none" w:sz="0" w:space="0" w:color="auto"/>
      </w:divBdr>
    </w:div>
    <w:div w:id="1834293396">
      <w:bodyDiv w:val="1"/>
      <w:marLeft w:val="0"/>
      <w:marRight w:val="0"/>
      <w:marTop w:val="0"/>
      <w:marBottom w:val="0"/>
      <w:divBdr>
        <w:top w:val="none" w:sz="0" w:space="0" w:color="auto"/>
        <w:left w:val="none" w:sz="0" w:space="0" w:color="auto"/>
        <w:bottom w:val="none" w:sz="0" w:space="0" w:color="auto"/>
        <w:right w:val="none" w:sz="0" w:space="0" w:color="auto"/>
      </w:divBdr>
    </w:div>
    <w:div w:id="1957373017">
      <w:bodyDiv w:val="1"/>
      <w:marLeft w:val="0"/>
      <w:marRight w:val="0"/>
      <w:marTop w:val="0"/>
      <w:marBottom w:val="0"/>
      <w:divBdr>
        <w:top w:val="none" w:sz="0" w:space="0" w:color="auto"/>
        <w:left w:val="none" w:sz="0" w:space="0" w:color="auto"/>
        <w:bottom w:val="none" w:sz="0" w:space="0" w:color="auto"/>
        <w:right w:val="none" w:sz="0" w:space="0" w:color="auto"/>
      </w:divBdr>
    </w:div>
    <w:div w:id="2042046973">
      <w:bodyDiv w:val="1"/>
      <w:marLeft w:val="0"/>
      <w:marRight w:val="0"/>
      <w:marTop w:val="0"/>
      <w:marBottom w:val="0"/>
      <w:divBdr>
        <w:top w:val="none" w:sz="0" w:space="0" w:color="auto"/>
        <w:left w:val="none" w:sz="0" w:space="0" w:color="auto"/>
        <w:bottom w:val="none" w:sz="0" w:space="0" w:color="auto"/>
        <w:right w:val="none" w:sz="0" w:space="0" w:color="auto"/>
      </w:divBdr>
    </w:div>
    <w:div w:id="20741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sma.europa.e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XP\Template\UK\SIM%20Ltd%20(London)%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96EA1-6E8B-4E40-9B1F-298595F8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 Ltd (London) Logo</Template>
  <TotalTime>8</TotalTime>
  <Pages>3</Pages>
  <Words>1186</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Schroder Letter Template</vt:lpstr>
    </vt:vector>
  </TitlesOfParts>
  <Company>Schroders</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Schroder Letter Template</dc:title>
  <dc:creator>Mitchell, Naomi</dc:creator>
  <cp:lastModifiedBy>Vernon, Simon</cp:lastModifiedBy>
  <cp:revision>5</cp:revision>
  <cp:lastPrinted>2015-02-27T10:40:00Z</cp:lastPrinted>
  <dcterms:created xsi:type="dcterms:W3CDTF">2015-02-27T10:35:00Z</dcterms:created>
  <dcterms:modified xsi:type="dcterms:W3CDTF">2015-02-27T17:13:00Z</dcterms:modified>
</cp:coreProperties>
</file>