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27" w:rsidRPr="008A6B4D" w:rsidRDefault="00D82127" w:rsidP="00EF6388">
      <w:pPr>
        <w:pStyle w:val="FirstTitle1"/>
        <w:jc w:val="center"/>
      </w:pPr>
      <w:bookmarkStart w:id="0" w:name="_GoBack"/>
      <w:bookmarkEnd w:id="0"/>
    </w:p>
    <w:p w:rsidR="00EF6388" w:rsidRPr="00BE5226" w:rsidRDefault="000302DB" w:rsidP="00EF6388">
      <w:pPr>
        <w:pStyle w:val="FirstTitle1"/>
        <w:jc w:val="center"/>
      </w:pPr>
      <w:r>
        <w:t>R</w:t>
      </w:r>
      <w:r w:rsidR="00EF6388" w:rsidRPr="00BE5226">
        <w:t xml:space="preserve">esponse </w:t>
      </w:r>
      <w:r>
        <w:t>from the ESRB</w:t>
      </w:r>
      <w:r w:rsidRPr="00BE5226">
        <w:t xml:space="preserve"> </w:t>
      </w:r>
      <w:r w:rsidR="00EF6388" w:rsidRPr="00BE5226">
        <w:t xml:space="preserve">to the </w:t>
      </w:r>
      <w:r w:rsidR="00EF6388">
        <w:t>E</w:t>
      </w:r>
      <w:r w:rsidR="0076003C">
        <w:t>SMA</w:t>
      </w:r>
      <w:r w:rsidR="00EF6388">
        <w:t xml:space="preserve"> Consultation Paper </w:t>
      </w:r>
      <w:r w:rsidR="0075432F">
        <w:br/>
      </w:r>
      <w:r w:rsidR="00EF6388">
        <w:t xml:space="preserve">on </w:t>
      </w:r>
      <w:r w:rsidR="0076003C">
        <w:t xml:space="preserve">Guidelines on reporting obligations under Article 3 </w:t>
      </w:r>
      <w:r w:rsidR="0075432F">
        <w:br/>
      </w:r>
      <w:r w:rsidR="0076003C">
        <w:t>and Article 24 of the AIFMD</w:t>
      </w:r>
    </w:p>
    <w:p w:rsidR="00EF6388" w:rsidRDefault="00EF6388" w:rsidP="00EF6388">
      <w:pPr>
        <w:jc w:val="both"/>
        <w:rPr>
          <w:b/>
          <w:lang w:val="en-GB"/>
        </w:rPr>
      </w:pPr>
    </w:p>
    <w:p w:rsidR="00EF6388" w:rsidRPr="00B70A19" w:rsidRDefault="00EF6388" w:rsidP="00EF6388">
      <w:pPr>
        <w:jc w:val="both"/>
        <w:rPr>
          <w:b/>
          <w:lang w:val="en-GB"/>
        </w:rPr>
      </w:pPr>
      <w:r w:rsidRPr="00B70A19">
        <w:rPr>
          <w:b/>
          <w:lang w:val="en-GB"/>
        </w:rPr>
        <w:t>Introduction</w:t>
      </w:r>
    </w:p>
    <w:p w:rsidR="000302DB" w:rsidRDefault="008656E5" w:rsidP="000302DB">
      <w:pPr>
        <w:jc w:val="both"/>
        <w:rPr>
          <w:szCs w:val="22"/>
          <w:lang w:val="en-GB"/>
        </w:rPr>
      </w:pPr>
      <w:r w:rsidRPr="00FD3A1D">
        <w:rPr>
          <w:szCs w:val="22"/>
          <w:lang w:val="en-GB"/>
        </w:rPr>
        <w:t>The European Systemic Risk Board (ESRB)</w:t>
      </w:r>
      <w:r w:rsidR="000302DB">
        <w:rPr>
          <w:szCs w:val="22"/>
          <w:lang w:val="en-GB"/>
        </w:rPr>
        <w:t xml:space="preserve"> </w:t>
      </w:r>
      <w:r w:rsidRPr="00FD3A1D">
        <w:rPr>
          <w:szCs w:val="22"/>
          <w:lang w:val="en-GB"/>
        </w:rPr>
        <w:t xml:space="preserve">welcomes the publication </w:t>
      </w:r>
      <w:r w:rsidR="00175777">
        <w:rPr>
          <w:szCs w:val="22"/>
          <w:lang w:val="en-GB"/>
        </w:rPr>
        <w:t xml:space="preserve">by the European Securities and Markets Authority (ESMA) of the Guidelines on reporting obligations under article 3 and Article 24 of the Alternative Fund Managers Directive (AIFMD). </w:t>
      </w:r>
      <w:r w:rsidR="00482B18">
        <w:rPr>
          <w:szCs w:val="22"/>
          <w:lang w:val="en-GB"/>
        </w:rPr>
        <w:t>In fact, the ESRB believes that the information obtained in this framework, both individual and aggregated, will be an important tool not only to perform the tasks assigned by Article 25 of AIFMD, but also to assess the different sources of</w:t>
      </w:r>
      <w:r w:rsidR="009E7C53">
        <w:rPr>
          <w:szCs w:val="22"/>
          <w:lang w:val="en-GB"/>
        </w:rPr>
        <w:t xml:space="preserve"> systemic risk that may originate from Alternative Investment Funds (AIFs) and in particular from hedge funds, as a relevant component of the “shadow banking” system. </w:t>
      </w:r>
      <w:r w:rsidR="00AE0C7B">
        <w:rPr>
          <w:szCs w:val="22"/>
          <w:lang w:val="en-GB"/>
        </w:rPr>
        <w:t>Such risks may include, among others, excessive leverage, concentration, liquidity and interconnectness.</w:t>
      </w:r>
    </w:p>
    <w:p w:rsidR="009F0DA5" w:rsidRDefault="009F0DA5" w:rsidP="00EF6388">
      <w:pPr>
        <w:jc w:val="both"/>
        <w:rPr>
          <w:b/>
          <w:lang w:val="en-GB"/>
        </w:rPr>
      </w:pPr>
    </w:p>
    <w:p w:rsidR="00EF6388" w:rsidRPr="00B67A4F" w:rsidRDefault="00EF6388" w:rsidP="00EF6388">
      <w:pPr>
        <w:jc w:val="both"/>
        <w:rPr>
          <w:b/>
          <w:lang w:val="en-GB"/>
        </w:rPr>
      </w:pPr>
      <w:r w:rsidRPr="00B67A4F">
        <w:rPr>
          <w:b/>
          <w:lang w:val="en-GB"/>
        </w:rPr>
        <w:t>General comments</w:t>
      </w:r>
    </w:p>
    <w:p w:rsidR="00D46E9E" w:rsidRDefault="00D46E9E" w:rsidP="009F0DA5">
      <w:pPr>
        <w:jc w:val="both"/>
        <w:rPr>
          <w:lang w:val="en-GB"/>
        </w:rPr>
      </w:pPr>
      <w:r>
        <w:rPr>
          <w:lang w:val="en-GB"/>
        </w:rPr>
        <w:t>While agreeing with the proposal, the ESRB would like to make the following general comments:</w:t>
      </w:r>
    </w:p>
    <w:p w:rsidR="00AF003B" w:rsidRDefault="005F2D9D" w:rsidP="00D46E9E">
      <w:pPr>
        <w:numPr>
          <w:ilvl w:val="0"/>
          <w:numId w:val="12"/>
        </w:numPr>
        <w:jc w:val="both"/>
        <w:rPr>
          <w:lang w:val="en-GB"/>
        </w:rPr>
      </w:pPr>
      <w:r>
        <w:rPr>
          <w:lang w:val="en-GB"/>
        </w:rPr>
        <w:t>D</w:t>
      </w:r>
      <w:r w:rsidR="009F0DA5">
        <w:rPr>
          <w:lang w:val="en-GB"/>
        </w:rPr>
        <w:t xml:space="preserve">ata </w:t>
      </w:r>
      <w:r w:rsidR="00B277EC">
        <w:rPr>
          <w:lang w:val="en-GB"/>
        </w:rPr>
        <w:t xml:space="preserve">collected in this reporting </w:t>
      </w:r>
      <w:r w:rsidR="007B0EE7">
        <w:rPr>
          <w:lang w:val="en-GB"/>
        </w:rPr>
        <w:t>framework will help to detect</w:t>
      </w:r>
      <w:r w:rsidR="009F0DA5">
        <w:rPr>
          <w:lang w:val="en-GB"/>
        </w:rPr>
        <w:t xml:space="preserve"> systemic risk only if a sufficient quality is assured</w:t>
      </w:r>
      <w:r>
        <w:rPr>
          <w:lang w:val="en-GB"/>
        </w:rPr>
        <w:t xml:space="preserve">. </w:t>
      </w:r>
      <w:r w:rsidR="00AF003B">
        <w:rPr>
          <w:lang w:val="en-GB"/>
        </w:rPr>
        <w:t>Therefore</w:t>
      </w:r>
      <w:r w:rsidR="00AF003B">
        <w:rPr>
          <w:rFonts w:ascii="BdE Neue Helvetica 55 Roman" w:hAnsi="BdE Neue Helvetica 55 Roman"/>
          <w:szCs w:val="22"/>
          <w:lang w:val="en-GB"/>
        </w:rPr>
        <w:t xml:space="preserve">, it is necessary to have in place processes to ensure quality of the information received, which is a resource-intensive activity where know-how is very important. </w:t>
      </w:r>
      <w:r>
        <w:rPr>
          <w:lang w:val="en-GB"/>
        </w:rPr>
        <w:t>T</w:t>
      </w:r>
      <w:r w:rsidR="009F0DA5">
        <w:rPr>
          <w:lang w:val="en-GB"/>
        </w:rPr>
        <w:t>his</w:t>
      </w:r>
      <w:r>
        <w:rPr>
          <w:lang w:val="en-GB"/>
        </w:rPr>
        <w:t xml:space="preserve"> calls for</w:t>
      </w:r>
      <w:r w:rsidR="009F0DA5">
        <w:rPr>
          <w:lang w:val="en-GB"/>
        </w:rPr>
        <w:t xml:space="preserve"> cooperation</w:t>
      </w:r>
      <w:r>
        <w:rPr>
          <w:lang w:val="en-GB"/>
        </w:rPr>
        <w:t>,</w:t>
      </w:r>
      <w:r w:rsidR="009F0DA5">
        <w:rPr>
          <w:lang w:val="en-GB"/>
        </w:rPr>
        <w:t xml:space="preserve"> involv</w:t>
      </w:r>
      <w:r>
        <w:rPr>
          <w:lang w:val="en-GB"/>
        </w:rPr>
        <w:t>ing</w:t>
      </w:r>
      <w:r w:rsidR="009F0DA5">
        <w:rPr>
          <w:lang w:val="en-GB"/>
        </w:rPr>
        <w:t xml:space="preserve"> </w:t>
      </w:r>
      <w:r>
        <w:rPr>
          <w:lang w:val="en-GB"/>
        </w:rPr>
        <w:t>both national and European authorities</w:t>
      </w:r>
      <w:r w:rsidR="009F0DA5">
        <w:rPr>
          <w:lang w:val="en-GB"/>
        </w:rPr>
        <w:t xml:space="preserve">. Therefore, the ESRB believes that responsibilities about checks, </w:t>
      </w:r>
      <w:r w:rsidR="00AF003B">
        <w:rPr>
          <w:lang w:val="en-GB"/>
        </w:rPr>
        <w:t xml:space="preserve">both deterministic and non-deterministic, </w:t>
      </w:r>
      <w:r w:rsidR="009F0DA5">
        <w:rPr>
          <w:lang w:val="en-GB"/>
        </w:rPr>
        <w:t>including pattern checks, need to be defined</w:t>
      </w:r>
      <w:r w:rsidRPr="005F2D9D">
        <w:rPr>
          <w:lang w:val="en-GB"/>
        </w:rPr>
        <w:t xml:space="preserve"> </w:t>
      </w:r>
      <w:r>
        <w:rPr>
          <w:lang w:val="en-GB"/>
        </w:rPr>
        <w:t>more clearly</w:t>
      </w:r>
      <w:r w:rsidR="009F0DA5">
        <w:rPr>
          <w:lang w:val="en-GB"/>
        </w:rPr>
        <w:t xml:space="preserve">. </w:t>
      </w:r>
    </w:p>
    <w:p w:rsidR="00AF003B" w:rsidRPr="00AF003B" w:rsidRDefault="00AF003B" w:rsidP="00AF003B">
      <w:pPr>
        <w:numPr>
          <w:ilvl w:val="0"/>
          <w:numId w:val="12"/>
        </w:numPr>
        <w:jc w:val="both"/>
        <w:rPr>
          <w:lang w:val="en-GB"/>
        </w:rPr>
      </w:pPr>
      <w:r w:rsidRPr="00AF003B">
        <w:rPr>
          <w:lang w:val="en-GB"/>
        </w:rPr>
        <w:t>T</w:t>
      </w:r>
      <w:r w:rsidR="009F0DA5" w:rsidRPr="00AF003B">
        <w:rPr>
          <w:lang w:val="en-GB"/>
        </w:rPr>
        <w:t xml:space="preserve">imeliness is </w:t>
      </w:r>
      <w:r w:rsidRPr="00AF003B">
        <w:rPr>
          <w:lang w:val="en-GB"/>
        </w:rPr>
        <w:t xml:space="preserve">also </w:t>
      </w:r>
      <w:r w:rsidR="009F0DA5" w:rsidRPr="00AF003B">
        <w:rPr>
          <w:lang w:val="en-GB"/>
        </w:rPr>
        <w:t>an important component of data quality</w:t>
      </w:r>
      <w:r w:rsidRPr="00AF003B">
        <w:rPr>
          <w:lang w:val="en-GB"/>
        </w:rPr>
        <w:t>.</w:t>
      </w:r>
      <w:r w:rsidR="009F0DA5" w:rsidRPr="00AF003B">
        <w:rPr>
          <w:lang w:val="en-GB"/>
        </w:rPr>
        <w:t xml:space="preserve"> </w:t>
      </w:r>
      <w:r w:rsidRPr="00AF003B">
        <w:rPr>
          <w:lang w:val="en-GB"/>
        </w:rPr>
        <w:t xml:space="preserve">This implies that </w:t>
      </w:r>
      <w:r>
        <w:rPr>
          <w:lang w:val="en-GB"/>
        </w:rPr>
        <w:t xml:space="preserve">a </w:t>
      </w:r>
      <w:r>
        <w:rPr>
          <w:rFonts w:ascii="BdE Neue Helvetica 55 Roman" w:hAnsi="BdE Neue Helvetica 55 Roman"/>
          <w:szCs w:val="22"/>
          <w:lang w:val="en-GB"/>
        </w:rPr>
        <w:t>calendar for the remittance of data, which is an important aspect of any reporting framework, needs to be defined.</w:t>
      </w:r>
      <w:r w:rsidRPr="00AF003B">
        <w:rPr>
          <w:lang w:val="en-GB"/>
        </w:rPr>
        <w:t xml:space="preserve"> The coming ITS on supervisory reporting by the EBA may be used as a benchmark for these purposes.</w:t>
      </w:r>
    </w:p>
    <w:p w:rsidR="001D380B" w:rsidRPr="00AF003B" w:rsidRDefault="00865A0E" w:rsidP="00865A0E">
      <w:pPr>
        <w:numPr>
          <w:ilvl w:val="0"/>
          <w:numId w:val="12"/>
        </w:numPr>
        <w:jc w:val="both"/>
        <w:rPr>
          <w:lang w:val="en-GB"/>
        </w:rPr>
      </w:pPr>
      <w:r w:rsidRPr="00AF003B">
        <w:rPr>
          <w:lang w:val="en-GB"/>
        </w:rPr>
        <w:t xml:space="preserve">As a relevant number </w:t>
      </w:r>
      <w:r w:rsidR="00E704EB" w:rsidRPr="00AF003B">
        <w:rPr>
          <w:lang w:val="en-GB"/>
        </w:rPr>
        <w:t xml:space="preserve">of </w:t>
      </w:r>
      <w:r w:rsidRPr="00AF003B">
        <w:rPr>
          <w:lang w:val="en-GB"/>
        </w:rPr>
        <w:t>hedge funds have a “master-feeder” structure, it is important to collect also</w:t>
      </w:r>
      <w:r w:rsidR="00397431" w:rsidRPr="00AF003B">
        <w:rPr>
          <w:lang w:val="en-GB"/>
        </w:rPr>
        <w:t xml:space="preserve"> </w:t>
      </w:r>
      <w:r w:rsidR="00B17889" w:rsidRPr="00AF003B">
        <w:rPr>
          <w:lang w:val="en-GB"/>
        </w:rPr>
        <w:t xml:space="preserve">data on </w:t>
      </w:r>
      <w:r w:rsidR="00397431" w:rsidRPr="00AF003B">
        <w:rPr>
          <w:lang w:val="en-GB"/>
        </w:rPr>
        <w:t xml:space="preserve">underlying assets and liabilities of </w:t>
      </w:r>
      <w:r w:rsidRPr="00AF003B">
        <w:rPr>
          <w:lang w:val="en-GB"/>
        </w:rPr>
        <w:t xml:space="preserve">such </w:t>
      </w:r>
      <w:r w:rsidR="00397431" w:rsidRPr="00AF003B">
        <w:rPr>
          <w:lang w:val="en-GB"/>
        </w:rPr>
        <w:t xml:space="preserve">funds. The approach proposed in these guidelines is a possible </w:t>
      </w:r>
      <w:r w:rsidRPr="00AF003B">
        <w:rPr>
          <w:lang w:val="en-GB"/>
        </w:rPr>
        <w:t>way</w:t>
      </w:r>
      <w:r w:rsidR="00397431" w:rsidRPr="00AF003B">
        <w:rPr>
          <w:lang w:val="en-GB"/>
        </w:rPr>
        <w:t>; an alternative, which may have some advantage</w:t>
      </w:r>
      <w:r w:rsidR="00512CB2" w:rsidRPr="00AF003B">
        <w:rPr>
          <w:lang w:val="en-GB"/>
        </w:rPr>
        <w:t>s</w:t>
      </w:r>
      <w:r w:rsidR="00397431" w:rsidRPr="00AF003B">
        <w:rPr>
          <w:lang w:val="en-GB"/>
        </w:rPr>
        <w:t>, could be to require feeder funds to “look through” their master funds and report directly the underlying</w:t>
      </w:r>
      <w:r w:rsidR="00E05339" w:rsidRPr="00AF003B">
        <w:rPr>
          <w:lang w:val="en-GB"/>
        </w:rPr>
        <w:t xml:space="preserve"> assets and liabilities.</w:t>
      </w:r>
    </w:p>
    <w:p w:rsidR="0076003C" w:rsidRDefault="00865A0E" w:rsidP="00865A0E">
      <w:pPr>
        <w:numPr>
          <w:ilvl w:val="0"/>
          <w:numId w:val="12"/>
        </w:numPr>
        <w:jc w:val="both"/>
        <w:rPr>
          <w:lang w:val="en-GB"/>
        </w:rPr>
      </w:pPr>
      <w:r>
        <w:rPr>
          <w:lang w:val="en-GB"/>
        </w:rPr>
        <w:t xml:space="preserve">Collecting data also on extra-EU funds marketed in the EU, this reporting will fill an important gap. However, in order to assess the importance of each AIF category for the European market, </w:t>
      </w:r>
      <w:r w:rsidR="008A73DE">
        <w:rPr>
          <w:lang w:val="en-GB"/>
        </w:rPr>
        <w:t xml:space="preserve">it would be very important to </w:t>
      </w:r>
      <w:r w:rsidR="00E704EB">
        <w:rPr>
          <w:lang w:val="en-GB"/>
        </w:rPr>
        <w:t>have</w:t>
      </w:r>
      <w:r w:rsidR="008A73DE">
        <w:rPr>
          <w:lang w:val="en-GB"/>
        </w:rPr>
        <w:t xml:space="preserve"> also</w:t>
      </w:r>
      <w:r w:rsidR="0019157C">
        <w:rPr>
          <w:lang w:val="en-GB"/>
        </w:rPr>
        <w:t xml:space="preserve"> a breakdown </w:t>
      </w:r>
      <w:r w:rsidR="00E704EB">
        <w:rPr>
          <w:lang w:val="en-GB"/>
        </w:rPr>
        <w:t>between EU and non-EU investors.</w:t>
      </w:r>
      <w:r w:rsidR="0019157C">
        <w:rPr>
          <w:lang w:val="en-GB"/>
        </w:rPr>
        <w:t xml:space="preserve"> </w:t>
      </w:r>
      <w:r w:rsidR="008A73DE">
        <w:rPr>
          <w:lang w:val="en-GB"/>
        </w:rPr>
        <w:t xml:space="preserve">Another information that could be useful </w:t>
      </w:r>
      <w:r w:rsidR="00E704EB">
        <w:rPr>
          <w:lang w:val="en-GB"/>
        </w:rPr>
        <w:t xml:space="preserve">to collect </w:t>
      </w:r>
      <w:r w:rsidR="008A73DE">
        <w:rPr>
          <w:lang w:val="en-GB"/>
        </w:rPr>
        <w:t xml:space="preserve">may be </w:t>
      </w:r>
      <w:r w:rsidR="008A73DE">
        <w:rPr>
          <w:lang w:val="en-GB"/>
        </w:rPr>
        <w:lastRenderedPageBreak/>
        <w:t>data on sector of companies controlled by private-equity funds</w:t>
      </w:r>
      <w:r w:rsidR="00E704EB">
        <w:rPr>
          <w:lang w:val="en-GB"/>
        </w:rPr>
        <w:t>, in order to have an idea of the importance of such AIFs for each economic sector.</w:t>
      </w:r>
    </w:p>
    <w:p w:rsidR="008C60AC" w:rsidRDefault="00E704EB" w:rsidP="00E704EB">
      <w:pPr>
        <w:numPr>
          <w:ilvl w:val="0"/>
          <w:numId w:val="12"/>
        </w:numPr>
        <w:jc w:val="both"/>
        <w:rPr>
          <w:lang w:val="en-GB"/>
        </w:rPr>
      </w:pPr>
      <w:r>
        <w:rPr>
          <w:lang w:val="en-GB"/>
        </w:rPr>
        <w:t>I</w:t>
      </w:r>
      <w:r w:rsidR="008C60AC">
        <w:rPr>
          <w:lang w:val="en-GB"/>
        </w:rPr>
        <w:t xml:space="preserve">n order to perform a comprehensive analysis of interconnections, universally used identifiers are necessary. Therefore, </w:t>
      </w:r>
      <w:r>
        <w:rPr>
          <w:lang w:val="en-GB"/>
        </w:rPr>
        <w:t>the ESRB</w:t>
      </w:r>
      <w:r w:rsidR="008C60AC">
        <w:rPr>
          <w:lang w:val="en-GB"/>
        </w:rPr>
        <w:t xml:space="preserve"> hopes the Legal Entity Identifier (LEI) to be rapidly implemented, so that it could be made mandatory in this reporting.</w:t>
      </w:r>
      <w:r w:rsidR="00AF003B">
        <w:rPr>
          <w:lang w:val="en-GB"/>
        </w:rPr>
        <w:t xml:space="preserve"> In case LEI is not available when the Guidelines enter into force, the ESMA </w:t>
      </w:r>
      <w:r w:rsidR="007B0EE7" w:rsidRPr="007B0EE7">
        <w:rPr>
          <w:lang w:val="en-GB"/>
        </w:rPr>
        <w:t>should use any pre-LEI code endorsed by the LEI Regulatory Oversight Committee</w:t>
      </w:r>
      <w:r w:rsidR="00AF003B">
        <w:rPr>
          <w:lang w:val="en-GB"/>
        </w:rPr>
        <w:t>.</w:t>
      </w:r>
    </w:p>
    <w:p w:rsidR="00AF003B" w:rsidRDefault="00AF003B" w:rsidP="00EF6388">
      <w:pPr>
        <w:jc w:val="both"/>
        <w:rPr>
          <w:b/>
          <w:lang w:val="en-GB"/>
        </w:rPr>
      </w:pPr>
    </w:p>
    <w:p w:rsidR="00EF6388" w:rsidRPr="00B67A4F" w:rsidRDefault="00EF6388" w:rsidP="00EF6388">
      <w:pPr>
        <w:jc w:val="both"/>
        <w:rPr>
          <w:b/>
          <w:lang w:val="en-GB"/>
        </w:rPr>
      </w:pPr>
      <w:r>
        <w:rPr>
          <w:b/>
          <w:lang w:val="en-GB"/>
        </w:rPr>
        <w:t xml:space="preserve">Replies to </w:t>
      </w:r>
      <w:r w:rsidR="00661F9C">
        <w:rPr>
          <w:b/>
          <w:lang w:val="en-GB"/>
        </w:rPr>
        <w:t>ESMA</w:t>
      </w:r>
      <w:r>
        <w:rPr>
          <w:b/>
          <w:lang w:val="en-GB"/>
        </w:rPr>
        <w:t xml:space="preserve"> specific questions</w:t>
      </w:r>
    </w:p>
    <w:p w:rsidR="00EF6388" w:rsidRDefault="00EF6388" w:rsidP="00EF6388">
      <w:pPr>
        <w:jc w:val="both"/>
        <w:rPr>
          <w:lang w:val="en-GB"/>
        </w:rPr>
      </w:pPr>
      <w:r>
        <w:rPr>
          <w:lang w:val="en-GB"/>
        </w:rPr>
        <w:t xml:space="preserve">The </w:t>
      </w:r>
      <w:r w:rsidR="008C60AC">
        <w:rPr>
          <w:lang w:val="en-GB"/>
        </w:rPr>
        <w:t>ESRB</w:t>
      </w:r>
      <w:r>
        <w:rPr>
          <w:lang w:val="en-GB"/>
        </w:rPr>
        <w:t xml:space="preserve"> replies</w:t>
      </w:r>
      <w:r w:rsidRPr="00D950EA">
        <w:rPr>
          <w:lang w:val="en-GB"/>
        </w:rPr>
        <w:t xml:space="preserve"> </w:t>
      </w:r>
      <w:r>
        <w:rPr>
          <w:lang w:val="en-GB"/>
        </w:rPr>
        <w:t xml:space="preserve">to the </w:t>
      </w:r>
      <w:r w:rsidR="00C706CD">
        <w:rPr>
          <w:lang w:val="en-GB"/>
        </w:rPr>
        <w:t>1</w:t>
      </w:r>
      <w:r w:rsidR="008C60AC">
        <w:rPr>
          <w:lang w:val="en-GB"/>
        </w:rPr>
        <w:t>2</w:t>
      </w:r>
      <w:r>
        <w:rPr>
          <w:lang w:val="en-GB"/>
        </w:rPr>
        <w:t xml:space="preserve"> questions raised in the E</w:t>
      </w:r>
      <w:r w:rsidR="008C60AC">
        <w:rPr>
          <w:lang w:val="en-GB"/>
        </w:rPr>
        <w:t>SMA</w:t>
      </w:r>
      <w:r>
        <w:rPr>
          <w:lang w:val="en-GB"/>
        </w:rPr>
        <w:t xml:space="preserve"> consultation paper are provided in the table below. </w:t>
      </w:r>
    </w:p>
    <w:p w:rsidR="00164785" w:rsidRPr="008C60AC" w:rsidRDefault="00164785" w:rsidP="00164785">
      <w:pPr>
        <w:pStyle w:val="FirstTitle1"/>
        <w:spacing w:after="100" w:line="300" w:lineRule="atLeast"/>
        <w:jc w:val="both"/>
      </w:pPr>
      <w:r w:rsidRPr="00DC0723">
        <w:rPr>
          <w:b w:val="0"/>
          <w:color w:val="auto"/>
          <w:sz w:val="22"/>
        </w:rPr>
        <w:t xml:space="preserve">The </w:t>
      </w:r>
      <w:r w:rsidR="008C60AC">
        <w:rPr>
          <w:b w:val="0"/>
          <w:color w:val="auto"/>
          <w:sz w:val="22"/>
        </w:rPr>
        <w:t>ESRB</w:t>
      </w:r>
      <w:r w:rsidRPr="00DC0723">
        <w:rPr>
          <w:b w:val="0"/>
          <w:color w:val="auto"/>
          <w:sz w:val="22"/>
        </w:rPr>
        <w:t xml:space="preserve"> does not object to </w:t>
      </w:r>
      <w:r>
        <w:rPr>
          <w:b w:val="0"/>
          <w:color w:val="auto"/>
          <w:sz w:val="22"/>
        </w:rPr>
        <w:t>E</w:t>
      </w:r>
      <w:r w:rsidR="008C60AC">
        <w:rPr>
          <w:b w:val="0"/>
          <w:color w:val="auto"/>
          <w:sz w:val="22"/>
        </w:rPr>
        <w:t>SM</w:t>
      </w:r>
      <w:r>
        <w:rPr>
          <w:b w:val="0"/>
          <w:color w:val="auto"/>
          <w:sz w:val="22"/>
        </w:rPr>
        <w:t>A</w:t>
      </w:r>
      <w:r w:rsidRPr="00DC0723">
        <w:rPr>
          <w:b w:val="0"/>
          <w:color w:val="auto"/>
          <w:sz w:val="22"/>
        </w:rPr>
        <w:t xml:space="preserve"> publishing the </w:t>
      </w:r>
      <w:r w:rsidR="008C60AC" w:rsidRPr="008C60AC">
        <w:rPr>
          <w:b w:val="0"/>
          <w:color w:val="auto"/>
          <w:sz w:val="22"/>
        </w:rPr>
        <w:t>ESRB to the ESMA Consultation Paper on Guidelines on reporting obligations under Article 3 and Article 24 of the AIFMD</w:t>
      </w:r>
      <w:r w:rsidR="008C60AC">
        <w:rPr>
          <w:b w:val="0"/>
          <w:color w:val="auto"/>
          <w:sz w:val="22"/>
        </w:rPr>
        <w:t>.</w:t>
      </w:r>
    </w:p>
    <w:p w:rsidR="00EF6388" w:rsidRDefault="00EF6388" w:rsidP="00EF6388">
      <w:pPr>
        <w:jc w:val="both"/>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EF6388" w:rsidRPr="00473A15" w:rsidTr="00473A15">
        <w:tc>
          <w:tcPr>
            <w:tcW w:w="4643" w:type="dxa"/>
            <w:shd w:val="clear" w:color="auto" w:fill="auto"/>
          </w:tcPr>
          <w:p w:rsidR="00EF6388" w:rsidRPr="00473A15" w:rsidRDefault="00EF6388" w:rsidP="00473A15">
            <w:pPr>
              <w:jc w:val="both"/>
              <w:rPr>
                <w:b/>
                <w:lang w:val="en-GB"/>
              </w:rPr>
            </w:pPr>
            <w:r w:rsidRPr="00473A15">
              <w:rPr>
                <w:b/>
                <w:lang w:val="en-GB"/>
              </w:rPr>
              <w:t>Questions</w:t>
            </w:r>
          </w:p>
        </w:tc>
        <w:tc>
          <w:tcPr>
            <w:tcW w:w="4643" w:type="dxa"/>
            <w:shd w:val="clear" w:color="auto" w:fill="auto"/>
          </w:tcPr>
          <w:p w:rsidR="00EF6388" w:rsidRPr="00473A15" w:rsidRDefault="00EF6388" w:rsidP="00473A15">
            <w:pPr>
              <w:jc w:val="both"/>
              <w:rPr>
                <w:b/>
                <w:lang w:val="en-GB"/>
              </w:rPr>
            </w:pPr>
            <w:r w:rsidRPr="00473A15">
              <w:rPr>
                <w:b/>
                <w:lang w:val="en-GB"/>
              </w:rPr>
              <w:t>Replies</w:t>
            </w:r>
          </w:p>
        </w:tc>
      </w:tr>
      <w:tr w:rsidR="00EF6388" w:rsidRPr="002F519E" w:rsidTr="00473A15">
        <w:tc>
          <w:tcPr>
            <w:tcW w:w="4643" w:type="dxa"/>
            <w:shd w:val="clear" w:color="auto" w:fill="auto"/>
          </w:tcPr>
          <w:p w:rsidR="00EF6388" w:rsidRPr="00473A15" w:rsidRDefault="0076003C" w:rsidP="0076003C">
            <w:pPr>
              <w:jc w:val="both"/>
              <w:rPr>
                <w:lang w:val="en-GB"/>
              </w:rPr>
            </w:pPr>
            <w:r w:rsidRPr="0076003C">
              <w:rPr>
                <w:lang w:val="en-GB"/>
              </w:rPr>
              <w:t>Q1: Do you agree with the proposed approach for the reporting periods? If not, please state the reasons for your answer.</w:t>
            </w:r>
          </w:p>
        </w:tc>
        <w:tc>
          <w:tcPr>
            <w:tcW w:w="4643" w:type="dxa"/>
            <w:shd w:val="clear" w:color="auto" w:fill="auto"/>
          </w:tcPr>
          <w:p w:rsidR="00EF6388" w:rsidRPr="00473A15" w:rsidRDefault="007830BF" w:rsidP="00473A15">
            <w:pPr>
              <w:jc w:val="both"/>
              <w:rPr>
                <w:lang w:val="en-GB"/>
              </w:rPr>
            </w:pPr>
            <w:r>
              <w:rPr>
                <w:lang w:val="en-GB"/>
              </w:rPr>
              <w:t>The ESRB agrees with the proposed approach, both for the reason mentioned in the paper and because it makes data comparable with ESCB statistics.</w:t>
            </w:r>
          </w:p>
        </w:tc>
      </w:tr>
      <w:tr w:rsidR="00EF6388" w:rsidRPr="002F519E" w:rsidTr="00473A15">
        <w:tc>
          <w:tcPr>
            <w:tcW w:w="4643" w:type="dxa"/>
            <w:shd w:val="clear" w:color="auto" w:fill="auto"/>
          </w:tcPr>
          <w:p w:rsidR="00EF6388" w:rsidRPr="00473A15" w:rsidRDefault="0076003C" w:rsidP="0076003C">
            <w:pPr>
              <w:jc w:val="both"/>
              <w:rPr>
                <w:lang w:val="en-GB"/>
              </w:rPr>
            </w:pPr>
            <w:r w:rsidRPr="0076003C">
              <w:rPr>
                <w:lang w:val="en-GB"/>
              </w:rPr>
              <w:t>Q2:</w:t>
            </w:r>
            <w:r w:rsidR="005E1656">
              <w:rPr>
                <w:lang w:val="en-GB"/>
              </w:rPr>
              <w:t xml:space="preserve"> </w:t>
            </w:r>
            <w:r w:rsidRPr="0076003C">
              <w:rPr>
                <w:lang w:val="en-GB"/>
              </w:rPr>
              <w:t>Do you agree that ESMA should provide clarification on how AIFMs should manage change in reporting frequency? Do you agree with the scenario identified by ESMA and the guidelines provided? If not, please state the reasons for your answer.</w:t>
            </w:r>
          </w:p>
        </w:tc>
        <w:tc>
          <w:tcPr>
            <w:tcW w:w="4643" w:type="dxa"/>
            <w:shd w:val="clear" w:color="auto" w:fill="auto"/>
          </w:tcPr>
          <w:p w:rsidR="00EF6388" w:rsidRPr="00473A15" w:rsidRDefault="007830BF" w:rsidP="007830BF">
            <w:pPr>
              <w:jc w:val="both"/>
              <w:rPr>
                <w:lang w:val="en-GB"/>
              </w:rPr>
            </w:pPr>
            <w:r>
              <w:rPr>
                <w:lang w:val="en-GB"/>
              </w:rPr>
              <w:t xml:space="preserve">The ESRB agrees with the guidelines. </w:t>
            </w:r>
          </w:p>
        </w:tc>
      </w:tr>
      <w:tr w:rsidR="000E5021" w:rsidRPr="00473A15" w:rsidTr="00473A15">
        <w:tc>
          <w:tcPr>
            <w:tcW w:w="4643" w:type="dxa"/>
            <w:shd w:val="clear" w:color="auto" w:fill="auto"/>
          </w:tcPr>
          <w:p w:rsidR="000E5021" w:rsidRDefault="0076003C" w:rsidP="0076003C">
            <w:pPr>
              <w:jc w:val="both"/>
              <w:rPr>
                <w:lang w:val="en-GB"/>
              </w:rPr>
            </w:pPr>
            <w:r w:rsidRPr="0076003C">
              <w:rPr>
                <w:lang w:val="en-GB"/>
              </w:rPr>
              <w:t>Q3:</w:t>
            </w:r>
            <w:r w:rsidR="005E1656">
              <w:rPr>
                <w:lang w:val="en-GB"/>
              </w:rPr>
              <w:t xml:space="preserve"> </w:t>
            </w:r>
            <w:r w:rsidRPr="0076003C">
              <w:rPr>
                <w:lang w:val="en-GB"/>
              </w:rPr>
              <w:t>Do you think that ESMA should provide further clarification? If yes, please provide examples</w:t>
            </w:r>
          </w:p>
        </w:tc>
        <w:tc>
          <w:tcPr>
            <w:tcW w:w="4643" w:type="dxa"/>
            <w:shd w:val="clear" w:color="auto" w:fill="auto"/>
          </w:tcPr>
          <w:p w:rsidR="000E5021" w:rsidRPr="00473A15" w:rsidRDefault="007830BF" w:rsidP="008E06E0">
            <w:pPr>
              <w:jc w:val="both"/>
              <w:rPr>
                <w:lang w:val="en-GB"/>
              </w:rPr>
            </w:pPr>
            <w:r>
              <w:rPr>
                <w:lang w:val="en-GB"/>
              </w:rPr>
              <w:t>No.</w:t>
            </w:r>
          </w:p>
        </w:tc>
      </w:tr>
      <w:tr w:rsidR="000E5021" w:rsidRPr="002F519E" w:rsidTr="00473A15">
        <w:tc>
          <w:tcPr>
            <w:tcW w:w="4643" w:type="dxa"/>
            <w:shd w:val="clear" w:color="auto" w:fill="auto"/>
          </w:tcPr>
          <w:p w:rsidR="000E5021" w:rsidRDefault="0076003C" w:rsidP="0076003C">
            <w:pPr>
              <w:jc w:val="both"/>
              <w:rPr>
                <w:lang w:val="en-GB"/>
              </w:rPr>
            </w:pPr>
            <w:r w:rsidRPr="0076003C">
              <w:rPr>
                <w:lang w:val="en-GB"/>
              </w:rPr>
              <w:t>Q4:</w:t>
            </w:r>
            <w:r w:rsidR="005E1656">
              <w:rPr>
                <w:lang w:val="en-GB"/>
              </w:rPr>
              <w:t xml:space="preserve"> </w:t>
            </w:r>
            <w:r w:rsidRPr="0076003C">
              <w:rPr>
                <w:lang w:val="en-GB"/>
              </w:rPr>
              <w:t>Do you agree with the proposed approach for the reporting obligations for feeder AIFs and umbrella AIFs? If not, please state the reasons for your answer.</w:t>
            </w:r>
          </w:p>
        </w:tc>
        <w:tc>
          <w:tcPr>
            <w:tcW w:w="4643" w:type="dxa"/>
            <w:shd w:val="clear" w:color="auto" w:fill="auto"/>
          </w:tcPr>
          <w:p w:rsidR="000E5021" w:rsidRPr="00473A15" w:rsidRDefault="001D380B" w:rsidP="00E77D96">
            <w:pPr>
              <w:jc w:val="both"/>
              <w:rPr>
                <w:lang w:val="en-GB"/>
              </w:rPr>
            </w:pPr>
            <w:r>
              <w:rPr>
                <w:lang w:val="en-GB"/>
              </w:rPr>
              <w:t xml:space="preserve">The ESRB agrees with the </w:t>
            </w:r>
            <w:r w:rsidR="00661F9C">
              <w:rPr>
                <w:lang w:val="en-GB"/>
              </w:rPr>
              <w:t xml:space="preserve">proposed </w:t>
            </w:r>
            <w:r>
              <w:rPr>
                <w:lang w:val="en-GB"/>
              </w:rPr>
              <w:t>approach</w:t>
            </w:r>
            <w:r w:rsidR="00661F9C">
              <w:rPr>
                <w:lang w:val="en-GB"/>
              </w:rPr>
              <w:t>. In any case, the ESRB deems essential to collect data on underlying assets and liabilities of master-feeder funds (see also general comments).</w:t>
            </w:r>
          </w:p>
        </w:tc>
      </w:tr>
      <w:tr w:rsidR="00D07A26" w:rsidRPr="002F519E" w:rsidTr="00BD6634">
        <w:tc>
          <w:tcPr>
            <w:tcW w:w="4643" w:type="dxa"/>
            <w:shd w:val="clear" w:color="auto" w:fill="auto"/>
          </w:tcPr>
          <w:p w:rsidR="00D07A26" w:rsidRDefault="0076003C" w:rsidP="0076003C">
            <w:pPr>
              <w:jc w:val="both"/>
              <w:rPr>
                <w:lang w:val="en-GB"/>
              </w:rPr>
            </w:pPr>
            <w:r w:rsidRPr="0076003C">
              <w:rPr>
                <w:lang w:val="en-GB"/>
              </w:rPr>
              <w:t>Q5:</w:t>
            </w:r>
            <w:r w:rsidR="005E1656">
              <w:rPr>
                <w:lang w:val="en-GB"/>
              </w:rPr>
              <w:t xml:space="preserve"> </w:t>
            </w:r>
            <w:r w:rsidRPr="0076003C">
              <w:rPr>
                <w:lang w:val="en-GB"/>
              </w:rPr>
              <w:t>Do you agree with the approach proposed by ESMA? If not, please state the reasons for your answer? Do you think ESMA should provide further clarification? If yes, please give examples</w:t>
            </w:r>
          </w:p>
        </w:tc>
        <w:tc>
          <w:tcPr>
            <w:tcW w:w="4643" w:type="dxa"/>
            <w:shd w:val="clear" w:color="auto" w:fill="auto"/>
          </w:tcPr>
          <w:p w:rsidR="00D07A26" w:rsidRPr="00473A15" w:rsidRDefault="00661F9C" w:rsidP="00C706CD">
            <w:pPr>
              <w:jc w:val="both"/>
              <w:rPr>
                <w:lang w:val="en-GB"/>
              </w:rPr>
            </w:pPr>
            <w:r>
              <w:rPr>
                <w:lang w:val="en-GB"/>
              </w:rPr>
              <w:t>The ESRB agrees with the proposed approach. In particular, the ESRB considers important to collect ISIN codes of AIFs’ units, which will allow cross-checks with ESCB statistics.</w:t>
            </w:r>
          </w:p>
        </w:tc>
      </w:tr>
      <w:tr w:rsidR="00D07A26" w:rsidRPr="002F519E" w:rsidTr="00BD6634">
        <w:tc>
          <w:tcPr>
            <w:tcW w:w="4643" w:type="dxa"/>
            <w:shd w:val="clear" w:color="auto" w:fill="auto"/>
          </w:tcPr>
          <w:p w:rsidR="00D07A26" w:rsidRDefault="005E1656" w:rsidP="005E1656">
            <w:pPr>
              <w:jc w:val="both"/>
              <w:rPr>
                <w:lang w:val="en-GB"/>
              </w:rPr>
            </w:pPr>
            <w:r w:rsidRPr="005E1656">
              <w:rPr>
                <w:lang w:val="en-GB"/>
              </w:rPr>
              <w:lastRenderedPageBreak/>
              <w:t>Q6:</w:t>
            </w:r>
            <w:r>
              <w:rPr>
                <w:lang w:val="en-GB"/>
              </w:rPr>
              <w:t xml:space="preserve"> </w:t>
            </w:r>
            <w:r w:rsidRPr="005E1656">
              <w:rPr>
                <w:lang w:val="en-GB"/>
              </w:rPr>
              <w:t>Do you agree with the proposed approach for the principal markets and instruments in which AIFMs are trading on behalf of the AIFs they manage? If not, what would you propose as alternative approach to the identification of principal markets and instruments?</w:t>
            </w:r>
          </w:p>
        </w:tc>
        <w:tc>
          <w:tcPr>
            <w:tcW w:w="4643" w:type="dxa"/>
            <w:shd w:val="clear" w:color="auto" w:fill="auto"/>
          </w:tcPr>
          <w:p w:rsidR="00D07A26" w:rsidRPr="00473A15" w:rsidRDefault="008D7AD0" w:rsidP="00E77D96">
            <w:pPr>
              <w:jc w:val="both"/>
              <w:rPr>
                <w:lang w:val="en-GB"/>
              </w:rPr>
            </w:pPr>
            <w:r>
              <w:rPr>
                <w:lang w:val="en-GB"/>
              </w:rPr>
              <w:t>The ESRB agrees about</w:t>
            </w:r>
            <w:r w:rsidR="0046652D">
              <w:rPr>
                <w:lang w:val="en-GB"/>
              </w:rPr>
              <w:t xml:space="preserve"> instruments, while for markets it </w:t>
            </w:r>
            <w:r>
              <w:rPr>
                <w:lang w:val="en-GB"/>
              </w:rPr>
              <w:t xml:space="preserve">believes that a ranking by turnover would be more significant. </w:t>
            </w:r>
            <w:r w:rsidR="0046652D">
              <w:rPr>
                <w:lang w:val="en-GB"/>
              </w:rPr>
              <w:t>However, if for simplicity it is deemed preferable to use the same criteria for both, the ESRB would prefer to use turnover.</w:t>
            </w:r>
          </w:p>
        </w:tc>
      </w:tr>
      <w:tr w:rsidR="00D07A26" w:rsidRPr="002F519E" w:rsidTr="00BD6634">
        <w:tc>
          <w:tcPr>
            <w:tcW w:w="4643" w:type="dxa"/>
            <w:shd w:val="clear" w:color="auto" w:fill="auto"/>
          </w:tcPr>
          <w:p w:rsidR="00D07A26" w:rsidRDefault="005E1656" w:rsidP="005E1656">
            <w:pPr>
              <w:jc w:val="both"/>
              <w:rPr>
                <w:lang w:val="en-GB"/>
              </w:rPr>
            </w:pPr>
            <w:r w:rsidRPr="005E1656">
              <w:rPr>
                <w:lang w:val="en-GB"/>
              </w:rPr>
              <w:t>Q7: Do you agree that AIFMs should report information on high frequency trading? If not, please state the reasons for your answer. If yes, do you agree that this information should be expressed as a percentage of the NAV of the AIF? If not, please state the reasons for your answer and identify more meaningful information that could be reported.</w:t>
            </w:r>
          </w:p>
        </w:tc>
        <w:tc>
          <w:tcPr>
            <w:tcW w:w="4643" w:type="dxa"/>
            <w:shd w:val="clear" w:color="auto" w:fill="auto"/>
          </w:tcPr>
          <w:p w:rsidR="00D07A26" w:rsidRPr="00473A15" w:rsidRDefault="0046652D" w:rsidP="007B0EE7">
            <w:pPr>
              <w:jc w:val="both"/>
              <w:rPr>
                <w:lang w:val="en-GB"/>
              </w:rPr>
            </w:pPr>
            <w:r>
              <w:rPr>
                <w:lang w:val="en-GB"/>
              </w:rPr>
              <w:t>The ESRB agrees on collecting data on high frequency trading, as it may be an important source of systemic risk.</w:t>
            </w:r>
            <w:r w:rsidR="005F6EB8">
              <w:rPr>
                <w:lang w:val="en-GB"/>
              </w:rPr>
              <w:t xml:space="preserve"> </w:t>
            </w:r>
            <w:r w:rsidR="007B0EE7">
              <w:rPr>
                <w:rFonts w:ascii="BdE Neue Helvetica 55 Roman" w:hAnsi="BdE Neue Helvetica 55 Roman"/>
                <w:szCs w:val="22"/>
                <w:lang w:val="en-GB"/>
              </w:rPr>
              <w:t>Further work will then be necessary in order to develop a more comprehensive set of indicators which can help supervisors and regulators to understand better this complex phenomenon.</w:t>
            </w:r>
          </w:p>
        </w:tc>
      </w:tr>
      <w:tr w:rsidR="00D07A26" w:rsidRPr="001D380B" w:rsidTr="00D07A26">
        <w:tc>
          <w:tcPr>
            <w:tcW w:w="4643" w:type="dxa"/>
            <w:tcBorders>
              <w:top w:val="single" w:sz="4" w:space="0" w:color="auto"/>
              <w:left w:val="single" w:sz="4" w:space="0" w:color="auto"/>
              <w:bottom w:val="single" w:sz="4" w:space="0" w:color="auto"/>
              <w:right w:val="single" w:sz="4" w:space="0" w:color="auto"/>
            </w:tcBorders>
            <w:shd w:val="clear" w:color="auto" w:fill="auto"/>
          </w:tcPr>
          <w:p w:rsidR="00D07A26" w:rsidRDefault="005E1656" w:rsidP="005E1656">
            <w:pPr>
              <w:jc w:val="both"/>
              <w:rPr>
                <w:lang w:val="en-GB"/>
              </w:rPr>
            </w:pPr>
            <w:r w:rsidRPr="005E1656">
              <w:rPr>
                <w:lang w:val="en-GB"/>
              </w:rPr>
              <w:t>Q8: Do you think that the list of investment strategies should be widened? If yes, please</w:t>
            </w:r>
            <w:r>
              <w:rPr>
                <w:lang w:val="en-GB"/>
              </w:rPr>
              <w:t xml:space="preserve"> </w:t>
            </w:r>
            <w:r w:rsidRPr="005E1656">
              <w:rPr>
                <w:lang w:val="en-GB"/>
              </w:rPr>
              <w:t>provide ESMA with suggestions of additional</w:t>
            </w:r>
            <w:r>
              <w:rPr>
                <w:lang w:val="en-GB"/>
              </w:rPr>
              <w:t xml:space="preserve"> </w:t>
            </w:r>
            <w:r w:rsidRPr="005E1656">
              <w:rPr>
                <w:lang w:val="en-GB"/>
              </w:rPr>
              <w:t>investment strategies</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D07A26" w:rsidRPr="00473A15" w:rsidRDefault="0046652D" w:rsidP="00BD6634">
            <w:pPr>
              <w:jc w:val="both"/>
              <w:rPr>
                <w:lang w:val="en-GB"/>
              </w:rPr>
            </w:pPr>
            <w:r>
              <w:rPr>
                <w:lang w:val="en-GB"/>
              </w:rPr>
              <w:t>No</w:t>
            </w:r>
          </w:p>
        </w:tc>
      </w:tr>
      <w:tr w:rsidR="00D07A26" w:rsidRPr="002F519E" w:rsidTr="00D07A26">
        <w:tc>
          <w:tcPr>
            <w:tcW w:w="4643" w:type="dxa"/>
            <w:tcBorders>
              <w:top w:val="single" w:sz="4" w:space="0" w:color="auto"/>
              <w:left w:val="single" w:sz="4" w:space="0" w:color="auto"/>
              <w:bottom w:val="single" w:sz="4" w:space="0" w:color="auto"/>
              <w:right w:val="single" w:sz="4" w:space="0" w:color="auto"/>
            </w:tcBorders>
            <w:shd w:val="clear" w:color="auto" w:fill="auto"/>
          </w:tcPr>
          <w:p w:rsidR="00D07A26" w:rsidRDefault="005E1656" w:rsidP="005E1656">
            <w:pPr>
              <w:jc w:val="both"/>
              <w:rPr>
                <w:lang w:val="en-GB"/>
              </w:rPr>
            </w:pPr>
            <w:r w:rsidRPr="005E1656">
              <w:rPr>
                <w:lang w:val="en-GB"/>
              </w:rPr>
              <w:t>Q9:</w:t>
            </w:r>
            <w:r>
              <w:rPr>
                <w:lang w:val="en-GB"/>
              </w:rPr>
              <w:t xml:space="preserve"> </w:t>
            </w:r>
            <w:r w:rsidRPr="005E1656">
              <w:rPr>
                <w:lang w:val="en-GB"/>
              </w:rPr>
              <w:t>Do you agree that AIFMs should also calculate the geographical focus based on the total value of the assets of the AIF?</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D07A26" w:rsidRPr="00473A15" w:rsidRDefault="00C96FFB" w:rsidP="00EB3A4A">
            <w:pPr>
              <w:jc w:val="both"/>
              <w:rPr>
                <w:lang w:val="en-GB"/>
              </w:rPr>
            </w:pPr>
            <w:r>
              <w:rPr>
                <w:lang w:val="en-GB"/>
              </w:rPr>
              <w:t>Yes, because for a</w:t>
            </w:r>
            <w:r w:rsidR="0046652D">
              <w:rPr>
                <w:lang w:val="en-GB"/>
              </w:rPr>
              <w:t xml:space="preserve"> highly leveraged fund the definition of “geographical focus” of NAV may be ambiguous or, in any case, not so significant.</w:t>
            </w:r>
          </w:p>
        </w:tc>
      </w:tr>
      <w:tr w:rsidR="00EB3A4A" w:rsidRPr="002F519E" w:rsidTr="00D07A26">
        <w:tc>
          <w:tcPr>
            <w:tcW w:w="4643" w:type="dxa"/>
            <w:tcBorders>
              <w:top w:val="single" w:sz="4" w:space="0" w:color="auto"/>
              <w:left w:val="single" w:sz="4" w:space="0" w:color="auto"/>
              <w:bottom w:val="single" w:sz="4" w:space="0" w:color="auto"/>
              <w:right w:val="single" w:sz="4" w:space="0" w:color="auto"/>
            </w:tcBorders>
            <w:shd w:val="clear" w:color="auto" w:fill="auto"/>
          </w:tcPr>
          <w:p w:rsidR="00EB3A4A" w:rsidRPr="00EB3A4A" w:rsidRDefault="005E1656" w:rsidP="005E1656">
            <w:pPr>
              <w:jc w:val="both"/>
              <w:rPr>
                <w:lang w:val="en-GB"/>
              </w:rPr>
            </w:pPr>
            <w:r w:rsidRPr="005E1656">
              <w:rPr>
                <w:lang w:val="en-GB"/>
              </w:rPr>
              <w:t>Q10: Do you agree that information on the turnover should also be expressed in number of transactions? If not, please state the reasons for your answer.</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EB3A4A" w:rsidRPr="00473A15" w:rsidRDefault="00C96FFB" w:rsidP="008A73DE">
            <w:pPr>
              <w:jc w:val="both"/>
              <w:rPr>
                <w:lang w:val="en-GB"/>
              </w:rPr>
            </w:pPr>
            <w:r>
              <w:rPr>
                <w:lang w:val="en-GB"/>
              </w:rPr>
              <w:t>Yes</w:t>
            </w:r>
            <w:r w:rsidR="00810B79">
              <w:rPr>
                <w:lang w:val="en-GB"/>
              </w:rPr>
              <w:t>, as both measures may be significant, according to the fund’s strategy.</w:t>
            </w:r>
          </w:p>
        </w:tc>
      </w:tr>
      <w:tr w:rsidR="005E1656" w:rsidRPr="002F519E" w:rsidTr="00D07A26">
        <w:tc>
          <w:tcPr>
            <w:tcW w:w="4643" w:type="dxa"/>
            <w:tcBorders>
              <w:top w:val="single" w:sz="4" w:space="0" w:color="auto"/>
              <w:left w:val="single" w:sz="4" w:space="0" w:color="auto"/>
              <w:bottom w:val="single" w:sz="4" w:space="0" w:color="auto"/>
              <w:right w:val="single" w:sz="4" w:space="0" w:color="auto"/>
            </w:tcBorders>
            <w:shd w:val="clear" w:color="auto" w:fill="auto"/>
          </w:tcPr>
          <w:p w:rsidR="005E1656" w:rsidRPr="005E1656" w:rsidRDefault="005E1656" w:rsidP="005E1656">
            <w:pPr>
              <w:jc w:val="both"/>
              <w:rPr>
                <w:lang w:val="en-GB"/>
              </w:rPr>
            </w:pPr>
            <w:r w:rsidRPr="005E1656">
              <w:rPr>
                <w:lang w:val="en-GB"/>
              </w:rPr>
              <w:t>Q11: Do you agree with the proposed list of types of transactions and the respective definitions? If not, please state the reason for your answer. Can you think of any other type of transactions that ESMA should add to the list?</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5E1656" w:rsidRPr="00473A15" w:rsidRDefault="005C6F3A" w:rsidP="00EB3A4A">
            <w:pPr>
              <w:jc w:val="both"/>
              <w:rPr>
                <w:lang w:val="en-GB"/>
              </w:rPr>
            </w:pPr>
            <w:r>
              <w:rPr>
                <w:lang w:val="en-GB"/>
              </w:rPr>
              <w:t>The ESRB agrees with the proposed list, also considering that it is not exhaustive.</w:t>
            </w:r>
          </w:p>
        </w:tc>
      </w:tr>
      <w:tr w:rsidR="005E1656" w:rsidRPr="002F519E" w:rsidTr="00D07A26">
        <w:tc>
          <w:tcPr>
            <w:tcW w:w="4643" w:type="dxa"/>
            <w:tcBorders>
              <w:top w:val="single" w:sz="4" w:space="0" w:color="auto"/>
              <w:left w:val="single" w:sz="4" w:space="0" w:color="auto"/>
              <w:bottom w:val="single" w:sz="4" w:space="0" w:color="auto"/>
              <w:right w:val="single" w:sz="4" w:space="0" w:color="auto"/>
            </w:tcBorders>
            <w:shd w:val="clear" w:color="auto" w:fill="auto"/>
          </w:tcPr>
          <w:p w:rsidR="005E1656" w:rsidRPr="005E1656" w:rsidRDefault="005E1656" w:rsidP="005E1656">
            <w:pPr>
              <w:jc w:val="both"/>
              <w:rPr>
                <w:lang w:val="en-GB"/>
              </w:rPr>
            </w:pPr>
            <w:r w:rsidRPr="005E1656">
              <w:rPr>
                <w:lang w:val="en-GB"/>
              </w:rPr>
              <w:t>Q12: Do you agree with the introduction of additional measures of market risks? If not, please state the reason for your answer. If yes, do you be</w:t>
            </w:r>
            <w:r>
              <w:rPr>
                <w:lang w:val="en-GB"/>
              </w:rPr>
              <w:t xml:space="preserve">lieve that ESMA should further </w:t>
            </w:r>
            <w:r w:rsidRPr="005E1656">
              <w:rPr>
                <w:lang w:val="en-GB"/>
              </w:rPr>
              <w:t>clarify how these measures should be computed?</w:t>
            </w:r>
          </w:p>
        </w:tc>
        <w:tc>
          <w:tcPr>
            <w:tcW w:w="4643" w:type="dxa"/>
            <w:tcBorders>
              <w:top w:val="single" w:sz="4" w:space="0" w:color="auto"/>
              <w:left w:val="single" w:sz="4" w:space="0" w:color="auto"/>
              <w:bottom w:val="single" w:sz="4" w:space="0" w:color="auto"/>
              <w:right w:val="single" w:sz="4" w:space="0" w:color="auto"/>
            </w:tcBorders>
            <w:shd w:val="clear" w:color="auto" w:fill="auto"/>
          </w:tcPr>
          <w:p w:rsidR="005E1656" w:rsidRPr="00473A15" w:rsidRDefault="005C6F3A" w:rsidP="005C6F3A">
            <w:pPr>
              <w:jc w:val="both"/>
              <w:rPr>
                <w:lang w:val="en-GB"/>
              </w:rPr>
            </w:pPr>
            <w:r>
              <w:rPr>
                <w:lang w:val="en-GB"/>
              </w:rPr>
              <w:t>The ESRB believes that additional measures of market risk, particularly VaR</w:t>
            </w:r>
            <w:r w:rsidR="009F0DA5">
              <w:rPr>
                <w:lang w:val="en-GB"/>
              </w:rPr>
              <w:t>,</w:t>
            </w:r>
            <w:r>
              <w:rPr>
                <w:lang w:val="en-GB"/>
              </w:rPr>
              <w:t xml:space="preserve"> would be helpful, provided that they are clearly defined. The ESRB also believes that some more clarification would help.</w:t>
            </w:r>
            <w:r w:rsidR="00B17889">
              <w:rPr>
                <w:lang w:val="en-GB"/>
              </w:rPr>
              <w:t xml:space="preserve"> In any case it should be recognised that some risk measures such as Value-at-Risk Data computed at the last business day of the reporting period might display a blurred picture of the risk situation. Either an average calculation of the risk measure over the reporting period and/or the information of maximum risk within the reporting period would be more suitable for an appropriate risk assessment.</w:t>
            </w:r>
          </w:p>
        </w:tc>
      </w:tr>
    </w:tbl>
    <w:p w:rsidR="007459E9" w:rsidRPr="008A6B4D" w:rsidRDefault="007459E9" w:rsidP="007459E9">
      <w:pPr>
        <w:rPr>
          <w:lang w:val="en-GB"/>
        </w:rPr>
      </w:pPr>
    </w:p>
    <w:sectPr w:rsidR="007459E9" w:rsidRPr="008A6B4D" w:rsidSect="001E1A2B">
      <w:headerReference w:type="default" r:id="rId9"/>
      <w:footerReference w:type="even" r:id="rId10"/>
      <w:footerReference w:type="default" r:id="rId11"/>
      <w:headerReference w:type="first" r:id="rId12"/>
      <w:footerReference w:type="first" r:id="rId13"/>
      <w:pgSz w:w="11906" w:h="16838" w:code="9"/>
      <w:pgMar w:top="2835" w:right="1418" w:bottom="964" w:left="1418" w:header="709"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8C" w:rsidRDefault="0072178C">
      <w:r>
        <w:separator/>
      </w:r>
    </w:p>
  </w:endnote>
  <w:endnote w:type="continuationSeparator" w:id="0">
    <w:p w:rsidR="0072178C" w:rsidRDefault="0072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aavi">
    <w:panose1 w:val="02000500000000000000"/>
    <w:charset w:val="00"/>
    <w:family w:val="auto"/>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TFrutiger Next CondLight">
    <w:altName w:val="Impact"/>
    <w:charset w:val="00"/>
    <w:family w:val="auto"/>
    <w:pitch w:val="variable"/>
    <w:sig w:usb0="800000A7" w:usb1="00000040" w:usb2="00000000" w:usb3="00000000" w:csb0="00000001" w:csb1="00000000"/>
  </w:font>
  <w:font w:name="StarSymbol">
    <w:altName w:val="Arial Unicode MS"/>
    <w:panose1 w:val="00000000000000000000"/>
    <w:charset w:val="00"/>
    <w:family w:val="roman"/>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dE Neue Helvetica 55 Roman">
    <w:altName w:val="Arial"/>
    <w:charset w:val="00"/>
    <w:family w:val="swiss"/>
    <w:pitch w:val="variable"/>
    <w:sig w:usb0="00000001" w:usb1="10002042"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C8" w:rsidRDefault="009B39C8" w:rsidP="00674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9C8" w:rsidRDefault="009B39C8" w:rsidP="00EF75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C8" w:rsidRDefault="009B39C8" w:rsidP="00AB25F3">
    <w:pPr>
      <w:pStyle w:val="Footer"/>
      <w:jc w:val="right"/>
    </w:pPr>
    <w:r w:rsidRPr="00AB25F3">
      <w:rPr>
        <w:rStyle w:val="PageNumber"/>
      </w:rPr>
      <w:t>|</w:t>
    </w:r>
    <w:r>
      <w:rPr>
        <w:rStyle w:val="PageNumber"/>
      </w:rPr>
      <w:fldChar w:fldCharType="begin"/>
    </w:r>
    <w:r>
      <w:rPr>
        <w:rStyle w:val="PageNumber"/>
      </w:rPr>
      <w:instrText xml:space="preserve">PAGE  </w:instrText>
    </w:r>
    <w:r>
      <w:rPr>
        <w:rStyle w:val="PageNumber"/>
      </w:rPr>
      <w:fldChar w:fldCharType="separate"/>
    </w:r>
    <w:r w:rsidR="002F519E">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C8" w:rsidRDefault="009B39C8" w:rsidP="00AB25F3">
    <w:pPr>
      <w:pStyle w:val="Footer"/>
      <w:jc w:val="right"/>
    </w:pPr>
    <w:r w:rsidRPr="00AB25F3">
      <w:rPr>
        <w:rStyle w:val="PageNumber"/>
      </w:rPr>
      <w:t>|</w:t>
    </w:r>
    <w:r>
      <w:rPr>
        <w:rStyle w:val="PageNumber"/>
      </w:rPr>
      <w:fldChar w:fldCharType="begin"/>
    </w:r>
    <w:r>
      <w:rPr>
        <w:rStyle w:val="PageNumber"/>
      </w:rPr>
      <w:instrText xml:space="preserve">PAGE  </w:instrText>
    </w:r>
    <w:r>
      <w:rPr>
        <w:rStyle w:val="PageNumber"/>
      </w:rPr>
      <w:fldChar w:fldCharType="separate"/>
    </w:r>
    <w:r w:rsidR="002F519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8C" w:rsidRDefault="0072178C" w:rsidP="001E1A2B">
      <w:r>
        <w:separator/>
      </w:r>
    </w:p>
  </w:footnote>
  <w:footnote w:type="continuationSeparator" w:id="0">
    <w:p w:rsidR="0072178C" w:rsidRDefault="0072178C"/>
  </w:footnote>
  <w:footnote w:type="continuationNotice" w:id="1">
    <w:p w:rsidR="0072178C" w:rsidRDefault="007217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C8" w:rsidRDefault="002F519E">
    <w:r>
      <w:rPr>
        <w:noProof/>
        <w:lang w:val="en-GB" w:eastAsia="en-GB" w:bidi="ar-SA"/>
      </w:rPr>
      <w:drawing>
        <wp:anchor distT="0" distB="0" distL="114300" distR="114300" simplePos="0" relativeHeight="251658240" behindDoc="1" locked="0" layoutInCell="1" allowOverlap="1">
          <wp:simplePos x="0" y="0"/>
          <wp:positionH relativeFrom="page">
            <wp:posOffset>4248785</wp:posOffset>
          </wp:positionH>
          <wp:positionV relativeFrom="page">
            <wp:posOffset>575945</wp:posOffset>
          </wp:positionV>
          <wp:extent cx="2406650" cy="431800"/>
          <wp:effectExtent l="0" t="0" r="0" b="6350"/>
          <wp:wrapNone/>
          <wp:docPr id="27" name="Picture 27" descr="ESRB_Logo_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SRB_Logo_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431800"/>
                  </a:xfrm>
                  <a:prstGeom prst="rect">
                    <a:avLst/>
                  </a:prstGeom>
                  <a:noFill/>
                </pic:spPr>
              </pic:pic>
            </a:graphicData>
          </a:graphic>
          <wp14:sizeRelH relativeFrom="page">
            <wp14:pctWidth>0</wp14:pctWidth>
          </wp14:sizeRelH>
          <wp14:sizeRelV relativeFrom="page">
            <wp14:pctHeight>0</wp14:pctHeight>
          </wp14:sizeRelV>
        </wp:anchor>
      </w:drawing>
    </w:r>
    <w:r w:rsidR="009B39C8">
      <w:object w:dxaOrig="139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5pt" o:ole="">
          <v:imagedata r:id="rId2" o:title=""/>
        </v:shape>
        <o:OLEObject Type="Embed" ProgID="Photoshop.Image.9" ShapeID="_x0000_i1025" DrawAspect="Content" ObjectID="_1434202486" r:id="rId3">
          <o:FieldCodes>\s</o:FieldCodes>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C8" w:rsidRPr="00587673" w:rsidRDefault="002F519E" w:rsidP="00EF6388">
    <w:pPr>
      <w:rPr>
        <w:b/>
        <w:sz w:val="20"/>
        <w:szCs w:val="20"/>
      </w:rPr>
    </w:pPr>
    <w:r>
      <w:rPr>
        <w:noProof/>
        <w:lang w:val="en-GB" w:eastAsia="en-GB" w:bidi="ar-SA"/>
      </w:rPr>
      <w:drawing>
        <wp:anchor distT="0" distB="0" distL="114300" distR="114300" simplePos="0" relativeHeight="251657216" behindDoc="1" locked="0" layoutInCell="1" allowOverlap="1">
          <wp:simplePos x="0" y="0"/>
          <wp:positionH relativeFrom="page">
            <wp:posOffset>3924300</wp:posOffset>
          </wp:positionH>
          <wp:positionV relativeFrom="page">
            <wp:posOffset>480695</wp:posOffset>
          </wp:positionV>
          <wp:extent cx="3114040" cy="565150"/>
          <wp:effectExtent l="0" t="0" r="0" b="6350"/>
          <wp:wrapNone/>
          <wp:docPr id="25" name="Picture 25" descr="ESRB_Logo_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RB_Logo_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40" cy="565150"/>
                  </a:xfrm>
                  <a:prstGeom prst="rect">
                    <a:avLst/>
                  </a:prstGeom>
                  <a:noFill/>
                </pic:spPr>
              </pic:pic>
            </a:graphicData>
          </a:graphic>
          <wp14:sizeRelH relativeFrom="page">
            <wp14:pctWidth>0</wp14:pctWidth>
          </wp14:sizeRelH>
          <wp14:sizeRelV relativeFrom="page">
            <wp14:pctHeight>0</wp14:pctHeight>
          </wp14:sizeRelV>
        </wp:anchor>
      </w:drawing>
    </w:r>
    <w:r w:rsidR="007B0EE7">
      <w:rPr>
        <w:b/>
        <w:sz w:val="20"/>
        <w:szCs w:val="20"/>
      </w:rPr>
      <w:t>1.7</w:t>
    </w:r>
    <w:r w:rsidR="009B39C8">
      <w:rPr>
        <w:b/>
        <w:sz w:val="20"/>
        <w:szCs w:val="20"/>
      </w:rPr>
      <w:t>.2013</w:t>
    </w:r>
  </w:p>
  <w:p w:rsidR="009B39C8" w:rsidRDefault="009B39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1BA"/>
    <w:multiLevelType w:val="hybridMultilevel"/>
    <w:tmpl w:val="412ED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DF0856"/>
    <w:multiLevelType w:val="hybridMultilevel"/>
    <w:tmpl w:val="84F04B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76E1F"/>
    <w:multiLevelType w:val="hybridMultilevel"/>
    <w:tmpl w:val="851643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873F25"/>
    <w:multiLevelType w:val="multilevel"/>
    <w:tmpl w:val="5F944EAA"/>
    <w:styleLink w:val="StyleNumbered"/>
    <w:lvl w:ilvl="0">
      <w:start w:val="1"/>
      <w:numFmt w:val="decimal"/>
      <w:lvlText w:val="%1."/>
      <w:lvlJc w:val="left"/>
      <w:pPr>
        <w:tabs>
          <w:tab w:val="num" w:pos="284"/>
        </w:tabs>
        <w:ind w:left="284" w:hanging="284"/>
      </w:pPr>
      <w:rPr>
        <w:rFonts w:ascii="Arial" w:hAnsi="Arial" w:cs="Raavi" w:hint="default"/>
        <w:sz w:val="22"/>
        <w:szCs w:val="24"/>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964"/>
        </w:tabs>
        <w:ind w:left="964"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F5A5183"/>
    <w:multiLevelType w:val="hybridMultilevel"/>
    <w:tmpl w:val="8B64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41FD2"/>
    <w:multiLevelType w:val="multilevel"/>
    <w:tmpl w:val="1100A932"/>
    <w:lvl w:ilvl="0">
      <w:start w:val="1"/>
      <w:numFmt w:val="bullet"/>
      <w:pStyle w:val="Bulletpoints"/>
      <w:lvlText w:val="•"/>
      <w:lvlJc w:val="left"/>
      <w:pPr>
        <w:tabs>
          <w:tab w:val="num" w:pos="284"/>
        </w:tabs>
        <w:ind w:left="284" w:hanging="284"/>
      </w:pPr>
      <w:rPr>
        <w:rFonts w:ascii="LTFrutiger Next CondLight" w:hAnsi="LTFrutiger Next CondLight" w:hint="default"/>
        <w:color w:val="003399"/>
        <w:sz w:val="18"/>
      </w:rPr>
    </w:lvl>
    <w:lvl w:ilvl="1">
      <w:start w:val="1"/>
      <w:numFmt w:val="bullet"/>
      <w:lvlText w:val="-"/>
      <w:lvlJc w:val="left"/>
      <w:pPr>
        <w:tabs>
          <w:tab w:val="num" w:pos="567"/>
        </w:tabs>
        <w:ind w:left="567" w:hanging="283"/>
      </w:pPr>
      <w:rPr>
        <w:rFonts w:ascii="Arial" w:hAnsi="Arial" w:hint="default"/>
        <w:color w:val="003399"/>
        <w:sz w:val="22"/>
      </w:rPr>
    </w:lvl>
    <w:lvl w:ilvl="2">
      <w:start w:val="1"/>
      <w:numFmt w:val="bullet"/>
      <w:lvlText w:val="-"/>
      <w:lvlJc w:val="left"/>
      <w:pPr>
        <w:tabs>
          <w:tab w:val="num" w:pos="851"/>
        </w:tabs>
        <w:ind w:left="851" w:hanging="284"/>
      </w:pPr>
      <w:rPr>
        <w:rFonts w:ascii="Arial" w:hAnsi="Arial" w:hint="default"/>
        <w:color w:val="auto"/>
        <w:sz w:val="18"/>
      </w:rPr>
    </w:lvl>
    <w:lvl w:ilvl="3">
      <w:start w:val="1"/>
      <w:numFmt w:val="bullet"/>
      <w:lvlText w:val=""/>
      <w:lvlJc w:val="left"/>
      <w:pPr>
        <w:tabs>
          <w:tab w:val="num" w:pos="1800"/>
        </w:tabs>
        <w:ind w:left="1800" w:hanging="360"/>
      </w:pPr>
      <w:rPr>
        <w:rFonts w:ascii="Wingdings" w:hAnsi="Wingdings"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6">
    <w:nsid w:val="52A12D9C"/>
    <w:multiLevelType w:val="hybridMultilevel"/>
    <w:tmpl w:val="37AC2A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BA2E9A"/>
    <w:multiLevelType w:val="hybridMultilevel"/>
    <w:tmpl w:val="ED28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B86625"/>
    <w:multiLevelType w:val="multilevel"/>
    <w:tmpl w:val="145A36A6"/>
    <w:lvl w:ilvl="0">
      <w:start w:val="1"/>
      <w:numFmt w:val="decimal"/>
      <w:pStyle w:val="NumHeading1"/>
      <w:lvlText w:val="%1."/>
      <w:lvlJc w:val="left"/>
      <w:pPr>
        <w:tabs>
          <w:tab w:val="num" w:pos="284"/>
        </w:tabs>
        <w:ind w:left="284" w:hanging="284"/>
      </w:pPr>
      <w:rPr>
        <w:rFonts w:hint="default"/>
      </w:rPr>
    </w:lvl>
    <w:lvl w:ilvl="1">
      <w:start w:val="1"/>
      <w:numFmt w:val="decimal"/>
      <w:pStyle w:val="NumHeading2"/>
      <w:lvlText w:val="%1.%2."/>
      <w:lvlJc w:val="left"/>
      <w:pPr>
        <w:tabs>
          <w:tab w:val="num" w:pos="567"/>
        </w:tabs>
        <w:ind w:left="567" w:hanging="567"/>
      </w:pPr>
      <w:rPr>
        <w:rFonts w:hint="default"/>
      </w:rPr>
    </w:lvl>
    <w:lvl w:ilvl="2">
      <w:start w:val="1"/>
      <w:numFmt w:val="decimal"/>
      <w:pStyle w:val="NumHeading3"/>
      <w:lvlText w:val="%1.%2.%3."/>
      <w:lvlJc w:val="left"/>
      <w:pPr>
        <w:tabs>
          <w:tab w:val="num" w:pos="851"/>
        </w:tabs>
        <w:ind w:left="851" w:hanging="851"/>
      </w:pPr>
      <w:rPr>
        <w:rFonts w:hint="default"/>
      </w:rPr>
    </w:lvl>
    <w:lvl w:ilvl="3">
      <w:start w:val="1"/>
      <w:numFmt w:val="decimal"/>
      <w:pStyle w:val="NumHeading4"/>
      <w:lvlText w:val="%1.%2.%3.%4."/>
      <w:lvlJc w:val="left"/>
      <w:pPr>
        <w:tabs>
          <w:tab w:val="num" w:pos="907"/>
        </w:tabs>
        <w:ind w:left="907" w:hanging="90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6B3C2CD2"/>
    <w:multiLevelType w:val="hybridMultilevel"/>
    <w:tmpl w:val="F09A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5E65E4"/>
    <w:multiLevelType w:val="hybridMultilevel"/>
    <w:tmpl w:val="6BA2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D76BBE"/>
    <w:multiLevelType w:val="hybridMultilevel"/>
    <w:tmpl w:val="E1787B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
  </w:num>
  <w:num w:numId="5">
    <w:abstractNumId w:val="11"/>
  </w:num>
  <w:num w:numId="6">
    <w:abstractNumId w:val="2"/>
  </w:num>
  <w:num w:numId="7">
    <w:abstractNumId w:val="6"/>
  </w:num>
  <w:num w:numId="8">
    <w:abstractNumId w:val="9"/>
  </w:num>
  <w:num w:numId="9">
    <w:abstractNumId w:val="4"/>
  </w:num>
  <w:num w:numId="10">
    <w:abstractNumId w:val="7"/>
  </w:num>
  <w:num w:numId="11">
    <w:abstractNumId w:val="10"/>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7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6D"/>
    <w:rsid w:val="00006156"/>
    <w:rsid w:val="00013FB1"/>
    <w:rsid w:val="0001751E"/>
    <w:rsid w:val="000302DB"/>
    <w:rsid w:val="00033347"/>
    <w:rsid w:val="00083379"/>
    <w:rsid w:val="000839CA"/>
    <w:rsid w:val="00096FED"/>
    <w:rsid w:val="000A03C8"/>
    <w:rsid w:val="000A0C06"/>
    <w:rsid w:val="000B35AF"/>
    <w:rsid w:val="000C3DC0"/>
    <w:rsid w:val="000C765D"/>
    <w:rsid w:val="000E5021"/>
    <w:rsid w:val="000E7328"/>
    <w:rsid w:val="000F5DB7"/>
    <w:rsid w:val="001070C4"/>
    <w:rsid w:val="0011745C"/>
    <w:rsid w:val="00117A68"/>
    <w:rsid w:val="00153259"/>
    <w:rsid w:val="0016023A"/>
    <w:rsid w:val="00161B72"/>
    <w:rsid w:val="00164785"/>
    <w:rsid w:val="00175777"/>
    <w:rsid w:val="001867B8"/>
    <w:rsid w:val="0019157C"/>
    <w:rsid w:val="001A6047"/>
    <w:rsid w:val="001C1F0A"/>
    <w:rsid w:val="001D380B"/>
    <w:rsid w:val="001E1A2B"/>
    <w:rsid w:val="002645FC"/>
    <w:rsid w:val="0026647B"/>
    <w:rsid w:val="00267BE5"/>
    <w:rsid w:val="00277CB2"/>
    <w:rsid w:val="00292837"/>
    <w:rsid w:val="00292E82"/>
    <w:rsid w:val="002E74C1"/>
    <w:rsid w:val="002F1BFF"/>
    <w:rsid w:val="002F2B59"/>
    <w:rsid w:val="002F3BC1"/>
    <w:rsid w:val="002F519E"/>
    <w:rsid w:val="00300E81"/>
    <w:rsid w:val="00303E58"/>
    <w:rsid w:val="0030403D"/>
    <w:rsid w:val="003150FF"/>
    <w:rsid w:val="00344DE4"/>
    <w:rsid w:val="003454EB"/>
    <w:rsid w:val="003503F2"/>
    <w:rsid w:val="00357969"/>
    <w:rsid w:val="00397431"/>
    <w:rsid w:val="003F4359"/>
    <w:rsid w:val="003F44AB"/>
    <w:rsid w:val="004126A4"/>
    <w:rsid w:val="00432B07"/>
    <w:rsid w:val="004544B9"/>
    <w:rsid w:val="004644D5"/>
    <w:rsid w:val="0046652D"/>
    <w:rsid w:val="0046722C"/>
    <w:rsid w:val="00473A15"/>
    <w:rsid w:val="00482B18"/>
    <w:rsid w:val="00491512"/>
    <w:rsid w:val="00495429"/>
    <w:rsid w:val="004A781E"/>
    <w:rsid w:val="004B3C5A"/>
    <w:rsid w:val="004B41D7"/>
    <w:rsid w:val="004B5E71"/>
    <w:rsid w:val="00504207"/>
    <w:rsid w:val="00507CD8"/>
    <w:rsid w:val="00512CB2"/>
    <w:rsid w:val="005225B0"/>
    <w:rsid w:val="005468B6"/>
    <w:rsid w:val="0056731F"/>
    <w:rsid w:val="005755CE"/>
    <w:rsid w:val="00575C8B"/>
    <w:rsid w:val="005B605B"/>
    <w:rsid w:val="005C0691"/>
    <w:rsid w:val="005C6F3A"/>
    <w:rsid w:val="005D71CA"/>
    <w:rsid w:val="005E125F"/>
    <w:rsid w:val="005E1656"/>
    <w:rsid w:val="005E3D33"/>
    <w:rsid w:val="005E7950"/>
    <w:rsid w:val="005F10CD"/>
    <w:rsid w:val="005F2D9D"/>
    <w:rsid w:val="005F6404"/>
    <w:rsid w:val="005F6EB8"/>
    <w:rsid w:val="00603ECF"/>
    <w:rsid w:val="0060505B"/>
    <w:rsid w:val="006348A9"/>
    <w:rsid w:val="006349A6"/>
    <w:rsid w:val="0063758B"/>
    <w:rsid w:val="00653BAB"/>
    <w:rsid w:val="00660AB1"/>
    <w:rsid w:val="00661F9C"/>
    <w:rsid w:val="00663ABC"/>
    <w:rsid w:val="0067468A"/>
    <w:rsid w:val="00687463"/>
    <w:rsid w:val="006878B5"/>
    <w:rsid w:val="00692664"/>
    <w:rsid w:val="006B4350"/>
    <w:rsid w:val="006B59D8"/>
    <w:rsid w:val="006C25C6"/>
    <w:rsid w:val="006C56AE"/>
    <w:rsid w:val="00713CDB"/>
    <w:rsid w:val="0072178C"/>
    <w:rsid w:val="0072535A"/>
    <w:rsid w:val="007360DF"/>
    <w:rsid w:val="007445D6"/>
    <w:rsid w:val="007459E9"/>
    <w:rsid w:val="0075432F"/>
    <w:rsid w:val="0076003C"/>
    <w:rsid w:val="00774E4D"/>
    <w:rsid w:val="007812D3"/>
    <w:rsid w:val="007830BF"/>
    <w:rsid w:val="00783803"/>
    <w:rsid w:val="00794430"/>
    <w:rsid w:val="007A29F8"/>
    <w:rsid w:val="007B0EE7"/>
    <w:rsid w:val="007C1A8F"/>
    <w:rsid w:val="007C2D7D"/>
    <w:rsid w:val="007C3B5F"/>
    <w:rsid w:val="007E2D6D"/>
    <w:rsid w:val="007E5B47"/>
    <w:rsid w:val="007F1AA9"/>
    <w:rsid w:val="007F2C5D"/>
    <w:rsid w:val="007F708F"/>
    <w:rsid w:val="007F72C0"/>
    <w:rsid w:val="008068FC"/>
    <w:rsid w:val="00810B79"/>
    <w:rsid w:val="008226CB"/>
    <w:rsid w:val="00860FB8"/>
    <w:rsid w:val="00864BDB"/>
    <w:rsid w:val="008656E5"/>
    <w:rsid w:val="00865A0E"/>
    <w:rsid w:val="00884308"/>
    <w:rsid w:val="008857E3"/>
    <w:rsid w:val="008A6B4D"/>
    <w:rsid w:val="008A73DE"/>
    <w:rsid w:val="008B2AC0"/>
    <w:rsid w:val="008C04E9"/>
    <w:rsid w:val="008C60AC"/>
    <w:rsid w:val="008C6544"/>
    <w:rsid w:val="008D7AD0"/>
    <w:rsid w:val="008E06E0"/>
    <w:rsid w:val="00900621"/>
    <w:rsid w:val="00903E0C"/>
    <w:rsid w:val="00916ED7"/>
    <w:rsid w:val="00946A04"/>
    <w:rsid w:val="00966A3F"/>
    <w:rsid w:val="009808D1"/>
    <w:rsid w:val="00995048"/>
    <w:rsid w:val="009B39C8"/>
    <w:rsid w:val="009C2B9B"/>
    <w:rsid w:val="009D06DD"/>
    <w:rsid w:val="009D2973"/>
    <w:rsid w:val="009D7916"/>
    <w:rsid w:val="009E7C53"/>
    <w:rsid w:val="009F0DA5"/>
    <w:rsid w:val="009F2FBB"/>
    <w:rsid w:val="00A04F02"/>
    <w:rsid w:val="00A119EE"/>
    <w:rsid w:val="00A33226"/>
    <w:rsid w:val="00A41191"/>
    <w:rsid w:val="00A426B0"/>
    <w:rsid w:val="00A43B35"/>
    <w:rsid w:val="00A508C5"/>
    <w:rsid w:val="00A57C74"/>
    <w:rsid w:val="00A7056B"/>
    <w:rsid w:val="00A7342F"/>
    <w:rsid w:val="00A853D4"/>
    <w:rsid w:val="00A97A3D"/>
    <w:rsid w:val="00AB25F3"/>
    <w:rsid w:val="00AB7302"/>
    <w:rsid w:val="00AE0C7B"/>
    <w:rsid w:val="00AF003B"/>
    <w:rsid w:val="00AF2F17"/>
    <w:rsid w:val="00B06315"/>
    <w:rsid w:val="00B17889"/>
    <w:rsid w:val="00B17F66"/>
    <w:rsid w:val="00B277EC"/>
    <w:rsid w:val="00B34FAD"/>
    <w:rsid w:val="00B55E6E"/>
    <w:rsid w:val="00B905EF"/>
    <w:rsid w:val="00B95BC0"/>
    <w:rsid w:val="00BC40E6"/>
    <w:rsid w:val="00BD6634"/>
    <w:rsid w:val="00BE0181"/>
    <w:rsid w:val="00BF487E"/>
    <w:rsid w:val="00C0005E"/>
    <w:rsid w:val="00C17CDC"/>
    <w:rsid w:val="00C21856"/>
    <w:rsid w:val="00C238E9"/>
    <w:rsid w:val="00C272C2"/>
    <w:rsid w:val="00C35205"/>
    <w:rsid w:val="00C3786D"/>
    <w:rsid w:val="00C43338"/>
    <w:rsid w:val="00C706CD"/>
    <w:rsid w:val="00C87802"/>
    <w:rsid w:val="00C957DC"/>
    <w:rsid w:val="00C96FFB"/>
    <w:rsid w:val="00CA0059"/>
    <w:rsid w:val="00CA2D23"/>
    <w:rsid w:val="00CB32D1"/>
    <w:rsid w:val="00CC5804"/>
    <w:rsid w:val="00CE3121"/>
    <w:rsid w:val="00D02436"/>
    <w:rsid w:val="00D036CA"/>
    <w:rsid w:val="00D07A26"/>
    <w:rsid w:val="00D13097"/>
    <w:rsid w:val="00D36AC8"/>
    <w:rsid w:val="00D44E79"/>
    <w:rsid w:val="00D452A3"/>
    <w:rsid w:val="00D46E9E"/>
    <w:rsid w:val="00D62D08"/>
    <w:rsid w:val="00D6421B"/>
    <w:rsid w:val="00D6657A"/>
    <w:rsid w:val="00D729E0"/>
    <w:rsid w:val="00D77804"/>
    <w:rsid w:val="00D82127"/>
    <w:rsid w:val="00DB79FF"/>
    <w:rsid w:val="00DD15CE"/>
    <w:rsid w:val="00DD770A"/>
    <w:rsid w:val="00DE0F37"/>
    <w:rsid w:val="00DE2457"/>
    <w:rsid w:val="00E05339"/>
    <w:rsid w:val="00E05998"/>
    <w:rsid w:val="00E36994"/>
    <w:rsid w:val="00E704EB"/>
    <w:rsid w:val="00E77D96"/>
    <w:rsid w:val="00E842B9"/>
    <w:rsid w:val="00E95B94"/>
    <w:rsid w:val="00E9648C"/>
    <w:rsid w:val="00E970B2"/>
    <w:rsid w:val="00EB3A4A"/>
    <w:rsid w:val="00EB4675"/>
    <w:rsid w:val="00EC1CC5"/>
    <w:rsid w:val="00EF6388"/>
    <w:rsid w:val="00EF75CA"/>
    <w:rsid w:val="00F169C0"/>
    <w:rsid w:val="00F27C83"/>
    <w:rsid w:val="00F31377"/>
    <w:rsid w:val="00F55FEA"/>
    <w:rsid w:val="00F73218"/>
    <w:rsid w:val="00F7735E"/>
    <w:rsid w:val="00FA47C7"/>
    <w:rsid w:val="00FA64B4"/>
    <w:rsid w:val="00FC3CAD"/>
    <w:rsid w:val="00FC771E"/>
    <w:rsid w:val="00FD0715"/>
    <w:rsid w:val="00FD084A"/>
    <w:rsid w:val="00FD2AE4"/>
    <w:rsid w:val="00FD3A1D"/>
    <w:rsid w:val="00FF1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AF"/>
    <w:pPr>
      <w:spacing w:after="100" w:line="300" w:lineRule="atLeast"/>
    </w:pPr>
    <w:rPr>
      <w:rFonts w:ascii="Arial" w:hAnsi="Arial" w:cs="Raavi"/>
      <w:sz w:val="22"/>
      <w:szCs w:val="24"/>
      <w:lang w:val="de-DE" w:eastAsia="de-DE" w:bidi="pa-IN"/>
    </w:rPr>
  </w:style>
  <w:style w:type="paragraph" w:styleId="Heading1">
    <w:name w:val="heading 1"/>
    <w:basedOn w:val="Normal"/>
    <w:next w:val="Normal"/>
    <w:link w:val="Heading1Char"/>
    <w:qFormat/>
    <w:rsid w:val="000B35AF"/>
    <w:pPr>
      <w:keepNext/>
      <w:spacing w:before="300"/>
      <w:outlineLvl w:val="0"/>
    </w:pPr>
    <w:rPr>
      <w:b/>
      <w:bCs/>
      <w:kern w:val="32"/>
      <w:szCs w:val="32"/>
    </w:rPr>
  </w:style>
  <w:style w:type="paragraph" w:styleId="Heading2">
    <w:name w:val="heading 2"/>
    <w:basedOn w:val="Normal"/>
    <w:next w:val="Normal"/>
    <w:qFormat/>
    <w:rsid w:val="000B35AF"/>
    <w:pPr>
      <w:keepNext/>
      <w:spacing w:before="300"/>
      <w:outlineLvl w:val="1"/>
    </w:pPr>
    <w:rPr>
      <w:b/>
      <w:bCs/>
      <w:i/>
      <w:iCs/>
      <w:szCs w:val="28"/>
    </w:rPr>
  </w:style>
  <w:style w:type="paragraph" w:styleId="Heading3">
    <w:name w:val="heading 3"/>
    <w:basedOn w:val="Normal"/>
    <w:next w:val="Normal"/>
    <w:qFormat/>
    <w:rsid w:val="000B35AF"/>
    <w:pPr>
      <w:keepNext/>
      <w:spacing w:before="300"/>
      <w:outlineLvl w:val="2"/>
    </w:pPr>
    <w:rPr>
      <w:bCs/>
      <w:szCs w:val="26"/>
    </w:rPr>
  </w:style>
  <w:style w:type="paragraph" w:styleId="Heading4">
    <w:name w:val="heading 4"/>
    <w:basedOn w:val="Normal"/>
    <w:next w:val="Normal"/>
    <w:qFormat/>
    <w:rsid w:val="00CA2D23"/>
    <w:pPr>
      <w:keepNext/>
      <w:spacing w:before="240" w:after="60"/>
      <w:outlineLvl w:val="3"/>
    </w:pPr>
    <w:rPr>
      <w:bCs/>
      <w:i/>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468A"/>
    <w:pPr>
      <w:tabs>
        <w:tab w:val="center" w:pos="4536"/>
        <w:tab w:val="right" w:pos="9072"/>
      </w:tabs>
    </w:pPr>
  </w:style>
  <w:style w:type="paragraph" w:styleId="Footer">
    <w:name w:val="footer"/>
    <w:basedOn w:val="Normal"/>
    <w:rsid w:val="00C3786D"/>
    <w:pPr>
      <w:tabs>
        <w:tab w:val="center" w:pos="4536"/>
        <w:tab w:val="right" w:pos="9072"/>
      </w:tabs>
    </w:pPr>
  </w:style>
  <w:style w:type="paragraph" w:styleId="FootnoteText">
    <w:name w:val="footnote text"/>
    <w:basedOn w:val="Normal"/>
    <w:link w:val="FootnoteTextChar"/>
    <w:semiHidden/>
    <w:rsid w:val="0067468A"/>
    <w:rPr>
      <w:sz w:val="16"/>
      <w:szCs w:val="20"/>
    </w:rPr>
  </w:style>
  <w:style w:type="paragraph" w:customStyle="1" w:styleId="Chapter1">
    <w:name w:val="Chapter 1"/>
    <w:basedOn w:val="Normal"/>
    <w:link w:val="Chapter1Char"/>
    <w:rsid w:val="00A7056B"/>
    <w:pPr>
      <w:spacing w:line="340" w:lineRule="atLeast"/>
    </w:pPr>
    <w:rPr>
      <w:b/>
      <w:color w:val="003399"/>
      <w:sz w:val="26"/>
      <w:lang w:val="en-GB"/>
    </w:rPr>
  </w:style>
  <w:style w:type="character" w:styleId="FootnoteReference">
    <w:name w:val="footnote reference"/>
    <w:semiHidden/>
    <w:rsid w:val="0067468A"/>
    <w:rPr>
      <w:vertAlign w:val="superscript"/>
    </w:rPr>
  </w:style>
  <w:style w:type="character" w:styleId="PageNumber">
    <w:name w:val="page number"/>
    <w:rsid w:val="00277CB2"/>
    <w:rPr>
      <w:rFonts w:ascii="Arial" w:hAnsi="Arial"/>
      <w:color w:val="003399"/>
      <w:sz w:val="22"/>
      <w:bdr w:val="none" w:sz="0" w:space="0" w:color="auto"/>
    </w:rPr>
  </w:style>
  <w:style w:type="table" w:styleId="TableGrid">
    <w:name w:val="Table Grid"/>
    <w:aliases w:val="Table none"/>
    <w:basedOn w:val="TableNormal"/>
    <w:rsid w:val="00A97A3D"/>
    <w:pPr>
      <w:spacing w:after="24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0B35AF"/>
    <w:rPr>
      <w:rFonts w:ascii="Arial" w:hAnsi="Arial" w:cs="Raavi"/>
      <w:b/>
      <w:bCs/>
      <w:kern w:val="32"/>
      <w:sz w:val="22"/>
      <w:szCs w:val="32"/>
      <w:lang w:val="de-DE" w:eastAsia="de-DE" w:bidi="pa-IN"/>
    </w:rPr>
  </w:style>
  <w:style w:type="paragraph" w:customStyle="1" w:styleId="Date1">
    <w:name w:val="Date1"/>
    <w:basedOn w:val="Normal"/>
    <w:rsid w:val="00083379"/>
    <w:pPr>
      <w:spacing w:after="0"/>
    </w:pPr>
    <w:rPr>
      <w:sz w:val="20"/>
    </w:rPr>
  </w:style>
  <w:style w:type="paragraph" w:customStyle="1" w:styleId="Bulletpoints">
    <w:name w:val="Bulletpoints"/>
    <w:basedOn w:val="Normal"/>
    <w:rsid w:val="00E36994"/>
    <w:pPr>
      <w:numPr>
        <w:numId w:val="1"/>
      </w:numPr>
    </w:pPr>
  </w:style>
  <w:style w:type="character" w:styleId="Hyperlink">
    <w:name w:val="Hyperlink"/>
    <w:rsid w:val="00A119EE"/>
    <w:rPr>
      <w:color w:val="003399"/>
      <w:u w:val="none"/>
    </w:rPr>
  </w:style>
  <w:style w:type="paragraph" w:customStyle="1" w:styleId="FirstTitle1">
    <w:name w:val="First Title 1"/>
    <w:basedOn w:val="Normal"/>
    <w:rsid w:val="008B2AC0"/>
    <w:pPr>
      <w:spacing w:after="0" w:line="380" w:lineRule="atLeast"/>
    </w:pPr>
    <w:rPr>
      <w:b/>
      <w:color w:val="003399"/>
      <w:sz w:val="30"/>
      <w:lang w:val="en-GB"/>
    </w:rPr>
  </w:style>
  <w:style w:type="paragraph" w:customStyle="1" w:styleId="FirstTitle2">
    <w:name w:val="First Title 2"/>
    <w:basedOn w:val="FirstTitle1"/>
    <w:rsid w:val="00F73218"/>
    <w:pPr>
      <w:spacing w:after="100" w:line="340" w:lineRule="atLeast"/>
    </w:pPr>
    <w:rPr>
      <w:b w:val="0"/>
      <w:sz w:val="26"/>
    </w:rPr>
  </w:style>
  <w:style w:type="paragraph" w:customStyle="1" w:styleId="Chapter2">
    <w:name w:val="Chapter 2"/>
    <w:basedOn w:val="Normal"/>
    <w:rsid w:val="00A7056B"/>
    <w:rPr>
      <w:b/>
      <w:color w:val="003399"/>
      <w:lang w:val="en-GB"/>
    </w:rPr>
  </w:style>
  <w:style w:type="numbering" w:customStyle="1" w:styleId="StyleNumbered">
    <w:name w:val="Style Numbered"/>
    <w:basedOn w:val="NoList"/>
    <w:rsid w:val="000B35AF"/>
    <w:pPr>
      <w:numPr>
        <w:numId w:val="2"/>
      </w:numPr>
    </w:pPr>
  </w:style>
  <w:style w:type="paragraph" w:customStyle="1" w:styleId="NumHeading2">
    <w:name w:val="Num Heading 2"/>
    <w:basedOn w:val="Heading2"/>
    <w:rsid w:val="00713CDB"/>
    <w:pPr>
      <w:numPr>
        <w:ilvl w:val="1"/>
        <w:numId w:val="3"/>
      </w:numPr>
    </w:pPr>
    <w:rPr>
      <w:lang w:val="en-GB"/>
    </w:rPr>
  </w:style>
  <w:style w:type="paragraph" w:customStyle="1" w:styleId="NumHeading3">
    <w:name w:val="Num Heading 3"/>
    <w:basedOn w:val="Heading3"/>
    <w:rsid w:val="00713CDB"/>
    <w:pPr>
      <w:numPr>
        <w:ilvl w:val="2"/>
        <w:numId w:val="3"/>
      </w:numPr>
    </w:pPr>
    <w:rPr>
      <w:lang w:val="en-GB"/>
    </w:rPr>
  </w:style>
  <w:style w:type="paragraph" w:customStyle="1" w:styleId="NumHeading1">
    <w:name w:val="Num Heading 1"/>
    <w:basedOn w:val="Heading1"/>
    <w:autoRedefine/>
    <w:rsid w:val="00713CDB"/>
    <w:pPr>
      <w:numPr>
        <w:numId w:val="3"/>
      </w:numPr>
    </w:pPr>
    <w:rPr>
      <w:lang w:val="en-GB"/>
    </w:rPr>
  </w:style>
  <w:style w:type="paragraph" w:customStyle="1" w:styleId="NumHeading4">
    <w:name w:val="Num Heading 4"/>
    <w:basedOn w:val="Heading4"/>
    <w:rsid w:val="00713CDB"/>
    <w:pPr>
      <w:numPr>
        <w:ilvl w:val="3"/>
        <w:numId w:val="3"/>
      </w:numPr>
    </w:pPr>
  </w:style>
  <w:style w:type="paragraph" w:customStyle="1" w:styleId="DocumentStatus">
    <w:name w:val="Document Status"/>
    <w:basedOn w:val="Date1"/>
    <w:rsid w:val="005D71CA"/>
    <w:rPr>
      <w:b/>
      <w:bCs/>
    </w:rPr>
  </w:style>
  <w:style w:type="paragraph" w:customStyle="1" w:styleId="Heading1SubItalic">
    <w:name w:val="Heading 1  Sub Italic"/>
    <w:basedOn w:val="Heading1"/>
    <w:link w:val="Heading1SubItalicCharChar"/>
    <w:rsid w:val="0026647B"/>
    <w:rPr>
      <w:i/>
      <w:iCs/>
    </w:rPr>
  </w:style>
  <w:style w:type="character" w:customStyle="1" w:styleId="Heading1SubItalicCharChar">
    <w:name w:val="Heading 1  Sub Italic Char Char"/>
    <w:link w:val="Heading1SubItalic"/>
    <w:rsid w:val="0026647B"/>
    <w:rPr>
      <w:rFonts w:ascii="Arial" w:hAnsi="Arial" w:cs="Raavi"/>
      <w:b/>
      <w:bCs/>
      <w:i/>
      <w:iCs/>
      <w:kern w:val="32"/>
      <w:sz w:val="22"/>
      <w:szCs w:val="32"/>
      <w:lang w:val="de-DE" w:eastAsia="de-DE" w:bidi="pa-IN"/>
    </w:rPr>
  </w:style>
  <w:style w:type="paragraph" w:customStyle="1" w:styleId="Infobox">
    <w:name w:val="Infobox"/>
    <w:basedOn w:val="Normal"/>
    <w:rsid w:val="00884308"/>
    <w:pPr>
      <w:framePr w:w="6119" w:hSpace="180" w:wrap="notBeside" w:vAnchor="text" w:hAnchor="text"/>
      <w:pBdr>
        <w:left w:val="single" w:sz="2" w:space="4" w:color="003399"/>
      </w:pBdr>
      <w:spacing w:after="0" w:line="240" w:lineRule="atLeast"/>
    </w:pPr>
    <w:rPr>
      <w:sz w:val="16"/>
      <w:lang w:val="en-GB"/>
    </w:rPr>
  </w:style>
  <w:style w:type="character" w:customStyle="1" w:styleId="Chapter1Char">
    <w:name w:val="Chapter 1 Char"/>
    <w:link w:val="Chapter1"/>
    <w:rsid w:val="007459E9"/>
    <w:rPr>
      <w:rFonts w:ascii="Arial" w:hAnsi="Arial" w:cs="Raavi"/>
      <w:b/>
      <w:color w:val="003399"/>
      <w:sz w:val="26"/>
      <w:szCs w:val="24"/>
      <w:lang w:val="en-GB" w:eastAsia="de-DE" w:bidi="pa-IN"/>
    </w:rPr>
  </w:style>
  <w:style w:type="paragraph" w:customStyle="1" w:styleId="ZchnZchnCharZchnZchn">
    <w:name w:val="Zchn Zchn Char Zchn Zchn"/>
    <w:basedOn w:val="Normal"/>
    <w:rsid w:val="007459E9"/>
    <w:pPr>
      <w:spacing w:after="160" w:line="240" w:lineRule="exact"/>
    </w:pPr>
    <w:rPr>
      <w:rFonts w:ascii="Tahoma" w:hAnsi="Tahoma" w:cs="Times New Roman"/>
      <w:sz w:val="20"/>
      <w:szCs w:val="20"/>
      <w:lang w:val="en-US" w:eastAsia="en-US" w:bidi="ar-SA"/>
    </w:rPr>
  </w:style>
  <w:style w:type="paragraph" w:styleId="BalloonText">
    <w:name w:val="Balloon Text"/>
    <w:basedOn w:val="Normal"/>
    <w:semiHidden/>
    <w:rsid w:val="003454EB"/>
    <w:rPr>
      <w:rFonts w:ascii="Tahoma" w:hAnsi="Tahoma" w:cs="Tahoma"/>
      <w:sz w:val="16"/>
      <w:szCs w:val="16"/>
    </w:rPr>
  </w:style>
  <w:style w:type="character" w:styleId="CommentReference">
    <w:name w:val="annotation reference"/>
    <w:uiPriority w:val="99"/>
    <w:semiHidden/>
    <w:unhideWhenUsed/>
    <w:rsid w:val="00EF6388"/>
    <w:rPr>
      <w:sz w:val="16"/>
      <w:szCs w:val="16"/>
    </w:rPr>
  </w:style>
  <w:style w:type="paragraph" w:styleId="CommentText">
    <w:name w:val="annotation text"/>
    <w:basedOn w:val="Normal"/>
    <w:link w:val="CommentTextChar"/>
    <w:uiPriority w:val="99"/>
    <w:unhideWhenUsed/>
    <w:rsid w:val="00EF6388"/>
    <w:rPr>
      <w:sz w:val="20"/>
      <w:szCs w:val="20"/>
    </w:rPr>
  </w:style>
  <w:style w:type="character" w:customStyle="1" w:styleId="CommentTextChar">
    <w:name w:val="Comment Text Char"/>
    <w:link w:val="CommentText"/>
    <w:uiPriority w:val="99"/>
    <w:rsid w:val="00EF6388"/>
    <w:rPr>
      <w:rFonts w:ascii="Arial" w:hAnsi="Arial" w:cs="Raavi"/>
      <w:lang w:val="de-DE" w:eastAsia="de-DE" w:bidi="pa-IN"/>
    </w:rPr>
  </w:style>
  <w:style w:type="character" w:customStyle="1" w:styleId="FootnoteTextChar">
    <w:name w:val="Footnote Text Char"/>
    <w:link w:val="FootnoteText"/>
    <w:semiHidden/>
    <w:rsid w:val="00EF6388"/>
    <w:rPr>
      <w:rFonts w:ascii="Arial" w:hAnsi="Arial" w:cs="Raavi"/>
      <w:sz w:val="16"/>
      <w:lang w:val="de-DE" w:eastAsia="de-DE" w:bidi="pa-IN"/>
    </w:rPr>
  </w:style>
  <w:style w:type="paragraph" w:styleId="CommentSubject">
    <w:name w:val="annotation subject"/>
    <w:basedOn w:val="CommentText"/>
    <w:next w:val="CommentText"/>
    <w:link w:val="CommentSubjectChar"/>
    <w:uiPriority w:val="99"/>
    <w:semiHidden/>
    <w:unhideWhenUsed/>
    <w:rsid w:val="00292E82"/>
    <w:rPr>
      <w:b/>
      <w:bCs/>
    </w:rPr>
  </w:style>
  <w:style w:type="character" w:customStyle="1" w:styleId="CommentSubjectChar">
    <w:name w:val="Comment Subject Char"/>
    <w:link w:val="CommentSubject"/>
    <w:uiPriority w:val="99"/>
    <w:semiHidden/>
    <w:rsid w:val="00292E82"/>
    <w:rPr>
      <w:rFonts w:ascii="Arial" w:hAnsi="Arial" w:cs="Raavi"/>
      <w:b/>
      <w:bCs/>
      <w:lang w:val="de-DE" w:eastAsia="de-DE" w:bidi="pa-IN"/>
    </w:rPr>
  </w:style>
  <w:style w:type="paragraph" w:customStyle="1" w:styleId="Default">
    <w:name w:val="Default"/>
    <w:rsid w:val="008656E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5AF"/>
    <w:pPr>
      <w:spacing w:after="100" w:line="300" w:lineRule="atLeast"/>
    </w:pPr>
    <w:rPr>
      <w:rFonts w:ascii="Arial" w:hAnsi="Arial" w:cs="Raavi"/>
      <w:sz w:val="22"/>
      <w:szCs w:val="24"/>
      <w:lang w:val="de-DE" w:eastAsia="de-DE" w:bidi="pa-IN"/>
    </w:rPr>
  </w:style>
  <w:style w:type="paragraph" w:styleId="Heading1">
    <w:name w:val="heading 1"/>
    <w:basedOn w:val="Normal"/>
    <w:next w:val="Normal"/>
    <w:link w:val="Heading1Char"/>
    <w:qFormat/>
    <w:rsid w:val="000B35AF"/>
    <w:pPr>
      <w:keepNext/>
      <w:spacing w:before="300"/>
      <w:outlineLvl w:val="0"/>
    </w:pPr>
    <w:rPr>
      <w:b/>
      <w:bCs/>
      <w:kern w:val="32"/>
      <w:szCs w:val="32"/>
    </w:rPr>
  </w:style>
  <w:style w:type="paragraph" w:styleId="Heading2">
    <w:name w:val="heading 2"/>
    <w:basedOn w:val="Normal"/>
    <w:next w:val="Normal"/>
    <w:qFormat/>
    <w:rsid w:val="000B35AF"/>
    <w:pPr>
      <w:keepNext/>
      <w:spacing w:before="300"/>
      <w:outlineLvl w:val="1"/>
    </w:pPr>
    <w:rPr>
      <w:b/>
      <w:bCs/>
      <w:i/>
      <w:iCs/>
      <w:szCs w:val="28"/>
    </w:rPr>
  </w:style>
  <w:style w:type="paragraph" w:styleId="Heading3">
    <w:name w:val="heading 3"/>
    <w:basedOn w:val="Normal"/>
    <w:next w:val="Normal"/>
    <w:qFormat/>
    <w:rsid w:val="000B35AF"/>
    <w:pPr>
      <w:keepNext/>
      <w:spacing w:before="300"/>
      <w:outlineLvl w:val="2"/>
    </w:pPr>
    <w:rPr>
      <w:bCs/>
      <w:szCs w:val="26"/>
    </w:rPr>
  </w:style>
  <w:style w:type="paragraph" w:styleId="Heading4">
    <w:name w:val="heading 4"/>
    <w:basedOn w:val="Normal"/>
    <w:next w:val="Normal"/>
    <w:qFormat/>
    <w:rsid w:val="00CA2D23"/>
    <w:pPr>
      <w:keepNext/>
      <w:spacing w:before="240" w:after="60"/>
      <w:outlineLvl w:val="3"/>
    </w:pPr>
    <w:rPr>
      <w:bCs/>
      <w:i/>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468A"/>
    <w:pPr>
      <w:tabs>
        <w:tab w:val="center" w:pos="4536"/>
        <w:tab w:val="right" w:pos="9072"/>
      </w:tabs>
    </w:pPr>
  </w:style>
  <w:style w:type="paragraph" w:styleId="Footer">
    <w:name w:val="footer"/>
    <w:basedOn w:val="Normal"/>
    <w:rsid w:val="00C3786D"/>
    <w:pPr>
      <w:tabs>
        <w:tab w:val="center" w:pos="4536"/>
        <w:tab w:val="right" w:pos="9072"/>
      </w:tabs>
    </w:pPr>
  </w:style>
  <w:style w:type="paragraph" w:styleId="FootnoteText">
    <w:name w:val="footnote text"/>
    <w:basedOn w:val="Normal"/>
    <w:link w:val="FootnoteTextChar"/>
    <w:semiHidden/>
    <w:rsid w:val="0067468A"/>
    <w:rPr>
      <w:sz w:val="16"/>
      <w:szCs w:val="20"/>
    </w:rPr>
  </w:style>
  <w:style w:type="paragraph" w:customStyle="1" w:styleId="Chapter1">
    <w:name w:val="Chapter 1"/>
    <w:basedOn w:val="Normal"/>
    <w:link w:val="Chapter1Char"/>
    <w:rsid w:val="00A7056B"/>
    <w:pPr>
      <w:spacing w:line="340" w:lineRule="atLeast"/>
    </w:pPr>
    <w:rPr>
      <w:b/>
      <w:color w:val="003399"/>
      <w:sz w:val="26"/>
      <w:lang w:val="en-GB"/>
    </w:rPr>
  </w:style>
  <w:style w:type="character" w:styleId="FootnoteReference">
    <w:name w:val="footnote reference"/>
    <w:semiHidden/>
    <w:rsid w:val="0067468A"/>
    <w:rPr>
      <w:vertAlign w:val="superscript"/>
    </w:rPr>
  </w:style>
  <w:style w:type="character" w:styleId="PageNumber">
    <w:name w:val="page number"/>
    <w:rsid w:val="00277CB2"/>
    <w:rPr>
      <w:rFonts w:ascii="Arial" w:hAnsi="Arial"/>
      <w:color w:val="003399"/>
      <w:sz w:val="22"/>
      <w:bdr w:val="none" w:sz="0" w:space="0" w:color="auto"/>
    </w:rPr>
  </w:style>
  <w:style w:type="table" w:styleId="TableGrid">
    <w:name w:val="Table Grid"/>
    <w:aliases w:val="Table none"/>
    <w:basedOn w:val="TableNormal"/>
    <w:rsid w:val="00A97A3D"/>
    <w:pPr>
      <w:spacing w:after="24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0B35AF"/>
    <w:rPr>
      <w:rFonts w:ascii="Arial" w:hAnsi="Arial" w:cs="Raavi"/>
      <w:b/>
      <w:bCs/>
      <w:kern w:val="32"/>
      <w:sz w:val="22"/>
      <w:szCs w:val="32"/>
      <w:lang w:val="de-DE" w:eastAsia="de-DE" w:bidi="pa-IN"/>
    </w:rPr>
  </w:style>
  <w:style w:type="paragraph" w:customStyle="1" w:styleId="Date1">
    <w:name w:val="Date1"/>
    <w:basedOn w:val="Normal"/>
    <w:rsid w:val="00083379"/>
    <w:pPr>
      <w:spacing w:after="0"/>
    </w:pPr>
    <w:rPr>
      <w:sz w:val="20"/>
    </w:rPr>
  </w:style>
  <w:style w:type="paragraph" w:customStyle="1" w:styleId="Bulletpoints">
    <w:name w:val="Bulletpoints"/>
    <w:basedOn w:val="Normal"/>
    <w:rsid w:val="00E36994"/>
    <w:pPr>
      <w:numPr>
        <w:numId w:val="1"/>
      </w:numPr>
    </w:pPr>
  </w:style>
  <w:style w:type="character" w:styleId="Hyperlink">
    <w:name w:val="Hyperlink"/>
    <w:rsid w:val="00A119EE"/>
    <w:rPr>
      <w:color w:val="003399"/>
      <w:u w:val="none"/>
    </w:rPr>
  </w:style>
  <w:style w:type="paragraph" w:customStyle="1" w:styleId="FirstTitle1">
    <w:name w:val="First Title 1"/>
    <w:basedOn w:val="Normal"/>
    <w:rsid w:val="008B2AC0"/>
    <w:pPr>
      <w:spacing w:after="0" w:line="380" w:lineRule="atLeast"/>
    </w:pPr>
    <w:rPr>
      <w:b/>
      <w:color w:val="003399"/>
      <w:sz w:val="30"/>
      <w:lang w:val="en-GB"/>
    </w:rPr>
  </w:style>
  <w:style w:type="paragraph" w:customStyle="1" w:styleId="FirstTitle2">
    <w:name w:val="First Title 2"/>
    <w:basedOn w:val="FirstTitle1"/>
    <w:rsid w:val="00F73218"/>
    <w:pPr>
      <w:spacing w:after="100" w:line="340" w:lineRule="atLeast"/>
    </w:pPr>
    <w:rPr>
      <w:b w:val="0"/>
      <w:sz w:val="26"/>
    </w:rPr>
  </w:style>
  <w:style w:type="paragraph" w:customStyle="1" w:styleId="Chapter2">
    <w:name w:val="Chapter 2"/>
    <w:basedOn w:val="Normal"/>
    <w:rsid w:val="00A7056B"/>
    <w:rPr>
      <w:b/>
      <w:color w:val="003399"/>
      <w:lang w:val="en-GB"/>
    </w:rPr>
  </w:style>
  <w:style w:type="numbering" w:customStyle="1" w:styleId="StyleNumbered">
    <w:name w:val="Style Numbered"/>
    <w:basedOn w:val="NoList"/>
    <w:rsid w:val="000B35AF"/>
    <w:pPr>
      <w:numPr>
        <w:numId w:val="2"/>
      </w:numPr>
    </w:pPr>
  </w:style>
  <w:style w:type="paragraph" w:customStyle="1" w:styleId="NumHeading2">
    <w:name w:val="Num Heading 2"/>
    <w:basedOn w:val="Heading2"/>
    <w:rsid w:val="00713CDB"/>
    <w:pPr>
      <w:numPr>
        <w:ilvl w:val="1"/>
        <w:numId w:val="3"/>
      </w:numPr>
    </w:pPr>
    <w:rPr>
      <w:lang w:val="en-GB"/>
    </w:rPr>
  </w:style>
  <w:style w:type="paragraph" w:customStyle="1" w:styleId="NumHeading3">
    <w:name w:val="Num Heading 3"/>
    <w:basedOn w:val="Heading3"/>
    <w:rsid w:val="00713CDB"/>
    <w:pPr>
      <w:numPr>
        <w:ilvl w:val="2"/>
        <w:numId w:val="3"/>
      </w:numPr>
    </w:pPr>
    <w:rPr>
      <w:lang w:val="en-GB"/>
    </w:rPr>
  </w:style>
  <w:style w:type="paragraph" w:customStyle="1" w:styleId="NumHeading1">
    <w:name w:val="Num Heading 1"/>
    <w:basedOn w:val="Heading1"/>
    <w:autoRedefine/>
    <w:rsid w:val="00713CDB"/>
    <w:pPr>
      <w:numPr>
        <w:numId w:val="3"/>
      </w:numPr>
    </w:pPr>
    <w:rPr>
      <w:lang w:val="en-GB"/>
    </w:rPr>
  </w:style>
  <w:style w:type="paragraph" w:customStyle="1" w:styleId="NumHeading4">
    <w:name w:val="Num Heading 4"/>
    <w:basedOn w:val="Heading4"/>
    <w:rsid w:val="00713CDB"/>
    <w:pPr>
      <w:numPr>
        <w:ilvl w:val="3"/>
        <w:numId w:val="3"/>
      </w:numPr>
    </w:pPr>
  </w:style>
  <w:style w:type="paragraph" w:customStyle="1" w:styleId="DocumentStatus">
    <w:name w:val="Document Status"/>
    <w:basedOn w:val="Date1"/>
    <w:rsid w:val="005D71CA"/>
    <w:rPr>
      <w:b/>
      <w:bCs/>
    </w:rPr>
  </w:style>
  <w:style w:type="paragraph" w:customStyle="1" w:styleId="Heading1SubItalic">
    <w:name w:val="Heading 1  Sub Italic"/>
    <w:basedOn w:val="Heading1"/>
    <w:link w:val="Heading1SubItalicCharChar"/>
    <w:rsid w:val="0026647B"/>
    <w:rPr>
      <w:i/>
      <w:iCs/>
    </w:rPr>
  </w:style>
  <w:style w:type="character" w:customStyle="1" w:styleId="Heading1SubItalicCharChar">
    <w:name w:val="Heading 1  Sub Italic Char Char"/>
    <w:link w:val="Heading1SubItalic"/>
    <w:rsid w:val="0026647B"/>
    <w:rPr>
      <w:rFonts w:ascii="Arial" w:hAnsi="Arial" w:cs="Raavi"/>
      <w:b/>
      <w:bCs/>
      <w:i/>
      <w:iCs/>
      <w:kern w:val="32"/>
      <w:sz w:val="22"/>
      <w:szCs w:val="32"/>
      <w:lang w:val="de-DE" w:eastAsia="de-DE" w:bidi="pa-IN"/>
    </w:rPr>
  </w:style>
  <w:style w:type="paragraph" w:customStyle="1" w:styleId="Infobox">
    <w:name w:val="Infobox"/>
    <w:basedOn w:val="Normal"/>
    <w:rsid w:val="00884308"/>
    <w:pPr>
      <w:framePr w:w="6119" w:hSpace="180" w:wrap="notBeside" w:vAnchor="text" w:hAnchor="text"/>
      <w:pBdr>
        <w:left w:val="single" w:sz="2" w:space="4" w:color="003399"/>
      </w:pBdr>
      <w:spacing w:after="0" w:line="240" w:lineRule="atLeast"/>
    </w:pPr>
    <w:rPr>
      <w:sz w:val="16"/>
      <w:lang w:val="en-GB"/>
    </w:rPr>
  </w:style>
  <w:style w:type="character" w:customStyle="1" w:styleId="Chapter1Char">
    <w:name w:val="Chapter 1 Char"/>
    <w:link w:val="Chapter1"/>
    <w:rsid w:val="007459E9"/>
    <w:rPr>
      <w:rFonts w:ascii="Arial" w:hAnsi="Arial" w:cs="Raavi"/>
      <w:b/>
      <w:color w:val="003399"/>
      <w:sz w:val="26"/>
      <w:szCs w:val="24"/>
      <w:lang w:val="en-GB" w:eastAsia="de-DE" w:bidi="pa-IN"/>
    </w:rPr>
  </w:style>
  <w:style w:type="paragraph" w:customStyle="1" w:styleId="ZchnZchnCharZchnZchn">
    <w:name w:val="Zchn Zchn Char Zchn Zchn"/>
    <w:basedOn w:val="Normal"/>
    <w:rsid w:val="007459E9"/>
    <w:pPr>
      <w:spacing w:after="160" w:line="240" w:lineRule="exact"/>
    </w:pPr>
    <w:rPr>
      <w:rFonts w:ascii="Tahoma" w:hAnsi="Tahoma" w:cs="Times New Roman"/>
      <w:sz w:val="20"/>
      <w:szCs w:val="20"/>
      <w:lang w:val="en-US" w:eastAsia="en-US" w:bidi="ar-SA"/>
    </w:rPr>
  </w:style>
  <w:style w:type="paragraph" w:styleId="BalloonText">
    <w:name w:val="Balloon Text"/>
    <w:basedOn w:val="Normal"/>
    <w:semiHidden/>
    <w:rsid w:val="003454EB"/>
    <w:rPr>
      <w:rFonts w:ascii="Tahoma" w:hAnsi="Tahoma" w:cs="Tahoma"/>
      <w:sz w:val="16"/>
      <w:szCs w:val="16"/>
    </w:rPr>
  </w:style>
  <w:style w:type="character" w:styleId="CommentReference">
    <w:name w:val="annotation reference"/>
    <w:uiPriority w:val="99"/>
    <w:semiHidden/>
    <w:unhideWhenUsed/>
    <w:rsid w:val="00EF6388"/>
    <w:rPr>
      <w:sz w:val="16"/>
      <w:szCs w:val="16"/>
    </w:rPr>
  </w:style>
  <w:style w:type="paragraph" w:styleId="CommentText">
    <w:name w:val="annotation text"/>
    <w:basedOn w:val="Normal"/>
    <w:link w:val="CommentTextChar"/>
    <w:uiPriority w:val="99"/>
    <w:unhideWhenUsed/>
    <w:rsid w:val="00EF6388"/>
    <w:rPr>
      <w:sz w:val="20"/>
      <w:szCs w:val="20"/>
    </w:rPr>
  </w:style>
  <w:style w:type="character" w:customStyle="1" w:styleId="CommentTextChar">
    <w:name w:val="Comment Text Char"/>
    <w:link w:val="CommentText"/>
    <w:uiPriority w:val="99"/>
    <w:rsid w:val="00EF6388"/>
    <w:rPr>
      <w:rFonts w:ascii="Arial" w:hAnsi="Arial" w:cs="Raavi"/>
      <w:lang w:val="de-DE" w:eastAsia="de-DE" w:bidi="pa-IN"/>
    </w:rPr>
  </w:style>
  <w:style w:type="character" w:customStyle="1" w:styleId="FootnoteTextChar">
    <w:name w:val="Footnote Text Char"/>
    <w:link w:val="FootnoteText"/>
    <w:semiHidden/>
    <w:rsid w:val="00EF6388"/>
    <w:rPr>
      <w:rFonts w:ascii="Arial" w:hAnsi="Arial" w:cs="Raavi"/>
      <w:sz w:val="16"/>
      <w:lang w:val="de-DE" w:eastAsia="de-DE" w:bidi="pa-IN"/>
    </w:rPr>
  </w:style>
  <w:style w:type="paragraph" w:styleId="CommentSubject">
    <w:name w:val="annotation subject"/>
    <w:basedOn w:val="CommentText"/>
    <w:next w:val="CommentText"/>
    <w:link w:val="CommentSubjectChar"/>
    <w:uiPriority w:val="99"/>
    <w:semiHidden/>
    <w:unhideWhenUsed/>
    <w:rsid w:val="00292E82"/>
    <w:rPr>
      <w:b/>
      <w:bCs/>
    </w:rPr>
  </w:style>
  <w:style w:type="character" w:customStyle="1" w:styleId="CommentSubjectChar">
    <w:name w:val="Comment Subject Char"/>
    <w:link w:val="CommentSubject"/>
    <w:uiPriority w:val="99"/>
    <w:semiHidden/>
    <w:rsid w:val="00292E82"/>
    <w:rPr>
      <w:rFonts w:ascii="Arial" w:hAnsi="Arial" w:cs="Raavi"/>
      <w:b/>
      <w:bCs/>
      <w:lang w:val="de-DE" w:eastAsia="de-DE" w:bidi="pa-IN"/>
    </w:rPr>
  </w:style>
  <w:style w:type="paragraph" w:customStyle="1" w:styleId="Default">
    <w:name w:val="Default"/>
    <w:rsid w:val="008656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636">
      <w:bodyDiv w:val="1"/>
      <w:marLeft w:val="0"/>
      <w:marRight w:val="0"/>
      <w:marTop w:val="0"/>
      <w:marBottom w:val="0"/>
      <w:divBdr>
        <w:top w:val="none" w:sz="0" w:space="0" w:color="auto"/>
        <w:left w:val="none" w:sz="0" w:space="0" w:color="auto"/>
        <w:bottom w:val="none" w:sz="0" w:space="0" w:color="auto"/>
        <w:right w:val="none" w:sz="0" w:space="0" w:color="auto"/>
      </w:divBdr>
    </w:div>
    <w:div w:id="230431386">
      <w:bodyDiv w:val="1"/>
      <w:marLeft w:val="0"/>
      <w:marRight w:val="0"/>
      <w:marTop w:val="0"/>
      <w:marBottom w:val="0"/>
      <w:divBdr>
        <w:top w:val="none" w:sz="0" w:space="0" w:color="auto"/>
        <w:left w:val="none" w:sz="0" w:space="0" w:color="auto"/>
        <w:bottom w:val="none" w:sz="0" w:space="0" w:color="auto"/>
        <w:right w:val="none" w:sz="0" w:space="0" w:color="auto"/>
      </w:divBdr>
    </w:div>
    <w:div w:id="265238441">
      <w:bodyDiv w:val="1"/>
      <w:marLeft w:val="0"/>
      <w:marRight w:val="0"/>
      <w:marTop w:val="0"/>
      <w:marBottom w:val="0"/>
      <w:divBdr>
        <w:top w:val="none" w:sz="0" w:space="0" w:color="auto"/>
        <w:left w:val="none" w:sz="0" w:space="0" w:color="auto"/>
        <w:bottom w:val="none" w:sz="0" w:space="0" w:color="auto"/>
        <w:right w:val="none" w:sz="0" w:space="0" w:color="auto"/>
      </w:divBdr>
    </w:div>
    <w:div w:id="325859719">
      <w:bodyDiv w:val="1"/>
      <w:marLeft w:val="0"/>
      <w:marRight w:val="0"/>
      <w:marTop w:val="0"/>
      <w:marBottom w:val="0"/>
      <w:divBdr>
        <w:top w:val="none" w:sz="0" w:space="0" w:color="auto"/>
        <w:left w:val="none" w:sz="0" w:space="0" w:color="auto"/>
        <w:bottom w:val="none" w:sz="0" w:space="0" w:color="auto"/>
        <w:right w:val="none" w:sz="0" w:space="0" w:color="auto"/>
      </w:divBdr>
    </w:div>
    <w:div w:id="604657727">
      <w:bodyDiv w:val="1"/>
      <w:marLeft w:val="0"/>
      <w:marRight w:val="0"/>
      <w:marTop w:val="0"/>
      <w:marBottom w:val="0"/>
      <w:divBdr>
        <w:top w:val="none" w:sz="0" w:space="0" w:color="auto"/>
        <w:left w:val="none" w:sz="0" w:space="0" w:color="auto"/>
        <w:bottom w:val="none" w:sz="0" w:space="0" w:color="auto"/>
        <w:right w:val="none" w:sz="0" w:space="0" w:color="auto"/>
      </w:divBdr>
    </w:div>
    <w:div w:id="866724537">
      <w:bodyDiv w:val="1"/>
      <w:marLeft w:val="0"/>
      <w:marRight w:val="0"/>
      <w:marTop w:val="0"/>
      <w:marBottom w:val="0"/>
      <w:divBdr>
        <w:top w:val="none" w:sz="0" w:space="0" w:color="auto"/>
        <w:left w:val="none" w:sz="0" w:space="0" w:color="auto"/>
        <w:bottom w:val="none" w:sz="0" w:space="0" w:color="auto"/>
        <w:right w:val="none" w:sz="0" w:space="0" w:color="auto"/>
      </w:divBdr>
    </w:div>
    <w:div w:id="1016344359">
      <w:bodyDiv w:val="1"/>
      <w:marLeft w:val="0"/>
      <w:marRight w:val="0"/>
      <w:marTop w:val="0"/>
      <w:marBottom w:val="0"/>
      <w:divBdr>
        <w:top w:val="none" w:sz="0" w:space="0" w:color="auto"/>
        <w:left w:val="none" w:sz="0" w:space="0" w:color="auto"/>
        <w:bottom w:val="none" w:sz="0" w:space="0" w:color="auto"/>
        <w:right w:val="none" w:sz="0" w:space="0" w:color="auto"/>
      </w:divBdr>
    </w:div>
    <w:div w:id="1097678333">
      <w:bodyDiv w:val="1"/>
      <w:marLeft w:val="0"/>
      <w:marRight w:val="0"/>
      <w:marTop w:val="0"/>
      <w:marBottom w:val="0"/>
      <w:divBdr>
        <w:top w:val="none" w:sz="0" w:space="0" w:color="auto"/>
        <w:left w:val="none" w:sz="0" w:space="0" w:color="auto"/>
        <w:bottom w:val="none" w:sz="0" w:space="0" w:color="auto"/>
        <w:right w:val="none" w:sz="0" w:space="0" w:color="auto"/>
      </w:divBdr>
    </w:div>
    <w:div w:id="1760448232">
      <w:bodyDiv w:val="1"/>
      <w:marLeft w:val="0"/>
      <w:marRight w:val="0"/>
      <w:marTop w:val="0"/>
      <w:marBottom w:val="0"/>
      <w:divBdr>
        <w:top w:val="none" w:sz="0" w:space="0" w:color="auto"/>
        <w:left w:val="none" w:sz="0" w:space="0" w:color="auto"/>
        <w:bottom w:val="none" w:sz="0" w:space="0" w:color="auto"/>
        <w:right w:val="none" w:sz="0" w:space="0" w:color="auto"/>
      </w:divBdr>
    </w:div>
    <w:div w:id="1803113319">
      <w:bodyDiv w:val="1"/>
      <w:marLeft w:val="0"/>
      <w:marRight w:val="0"/>
      <w:marTop w:val="0"/>
      <w:marBottom w:val="0"/>
      <w:divBdr>
        <w:top w:val="none" w:sz="0" w:space="0" w:color="auto"/>
        <w:left w:val="none" w:sz="0" w:space="0" w:color="auto"/>
        <w:bottom w:val="none" w:sz="0" w:space="0" w:color="auto"/>
        <w:right w:val="none" w:sz="0" w:space="0" w:color="auto"/>
      </w:divBdr>
    </w:div>
    <w:div w:id="1866019529">
      <w:bodyDiv w:val="1"/>
      <w:marLeft w:val="0"/>
      <w:marRight w:val="0"/>
      <w:marTop w:val="0"/>
      <w:marBottom w:val="0"/>
      <w:divBdr>
        <w:top w:val="none" w:sz="0" w:space="0" w:color="auto"/>
        <w:left w:val="none" w:sz="0" w:space="0" w:color="auto"/>
        <w:bottom w:val="none" w:sz="0" w:space="0" w:color="auto"/>
        <w:right w:val="none" w:sz="0" w:space="0" w:color="auto"/>
      </w:divBdr>
    </w:div>
    <w:div w:id="2013947495">
      <w:bodyDiv w:val="1"/>
      <w:marLeft w:val="0"/>
      <w:marRight w:val="0"/>
      <w:marTop w:val="0"/>
      <w:marBottom w:val="0"/>
      <w:divBdr>
        <w:top w:val="none" w:sz="0" w:space="0" w:color="auto"/>
        <w:left w:val="none" w:sz="0" w:space="0" w:color="auto"/>
        <w:bottom w:val="none" w:sz="0" w:space="0" w:color="auto"/>
        <w:right w:val="none" w:sz="0" w:space="0" w:color="auto"/>
      </w:divBdr>
    </w:div>
    <w:div w:id="2072339375">
      <w:bodyDiv w:val="1"/>
      <w:marLeft w:val="0"/>
      <w:marRight w:val="0"/>
      <w:marTop w:val="0"/>
      <w:marBottom w:val="0"/>
      <w:divBdr>
        <w:top w:val="none" w:sz="0" w:space="0" w:color="auto"/>
        <w:left w:val="none" w:sz="0" w:space="0" w:color="auto"/>
        <w:bottom w:val="none" w:sz="0" w:space="0" w:color="auto"/>
        <w:right w:val="none" w:sz="0" w:space="0" w:color="auto"/>
      </w:divBdr>
    </w:div>
    <w:div w:id="2084444129">
      <w:bodyDiv w:val="1"/>
      <w:marLeft w:val="0"/>
      <w:marRight w:val="0"/>
      <w:marTop w:val="0"/>
      <w:marBottom w:val="0"/>
      <w:divBdr>
        <w:top w:val="none" w:sz="0" w:space="0" w:color="auto"/>
        <w:left w:val="none" w:sz="0" w:space="0" w:color="auto"/>
        <w:bottom w:val="none" w:sz="0" w:space="0" w:color="auto"/>
        <w:right w:val="none" w:sz="0" w:space="0" w:color="auto"/>
      </w:divBdr>
    </w:div>
    <w:div w:id="20946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F588E-A5D7-4CB8-9E28-8E82BABC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ESRB – European Systemic Risk</vt:lpstr>
    </vt:vector>
  </TitlesOfParts>
  <Company> galaxy</Company>
  <LinksUpToDate>false</LinksUpToDate>
  <CharactersWithSpaces>7772</CharactersWithSpaces>
  <SharedDoc>false</SharedDoc>
  <HLinks>
    <vt:vector size="12" baseType="variant">
      <vt:variant>
        <vt:i4>3407912</vt:i4>
      </vt:variant>
      <vt:variant>
        <vt:i4>3</vt:i4>
      </vt:variant>
      <vt:variant>
        <vt:i4>0</vt:i4>
      </vt:variant>
      <vt:variant>
        <vt:i4>5</vt:i4>
      </vt:variant>
      <vt:variant>
        <vt:lpwstr>http://www.bis.org/publ/cgfs49.pdf</vt:lpwstr>
      </vt:variant>
      <vt:variant>
        <vt:lpwstr/>
      </vt:variant>
      <vt:variant>
        <vt:i4>1703947</vt:i4>
      </vt:variant>
      <vt:variant>
        <vt:i4>0</vt:i4>
      </vt:variant>
      <vt:variant>
        <vt:i4>0</vt:i4>
      </vt:variant>
      <vt:variant>
        <vt:i4>5</vt:i4>
      </vt:variant>
      <vt:variant>
        <vt:lpwstr>http://www.esrb.europa.eu/pub/pdf/recommendations/2012/ESRB_2012_2.en.pdf?9aa57b9f48595c124eb071b23b643c6a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ESRB – European Systemic Risk</dc:title>
  <dc:subject/>
  <dc:creator>arthur dend</dc:creator>
  <cp:keywords/>
  <dc:description/>
  <cp:lastModifiedBy>Mazzaferro, Francesco</cp:lastModifiedBy>
  <cp:revision>2</cp:revision>
  <cp:lastPrinted>2013-06-07T16:27:00Z</cp:lastPrinted>
  <dcterms:created xsi:type="dcterms:W3CDTF">2013-07-01T15:48:00Z</dcterms:created>
  <dcterms:modified xsi:type="dcterms:W3CDTF">2013-07-01T15:48:00Z</dcterms:modified>
</cp:coreProperties>
</file>