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Overskrift1"/>
        <w:numPr>
          <w:ilvl w:val="0"/>
          <w:numId w:val="0"/>
        </w:numPr>
        <w:rPr>
          <w:sz w:val="22"/>
          <w:szCs w:val="22"/>
        </w:rPr>
      </w:pPr>
      <w:r w:rsidRPr="0026621B">
        <w:rPr>
          <w:sz w:val="22"/>
          <w:szCs w:val="22"/>
        </w:rPr>
        <w:lastRenderedPageBreak/>
        <w:t>General information about respondent</w:t>
      </w:r>
    </w:p>
    <w:tbl>
      <w:tblPr>
        <w:tblStyle w:val="Tabel-Gitter"/>
        <w:tblW w:w="0" w:type="auto"/>
        <w:tblLook w:val="04A0" w:firstRow="1" w:lastRow="0" w:firstColumn="1" w:lastColumn="0" w:noHBand="0" w:noVBand="1"/>
      </w:tblPr>
      <w:tblGrid>
        <w:gridCol w:w="3510"/>
        <w:gridCol w:w="6118"/>
      </w:tblGrid>
      <w:tr w:rsidR="00473916" w:rsidRPr="0026621B" w:rsidTr="00061CBA">
        <w:tc>
          <w:tcPr>
            <w:tcW w:w="3510" w:type="dxa"/>
          </w:tcPr>
          <w:p w:rsidR="00473916" w:rsidRPr="0026621B" w:rsidRDefault="00473916" w:rsidP="00061CBA">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061CBA" w:rsidP="00061CBA">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Content>
                <w:permStart w:id="1358853409" w:edGrp="everyone"/>
                <w:r w:rsidR="005A626D">
                  <w:rPr>
                    <w:rFonts w:cs="Arial"/>
                    <w:szCs w:val="22"/>
                  </w:rPr>
                  <w:t>Yes</w:t>
                </w:r>
                <w:permEnd w:id="1358853409"/>
              </w:sdtContent>
            </w:sdt>
          </w:p>
        </w:tc>
      </w:tr>
      <w:tr w:rsidR="00473916" w:rsidRPr="0026621B" w:rsidTr="00061CBA">
        <w:tc>
          <w:tcPr>
            <w:tcW w:w="3510" w:type="dxa"/>
          </w:tcPr>
          <w:p w:rsidR="00473916" w:rsidRPr="0026621B" w:rsidRDefault="00473916" w:rsidP="00061CBA">
            <w:pPr>
              <w:rPr>
                <w:rFonts w:cs="Arial"/>
                <w:szCs w:val="22"/>
              </w:rPr>
            </w:pPr>
            <w:r w:rsidRPr="0026621B">
              <w:rPr>
                <w:rFonts w:cs="Arial"/>
                <w:szCs w:val="22"/>
              </w:rPr>
              <w:t>Activity:</w:t>
            </w:r>
          </w:p>
        </w:tc>
        <w:tc>
          <w:tcPr>
            <w:tcW w:w="6118" w:type="dxa"/>
          </w:tcPr>
          <w:p w:rsidR="00473916" w:rsidRPr="0026621B" w:rsidRDefault="00061CBA" w:rsidP="00061CBA">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Content>
                <w:permStart w:id="1447431584" w:edGrp="everyone"/>
                <w:r w:rsidR="005A626D">
                  <w:rPr>
                    <w:rFonts w:cs="Arial"/>
                    <w:szCs w:val="22"/>
                  </w:rPr>
                  <w:t>Central Securities Depository</w:t>
                </w:r>
                <w:permEnd w:id="1447431584"/>
              </w:sdtContent>
            </w:sdt>
          </w:p>
        </w:tc>
      </w:tr>
      <w:tr w:rsidR="00473916" w:rsidRPr="0026621B" w:rsidTr="00061CBA">
        <w:tc>
          <w:tcPr>
            <w:tcW w:w="3510" w:type="dxa"/>
          </w:tcPr>
          <w:p w:rsidR="00473916" w:rsidRPr="0026621B" w:rsidRDefault="00473916" w:rsidP="00061CBA">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796411732" w:edGrp="everyone" w:displacedByCustomXml="prev"/>
            <w:tc>
              <w:tcPr>
                <w:tcW w:w="6118" w:type="dxa"/>
              </w:tcPr>
              <w:p w:rsidR="00473916" w:rsidRPr="0026621B" w:rsidRDefault="005A626D" w:rsidP="00061CBA">
                <w:pPr>
                  <w:rPr>
                    <w:rFonts w:cs="Arial"/>
                    <w:szCs w:val="22"/>
                  </w:rPr>
                </w:pPr>
                <w:r>
                  <w:rPr>
                    <w:rFonts w:cs="Arial"/>
                    <w:szCs w:val="22"/>
                  </w:rPr>
                  <w:t>Denmark</w:t>
                </w:r>
              </w:p>
            </w:tc>
            <w:permEnd w:id="1796411732" w:displacedByCustomXml="next"/>
          </w:sdtContent>
        </w:sdt>
      </w:tr>
    </w:tbl>
    <w:p w:rsidR="007F4106" w:rsidRDefault="007F4106">
      <w:pPr>
        <w:rPr>
          <w:b/>
        </w:rPr>
      </w:pPr>
      <w:r>
        <w:br w:type="page"/>
      </w:r>
    </w:p>
    <w:p w:rsidR="00D12AFD" w:rsidRDefault="00D12AFD" w:rsidP="00965B03">
      <w:pPr>
        <w:pStyle w:val="Overskrift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Overskrift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Overskrift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760CCA" w:rsidP="00D12AFD">
      <w:permStart w:id="15535941" w:edGrp="everyone"/>
      <w:r>
        <w:t>TYPE YOUR TEXT HERE</w:t>
      </w:r>
      <w:proofErr w:type="gramStart"/>
      <w:r w:rsidR="005A626D" w:rsidRPr="005A626D">
        <w:t>.</w:t>
      </w:r>
      <w:permEnd w:id="15535941"/>
      <w:r w:rsidR="00D12AFD">
        <w:t>&lt;</w:t>
      </w:r>
      <w:proofErr w:type="gramEnd"/>
      <w:r w:rsidR="00D12AFD">
        <w:t>ESMA_QUESTION_TS_CSDR_1&gt;</w:t>
      </w:r>
    </w:p>
    <w:p w:rsidR="00D12AFD" w:rsidRDefault="00D12AFD" w:rsidP="00B874B2">
      <w:pPr>
        <w:pStyle w:val="Overskrift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Overskrift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760CCA" w:rsidRDefault="00532327" w:rsidP="00691575">
      <w:permStart w:id="1106652801" w:edGrp="everyone"/>
      <w:r>
        <w:t>VP is a member of ECSDA and generally supports ESCDA’s answer to all questions. The a</w:t>
      </w:r>
      <w:r>
        <w:t>n</w:t>
      </w:r>
      <w:r>
        <w:t>swers below supplements the answer ECSDA’s answer where relevant for VP.</w:t>
      </w:r>
      <w:r w:rsidR="00760CCA" w:rsidRPr="005A626D">
        <w:t xml:space="preserve"> </w:t>
      </w:r>
    </w:p>
    <w:p w:rsidR="00760CCA" w:rsidRDefault="00760CCA" w:rsidP="00691575"/>
    <w:p w:rsidR="00691575" w:rsidRDefault="00532327" w:rsidP="00691575">
      <w:r>
        <w:t xml:space="preserve">As regard Q2, </w:t>
      </w:r>
      <w:r w:rsidR="00760CCA">
        <w:t>VP generally recommends EU-harmonised matching criteria and tolerance values as d</w:t>
      </w:r>
      <w:r w:rsidR="00760CCA">
        <w:t>e</w:t>
      </w:r>
      <w:r w:rsidR="00760CCA">
        <w:t xml:space="preserve">fined in the </w:t>
      </w:r>
      <w:proofErr w:type="spellStart"/>
      <w:r w:rsidR="00760CCA">
        <w:t>Eurosystem</w:t>
      </w:r>
      <w:proofErr w:type="spellEnd"/>
      <w:r w:rsidR="00760CCA">
        <w:t xml:space="preserve"> T2S project, also as regards non-T2S markets in EU.</w:t>
      </w:r>
      <w:r>
        <w:t xml:space="preserve"> Suggestions for additional match criteria or different tolerance values than defined in the T2S project should be avoided.</w:t>
      </w:r>
    </w:p>
    <w:permEnd w:id="1106652801"/>
    <w:p w:rsidR="00D12AFD" w:rsidRDefault="00D12AFD" w:rsidP="00D12AFD">
      <w:r>
        <w:t>&lt;ESMA_QUESTION_TS_CSDR_2&gt;</w:t>
      </w:r>
    </w:p>
    <w:p w:rsidR="00D12AFD" w:rsidRDefault="00D12AFD" w:rsidP="00965B03">
      <w:pPr>
        <w:pStyle w:val="Overskrift5"/>
        <w:ind w:left="567" w:hanging="567"/>
      </w:pPr>
      <w:r w:rsidRPr="002C4F00">
        <w:t xml:space="preserve">What are your views on the proposed approach under Article 3(11) of the draft RTS included in Chapter II of Annex I? </w:t>
      </w:r>
    </w:p>
    <w:p w:rsidR="00D12AFD" w:rsidRDefault="00D12AFD" w:rsidP="00BA1DEE">
      <w:pPr>
        <w:pStyle w:val="Overskrift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Overskrift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532327" w:rsidRDefault="00532327" w:rsidP="00D12AFD">
      <w:permStart w:id="1937063108" w:edGrp="everyone"/>
      <w:r>
        <w:t>VP generally supports efforts to achieve high settlement efficiency rates, hereunder via ince</w:t>
      </w:r>
      <w:r>
        <w:t>n</w:t>
      </w:r>
      <w:r>
        <w:t xml:space="preserve">tives for early settlement. However, a fixed settlement fail threshold, e.g. on 0.5 % as suggested on Q3 in our opinion is not an </w:t>
      </w:r>
      <w:proofErr w:type="spellStart"/>
      <w:r>
        <w:t>adaquant</w:t>
      </w:r>
      <w:proofErr w:type="spellEnd"/>
      <w:r>
        <w:t xml:space="preserve"> instrument to be addressed in legislation, and also the suggested settlement rate on 0.5 % in our opinion is too low compared to current settlement market level in Europe, </w:t>
      </w:r>
      <w:proofErr w:type="spellStart"/>
      <w:r>
        <w:t>herunder</w:t>
      </w:r>
      <w:proofErr w:type="spellEnd"/>
      <w:r>
        <w:t xml:space="preserve"> also in the Danish market and may have unintended cons</w:t>
      </w:r>
      <w:r>
        <w:t>e</w:t>
      </w:r>
      <w:r>
        <w:t>quences. For your information the current settlement efficiency rate with VP approx. 97 % a</w:t>
      </w:r>
      <w:r w:rsidR="005A626D" w:rsidRPr="005A626D">
        <w:t xml:space="preserve">nd the settlement </w:t>
      </w:r>
      <w:r>
        <w:t xml:space="preserve">efficiency rate </w:t>
      </w:r>
      <w:r w:rsidR="005A626D" w:rsidRPr="005A626D">
        <w:t xml:space="preserve">on bonds </w:t>
      </w:r>
      <w:proofErr w:type="gramStart"/>
      <w:r w:rsidR="005A626D" w:rsidRPr="005A626D">
        <w:t>is</w:t>
      </w:r>
      <w:proofErr w:type="gramEnd"/>
      <w:r w:rsidR="005A626D" w:rsidRPr="005A626D">
        <w:t xml:space="preserve"> </w:t>
      </w:r>
      <w:r>
        <w:t xml:space="preserve">close to but less than </w:t>
      </w:r>
      <w:r w:rsidR="005A626D" w:rsidRPr="005A626D">
        <w:t xml:space="preserve">99.5 </w:t>
      </w:r>
      <w:r>
        <w:t>%.</w:t>
      </w:r>
    </w:p>
    <w:p w:rsidR="00532327" w:rsidRDefault="00532327" w:rsidP="00D12AFD"/>
    <w:p w:rsidR="00D12AFD" w:rsidRDefault="00532327" w:rsidP="00D12AFD">
      <w:r>
        <w:t xml:space="preserve">Furthermore, VP recommends </w:t>
      </w:r>
      <w:r w:rsidR="00984132">
        <w:t xml:space="preserve">ESMA to consider introducing </w:t>
      </w:r>
      <w:r>
        <w:t>a harmonised method for calcul</w:t>
      </w:r>
      <w:r>
        <w:t>a</w:t>
      </w:r>
      <w:r>
        <w:t>tion</w:t>
      </w:r>
      <w:r w:rsidR="00984132">
        <w:t xml:space="preserve"> of settlement efficiency</w:t>
      </w:r>
      <w:proofErr w:type="gramStart"/>
      <w:r w:rsidR="00984132">
        <w:t>.</w:t>
      </w:r>
      <w:r w:rsidR="005A626D" w:rsidRPr="005A626D">
        <w:t>.</w:t>
      </w:r>
      <w:permEnd w:id="1937063108"/>
      <w:proofErr w:type="gramEnd"/>
      <w:r w:rsidR="00D12AFD">
        <w:t>&lt;ESMA_QUESTION_TS_CSDR_3&gt;</w:t>
      </w:r>
    </w:p>
    <w:p w:rsidR="00D12AFD" w:rsidRPr="002C4F00" w:rsidRDefault="00D12AFD" w:rsidP="00965B03">
      <w:pPr>
        <w:pStyle w:val="Overskrift5"/>
        <w:ind w:left="567" w:hanging="567"/>
      </w:pPr>
      <w:r w:rsidRPr="002C4F00">
        <w:t>What are your views on the proposed draft RTS included in Chapter II of Annex I?</w:t>
      </w:r>
    </w:p>
    <w:p w:rsidR="00D12AFD" w:rsidRDefault="00D12AFD" w:rsidP="00D12AFD"/>
    <w:p w:rsidR="00D12AFD" w:rsidRDefault="00D12AFD" w:rsidP="00D12AFD">
      <w:r>
        <w:lastRenderedPageBreak/>
        <w:t>&lt;ESMA_QUESTION_TS_CSDR_4&gt;</w:t>
      </w:r>
    </w:p>
    <w:p w:rsidR="00984132" w:rsidRDefault="00984132" w:rsidP="00D12AFD">
      <w:permStart w:id="1789144526" w:edGrp="everyone"/>
      <w:r>
        <w:t>Please see our comments to Q2 above on standardised matching fields.</w:t>
      </w:r>
    </w:p>
    <w:p w:rsidR="00984132" w:rsidRDefault="00984132" w:rsidP="00D12AFD"/>
    <w:p w:rsidR="00D12AFD" w:rsidRDefault="00984132" w:rsidP="00D12AFD">
      <w:r>
        <w:t>VP recommends avoiding an absolute figure on the maximum value of settlement fails with a CSD, which may pose unnecessary restricts on CSD’s with high settlement volume. For your information, the total settlement volume for VP in 2014 was equal EUR 5</w:t>
      </w:r>
      <w:proofErr w:type="gramStart"/>
      <w:r>
        <w:t>,9</w:t>
      </w:r>
      <w:proofErr w:type="gramEnd"/>
      <w:r>
        <w:t xml:space="preserve"> trillion – out of this volume EUR 47 billion</w:t>
      </w:r>
      <w:r w:rsidR="00C014C8">
        <w:t xml:space="preserve"> failed equal to an average settlement fail rate of 0,8 %. Introducing as suggested in Q4 an absolute maximum settlement fail value of EUR 2,5 billion pr. year would equal to a settlement fail rate with VP of no more than 0,04 % which we consider unrealistic. </w:t>
      </w:r>
      <w:r>
        <w:t xml:space="preserve"> </w:t>
      </w:r>
      <w:r w:rsidR="005A626D" w:rsidRPr="005A626D">
        <w:t xml:space="preserve"> </w:t>
      </w:r>
      <w:permEnd w:id="1789144526"/>
      <w:r w:rsidR="00D12AFD">
        <w:t>&lt;E</w:t>
      </w:r>
      <w:r w:rsidR="00D12AFD">
        <w:t>S</w:t>
      </w:r>
      <w:r w:rsidR="00D12AFD">
        <w:t>MA_QUESTION_TS_CSDR_4&gt;</w:t>
      </w:r>
    </w:p>
    <w:p w:rsidR="00D12AFD" w:rsidRPr="002C4F00" w:rsidRDefault="00D12AFD" w:rsidP="00965B03">
      <w:pPr>
        <w:pStyle w:val="Overskrift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002BCB" w:rsidRDefault="00F3201B" w:rsidP="00D12AFD">
      <w:permStart w:id="1666412854" w:edGrp="everyone"/>
      <w:r>
        <w:t>VP generally supports transparency on monitoring of settlement fails. Any cost should</w:t>
      </w:r>
      <w:r w:rsidR="009B7EDA">
        <w:t>, however,</w:t>
      </w:r>
      <w:r>
        <w:t xml:space="preserve"> be proportionate to the benefits </w:t>
      </w:r>
      <w:r w:rsidR="009B7EDA">
        <w:t xml:space="preserve">of the investment and should not incentivise instructing parties to consider transfer </w:t>
      </w:r>
      <w:r w:rsidR="00DC05FB">
        <w:t xml:space="preserve">of their </w:t>
      </w:r>
      <w:r w:rsidR="009B7EDA">
        <w:t xml:space="preserve">settlement instructions to less-regulated alternatives. </w:t>
      </w:r>
      <w:r w:rsidR="00002BCB">
        <w:t>As settlement discipline regulation is mainly designed to optimise behaviour in professional (wholesale) ma</w:t>
      </w:r>
      <w:r w:rsidR="00002BCB">
        <w:t>r</w:t>
      </w:r>
      <w:r w:rsidR="00002BCB">
        <w:t>kets, VP recommends ESMA to consider introducing exemption for retail securities markets</w:t>
      </w:r>
      <w:r w:rsidR="00E526E0">
        <w:t xml:space="preserve"> which in the Nordic markets normally settle via CSDs</w:t>
      </w:r>
      <w:r w:rsidR="00002BCB">
        <w:t>.</w:t>
      </w:r>
      <w:r w:rsidR="00072683">
        <w:t xml:space="preserve"> </w:t>
      </w:r>
      <w:r w:rsidR="00002BCB">
        <w:t xml:space="preserve"> </w:t>
      </w:r>
    </w:p>
    <w:p w:rsidR="00002BCB" w:rsidRDefault="00002BCB" w:rsidP="00D12AFD"/>
    <w:p w:rsidR="00F3201B" w:rsidRDefault="009B7EDA" w:rsidP="00D12AFD">
      <w:r>
        <w:t>P</w:t>
      </w:r>
      <w:r w:rsidR="00F3201B">
        <w:t>lease find for the purpose of the cost/benefit analysis with ESMA a contribution below on the estimated cost with VP for impl</w:t>
      </w:r>
      <w:r w:rsidR="00F3201B">
        <w:t>e</w:t>
      </w:r>
      <w:r w:rsidR="00F3201B">
        <w:t>mentation of additional monitoring and reporting features held in the suggested monitoring sy</w:t>
      </w:r>
      <w:r w:rsidR="00F3201B">
        <w:t>s</w:t>
      </w:r>
      <w:r w:rsidR="00F3201B">
        <w:t xml:space="preserve">tem. </w:t>
      </w:r>
    </w:p>
    <w:p w:rsidR="00F3201B" w:rsidRDefault="00F3201B" w:rsidP="00D12AFD"/>
    <w:p w:rsidR="00D12AFD" w:rsidRDefault="00C014C8" w:rsidP="00D12AFD">
      <w:r>
        <w:t xml:space="preserve">VP estimates </w:t>
      </w:r>
      <w:r w:rsidR="00F3201B">
        <w:t xml:space="preserve">that the suggested monitoring of settlement of fails would require an initial cost of EUR 990.000 and an annual running cost of EUR 25.000. For your information this estimate is held in the joint cost estimate held in the ECSDA answer. </w:t>
      </w:r>
      <w:proofErr w:type="gramStart"/>
      <w:r w:rsidR="00F3201B">
        <w:t>.</w:t>
      </w:r>
      <w:permEnd w:id="1666412854"/>
      <w:r w:rsidR="00D12AFD">
        <w:t>&lt;</w:t>
      </w:r>
      <w:proofErr w:type="gramEnd"/>
      <w:r w:rsidR="00D12AFD">
        <w:t>ESMA_QUESTION_TS_CSDR_5&gt;</w:t>
      </w:r>
    </w:p>
    <w:p w:rsidR="00D12AFD" w:rsidRPr="002C4F00" w:rsidRDefault="00D12AFD" w:rsidP="00965B03">
      <w:pPr>
        <w:pStyle w:val="Overskrift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263FD9" w:rsidRDefault="00263FD9" w:rsidP="00061CBA">
      <w:permStart w:id="1389577585" w:edGrp="everyone"/>
      <w:r>
        <w:t>VP generally supports</w:t>
      </w:r>
      <w:r w:rsidR="008D0F42">
        <w:t xml:space="preserve"> a harmonised penalty mechanism.</w:t>
      </w:r>
      <w:r>
        <w:t xml:space="preserve"> Any cost should, however, be propo</w:t>
      </w:r>
      <w:r>
        <w:t>r</w:t>
      </w:r>
      <w:r>
        <w:t>tionate to the benefits of the investment and should not incentivise instructing parties to co</w:t>
      </w:r>
      <w:r>
        <w:t>n</w:t>
      </w:r>
      <w:r>
        <w:t>sider transfer of their settlement instructions to less-regulated altern</w:t>
      </w:r>
      <w:r>
        <w:t>a</w:t>
      </w:r>
      <w:r>
        <w:t xml:space="preserve">tives. </w:t>
      </w:r>
      <w:r>
        <w:br/>
        <w:t>Please find for the purpose of the cost/benefit analysis with ESMA a contribution below on the estimated cost with VP for implementation of</w:t>
      </w:r>
      <w:r w:rsidR="008D0F42">
        <w:t xml:space="preserve"> the suggested penalty mechanism.</w:t>
      </w:r>
      <w:r>
        <w:t xml:space="preserve"> </w:t>
      </w:r>
    </w:p>
    <w:p w:rsidR="00263FD9" w:rsidRDefault="00263FD9" w:rsidP="00061CBA"/>
    <w:p w:rsidR="00D12AFD" w:rsidRDefault="00263FD9" w:rsidP="00D12AFD">
      <w:r>
        <w:t>VP estimates that the suggested</w:t>
      </w:r>
      <w:r w:rsidR="008D0F42">
        <w:t xml:space="preserve"> penalty mechanism</w:t>
      </w:r>
      <w:r>
        <w:t xml:space="preserve"> would require an initial cost of EUR </w:t>
      </w:r>
      <w:r w:rsidR="008D0F42">
        <w:t>975.000</w:t>
      </w:r>
      <w:r>
        <w:t xml:space="preserve"> and a</w:t>
      </w:r>
      <w:r w:rsidR="008D0F42">
        <w:t>n annual running cost of EUR 7</w:t>
      </w:r>
      <w:r>
        <w:t>5.000. For your information this est</w:t>
      </w:r>
      <w:r>
        <w:t>i</w:t>
      </w:r>
      <w:r>
        <w:t xml:space="preserve">mate is held in the joint cost estimate held in the ECSDA answer. </w:t>
      </w:r>
      <w:permEnd w:id="1389577585"/>
      <w:r w:rsidR="00D12AFD">
        <w:t>&lt;E</w:t>
      </w:r>
      <w:r w:rsidR="00D12AFD">
        <w:t>S</w:t>
      </w:r>
      <w:r w:rsidR="00D12AFD">
        <w:t>MA_QUESTION_TS_CSDR_6&gt;</w:t>
      </w:r>
    </w:p>
    <w:p w:rsidR="00D12AFD" w:rsidRDefault="00D12AFD" w:rsidP="00965B03">
      <w:pPr>
        <w:pStyle w:val="Overskrift5"/>
        <w:ind w:left="567" w:hanging="567"/>
      </w:pPr>
      <w:r w:rsidRPr="002C4F00">
        <w:lastRenderedPageBreak/>
        <w:t>What are your views on the proposed draft RTS related to the buy-in process?</w:t>
      </w:r>
    </w:p>
    <w:p w:rsidR="00D12AFD" w:rsidRDefault="00D12AFD" w:rsidP="00BA1DEE">
      <w:pPr>
        <w:pStyle w:val="Overskrift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Overskrift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26545D" w:rsidRDefault="00061CBA" w:rsidP="00A65230">
      <w:permStart w:id="700392020" w:edGrp="everyone"/>
      <w:r>
        <w:t>VP</w:t>
      </w:r>
      <w:r w:rsidR="0026545D">
        <w:t xml:space="preserve"> in general supports incentives that will contribute to reducing settlement fails. Mandatory buy-in</w:t>
      </w:r>
      <w:r w:rsidR="00F16ABC">
        <w:t>,</w:t>
      </w:r>
      <w:r w:rsidR="0026545D">
        <w:t xml:space="preserve"> however</w:t>
      </w:r>
      <w:r w:rsidR="00F16ABC">
        <w:t>,</w:t>
      </w:r>
      <w:r w:rsidR="0026545D">
        <w:t xml:space="preserve"> may not</w:t>
      </w:r>
      <w:r w:rsidR="00F16ABC">
        <w:t xml:space="preserve"> necessarily</w:t>
      </w:r>
      <w:r w:rsidR="0026545D">
        <w:t xml:space="preserve"> be an optimal instrument to ensure this, and</w:t>
      </w:r>
      <w:r w:rsidR="00F16ABC">
        <w:t xml:space="preserve"> VP</w:t>
      </w:r>
      <w:r w:rsidR="0026545D">
        <w:t xml:space="preserve"> therefore </w:t>
      </w:r>
      <w:r w:rsidR="00F16ABC">
        <w:t>recommends careful use of this instrument</w:t>
      </w:r>
      <w:r w:rsidR="0026545D">
        <w:t>. This is in particular relevant for the Nordic ma</w:t>
      </w:r>
      <w:r w:rsidR="0026545D">
        <w:t>r</w:t>
      </w:r>
      <w:r w:rsidR="0026545D">
        <w:t>kets that hold some very liquid but also many low-liquid securities (equities, inve</w:t>
      </w:r>
      <w:r w:rsidR="00F16ABC">
        <w:t>s</w:t>
      </w:r>
      <w:r w:rsidR="00F16ABC">
        <w:t>t</w:t>
      </w:r>
      <w:r w:rsidR="00F16ABC">
        <w:t>ment funds as well as bonds) to whom a buy-in process will not be an adequate instrument of remedy in case of se</w:t>
      </w:r>
      <w:r w:rsidR="00F16ABC">
        <w:t>t</w:t>
      </w:r>
      <w:r w:rsidR="00F16ABC">
        <w:t>tlement failure.</w:t>
      </w:r>
    </w:p>
    <w:p w:rsidR="00F16ABC" w:rsidRDefault="00F16ABC" w:rsidP="00A65230"/>
    <w:p w:rsidR="00F16ABC" w:rsidRDefault="00F16ABC" w:rsidP="00A65230">
      <w:r>
        <w:t xml:space="preserve">As regards roles and liabilities in the buy-in process, VP fully shares the ECSDA point of view that CSDs should not granted additionally mandatory roles in relation to buy-ins. Some of the suggested roles will expose VP to processes outside of VP’s control and thereby introduce VP to additional liability and require substantial </w:t>
      </w:r>
      <w:r w:rsidR="00061CBA" w:rsidRPr="005A626D">
        <w:t>operational/systemic changes</w:t>
      </w:r>
      <w:r w:rsidR="00061CBA">
        <w:t xml:space="preserve">. </w:t>
      </w:r>
    </w:p>
    <w:p w:rsidR="00A65230" w:rsidRDefault="00A65230" w:rsidP="00A65230">
      <w:r>
        <w:br/>
        <w:t xml:space="preserve">Please find for the purpose of the cost/benefit analysis with ESMA a contribution below on the estimated cost with VP for implementation of the suggested buy-in process. </w:t>
      </w:r>
    </w:p>
    <w:p w:rsidR="00A65230" w:rsidRDefault="00A65230" w:rsidP="00A65230"/>
    <w:p w:rsidR="00A65230" w:rsidRDefault="00A65230" w:rsidP="00D12AFD">
      <w:r>
        <w:t>VP estimates that the suggested buy-in process would require an initial cost of EUR 250.000 and an annual running cost of EUR 50.000. For your information this estimate is held in the joint cost est</w:t>
      </w:r>
      <w:r>
        <w:t>i</w:t>
      </w:r>
      <w:r>
        <w:t>mate held in the ECSDA answer.</w:t>
      </w:r>
    </w:p>
    <w:permEnd w:id="700392020"/>
    <w:p w:rsidR="00D12AFD" w:rsidRDefault="00D12AFD" w:rsidP="00D12AFD">
      <w:r>
        <w:t>&lt;ESMA_QUESTION_TS_CSDR_7&gt;</w:t>
      </w:r>
    </w:p>
    <w:p w:rsidR="00D12AFD" w:rsidRPr="002C4F00" w:rsidRDefault="00D12AFD" w:rsidP="00965B03">
      <w:pPr>
        <w:pStyle w:val="Overskrift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124278" w:rsidP="00124278">
      <w:permStart w:id="2051879108" w:edGrp="everyone"/>
      <w:r>
        <w:t>TYPE YOUR TEXT HERE</w:t>
      </w:r>
    </w:p>
    <w:permEnd w:id="2051879108"/>
    <w:p w:rsidR="00D12AFD" w:rsidRDefault="00D12AFD" w:rsidP="00D12AFD">
      <w:r>
        <w:t>&lt;ESMA_QUESTION_TS_CSDR_8&gt;</w:t>
      </w:r>
    </w:p>
    <w:p w:rsidR="00D12AFD" w:rsidRPr="002C4F00" w:rsidRDefault="00D12AFD" w:rsidP="00965B03">
      <w:pPr>
        <w:pStyle w:val="Overskrift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124278" w:rsidRDefault="00124278" w:rsidP="00124278">
      <w:permStart w:id="851649075" w:edGrp="everyone"/>
      <w:r>
        <w:t>TYPE YOUR TEXT HERE</w:t>
      </w:r>
    </w:p>
    <w:permEnd w:id="851649075"/>
    <w:p w:rsidR="00D12AFD" w:rsidRDefault="00D12AFD" w:rsidP="00D12AFD">
      <w:r>
        <w:t>&lt;ESMA_QUESTION_TS_CSDR_9&gt;</w:t>
      </w:r>
    </w:p>
    <w:p w:rsidR="00D12AFD" w:rsidRPr="002C4F00" w:rsidRDefault="00D12AFD" w:rsidP="00965B03">
      <w:pPr>
        <w:pStyle w:val="Overskrift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124278" w:rsidRDefault="00124278" w:rsidP="00124278">
      <w:permStart w:id="1192825635" w:edGrp="everyone"/>
      <w:r>
        <w:t>TYPE YOUR TEXT HERE</w:t>
      </w:r>
    </w:p>
    <w:permEnd w:id="1192825635"/>
    <w:p w:rsidR="00D12AFD" w:rsidRDefault="00D12AFD" w:rsidP="00D12AFD">
      <w:r>
        <w:t>&lt;ESMA_QUESTION_TS_CSDR_10&gt;</w:t>
      </w:r>
    </w:p>
    <w:p w:rsidR="00D12AFD" w:rsidRPr="002C4F00" w:rsidRDefault="00D12AFD" w:rsidP="00965B03">
      <w:pPr>
        <w:pStyle w:val="Overskrift5"/>
        <w:ind w:left="567" w:hanging="567"/>
      </w:pPr>
      <w:r w:rsidRPr="002C4F00">
        <w:lastRenderedPageBreak/>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D12AFD" w:rsidRDefault="005A626D" w:rsidP="00D12AFD">
      <w:permStart w:id="1342723489" w:edGrp="everyone"/>
      <w:r w:rsidRPr="005A626D">
        <w:t xml:space="preserve">Allowing a difference of 10 </w:t>
      </w:r>
      <w:r>
        <w:t>%</w:t>
      </w:r>
      <w:r w:rsidRPr="005A626D">
        <w:t xml:space="preserve"> (value/volume) will have a </w:t>
      </w:r>
      <w:r w:rsidR="006A2069">
        <w:t>large</w:t>
      </w:r>
      <w:r w:rsidRPr="005A626D">
        <w:t xml:space="preserve"> impact on the overall settlement performance and VP considers the threshold as too high. </w:t>
      </w:r>
      <w:r w:rsidR="006A2069">
        <w:t xml:space="preserve">VP recommends ESMA to consider </w:t>
      </w:r>
      <w:r w:rsidRPr="005A626D">
        <w:t xml:space="preserve">a differentiation of benchmarks pr. security type </w:t>
      </w:r>
      <w:r w:rsidR="006A2069">
        <w:t>and to avoid rules that may incentivise settl</w:t>
      </w:r>
      <w:r w:rsidR="006A2069">
        <w:t>e</w:t>
      </w:r>
      <w:r w:rsidR="006A2069">
        <w:t>ment failure mitigation as a potential competitive parameter between CSDs (“CSDs should not co</w:t>
      </w:r>
      <w:r w:rsidR="006A2069">
        <w:t>m</w:t>
      </w:r>
      <w:r w:rsidR="006A2069">
        <w:t>pete on risk”)</w:t>
      </w:r>
      <w:proofErr w:type="gramStart"/>
      <w:r w:rsidR="006A2069">
        <w:t>.</w:t>
      </w:r>
      <w:r w:rsidRPr="005A626D">
        <w:t>.</w:t>
      </w:r>
      <w:permEnd w:id="1342723489"/>
      <w:proofErr w:type="gramEnd"/>
      <w:r w:rsidR="00D12AFD">
        <w:t>&lt;ESMA_QUESTION_TS_CSDR_11&gt;</w:t>
      </w:r>
    </w:p>
    <w:p w:rsidR="00D12AFD" w:rsidRPr="002C4F00" w:rsidRDefault="00D12AFD" w:rsidP="00965B03">
      <w:pPr>
        <w:pStyle w:val="Overskrift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24278" w:rsidP="00124278">
      <w:permStart w:id="482219306" w:edGrp="everyone"/>
      <w:r>
        <w:t>TYPE YOUR TEXT HERE</w:t>
      </w:r>
    </w:p>
    <w:permEnd w:id="482219306"/>
    <w:p w:rsidR="00D12AFD" w:rsidRDefault="00D12AFD" w:rsidP="00D12AFD">
      <w:r>
        <w:t>&lt;ESMA_QUESTION_TS_CSDR_12&gt;</w:t>
      </w:r>
    </w:p>
    <w:p w:rsidR="00D12AFD" w:rsidRPr="002C4F00" w:rsidRDefault="00D12AFD" w:rsidP="00965B03">
      <w:pPr>
        <w:pStyle w:val="Overskrift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D12AFD" w:rsidRDefault="005A626D" w:rsidP="00D12AFD">
      <w:permStart w:id="1426475745" w:edGrp="everyone"/>
      <w:r>
        <w:t>VP a</w:t>
      </w:r>
      <w:r w:rsidRPr="005A626D">
        <w:t>gree</w:t>
      </w:r>
      <w:r>
        <w:t>s</w:t>
      </w:r>
      <w:r w:rsidRPr="005A626D">
        <w:t xml:space="preserve"> with the proposal; there should not </w:t>
      </w:r>
      <w:r>
        <w:t>be differences between the ma</w:t>
      </w:r>
      <w:r>
        <w:t>r</w:t>
      </w:r>
      <w:r w:rsidRPr="005A626D">
        <w:t>kets</w:t>
      </w:r>
      <w:proofErr w:type="gramStart"/>
      <w:r w:rsidR="00002BCB">
        <w:t>.</w:t>
      </w:r>
      <w:permEnd w:id="1426475745"/>
      <w:r w:rsidR="00D12AFD">
        <w:t>&lt;</w:t>
      </w:r>
      <w:proofErr w:type="gramEnd"/>
      <w:r w:rsidR="00D12AFD">
        <w:t>ESMA_QUESTION_TS_CSDR_13&gt;</w:t>
      </w:r>
    </w:p>
    <w:p w:rsidR="00D12AFD" w:rsidRPr="002C4F00" w:rsidRDefault="00D12AFD" w:rsidP="00965B03">
      <w:pPr>
        <w:pStyle w:val="Overskrift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D12AFD" w:rsidRDefault="00DC05FB" w:rsidP="00D12AFD">
      <w:permStart w:id="1269040660" w:edGrp="everyone"/>
      <w:r>
        <w:t xml:space="preserve">VP </w:t>
      </w:r>
      <w:r w:rsidR="00AF0B78">
        <w:t>fully</w:t>
      </w:r>
      <w:r>
        <w:t xml:space="preserve"> supports the</w:t>
      </w:r>
      <w:r w:rsidR="00AF0B78">
        <w:t xml:space="preserve"> ESMA proposal for a later implementation deadline of the sanction r</w:t>
      </w:r>
      <w:r w:rsidR="00AF0B78">
        <w:t>e</w:t>
      </w:r>
      <w:r w:rsidR="00AF0B78">
        <w:t xml:space="preserve">gime. This will ensure alignment </w:t>
      </w:r>
      <w:r w:rsidR="003A06E6">
        <w:t xml:space="preserve">with </w:t>
      </w:r>
      <w:r>
        <w:t xml:space="preserve">inter alia the T2S project. As VP will migrate </w:t>
      </w:r>
      <w:r w:rsidR="00AF0B78">
        <w:t>its DKK settl</w:t>
      </w:r>
      <w:r w:rsidR="00AF0B78">
        <w:t>e</w:t>
      </w:r>
      <w:r w:rsidR="00AF0B78">
        <w:t xml:space="preserve">ment </w:t>
      </w:r>
      <w:r>
        <w:t xml:space="preserve">to T2S by end of 2018, we recommend an implementation deadline </w:t>
      </w:r>
      <w:r w:rsidR="00AF0B78">
        <w:t xml:space="preserve">for the CSDR sanction regime by </w:t>
      </w:r>
      <w:proofErr w:type="spellStart"/>
      <w:r>
        <w:t>medio</w:t>
      </w:r>
      <w:proofErr w:type="spellEnd"/>
      <w:r>
        <w:t xml:space="preserve"> 2019</w:t>
      </w:r>
      <w:proofErr w:type="gramStart"/>
      <w:r w:rsidR="00AF0B78">
        <w:t>.</w:t>
      </w:r>
      <w:r w:rsidR="005A626D">
        <w:t>.</w:t>
      </w:r>
      <w:permEnd w:id="1269040660"/>
      <w:r w:rsidR="00D12AFD">
        <w:t>&lt;</w:t>
      </w:r>
      <w:proofErr w:type="gramEnd"/>
      <w:r w:rsidR="00D12AFD">
        <w:t>ESMA_QUESTION_TS_CSDR_14&gt;</w:t>
      </w:r>
    </w:p>
    <w:p w:rsidR="00D12AFD" w:rsidRPr="002C4F00" w:rsidRDefault="00D12AFD" w:rsidP="00965B03">
      <w:pPr>
        <w:pStyle w:val="Overskrift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1555236292" w:edGrp="everyone"/>
      <w:r>
        <w:t>TYPE YOUR TEXT HERE</w:t>
      </w:r>
    </w:p>
    <w:permEnd w:id="1555236292"/>
    <w:p w:rsidR="00D12AFD" w:rsidRDefault="00D12AFD" w:rsidP="00D12AFD">
      <w:r>
        <w:t>&lt;ESMA_QUESTION_TS_CSDR_15&gt;</w:t>
      </w:r>
    </w:p>
    <w:p w:rsidR="00D12AFD" w:rsidRPr="002C4F00" w:rsidRDefault="00D12AFD" w:rsidP="00965B03">
      <w:pPr>
        <w:pStyle w:val="Overskrift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1245907736" w:edGrp="everyone"/>
      <w:r>
        <w:t>TYPE YOUR TEXT HERE</w:t>
      </w:r>
    </w:p>
    <w:permEnd w:id="1245907736"/>
    <w:p w:rsidR="00D12AFD" w:rsidRDefault="00D12AFD" w:rsidP="00D12AFD">
      <w:r>
        <w:t>&lt;ESMA_QUESTION_TS_CSDR_16&gt;</w:t>
      </w:r>
    </w:p>
    <w:p w:rsidR="00D12AFD" w:rsidRPr="002C4F00" w:rsidRDefault="00D12AFD" w:rsidP="00965B03">
      <w:pPr>
        <w:pStyle w:val="Overskrift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lastRenderedPageBreak/>
        <w:t>&lt;ESMA_QUESTION_TS_CSDR_17&gt;</w:t>
      </w:r>
    </w:p>
    <w:p w:rsidR="00124278" w:rsidRDefault="00124278" w:rsidP="00124278">
      <w:permStart w:id="1316759959" w:edGrp="everyone"/>
      <w:r>
        <w:t>TYPE YOUR TEXT HERE</w:t>
      </w:r>
    </w:p>
    <w:permEnd w:id="1316759959"/>
    <w:p w:rsidR="00D12AFD" w:rsidRDefault="00D12AFD" w:rsidP="00D12AFD">
      <w:r>
        <w:t>&lt;ESMA_QUESTION_TS_CSDR_17&gt;</w:t>
      </w:r>
    </w:p>
    <w:p w:rsidR="00D12AFD" w:rsidRPr="002C4F00" w:rsidRDefault="00D12AFD" w:rsidP="00965B03">
      <w:pPr>
        <w:pStyle w:val="Overskrift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166345167" w:edGrp="everyone"/>
      <w:r>
        <w:t>TYPE YOUR TEXT HERE</w:t>
      </w:r>
    </w:p>
    <w:permEnd w:id="166345167"/>
    <w:p w:rsidR="00D12AFD" w:rsidRDefault="00D12AFD" w:rsidP="00D12AFD">
      <w:r>
        <w:t>&lt;ESMA_QUESTION_TS_CSDR_18&gt;</w:t>
      </w:r>
    </w:p>
    <w:p w:rsidR="00D12AFD" w:rsidRPr="002C4F00" w:rsidRDefault="00D12AFD" w:rsidP="00965B03">
      <w:pPr>
        <w:pStyle w:val="Overskrift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D12AFD" w:rsidRDefault="00893C23" w:rsidP="00D12AFD">
      <w:permStart w:id="390035077" w:edGrp="everyone"/>
      <w:r>
        <w:t>TYPE YOUR TEXT HERE</w:t>
      </w:r>
      <w:proofErr w:type="gramStart"/>
      <w:r w:rsidR="00EC52B1">
        <w:t>.</w:t>
      </w:r>
      <w:permEnd w:id="390035077"/>
      <w:r w:rsidR="00D12AFD">
        <w:t>&lt;</w:t>
      </w:r>
      <w:proofErr w:type="gramEnd"/>
      <w:r w:rsidR="00D12AFD">
        <w:t>ESMA_QUESTION_TS_CSDR_19&gt;</w:t>
      </w:r>
    </w:p>
    <w:p w:rsidR="00D12AFD" w:rsidRPr="002C4F00" w:rsidRDefault="00D12AFD" w:rsidP="00965B03">
      <w:pPr>
        <w:pStyle w:val="Overskrift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D12AFD" w:rsidRDefault="00893C23" w:rsidP="00D12AFD">
      <w:permStart w:id="757926185" w:edGrp="everyone"/>
      <w:r>
        <w:t>TYPE YOUR TEXT HERE</w:t>
      </w:r>
      <w:proofErr w:type="gramStart"/>
      <w:r w:rsidR="00EC52B1" w:rsidRPr="00EC52B1">
        <w:t>.</w:t>
      </w:r>
      <w:permEnd w:id="757926185"/>
      <w:r w:rsidR="00D12AFD">
        <w:t>&lt;</w:t>
      </w:r>
      <w:proofErr w:type="gramEnd"/>
      <w:r w:rsidR="00D12AFD">
        <w:t>ESMA_QUESTION_TS_CSDR_20&gt;</w:t>
      </w:r>
    </w:p>
    <w:p w:rsidR="00D12AFD" w:rsidRPr="002C4F00" w:rsidRDefault="00D12AFD" w:rsidP="00965B03">
      <w:pPr>
        <w:pStyle w:val="Overskrift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1031421984" w:edGrp="everyone"/>
      <w:r>
        <w:t>TYPE YOUR TEXT HERE</w:t>
      </w:r>
    </w:p>
    <w:permEnd w:id="1031421984"/>
    <w:p w:rsidR="00D12AFD" w:rsidRDefault="00D12AFD" w:rsidP="00D12AFD">
      <w:r>
        <w:t>&lt;ESMA_QUESTION_TS_CSDR_21&gt;</w:t>
      </w:r>
    </w:p>
    <w:p w:rsidR="00D12AFD" w:rsidRDefault="00D12AFD" w:rsidP="00965B03">
      <w:pPr>
        <w:pStyle w:val="Overskrift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893C23" w:rsidP="00D12AFD">
      <w:permStart w:id="305543678" w:edGrp="everyone"/>
      <w:r>
        <w:t>ESMA suggest that t</w:t>
      </w:r>
      <w:r w:rsidR="00EC52B1" w:rsidRPr="00EC52B1">
        <w:t>he functions of 1) Chief Risk Officer, 2) Chief Compliance Officer and 3) Chief Tech</w:t>
      </w:r>
      <w:r>
        <w:t xml:space="preserve">nical Officer shall </w:t>
      </w:r>
      <w:r w:rsidR="00EC52B1" w:rsidRPr="00EC52B1">
        <w:t xml:space="preserve">be </w:t>
      </w:r>
      <w:r>
        <w:t>managed</w:t>
      </w:r>
      <w:r w:rsidR="00EC52B1" w:rsidRPr="00EC52B1">
        <w:t xml:space="preserve"> by different persons. </w:t>
      </w:r>
      <w:r>
        <w:t>VP is aware that o</w:t>
      </w:r>
      <w:r w:rsidR="00EC52B1" w:rsidRPr="00EC52B1">
        <w:t>ther regulation a</w:t>
      </w:r>
      <w:r w:rsidR="00EC52B1" w:rsidRPr="00EC52B1">
        <w:t>l</w:t>
      </w:r>
      <w:r w:rsidR="00EC52B1" w:rsidRPr="00EC52B1">
        <w:t>lows the Risk and Compliance functions to be performed by the same person if this person is independent of the organisation</w:t>
      </w:r>
      <w:r>
        <w:rPr>
          <w:lang w:val="en-US"/>
        </w:rPr>
        <w:t xml:space="preserve">. To avoid unnecessary cost with small and medium sized CSDs, VP suggests </w:t>
      </w:r>
      <w:r w:rsidR="00665C7F" w:rsidRPr="00EC52B1">
        <w:rPr>
          <w:lang w:val="en-US"/>
        </w:rPr>
        <w:t xml:space="preserve">the possibility that </w:t>
      </w:r>
      <w:r w:rsidR="00665C7F">
        <w:rPr>
          <w:lang w:val="en-US"/>
        </w:rPr>
        <w:t>a single</w:t>
      </w:r>
      <w:r w:rsidR="00665C7F" w:rsidRPr="00EC52B1">
        <w:rPr>
          <w:lang w:val="en-US"/>
        </w:rPr>
        <w:t xml:space="preserve"> person could </w:t>
      </w:r>
      <w:r>
        <w:rPr>
          <w:lang w:val="en-US"/>
        </w:rPr>
        <w:t>manage</w:t>
      </w:r>
      <w:r w:rsidR="00665C7F">
        <w:rPr>
          <w:lang w:val="en-US"/>
        </w:rPr>
        <w:t xml:space="preserve"> all of these</w:t>
      </w:r>
      <w:r>
        <w:rPr>
          <w:lang w:val="en-US"/>
        </w:rPr>
        <w:t xml:space="preserve"> three</w:t>
      </w:r>
      <w:r w:rsidR="00665C7F">
        <w:rPr>
          <w:lang w:val="en-US"/>
        </w:rPr>
        <w:t xml:space="preserve"> fun</w:t>
      </w:r>
      <w:r w:rsidR="00665C7F">
        <w:rPr>
          <w:lang w:val="en-US"/>
        </w:rPr>
        <w:t>c</w:t>
      </w:r>
      <w:r w:rsidR="00665C7F">
        <w:rPr>
          <w:lang w:val="en-US"/>
        </w:rPr>
        <w:t>tions</w:t>
      </w:r>
      <w:proofErr w:type="gramStart"/>
      <w:r w:rsidR="00EC52B1" w:rsidRPr="00EC52B1">
        <w:t>.</w:t>
      </w:r>
      <w:permEnd w:id="305543678"/>
      <w:r w:rsidR="00D12AFD">
        <w:t>&lt;</w:t>
      </w:r>
      <w:proofErr w:type="gramEnd"/>
      <w:r w:rsidR="00D12AFD">
        <w:t>ESMA_QUESTION_TS_CSDR_22&gt;</w:t>
      </w:r>
    </w:p>
    <w:p w:rsidR="00D12AFD" w:rsidRDefault="00D12AFD" w:rsidP="00965B03">
      <w:pPr>
        <w:pStyle w:val="Overskrift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515138006" w:edGrp="everyone"/>
      <w:r>
        <w:t>TYPE YOUR TEXT HERE</w:t>
      </w:r>
    </w:p>
    <w:permEnd w:id="515138006"/>
    <w:p w:rsidR="00D12AFD" w:rsidRDefault="00D12AFD" w:rsidP="00D12AFD">
      <w:r>
        <w:t>&lt;ESMA_QUESTION_TS_CSDR_23&gt;</w:t>
      </w:r>
    </w:p>
    <w:p w:rsidR="00D12AFD" w:rsidRPr="002C4F00" w:rsidRDefault="00D12AFD" w:rsidP="00965B03">
      <w:pPr>
        <w:pStyle w:val="Overskrift5"/>
        <w:ind w:left="567" w:hanging="567"/>
      </w:pPr>
      <w:r w:rsidRPr="002C4F00">
        <w:lastRenderedPageBreak/>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772805343" w:edGrp="everyone"/>
      <w:r>
        <w:t>TYPE YOUR TEXT HERE</w:t>
      </w:r>
    </w:p>
    <w:permEnd w:id="772805343"/>
    <w:p w:rsidR="00D12AFD" w:rsidRDefault="00D12AFD" w:rsidP="00D12AFD">
      <w:r>
        <w:t>&lt;ESMA_QUESTION_TS_CSDR_25&gt;</w:t>
      </w:r>
    </w:p>
    <w:p w:rsidR="00D12AFD" w:rsidRPr="002C4F00" w:rsidRDefault="00D12AFD" w:rsidP="00965B03">
      <w:pPr>
        <w:pStyle w:val="Overskrift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D12AFD" w:rsidRDefault="00893C23" w:rsidP="00D12AFD">
      <w:permStart w:id="854415600" w:edGrp="everyone"/>
      <w:r>
        <w:t>TYPE YOUR TEXT HERE</w:t>
      </w:r>
      <w:proofErr w:type="gramStart"/>
      <w:r w:rsidR="00306003">
        <w:t>.</w:t>
      </w:r>
      <w:permEnd w:id="854415600"/>
      <w:r w:rsidR="00D12AFD">
        <w:t>&lt;</w:t>
      </w:r>
      <w:proofErr w:type="gramEnd"/>
      <w:r w:rsidR="00D12AFD">
        <w:t>ESMA_QUESTION_TS_CSDR_25&gt;</w:t>
      </w:r>
    </w:p>
    <w:p w:rsidR="00D12AFD" w:rsidRPr="002C4F00" w:rsidRDefault="00D12AFD" w:rsidP="00965B03">
      <w:pPr>
        <w:pStyle w:val="Overskrift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D12AFD" w:rsidRDefault="00893C23" w:rsidP="00D12AFD">
      <w:permStart w:id="1490903819" w:edGrp="everyone"/>
      <w:r>
        <w:t>TYPE YOUR TEXT HERE</w:t>
      </w:r>
      <w:proofErr w:type="gramStart"/>
      <w:r w:rsidR="00306003" w:rsidRPr="00306003">
        <w:t>.</w:t>
      </w:r>
      <w:permEnd w:id="1490903819"/>
      <w:r w:rsidR="00D12AFD">
        <w:t>&lt;</w:t>
      </w:r>
      <w:proofErr w:type="gramEnd"/>
      <w:r w:rsidR="00D12AFD">
        <w:t>ESMA_QUESTION_TS_CSDR_26&gt;</w:t>
      </w:r>
    </w:p>
    <w:p w:rsidR="00F1314C" w:rsidRDefault="00F1314C" w:rsidP="00F1314C">
      <w:pPr>
        <w:pStyle w:val="Overskrift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252063" w:rsidRDefault="00893C23" w:rsidP="00252063">
      <w:permStart w:id="652892213" w:edGrp="everyone"/>
      <w:r>
        <w:t>TYPE YOUR TEXT HERE</w:t>
      </w:r>
      <w:r w:rsidR="00306003">
        <w:t xml:space="preserve">. </w:t>
      </w:r>
      <w:permEnd w:id="652892213"/>
      <w:r w:rsidR="00252063">
        <w:t>&lt;ESMA_QUESTION_TS_CSDR_27&gt;</w:t>
      </w:r>
    </w:p>
    <w:p w:rsidR="00F1314C" w:rsidRPr="00F1314C" w:rsidRDefault="00F1314C" w:rsidP="00F1314C"/>
    <w:p w:rsidR="00D12AFD" w:rsidRPr="002C4F00" w:rsidRDefault="00D12AFD" w:rsidP="00965B03">
      <w:pPr>
        <w:pStyle w:val="Overskrift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1523326359" w:edGrp="everyone"/>
      <w:r>
        <w:t>TYPE YOUR TEXT HERE</w:t>
      </w:r>
    </w:p>
    <w:permEnd w:id="1523326359"/>
    <w:p w:rsidR="00D12AFD" w:rsidRDefault="00D12AFD" w:rsidP="00D12AFD">
      <w:r>
        <w:t>&lt;ESMA_QUESTION_TS_CSDR_2</w:t>
      </w:r>
      <w:r w:rsidR="00252063">
        <w:t>8</w:t>
      </w:r>
      <w:r>
        <w:t>&gt;</w:t>
      </w:r>
    </w:p>
    <w:p w:rsidR="00D12AFD" w:rsidRPr="002C4F00" w:rsidRDefault="00D12AFD" w:rsidP="00965B03">
      <w:pPr>
        <w:pStyle w:val="Overskrift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D12AFD" w:rsidRDefault="00772F8A" w:rsidP="00D12AFD">
      <w:permStart w:id="1720386699" w:edGrp="everyone"/>
      <w:r>
        <w:t>As mentioned during the</w:t>
      </w:r>
      <w:r w:rsidR="00D5205B">
        <w:t xml:space="preserve"> first</w:t>
      </w:r>
      <w:r>
        <w:t xml:space="preserve"> ESMA public consultation</w:t>
      </w:r>
      <w:r w:rsidR="00D5205B">
        <w:t xml:space="preserve"> in 2014</w:t>
      </w:r>
      <w:r>
        <w:t>, VP offers ancillary services to iss</w:t>
      </w:r>
      <w:r>
        <w:t>u</w:t>
      </w:r>
      <w:r>
        <w:t>ers of shares on inter alia registrar services, annual general meeting services, and proxy voting. To facilitate this, the VP ancillary service company owns one share in each of the co</w:t>
      </w:r>
      <w:r>
        <w:t>m</w:t>
      </w:r>
      <w:r>
        <w:t>panies that it provide services to. This allows the VP ancillary service to receive information similar to other investors which is an important feature for VP to provide the necessary services the issuers. VP recommends that such shares are not considered as investment under the su</w:t>
      </w:r>
      <w:r>
        <w:t>g</w:t>
      </w:r>
      <w:r>
        <w:t>gested inves</w:t>
      </w:r>
      <w:r>
        <w:t>t</w:t>
      </w:r>
      <w:r>
        <w:t>ment policy rules</w:t>
      </w:r>
      <w:proofErr w:type="gramStart"/>
      <w:r>
        <w:t>.</w:t>
      </w:r>
      <w:permEnd w:id="1720386699"/>
      <w:r w:rsidR="00D12AFD">
        <w:t>&lt;</w:t>
      </w:r>
      <w:proofErr w:type="gramEnd"/>
      <w:r w:rsidR="00D12AFD">
        <w:t>ESMA_QUESTION_TS_CSDR_2</w:t>
      </w:r>
      <w:r w:rsidR="00252063">
        <w:t>9</w:t>
      </w:r>
      <w:r w:rsidR="00D12AFD">
        <w:t>&gt;</w:t>
      </w:r>
    </w:p>
    <w:p w:rsidR="00D12AFD" w:rsidRPr="002C4F00" w:rsidRDefault="00D12AFD" w:rsidP="00965B03">
      <w:pPr>
        <w:pStyle w:val="Overskrift5"/>
        <w:ind w:left="567" w:hanging="567"/>
      </w:pPr>
      <w:r w:rsidRPr="002C4F00">
        <w:lastRenderedPageBreak/>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1914516806" w:edGrp="everyone"/>
      <w:r>
        <w:t>TYPE YOUR</w:t>
      </w:r>
      <w:bookmarkStart w:id="3" w:name="_GoBack"/>
      <w:bookmarkEnd w:id="3"/>
      <w:r>
        <w:t xml:space="preserve"> TEXT HERE</w:t>
      </w:r>
    </w:p>
    <w:permEnd w:id="1914516806"/>
    <w:p w:rsidR="00D12AFD" w:rsidRDefault="00D12AFD" w:rsidP="00D12AFD">
      <w:r>
        <w:t>&lt;ESMA_QUESTION_TS_CSDR_</w:t>
      </w:r>
      <w:r w:rsidR="00252063">
        <w:t>30</w:t>
      </w:r>
      <w:r>
        <w:t>&gt;</w:t>
      </w:r>
    </w:p>
    <w:p w:rsidR="00D12AFD" w:rsidRPr="002C4F00" w:rsidRDefault="00D12AFD" w:rsidP="00965B03">
      <w:pPr>
        <w:pStyle w:val="Overskrift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1365836347" w:edGrp="everyone"/>
      <w:r>
        <w:t>TYPE YOUR TEXT HERE</w:t>
      </w:r>
    </w:p>
    <w:permEnd w:id="1365836347"/>
    <w:p w:rsidR="00D12AFD" w:rsidRPr="002C4F00" w:rsidRDefault="00D12AFD" w:rsidP="00D12AFD">
      <w:r>
        <w:t>&lt;ESMA_QUESTION_TS_CSDR_3</w:t>
      </w:r>
      <w:r w:rsidR="00252063">
        <w:t>1</w:t>
      </w:r>
      <w:r>
        <w:t>&gt;</w:t>
      </w:r>
    </w:p>
    <w:p w:rsidR="00D12AFD" w:rsidRPr="002C4F00" w:rsidRDefault="00D12AFD" w:rsidP="00965B03">
      <w:pPr>
        <w:pStyle w:val="Overskrift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1135041723" w:edGrp="everyone"/>
      <w:r>
        <w:t>TYPE YOUR TEXT HERE</w:t>
      </w:r>
    </w:p>
    <w:permEnd w:id="1135041723"/>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55" w:rsidRDefault="00B17F55">
      <w:r>
        <w:separator/>
      </w:r>
    </w:p>
    <w:p w:rsidR="00B17F55" w:rsidRDefault="00B17F55"/>
  </w:endnote>
  <w:endnote w:type="continuationSeparator" w:id="0">
    <w:p w:rsidR="00B17F55" w:rsidRDefault="00B17F55">
      <w:r>
        <w:continuationSeparator/>
      </w:r>
    </w:p>
    <w:p w:rsidR="00B17F55" w:rsidRDefault="00B17F55"/>
  </w:endnote>
  <w:endnote w:type="continuationNotice" w:id="1">
    <w:p w:rsidR="00B17F55" w:rsidRDefault="00B17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61CBA" w:rsidRPr="00315E96" w:rsidTr="00315E96">
      <w:trPr>
        <w:trHeight w:val="284"/>
      </w:trPr>
      <w:tc>
        <w:tcPr>
          <w:tcW w:w="8460" w:type="dxa"/>
        </w:tcPr>
        <w:p w:rsidR="00061CBA" w:rsidRPr="00315E96" w:rsidRDefault="00061CBA" w:rsidP="00315E96">
          <w:pPr>
            <w:pStyle w:val="00Footer"/>
            <w:rPr>
              <w:lang w:val="fr-FR"/>
            </w:rPr>
          </w:pPr>
        </w:p>
      </w:tc>
      <w:tc>
        <w:tcPr>
          <w:tcW w:w="952" w:type="dxa"/>
        </w:tcPr>
        <w:p w:rsidR="00061CBA" w:rsidRPr="002C5B2D" w:rsidRDefault="00061CBA" w:rsidP="002C5B2D">
          <w:pPr>
            <w:pStyle w:val="00aPagenumber"/>
          </w:pPr>
          <w:r>
            <w:fldChar w:fldCharType="begin"/>
          </w:r>
          <w:r>
            <w:instrText xml:space="preserve"> PAGE </w:instrText>
          </w:r>
          <w:r>
            <w:fldChar w:fldCharType="separate"/>
          </w:r>
          <w:r w:rsidR="00D5205B">
            <w:rPr>
              <w:noProof/>
            </w:rPr>
            <w:t>11</w:t>
          </w:r>
          <w:r>
            <w:rPr>
              <w:noProof/>
            </w:rPr>
            <w:fldChar w:fldCharType="end"/>
          </w:r>
        </w:p>
      </w:tc>
    </w:tr>
  </w:tbl>
  <w:p w:rsidR="00061CBA" w:rsidRDefault="00061CB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BA" w:rsidRDefault="00061CB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55" w:rsidRDefault="00B17F55">
      <w:r>
        <w:separator/>
      </w:r>
    </w:p>
    <w:p w:rsidR="00B17F55" w:rsidRDefault="00B17F55"/>
  </w:footnote>
  <w:footnote w:type="continuationSeparator" w:id="0">
    <w:p w:rsidR="00B17F55" w:rsidRDefault="00B17F55">
      <w:r>
        <w:continuationSeparator/>
      </w:r>
    </w:p>
    <w:p w:rsidR="00B17F55" w:rsidRDefault="00B17F55"/>
  </w:footnote>
  <w:footnote w:type="continuationNotice" w:id="1">
    <w:p w:rsidR="00B17F55" w:rsidRDefault="00B17F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BA" w:rsidRDefault="00061CBA">
    <w:pPr>
      <w:pStyle w:val="Sidehoved"/>
    </w:pPr>
    <w:r>
      <w:rPr>
        <w:noProof/>
        <w:lang w:val="da-DK" w:eastAsia="da-DK"/>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BA" w:rsidRDefault="00061CBA" w:rsidP="00013CCE">
    <w:pPr>
      <w:pStyle w:val="Sidehoved"/>
      <w:jc w:val="right"/>
    </w:pPr>
    <w:r>
      <w:rPr>
        <w:noProof/>
        <w:lang w:val="da-DK" w:eastAsia="da-DK"/>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BA" w:rsidRDefault="00061CB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61CBA" w:rsidRPr="002F4496" w:rsidTr="000C06C9">
      <w:trPr>
        <w:trHeight w:val="284"/>
      </w:trPr>
      <w:tc>
        <w:tcPr>
          <w:tcW w:w="8460" w:type="dxa"/>
        </w:tcPr>
        <w:p w:rsidR="00061CBA" w:rsidRPr="000C3B6D" w:rsidRDefault="00061CBA" w:rsidP="000C06C9">
          <w:pPr>
            <w:pStyle w:val="00Footer"/>
            <w:rPr>
              <w:lang w:val="fr-FR"/>
            </w:rPr>
          </w:pPr>
        </w:p>
      </w:tc>
      <w:tc>
        <w:tcPr>
          <w:tcW w:w="952" w:type="dxa"/>
        </w:tcPr>
        <w:p w:rsidR="00061CBA" w:rsidRPr="00146B34" w:rsidRDefault="00061CBA" w:rsidP="000C06C9">
          <w:pPr>
            <w:pStyle w:val="00aPagenumber"/>
            <w:rPr>
              <w:lang w:val="fr-FR"/>
            </w:rPr>
          </w:pPr>
        </w:p>
      </w:tc>
    </w:tr>
  </w:tbl>
  <w:p w:rsidR="00061CBA" w:rsidRPr="00DB46C3" w:rsidRDefault="00061CBA">
    <w:pPr>
      <w:rPr>
        <w:lang w:val="fr-FR"/>
      </w:rPr>
    </w:pPr>
  </w:p>
  <w:p w:rsidR="00061CBA" w:rsidRPr="002F4496" w:rsidRDefault="00061CBA">
    <w:pPr>
      <w:pStyle w:val="Sidehoved"/>
      <w:rPr>
        <w:lang w:val="fr-FR"/>
      </w:rPr>
    </w:pPr>
  </w:p>
  <w:p w:rsidR="00061CBA" w:rsidRPr="002F4496" w:rsidRDefault="00061CBA" w:rsidP="000C06C9">
    <w:pPr>
      <w:pStyle w:val="Sidehoved"/>
      <w:tabs>
        <w:tab w:val="clear" w:pos="4536"/>
        <w:tab w:val="clear" w:pos="9072"/>
        <w:tab w:val="left" w:pos="8227"/>
      </w:tabs>
      <w:rPr>
        <w:lang w:val="fr-FR"/>
      </w:rPr>
    </w:pPr>
  </w:p>
  <w:p w:rsidR="00061CBA" w:rsidRPr="002F4496" w:rsidRDefault="00061CBA" w:rsidP="000C06C9">
    <w:pPr>
      <w:pStyle w:val="Sidehoved"/>
      <w:tabs>
        <w:tab w:val="clear" w:pos="4536"/>
        <w:tab w:val="clear" w:pos="9072"/>
        <w:tab w:val="left" w:pos="8227"/>
      </w:tabs>
      <w:rPr>
        <w:lang w:val="fr-FR"/>
      </w:rPr>
    </w:pPr>
  </w:p>
  <w:p w:rsidR="00061CBA" w:rsidRPr="002F4496" w:rsidRDefault="00061CBA">
    <w:pPr>
      <w:pStyle w:val="Sidehoved"/>
      <w:rPr>
        <w:lang w:val="fr-FR"/>
      </w:rPr>
    </w:pPr>
  </w:p>
  <w:p w:rsidR="00061CBA" w:rsidRPr="002F4496" w:rsidRDefault="00061CBA">
    <w:pPr>
      <w:pStyle w:val="Sidehoved"/>
      <w:rPr>
        <w:lang w:val="fr-FR"/>
      </w:rPr>
    </w:pPr>
  </w:p>
  <w:p w:rsidR="00061CBA" w:rsidRPr="002F4496" w:rsidRDefault="00061CBA">
    <w:pPr>
      <w:pStyle w:val="Sidehoved"/>
      <w:rPr>
        <w:lang w:val="fr-FR"/>
      </w:rPr>
    </w:pPr>
  </w:p>
  <w:p w:rsidR="00061CBA" w:rsidRPr="002F4496" w:rsidRDefault="00061CBA">
    <w:pPr>
      <w:pStyle w:val="Sidehoved"/>
      <w:rPr>
        <w:lang w:val="fr-FR"/>
      </w:rPr>
    </w:pPr>
  </w:p>
  <w:p w:rsidR="00061CBA" w:rsidRPr="002F4496" w:rsidRDefault="00061CBA">
    <w:pPr>
      <w:pStyle w:val="Sidehoved"/>
      <w:rPr>
        <w:highlight w:val="yellow"/>
        <w:lang w:val="fr-FR"/>
      </w:rPr>
    </w:pPr>
  </w:p>
  <w:p w:rsidR="00061CBA" w:rsidRDefault="00061CBA">
    <w:pPr>
      <w:pStyle w:val="Sidehoved"/>
    </w:pPr>
    <w:r>
      <w:rPr>
        <w:noProof/>
        <w:lang w:val="da-DK" w:eastAsia="da-DK"/>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a-DK" w:eastAsia="da-DK"/>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Oversk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FE2226F2"/>
    <w:lvl w:ilvl="0" w:tplc="659EE572">
      <w:start w:val="1"/>
      <w:numFmt w:val="decimal"/>
      <w:pStyle w:val="Overskrift5"/>
      <w:lvlText w:val="Q%1:"/>
      <w:lvlJc w:val="left"/>
      <w:pPr>
        <w:ind w:left="360"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2BCB"/>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1CBA"/>
    <w:rsid w:val="00062592"/>
    <w:rsid w:val="000636A1"/>
    <w:rsid w:val="000649D9"/>
    <w:rsid w:val="000652BE"/>
    <w:rsid w:val="00066479"/>
    <w:rsid w:val="0006723C"/>
    <w:rsid w:val="00070376"/>
    <w:rsid w:val="00070974"/>
    <w:rsid w:val="00071EAD"/>
    <w:rsid w:val="00071F4E"/>
    <w:rsid w:val="00072271"/>
    <w:rsid w:val="00072683"/>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3FD9"/>
    <w:rsid w:val="00264077"/>
    <w:rsid w:val="0026545D"/>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003"/>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06E6"/>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4C9B"/>
    <w:rsid w:val="00406E90"/>
    <w:rsid w:val="00410240"/>
    <w:rsid w:val="00412253"/>
    <w:rsid w:val="00413E80"/>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6F6"/>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327"/>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26D"/>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7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575"/>
    <w:rsid w:val="00691B7C"/>
    <w:rsid w:val="00694B73"/>
    <w:rsid w:val="00694DF2"/>
    <w:rsid w:val="00695F80"/>
    <w:rsid w:val="006966CD"/>
    <w:rsid w:val="00696735"/>
    <w:rsid w:val="0069780E"/>
    <w:rsid w:val="006A2069"/>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CCA"/>
    <w:rsid w:val="00760EDA"/>
    <w:rsid w:val="00761F4E"/>
    <w:rsid w:val="00762150"/>
    <w:rsid w:val="00762621"/>
    <w:rsid w:val="00763F36"/>
    <w:rsid w:val="007648A0"/>
    <w:rsid w:val="00766F4D"/>
    <w:rsid w:val="00770268"/>
    <w:rsid w:val="007706B9"/>
    <w:rsid w:val="007707ED"/>
    <w:rsid w:val="00771C3B"/>
    <w:rsid w:val="007726F9"/>
    <w:rsid w:val="00772F8A"/>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5D0"/>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B96"/>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3C23"/>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0F42"/>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132"/>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EDA"/>
    <w:rsid w:val="009C10FE"/>
    <w:rsid w:val="009C13BC"/>
    <w:rsid w:val="009C14F3"/>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230"/>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0B78"/>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17F55"/>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1F42"/>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14C8"/>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05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5FB"/>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17B42"/>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26E0"/>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2B1"/>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ABC"/>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01B"/>
    <w:rsid w:val="00F32FF7"/>
    <w:rsid w:val="00F33EDE"/>
    <w:rsid w:val="00F347CF"/>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0C45"/>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Overskrift1">
    <w:name w:val="heading 1"/>
    <w:basedOn w:val="Normal"/>
    <w:next w:val="Normal"/>
    <w:link w:val="Overskrift1Tegn"/>
    <w:qFormat/>
    <w:rsid w:val="009E7724"/>
    <w:pPr>
      <w:keepNext/>
      <w:numPr>
        <w:numId w:val="6"/>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4"/>
      </w:numPr>
      <w:spacing w:before="200"/>
      <w:ind w:left="502"/>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B64CB"/>
    <w:pPr>
      <w:tabs>
        <w:tab w:val="center" w:pos="4536"/>
        <w:tab w:val="right" w:pos="9072"/>
      </w:tabs>
    </w:pPr>
  </w:style>
  <w:style w:type="paragraph" w:styleId="Sidefod">
    <w:name w:val="footer"/>
    <w:basedOn w:val="Normal"/>
    <w:link w:val="SidefodTegn"/>
    <w:rsid w:val="005B64CB"/>
    <w:pPr>
      <w:tabs>
        <w:tab w:val="center" w:pos="4536"/>
        <w:tab w:val="right" w:pos="9072"/>
      </w:tabs>
    </w:pPr>
  </w:style>
  <w:style w:type="table" w:styleId="Tabel-Gitter">
    <w:name w:val="Table Grid"/>
    <w:basedOn w:val="Tabel-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
    <w:name w:val="page number"/>
    <w:basedOn w:val="Standardskrifttypeiafsni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
    <w:basedOn w:val="Normal"/>
    <w:link w:val="FodnotetekstTegn"/>
    <w:uiPriority w:val="99"/>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Indholdsfortegnelse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henvisning">
    <w:name w:val="annotation reference"/>
    <w:rsid w:val="004B1E61"/>
    <w:rPr>
      <w:sz w:val="16"/>
      <w:szCs w:val="16"/>
    </w:rPr>
  </w:style>
  <w:style w:type="paragraph" w:styleId="Kommentartekst">
    <w:name w:val="annotation text"/>
    <w:basedOn w:val="Normal"/>
    <w:link w:val="KommentartekstTegn"/>
    <w:rsid w:val="004B1E61"/>
    <w:rPr>
      <w:sz w:val="20"/>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
    <w:basedOn w:val="Normal"/>
    <w:link w:val="ListeafsnitTegn"/>
    <w:uiPriority w:val="34"/>
    <w:qFormat/>
    <w:rsid w:val="002A0C82"/>
    <w:pPr>
      <w:ind w:left="720"/>
      <w:contextualSpacing/>
    </w:pPr>
  </w:style>
  <w:style w:type="paragraph" w:styleId="Overskrift">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w:link w:val="Fodnoteteks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Fremhv">
    <w:name w:val="Emphasis"/>
    <w:uiPriority w:val="20"/>
    <w:qFormat/>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led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oversigt">
    <w:name w:val="Document Map"/>
    <w:basedOn w:val="Normal"/>
    <w:link w:val="DokumentoversigtTegn"/>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9"/>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rsid w:val="002D6E1A"/>
  </w:style>
  <w:style w:type="character" w:styleId="BesgtHyperlink">
    <w:name w:val="FollowedHyperlink"/>
    <w:unhideWhenUs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rsid w:val="002D6E1A"/>
    <w:rPr>
      <w:rFonts w:ascii="Georgia" w:hAnsi="Georgia"/>
      <w:sz w:val="22"/>
      <w:szCs w:val="24"/>
      <w:lang w:eastAsia="de-DE"/>
    </w:rPr>
  </w:style>
  <w:style w:type="paragraph" w:styleId="Slutnotetekst">
    <w:name w:val="endnote text"/>
    <w:basedOn w:val="Normal"/>
    <w:link w:val="SlutnotetekstTegn"/>
    <w:unhideWhenUsed/>
    <w:rsid w:val="002D6E1A"/>
    <w:rPr>
      <w:sz w:val="20"/>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
    <w:link w:val="Listeafsni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Slutnotehenvisning">
    <w:name w:val="endnote reference"/>
    <w:unhideWhenUsed/>
    <w:rsid w:val="002D6E1A"/>
    <w:rPr>
      <w:vertAlign w:val="superscript"/>
    </w:rPr>
  </w:style>
  <w:style w:type="character" w:styleId="Plad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Arial" w:hAnsi="Arial"/>
      <w:b/>
      <w:sz w:val="22"/>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Opstilling-talellerbogst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Normal"/>
    <w:next w:val="Normal"/>
    <w:link w:val="Ti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Overskrift1">
    <w:name w:val="heading 1"/>
    <w:basedOn w:val="Normal"/>
    <w:next w:val="Normal"/>
    <w:link w:val="Overskrift1Tegn"/>
    <w:qFormat/>
    <w:rsid w:val="009E7724"/>
    <w:pPr>
      <w:keepNext/>
      <w:numPr>
        <w:numId w:val="6"/>
      </w:numPr>
      <w:spacing w:before="240" w:after="60"/>
      <w:outlineLvl w:val="0"/>
    </w:pPr>
    <w:rPr>
      <w:rFonts w:cs="Arial"/>
      <w:b/>
      <w:bCs/>
      <w:kern w:val="32"/>
      <w:sz w:val="24"/>
      <w:szCs w:val="32"/>
    </w:rPr>
  </w:style>
  <w:style w:type="paragraph" w:styleId="Overskrift2">
    <w:name w:val="heading 2"/>
    <w:basedOn w:val="Normal"/>
    <w:next w:val="Normal"/>
    <w:link w:val="Overskrift2Tegn"/>
    <w:qFormat/>
    <w:rsid w:val="00886A60"/>
    <w:pPr>
      <w:keepNext/>
      <w:keepLines/>
      <w:spacing w:before="200" w:after="120"/>
      <w:outlineLvl w:val="1"/>
    </w:pPr>
    <w:rPr>
      <w:b/>
      <w:bCs/>
      <w:szCs w:val="26"/>
    </w:rPr>
  </w:style>
  <w:style w:type="paragraph" w:styleId="Overskrift3">
    <w:name w:val="heading 3"/>
    <w:basedOn w:val="Normal"/>
    <w:next w:val="Normal"/>
    <w:link w:val="Overskrift3Tegn"/>
    <w:qFormat/>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qFormat/>
    <w:rsid w:val="00E9344E"/>
    <w:pPr>
      <w:keepNext/>
      <w:keepLines/>
      <w:numPr>
        <w:numId w:val="14"/>
      </w:numPr>
      <w:spacing w:before="200"/>
      <w:ind w:left="502"/>
      <w:jc w:val="both"/>
      <w:outlineLvl w:val="4"/>
    </w:pPr>
    <w:rPr>
      <w:b/>
    </w:rPr>
  </w:style>
  <w:style w:type="paragraph" w:styleId="Overskrift6">
    <w:name w:val="heading 6"/>
    <w:basedOn w:val="Normal"/>
    <w:next w:val="Normal"/>
    <w:link w:val="Overskrift6Tegn"/>
    <w:qFormat/>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B64CB"/>
    <w:pPr>
      <w:tabs>
        <w:tab w:val="center" w:pos="4536"/>
        <w:tab w:val="right" w:pos="9072"/>
      </w:tabs>
    </w:pPr>
  </w:style>
  <w:style w:type="paragraph" w:styleId="Sidefod">
    <w:name w:val="footer"/>
    <w:basedOn w:val="Normal"/>
    <w:link w:val="SidefodTegn"/>
    <w:rsid w:val="005B64CB"/>
    <w:pPr>
      <w:tabs>
        <w:tab w:val="center" w:pos="4536"/>
        <w:tab w:val="right" w:pos="9072"/>
      </w:tabs>
    </w:pPr>
  </w:style>
  <w:style w:type="table" w:styleId="Tabel-Gitter">
    <w:name w:val="Table Grid"/>
    <w:basedOn w:val="Tabel-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etal">
    <w:name w:val="page number"/>
    <w:basedOn w:val="Standardskrifttypeiafsni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
    <w:basedOn w:val="Normal"/>
    <w:link w:val="FodnotetekstTegn"/>
    <w:uiPriority w:val="99"/>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Indholdsfortegnelse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henvisning">
    <w:name w:val="annotation reference"/>
    <w:rsid w:val="004B1E61"/>
    <w:rPr>
      <w:sz w:val="16"/>
      <w:szCs w:val="16"/>
    </w:rPr>
  </w:style>
  <w:style w:type="paragraph" w:styleId="Kommentartekst">
    <w:name w:val="annotation text"/>
    <w:basedOn w:val="Normal"/>
    <w:link w:val="KommentartekstTegn"/>
    <w:rsid w:val="004B1E61"/>
    <w:rPr>
      <w:sz w:val="20"/>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
    <w:basedOn w:val="Normal"/>
    <w:link w:val="ListeafsnitTegn"/>
    <w:uiPriority w:val="34"/>
    <w:qFormat/>
    <w:rsid w:val="002A0C82"/>
    <w:pPr>
      <w:ind w:left="720"/>
      <w:contextualSpacing/>
    </w:pPr>
  </w:style>
  <w:style w:type="paragraph" w:styleId="Overskrift">
    <w:name w:val="TOC Heading"/>
    <w:basedOn w:val="Overskrift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w:link w:val="Fodnoteteks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Fremhv">
    <w:name w:val="Emphasis"/>
    <w:uiPriority w:val="20"/>
    <w:qFormat/>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lledtekst">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oversigt">
    <w:name w:val="Document Map"/>
    <w:basedOn w:val="Normal"/>
    <w:link w:val="DokumentoversigtTegn"/>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rsid w:val="00AA016B"/>
    <w:pPr>
      <w:numPr>
        <w:numId w:val="9"/>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rsid w:val="002D6E1A"/>
  </w:style>
  <w:style w:type="character" w:styleId="BesgtHyperlink">
    <w:name w:val="FollowedHyperlink"/>
    <w:unhideWhenUs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rsid w:val="002D6E1A"/>
    <w:rPr>
      <w:rFonts w:ascii="Georgia" w:hAnsi="Georgia"/>
      <w:sz w:val="22"/>
      <w:szCs w:val="24"/>
      <w:lang w:eastAsia="de-DE"/>
    </w:rPr>
  </w:style>
  <w:style w:type="paragraph" w:styleId="Slutnotetekst">
    <w:name w:val="endnote text"/>
    <w:basedOn w:val="Normal"/>
    <w:link w:val="SlutnotetekstTegn"/>
    <w:unhideWhenUsed/>
    <w:rsid w:val="002D6E1A"/>
    <w:rPr>
      <w:sz w:val="20"/>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
    <w:link w:val="Listeafsnit"/>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Slutnotehenvisning">
    <w:name w:val="endnote reference"/>
    <w:unhideWhenUsed/>
    <w:rsid w:val="002D6E1A"/>
    <w:rPr>
      <w:vertAlign w:val="superscript"/>
    </w:rPr>
  </w:style>
  <w:style w:type="character" w:styleId="Pladsholderteks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Overskrift5Tegn">
    <w:name w:val="Overskrift 5 Tegn"/>
    <w:aliases w:val="Questions Tegn"/>
    <w:link w:val="Overskrift5"/>
    <w:rsid w:val="00E9344E"/>
    <w:rPr>
      <w:rFonts w:ascii="Arial" w:hAnsi="Arial"/>
      <w:b/>
      <w:sz w:val="22"/>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Overskrift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Overskrift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Opstilling-talellerbogst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Normal"/>
    <w:next w:val="Normal"/>
    <w:link w:val="TitelTeg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dsholderteks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dsholderteks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24702A"/>
    <w:rsid w:val="00460FB6"/>
    <w:rsid w:val="004B2C78"/>
    <w:rsid w:val="006A5A0A"/>
    <w:rsid w:val="0080741D"/>
    <w:rsid w:val="008437E4"/>
    <w:rsid w:val="008917E2"/>
    <w:rsid w:val="00953A5F"/>
    <w:rsid w:val="00A04791"/>
    <w:rsid w:val="00AF2479"/>
    <w:rsid w:val="00B4208E"/>
    <w:rsid w:val="00C65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D2CC-EED9-4397-BC5F-F07E8B3247AD}">
  <ds:schemaRefs>
    <ds:schemaRef ds:uri="http://schemas.openxmlformats.org/officeDocument/2006/bibliography"/>
  </ds:schemaRefs>
</ds:datastoreItem>
</file>

<file path=customXml/itemProps2.xml><?xml version="1.0" encoding="utf-8"?>
<ds:datastoreItem xmlns:ds="http://schemas.openxmlformats.org/officeDocument/2006/customXml" ds:itemID="{D59C10C8-64C7-482B-BBD3-98082965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2408</Words>
  <Characters>14694</Characters>
  <Application>Microsoft Office Word</Application>
  <DocSecurity>8</DocSecurity>
  <Lines>122</Lines>
  <Paragraphs>34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17068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Nikolaj Grønvald Hansen</cp:lastModifiedBy>
  <cp:revision>17</cp:revision>
  <cp:lastPrinted>2014-05-08T16:06:00Z</cp:lastPrinted>
  <dcterms:created xsi:type="dcterms:W3CDTF">2015-02-19T12:48:00Z</dcterms:created>
  <dcterms:modified xsi:type="dcterms:W3CDTF">2015-02-19T16:08:00Z</dcterms:modified>
</cp:coreProperties>
</file>