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1260DB" w:rsidP="004D3364">
            <w:pPr>
              <w:pStyle w:val="00bDBInfo"/>
            </w:pPr>
            <w:r>
              <w:t>1</w:t>
            </w:r>
            <w:r w:rsidR="004D3364">
              <w:t>8</w:t>
            </w:r>
            <w:r>
              <w:t xml:space="preserve"> December</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Pr="00BD3046" w:rsidRDefault="00AE627C" w:rsidP="00C000A5">
            <w:pPr>
              <w:pStyle w:val="01aDBTitle"/>
              <w:rPr>
                <w:sz w:val="36"/>
                <w:szCs w:val="36"/>
              </w:rPr>
            </w:pPr>
            <w:r w:rsidRPr="00BD3046">
              <w:rPr>
                <w:sz w:val="36"/>
                <w:szCs w:val="36"/>
              </w:rPr>
              <w:t>Reply form</w:t>
            </w:r>
            <w:r w:rsidR="00B835D5" w:rsidRPr="00BD3046">
              <w:rPr>
                <w:sz w:val="36"/>
                <w:szCs w:val="36"/>
              </w:rPr>
              <w:t xml:space="preserve"> </w:t>
            </w:r>
            <w:r w:rsidR="0043173B" w:rsidRPr="00BD3046">
              <w:rPr>
                <w:sz w:val="36"/>
                <w:szCs w:val="36"/>
              </w:rPr>
              <w:t>for</w:t>
            </w:r>
            <w:r w:rsidR="00027ECF" w:rsidRPr="00BD3046">
              <w:rPr>
                <w:sz w:val="36"/>
                <w:szCs w:val="36"/>
              </w:rPr>
              <w:t xml:space="preserve"> the </w:t>
            </w:r>
          </w:p>
          <w:p w:rsidR="00791EB4" w:rsidRPr="00E679BA" w:rsidRDefault="00BD3046" w:rsidP="00C000A5">
            <w:pPr>
              <w:pStyle w:val="01aDBTitle"/>
            </w:pPr>
            <w:r w:rsidRPr="00BD3046">
              <w:rPr>
                <w:sz w:val="36"/>
                <w:szCs w:val="36"/>
              </w:rPr>
              <w:t>Technical Standards under the CSD Regulation</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1260DB" w:rsidRDefault="00620D7C" w:rsidP="001260DB">
            <w:pPr>
              <w:pStyle w:val="02Date"/>
            </w:pPr>
            <w:r w:rsidRPr="001260DB">
              <w:lastRenderedPageBreak/>
              <w:t xml:space="preserve">Date: </w:t>
            </w:r>
            <w:r w:rsidR="004D3364">
              <w:t>18</w:t>
            </w:r>
            <w:r w:rsidR="001260DB">
              <w:t xml:space="preserve"> December</w:t>
            </w:r>
            <w:r w:rsidR="002B354F" w:rsidRPr="001260DB">
              <w:t xml:space="preserve"> </w:t>
            </w:r>
            <w:r w:rsidR="00486C17" w:rsidRPr="001260DB">
              <w:t>201</w:t>
            </w:r>
            <w:r w:rsidR="006F57F2" w:rsidRPr="001260DB">
              <w:t>4</w:t>
            </w:r>
          </w:p>
        </w:tc>
      </w:tr>
    </w:tbl>
    <w:p w:rsidR="0088244C" w:rsidRDefault="0088244C" w:rsidP="00F574D0">
      <w:pPr>
        <w:pStyle w:val="05HeadlinenoIndex"/>
      </w:pPr>
      <w:bookmarkStart w:id="0" w:name="_Toc280628648"/>
    </w:p>
    <w:p w:rsidR="00F574D0" w:rsidRPr="00295156" w:rsidRDefault="0088244C" w:rsidP="00F574D0">
      <w:pPr>
        <w:pStyle w:val="05HeadlinenoIndex"/>
        <w:rPr>
          <w:sz w:val="20"/>
          <w:szCs w:val="20"/>
        </w:rPr>
      </w:pPr>
      <w:r w:rsidRPr="00295156">
        <w:rPr>
          <w:sz w:val="20"/>
          <w:szCs w:val="20"/>
        </w:rPr>
        <w:br w:type="page"/>
      </w:r>
      <w:r w:rsidR="00F574D0" w:rsidRPr="00295156">
        <w:rPr>
          <w:sz w:val="20"/>
          <w:szCs w:val="20"/>
        </w:rPr>
        <w:lastRenderedPageBreak/>
        <w:t xml:space="preserve">Responding to this paper </w:t>
      </w:r>
    </w:p>
    <w:p w:rsidR="00F574D0" w:rsidRPr="00295156" w:rsidRDefault="00F574D0" w:rsidP="00F574D0">
      <w:pPr>
        <w:pStyle w:val="04BodyText"/>
        <w:spacing w:before="120" w:after="120"/>
        <w:rPr>
          <w:szCs w:val="20"/>
        </w:rPr>
      </w:pPr>
      <w:r w:rsidRPr="00295156">
        <w:rPr>
          <w:szCs w:val="20"/>
        </w:rPr>
        <w:t xml:space="preserve">The European Securities and Markets Authority (ESMA) invites responses to the specific questions listed in the ESMA </w:t>
      </w:r>
      <w:r w:rsidR="0060674A" w:rsidRPr="00295156">
        <w:rPr>
          <w:szCs w:val="20"/>
        </w:rPr>
        <w:t xml:space="preserve">Consultation Paper - </w:t>
      </w:r>
      <w:r w:rsidR="00390F5E" w:rsidRPr="00295156">
        <w:rPr>
          <w:szCs w:val="20"/>
        </w:rPr>
        <w:t>Technical Standards under the CSD Regulation</w:t>
      </w:r>
      <w:r w:rsidR="00015B5E" w:rsidRPr="00295156">
        <w:rPr>
          <w:szCs w:val="20"/>
        </w:rPr>
        <w:t>, published on the ESMA website</w:t>
      </w:r>
      <w:r w:rsidR="00330386">
        <w:rPr>
          <w:szCs w:val="20"/>
        </w:rPr>
        <w:t>.</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r w:rsidRPr="00295156">
        <w:rPr>
          <w:rFonts w:cs="Georgia"/>
          <w:b/>
          <w:bCs/>
          <w:i/>
          <w:color w:val="000000"/>
          <w:sz w:val="20"/>
          <w:szCs w:val="20"/>
          <w:lang w:eastAsia="en-GB"/>
        </w:rPr>
        <w:t>Instructions</w:t>
      </w:r>
    </w:p>
    <w:p w:rsidR="00F574D0" w:rsidRPr="00295156" w:rsidRDefault="00D75FEE" w:rsidP="00F574D0">
      <w:pPr>
        <w:pStyle w:val="04BodyText"/>
        <w:spacing w:before="120" w:after="120"/>
        <w:rPr>
          <w:szCs w:val="20"/>
        </w:rPr>
      </w:pPr>
      <w:r w:rsidRPr="00295156">
        <w:rPr>
          <w:szCs w:val="20"/>
        </w:rPr>
        <w:t>Please note that, in order to facilitate the analysis of the large number of responses expected, you are requested to use this file to send your response to ESMA so as to allow us to process it properly. Ther</w:t>
      </w:r>
      <w:r w:rsidRPr="00295156">
        <w:rPr>
          <w:szCs w:val="20"/>
        </w:rPr>
        <w:t>e</w:t>
      </w:r>
      <w:r w:rsidRPr="00295156">
        <w:rPr>
          <w:szCs w:val="20"/>
        </w:rPr>
        <w:t>fore, please follow the instructions described below</w:t>
      </w:r>
      <w:r w:rsidR="00F574D0" w:rsidRPr="00295156">
        <w:rPr>
          <w:szCs w:val="20"/>
        </w:rPr>
        <w:t>:</w:t>
      </w:r>
    </w:p>
    <w:p w:rsidR="00F574D0" w:rsidRPr="00295156" w:rsidRDefault="00F574D0" w:rsidP="00F574D0">
      <w:pPr>
        <w:pStyle w:val="04bList"/>
        <w:numPr>
          <w:ilvl w:val="0"/>
          <w:numId w:val="5"/>
        </w:numPr>
        <w:spacing w:before="120" w:after="120"/>
        <w:ind w:left="720"/>
        <w:rPr>
          <w:szCs w:val="20"/>
        </w:rPr>
      </w:pPr>
      <w:r w:rsidRPr="00295156">
        <w:rPr>
          <w:szCs w:val="20"/>
        </w:rPr>
        <w:t xml:space="preserve">use this </w:t>
      </w:r>
      <w:r w:rsidR="003F5C06" w:rsidRPr="00295156">
        <w:rPr>
          <w:szCs w:val="20"/>
        </w:rPr>
        <w:t>form</w:t>
      </w:r>
      <w:r w:rsidRPr="00295156">
        <w:rPr>
          <w:szCs w:val="20"/>
        </w:rPr>
        <w:t xml:space="preserve"> and send </w:t>
      </w:r>
      <w:r w:rsidR="00D75FEE" w:rsidRPr="00295156">
        <w:rPr>
          <w:szCs w:val="20"/>
        </w:rPr>
        <w:t>your</w:t>
      </w:r>
      <w:r w:rsidRPr="00295156">
        <w:rPr>
          <w:szCs w:val="20"/>
        </w:rPr>
        <w:t xml:space="preserve"> responses in </w:t>
      </w:r>
      <w:r w:rsidRPr="00295156">
        <w:rPr>
          <w:b/>
          <w:szCs w:val="20"/>
        </w:rPr>
        <w:t>Word format</w:t>
      </w:r>
      <w:r w:rsidRPr="00295156">
        <w:rPr>
          <w:szCs w:val="20"/>
        </w:rPr>
        <w:t>;</w:t>
      </w:r>
    </w:p>
    <w:p w:rsidR="00F574D0" w:rsidRPr="00295156" w:rsidRDefault="00D75FEE" w:rsidP="00F574D0">
      <w:pPr>
        <w:pStyle w:val="04bList"/>
        <w:numPr>
          <w:ilvl w:val="0"/>
          <w:numId w:val="5"/>
        </w:numPr>
        <w:spacing w:before="120" w:after="120"/>
        <w:ind w:left="720"/>
        <w:rPr>
          <w:szCs w:val="20"/>
        </w:rPr>
      </w:pPr>
      <w:r w:rsidRPr="00295156">
        <w:rPr>
          <w:szCs w:val="20"/>
        </w:rPr>
        <w:t xml:space="preserve">do </w:t>
      </w:r>
      <w:r w:rsidR="00F574D0" w:rsidRPr="00295156">
        <w:rPr>
          <w:szCs w:val="20"/>
        </w:rPr>
        <w:t>not remove the tags of type &lt;ESMA_QUESTION_</w:t>
      </w:r>
      <w:r w:rsidR="00C8677B" w:rsidRPr="00295156">
        <w:rPr>
          <w:szCs w:val="20"/>
        </w:rPr>
        <w:t>T</w:t>
      </w:r>
      <w:r w:rsidR="00390F5E" w:rsidRPr="00295156">
        <w:rPr>
          <w:szCs w:val="20"/>
        </w:rPr>
        <w:t>S</w:t>
      </w:r>
      <w:r w:rsidR="00A35728" w:rsidRPr="00295156">
        <w:rPr>
          <w:szCs w:val="20"/>
        </w:rPr>
        <w:t>_CSDR</w:t>
      </w:r>
      <w:r w:rsidR="00E9344E" w:rsidRPr="00295156">
        <w:rPr>
          <w:szCs w:val="20"/>
        </w:rPr>
        <w:t>_</w:t>
      </w:r>
      <w:r w:rsidR="00F574D0" w:rsidRPr="00295156">
        <w:rPr>
          <w:szCs w:val="20"/>
        </w:rPr>
        <w:t>1&gt; - i.e. the response to one question has to be framed by the 2 tags corresponding to the question; and</w:t>
      </w:r>
    </w:p>
    <w:p w:rsidR="00F574D0" w:rsidRPr="00295156" w:rsidRDefault="00F574D0" w:rsidP="00F574D0">
      <w:pPr>
        <w:pStyle w:val="04bList"/>
        <w:numPr>
          <w:ilvl w:val="0"/>
          <w:numId w:val="5"/>
        </w:numPr>
        <w:spacing w:before="120" w:after="120"/>
        <w:ind w:left="720"/>
        <w:rPr>
          <w:szCs w:val="20"/>
        </w:rPr>
      </w:pPr>
      <w:r w:rsidRPr="00295156">
        <w:rPr>
          <w:szCs w:val="20"/>
        </w:rPr>
        <w:t xml:space="preserve">if </w:t>
      </w:r>
      <w:r w:rsidR="00D75FEE" w:rsidRPr="00295156">
        <w:rPr>
          <w:szCs w:val="20"/>
        </w:rPr>
        <w:t>you do not have a</w:t>
      </w:r>
      <w:r w:rsidRPr="00295156">
        <w:rPr>
          <w:szCs w:val="20"/>
        </w:rPr>
        <w:t xml:space="preserve"> response to a question, </w:t>
      </w:r>
      <w:r w:rsidR="00D75FEE" w:rsidRPr="00295156">
        <w:rPr>
          <w:szCs w:val="20"/>
        </w:rPr>
        <w:t xml:space="preserve">do </w:t>
      </w:r>
      <w:r w:rsidRPr="00295156">
        <w:rPr>
          <w:szCs w:val="20"/>
        </w:rPr>
        <w:t>not delete it and leave the text “TYPE YOUR TEXT HERE” between the tags.</w:t>
      </w:r>
    </w:p>
    <w:p w:rsidR="00F574D0" w:rsidRPr="00295156" w:rsidRDefault="00F574D0" w:rsidP="00F574D0">
      <w:pPr>
        <w:pStyle w:val="04bList"/>
        <w:numPr>
          <w:ilvl w:val="0"/>
          <w:numId w:val="0"/>
        </w:numPr>
        <w:spacing w:before="120" w:after="120"/>
        <w:rPr>
          <w:szCs w:val="20"/>
        </w:rPr>
      </w:pPr>
      <w:r w:rsidRPr="00295156">
        <w:rPr>
          <w:szCs w:val="20"/>
        </w:rPr>
        <w:t>Responses are most helpful:</w:t>
      </w:r>
    </w:p>
    <w:p w:rsidR="00F574D0" w:rsidRPr="00295156" w:rsidRDefault="00F574D0" w:rsidP="002067BA">
      <w:pPr>
        <w:pStyle w:val="04bList"/>
        <w:numPr>
          <w:ilvl w:val="0"/>
          <w:numId w:val="33"/>
        </w:numPr>
        <w:spacing w:before="120" w:after="120"/>
        <w:rPr>
          <w:szCs w:val="20"/>
        </w:rPr>
      </w:pPr>
      <w:r w:rsidRPr="00295156">
        <w:rPr>
          <w:szCs w:val="20"/>
        </w:rPr>
        <w:t>if they respond to the question stated;</w:t>
      </w:r>
    </w:p>
    <w:p w:rsidR="00F574D0" w:rsidRPr="00295156" w:rsidRDefault="00F574D0" w:rsidP="002067BA">
      <w:pPr>
        <w:pStyle w:val="04bList"/>
        <w:numPr>
          <w:ilvl w:val="0"/>
          <w:numId w:val="33"/>
        </w:numPr>
        <w:spacing w:before="120" w:after="120"/>
        <w:rPr>
          <w:szCs w:val="20"/>
        </w:rPr>
      </w:pPr>
      <w:r w:rsidRPr="00295156">
        <w:rPr>
          <w:szCs w:val="20"/>
        </w:rPr>
        <w:t>contain a clear rationale, including on any related costs and benefits; and</w:t>
      </w:r>
    </w:p>
    <w:p w:rsidR="00A35728" w:rsidRPr="00295156" w:rsidRDefault="00F574D0" w:rsidP="000D17AA">
      <w:pPr>
        <w:pStyle w:val="04bList"/>
        <w:numPr>
          <w:ilvl w:val="0"/>
          <w:numId w:val="33"/>
        </w:numPr>
        <w:spacing w:before="120" w:after="120"/>
        <w:rPr>
          <w:szCs w:val="20"/>
        </w:rPr>
      </w:pPr>
      <w:r w:rsidRPr="00295156">
        <w:rPr>
          <w:szCs w:val="20"/>
        </w:rPr>
        <w:t>describe any alternatives that ESMA should consider</w:t>
      </w:r>
    </w:p>
    <w:p w:rsidR="000D17AA" w:rsidRPr="00295156" w:rsidRDefault="000D17AA" w:rsidP="000D17AA">
      <w:pPr>
        <w:pStyle w:val="04BodyText"/>
        <w:spacing w:before="120" w:after="120"/>
        <w:jc w:val="left"/>
        <w:rPr>
          <w:b/>
          <w:szCs w:val="20"/>
        </w:rPr>
      </w:pPr>
      <w:r w:rsidRPr="00295156">
        <w:rPr>
          <w:b/>
          <w:szCs w:val="20"/>
        </w:rPr>
        <w:t>Naming protocol:</w:t>
      </w:r>
    </w:p>
    <w:p w:rsidR="000D17AA" w:rsidRPr="00295156" w:rsidRDefault="000D17AA" w:rsidP="000D17AA">
      <w:pPr>
        <w:pStyle w:val="04BodyText"/>
        <w:spacing w:before="120" w:after="120"/>
        <w:jc w:val="left"/>
        <w:rPr>
          <w:szCs w:val="20"/>
        </w:rPr>
      </w:pPr>
      <w:r w:rsidRPr="00295156">
        <w:rPr>
          <w:szCs w:val="20"/>
        </w:rPr>
        <w:t>In order to facilitate the handling of stakeholders responses please save your document using the follo</w:t>
      </w:r>
      <w:r w:rsidRPr="00295156">
        <w:rPr>
          <w:szCs w:val="20"/>
        </w:rPr>
        <w:t>w</w:t>
      </w:r>
      <w:r w:rsidRPr="00295156">
        <w:rPr>
          <w:szCs w:val="20"/>
        </w:rPr>
        <w:t>ing format:</w:t>
      </w:r>
    </w:p>
    <w:p w:rsidR="000D17AA" w:rsidRPr="00295156" w:rsidRDefault="000D17AA" w:rsidP="000D17AA">
      <w:pPr>
        <w:pStyle w:val="04BodyText"/>
        <w:spacing w:before="120" w:after="120"/>
        <w:jc w:val="left"/>
        <w:rPr>
          <w:szCs w:val="20"/>
        </w:rPr>
      </w:pPr>
      <w:r w:rsidRPr="00295156">
        <w:rPr>
          <w:szCs w:val="20"/>
        </w:rPr>
        <w:t>ESMA_ TA_CSDR _NAMEOFCOMPANY_NAMEOFDOCUMENT.</w:t>
      </w:r>
    </w:p>
    <w:p w:rsidR="000D17AA" w:rsidRPr="00295156" w:rsidRDefault="000D17AA" w:rsidP="000D17AA">
      <w:pPr>
        <w:pStyle w:val="04BodyText"/>
        <w:spacing w:before="120" w:after="120"/>
        <w:jc w:val="left"/>
        <w:rPr>
          <w:szCs w:val="20"/>
        </w:rPr>
      </w:pPr>
      <w:r w:rsidRPr="00295156">
        <w:rPr>
          <w:szCs w:val="20"/>
        </w:rPr>
        <w:t>E.g. if the respondent were ESMA, the name of the reply form would be E</w:t>
      </w:r>
      <w:r w:rsidRPr="00295156">
        <w:rPr>
          <w:szCs w:val="20"/>
        </w:rPr>
        <w:t>S</w:t>
      </w:r>
      <w:r w:rsidRPr="00295156">
        <w:rPr>
          <w:szCs w:val="20"/>
        </w:rPr>
        <w:t>MA_T</w:t>
      </w:r>
      <w:r w:rsidR="00390F5E" w:rsidRPr="00295156">
        <w:rPr>
          <w:szCs w:val="20"/>
        </w:rPr>
        <w:t>S</w:t>
      </w:r>
      <w:r w:rsidRPr="00295156">
        <w:rPr>
          <w:szCs w:val="20"/>
        </w:rPr>
        <w:t>_CSDR</w:t>
      </w:r>
      <w:r w:rsidR="00390F5E" w:rsidRPr="00295156">
        <w:rPr>
          <w:szCs w:val="20"/>
        </w:rPr>
        <w:t>_AIXX</w:t>
      </w:r>
      <w:r w:rsidRPr="00295156">
        <w:rPr>
          <w:szCs w:val="20"/>
        </w:rPr>
        <w:t>_REPLYFORM or ESMA_</w:t>
      </w:r>
      <w:r w:rsidR="00390F5E" w:rsidRPr="00295156">
        <w:rPr>
          <w:szCs w:val="20"/>
        </w:rPr>
        <w:t>CE_TS_CSDR_AIXX</w:t>
      </w:r>
      <w:r w:rsidRPr="00295156">
        <w:rPr>
          <w:szCs w:val="20"/>
        </w:rPr>
        <w:t>_ANNEX1</w:t>
      </w:r>
    </w:p>
    <w:p w:rsidR="00F574D0" w:rsidRPr="00295156" w:rsidRDefault="00F574D0" w:rsidP="00F574D0">
      <w:pPr>
        <w:pStyle w:val="04BodyText"/>
        <w:spacing w:before="120" w:after="120"/>
        <w:rPr>
          <w:szCs w:val="20"/>
        </w:rPr>
      </w:pPr>
      <w:r w:rsidRPr="00295156">
        <w:rPr>
          <w:szCs w:val="20"/>
        </w:rPr>
        <w:t xml:space="preserve">Responses must reach us </w:t>
      </w:r>
      <w:r w:rsidRPr="007F4106">
        <w:rPr>
          <w:szCs w:val="20"/>
        </w:rPr>
        <w:t xml:space="preserve">by </w:t>
      </w:r>
      <w:r w:rsidR="007F4106" w:rsidRPr="007F4106">
        <w:rPr>
          <w:b/>
          <w:szCs w:val="20"/>
        </w:rPr>
        <w:t>19</w:t>
      </w:r>
      <w:r w:rsidR="00D43F14" w:rsidRPr="007F4106">
        <w:rPr>
          <w:b/>
          <w:szCs w:val="20"/>
        </w:rPr>
        <w:t xml:space="preserve"> </w:t>
      </w:r>
      <w:r w:rsidR="007F4106" w:rsidRPr="007F4106">
        <w:rPr>
          <w:b/>
          <w:szCs w:val="20"/>
        </w:rPr>
        <w:t>February</w:t>
      </w:r>
      <w:r w:rsidR="00D43F14" w:rsidRPr="007F4106">
        <w:rPr>
          <w:b/>
          <w:szCs w:val="20"/>
        </w:rPr>
        <w:t xml:space="preserve"> </w:t>
      </w:r>
      <w:r w:rsidRPr="007F4106">
        <w:rPr>
          <w:b/>
          <w:szCs w:val="20"/>
        </w:rPr>
        <w:t>201</w:t>
      </w:r>
      <w:r w:rsidR="007F4106" w:rsidRPr="007F4106">
        <w:rPr>
          <w:b/>
          <w:szCs w:val="20"/>
        </w:rPr>
        <w:t>5</w:t>
      </w:r>
      <w:r w:rsidRPr="007F4106">
        <w:rPr>
          <w:szCs w:val="20"/>
        </w:rPr>
        <w:t>.</w:t>
      </w:r>
      <w:r w:rsidRPr="00295156">
        <w:rPr>
          <w:szCs w:val="20"/>
        </w:rPr>
        <w:t xml:space="preserve"> </w:t>
      </w:r>
    </w:p>
    <w:p w:rsidR="00F574D0" w:rsidRPr="00295156" w:rsidRDefault="00F574D0" w:rsidP="00F574D0">
      <w:pPr>
        <w:pStyle w:val="04BodyText"/>
        <w:spacing w:before="120" w:after="120"/>
        <w:rPr>
          <w:szCs w:val="20"/>
        </w:rPr>
      </w:pPr>
      <w:r w:rsidRPr="00295156">
        <w:rPr>
          <w:szCs w:val="20"/>
        </w:rPr>
        <w:t xml:space="preserve">All contributions should be submitted online at </w:t>
      </w:r>
      <w:hyperlink r:id="rId13" w:history="1">
        <w:r w:rsidRPr="00295156">
          <w:rPr>
            <w:rStyle w:val="Hyperlinkki"/>
            <w:szCs w:val="20"/>
          </w:rPr>
          <w:t>www.esma.europa.eu</w:t>
        </w:r>
      </w:hyperlink>
      <w:r w:rsidRPr="00295156">
        <w:rPr>
          <w:szCs w:val="20"/>
        </w:rPr>
        <w:t xml:space="preserve"> under the heading ‘Your i</w:t>
      </w:r>
      <w:r w:rsidRPr="00295156">
        <w:rPr>
          <w:szCs w:val="20"/>
        </w:rPr>
        <w:t>n</w:t>
      </w:r>
      <w:r w:rsidRPr="00295156">
        <w:rPr>
          <w:szCs w:val="20"/>
        </w:rPr>
        <w:t xml:space="preserve">put/Consultations’. </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1" w:name="_Toc335141334"/>
      <w:r w:rsidRPr="00295156">
        <w:rPr>
          <w:rFonts w:cs="Georgia"/>
          <w:b/>
          <w:bCs/>
          <w:i/>
          <w:color w:val="000000"/>
          <w:sz w:val="20"/>
          <w:szCs w:val="20"/>
          <w:lang w:eastAsia="en-GB"/>
        </w:rPr>
        <w:t>Publication of responses</w:t>
      </w:r>
      <w:bookmarkEnd w:id="1"/>
    </w:p>
    <w:p w:rsidR="00F574D0" w:rsidRPr="00295156" w:rsidRDefault="00F574D0" w:rsidP="00F574D0">
      <w:pPr>
        <w:pStyle w:val="04BodyText"/>
        <w:spacing w:before="120" w:after="120"/>
        <w:rPr>
          <w:szCs w:val="20"/>
        </w:rPr>
      </w:pPr>
      <w:r w:rsidRPr="00295156">
        <w:rPr>
          <w:szCs w:val="20"/>
        </w:rPr>
        <w:t xml:space="preserve">All contributions received will be published following the end of the consultation period, unless otherwise requested. </w:t>
      </w:r>
      <w:r w:rsidRPr="00295156">
        <w:rPr>
          <w:b/>
          <w:szCs w:val="20"/>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295156">
        <w:rPr>
          <w:szCs w:val="20"/>
        </w:rPr>
        <w:t xml:space="preserve"> Note also that a confidential response may be requested from us in accordance with ESMA’s rules on access to doc</w:t>
      </w:r>
      <w:r w:rsidRPr="00295156">
        <w:rPr>
          <w:szCs w:val="20"/>
        </w:rPr>
        <w:t>u</w:t>
      </w:r>
      <w:r w:rsidRPr="00295156">
        <w:rPr>
          <w:szCs w:val="20"/>
        </w:rPr>
        <w:t>ments. We may consult you if we receive such a request. Any decision we make is reviewable by ESMA’s Board of Appeal and the European Ombudsman.</w:t>
      </w:r>
    </w:p>
    <w:p w:rsidR="00F574D0" w:rsidRPr="00295156" w:rsidRDefault="00F574D0" w:rsidP="00F574D0">
      <w:pPr>
        <w:autoSpaceDE w:val="0"/>
        <w:autoSpaceDN w:val="0"/>
        <w:adjustRightInd w:val="0"/>
        <w:spacing w:before="120" w:after="120" w:line="276" w:lineRule="auto"/>
        <w:jc w:val="both"/>
        <w:rPr>
          <w:rFonts w:cs="Georgia"/>
          <w:b/>
          <w:bCs/>
          <w:i/>
          <w:color w:val="000000"/>
          <w:sz w:val="20"/>
          <w:szCs w:val="20"/>
          <w:lang w:eastAsia="en-GB"/>
        </w:rPr>
      </w:pPr>
      <w:bookmarkStart w:id="2" w:name="_Toc335141335"/>
      <w:r w:rsidRPr="00295156">
        <w:rPr>
          <w:rFonts w:cs="Georgia"/>
          <w:b/>
          <w:bCs/>
          <w:i/>
          <w:color w:val="000000"/>
          <w:sz w:val="20"/>
          <w:szCs w:val="20"/>
          <w:lang w:eastAsia="en-GB"/>
        </w:rPr>
        <w:t>Data protection</w:t>
      </w:r>
      <w:bookmarkEnd w:id="2"/>
    </w:p>
    <w:p w:rsidR="00F574D0" w:rsidRPr="00295156" w:rsidRDefault="00F574D0" w:rsidP="00F574D0">
      <w:pPr>
        <w:autoSpaceDE w:val="0"/>
        <w:autoSpaceDN w:val="0"/>
        <w:adjustRightInd w:val="0"/>
        <w:spacing w:before="120" w:after="120" w:line="276" w:lineRule="auto"/>
        <w:jc w:val="both"/>
        <w:rPr>
          <w:sz w:val="20"/>
          <w:szCs w:val="20"/>
        </w:rPr>
      </w:pPr>
      <w:r w:rsidRPr="00295156">
        <w:rPr>
          <w:sz w:val="20"/>
          <w:szCs w:val="20"/>
        </w:rPr>
        <w:t xml:space="preserve">Information on data protection can be found at </w:t>
      </w:r>
      <w:hyperlink r:id="rId14" w:history="1">
        <w:r w:rsidRPr="00295156">
          <w:rPr>
            <w:rStyle w:val="Hyperlinkki"/>
            <w:sz w:val="20"/>
            <w:szCs w:val="20"/>
          </w:rPr>
          <w:t>www.esma.europa.eu</w:t>
        </w:r>
      </w:hyperlink>
      <w:r w:rsidRPr="00295156">
        <w:rPr>
          <w:sz w:val="20"/>
          <w:szCs w:val="20"/>
        </w:rPr>
        <w:t xml:space="preserve"> under the heading ‘Disclaimer’.</w:t>
      </w:r>
    </w:p>
    <w:bookmarkEnd w:id="0"/>
    <w:p w:rsidR="00473916" w:rsidRDefault="00473916" w:rsidP="00473916"/>
    <w:p w:rsidR="00473916" w:rsidRPr="00473916" w:rsidRDefault="00473916" w:rsidP="00473916"/>
    <w:p w:rsidR="00473916" w:rsidRPr="0026621B" w:rsidRDefault="00473916" w:rsidP="00473916">
      <w:pPr>
        <w:pStyle w:val="Otsikko1"/>
        <w:numPr>
          <w:ilvl w:val="0"/>
          <w:numId w:val="0"/>
        </w:numPr>
        <w:rPr>
          <w:sz w:val="22"/>
          <w:szCs w:val="22"/>
        </w:rPr>
      </w:pPr>
      <w:r w:rsidRPr="0026621B">
        <w:rPr>
          <w:sz w:val="22"/>
          <w:szCs w:val="22"/>
        </w:rPr>
        <w:lastRenderedPageBreak/>
        <w:t>General information about respondent</w:t>
      </w:r>
    </w:p>
    <w:tbl>
      <w:tblPr>
        <w:tblStyle w:val="TaulukkoRuudukko"/>
        <w:tblW w:w="0" w:type="auto"/>
        <w:tblLook w:val="04A0" w:firstRow="1" w:lastRow="0" w:firstColumn="1" w:lastColumn="0" w:noHBand="0" w:noVBand="1"/>
      </w:tblPr>
      <w:tblGrid>
        <w:gridCol w:w="3510"/>
        <w:gridCol w:w="6118"/>
      </w:tblGrid>
      <w:tr w:rsidR="00473916" w:rsidRPr="0026621B" w:rsidTr="008127AB">
        <w:tc>
          <w:tcPr>
            <w:tcW w:w="3510" w:type="dxa"/>
          </w:tcPr>
          <w:p w:rsidR="00473916" w:rsidRPr="0026621B" w:rsidRDefault="00473916" w:rsidP="008127AB">
            <w:pPr>
              <w:rPr>
                <w:rFonts w:cs="Arial"/>
                <w:szCs w:val="22"/>
              </w:rPr>
            </w:pPr>
            <w:r w:rsidRPr="0026621B">
              <w:rPr>
                <w:rFonts w:cs="Arial"/>
                <w:szCs w:val="22"/>
              </w:rPr>
              <w:t>Are you representing an associ</w:t>
            </w:r>
            <w:r w:rsidRPr="0026621B">
              <w:rPr>
                <w:rFonts w:cs="Arial"/>
                <w:szCs w:val="22"/>
              </w:rPr>
              <w:t>a</w:t>
            </w:r>
            <w:r w:rsidRPr="0026621B">
              <w:rPr>
                <w:rFonts w:cs="Arial"/>
                <w:szCs w:val="22"/>
              </w:rPr>
              <w:t>tion?</w:t>
            </w:r>
          </w:p>
        </w:tc>
        <w:tc>
          <w:tcPr>
            <w:tcW w:w="6118" w:type="dxa"/>
          </w:tcPr>
          <w:p w:rsidR="00473916" w:rsidRPr="0026621B" w:rsidRDefault="0032692C" w:rsidP="008127AB">
            <w:pPr>
              <w:rPr>
                <w:rFonts w:cs="Arial"/>
                <w:szCs w:val="22"/>
              </w:rPr>
            </w:pPr>
            <w:sdt>
              <w:sdtPr>
                <w:rPr>
                  <w:rFonts w:cs="Arial"/>
                  <w:szCs w:val="22"/>
                </w:rPr>
                <w:alias w:val="Association"/>
                <w:tag w:val="Association"/>
                <w:id w:val="-1769143793"/>
                <w:placeholder>
                  <w:docPart w:val="65E85BD11FA34C35ABE725446C5BAEC5"/>
                </w:placeholder>
                <w:comboBox>
                  <w:listItem w:displayText="Yes" w:value="Yes"/>
                  <w:listItem w:displayText="No" w:value="No"/>
                </w:comboBox>
              </w:sdtPr>
              <w:sdtEndPr/>
              <w:sdtContent>
                <w:permStart w:id="1291977896" w:edGrp="everyone"/>
                <w:r w:rsidR="00AA2B23">
                  <w:rPr>
                    <w:rFonts w:cs="Arial"/>
                    <w:szCs w:val="22"/>
                  </w:rPr>
                  <w:t>Yes</w:t>
                </w:r>
                <w:permEnd w:id="1291977896"/>
              </w:sdtContent>
            </w:sdt>
          </w:p>
        </w:tc>
      </w:tr>
      <w:tr w:rsidR="00473916" w:rsidRPr="0026621B" w:rsidTr="008127AB">
        <w:tc>
          <w:tcPr>
            <w:tcW w:w="3510" w:type="dxa"/>
          </w:tcPr>
          <w:p w:rsidR="00473916" w:rsidRPr="0026621B" w:rsidRDefault="00473916" w:rsidP="008127AB">
            <w:pPr>
              <w:rPr>
                <w:rFonts w:cs="Arial"/>
                <w:szCs w:val="22"/>
              </w:rPr>
            </w:pPr>
            <w:r w:rsidRPr="0026621B">
              <w:rPr>
                <w:rFonts w:cs="Arial"/>
                <w:szCs w:val="22"/>
              </w:rPr>
              <w:t>Activity:</w:t>
            </w:r>
          </w:p>
        </w:tc>
        <w:tc>
          <w:tcPr>
            <w:tcW w:w="6118" w:type="dxa"/>
          </w:tcPr>
          <w:p w:rsidR="00473916" w:rsidRPr="0026621B" w:rsidRDefault="0032692C" w:rsidP="008127AB">
            <w:pPr>
              <w:rPr>
                <w:rFonts w:cs="Arial"/>
                <w:szCs w:val="22"/>
              </w:rPr>
            </w:pPr>
            <w:sdt>
              <w:sdtPr>
                <w:rPr>
                  <w:rFonts w:cs="Arial"/>
                  <w:szCs w:val="22"/>
                </w:rPr>
                <w:alias w:val="Activity"/>
                <w:tag w:val="Activity"/>
                <w:id w:val="1654095920"/>
                <w:placeholder>
                  <w:docPart w:val="98048A7DD8DF4A6B8C6CF00D9B1940F8"/>
                </w:placeholder>
                <w:comboBox>
                  <w:listItem w:value="Choose an item."/>
                  <w:listItem w:displayText="Central Securities Depository" w:value="Central Securities Depository"/>
                  <w:listItem w:displayText="Central Counterparty" w:value="Central Counterparty"/>
                  <w:listItem w:displayText="Government, Regulatory and Enforcement" w:value="Government, Regulatory and Enforcement"/>
                  <w:listItem w:displayText="Investment Firm" w:value="Investment Firm"/>
                  <w:listItem w:displayText="Credit Institution" w:value="Credit Institution"/>
                  <w:listItem w:displayText="Fund/Investment Company" w:value="Fund/Investment Company"/>
                  <w:listItem w:displayText="Trading Venue" w:value="Trading Venue"/>
                  <w:listItem w:displayText="Service Provider" w:value="Service Provider"/>
                  <w:listItem w:displayText="Issuer" w:value="Issuer"/>
                  <w:listItem w:displayText="Professional Advisor" w:value="Professional Advisor"/>
                  <w:listItem w:displayText="Other" w:value="Other"/>
                </w:comboBox>
              </w:sdtPr>
              <w:sdtEndPr/>
              <w:sdtContent>
                <w:permStart w:id="235867677" w:edGrp="everyone"/>
                <w:r w:rsidR="00AA2B23">
                  <w:rPr>
                    <w:rFonts w:cs="Arial"/>
                    <w:szCs w:val="22"/>
                  </w:rPr>
                  <w:t>Investment Firm</w:t>
                </w:r>
                <w:permEnd w:id="235867677"/>
              </w:sdtContent>
            </w:sdt>
          </w:p>
        </w:tc>
      </w:tr>
      <w:tr w:rsidR="00473916" w:rsidRPr="0026621B" w:rsidTr="008127AB">
        <w:tc>
          <w:tcPr>
            <w:tcW w:w="3510" w:type="dxa"/>
          </w:tcPr>
          <w:p w:rsidR="00473916" w:rsidRPr="0026621B" w:rsidRDefault="00473916" w:rsidP="008127AB">
            <w:pPr>
              <w:rPr>
                <w:rFonts w:cs="Arial"/>
                <w:szCs w:val="22"/>
              </w:rPr>
            </w:pPr>
            <w:r w:rsidRPr="0026621B">
              <w:rPr>
                <w:rFonts w:cs="Arial"/>
                <w:szCs w:val="22"/>
              </w:rPr>
              <w:t>Country/Region</w:t>
            </w:r>
          </w:p>
        </w:tc>
        <w:sdt>
          <w:sdtPr>
            <w:rPr>
              <w:rFonts w:cs="Arial"/>
              <w:szCs w:val="22"/>
            </w:rPr>
            <w:alias w:val="Country"/>
            <w:tag w:val="Country"/>
            <w:id w:val="-1549134410"/>
            <w:placeholder>
              <w:docPart w:val="5EAC301EA3224F67909AA00721C3F8B7"/>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094124782" w:edGrp="everyone" w:displacedByCustomXml="prev"/>
            <w:tc>
              <w:tcPr>
                <w:tcW w:w="6118" w:type="dxa"/>
              </w:tcPr>
              <w:p w:rsidR="00473916" w:rsidRPr="0026621B" w:rsidRDefault="00AA2B23" w:rsidP="008127AB">
                <w:pPr>
                  <w:rPr>
                    <w:rFonts w:cs="Arial"/>
                    <w:szCs w:val="22"/>
                  </w:rPr>
                </w:pPr>
                <w:r>
                  <w:rPr>
                    <w:rFonts w:cs="Arial"/>
                    <w:szCs w:val="22"/>
                  </w:rPr>
                  <w:t>Europe</w:t>
                </w:r>
              </w:p>
            </w:tc>
            <w:permEnd w:id="1094124782" w:displacedByCustomXml="next"/>
          </w:sdtContent>
        </w:sdt>
      </w:tr>
    </w:tbl>
    <w:p w:rsidR="007F4106" w:rsidRDefault="007F4106">
      <w:pPr>
        <w:rPr>
          <w:b/>
        </w:rPr>
      </w:pPr>
      <w:r>
        <w:br w:type="page"/>
      </w:r>
    </w:p>
    <w:p w:rsidR="00D12AFD" w:rsidRDefault="00D12AFD" w:rsidP="00965B03">
      <w:pPr>
        <w:pStyle w:val="Otsikko5"/>
        <w:ind w:left="567" w:hanging="567"/>
      </w:pPr>
      <w:r w:rsidRPr="002C4F00">
        <w:lastRenderedPageBreak/>
        <w:t>Do you think the proposed timeframes for allocations and confirmations under Article 2 of the RTS on Settlement Discipline are adequate?</w:t>
      </w:r>
    </w:p>
    <w:p w:rsidR="00D12AFD" w:rsidRPr="002C4F00" w:rsidRDefault="00D12AFD" w:rsidP="00BA1DEE">
      <w:pPr>
        <w:pStyle w:val="Otsikko5"/>
        <w:numPr>
          <w:ilvl w:val="0"/>
          <w:numId w:val="0"/>
        </w:numPr>
        <w:ind w:left="567"/>
      </w:pPr>
      <w:r w:rsidRPr="002C4F00">
        <w:t>If not, what would be feasible timeframes in your opinion?</w:t>
      </w:r>
    </w:p>
    <w:p w:rsidR="00D12AFD" w:rsidRDefault="00D12AFD" w:rsidP="00BA1DEE">
      <w:pPr>
        <w:ind w:left="567"/>
      </w:pPr>
    </w:p>
    <w:p w:rsidR="00D12AFD" w:rsidRPr="002C4F00" w:rsidRDefault="00D12AFD" w:rsidP="00BA1DEE">
      <w:pPr>
        <w:pStyle w:val="Otsikko5"/>
        <w:numPr>
          <w:ilvl w:val="0"/>
          <w:numId w:val="0"/>
        </w:numPr>
        <w:ind w:left="567"/>
      </w:pPr>
      <w:r w:rsidRPr="002C4F00">
        <w:t>Please provide details and arguments in case you envisage any technical difficulties in complying with the proposed timeframes.</w:t>
      </w:r>
    </w:p>
    <w:p w:rsidR="00D12AFD" w:rsidRDefault="00D12AFD" w:rsidP="00D12AFD"/>
    <w:p w:rsidR="00D12AFD" w:rsidRDefault="00D12AFD" w:rsidP="00D12AFD">
      <w:r>
        <w:t>&lt;ESMA_QUESTION_TS_CSDR_1&gt;</w:t>
      </w:r>
    </w:p>
    <w:p w:rsidR="00977F8F" w:rsidRDefault="00977F8F" w:rsidP="00977F8F">
      <w:permStart w:id="2136897270" w:edGrp="everyone"/>
      <w:r>
        <w:t xml:space="preserve">Generally there is an overall lack of detail and flexibility when it comes to the timeframes and requirements in this section. </w:t>
      </w:r>
    </w:p>
    <w:p w:rsidR="00977F8F" w:rsidRDefault="00977F8F" w:rsidP="00977F8F"/>
    <w:p w:rsidR="00D12AFD" w:rsidRDefault="00977F8F" w:rsidP="00977F8F">
      <w:r>
        <w:t>A case in point would be when dealing clients in other time zones.  The text is very unclear as to how and when allocations and confirmations should occur in this case and in fact requires Eur</w:t>
      </w:r>
      <w:r>
        <w:t>o</w:t>
      </w:r>
      <w:r>
        <w:t>pean based banks to send confirmations to some clients in the middle of the night (client’s local time). This cannot be valuable in improving settlement discipline. More flexibility to agree b</w:t>
      </w:r>
      <w:r>
        <w:t>e</w:t>
      </w:r>
      <w:r>
        <w:t>tween the intermediaries and their clients is needed for being able to agree on best practices.</w:t>
      </w:r>
    </w:p>
    <w:permEnd w:id="2136897270"/>
    <w:p w:rsidR="00D12AFD" w:rsidRDefault="00D12AFD" w:rsidP="00D12AFD">
      <w:r>
        <w:t>&lt;ESMA_QUESTION_TS_CSDR_1&gt;</w:t>
      </w:r>
    </w:p>
    <w:p w:rsidR="00D12AFD" w:rsidRDefault="00D12AFD" w:rsidP="00B874B2">
      <w:pPr>
        <w:pStyle w:val="Otsikko5"/>
        <w:ind w:left="567" w:hanging="567"/>
        <w:rPr>
          <w:color w:val="000000"/>
          <w:lang w:eastAsia="en-GB"/>
        </w:rPr>
      </w:pPr>
      <w:r w:rsidRPr="002C4F00">
        <w:rPr>
          <w:color w:val="000000"/>
          <w:lang w:eastAsia="en-GB"/>
        </w:rPr>
        <w:t>Do you agree with the cases when matching would not be necessary, as specified under Article 3(2) of the draft RTS?</w:t>
      </w:r>
    </w:p>
    <w:p w:rsidR="00D12AFD" w:rsidRPr="00D12AFD" w:rsidRDefault="00D12AFD" w:rsidP="00BA1DEE">
      <w:pPr>
        <w:pStyle w:val="Otsikko5"/>
        <w:numPr>
          <w:ilvl w:val="0"/>
          <w:numId w:val="0"/>
        </w:numPr>
        <w:ind w:left="567"/>
        <w:rPr>
          <w:color w:val="000000"/>
          <w:lang w:eastAsia="en-GB"/>
        </w:rPr>
      </w:pPr>
      <w:r w:rsidRPr="00D12AFD">
        <w:rPr>
          <w:color w:val="000000"/>
          <w:lang w:eastAsia="en-GB"/>
        </w:rPr>
        <w:t>Should other cases be included? Please provide details and evidence for any pr</w:t>
      </w:r>
      <w:r w:rsidRPr="00D12AFD">
        <w:rPr>
          <w:color w:val="000000"/>
          <w:lang w:eastAsia="en-GB"/>
        </w:rPr>
        <w:t>o</w:t>
      </w:r>
      <w:r w:rsidRPr="00D12AFD">
        <w:rPr>
          <w:color w:val="000000"/>
          <w:lang w:eastAsia="en-GB"/>
        </w:rPr>
        <w:t>posed case.</w:t>
      </w:r>
    </w:p>
    <w:p w:rsidR="00D12AFD" w:rsidRDefault="00D12AFD" w:rsidP="00D12AFD"/>
    <w:p w:rsidR="00D12AFD" w:rsidRDefault="00D12AFD" w:rsidP="00D12AFD">
      <w:r>
        <w:t>&lt;ESMA_QUESTION_TS_CSDR_2&gt;</w:t>
      </w:r>
    </w:p>
    <w:p w:rsidR="00977F8F" w:rsidRDefault="00977F8F" w:rsidP="00977F8F">
      <w:permStart w:id="2118918225" w:edGrp="everyone"/>
      <w:r>
        <w:t>We support a close alignment between the implementation of T2S and CSDR as well as a single European market.  We are of the opinion that the matching criteria and tolerance values in T2S and CSDR should be in alignment. In that respect matching criteria and tolerance values in T2S and CSDR should be aligned for non-Euro countries too.  However, the current value for tole</w:t>
      </w:r>
      <w:r>
        <w:t>r</w:t>
      </w:r>
      <w:r>
        <w:t>ance match of up of €25 or equal in other currencies is too low. EUR amount is in align with the current T2S values, but for non-EUR markets it does not leave any flexibility for currency fluctu</w:t>
      </w:r>
      <w:r>
        <w:t>a</w:t>
      </w:r>
      <w:r>
        <w:t>tions. Assuming that also non-EUR markets want to adapt the amount close to €25 as T2S standard and non-EUR markets need to adjust it regularly to keep it within the limits. There should be also room to “round” the amount to closes reasonable amount in local currency.</w:t>
      </w:r>
    </w:p>
    <w:p w:rsidR="00977F8F" w:rsidRDefault="00977F8F" w:rsidP="00977F8F">
      <w:r>
        <w:t>The current text also exposes GCMs to unnecessary risk as they will lose a degree of control over as the current text reduces their ability to set limits to their own customers as GCMs and custodians. In the case of insolvency, it is very important that GCMs have the ability to have control over matching processes and be allowed to segregate insolvent customer and mitigate the matching process as much as possible.</w:t>
      </w:r>
    </w:p>
    <w:p w:rsidR="00977F8F" w:rsidRDefault="00977F8F" w:rsidP="00977F8F"/>
    <w:p w:rsidR="00977F8F" w:rsidRDefault="00977F8F" w:rsidP="00977F8F">
      <w:r>
        <w:t xml:space="preserve">According to the article 3 in the proposed RTS CSDs shall require that CCPs send already matched settlement instruction into the settlement system operated by a CSD. However, it should be duly noted that there are at least two types of models used in the EU. The first one is in line with the proposed rule (i.e. that the CCP send the matched settlement instructions).  In the second model matched settlement instructions are sent by the participants. We are of the opinion that EU should not </w:t>
      </w:r>
      <w:proofErr w:type="spellStart"/>
      <w:r>
        <w:t>favor</w:t>
      </w:r>
      <w:proofErr w:type="spellEnd"/>
      <w:r>
        <w:t xml:space="preserve"> one before the other. Both systems are used and should be acceptable. The choice between these two models is dependent on for example market, infr</w:t>
      </w:r>
      <w:r>
        <w:t>a</w:t>
      </w:r>
      <w:r>
        <w:t>structure and development. No one is better than the other and there are no reasons or arg</w:t>
      </w:r>
      <w:r>
        <w:t>u</w:t>
      </w:r>
      <w:r>
        <w:t>ments presented for the choice ESMA has done in the consultation paper (like identified pro</w:t>
      </w:r>
      <w:r>
        <w:t>b</w:t>
      </w:r>
      <w:r>
        <w:t xml:space="preserve">lems with matching). To conclude, there is no case for making one of the two models mandatory.  </w:t>
      </w:r>
    </w:p>
    <w:p w:rsidR="00977F8F" w:rsidRDefault="00977F8F" w:rsidP="00977F8F">
      <w:r>
        <w:lastRenderedPageBreak/>
        <w:t>Furthermore, the consequences of the proposed rule for participants and markets are not known and must be presented before an assessment could be done. For example there is no discu</w:t>
      </w:r>
      <w:r>
        <w:t>s</w:t>
      </w:r>
      <w:r>
        <w:t>sion about the final responsibility for the settlement. The starting point should be that the partic</w:t>
      </w:r>
      <w:r>
        <w:t>i</w:t>
      </w:r>
      <w:r>
        <w:t>pants have control over the settlement of their instructions, not the CCP. If the CCP should take larger responsibility for the matching, the consequences of that responsibility should be di</w:t>
      </w:r>
      <w:r>
        <w:t>s</w:t>
      </w:r>
      <w:r>
        <w:t xml:space="preserve">cussed between the CCP and the participants.  In short, we are </w:t>
      </w:r>
      <w:proofErr w:type="spellStart"/>
      <w:r>
        <w:t>skeptical</w:t>
      </w:r>
      <w:proofErr w:type="spellEnd"/>
      <w:r>
        <w:t xml:space="preserve"> that matched instru</w:t>
      </w:r>
      <w:r>
        <w:t>c</w:t>
      </w:r>
      <w:r>
        <w:t xml:space="preserve">tion from the CCP should release securities from the sellers account as well as payment from the buyers account. </w:t>
      </w:r>
    </w:p>
    <w:p w:rsidR="00977F8F" w:rsidRDefault="00977F8F" w:rsidP="00977F8F"/>
    <w:p w:rsidR="00977F8F" w:rsidRDefault="00977F8F" w:rsidP="00977F8F">
      <w:r>
        <w:t>Regarding mandatory matching fields, we believe that ESMA should be careful not to include more than required through T2S, as implementing new matching fields is costly.</w:t>
      </w:r>
    </w:p>
    <w:p w:rsidR="00977F8F" w:rsidRDefault="00977F8F" w:rsidP="00977F8F">
      <w:r>
        <w:t xml:space="preserve">We propose that article 3.2 (b) should be formulated in the following way to cover the situation in the some Nordic systems: </w:t>
      </w:r>
    </w:p>
    <w:p w:rsidR="00977F8F" w:rsidRDefault="00977F8F" w:rsidP="00977F8F"/>
    <w:p w:rsidR="00124278" w:rsidRDefault="00977F8F" w:rsidP="00977F8F">
      <w:r>
        <w:t>“</w:t>
      </w:r>
      <w:proofErr w:type="spellStart"/>
      <w:r>
        <w:t>FoP</w:t>
      </w:r>
      <w:proofErr w:type="spellEnd"/>
      <w:r>
        <w:t xml:space="preserve"> instructions which consist of transfer of financial instruments between different accounts opened and operated by the participant.”</w:t>
      </w:r>
    </w:p>
    <w:permEnd w:id="2118918225"/>
    <w:p w:rsidR="00D12AFD" w:rsidRDefault="00D12AFD" w:rsidP="00D12AFD">
      <w:r>
        <w:t>&lt;ESMA_QUESTION_TS_CSDR_2&gt;</w:t>
      </w:r>
    </w:p>
    <w:p w:rsidR="00D12AFD" w:rsidRDefault="00D12AFD" w:rsidP="00965B03">
      <w:pPr>
        <w:pStyle w:val="Otsikko5"/>
        <w:ind w:left="567" w:hanging="567"/>
      </w:pPr>
      <w:r w:rsidRPr="002C4F00">
        <w:t xml:space="preserve">What are your views on the proposed approach under Article 3(11) of the draft RTS included in Chapter II of Annex I? </w:t>
      </w:r>
    </w:p>
    <w:p w:rsidR="00D12AFD" w:rsidRDefault="00D12AFD" w:rsidP="00BA1DEE">
      <w:pPr>
        <w:pStyle w:val="Otsikko5"/>
        <w:numPr>
          <w:ilvl w:val="0"/>
          <w:numId w:val="0"/>
        </w:numPr>
        <w:ind w:left="567"/>
      </w:pPr>
      <w:r w:rsidRPr="002C4F00">
        <w:t>Do you think that the 0.5% settlement fails threshold (i.e. 99.5% settlement efficiency rate) is adequate? If not, what would be an adequate threshold? Please provide d</w:t>
      </w:r>
      <w:r w:rsidRPr="002C4F00">
        <w:t>e</w:t>
      </w:r>
      <w:r w:rsidRPr="002C4F00">
        <w:t>tails and arguments.</w:t>
      </w:r>
    </w:p>
    <w:p w:rsidR="00D12AFD" w:rsidRPr="002C4F00" w:rsidRDefault="00D12AFD" w:rsidP="00BA1DEE">
      <w:pPr>
        <w:pStyle w:val="Otsikko5"/>
        <w:numPr>
          <w:ilvl w:val="0"/>
          <w:numId w:val="0"/>
        </w:numPr>
        <w:ind w:left="567"/>
      </w:pPr>
      <w:r w:rsidRPr="002C4F00">
        <w:t xml:space="preserve">Do you think that the 2,5 billion EUR/year in terms of the value of settlement </w:t>
      </w:r>
      <w:r w:rsidR="00851A83">
        <w:rPr>
          <w:rFonts w:cstheme="minorHAnsi"/>
          <w:szCs w:val="22"/>
        </w:rPr>
        <w:t>fails for a</w:t>
      </w:r>
      <w:r w:rsidR="00851A83" w:rsidRPr="00567AB7">
        <w:rPr>
          <w:rFonts w:cstheme="minorHAnsi"/>
          <w:szCs w:val="22"/>
        </w:rPr>
        <w:t xml:space="preserve"> securities settlement system operated</w:t>
      </w:r>
      <w:r w:rsidRPr="002C4F00">
        <w:t xml:space="preserve"> by a CSD is adequate? If not, what would be an adequate threshold? Please provide details and arguments.</w:t>
      </w:r>
    </w:p>
    <w:p w:rsidR="00D12AFD" w:rsidRDefault="00D12AFD" w:rsidP="00D12AFD"/>
    <w:p w:rsidR="00D12AFD" w:rsidRDefault="00D12AFD" w:rsidP="00D12AFD">
      <w:r>
        <w:t>&lt;ESMA_QUESTION_TS_CSDR_3&gt;</w:t>
      </w:r>
    </w:p>
    <w:p w:rsidR="00977F8F" w:rsidRDefault="00977F8F" w:rsidP="00977F8F">
      <w:permStart w:id="178418221" w:edGrp="everyone"/>
      <w:r>
        <w:t>We support efforts to achieve a high settlement efficiency rate, but believe that a 99.5% settl</w:t>
      </w:r>
      <w:r>
        <w:t>e</w:t>
      </w:r>
      <w:r>
        <w:t xml:space="preserve">ment efficiency rate is very high, considering the fact that the CSD is required to introduce hold and releases, recycling and partials if the settlement efficiency rate falls below this threshold and the value of settlement fails exceeds 2, 5 billion EUR per year.  The rate is not fully supported by the current prescribed methodology for proceeding after the settlement fails threshold is broken. </w:t>
      </w:r>
    </w:p>
    <w:p w:rsidR="00977F8F" w:rsidRDefault="00977F8F" w:rsidP="00977F8F">
      <w:r>
        <w:t>The focus should not be on the settlement rate only, but ESMA should also look at the legislative and technical measures the CSD has implemented to mitigate the risk for the not failing partic</w:t>
      </w:r>
      <w:r>
        <w:t>i</w:t>
      </w:r>
      <w:r>
        <w:t xml:space="preserve">pant following a failed settlement. </w:t>
      </w:r>
    </w:p>
    <w:p w:rsidR="00977F8F" w:rsidRDefault="00977F8F" w:rsidP="00977F8F"/>
    <w:p w:rsidR="00977F8F" w:rsidRDefault="00977F8F" w:rsidP="00977F8F">
      <w:r>
        <w:t>We believe that a logical next step after the threshold is broken is not only to ensure future se</w:t>
      </w:r>
      <w:r>
        <w:t>t</w:t>
      </w:r>
      <w:r>
        <w:t>tlements, but also for the CSD and supervisory authority to discuss and agree on best practices as to how to resolve the cause of the settlement fails in question.  The suggested method for proceeding requires a CSD to introduce hold and releases, recycling and partials without fully exploring a cause.  We would therefore not only suggest a lower efficiency rate, but that there would be an increase in focus on identifying the root cause of settlement fails. Unrealistically high rate in practice requires all CSDs to include required functionalities without options.</w:t>
      </w:r>
    </w:p>
    <w:p w:rsidR="00124278" w:rsidRDefault="00977F8F" w:rsidP="00977F8F">
      <w:r>
        <w:t>There is an urgent need for a more clear definition of settlement fails. Furthermore, recycling should not be possible in bankruptcy situations</w:t>
      </w:r>
    </w:p>
    <w:permEnd w:id="178418221"/>
    <w:p w:rsidR="00D12AFD" w:rsidRDefault="00D12AFD" w:rsidP="00D12AFD">
      <w:r>
        <w:t>&lt;ESMA_QUESTION_TS_CSDR_3&gt;</w:t>
      </w:r>
    </w:p>
    <w:p w:rsidR="00D12AFD" w:rsidRPr="002C4F00" w:rsidRDefault="00D12AFD" w:rsidP="00965B03">
      <w:pPr>
        <w:pStyle w:val="Otsikko5"/>
        <w:ind w:left="567" w:hanging="567"/>
      </w:pPr>
      <w:r w:rsidRPr="002C4F00">
        <w:t>What are your views on the proposed draft RTS included in Chapter II of Annex I?</w:t>
      </w:r>
    </w:p>
    <w:p w:rsidR="00D12AFD" w:rsidRDefault="00D12AFD" w:rsidP="00D12AFD"/>
    <w:p w:rsidR="00D12AFD" w:rsidRDefault="00D12AFD" w:rsidP="00D12AFD">
      <w:r>
        <w:lastRenderedPageBreak/>
        <w:t>&lt;ESMA_QUESTION_TS_CSDR_4&gt;</w:t>
      </w:r>
    </w:p>
    <w:p w:rsidR="00977F8F" w:rsidRDefault="00977F8F" w:rsidP="00977F8F">
      <w:permStart w:id="315894196" w:edGrp="everyone"/>
      <w:r>
        <w:t xml:space="preserve">In our view the proposed rules simplify that complexity of transaction, for example regarding the number of financial firms involved in the chain (investment firms, clearing agent, clearing broker, indirect and direct clearing members). </w:t>
      </w:r>
    </w:p>
    <w:p w:rsidR="00977F8F" w:rsidRDefault="00977F8F" w:rsidP="00977F8F"/>
    <w:p w:rsidR="00124278" w:rsidRDefault="00977F8F" w:rsidP="00977F8F">
      <w:r>
        <w:t>Furthermore we support the EBF response.</w:t>
      </w:r>
    </w:p>
    <w:permEnd w:id="315894196"/>
    <w:p w:rsidR="00D12AFD" w:rsidRDefault="00D12AFD" w:rsidP="00D12AFD">
      <w:r>
        <w:t>&lt;ESMA_QUESTION_TS_CSDR_4&gt;</w:t>
      </w:r>
    </w:p>
    <w:p w:rsidR="00D12AFD" w:rsidRPr="002C4F00" w:rsidRDefault="00D12AFD" w:rsidP="00965B03">
      <w:pPr>
        <w:pStyle w:val="Otsikko5"/>
        <w:ind w:left="567" w:hanging="567"/>
      </w:pPr>
      <w:r>
        <w:t xml:space="preserve"> </w:t>
      </w:r>
      <w:r w:rsidRPr="00030F8D">
        <w:t>What are your views on the proposed draft RTS on the monitoring of settlement fails as included in Section 1 of Chapter III of Annex I?</w:t>
      </w:r>
    </w:p>
    <w:p w:rsidR="00D12AFD" w:rsidRDefault="00D12AFD" w:rsidP="00D12AFD"/>
    <w:p w:rsidR="00D12AFD" w:rsidRDefault="00D12AFD" w:rsidP="00D12AFD">
      <w:r>
        <w:t>&lt;ESMA_QUESTION_TS_CSDR_5&gt;</w:t>
      </w:r>
    </w:p>
    <w:p w:rsidR="00977F8F" w:rsidRDefault="00977F8F" w:rsidP="00977F8F">
      <w:permStart w:id="335576519" w:edGrp="everyone"/>
      <w:r>
        <w:t>In principle, we agree that the CSD shall provide information on settlement fails, as it serves a deterrent purpose.  However, the ESMA should be cautious also from a cost/benefit perspective that CSDs are not collecting excessive amounts of data at an excessive cost. The current su</w:t>
      </w:r>
      <w:r>
        <w:t>g</w:t>
      </w:r>
      <w:r>
        <w:t>gestion of highly detailed monthly reports of all failures is burdensome and costly with respect to the development of these reports as well as the frequency of distribution. We note that the E</w:t>
      </w:r>
      <w:r>
        <w:t>S</w:t>
      </w:r>
      <w:r>
        <w:t xml:space="preserve">MA has not provided a clear justification of either the level of detail or frequency of reporting.   </w:t>
      </w:r>
    </w:p>
    <w:p w:rsidR="00977F8F" w:rsidRDefault="00977F8F" w:rsidP="00977F8F">
      <w:r>
        <w:t>There are other reasons for settlement fails in addition to lack of securities and / or cash. These problems can be technical or relate to binding restrictions from member states or supervisory authorities (see Article 4.2 (b)). Furthermore insolvency related issues could also prove challen</w:t>
      </w:r>
      <w:r>
        <w:t>g</w:t>
      </w:r>
      <w:r>
        <w:t xml:space="preserve">ing. </w:t>
      </w:r>
    </w:p>
    <w:p w:rsidR="00977F8F" w:rsidRDefault="00977F8F" w:rsidP="00977F8F"/>
    <w:p w:rsidR="00124278" w:rsidRDefault="00977F8F" w:rsidP="00977F8F">
      <w:r>
        <w:t>In our view the Article 4.3 is not in line with the proportionality principle. The working flow accor</w:t>
      </w:r>
      <w:r>
        <w:t>d</w:t>
      </w:r>
      <w:r>
        <w:t>ing to that article should not be mandatory.  Only if there are reasons, like real problems with the settlement rates  a CSD should set up a working flow with the participants with the highest rates (or worst problems) of settlement fails. Of course the number should not be mentioned.  In a CSD with 10 CSD-participants this would be a “standing committee” even if the settlement grade is excellent.  The group should analyse, not identify.</w:t>
      </w:r>
    </w:p>
    <w:permEnd w:id="335576519"/>
    <w:p w:rsidR="00D12AFD" w:rsidRDefault="00D12AFD" w:rsidP="00D12AFD">
      <w:r>
        <w:t>&lt;ESMA_QUESTION_TS_CSDR_5&gt;</w:t>
      </w:r>
    </w:p>
    <w:p w:rsidR="00D12AFD" w:rsidRPr="002C4F00" w:rsidRDefault="00D12AFD" w:rsidP="00965B03">
      <w:pPr>
        <w:pStyle w:val="Otsikko5"/>
        <w:ind w:left="567" w:hanging="567"/>
      </w:pPr>
      <w:r w:rsidRPr="002C4F00">
        <w:t>What are your views on the proposed draft RTS related to the penalty mechanism? Do you agree that when CSDs use a common settlement infrastructure, the proc</w:t>
      </w:r>
      <w:r w:rsidRPr="002C4F00">
        <w:t>e</w:t>
      </w:r>
      <w:r w:rsidRPr="002C4F00">
        <w:t>dures for cash penalties should be jointly managed?</w:t>
      </w:r>
    </w:p>
    <w:p w:rsidR="00D12AFD" w:rsidRDefault="00D12AFD" w:rsidP="00D12AFD"/>
    <w:p w:rsidR="00D12AFD" w:rsidRDefault="00D12AFD" w:rsidP="00D12AFD">
      <w:r>
        <w:t>&lt;ESMA_QUESTION_TS_CSDR_6&gt;</w:t>
      </w:r>
    </w:p>
    <w:p w:rsidR="00977F8F" w:rsidRDefault="00977F8F" w:rsidP="00977F8F">
      <w:permStart w:id="2050783880" w:edGrp="everyone"/>
      <w:r>
        <w:t>Several inconsistencies in the penalty mechanism could potentially lead to issues post impl</w:t>
      </w:r>
      <w:r>
        <w:t>e</w:t>
      </w:r>
      <w:r>
        <w:t>mentation.  For example, the text states that CSDs need to clearly identify all penalties that intermediaries can pass on to their clients, but does not give further detail.  This could potentially lead to disagreements with CSDs on what information is required to provide sufficient identific</w:t>
      </w:r>
      <w:r>
        <w:t>a</w:t>
      </w:r>
      <w:r>
        <w:t>tion.</w:t>
      </w:r>
    </w:p>
    <w:p w:rsidR="00977F8F" w:rsidRDefault="00977F8F" w:rsidP="00977F8F"/>
    <w:p w:rsidR="00977F8F" w:rsidRDefault="00977F8F" w:rsidP="00977F8F">
      <w:r>
        <w:t xml:space="preserve">We see a real risk of insufficient information reported from the CSD to intermediaries resulting in what can appear as unexplainable costs being passed along to clients. Reports generated by the CSD should outline the source of penalties in sufficient detail in order for clients to have transparency of the penalty mechanism and the resulting costs. It is of great importance that these reports can be passed along to clients.  </w:t>
      </w:r>
    </w:p>
    <w:p w:rsidR="00977F8F" w:rsidRDefault="00977F8F" w:rsidP="00977F8F"/>
    <w:p w:rsidR="00977F8F" w:rsidRDefault="00977F8F" w:rsidP="00977F8F"/>
    <w:p w:rsidR="00977F8F" w:rsidRDefault="00977F8F" w:rsidP="00977F8F">
      <w:r>
        <w:t>We can see no reason behind introducing two penalty regimes, one through the CSD and one through the CCP. In our view, this would only increase the costs and reduce the netting effect for the monthly payment of penalties without adding any value to the process.</w:t>
      </w:r>
    </w:p>
    <w:p w:rsidR="00977F8F" w:rsidRDefault="00977F8F" w:rsidP="00977F8F"/>
    <w:p w:rsidR="00977F8F" w:rsidRDefault="00977F8F" w:rsidP="00977F8F">
      <w:r>
        <w:t>It follows that the penalty mechanism shall not apply to failing participants. Please provide detail as to what are the process and criteria for CCPs to redistribute the penalty from/to its clearing members.</w:t>
      </w:r>
    </w:p>
    <w:p w:rsidR="00977F8F" w:rsidRDefault="00977F8F" w:rsidP="00977F8F"/>
    <w:p w:rsidR="00977F8F" w:rsidRDefault="00977F8F" w:rsidP="00977F8F">
      <w:r>
        <w:t xml:space="preserve">The scope of buy-ins and penalties  </w:t>
      </w:r>
    </w:p>
    <w:p w:rsidR="00977F8F" w:rsidRDefault="00977F8F" w:rsidP="00977F8F"/>
    <w:p w:rsidR="00977F8F" w:rsidRDefault="00977F8F" w:rsidP="00977F8F">
      <w:r>
        <w:t xml:space="preserve">One major problem of the proposed RTS and also of CSDR is the lack of clarity. In particular regarding what type of transactions and financial instruments are covered by the rules. The proposed RTS should only cover transactions settled in the Securities Settlement System of the CSD according to CSDR but there is no definition of transactions in CSDR or the proposed RTS. Sometimes in the legal text other concepts are used like settlement instructions and transfer order with reference to SFD. It is not clear to us if the use of the different concept (instructions, transfer orders and transactions) is intentional and in such a case for which purpose. </w:t>
      </w:r>
    </w:p>
    <w:p w:rsidR="00977F8F" w:rsidRDefault="00977F8F" w:rsidP="00977F8F"/>
    <w:p w:rsidR="00977F8F" w:rsidRDefault="00977F8F" w:rsidP="00977F8F">
      <w:r>
        <w:t xml:space="preserve">The definition of financial instruments covers transferable securities, money market instruments and units in UCITS. The rules are obviously based on instruments traded on a trading venue (see </w:t>
      </w:r>
      <w:proofErr w:type="gramStart"/>
      <w:r>
        <w:t>exemptions in article 5.2 in CSDR but the wording is</w:t>
      </w:r>
      <w:proofErr w:type="gramEnd"/>
      <w:r>
        <w:t xml:space="preserve"> more far-reaching). In our opinion buy-ins and partial settlement makes no sense regarding private transactions. </w:t>
      </w:r>
    </w:p>
    <w:p w:rsidR="00977F8F" w:rsidRDefault="00977F8F" w:rsidP="00977F8F">
      <w:r>
        <w:t>In our opinion the scope is fairly clear but it would be beneficial for the implementing process if the ESMA would clearly state that only transactions in instruments a) admitted to trading on a trading venue, or b) traded on a trading venue, or cleared by a CCP, are subject to late settl</w:t>
      </w:r>
      <w:r>
        <w:t>e</w:t>
      </w:r>
      <w:r>
        <w:t>ment penalties under article 7(2) and buy-ins under article 7(3) of the CSDR.</w:t>
      </w:r>
    </w:p>
    <w:p w:rsidR="00977F8F" w:rsidRDefault="00977F8F" w:rsidP="00977F8F"/>
    <w:p w:rsidR="00977F8F" w:rsidRDefault="00977F8F" w:rsidP="00977F8F">
      <w:r>
        <w:t>The limitation is in line with the original Commission proposal and article 7(10) of the CSDR. A wider scope could have unintended consequences for less-traded instruments and private transactions.</w:t>
      </w:r>
    </w:p>
    <w:p w:rsidR="00977F8F" w:rsidRDefault="00977F8F" w:rsidP="00977F8F"/>
    <w:p w:rsidR="00124278" w:rsidRDefault="00977F8F" w:rsidP="00977F8F">
      <w:r>
        <w:t>It should be noted that the inclusion of all CCP-cleared instruments would introduce a disince</w:t>
      </w:r>
      <w:r>
        <w:t>n</w:t>
      </w:r>
      <w:r>
        <w:t>tive for CCP-clearing.</w:t>
      </w:r>
    </w:p>
    <w:permEnd w:id="2050783880"/>
    <w:p w:rsidR="00D12AFD" w:rsidRDefault="00D12AFD" w:rsidP="00D12AFD">
      <w:r>
        <w:t>&lt;ESMA_QUESTION_TS_CSDR_6&gt;</w:t>
      </w:r>
    </w:p>
    <w:p w:rsidR="00D12AFD" w:rsidRDefault="00D12AFD" w:rsidP="00965B03">
      <w:pPr>
        <w:pStyle w:val="Otsikko5"/>
        <w:ind w:left="567" w:hanging="567"/>
      </w:pPr>
      <w:r w:rsidRPr="002C4F00">
        <w:t>What are your views on the proposed draft RTS related to the buy-in process?</w:t>
      </w:r>
    </w:p>
    <w:p w:rsidR="00D12AFD" w:rsidRDefault="00D12AFD" w:rsidP="00BA1DEE">
      <w:pPr>
        <w:pStyle w:val="Otsikko5"/>
        <w:numPr>
          <w:ilvl w:val="0"/>
          <w:numId w:val="0"/>
        </w:numPr>
        <w:ind w:left="567"/>
        <w:rPr>
          <w:b w:val="0"/>
        </w:rPr>
      </w:pPr>
      <w:r w:rsidRPr="002C4F00">
        <w:t>In particular, what are your views on applying partial settlement at the end of the e</w:t>
      </w:r>
      <w:r w:rsidRPr="002C4F00">
        <w:t>x</w:t>
      </w:r>
      <w:r w:rsidRPr="002C4F00">
        <w:t>tension period? Do you consider that the partialling of the settlement instruction would impact the rights and obligations of the participants?</w:t>
      </w:r>
    </w:p>
    <w:p w:rsidR="00D12AFD" w:rsidRPr="002C4F00" w:rsidRDefault="00D12AFD" w:rsidP="00BA1DEE">
      <w:pPr>
        <w:pStyle w:val="Otsikko5"/>
        <w:numPr>
          <w:ilvl w:val="0"/>
          <w:numId w:val="0"/>
        </w:numPr>
        <w:ind w:left="567"/>
      </w:pPr>
      <w:r w:rsidRPr="002C4F00">
        <w:t xml:space="preserve"> What do you think about the proposed approach for limiting multiple buy-in and the timing for the participant to provide the information to the CSD?</w:t>
      </w:r>
    </w:p>
    <w:p w:rsidR="00D12AFD" w:rsidRDefault="00D12AFD" w:rsidP="00D12AFD"/>
    <w:p w:rsidR="00D12AFD" w:rsidRDefault="00D12AFD" w:rsidP="00D12AFD">
      <w:r>
        <w:t>&lt;ESMA_QUESTION_TS_CSDR_7&gt;</w:t>
      </w:r>
    </w:p>
    <w:p w:rsidR="00977F8F" w:rsidRDefault="00977F8F" w:rsidP="00977F8F">
      <w:permStart w:id="1814174570" w:edGrp="everyone"/>
      <w:r>
        <w:t xml:space="preserve">We think that the mandatory buy-in should always be the last resort. There should be incentives for securities lending and voluntary buy-ins first. Nordic markets and the most likely many other local EU28 markets have many low-liquid instruments. Therefore it might not always be possible to buy-in. Also large buy-in transactions could have an unhealthy impact on the price in the market. Also with respect to liquid instruments there are exceptional times when buy-ins </w:t>
      </w:r>
      <w:proofErr w:type="gramStart"/>
      <w:r>
        <w:t>are</w:t>
      </w:r>
      <w:proofErr w:type="gramEnd"/>
      <w:r>
        <w:t xml:space="preserve"> not always possible. This is notably the case for the corporate action season. The additional cost and complexity buy-ins create must come with a benefit or value to the market, which ESMA has not clearly defined.</w:t>
      </w:r>
    </w:p>
    <w:p w:rsidR="00977F8F" w:rsidRDefault="00977F8F" w:rsidP="00977F8F">
      <w:r>
        <w:lastRenderedPageBreak/>
        <w:t>We would also question the need for further regulation on repos.  Repos are already subject to buy-ins under the Global Master Repurchase Agreement. Including these transactions again under this regulation adds redundancy.</w:t>
      </w:r>
    </w:p>
    <w:p w:rsidR="0032692C" w:rsidRDefault="0032692C" w:rsidP="00977F8F"/>
    <w:p w:rsidR="00977F8F" w:rsidRDefault="00977F8F" w:rsidP="00977F8F">
      <w:r>
        <w:t>Furthermore, we see a need for a clarification of the role of a buy-in agent, procedures for d</w:t>
      </w:r>
      <w:r>
        <w:t>e</w:t>
      </w:r>
      <w:r>
        <w:t>termining the price and how the agent is regulated. We also need clarification on the question who can be elected as a buy-in agent. We would li</w:t>
      </w:r>
      <w:r w:rsidR="0032692C">
        <w:t>ke to ask ESMA, can for example</w:t>
      </w:r>
      <w:r>
        <w:t xml:space="preserve"> a CSD be elected as a buy-in agent?</w:t>
      </w:r>
    </w:p>
    <w:p w:rsidR="00977F8F" w:rsidRDefault="00977F8F" w:rsidP="00977F8F"/>
    <w:p w:rsidR="00977F8F" w:rsidRDefault="00977F8F" w:rsidP="00977F8F">
      <w:r>
        <w:t>The buy in process must be organized in a manner that the extra risk that is introduced to the market through the buy-in process is mitigated. For example should the first step be to instruct the failing participant to buy the shares in the market?  If he refuses, the buy-in agent should be instructed to buy the shares on behalf of the failing participant.</w:t>
      </w:r>
    </w:p>
    <w:p w:rsidR="00977F8F" w:rsidRDefault="00977F8F" w:rsidP="00977F8F"/>
    <w:p w:rsidR="00977F8F" w:rsidRDefault="00977F8F" w:rsidP="00977F8F"/>
    <w:p w:rsidR="00977F8F" w:rsidRDefault="00977F8F" w:rsidP="00977F8F">
      <w:r>
        <w:t>We also see a need for a more detailed description on what information the participants should provide to the CSD on the instructions linked to the failed instruction. It is unclear what is meant by “ESMA proposes that participants should provide to the CSD some information on the instru</w:t>
      </w:r>
      <w:r>
        <w:t>c</w:t>
      </w:r>
      <w:r>
        <w:t xml:space="preserve">tion linked to the failed instruction” (see. section 89 in TS). </w:t>
      </w:r>
    </w:p>
    <w:p w:rsidR="00977F8F" w:rsidRDefault="00977F8F" w:rsidP="00977F8F"/>
    <w:p w:rsidR="00977F8F" w:rsidRDefault="00977F8F" w:rsidP="00977F8F">
      <w:r>
        <w:t>Partial settlements could be beneficial for the settlement procedure and should be encouraged. We do support that a CSD should offer its participants the possibility to partially settle their se</w:t>
      </w:r>
      <w:r>
        <w:t>t</w:t>
      </w:r>
      <w:r>
        <w:t>tlement instructions as well as the possibility to opt-out from partial settlement (article 3(7) in the proposed RTS). However, in the Article 11 of the proposed RTS, ESMA proposes that the pa</w:t>
      </w:r>
      <w:r>
        <w:t>r</w:t>
      </w:r>
      <w:r>
        <w:t>tially functionality should be mandatory irrespective of any opt out. In our opinion such a mand</w:t>
      </w:r>
      <w:r>
        <w:t>a</w:t>
      </w:r>
      <w:r>
        <w:t>tory buy-in would have impact on rights and obligations of participants and their clients. The mandate for ESMA is to develop draft RTS regarding” the details of the procedure facilitating settlement referred to in paragraph 3” (the Article 6(3) of the CSDR). We have a grave doubt that a mandate to propose detailed procedures could cover a mandatory rule with civil law impact for participants and their clients. Such essential rules, with far-fetching consequences for all i</w:t>
      </w:r>
      <w:r>
        <w:t>n</w:t>
      </w:r>
      <w:r>
        <w:t>volved should be legislated on the level 1, not in a RTS</w:t>
      </w:r>
    </w:p>
    <w:p w:rsidR="00977F8F" w:rsidRDefault="00977F8F" w:rsidP="00977F8F">
      <w:r>
        <w:t>Partial settlement should in our opinion be automated.</w:t>
      </w:r>
    </w:p>
    <w:p w:rsidR="00977F8F" w:rsidRDefault="00977F8F" w:rsidP="00977F8F"/>
    <w:p w:rsidR="00977F8F" w:rsidRDefault="00977F8F" w:rsidP="00977F8F">
      <w:r>
        <w:t>For us, it is not clear how to protect the securities on an omnibus account of a participant (for clients)? It is clear that it should not be allowed to use other clients’ securities in a buy-in situ</w:t>
      </w:r>
      <w:r>
        <w:t>a</w:t>
      </w:r>
      <w:r>
        <w:t xml:space="preserve">tion.   </w:t>
      </w:r>
    </w:p>
    <w:p w:rsidR="0032692C" w:rsidRDefault="0032692C" w:rsidP="00977F8F"/>
    <w:p w:rsidR="00124278" w:rsidRDefault="00977F8F" w:rsidP="00977F8F">
      <w:r>
        <w:t>In our opinion the forthcoming RTS should make it clear that an opt-out from partial shou</w:t>
      </w:r>
      <w:r w:rsidR="0032692C">
        <w:t>ld be respected and furthermore</w:t>
      </w:r>
      <w:r>
        <w:t xml:space="preserve"> take notice of the possibility for the parties to bilaterally cancel the transaction (Article 7(3) of the CSDR).</w:t>
      </w:r>
    </w:p>
    <w:permEnd w:id="1814174570"/>
    <w:p w:rsidR="00D12AFD" w:rsidRDefault="00D12AFD" w:rsidP="00D12AFD">
      <w:r>
        <w:t>&lt;ESMA_QUESTION_TS_CSDR_7&gt;</w:t>
      </w:r>
    </w:p>
    <w:p w:rsidR="00D12AFD" w:rsidRPr="002C4F00" w:rsidRDefault="00D12AFD" w:rsidP="00965B03">
      <w:pPr>
        <w:pStyle w:val="Otsikko5"/>
        <w:ind w:left="567" w:hanging="567"/>
      </w:pPr>
      <w:r w:rsidRPr="002C4F00">
        <w:t>What are your views on the proposed draft RTS related to the buy-in timeframe and extension period?</w:t>
      </w:r>
    </w:p>
    <w:p w:rsidR="00D12AFD" w:rsidRDefault="00D12AFD" w:rsidP="00D12AFD"/>
    <w:p w:rsidR="00D12AFD" w:rsidRDefault="00D12AFD" w:rsidP="00D12AFD">
      <w:r>
        <w:t>&lt;ESMA_QUESTION_TS_CSDR_8&gt;</w:t>
      </w:r>
    </w:p>
    <w:p w:rsidR="00977F8F" w:rsidRDefault="00977F8F" w:rsidP="00977F8F">
      <w:permStart w:id="1384787562" w:edGrp="everyone"/>
      <w:r>
        <w:t>With regards to the extension period, there will be issues in countries where nominee accounts are used. The current text is very vague on if and how nominee accounts will be debited at the end of the extension period. We fear that this will lead to a substantial increase in grey loans. In situations where an intermediary keeps their sub-custody clients on a nominee account at the CSD, the current text introduces a substantial risk that other clients that have holdings on the same nominee account will have their holdings used for settling the failed trade of other clients.</w:t>
      </w:r>
    </w:p>
    <w:p w:rsidR="00124278" w:rsidRDefault="00977F8F" w:rsidP="00977F8F">
      <w:r>
        <w:lastRenderedPageBreak/>
        <w:t>The timeframe for starting the buy-in process should also be different for liquid and un-liquid stocks, and the CSD should be permitted to prolong the extension period if the risks connected to the failed delivery is effectively taken care of.</w:t>
      </w:r>
    </w:p>
    <w:permEnd w:id="1384787562"/>
    <w:p w:rsidR="00D12AFD" w:rsidRDefault="00D12AFD" w:rsidP="00D12AFD">
      <w:r>
        <w:t>&lt;ESMA_QUESTION_TS_CSDR_8&gt;</w:t>
      </w:r>
    </w:p>
    <w:p w:rsidR="00D12AFD" w:rsidRPr="002C4F00" w:rsidRDefault="00D12AFD" w:rsidP="00965B03">
      <w:pPr>
        <w:pStyle w:val="Otsikko5"/>
        <w:ind w:left="567" w:hanging="567"/>
      </w:pPr>
      <w:r w:rsidRPr="002C4F00">
        <w:t>What are your views on the proposed draft RTS related to the type of operations and their timeframe that render buy-in ineffective?</w:t>
      </w:r>
    </w:p>
    <w:p w:rsidR="00D12AFD" w:rsidRDefault="00D12AFD" w:rsidP="00D12AFD"/>
    <w:p w:rsidR="00D12AFD" w:rsidRDefault="00D12AFD" w:rsidP="00D12AFD">
      <w:r>
        <w:t>&lt;ESMA_QUESTION_TS_CSDR_9&gt;</w:t>
      </w:r>
    </w:p>
    <w:p w:rsidR="00124278" w:rsidRDefault="00124278" w:rsidP="00124278">
      <w:permStart w:id="599342074" w:edGrp="everyone"/>
      <w:r>
        <w:t>TYPE YOUR TEXT HERE</w:t>
      </w:r>
    </w:p>
    <w:permEnd w:id="599342074"/>
    <w:p w:rsidR="00D12AFD" w:rsidRDefault="00D12AFD" w:rsidP="00D12AFD">
      <w:r>
        <w:t>&lt;ESMA_QUESTION_TS_CSDR_9&gt;</w:t>
      </w:r>
    </w:p>
    <w:p w:rsidR="00D12AFD" w:rsidRPr="002C4F00" w:rsidRDefault="00D12AFD" w:rsidP="00965B03">
      <w:pPr>
        <w:pStyle w:val="Otsikko5"/>
        <w:ind w:left="567" w:hanging="567"/>
      </w:pPr>
      <w:r w:rsidRPr="002C4F00">
        <w:t>What are your views on the proposed draft RTS related to the calculation of the cash compensation?</w:t>
      </w:r>
    </w:p>
    <w:p w:rsidR="00D12AFD" w:rsidRDefault="00D12AFD" w:rsidP="00D12AFD"/>
    <w:p w:rsidR="00D12AFD" w:rsidRDefault="00D12AFD" w:rsidP="00D12AFD">
      <w:r>
        <w:t>&lt;ESMA_QUESTION_TS_CSDR_10&gt;</w:t>
      </w:r>
    </w:p>
    <w:p w:rsidR="00124278" w:rsidRDefault="00124278" w:rsidP="00124278">
      <w:permStart w:id="1339372922" w:edGrp="everyone"/>
      <w:r>
        <w:t>TYPE YOUR TEXT HERE</w:t>
      </w:r>
    </w:p>
    <w:permEnd w:id="1339372922"/>
    <w:p w:rsidR="00D12AFD" w:rsidRDefault="00D12AFD" w:rsidP="00D12AFD">
      <w:r>
        <w:t>&lt;ESMA_QUESTION_TS_CSDR_10&gt;</w:t>
      </w:r>
    </w:p>
    <w:p w:rsidR="00D12AFD" w:rsidRPr="002C4F00" w:rsidRDefault="00D12AFD" w:rsidP="00965B03">
      <w:pPr>
        <w:pStyle w:val="Otsikko5"/>
        <w:ind w:left="567" w:hanging="567"/>
      </w:pPr>
      <w:r w:rsidRPr="002C4F00">
        <w:t>What are your views on the proposed draft RTS related to the conditions for a pa</w:t>
      </w:r>
      <w:r w:rsidRPr="002C4F00">
        <w:t>r</w:t>
      </w:r>
      <w:r w:rsidRPr="002C4F00">
        <w:t>ticipant to consistently and systematically fail?</w:t>
      </w:r>
    </w:p>
    <w:p w:rsidR="00D12AFD" w:rsidRDefault="00D12AFD" w:rsidP="00D12AFD"/>
    <w:p w:rsidR="00D12AFD" w:rsidRDefault="00D12AFD" w:rsidP="00D12AFD">
      <w:r>
        <w:t>&lt;ESMA_QUESTION_TS_CSDR_11&gt;</w:t>
      </w:r>
    </w:p>
    <w:p w:rsidR="00124278" w:rsidRDefault="00977F8F" w:rsidP="00124278">
      <w:permStart w:id="2107798018" w:edGrp="everyone"/>
      <w:r w:rsidRPr="00977F8F">
        <w:t>We agree that there is a need to address participants that systematically fail. On the other hand there is a need to investigate carefully reasons for fails. The new regime should take into a</w:t>
      </w:r>
      <w:r w:rsidRPr="00977F8F">
        <w:t>c</w:t>
      </w:r>
      <w:r w:rsidRPr="00977F8F">
        <w:t>count the settlement chain and the fact that banks often act as settlement agents for third pa</w:t>
      </w:r>
      <w:r w:rsidRPr="00977F8F">
        <w:t>r</w:t>
      </w:r>
      <w:r w:rsidRPr="00977F8F">
        <w:t>ties. Therefore the regulatory response to settlement fails should be based on step-by-step –approach. For instance there could be requirement to provide a written explanation on reasons for fails and measures taken to correct the situation. Suspending a participant should follow as a last resort measure. Maybe the article should have a reference to the article in the CSDR and the possibility for the failing participants to give the reasons for the problems.</w:t>
      </w:r>
    </w:p>
    <w:permEnd w:id="2107798018"/>
    <w:p w:rsidR="00D12AFD" w:rsidRDefault="00D12AFD" w:rsidP="00D12AFD">
      <w:r>
        <w:t>&lt;ESMA_QUESTION_TS_CSDR_11&gt;</w:t>
      </w:r>
    </w:p>
    <w:p w:rsidR="00D12AFD" w:rsidRPr="002C4F00" w:rsidRDefault="00D12AFD" w:rsidP="00965B03">
      <w:pPr>
        <w:pStyle w:val="Otsikko5"/>
        <w:ind w:left="567" w:hanging="567"/>
      </w:pPr>
      <w:r w:rsidRPr="002C4F00">
        <w:t>What are your views on the proposed draft RTS related to the settlement information for CCPs and trading venues?</w:t>
      </w:r>
    </w:p>
    <w:p w:rsidR="00D12AFD" w:rsidRDefault="00D12AFD" w:rsidP="00D12AFD"/>
    <w:p w:rsidR="00D12AFD" w:rsidRDefault="00D12AFD" w:rsidP="00D12AFD">
      <w:r>
        <w:t>&lt;ESMA_QUESTION_TS_CSDR_12&gt;</w:t>
      </w:r>
    </w:p>
    <w:p w:rsidR="00124278" w:rsidRDefault="00124278" w:rsidP="00124278">
      <w:permStart w:id="1104413303" w:edGrp="everyone"/>
      <w:r>
        <w:t>TYPE YOUR TEXT HERE</w:t>
      </w:r>
    </w:p>
    <w:permEnd w:id="1104413303"/>
    <w:p w:rsidR="00D12AFD" w:rsidRDefault="00D12AFD" w:rsidP="00D12AFD">
      <w:r>
        <w:t>&lt;ESMA_QUESTION_TS_CSDR_12&gt;</w:t>
      </w:r>
    </w:p>
    <w:p w:rsidR="00D12AFD" w:rsidRPr="002C4F00" w:rsidRDefault="00D12AFD" w:rsidP="00965B03">
      <w:pPr>
        <w:pStyle w:val="Otsikko5"/>
        <w:ind w:left="567" w:hanging="567"/>
      </w:pPr>
      <w:r w:rsidRPr="002C4F00">
        <w:t>What are your views on the proposed draft RTS related to anti-avoidance rules for cash penalties and buy-in?</w:t>
      </w:r>
    </w:p>
    <w:p w:rsidR="00D12AFD" w:rsidRDefault="00D12AFD" w:rsidP="00D12AFD"/>
    <w:p w:rsidR="00D12AFD" w:rsidRDefault="00D12AFD" w:rsidP="00D12AFD">
      <w:r>
        <w:t>&lt;ESMA_QUESTION_TS_CSDR_13&gt;</w:t>
      </w:r>
    </w:p>
    <w:p w:rsidR="00124278" w:rsidRDefault="00977F8F" w:rsidP="00124278">
      <w:permStart w:id="1732450738" w:edGrp="everyone"/>
      <w:r w:rsidRPr="00977F8F">
        <w:t>The NSA Supports the EBF response.</w:t>
      </w:r>
    </w:p>
    <w:permEnd w:id="1732450738"/>
    <w:p w:rsidR="00D12AFD" w:rsidRDefault="00D12AFD" w:rsidP="00D12AFD">
      <w:r>
        <w:t>&lt;ESMA_QUESTION_TS_CSDR_13&gt;</w:t>
      </w:r>
    </w:p>
    <w:p w:rsidR="00D12AFD" w:rsidRPr="002C4F00" w:rsidRDefault="00D12AFD" w:rsidP="00965B03">
      <w:pPr>
        <w:pStyle w:val="Otsikko5"/>
        <w:ind w:left="567" w:hanging="567"/>
      </w:pPr>
      <w:r w:rsidRPr="002C4F00">
        <w:t>Do you agree that 1</w:t>
      </w:r>
      <w:r w:rsidR="00775F04">
        <w:t>8</w:t>
      </w:r>
      <w:r w:rsidRPr="002C4F00">
        <w:t xml:space="preserve"> months would be an appropriate timeframe for the implement</w:t>
      </w:r>
      <w:r w:rsidRPr="002C4F00">
        <w:t>a</w:t>
      </w:r>
      <w:r w:rsidRPr="002C4F00">
        <w:t>tion of the settlement discipline regime under CSDR? If not, what would be an a</w:t>
      </w:r>
      <w:r w:rsidRPr="002C4F00">
        <w:t>p</w:t>
      </w:r>
      <w:r w:rsidRPr="002C4F00">
        <w:t>propriate timeframe in your opinion? Please provide concrete data and evidence justifying a phase-in for the settlement discipline measures and supporting your proposals.</w:t>
      </w:r>
    </w:p>
    <w:p w:rsidR="00D12AFD" w:rsidRDefault="00D12AFD" w:rsidP="00D12AFD"/>
    <w:p w:rsidR="00D12AFD" w:rsidRDefault="00D12AFD" w:rsidP="00D12AFD">
      <w:r>
        <w:lastRenderedPageBreak/>
        <w:t>&lt;ESMA_QUESTION_TS_CSDR_14&gt;</w:t>
      </w:r>
    </w:p>
    <w:p w:rsidR="00124278" w:rsidRDefault="00977F8F" w:rsidP="00124278">
      <w:permStart w:id="735855007" w:edGrp="everyone"/>
      <w:r w:rsidRPr="00977F8F">
        <w:t>We support a longer timeframe (minimum 18 months but preferably 24 months) due to ongoing IT and infrastructure changes in the EU (T2S, structural change in Finland etc.). Our proposal is that CSDR should come into force six months after the last migration wave to T2S. It would then be possible to avoid unnecessary development costs. Also adjustments to systems as well as new agreements can be arranged for in that time period.</w:t>
      </w:r>
    </w:p>
    <w:permEnd w:id="735855007"/>
    <w:p w:rsidR="00D12AFD" w:rsidRDefault="00D12AFD" w:rsidP="00D12AFD">
      <w:r>
        <w:t>&lt;ESMA_QUESTION_TS_CSDR_14&gt;</w:t>
      </w:r>
    </w:p>
    <w:p w:rsidR="00D12AFD" w:rsidRPr="002C4F00" w:rsidRDefault="00D12AFD" w:rsidP="00965B03">
      <w:pPr>
        <w:pStyle w:val="Otsikko5"/>
        <w:ind w:left="567" w:hanging="567"/>
      </w:pPr>
      <w:r w:rsidRPr="002C4F00">
        <w:t>What are your views on the proposed draft RTS</w:t>
      </w:r>
      <w:r>
        <w:t xml:space="preserve"> on CSD authorisation</w:t>
      </w:r>
      <w:r w:rsidRPr="002C4F00">
        <w:t xml:space="preserve"> (Chapter II of Annex II) and draft ITS </w:t>
      </w:r>
      <w:r>
        <w:t xml:space="preserve">on CSD authorisation </w:t>
      </w:r>
      <w:r w:rsidRPr="002C4F00">
        <w:t>(Chapter I of Annex VI)?</w:t>
      </w:r>
    </w:p>
    <w:p w:rsidR="00D12AFD" w:rsidRDefault="00D12AFD" w:rsidP="00D12AFD"/>
    <w:p w:rsidR="00D12AFD" w:rsidRDefault="00D12AFD" w:rsidP="00D12AFD">
      <w:r>
        <w:t>&lt;ESMA_QUESTION_TS_CSDR_15&gt;</w:t>
      </w:r>
    </w:p>
    <w:p w:rsidR="00124278" w:rsidRDefault="00124278" w:rsidP="00124278">
      <w:permStart w:id="450322452" w:edGrp="everyone"/>
      <w:r>
        <w:t>TYPE YOUR TEXT HERE</w:t>
      </w:r>
    </w:p>
    <w:permEnd w:id="450322452"/>
    <w:p w:rsidR="00D12AFD" w:rsidRDefault="00D12AFD" w:rsidP="00D12AFD">
      <w:r>
        <w:t>&lt;ESMA_QUESTION_TS_CSDR_15&gt;</w:t>
      </w:r>
    </w:p>
    <w:p w:rsidR="00D12AFD" w:rsidRPr="002C4F00" w:rsidRDefault="00D12AFD" w:rsidP="00965B03">
      <w:pPr>
        <w:pStyle w:val="Otsikko5"/>
        <w:ind w:left="567" w:hanging="567"/>
      </w:pPr>
      <w:r w:rsidRPr="00C8467F">
        <w:t>What are your views on the proposed draft RTS on CSD review and evaluation (Chapter III of Annex II) and draft ITS (Chapter II of Annex VI)?</w:t>
      </w:r>
    </w:p>
    <w:p w:rsidR="00D12AFD" w:rsidRDefault="00D12AFD" w:rsidP="00D12AFD"/>
    <w:p w:rsidR="00D12AFD" w:rsidRDefault="00D12AFD" w:rsidP="00D12AFD">
      <w:r>
        <w:t>&lt;ESMA_QUESTION_TS_CSDR_16&gt;</w:t>
      </w:r>
    </w:p>
    <w:p w:rsidR="00124278" w:rsidRDefault="00124278" w:rsidP="00124278">
      <w:permStart w:id="1372217609" w:edGrp="everyone"/>
      <w:r>
        <w:t>TYPE YOUR TEXT HERE</w:t>
      </w:r>
    </w:p>
    <w:permEnd w:id="1372217609"/>
    <w:p w:rsidR="00D12AFD" w:rsidRDefault="00D12AFD" w:rsidP="00D12AFD">
      <w:r>
        <w:t>&lt;ESMA_QUESTION_TS_CSDR_16&gt;</w:t>
      </w:r>
    </w:p>
    <w:p w:rsidR="00D12AFD" w:rsidRPr="002C4F00" w:rsidRDefault="00D12AFD" w:rsidP="00965B03">
      <w:pPr>
        <w:pStyle w:val="Otsikko5"/>
        <w:ind w:left="567" w:hanging="567"/>
      </w:pPr>
      <w:r w:rsidRPr="002C4F00">
        <w:t xml:space="preserve">What are your views on the proposed draft ITS </w:t>
      </w:r>
      <w:r>
        <w:t xml:space="preserve">on cooperation arrangements </w:t>
      </w:r>
      <w:r w:rsidRPr="002C4F00">
        <w:t>as in</w:t>
      </w:r>
      <w:r>
        <w:t xml:space="preserve">cluded in Chapter III of Annex </w:t>
      </w:r>
      <w:r w:rsidRPr="002C4F00">
        <w:t>VI?</w:t>
      </w:r>
    </w:p>
    <w:p w:rsidR="00D12AFD" w:rsidRDefault="00D12AFD" w:rsidP="00D12AFD"/>
    <w:p w:rsidR="00D12AFD" w:rsidRDefault="00D12AFD" w:rsidP="00D12AFD">
      <w:r>
        <w:t>&lt;ESMA_QUESTION_TS_CSDR_17&gt;</w:t>
      </w:r>
    </w:p>
    <w:p w:rsidR="00124278" w:rsidRDefault="00124278" w:rsidP="00124278">
      <w:permStart w:id="1037202117" w:edGrp="everyone"/>
      <w:r>
        <w:t>TYPE YOUR TEXT HERE</w:t>
      </w:r>
    </w:p>
    <w:permEnd w:id="1037202117"/>
    <w:p w:rsidR="00D12AFD" w:rsidRDefault="00D12AFD" w:rsidP="00D12AFD">
      <w:r>
        <w:t>&lt;ESMA_QUESTION_TS_CSDR_17&gt;</w:t>
      </w:r>
    </w:p>
    <w:p w:rsidR="00D12AFD" w:rsidRPr="002C4F00" w:rsidRDefault="00D12AFD" w:rsidP="00965B03">
      <w:pPr>
        <w:pStyle w:val="Otsikko5"/>
        <w:ind w:left="567" w:hanging="567"/>
      </w:pPr>
      <w:r w:rsidRPr="002C4F00">
        <w:t>What are your views on the proposed draft RTS</w:t>
      </w:r>
      <w:r>
        <w:t xml:space="preserve"> on CSD recognition (Chapter IV of Annex II)</w:t>
      </w:r>
      <w:r w:rsidRPr="002C4F00">
        <w:t>?</w:t>
      </w:r>
    </w:p>
    <w:p w:rsidR="00D12AFD" w:rsidRDefault="00D12AFD" w:rsidP="00D12AFD"/>
    <w:p w:rsidR="00D12AFD" w:rsidRDefault="00D12AFD" w:rsidP="00D12AFD">
      <w:r>
        <w:t>&lt;ESMA_QUESTION_TS_CSDR_18&gt;</w:t>
      </w:r>
    </w:p>
    <w:p w:rsidR="00D12AFD" w:rsidRDefault="00D12AFD" w:rsidP="00D12AFD">
      <w:permStart w:id="1702325280" w:edGrp="everyone"/>
      <w:r>
        <w:t>TYPE YOUR TEXT HERE</w:t>
      </w:r>
    </w:p>
    <w:permEnd w:id="1702325280"/>
    <w:p w:rsidR="00D12AFD" w:rsidRDefault="00D12AFD" w:rsidP="00D12AFD">
      <w:r>
        <w:t>&lt;ESMA_QUESTION_TS_CSDR_18&gt;</w:t>
      </w:r>
    </w:p>
    <w:p w:rsidR="00D12AFD" w:rsidRPr="002C4F00" w:rsidRDefault="00D12AFD" w:rsidP="00965B03">
      <w:pPr>
        <w:pStyle w:val="Otsikko5"/>
        <w:ind w:left="567" w:hanging="567"/>
      </w:pPr>
      <w:r w:rsidRPr="002C4F00">
        <w:t>What are your views on the proposed approach regarding the determination of the most relevant currencies?</w:t>
      </w:r>
    </w:p>
    <w:p w:rsidR="00D12AFD" w:rsidRDefault="00D12AFD" w:rsidP="00D12AFD"/>
    <w:p w:rsidR="00D12AFD" w:rsidRDefault="00D12AFD" w:rsidP="00D12AFD">
      <w:r>
        <w:t>&lt;ESMA_QUESTION_TS_CSDR_19&gt;</w:t>
      </w:r>
    </w:p>
    <w:p w:rsidR="00124278" w:rsidRDefault="00124278" w:rsidP="00124278">
      <w:permStart w:id="2041663873" w:edGrp="everyone"/>
      <w:r>
        <w:t>TYPE YOUR TEXT HERE</w:t>
      </w:r>
    </w:p>
    <w:permEnd w:id="2041663873"/>
    <w:p w:rsidR="00D12AFD" w:rsidRDefault="00D12AFD" w:rsidP="00D12AFD">
      <w:r>
        <w:t>&lt;ESMA_QUESTION_TS_CSDR_19&gt;</w:t>
      </w:r>
    </w:p>
    <w:p w:rsidR="00D12AFD" w:rsidRPr="002C4F00" w:rsidRDefault="00D12AFD" w:rsidP="00965B03">
      <w:pPr>
        <w:pStyle w:val="Otsikko5"/>
        <w:ind w:left="567" w:hanging="567"/>
      </w:pPr>
      <w:r w:rsidRPr="002C4F00">
        <w:t xml:space="preserve">What are your views on the proposed draft RTS </w:t>
      </w:r>
      <w:r>
        <w:t>on banking type of ancillary se</w:t>
      </w:r>
      <w:r>
        <w:t>r</w:t>
      </w:r>
      <w:r>
        <w:t xml:space="preserve">vices </w:t>
      </w:r>
      <w:r w:rsidRPr="002C4F00">
        <w:t xml:space="preserve">(Chapter VI of Annex II) and draft ITS </w:t>
      </w:r>
      <w:r>
        <w:t xml:space="preserve">on banking type of ancillary services </w:t>
      </w:r>
      <w:r w:rsidRPr="002C4F00">
        <w:t>(Chapter IV of Annex VI)?</w:t>
      </w:r>
    </w:p>
    <w:p w:rsidR="00D12AFD" w:rsidRDefault="00D12AFD" w:rsidP="00D12AFD"/>
    <w:p w:rsidR="00D12AFD" w:rsidRDefault="00D12AFD" w:rsidP="00D12AFD">
      <w:r>
        <w:t>&lt;ESMA_QUESTION_TS_CSDR_20&gt;</w:t>
      </w:r>
    </w:p>
    <w:p w:rsidR="00124278" w:rsidRDefault="00124278" w:rsidP="00124278">
      <w:permStart w:id="2105887815" w:edGrp="everyone"/>
      <w:r>
        <w:t>TYPE YOUR TEXT HERE</w:t>
      </w:r>
    </w:p>
    <w:permEnd w:id="2105887815"/>
    <w:p w:rsidR="00D12AFD" w:rsidRDefault="00D12AFD" w:rsidP="00D12AFD">
      <w:r>
        <w:t>&lt;ESMA_QUESTION_TS_CSDR_20&gt;</w:t>
      </w:r>
    </w:p>
    <w:p w:rsidR="00D12AFD" w:rsidRPr="002C4F00" w:rsidRDefault="00D12AFD" w:rsidP="00965B03">
      <w:pPr>
        <w:pStyle w:val="Otsikko5"/>
        <w:ind w:left="567" w:hanging="567"/>
      </w:pPr>
      <w:r w:rsidRPr="002C4F00">
        <w:lastRenderedPageBreak/>
        <w:t>What are your views on the proposed draft RTS</w:t>
      </w:r>
      <w:r>
        <w:t xml:space="preserve"> on CSD participations</w:t>
      </w:r>
      <w:r w:rsidRPr="002C4F00">
        <w:t xml:space="preserve"> (Chapter II of Annex III)?</w:t>
      </w:r>
    </w:p>
    <w:p w:rsidR="00D12AFD" w:rsidRDefault="00D12AFD" w:rsidP="00D12AFD"/>
    <w:p w:rsidR="00D12AFD" w:rsidRDefault="00D12AFD" w:rsidP="00D12AFD">
      <w:r>
        <w:t>&lt;ESMA_QUESTION_TS_CSDR_21&gt;</w:t>
      </w:r>
    </w:p>
    <w:p w:rsidR="00124278" w:rsidRDefault="00124278" w:rsidP="00124278">
      <w:permStart w:id="2065251504" w:edGrp="everyone"/>
      <w:r>
        <w:t>TYPE YOUR TEXT HERE</w:t>
      </w:r>
    </w:p>
    <w:permEnd w:id="2065251504"/>
    <w:p w:rsidR="00D12AFD" w:rsidRDefault="00D12AFD" w:rsidP="00D12AFD">
      <w:r>
        <w:t>&lt;ESMA_QUESTION_TS_CSDR_21&gt;</w:t>
      </w:r>
    </w:p>
    <w:p w:rsidR="00D12AFD" w:rsidRDefault="00D12AFD" w:rsidP="00965B03">
      <w:pPr>
        <w:pStyle w:val="Otsikko5"/>
        <w:ind w:left="567" w:hanging="567"/>
      </w:pPr>
      <w:r w:rsidRPr="00C8467F">
        <w:t>What are your views on the proposed draft RTS on CSD risk monitoring tools (Cha</w:t>
      </w:r>
      <w:r w:rsidRPr="00C8467F">
        <w:t>p</w:t>
      </w:r>
      <w:r w:rsidRPr="00C8467F">
        <w:t>ter III of Annex III)?</w:t>
      </w:r>
    </w:p>
    <w:p w:rsidR="00D12AFD" w:rsidRDefault="00D12AFD" w:rsidP="00D12AFD"/>
    <w:p w:rsidR="00D12AFD" w:rsidRDefault="00D12AFD" w:rsidP="00D12AFD">
      <w:r>
        <w:t>&lt;ESMA_QUESTION_TS_CSDR_22&gt;</w:t>
      </w:r>
    </w:p>
    <w:p w:rsidR="00D12AFD" w:rsidRDefault="00D12AFD" w:rsidP="00D12AFD">
      <w:permStart w:id="1611616343" w:edGrp="everyone"/>
      <w:r>
        <w:t>TYPE YOUR TEXT HERE</w:t>
      </w:r>
    </w:p>
    <w:permEnd w:id="1611616343"/>
    <w:p w:rsidR="00D12AFD" w:rsidRDefault="00D12AFD" w:rsidP="00D12AFD">
      <w:r>
        <w:t>&lt;ESMA_QUESTION_TS_CSDR_22&gt;</w:t>
      </w:r>
    </w:p>
    <w:p w:rsidR="00D12AFD" w:rsidRDefault="00D12AFD" w:rsidP="00965B03">
      <w:pPr>
        <w:pStyle w:val="Otsikko5"/>
        <w:ind w:left="567" w:hanging="567"/>
      </w:pPr>
      <w:r w:rsidRPr="00C8467F">
        <w:t>What are your views on the proposed draft RTS on CSD record keeping (Chapter IV of Annex III) and draft ITS on CSD record keeping (Annex VII)?</w:t>
      </w:r>
    </w:p>
    <w:p w:rsidR="00D12AFD" w:rsidRDefault="00D12AFD" w:rsidP="00D12AFD"/>
    <w:p w:rsidR="00D12AFD" w:rsidRDefault="00D12AFD" w:rsidP="00D12AFD">
      <w:r>
        <w:t>&lt;ESMA_QUESTION_TS_CSDR_23&gt;</w:t>
      </w:r>
    </w:p>
    <w:p w:rsidR="00124278" w:rsidRDefault="00124278" w:rsidP="00124278">
      <w:permStart w:id="479819904" w:edGrp="everyone"/>
      <w:r>
        <w:t>TYPE YOUR TEXT HERE</w:t>
      </w:r>
    </w:p>
    <w:permEnd w:id="479819904"/>
    <w:p w:rsidR="00D12AFD" w:rsidRDefault="00D12AFD" w:rsidP="00D12AFD">
      <w:r>
        <w:t>&lt;ESMA_QUESTION_TS_CSDR_23&gt;</w:t>
      </w:r>
    </w:p>
    <w:p w:rsidR="00D12AFD" w:rsidRPr="002C4F00" w:rsidRDefault="00D12AFD" w:rsidP="00965B03">
      <w:pPr>
        <w:pStyle w:val="Otsikko5"/>
        <w:ind w:left="567" w:hanging="567"/>
      </w:pPr>
      <w:r w:rsidRPr="002C4F00">
        <w:t>What are your views on the types of records to be retained by CSDs in relation to ancillary services as included in the Annex to the draft RTS on CSD Requirements (Annex III)? Please provide examples regarding the formats of the records to be r</w:t>
      </w:r>
      <w:r w:rsidRPr="002C4F00">
        <w:t>e</w:t>
      </w:r>
      <w:r w:rsidRPr="002C4F00">
        <w:t>tained by CSDs in relation to ancillary services.</w:t>
      </w:r>
    </w:p>
    <w:p w:rsidR="00D12AFD" w:rsidRDefault="00D12AFD" w:rsidP="00D12AFD"/>
    <w:p w:rsidR="00D12AFD" w:rsidRDefault="00D12AFD" w:rsidP="00D12AFD">
      <w:r>
        <w:t>&lt;ESMA_QUESTION_TS_CSDR_25&gt;</w:t>
      </w:r>
    </w:p>
    <w:p w:rsidR="00124278" w:rsidRDefault="00124278" w:rsidP="00124278">
      <w:permStart w:id="14242971" w:edGrp="everyone"/>
      <w:r>
        <w:t>TYPE YOUR TEXT HERE</w:t>
      </w:r>
    </w:p>
    <w:permEnd w:id="14242971"/>
    <w:p w:rsidR="00D12AFD" w:rsidRDefault="00D12AFD" w:rsidP="00D12AFD">
      <w:r>
        <w:t>&lt;ESMA_QUESTION_TS_CSDR_25&gt;</w:t>
      </w:r>
    </w:p>
    <w:p w:rsidR="00D12AFD" w:rsidRPr="002C4F00" w:rsidRDefault="00D12AFD" w:rsidP="00965B03">
      <w:pPr>
        <w:pStyle w:val="Otsikko5"/>
        <w:ind w:left="567" w:hanging="567"/>
      </w:pPr>
      <w:r w:rsidRPr="002C4F00">
        <w:t>What are your views on the proposed draft RTS</w:t>
      </w:r>
      <w:r>
        <w:t xml:space="preserve"> on reconciliation measures</w:t>
      </w:r>
      <w:r w:rsidRPr="002C4F00">
        <w:t xml:space="preserve"> included in Chapter V of Annex III?</w:t>
      </w:r>
    </w:p>
    <w:p w:rsidR="00D12AFD" w:rsidRDefault="00D12AFD" w:rsidP="00D12AFD"/>
    <w:p w:rsidR="00D12AFD" w:rsidRDefault="00D12AFD" w:rsidP="00D12AFD">
      <w:r>
        <w:t>&lt;ESMA_QUESTION_TS_CSDR_25&gt;</w:t>
      </w:r>
    </w:p>
    <w:p w:rsidR="00124278" w:rsidRDefault="00124278" w:rsidP="00124278">
      <w:permStart w:id="1395466844" w:edGrp="everyone"/>
      <w:r>
        <w:t>TYPE YOUR TEXT HERE</w:t>
      </w:r>
    </w:p>
    <w:permEnd w:id="1395466844"/>
    <w:p w:rsidR="00D12AFD" w:rsidRDefault="00D12AFD" w:rsidP="00D12AFD">
      <w:r>
        <w:t>&lt;ESMA_QUESTION_TS_CSDR_25&gt;</w:t>
      </w:r>
    </w:p>
    <w:p w:rsidR="00D12AFD" w:rsidRPr="002C4F00" w:rsidRDefault="00D12AFD" w:rsidP="00965B03">
      <w:pPr>
        <w:pStyle w:val="Otsikko5"/>
        <w:ind w:left="567" w:hanging="567"/>
      </w:pPr>
      <w:r w:rsidRPr="002C4F00">
        <w:t>Do you believe that the proposed reconciliation measures where other entities are involved in the reconciliation process for a certain securities issue within the mea</w:t>
      </w:r>
      <w:r w:rsidRPr="002C4F00">
        <w:t>n</w:t>
      </w:r>
      <w:r w:rsidRPr="002C4F00">
        <w:t>ing of Article 37(2) of CSDR are adequate? Please explain if you think that any of the proposed measures would not be applicable in the case of a specific entity. Please provide examples of any additional measures that would be relevant in the case of specific entities.</w:t>
      </w:r>
    </w:p>
    <w:p w:rsidR="00D12AFD" w:rsidRDefault="00D12AFD" w:rsidP="00D12AFD"/>
    <w:p w:rsidR="00D12AFD" w:rsidRDefault="00D12AFD" w:rsidP="00D12AFD">
      <w:r>
        <w:t>&lt;ESMA_QUESTION_TS_CSDR_26&gt;</w:t>
      </w:r>
    </w:p>
    <w:p w:rsidR="00124278" w:rsidRDefault="00124278" w:rsidP="00124278">
      <w:permStart w:id="2019694936" w:edGrp="everyone"/>
      <w:r>
        <w:t>TYPE YOUR TEXT HERE</w:t>
      </w:r>
    </w:p>
    <w:permEnd w:id="2019694936"/>
    <w:p w:rsidR="00D12AFD" w:rsidRDefault="00D12AFD" w:rsidP="00D12AFD">
      <w:r>
        <w:t>&lt;ESMA_QUESTION_TS_CSDR_26&gt;</w:t>
      </w:r>
    </w:p>
    <w:p w:rsidR="00F1314C" w:rsidRDefault="00F1314C" w:rsidP="00F1314C">
      <w:pPr>
        <w:pStyle w:val="Otsikko5"/>
      </w:pPr>
      <w:r w:rsidRPr="00F1314C">
        <w:t>What are your views on the proposed reconciliation measures for corporate a</w:t>
      </w:r>
      <w:r w:rsidRPr="00F1314C">
        <w:t>c</w:t>
      </w:r>
      <w:r w:rsidRPr="00F1314C">
        <w:t>tions under Article 15 of the draft RTS included in Chapter V of Annex III?</w:t>
      </w:r>
    </w:p>
    <w:p w:rsidR="00F1314C" w:rsidRDefault="00F1314C" w:rsidP="00F1314C"/>
    <w:p w:rsidR="00252063" w:rsidRDefault="00252063" w:rsidP="00252063">
      <w:r>
        <w:t>&lt;ESMA_QUESTION_TS_CSDR_27&gt;</w:t>
      </w:r>
    </w:p>
    <w:p w:rsidR="00124278" w:rsidRDefault="00124278" w:rsidP="00124278">
      <w:permStart w:id="1857626346" w:edGrp="everyone"/>
      <w:r>
        <w:t>TYPE YOUR TEXT HERE</w:t>
      </w:r>
    </w:p>
    <w:permEnd w:id="1857626346"/>
    <w:p w:rsidR="00252063" w:rsidRDefault="00252063" w:rsidP="00252063">
      <w:r>
        <w:lastRenderedPageBreak/>
        <w:t>&lt;ESMA_QUESTION_TS_CSDR_27&gt;</w:t>
      </w:r>
    </w:p>
    <w:p w:rsidR="00F1314C" w:rsidRPr="00F1314C" w:rsidRDefault="00F1314C" w:rsidP="00F1314C"/>
    <w:p w:rsidR="00D12AFD" w:rsidRPr="002C4F00" w:rsidRDefault="00D12AFD" w:rsidP="00965B03">
      <w:pPr>
        <w:pStyle w:val="Otsikko5"/>
        <w:ind w:left="567" w:hanging="567"/>
      </w:pPr>
      <w:r w:rsidRPr="00C8467F">
        <w:t>What are your views on the proposed draft RTS on CSD operational risks included in Chapter VI of Annex III?</w:t>
      </w:r>
    </w:p>
    <w:p w:rsidR="00D12AFD" w:rsidRDefault="00D12AFD" w:rsidP="00D12AFD"/>
    <w:p w:rsidR="00D12AFD" w:rsidRDefault="00D12AFD" w:rsidP="00D12AFD">
      <w:r>
        <w:t>&lt;ESMA_QUESTION_TS_CSDR_2</w:t>
      </w:r>
      <w:r w:rsidR="00252063">
        <w:t>8</w:t>
      </w:r>
      <w:r>
        <w:t>&gt;</w:t>
      </w:r>
    </w:p>
    <w:p w:rsidR="00124278" w:rsidRDefault="00124278" w:rsidP="00124278">
      <w:permStart w:id="1444350487" w:edGrp="everyone"/>
      <w:r>
        <w:t>TYPE YOUR TEXT HERE</w:t>
      </w:r>
    </w:p>
    <w:permEnd w:id="1444350487"/>
    <w:p w:rsidR="00D12AFD" w:rsidRDefault="00D12AFD" w:rsidP="00D12AFD">
      <w:r>
        <w:t>&lt;ESMA_QUESTION_TS_CSDR_2</w:t>
      </w:r>
      <w:r w:rsidR="00252063">
        <w:t>8</w:t>
      </w:r>
      <w:r>
        <w:t>&gt;</w:t>
      </w:r>
    </w:p>
    <w:p w:rsidR="00D12AFD" w:rsidRPr="002C4F00" w:rsidRDefault="00D12AFD" w:rsidP="00965B03">
      <w:pPr>
        <w:pStyle w:val="Otsikko5"/>
        <w:ind w:left="567" w:hanging="567"/>
      </w:pPr>
      <w:r w:rsidRPr="00C8467F">
        <w:t>What are your views on the proposed draft RTS on CSD investment policy (Chapter VII of Annex III)?</w:t>
      </w:r>
    </w:p>
    <w:p w:rsidR="00D12AFD" w:rsidRDefault="00D12AFD" w:rsidP="00D12AFD"/>
    <w:p w:rsidR="00D12AFD" w:rsidRDefault="00D12AFD" w:rsidP="00D12AFD">
      <w:r>
        <w:t>&lt;ESMA_QUESTION_TS_CSDR_2</w:t>
      </w:r>
      <w:r w:rsidR="00252063">
        <w:t>9</w:t>
      </w:r>
      <w:r>
        <w:t>&gt;</w:t>
      </w:r>
    </w:p>
    <w:p w:rsidR="00124278" w:rsidRDefault="00124278" w:rsidP="00124278">
      <w:permStart w:id="1547004026" w:edGrp="everyone"/>
      <w:r>
        <w:t>TYPE YOUR TEXT HERE</w:t>
      </w:r>
    </w:p>
    <w:permEnd w:id="1547004026"/>
    <w:p w:rsidR="00D12AFD" w:rsidRDefault="00D12AFD" w:rsidP="00D12AFD">
      <w:r>
        <w:t>&lt;ESMA_QUESTION_TS_CSDR_2</w:t>
      </w:r>
      <w:r w:rsidR="00252063">
        <w:t>9</w:t>
      </w:r>
      <w:r>
        <w:t>&gt;</w:t>
      </w:r>
    </w:p>
    <w:p w:rsidR="00D12AFD" w:rsidRPr="002C4F00" w:rsidRDefault="00D12AFD" w:rsidP="00965B03">
      <w:pPr>
        <w:pStyle w:val="Otsikko5"/>
        <w:ind w:left="567" w:hanging="567"/>
      </w:pPr>
      <w:r w:rsidRPr="002C4F00">
        <w:t>What are your views on the proposed draft RTS on access (Chapters I-III of Annex IV) and draft ITS on access (Annex VIII)?</w:t>
      </w:r>
    </w:p>
    <w:p w:rsidR="00D12AFD" w:rsidRDefault="00D12AFD" w:rsidP="00D12AFD"/>
    <w:p w:rsidR="00D12AFD" w:rsidRDefault="00D12AFD" w:rsidP="00D12AFD">
      <w:r>
        <w:t>&lt;ESMA_QUESTION_TS_CSDR_</w:t>
      </w:r>
      <w:r w:rsidR="00252063">
        <w:t>30</w:t>
      </w:r>
      <w:r>
        <w:t>&gt;</w:t>
      </w:r>
    </w:p>
    <w:p w:rsidR="00124278" w:rsidRDefault="00124278" w:rsidP="00124278">
      <w:permStart w:id="1080899809" w:edGrp="everyone"/>
      <w:r>
        <w:t>TYPE YOUR TEXT HERE</w:t>
      </w:r>
    </w:p>
    <w:permEnd w:id="1080899809"/>
    <w:p w:rsidR="00D12AFD" w:rsidRDefault="00D12AFD" w:rsidP="00D12AFD">
      <w:r>
        <w:t>&lt;ESMA_QUESTION_TS_CSDR_</w:t>
      </w:r>
      <w:r w:rsidR="00252063">
        <w:t>30</w:t>
      </w:r>
      <w:r>
        <w:t>&gt;</w:t>
      </w:r>
    </w:p>
    <w:p w:rsidR="00D12AFD" w:rsidRPr="002C4F00" w:rsidRDefault="00D12AFD" w:rsidP="00965B03">
      <w:pPr>
        <w:pStyle w:val="Otsikko5"/>
        <w:ind w:left="567" w:hanging="567"/>
      </w:pPr>
      <w:r w:rsidRPr="002C4F00">
        <w:t>What are your views on the proposed draft RTS on CSD links as included in Chapter IV of Annex IV?</w:t>
      </w:r>
    </w:p>
    <w:p w:rsidR="00D12AFD" w:rsidRDefault="00D12AFD" w:rsidP="00D12AFD"/>
    <w:p w:rsidR="00D12AFD" w:rsidRDefault="00D12AFD" w:rsidP="00D12AFD">
      <w:r>
        <w:t>&lt;ESMA_QUESTION_TS_CSDR_3</w:t>
      </w:r>
      <w:r w:rsidR="00252063">
        <w:t>1</w:t>
      </w:r>
      <w:r>
        <w:t>&gt;</w:t>
      </w:r>
    </w:p>
    <w:p w:rsidR="00124278" w:rsidRDefault="00124278" w:rsidP="00124278">
      <w:permStart w:id="1106598475" w:edGrp="everyone"/>
      <w:r>
        <w:t>TYPE YOUR TEXT HERE</w:t>
      </w:r>
    </w:p>
    <w:permEnd w:id="1106598475"/>
    <w:p w:rsidR="00D12AFD" w:rsidRPr="002C4F00" w:rsidRDefault="00D12AFD" w:rsidP="00D12AFD">
      <w:r>
        <w:t>&lt;ESMA_QUESTION_TS_CSDR_3</w:t>
      </w:r>
      <w:r w:rsidR="00252063">
        <w:t>1</w:t>
      </w:r>
      <w:r>
        <w:t>&gt;</w:t>
      </w:r>
    </w:p>
    <w:p w:rsidR="00D12AFD" w:rsidRPr="002C4F00" w:rsidRDefault="00D12AFD" w:rsidP="00965B03">
      <w:pPr>
        <w:pStyle w:val="Otsikko5"/>
        <w:ind w:left="567" w:hanging="567"/>
      </w:pPr>
      <w:r w:rsidRPr="00C8467F">
        <w:t>What are your views on the proposed draft RTS on internalised settlement (Annex V) and draft ITS on internalised settlement (Annex IX)?</w:t>
      </w:r>
    </w:p>
    <w:p w:rsidR="00D12AFD" w:rsidRDefault="00D12AFD" w:rsidP="00D12AFD"/>
    <w:p w:rsidR="00D12AFD" w:rsidRDefault="00D12AFD" w:rsidP="00D12AFD">
      <w:r>
        <w:t>&lt;ESMA_QUESTION_TS_CSDR_3</w:t>
      </w:r>
      <w:r w:rsidR="00252063">
        <w:t>2</w:t>
      </w:r>
      <w:r>
        <w:t>&gt;</w:t>
      </w:r>
    </w:p>
    <w:p w:rsidR="006B18DB" w:rsidRDefault="006B18DB" w:rsidP="006B18DB">
      <w:permStart w:id="1630474619" w:edGrp="everyone"/>
      <w:r>
        <w:t xml:space="preserve">The level of proposed reporting is heavy and will lead to a significant costs and complexity. </w:t>
      </w:r>
    </w:p>
    <w:p w:rsidR="006B18DB" w:rsidRDefault="006B18DB" w:rsidP="006B18DB">
      <w:r>
        <w:t>For example, the ESMA requires that the monthly reporting shall cover the aggregated volume, value divided by assets classes, type of securities, type of clients etc. Creating and implemen</w:t>
      </w:r>
      <w:r>
        <w:t>t</w:t>
      </w:r>
      <w:r>
        <w:t>ing this type of report will involve large IT costs and the benefit is not clear at this stage. It would be more efficient and provide better reports for usage if the reports were divided into Set</w:t>
      </w:r>
      <w:r w:rsidR="0032692C">
        <w:t xml:space="preserve">tlement, Corporate Actions and </w:t>
      </w:r>
      <w:r>
        <w:t xml:space="preserve">collateral etc. </w:t>
      </w:r>
    </w:p>
    <w:p w:rsidR="006B18DB" w:rsidRDefault="006B18DB" w:rsidP="006B18DB"/>
    <w:p w:rsidR="006B18DB" w:rsidRDefault="006B18DB" w:rsidP="006B18DB">
      <w:r>
        <w:t>It is not specified whether retail transactions should be in</w:t>
      </w:r>
      <w:bookmarkStart w:id="3" w:name="_GoBack"/>
      <w:bookmarkEnd w:id="3"/>
      <w:r>
        <w:t xml:space="preserve">cluded in reporting. The value of this information in such reports would be very low as retail trades are low risk. On the </w:t>
      </w:r>
      <w:proofErr w:type="gramStart"/>
      <w:r>
        <w:t>contrary ,</w:t>
      </w:r>
      <w:proofErr w:type="gramEnd"/>
      <w:r>
        <w:t xml:space="preserve"> including them in reporting would increase the reporting burden substantially due to the high volume of retail transactions.</w:t>
      </w:r>
    </w:p>
    <w:p w:rsidR="006B18DB" w:rsidRDefault="006B18DB" w:rsidP="006B18DB"/>
    <w:p w:rsidR="00124278" w:rsidRDefault="006B18DB" w:rsidP="006B18DB">
      <w:r>
        <w:t>Several definitions are also still unclear.  For example the definition of fails needs to be clarified and redrafted. The definition only covers the lack of cash and securities and no other reasons such as system failures, manual errors, missing or invalid instruction.  The definitions interna</w:t>
      </w:r>
      <w:r>
        <w:t>l</w:t>
      </w:r>
      <w:r>
        <w:t>ised and internally settled also needs to be clarified, so that it is clear under what circumstances a transaction qualifies as internalised or internally settled.</w:t>
      </w:r>
    </w:p>
    <w:permEnd w:id="1630474619"/>
    <w:p w:rsidR="00F05A8C" w:rsidRDefault="00D12AFD" w:rsidP="00CE149D">
      <w:r>
        <w:t>&lt;ESMA_QUESTION_TS_CSDR_3</w:t>
      </w:r>
      <w:r w:rsidR="00252063">
        <w:t>2</w:t>
      </w:r>
      <w:r>
        <w:t>&gt;</w:t>
      </w:r>
    </w:p>
    <w:sectPr w:rsidR="00F05A8C" w:rsidSect="000D17AA">
      <w:headerReference w:type="even" r:id="rId15"/>
      <w:headerReference w:type="first" r:id="rId16"/>
      <w:footerReference w:type="first" r:id="rId17"/>
      <w:pgSz w:w="11906" w:h="16838" w:code="9"/>
      <w:pgMar w:top="2552"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CC" w:rsidRDefault="007A3DCC">
      <w:r>
        <w:separator/>
      </w:r>
    </w:p>
    <w:p w:rsidR="007A3DCC" w:rsidRDefault="007A3DCC"/>
  </w:endnote>
  <w:endnote w:type="continuationSeparator" w:id="0">
    <w:p w:rsidR="007A3DCC" w:rsidRDefault="007A3DCC">
      <w:r>
        <w:continuationSeparator/>
      </w:r>
    </w:p>
    <w:p w:rsidR="007A3DCC" w:rsidRDefault="007A3DCC"/>
  </w:endnote>
  <w:endnote w:type="continuationNotice" w:id="1">
    <w:p w:rsidR="007A3DCC" w:rsidRDefault="007A3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32692C">
            <w:rPr>
              <w:noProof/>
            </w:rPr>
            <w:t>3</w:t>
          </w:r>
          <w:r>
            <w:rPr>
              <w:noProof/>
            </w:rPr>
            <w:fldChar w:fldCharType="end"/>
          </w:r>
        </w:p>
      </w:tc>
    </w:tr>
  </w:tbl>
  <w:p w:rsidR="00811EDA" w:rsidRDefault="00811ED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CC" w:rsidRDefault="007A3DCC">
      <w:r>
        <w:separator/>
      </w:r>
    </w:p>
    <w:p w:rsidR="007A3DCC" w:rsidRDefault="007A3DCC"/>
  </w:footnote>
  <w:footnote w:type="continuationSeparator" w:id="0">
    <w:p w:rsidR="007A3DCC" w:rsidRDefault="007A3DCC">
      <w:r>
        <w:continuationSeparator/>
      </w:r>
    </w:p>
    <w:p w:rsidR="007A3DCC" w:rsidRDefault="007A3DCC"/>
  </w:footnote>
  <w:footnote w:type="continuationNotice" w:id="1">
    <w:p w:rsidR="007A3DCC" w:rsidRDefault="007A3D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91EDE">
    <w:pPr>
      <w:pStyle w:val="Yltunniste"/>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91EDE" w:rsidP="00013CCE">
    <w:pPr>
      <w:pStyle w:val="Yltunniste"/>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Yltunniste"/>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highlight w:val="yellow"/>
        <w:lang w:val="fr-FR"/>
      </w:rPr>
    </w:pPr>
  </w:p>
  <w:p w:rsidR="00811EDA" w:rsidRDefault="00891EDE">
    <w:pPr>
      <w:pStyle w:val="Yltunniste"/>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Otsikk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FE2226F2"/>
    <w:lvl w:ilvl="0" w:tplc="659EE572">
      <w:start w:val="1"/>
      <w:numFmt w:val="decimal"/>
      <w:pStyle w:val="Otsikko5"/>
      <w:lvlText w:val="Q%1:"/>
      <w:lvlJc w:val="left"/>
      <w:pPr>
        <w:ind w:left="502" w:hanging="360"/>
      </w:pPr>
      <w:rPr>
        <w:rFonts w:ascii="Arial" w:hAnsi="Arial" w:hint="default"/>
        <w:b/>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68IPXscLkNoz6f8cSWrvcDQ2IE8=" w:salt="vJSWgQEkbBNy9ANyilTFk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278"/>
    <w:rsid w:val="001244CD"/>
    <w:rsid w:val="0012566F"/>
    <w:rsid w:val="001260DB"/>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946"/>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64F6"/>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063"/>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4E9B"/>
    <w:rsid w:val="00286064"/>
    <w:rsid w:val="002867B1"/>
    <w:rsid w:val="00287BBB"/>
    <w:rsid w:val="00287E3B"/>
    <w:rsid w:val="00290638"/>
    <w:rsid w:val="00291763"/>
    <w:rsid w:val="00291D80"/>
    <w:rsid w:val="00293156"/>
    <w:rsid w:val="00293BE7"/>
    <w:rsid w:val="002946DC"/>
    <w:rsid w:val="00295156"/>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692C"/>
    <w:rsid w:val="00330386"/>
    <w:rsid w:val="0033194F"/>
    <w:rsid w:val="00332406"/>
    <w:rsid w:val="00332D8D"/>
    <w:rsid w:val="00335027"/>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0F5E"/>
    <w:rsid w:val="003926C1"/>
    <w:rsid w:val="00392900"/>
    <w:rsid w:val="00393357"/>
    <w:rsid w:val="00395E7B"/>
    <w:rsid w:val="00395F4C"/>
    <w:rsid w:val="003A6591"/>
    <w:rsid w:val="003A6E9A"/>
    <w:rsid w:val="003B08C8"/>
    <w:rsid w:val="003B2567"/>
    <w:rsid w:val="003B381A"/>
    <w:rsid w:val="003B4976"/>
    <w:rsid w:val="003B4B3F"/>
    <w:rsid w:val="003B4C4A"/>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916"/>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364"/>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61E4"/>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A2ED1"/>
    <w:rsid w:val="006B18DB"/>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179F"/>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F04"/>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DCC"/>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BCC"/>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106"/>
    <w:rsid w:val="007F5066"/>
    <w:rsid w:val="007F621C"/>
    <w:rsid w:val="007F7155"/>
    <w:rsid w:val="00800C28"/>
    <w:rsid w:val="0080245E"/>
    <w:rsid w:val="00803480"/>
    <w:rsid w:val="0080359C"/>
    <w:rsid w:val="008037AE"/>
    <w:rsid w:val="008043F4"/>
    <w:rsid w:val="00804BB4"/>
    <w:rsid w:val="00805D9F"/>
    <w:rsid w:val="00805DF1"/>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1A83"/>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EDE"/>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5B03"/>
    <w:rsid w:val="009661DF"/>
    <w:rsid w:val="009667BD"/>
    <w:rsid w:val="00967CE2"/>
    <w:rsid w:val="00971DA3"/>
    <w:rsid w:val="00972161"/>
    <w:rsid w:val="0097261B"/>
    <w:rsid w:val="00974881"/>
    <w:rsid w:val="0097606C"/>
    <w:rsid w:val="009771D1"/>
    <w:rsid w:val="00977F8F"/>
    <w:rsid w:val="0098012D"/>
    <w:rsid w:val="00980845"/>
    <w:rsid w:val="00981BD9"/>
    <w:rsid w:val="00981E75"/>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B23"/>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C1D"/>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4B2"/>
    <w:rsid w:val="00B91B86"/>
    <w:rsid w:val="00B927CA"/>
    <w:rsid w:val="00B928AE"/>
    <w:rsid w:val="00B93CDA"/>
    <w:rsid w:val="00B942E9"/>
    <w:rsid w:val="00B9433A"/>
    <w:rsid w:val="00B948EE"/>
    <w:rsid w:val="00B94BF3"/>
    <w:rsid w:val="00B94F90"/>
    <w:rsid w:val="00B95DC5"/>
    <w:rsid w:val="00B97E34"/>
    <w:rsid w:val="00B97FEF"/>
    <w:rsid w:val="00BA1354"/>
    <w:rsid w:val="00BA1DEE"/>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3046"/>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0D38"/>
    <w:rsid w:val="00C413FC"/>
    <w:rsid w:val="00C43D33"/>
    <w:rsid w:val="00C44407"/>
    <w:rsid w:val="00C456E8"/>
    <w:rsid w:val="00C46630"/>
    <w:rsid w:val="00C47A2F"/>
    <w:rsid w:val="00C50D18"/>
    <w:rsid w:val="00C51179"/>
    <w:rsid w:val="00C5282C"/>
    <w:rsid w:val="00C52FBE"/>
    <w:rsid w:val="00C5355E"/>
    <w:rsid w:val="00C53FC1"/>
    <w:rsid w:val="00C56438"/>
    <w:rsid w:val="00C56C65"/>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6F7"/>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49D"/>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2AF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7035"/>
    <w:rsid w:val="00DF12E3"/>
    <w:rsid w:val="00DF3F1D"/>
    <w:rsid w:val="00DF595C"/>
    <w:rsid w:val="00DF7EA7"/>
    <w:rsid w:val="00E02504"/>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5BCC"/>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14C"/>
    <w:rsid w:val="00F13200"/>
    <w:rsid w:val="00F13411"/>
    <w:rsid w:val="00F143BA"/>
    <w:rsid w:val="00F14D98"/>
    <w:rsid w:val="00F16C25"/>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B11"/>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965B03"/>
    <w:rPr>
      <w:rFonts w:ascii="Arial" w:hAnsi="Arial"/>
      <w:sz w:val="22"/>
      <w:szCs w:val="24"/>
      <w:lang w:eastAsia="de-DE"/>
    </w:rPr>
  </w:style>
  <w:style w:type="paragraph" w:styleId="Otsikko1">
    <w:name w:val="heading 1"/>
    <w:basedOn w:val="Normaali"/>
    <w:next w:val="Normaali"/>
    <w:link w:val="Otsikko1Char"/>
    <w:qFormat/>
    <w:rsid w:val="009E7724"/>
    <w:pPr>
      <w:keepNext/>
      <w:numPr>
        <w:numId w:val="6"/>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4"/>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uiPriority w:val="99"/>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Sisluet2">
    <w:name w:val="toc 2"/>
    <w:basedOn w:val="Normaali"/>
    <w:next w:val="Normaali"/>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 w:val="20"/>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9"/>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 w:val="20"/>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ali"/>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 w:val="20"/>
      <w:szCs w:val="20"/>
      <w:u w:val="single"/>
    </w:rPr>
  </w:style>
  <w:style w:type="paragraph" w:customStyle="1" w:styleId="Bullet">
    <w:name w:val="Bullet"/>
    <w:basedOn w:val="Normaali"/>
    <w:rsid w:val="002D6E1A"/>
    <w:pPr>
      <w:numPr>
        <w:numId w:val="12"/>
      </w:numPr>
      <w:tabs>
        <w:tab w:val="left" w:pos="708"/>
      </w:tabs>
      <w:spacing w:before="120" w:after="120" w:line="276" w:lineRule="auto"/>
      <w:jc w:val="both"/>
    </w:pPr>
    <w:rPr>
      <w:sz w:val="20"/>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Arial" w:hAnsi="Arial"/>
      <w:b/>
      <w:sz w:val="22"/>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sz w:val="20"/>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ali"/>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 w:val="20"/>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7"/>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30"/>
      </w:numPr>
      <w:suppressAutoHyphens/>
      <w:spacing w:after="250" w:line="276" w:lineRule="auto"/>
      <w:jc w:val="both"/>
    </w:pPr>
    <w:rPr>
      <w:sz w:val="20"/>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ali"/>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ali"/>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965B03"/>
    <w:rPr>
      <w:rFonts w:ascii="Arial" w:hAnsi="Arial"/>
      <w:sz w:val="22"/>
      <w:szCs w:val="24"/>
      <w:lang w:eastAsia="de-DE"/>
    </w:rPr>
  </w:style>
  <w:style w:type="paragraph" w:styleId="Otsikko1">
    <w:name w:val="heading 1"/>
    <w:basedOn w:val="Normaali"/>
    <w:next w:val="Normaali"/>
    <w:link w:val="Otsikko1Char"/>
    <w:qFormat/>
    <w:rsid w:val="009E7724"/>
    <w:pPr>
      <w:keepNext/>
      <w:numPr>
        <w:numId w:val="6"/>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4"/>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rPr>
      <w:sz w:val="20"/>
    </w:r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rPr>
      <w:sz w:val="20"/>
    </w:r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uiPriority w:val="99"/>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Sisluet2">
    <w:name w:val="toc 2"/>
    <w:basedOn w:val="Normaali"/>
    <w:next w:val="Normaali"/>
    <w:autoRedefine/>
    <w:uiPriority w:val="39"/>
    <w:qFormat/>
    <w:rsid w:val="00463787"/>
    <w:pPr>
      <w:spacing w:after="100"/>
      <w:ind w:left="220"/>
    </w:pPr>
    <w:rPr>
      <w:sz w:val="20"/>
    </w:r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 w:val="20"/>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rPr>
      <w:sz w:val="20"/>
    </w:r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9"/>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 w:val="20"/>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 w:val="20"/>
      <w:szCs w:val="20"/>
      <w:lang w:eastAsia="en-GB"/>
    </w:rPr>
  </w:style>
  <w:style w:type="paragraph" w:customStyle="1" w:styleId="Tiret1">
    <w:name w:val="Tiret 1"/>
    <w:basedOn w:val="Normaali"/>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 w:val="20"/>
      <w:szCs w:val="20"/>
      <w:u w:val="single"/>
    </w:rPr>
  </w:style>
  <w:style w:type="paragraph" w:customStyle="1" w:styleId="Bullet">
    <w:name w:val="Bullet"/>
    <w:basedOn w:val="Normaali"/>
    <w:rsid w:val="002D6E1A"/>
    <w:pPr>
      <w:numPr>
        <w:numId w:val="12"/>
      </w:numPr>
      <w:tabs>
        <w:tab w:val="left" w:pos="708"/>
      </w:tabs>
      <w:spacing w:before="120" w:after="120" w:line="276" w:lineRule="auto"/>
      <w:jc w:val="both"/>
    </w:pPr>
    <w:rPr>
      <w:sz w:val="20"/>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3"/>
      </w:numPr>
      <w:suppressAutoHyphens/>
      <w:spacing w:before="120" w:after="120" w:line="276" w:lineRule="auto"/>
      <w:jc w:val="both"/>
    </w:pPr>
    <w:rPr>
      <w:sz w:val="20"/>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Arial" w:hAnsi="Arial"/>
      <w:b/>
      <w:sz w:val="22"/>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sz w:val="20"/>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 w:val="20"/>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 w:val="20"/>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 w:val="2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 w:val="20"/>
      <w:szCs w:val="20"/>
      <w:lang w:val="de-DE"/>
    </w:rPr>
  </w:style>
  <w:style w:type="paragraph" w:customStyle="1" w:styleId="Considrant">
    <w:name w:val="Considérant"/>
    <w:basedOn w:val="Normaali"/>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 w:val="20"/>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7"/>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30"/>
      </w:numPr>
      <w:suppressAutoHyphens/>
      <w:spacing w:after="250" w:line="276" w:lineRule="auto"/>
      <w:jc w:val="both"/>
    </w:pPr>
    <w:rPr>
      <w:sz w:val="20"/>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 w:val="20"/>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 w:val="20"/>
      <w:szCs w:val="20"/>
    </w:rPr>
  </w:style>
  <w:style w:type="paragraph" w:customStyle="1" w:styleId="NEW-Paragraph-level3">
    <w:name w:val="NEW-Paragraph-level3"/>
    <w:basedOn w:val="Normaali"/>
    <w:link w:val="NEW-Paragraph-level3Char"/>
    <w:rsid w:val="00F90EF4"/>
    <w:pPr>
      <w:numPr>
        <w:ilvl w:val="2"/>
        <w:numId w:val="32"/>
      </w:numPr>
      <w:tabs>
        <w:tab w:val="clear" w:pos="1031"/>
      </w:tabs>
      <w:spacing w:after="250" w:line="276" w:lineRule="auto"/>
      <w:ind w:left="851" w:hanging="284"/>
      <w:jc w:val="both"/>
    </w:pPr>
    <w:rPr>
      <w:sz w:val="20"/>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 w:val="2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 w:val="20"/>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8"/>
      </w:numPr>
      <w:spacing w:after="250" w:line="276" w:lineRule="auto"/>
      <w:ind w:left="850" w:hanging="425"/>
      <w:jc w:val="both"/>
      <w:outlineLvl w:val="0"/>
    </w:pPr>
    <w:rPr>
      <w:rFonts w:eastAsia="Calibri"/>
      <w:b/>
      <w:bCs/>
      <w:kern w:val="28"/>
      <w:sz w:val="20"/>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sz w:val="20"/>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 w:val="20"/>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rsid w:val="00A35728"/>
    <w:pPr>
      <w:spacing w:after="120" w:line="264" w:lineRule="auto"/>
      <w:ind w:left="705" w:hanging="705"/>
      <w:jc w:val="both"/>
    </w:pPr>
    <w:rPr>
      <w:rFonts w:ascii="Calibri" w:hAnsi="Calibri"/>
      <w:b/>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QST">
    <w:name w:val="QST"/>
    <w:basedOn w:val="Normaali"/>
    <w:link w:val="QSTChar"/>
    <w:qFormat/>
    <w:rsid w:val="00335027"/>
    <w:pPr>
      <w:spacing w:after="250" w:line="276" w:lineRule="auto"/>
      <w:jc w:val="both"/>
    </w:pPr>
    <w:rPr>
      <w:rFonts w:ascii="Calibri" w:hAnsi="Calibri"/>
      <w:szCs w:val="20"/>
      <w:lang w:eastAsia="en-US"/>
    </w:rPr>
  </w:style>
  <w:style w:type="character" w:customStyle="1" w:styleId="QSTChar">
    <w:name w:val="QST Char"/>
    <w:link w:val="QST"/>
    <w:rsid w:val="00335027"/>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E85BD11FA34C35ABE725446C5BAEC5"/>
        <w:category>
          <w:name w:val="General"/>
          <w:gallery w:val="placeholder"/>
        </w:category>
        <w:types>
          <w:type w:val="bbPlcHdr"/>
        </w:types>
        <w:behaviors>
          <w:behavior w:val="content"/>
        </w:behaviors>
        <w:guid w:val="{58B88D84-326A-40AF-A15B-47C410EA3821}"/>
      </w:docPartPr>
      <w:docPartBody>
        <w:p w:rsidR="008917E2" w:rsidRDefault="006A5A0A" w:rsidP="006A5A0A">
          <w:pPr>
            <w:pStyle w:val="65E85BD11FA34C35ABE725446C5BAEC5"/>
          </w:pPr>
          <w:r w:rsidRPr="000E3791">
            <w:rPr>
              <w:rStyle w:val="Paikkamerkkiteksti"/>
            </w:rPr>
            <w:t>Choose an item.</w:t>
          </w:r>
        </w:p>
      </w:docPartBody>
    </w:docPart>
    <w:docPart>
      <w:docPartPr>
        <w:name w:val="98048A7DD8DF4A6B8C6CF00D9B1940F8"/>
        <w:category>
          <w:name w:val="General"/>
          <w:gallery w:val="placeholder"/>
        </w:category>
        <w:types>
          <w:type w:val="bbPlcHdr"/>
        </w:types>
        <w:behaviors>
          <w:behavior w:val="content"/>
        </w:behaviors>
        <w:guid w:val="{61EC2123-8C0C-4584-B757-952EBCA8739B}"/>
      </w:docPartPr>
      <w:docPartBody>
        <w:p w:rsidR="008917E2" w:rsidRDefault="006A5A0A" w:rsidP="006A5A0A">
          <w:pPr>
            <w:pStyle w:val="98048A7DD8DF4A6B8C6CF00D9B1940F8"/>
          </w:pPr>
          <w:r w:rsidRPr="000E3791">
            <w:rPr>
              <w:rStyle w:val="Paikkamerkkiteksti"/>
            </w:rPr>
            <w:t>Choose an item.</w:t>
          </w:r>
        </w:p>
      </w:docPartBody>
    </w:docPart>
    <w:docPart>
      <w:docPartPr>
        <w:name w:val="5EAC301EA3224F67909AA00721C3F8B7"/>
        <w:category>
          <w:name w:val="General"/>
          <w:gallery w:val="placeholder"/>
        </w:category>
        <w:types>
          <w:type w:val="bbPlcHdr"/>
        </w:types>
        <w:behaviors>
          <w:behavior w:val="content"/>
        </w:behaviors>
        <w:guid w:val="{46FF2BF0-777C-4B97-B3E4-17DE1AA19E86}"/>
      </w:docPartPr>
      <w:docPartBody>
        <w:p w:rsidR="008917E2" w:rsidRDefault="006A5A0A" w:rsidP="006A5A0A">
          <w:pPr>
            <w:pStyle w:val="5EAC301EA3224F67909AA00721C3F8B7"/>
          </w:pPr>
          <w:r w:rsidRPr="000E3791">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8E"/>
    <w:rsid w:val="00064A17"/>
    <w:rsid w:val="00115F64"/>
    <w:rsid w:val="004B2C78"/>
    <w:rsid w:val="006A5A0A"/>
    <w:rsid w:val="008437E4"/>
    <w:rsid w:val="008917E2"/>
    <w:rsid w:val="00953A5F"/>
    <w:rsid w:val="00AF2479"/>
    <w:rsid w:val="00B4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A5A0A"/>
    <w:rPr>
      <w:color w:val="808080"/>
    </w:rPr>
  </w:style>
  <w:style w:type="paragraph" w:customStyle="1" w:styleId="E40A493F144E41ECA62BDE647316E137">
    <w:name w:val="E40A493F144E41ECA62BDE647316E137"/>
    <w:rsid w:val="00B4208E"/>
  </w:style>
  <w:style w:type="paragraph" w:customStyle="1" w:styleId="F2B292245666475AA3044F6299247043">
    <w:name w:val="F2B292245666475AA3044F6299247043"/>
    <w:rsid w:val="00B4208E"/>
  </w:style>
  <w:style w:type="paragraph" w:customStyle="1" w:styleId="5ED4348BFAEF449DB6E13134DA79834C">
    <w:name w:val="5ED4348BFAEF449DB6E13134DA79834C"/>
    <w:rsid w:val="00B4208E"/>
  </w:style>
  <w:style w:type="paragraph" w:customStyle="1" w:styleId="E105B5D91C05477A868B8E1049464E56">
    <w:name w:val="E105B5D91C05477A868B8E1049464E56"/>
    <w:rsid w:val="00B4208E"/>
  </w:style>
  <w:style w:type="paragraph" w:customStyle="1" w:styleId="04BA6A02474A4CB4826A2A1E06A5D98D">
    <w:name w:val="04BA6A02474A4CB4826A2A1E06A5D98D"/>
    <w:rsid w:val="00B4208E"/>
  </w:style>
  <w:style w:type="paragraph" w:customStyle="1" w:styleId="564C2A51B86347C5BEACA9504F673FB9">
    <w:name w:val="564C2A51B86347C5BEACA9504F673FB9"/>
    <w:rsid w:val="00B4208E"/>
  </w:style>
  <w:style w:type="paragraph" w:customStyle="1" w:styleId="65E85BD11FA34C35ABE725446C5BAEC5">
    <w:name w:val="65E85BD11FA34C35ABE725446C5BAEC5"/>
    <w:rsid w:val="006A5A0A"/>
  </w:style>
  <w:style w:type="paragraph" w:customStyle="1" w:styleId="98048A7DD8DF4A6B8C6CF00D9B1940F8">
    <w:name w:val="98048A7DD8DF4A6B8C6CF00D9B1940F8"/>
    <w:rsid w:val="006A5A0A"/>
  </w:style>
  <w:style w:type="paragraph" w:customStyle="1" w:styleId="5EAC301EA3224F67909AA00721C3F8B7">
    <w:name w:val="5EAC301EA3224F67909AA00721C3F8B7"/>
    <w:rsid w:val="006A5A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A5A0A"/>
    <w:rPr>
      <w:color w:val="808080"/>
    </w:rPr>
  </w:style>
  <w:style w:type="paragraph" w:customStyle="1" w:styleId="E40A493F144E41ECA62BDE647316E137">
    <w:name w:val="E40A493F144E41ECA62BDE647316E137"/>
    <w:rsid w:val="00B4208E"/>
  </w:style>
  <w:style w:type="paragraph" w:customStyle="1" w:styleId="F2B292245666475AA3044F6299247043">
    <w:name w:val="F2B292245666475AA3044F6299247043"/>
    <w:rsid w:val="00B4208E"/>
  </w:style>
  <w:style w:type="paragraph" w:customStyle="1" w:styleId="5ED4348BFAEF449DB6E13134DA79834C">
    <w:name w:val="5ED4348BFAEF449DB6E13134DA79834C"/>
    <w:rsid w:val="00B4208E"/>
  </w:style>
  <w:style w:type="paragraph" w:customStyle="1" w:styleId="E105B5D91C05477A868B8E1049464E56">
    <w:name w:val="E105B5D91C05477A868B8E1049464E56"/>
    <w:rsid w:val="00B4208E"/>
  </w:style>
  <w:style w:type="paragraph" w:customStyle="1" w:styleId="04BA6A02474A4CB4826A2A1E06A5D98D">
    <w:name w:val="04BA6A02474A4CB4826A2A1E06A5D98D"/>
    <w:rsid w:val="00B4208E"/>
  </w:style>
  <w:style w:type="paragraph" w:customStyle="1" w:styleId="564C2A51B86347C5BEACA9504F673FB9">
    <w:name w:val="564C2A51B86347C5BEACA9504F673FB9"/>
    <w:rsid w:val="00B4208E"/>
  </w:style>
  <w:style w:type="paragraph" w:customStyle="1" w:styleId="65E85BD11FA34C35ABE725446C5BAEC5">
    <w:name w:val="65E85BD11FA34C35ABE725446C5BAEC5"/>
    <w:rsid w:val="006A5A0A"/>
  </w:style>
  <w:style w:type="paragraph" w:customStyle="1" w:styleId="98048A7DD8DF4A6B8C6CF00D9B1940F8">
    <w:name w:val="98048A7DD8DF4A6B8C6CF00D9B1940F8"/>
    <w:rsid w:val="006A5A0A"/>
  </w:style>
  <w:style w:type="paragraph" w:customStyle="1" w:styleId="5EAC301EA3224F67909AA00721C3F8B7">
    <w:name w:val="5EAC301EA3224F67909AA00721C3F8B7"/>
    <w:rsid w:val="006A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1BEA5-BF98-4A3B-856B-AE659E926573}">
  <ds:schemaRefs>
    <ds:schemaRef ds:uri="http://schemas.openxmlformats.org/officeDocument/2006/bibliography"/>
  </ds:schemaRefs>
</ds:datastoreItem>
</file>

<file path=customXml/itemProps2.xml><?xml version="1.0" encoding="utf-8"?>
<ds:datastoreItem xmlns:ds="http://schemas.openxmlformats.org/officeDocument/2006/customXml" ds:itemID="{ED02DDC7-BABD-42BF-8EB6-90B47023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4306</Words>
  <Characters>23130</Characters>
  <Application>Microsoft Office Word</Application>
  <DocSecurity>8</DocSecurity>
  <Lines>192</Lines>
  <Paragraphs>54</Paragraphs>
  <ScaleCrop>false</ScaleCrop>
  <HeadingPairs>
    <vt:vector size="12" baseType="variant">
      <vt:variant>
        <vt:lpstr>Otsikko</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27382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Majuri Tuomas</cp:lastModifiedBy>
  <cp:revision>3</cp:revision>
  <cp:lastPrinted>2014-05-08T16:06:00Z</cp:lastPrinted>
  <dcterms:created xsi:type="dcterms:W3CDTF">2015-02-19T11:13:00Z</dcterms:created>
  <dcterms:modified xsi:type="dcterms:W3CDTF">2015-02-19T11:17:00Z</dcterms:modified>
</cp:coreProperties>
</file>