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ESMA_T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2"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3"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tblPr>
      <w:tblGrid>
        <w:gridCol w:w="3510"/>
        <w:gridCol w:w="6118"/>
      </w:tblGrid>
      <w:tr w:rsidR="00473916" w:rsidRPr="0026621B" w:rsidTr="001E368F">
        <w:tc>
          <w:tcPr>
            <w:tcW w:w="3510" w:type="dxa"/>
          </w:tcPr>
          <w:p w:rsidR="00473916" w:rsidRPr="0026621B" w:rsidRDefault="00473916" w:rsidP="001E368F">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200B58" w:rsidP="001E368F">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Content>
                <w:permStart w:id="0" w:edGrp="everyone"/>
                <w:r w:rsidR="00693879">
                  <w:rPr>
                    <w:rFonts w:cs="Arial"/>
                    <w:szCs w:val="22"/>
                  </w:rPr>
                  <w:t>No</w:t>
                </w:r>
                <w:permEnd w:id="0"/>
              </w:sdtContent>
            </w:sdt>
          </w:p>
        </w:tc>
      </w:tr>
      <w:tr w:rsidR="00473916" w:rsidRPr="0026621B" w:rsidTr="001E368F">
        <w:tc>
          <w:tcPr>
            <w:tcW w:w="3510" w:type="dxa"/>
          </w:tcPr>
          <w:p w:rsidR="00473916" w:rsidRPr="0026621B" w:rsidRDefault="00473916" w:rsidP="001E368F">
            <w:pPr>
              <w:rPr>
                <w:rFonts w:cs="Arial"/>
                <w:szCs w:val="22"/>
              </w:rPr>
            </w:pPr>
            <w:r w:rsidRPr="0026621B">
              <w:rPr>
                <w:rFonts w:cs="Arial"/>
                <w:szCs w:val="22"/>
              </w:rPr>
              <w:t>Activity:</w:t>
            </w:r>
          </w:p>
        </w:tc>
        <w:tc>
          <w:tcPr>
            <w:tcW w:w="6118" w:type="dxa"/>
          </w:tcPr>
          <w:p w:rsidR="00473916" w:rsidRPr="0026621B" w:rsidRDefault="00200B58" w:rsidP="001E368F">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Content>
                <w:permStart w:id="1" w:edGrp="everyone"/>
                <w:r w:rsidR="00693879">
                  <w:rPr>
                    <w:rFonts w:cs="Arial"/>
                    <w:szCs w:val="22"/>
                  </w:rPr>
                  <w:t>Central Counterparty</w:t>
                </w:r>
                <w:permEnd w:id="1"/>
              </w:sdtContent>
            </w:sdt>
          </w:p>
        </w:tc>
      </w:tr>
      <w:tr w:rsidR="00473916" w:rsidRPr="0026621B" w:rsidTr="001E368F">
        <w:tc>
          <w:tcPr>
            <w:tcW w:w="3510" w:type="dxa"/>
          </w:tcPr>
          <w:p w:rsidR="00473916" w:rsidRPr="0026621B" w:rsidRDefault="00473916" w:rsidP="001E368F">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 w:edGrp="everyone" w:displacedByCustomXml="prev"/>
            <w:tc>
              <w:tcPr>
                <w:tcW w:w="6118" w:type="dxa"/>
              </w:tcPr>
              <w:p w:rsidR="00473916" w:rsidRPr="0026621B" w:rsidRDefault="00693879" w:rsidP="001E368F">
                <w:pPr>
                  <w:rPr>
                    <w:rFonts w:cs="Arial"/>
                    <w:szCs w:val="22"/>
                  </w:rPr>
                </w:pPr>
                <w:r>
                  <w:rPr>
                    <w:rFonts w:cs="Arial"/>
                    <w:szCs w:val="22"/>
                  </w:rPr>
                  <w:t>Europe</w:t>
                </w:r>
              </w:p>
            </w:tc>
            <w:permEnd w:id="2" w:displacedByCustomXml="next"/>
          </w:sdtContent>
        </w:sdt>
      </w:tr>
    </w:tbl>
    <w:p w:rsidR="007F4106" w:rsidRDefault="007F4106">
      <w:pPr>
        <w:rPr>
          <w:b/>
        </w:rPr>
      </w:pPr>
      <w:r>
        <w:br w:type="page"/>
      </w:r>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3" w:edGrp="everyone"/>
      <w:r>
        <w:t>TYPE YOUR TEXT HERE</w:t>
      </w:r>
    </w:p>
    <w:permEnd w:id="3"/>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AD0558" w:rsidRDefault="00446926" w:rsidP="00A8170C">
      <w:pPr>
        <w:jc w:val="both"/>
      </w:pPr>
      <w:permStart w:id="4" w:edGrp="everyone"/>
      <w:r>
        <w:t xml:space="preserve">We believe that </w:t>
      </w:r>
      <w:r w:rsidR="00A12521">
        <w:t xml:space="preserve">CCPs should </w:t>
      </w:r>
      <w:r w:rsidR="001E1830">
        <w:t xml:space="preserve">have the ability to </w:t>
      </w:r>
      <w:r w:rsidR="00A12521">
        <w:t xml:space="preserve">send “already matched” settlement instructions to </w:t>
      </w:r>
      <w:r w:rsidR="000E168C">
        <w:t>CSDs;</w:t>
      </w:r>
      <w:r w:rsidR="00A12521">
        <w:t xml:space="preserve"> however they should not be mandated to do so, as required under </w:t>
      </w:r>
      <w:r w:rsidR="00817A01">
        <w:t xml:space="preserve">Article 3(2) of the </w:t>
      </w:r>
      <w:r w:rsidR="00A12521">
        <w:t xml:space="preserve">RTS. There are </w:t>
      </w:r>
      <w:r w:rsidR="00F675E7">
        <w:t xml:space="preserve">circumstances where </w:t>
      </w:r>
      <w:r w:rsidR="00A12521">
        <w:t xml:space="preserve">indeed </w:t>
      </w:r>
      <w:r w:rsidR="00D65CE7" w:rsidRPr="00D65CE7">
        <w:t xml:space="preserve">CCPs </w:t>
      </w:r>
      <w:r w:rsidR="00F675E7">
        <w:t>are</w:t>
      </w:r>
      <w:r w:rsidR="00D65CE7">
        <w:t xml:space="preserve"> </w:t>
      </w:r>
      <w:r w:rsidR="00D65CE7" w:rsidRPr="00050995">
        <w:t xml:space="preserve">prevented </w:t>
      </w:r>
      <w:r w:rsidR="005172FC" w:rsidRPr="00050995">
        <w:t>from sending</w:t>
      </w:r>
      <w:r w:rsidR="00D65CE7" w:rsidRPr="00050995">
        <w:t xml:space="preserve"> “already</w:t>
      </w:r>
      <w:r w:rsidR="00D65CE7">
        <w:t xml:space="preserve"> </w:t>
      </w:r>
      <w:r w:rsidR="00D65CE7" w:rsidRPr="00D65CE7">
        <w:t>matched</w:t>
      </w:r>
      <w:r w:rsidR="00D65CE7">
        <w:t>” settlement instructions</w:t>
      </w:r>
      <w:r w:rsidR="00A12521">
        <w:t>, as noted below:</w:t>
      </w:r>
    </w:p>
    <w:p w:rsidR="00AD0558" w:rsidRDefault="00AD0558" w:rsidP="00A8170C">
      <w:pPr>
        <w:jc w:val="both"/>
      </w:pPr>
    </w:p>
    <w:p w:rsidR="00AD0558" w:rsidRPr="00961006" w:rsidRDefault="00F675E7" w:rsidP="00961006">
      <w:pPr>
        <w:pStyle w:val="ListParagraph"/>
        <w:numPr>
          <w:ilvl w:val="0"/>
          <w:numId w:val="41"/>
        </w:numPr>
        <w:jc w:val="both"/>
        <w:rPr>
          <w:u w:val="single"/>
        </w:rPr>
      </w:pPr>
      <w:r w:rsidRPr="00961006">
        <w:rPr>
          <w:u w:val="single"/>
        </w:rPr>
        <w:t>The</w:t>
      </w:r>
      <w:r w:rsidR="001315AF" w:rsidRPr="00961006">
        <w:rPr>
          <w:u w:val="single"/>
        </w:rPr>
        <w:t xml:space="preserve"> </w:t>
      </w:r>
      <w:r w:rsidR="00A12521" w:rsidRPr="00961006">
        <w:rPr>
          <w:u w:val="single"/>
        </w:rPr>
        <w:t xml:space="preserve">CCP </w:t>
      </w:r>
      <w:r w:rsidRPr="00961006">
        <w:rPr>
          <w:u w:val="single"/>
        </w:rPr>
        <w:t>and its clearing members h</w:t>
      </w:r>
      <w:r w:rsidR="00AD0558" w:rsidRPr="00961006">
        <w:rPr>
          <w:u w:val="single"/>
        </w:rPr>
        <w:t>ave their accounts within the same CSD:</w:t>
      </w:r>
    </w:p>
    <w:p w:rsidR="00AD0558" w:rsidRDefault="00AD0558" w:rsidP="00A8170C">
      <w:pPr>
        <w:jc w:val="both"/>
      </w:pPr>
    </w:p>
    <w:p w:rsidR="00AD0558" w:rsidRDefault="00AD0558" w:rsidP="002146E2">
      <w:pPr>
        <w:pStyle w:val="ListParagraph"/>
        <w:numPr>
          <w:ilvl w:val="0"/>
          <w:numId w:val="37"/>
        </w:numPr>
        <w:contextualSpacing w:val="0"/>
        <w:jc w:val="both"/>
      </w:pPr>
      <w:r>
        <w:t xml:space="preserve">If a </w:t>
      </w:r>
      <w:r w:rsidR="00C37E42">
        <w:t xml:space="preserve">clearing </w:t>
      </w:r>
      <w:r>
        <w:t xml:space="preserve">member wants to use the “Hold/release” functionality, primarily to avoid use of securities that are not owned by the party due to deliver when operating a omnibus account, technically speaking a CCP will need to send to </w:t>
      </w:r>
      <w:r w:rsidR="00A12521">
        <w:t>the CSD an</w:t>
      </w:r>
      <w:r>
        <w:t xml:space="preserve"> instruction in a “To be matched” status and flagged “Hold”.</w:t>
      </w:r>
    </w:p>
    <w:p w:rsidR="00AD0558" w:rsidRDefault="00AD0558" w:rsidP="002146E2">
      <w:pPr>
        <w:pStyle w:val="ListParagraph"/>
        <w:numPr>
          <w:ilvl w:val="1"/>
          <w:numId w:val="37"/>
        </w:numPr>
        <w:contextualSpacing w:val="0"/>
        <w:jc w:val="both"/>
      </w:pPr>
      <w:r>
        <w:t>Based on an Power of Authority the CCP can generate th</w:t>
      </w:r>
      <w:r w:rsidR="00066CAA">
        <w:t>e</w:t>
      </w:r>
      <w:r>
        <w:t xml:space="preserve"> “To be matched” i</w:t>
      </w:r>
      <w:r>
        <w:t>n</w:t>
      </w:r>
      <w:r>
        <w:t>struction on behalf of the member, following which they will be “Matched</w:t>
      </w:r>
      <w:proofErr w:type="gramStart"/>
      <w:r>
        <w:t>“ in</w:t>
      </w:r>
      <w:proofErr w:type="gramEnd"/>
      <w:r>
        <w:t xml:space="preserve"> </w:t>
      </w:r>
      <w:r w:rsidR="00112D63">
        <w:t>the CSD</w:t>
      </w:r>
      <w:r>
        <w:t>.</w:t>
      </w:r>
    </w:p>
    <w:p w:rsidR="00AD0558" w:rsidRDefault="00AD0558" w:rsidP="002146E2">
      <w:pPr>
        <w:pStyle w:val="ListParagraph"/>
        <w:numPr>
          <w:ilvl w:val="1"/>
          <w:numId w:val="37"/>
        </w:numPr>
        <w:contextualSpacing w:val="0"/>
        <w:jc w:val="both"/>
      </w:pPr>
      <w:r>
        <w:t>The member can update the instruction and set it to “Release” following which it will settle.</w:t>
      </w:r>
    </w:p>
    <w:p w:rsidR="00AD0558" w:rsidRDefault="00AD0558" w:rsidP="00A8170C">
      <w:pPr>
        <w:ind w:left="45"/>
        <w:jc w:val="both"/>
      </w:pPr>
    </w:p>
    <w:p w:rsidR="00AD0558" w:rsidRPr="00961006" w:rsidRDefault="00F675E7" w:rsidP="00961006">
      <w:pPr>
        <w:pStyle w:val="ListParagraph"/>
        <w:numPr>
          <w:ilvl w:val="0"/>
          <w:numId w:val="41"/>
        </w:numPr>
        <w:jc w:val="both"/>
        <w:rPr>
          <w:u w:val="single"/>
        </w:rPr>
      </w:pPr>
      <w:r w:rsidRPr="00961006">
        <w:rPr>
          <w:u w:val="single"/>
        </w:rPr>
        <w:t xml:space="preserve">The </w:t>
      </w:r>
      <w:r w:rsidR="00AD0558" w:rsidRPr="00961006">
        <w:rPr>
          <w:u w:val="single"/>
        </w:rPr>
        <w:t xml:space="preserve">CCP </w:t>
      </w:r>
      <w:r w:rsidRPr="00961006">
        <w:rPr>
          <w:u w:val="single"/>
        </w:rPr>
        <w:t xml:space="preserve">and its clearing members </w:t>
      </w:r>
      <w:r w:rsidR="00AD0558" w:rsidRPr="00961006">
        <w:rPr>
          <w:u w:val="single"/>
        </w:rPr>
        <w:t>have their accounts in a different CSD:</w:t>
      </w:r>
    </w:p>
    <w:p w:rsidR="00AD0558" w:rsidRDefault="00AD0558" w:rsidP="00A8170C">
      <w:pPr>
        <w:ind w:left="45"/>
        <w:jc w:val="both"/>
      </w:pPr>
    </w:p>
    <w:p w:rsidR="00AD0558" w:rsidRDefault="00AD0558" w:rsidP="002146E2">
      <w:pPr>
        <w:pStyle w:val="ListParagraph"/>
        <w:numPr>
          <w:ilvl w:val="0"/>
          <w:numId w:val="37"/>
        </w:numPr>
        <w:contextualSpacing w:val="0"/>
        <w:jc w:val="both"/>
      </w:pPr>
      <w:r>
        <w:t xml:space="preserve">If a </w:t>
      </w:r>
      <w:r w:rsidR="00C37E42">
        <w:t xml:space="preserve">clearing </w:t>
      </w:r>
      <w:r>
        <w:t xml:space="preserve">member </w:t>
      </w:r>
      <w:r w:rsidR="00C37E42">
        <w:t>uses</w:t>
      </w:r>
      <w:r>
        <w:t xml:space="preserve"> another CSD than the one in which the CCP has its account then </w:t>
      </w:r>
      <w:r w:rsidR="00112D63">
        <w:t>the CSD</w:t>
      </w:r>
      <w:r>
        <w:t xml:space="preserve"> </w:t>
      </w:r>
      <w:r w:rsidR="00112D63">
        <w:t xml:space="preserve">will </w:t>
      </w:r>
      <w:r>
        <w:t>requir</w:t>
      </w:r>
      <w:r w:rsidR="00112D63">
        <w:t>e</w:t>
      </w:r>
      <w:r w:rsidR="00C37E42">
        <w:t xml:space="preserve"> a CCP instructions to be sent</w:t>
      </w:r>
      <w:r>
        <w:t xml:space="preserve"> in a “To be matched” status.</w:t>
      </w:r>
    </w:p>
    <w:p w:rsidR="00AD0558" w:rsidRDefault="00AD0558" w:rsidP="002146E2">
      <w:pPr>
        <w:pStyle w:val="ListParagraph"/>
        <w:numPr>
          <w:ilvl w:val="1"/>
          <w:numId w:val="37"/>
        </w:numPr>
        <w:contextualSpacing w:val="0"/>
        <w:jc w:val="both"/>
      </w:pPr>
      <w:r>
        <w:t>Based on an Power of Authority the CCP can generate the “To be matched” i</w:t>
      </w:r>
      <w:r>
        <w:t>n</w:t>
      </w:r>
      <w:r>
        <w:t>struction on behalf of the member, following whic</w:t>
      </w:r>
      <w:r w:rsidR="00C37E42">
        <w:t>h they will be “Matched</w:t>
      </w:r>
      <w:proofErr w:type="gramStart"/>
      <w:r w:rsidR="00C37E42">
        <w:t>“ in</w:t>
      </w:r>
      <w:proofErr w:type="gramEnd"/>
      <w:r w:rsidR="00C37E42">
        <w:t xml:space="preserve"> </w:t>
      </w:r>
      <w:r w:rsidR="00112D63">
        <w:t>the CSD</w:t>
      </w:r>
      <w:r w:rsidR="00C37E42">
        <w:t xml:space="preserve"> and </w:t>
      </w:r>
      <w:r>
        <w:t>will settle.</w:t>
      </w:r>
    </w:p>
    <w:p w:rsidR="00AD0558" w:rsidRDefault="00AD0558" w:rsidP="00A8170C">
      <w:pPr>
        <w:jc w:val="both"/>
      </w:pPr>
    </w:p>
    <w:p w:rsidR="00961006" w:rsidRDefault="00961006" w:rsidP="00961006">
      <w:pPr>
        <w:pStyle w:val="ListParagraph"/>
        <w:numPr>
          <w:ilvl w:val="0"/>
          <w:numId w:val="41"/>
        </w:numPr>
        <w:rPr>
          <w:rFonts w:cs="Arial"/>
          <w:u w:val="single"/>
        </w:rPr>
      </w:pPr>
      <w:r w:rsidRPr="00961006">
        <w:rPr>
          <w:rFonts w:cs="Arial"/>
          <w:u w:val="single"/>
        </w:rPr>
        <w:t>A</w:t>
      </w:r>
      <w:r>
        <w:rPr>
          <w:rFonts w:cs="Arial"/>
          <w:u w:val="single"/>
        </w:rPr>
        <w:t xml:space="preserve">gents operating an omnibus account, where they hold all </w:t>
      </w:r>
      <w:r w:rsidRPr="00961006">
        <w:rPr>
          <w:rFonts w:cs="Arial"/>
          <w:u w:val="single"/>
        </w:rPr>
        <w:t>securities on behalf o</w:t>
      </w:r>
      <w:r>
        <w:rPr>
          <w:rFonts w:cs="Arial"/>
          <w:u w:val="single"/>
        </w:rPr>
        <w:t xml:space="preserve">f all their </w:t>
      </w:r>
      <w:r w:rsidRPr="00961006">
        <w:rPr>
          <w:rFonts w:cs="Arial"/>
          <w:u w:val="single"/>
        </w:rPr>
        <w:t>clients</w:t>
      </w:r>
      <w:r>
        <w:rPr>
          <w:rFonts w:cs="Arial"/>
          <w:u w:val="single"/>
        </w:rPr>
        <w:t>, would require the ability to have matched instructions from a CCP to be created “on-Hold”; it would be for the agent to then “Release” them.</w:t>
      </w:r>
    </w:p>
    <w:p w:rsidR="00A51A9E" w:rsidRDefault="00A51A9E" w:rsidP="00A8170C">
      <w:pPr>
        <w:jc w:val="both"/>
      </w:pPr>
    </w:p>
    <w:p w:rsidR="00AD0558" w:rsidRDefault="00066CAA" w:rsidP="00A8170C">
      <w:pPr>
        <w:jc w:val="both"/>
      </w:pPr>
      <w:r>
        <w:t xml:space="preserve">Therefore, we suggest </w:t>
      </w:r>
      <w:r w:rsidR="00AD0558">
        <w:t xml:space="preserve">the </w:t>
      </w:r>
      <w:r w:rsidR="00F675E7">
        <w:t>deletion of the last sentence in</w:t>
      </w:r>
      <w:r w:rsidR="00AD0558">
        <w:t xml:space="preserve"> </w:t>
      </w:r>
      <w:r w:rsidR="007F55A1">
        <w:t>Article 3(2) of the draft RTS:</w:t>
      </w:r>
    </w:p>
    <w:p w:rsidR="00D03DE5" w:rsidRDefault="00D03DE5" w:rsidP="00A8170C">
      <w:pPr>
        <w:jc w:val="both"/>
      </w:pPr>
    </w:p>
    <w:p w:rsidR="007F55A1" w:rsidRDefault="007F55A1" w:rsidP="00A8170C">
      <w:pPr>
        <w:ind w:left="1418" w:hanging="713"/>
        <w:jc w:val="both"/>
      </w:pPr>
      <w:r>
        <w:lastRenderedPageBreak/>
        <w:t>(2)</w:t>
      </w:r>
      <w:r>
        <w:tab/>
        <w:t>A CSD shall match settlement instructions prior to settlement, based on the i</w:t>
      </w:r>
      <w:r>
        <w:t>n</w:t>
      </w:r>
      <w:r>
        <w:t>structions sent by participants, except in the following circumstances:</w:t>
      </w:r>
    </w:p>
    <w:p w:rsidR="007F55A1" w:rsidRDefault="007F55A1" w:rsidP="00A8170C">
      <w:pPr>
        <w:ind w:left="2127" w:hanging="702"/>
        <w:jc w:val="both"/>
      </w:pPr>
      <w:r>
        <w:t>(a)</w:t>
      </w:r>
      <w:r>
        <w:tab/>
      </w:r>
      <w:proofErr w:type="gramStart"/>
      <w:r>
        <w:t>the</w:t>
      </w:r>
      <w:proofErr w:type="gramEnd"/>
      <w:r>
        <w:t xml:space="preserve"> settlement instructions </w:t>
      </w:r>
      <w:r w:rsidR="00BF2408">
        <w:t>received by the CSD are already matched by trading venues or other entities such as CCPs;</w:t>
      </w:r>
    </w:p>
    <w:p w:rsidR="00BF2408" w:rsidRDefault="00BF2408" w:rsidP="00A8170C">
      <w:pPr>
        <w:ind w:left="2127" w:hanging="702"/>
        <w:jc w:val="both"/>
      </w:pPr>
      <w:r>
        <w:t>(b)</w:t>
      </w:r>
      <w:r>
        <w:tab/>
        <w:t>FoP instructions which consist of transfers of financial instruments b</w:t>
      </w:r>
      <w:r>
        <w:t>e</w:t>
      </w:r>
      <w:r>
        <w:t>tween different accounts opened in the name of the same participant.</w:t>
      </w:r>
    </w:p>
    <w:p w:rsidR="00BF2408" w:rsidRDefault="00BF2408" w:rsidP="00A8170C">
      <w:pPr>
        <w:ind w:left="2127" w:hanging="702"/>
        <w:jc w:val="both"/>
      </w:pPr>
    </w:p>
    <w:p w:rsidR="00D03DE5" w:rsidRPr="00050995" w:rsidRDefault="00BF2408" w:rsidP="00066CAA">
      <w:pPr>
        <w:ind w:left="1425"/>
        <w:jc w:val="both"/>
        <w:rPr>
          <w:b/>
          <w:i/>
        </w:rPr>
      </w:pPr>
      <w:r w:rsidRPr="00050995">
        <w:rPr>
          <w:b/>
          <w:i/>
          <w:strike/>
        </w:rPr>
        <w:t>CSD</w:t>
      </w:r>
      <w:r w:rsidR="00A41F6F" w:rsidRPr="00050995">
        <w:rPr>
          <w:b/>
          <w:i/>
          <w:strike/>
        </w:rPr>
        <w:t xml:space="preserve">s shall require that CCPs send </w:t>
      </w:r>
      <w:r w:rsidR="00F675E7" w:rsidRPr="00050995">
        <w:rPr>
          <w:b/>
          <w:i/>
          <w:strike/>
        </w:rPr>
        <w:t xml:space="preserve">already matched </w:t>
      </w:r>
      <w:r w:rsidR="00B20251" w:rsidRPr="00050995">
        <w:rPr>
          <w:b/>
          <w:i/>
          <w:strike/>
        </w:rPr>
        <w:t>settlement instructions into the securities settlement system operated by a CSD</w:t>
      </w:r>
      <w:r w:rsidR="00E328AB" w:rsidRPr="00050995">
        <w:rPr>
          <w:b/>
          <w:i/>
          <w:strike/>
        </w:rPr>
        <w:t>, unless letter b) of subparagraph 1 applies</w:t>
      </w:r>
      <w:r w:rsidR="00066CAA" w:rsidRPr="00050995">
        <w:rPr>
          <w:b/>
          <w:i/>
        </w:rPr>
        <w:t>.</w:t>
      </w:r>
    </w:p>
    <w:p w:rsidR="00D65CE7" w:rsidRDefault="00D65CE7" w:rsidP="00066CAA">
      <w:pPr>
        <w:ind w:left="1425"/>
        <w:jc w:val="both"/>
      </w:pPr>
    </w:p>
    <w:p w:rsidR="00050995" w:rsidRDefault="00050995" w:rsidP="00C204DC">
      <w:pPr>
        <w:jc w:val="both"/>
        <w:rPr>
          <w:szCs w:val="22"/>
        </w:rPr>
      </w:pPr>
    </w:p>
    <w:p w:rsidR="00112D63" w:rsidRDefault="00112D63" w:rsidP="00C204DC">
      <w:pPr>
        <w:jc w:val="both"/>
        <w:rPr>
          <w:szCs w:val="22"/>
        </w:rPr>
      </w:pPr>
      <w:r>
        <w:rPr>
          <w:szCs w:val="22"/>
        </w:rPr>
        <w:t>Article 3(2</w:t>
      </w:r>
      <w:r w:rsidRPr="000309DD">
        <w:rPr>
          <w:szCs w:val="22"/>
        </w:rPr>
        <w:t xml:space="preserve">) </w:t>
      </w:r>
      <w:r>
        <w:rPr>
          <w:szCs w:val="22"/>
        </w:rPr>
        <w:t>of the RTS should</w:t>
      </w:r>
      <w:r w:rsidR="006C2914">
        <w:rPr>
          <w:szCs w:val="22"/>
        </w:rPr>
        <w:t xml:space="preserve"> also recognise the case of </w:t>
      </w:r>
      <w:r w:rsidRPr="000309DD">
        <w:rPr>
          <w:szCs w:val="22"/>
        </w:rPr>
        <w:t>settleme</w:t>
      </w:r>
      <w:r w:rsidR="00050995">
        <w:rPr>
          <w:szCs w:val="22"/>
        </w:rPr>
        <w:t>nt</w:t>
      </w:r>
      <w:r w:rsidR="006C2914">
        <w:rPr>
          <w:szCs w:val="22"/>
        </w:rPr>
        <w:t xml:space="preserve"> between interoperating CCPs. </w:t>
      </w:r>
      <w:r w:rsidRPr="000309DD">
        <w:rPr>
          <w:szCs w:val="22"/>
        </w:rPr>
        <w:t>We</w:t>
      </w:r>
      <w:r w:rsidR="006C2914">
        <w:rPr>
          <w:szCs w:val="22"/>
        </w:rPr>
        <w:t xml:space="preserve"> therefore</w:t>
      </w:r>
      <w:r w:rsidRPr="000309DD">
        <w:rPr>
          <w:szCs w:val="22"/>
        </w:rPr>
        <w:t xml:space="preserve"> </w:t>
      </w:r>
      <w:r>
        <w:rPr>
          <w:szCs w:val="22"/>
        </w:rPr>
        <w:t xml:space="preserve">believe ESMA should add the following </w:t>
      </w:r>
      <w:r w:rsidR="006C2914">
        <w:rPr>
          <w:szCs w:val="22"/>
        </w:rPr>
        <w:t>paragraph in this article:</w:t>
      </w:r>
    </w:p>
    <w:p w:rsidR="00112D63" w:rsidRDefault="00112D63" w:rsidP="00C204DC">
      <w:pPr>
        <w:jc w:val="both"/>
        <w:rPr>
          <w:szCs w:val="22"/>
        </w:rPr>
      </w:pPr>
    </w:p>
    <w:p w:rsidR="00112D63" w:rsidRPr="00A6336D" w:rsidRDefault="00112D63" w:rsidP="00C204DC">
      <w:pPr>
        <w:ind w:left="450"/>
        <w:jc w:val="both"/>
        <w:rPr>
          <w:b/>
          <w:i/>
          <w:szCs w:val="22"/>
        </w:rPr>
      </w:pPr>
      <w:r>
        <w:rPr>
          <w:b/>
          <w:i/>
          <w:szCs w:val="22"/>
        </w:rPr>
        <w:t>(2</w:t>
      </w:r>
      <w:r w:rsidRPr="00A6336D">
        <w:rPr>
          <w:b/>
          <w:i/>
          <w:szCs w:val="22"/>
        </w:rPr>
        <w:t xml:space="preserve">) </w:t>
      </w:r>
      <w:r w:rsidR="00050995">
        <w:rPr>
          <w:b/>
          <w:i/>
          <w:szCs w:val="22"/>
        </w:rPr>
        <w:t>(N</w:t>
      </w:r>
      <w:r w:rsidRPr="00A6336D">
        <w:rPr>
          <w:b/>
          <w:i/>
          <w:szCs w:val="22"/>
        </w:rPr>
        <w:t>ew</w:t>
      </w:r>
      <w:r w:rsidR="00050995">
        <w:rPr>
          <w:b/>
          <w:i/>
          <w:szCs w:val="22"/>
        </w:rPr>
        <w:t>)</w:t>
      </w:r>
      <w:r w:rsidRPr="00A6336D">
        <w:rPr>
          <w:b/>
          <w:i/>
          <w:szCs w:val="22"/>
        </w:rPr>
        <w:t>: Settlement instruction</w:t>
      </w:r>
      <w:r>
        <w:rPr>
          <w:b/>
          <w:i/>
          <w:szCs w:val="22"/>
        </w:rPr>
        <w:t>s between interoperating CCPs shall</w:t>
      </w:r>
      <w:r w:rsidRPr="00A6336D">
        <w:rPr>
          <w:b/>
          <w:i/>
          <w:szCs w:val="22"/>
        </w:rPr>
        <w:t xml:space="preserve"> be sent matched by one of the CCPs</w:t>
      </w:r>
      <w:r>
        <w:rPr>
          <w:b/>
          <w:i/>
          <w:szCs w:val="22"/>
        </w:rPr>
        <w:t>,</w:t>
      </w:r>
      <w:r w:rsidRPr="00A6336D">
        <w:rPr>
          <w:b/>
          <w:i/>
          <w:szCs w:val="22"/>
        </w:rPr>
        <w:t xml:space="preserve"> where this has been agreed between them, otherwise each CCP </w:t>
      </w:r>
      <w:r>
        <w:rPr>
          <w:b/>
          <w:i/>
          <w:szCs w:val="22"/>
        </w:rPr>
        <w:t>shall</w:t>
      </w:r>
      <w:r w:rsidRPr="00A6336D">
        <w:rPr>
          <w:b/>
          <w:i/>
          <w:szCs w:val="22"/>
        </w:rPr>
        <w:t xml:space="preserve"> send an unmatched settlement instruction with the CSD performing the match</w:t>
      </w:r>
      <w:r>
        <w:rPr>
          <w:b/>
          <w:i/>
          <w:szCs w:val="22"/>
        </w:rPr>
        <w:t>ing.</w:t>
      </w:r>
    </w:p>
    <w:permEnd w:id="4"/>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5" w:edGrp="everyone"/>
      <w:r>
        <w:t>TYPE YOUR TEXT HERE</w:t>
      </w:r>
    </w:p>
    <w:permEnd w:id="5"/>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112D63" w:rsidRDefault="00C4046B" w:rsidP="00672A3A">
      <w:pPr>
        <w:rPr>
          <w:szCs w:val="22"/>
        </w:rPr>
      </w:pPr>
      <w:permStart w:id="6" w:edGrp="everyone"/>
      <w:r>
        <w:rPr>
          <w:szCs w:val="22"/>
        </w:rPr>
        <w:t xml:space="preserve">We have the following comments in respect to the RTS in Chapter II </w:t>
      </w:r>
      <w:r w:rsidR="00D25C0D">
        <w:rPr>
          <w:szCs w:val="22"/>
        </w:rPr>
        <w:t>of Annex I.</w:t>
      </w:r>
    </w:p>
    <w:p w:rsidR="000E168C" w:rsidRDefault="000E168C" w:rsidP="00672A3A">
      <w:pPr>
        <w:rPr>
          <w:szCs w:val="22"/>
        </w:rPr>
      </w:pPr>
    </w:p>
    <w:p w:rsidR="00672A3A" w:rsidRPr="00112D63" w:rsidRDefault="001E368F" w:rsidP="00C204DC">
      <w:pPr>
        <w:jc w:val="both"/>
        <w:rPr>
          <w:szCs w:val="22"/>
        </w:rPr>
      </w:pPr>
      <w:r>
        <w:rPr>
          <w:szCs w:val="22"/>
        </w:rPr>
        <w:t xml:space="preserve">Under </w:t>
      </w:r>
      <w:r w:rsidR="00446074">
        <w:rPr>
          <w:szCs w:val="22"/>
        </w:rPr>
        <w:t>Article 3(</w:t>
      </w:r>
      <w:r w:rsidRPr="00671E2C">
        <w:rPr>
          <w:szCs w:val="22"/>
        </w:rPr>
        <w:t>3</w:t>
      </w:r>
      <w:proofErr w:type="gramStart"/>
      <w:r w:rsidR="00446074">
        <w:rPr>
          <w:szCs w:val="22"/>
        </w:rPr>
        <w:t>)</w:t>
      </w:r>
      <w:r w:rsidRPr="00671E2C">
        <w:rPr>
          <w:szCs w:val="22"/>
        </w:rPr>
        <w:t>(</w:t>
      </w:r>
      <w:proofErr w:type="gramEnd"/>
      <w:r w:rsidRPr="00671E2C">
        <w:rPr>
          <w:szCs w:val="22"/>
        </w:rPr>
        <w:t xml:space="preserve">c) </w:t>
      </w:r>
      <w:r>
        <w:rPr>
          <w:szCs w:val="22"/>
        </w:rPr>
        <w:t xml:space="preserve">of the draft RTS, ESMA </w:t>
      </w:r>
      <w:r w:rsidRPr="00D368F2">
        <w:rPr>
          <w:szCs w:val="22"/>
        </w:rPr>
        <w:t xml:space="preserve">proposes that </w:t>
      </w:r>
      <w:r w:rsidR="00131550" w:rsidRPr="00D368F2">
        <w:rPr>
          <w:szCs w:val="22"/>
        </w:rPr>
        <w:t>“</w:t>
      </w:r>
      <w:r w:rsidRPr="00D368F2">
        <w:rPr>
          <w:szCs w:val="22"/>
        </w:rPr>
        <w:t>trade date</w:t>
      </w:r>
      <w:r w:rsidR="00131550" w:rsidRPr="00D368F2">
        <w:rPr>
          <w:szCs w:val="22"/>
        </w:rPr>
        <w:t>”</w:t>
      </w:r>
      <w:r w:rsidRPr="00671E2C">
        <w:rPr>
          <w:szCs w:val="22"/>
        </w:rPr>
        <w:t xml:space="preserve"> should be one of the</w:t>
      </w:r>
      <w:r>
        <w:rPr>
          <w:szCs w:val="22"/>
        </w:rPr>
        <w:t xml:space="preserve"> standardised matching fields </w:t>
      </w:r>
      <w:r w:rsidRPr="00671E2C">
        <w:rPr>
          <w:szCs w:val="22"/>
        </w:rPr>
        <w:t>for all settlement instructions. Instructions which are the result of netting by a C</w:t>
      </w:r>
      <w:r>
        <w:rPr>
          <w:szCs w:val="22"/>
        </w:rPr>
        <w:t>CP</w:t>
      </w:r>
      <w:r w:rsidRPr="00671E2C">
        <w:rPr>
          <w:szCs w:val="22"/>
        </w:rPr>
        <w:t xml:space="preserve"> (</w:t>
      </w:r>
      <w:r w:rsidR="00693879" w:rsidRPr="00693879">
        <w:rPr>
          <w:szCs w:val="22"/>
        </w:rPr>
        <w:t>particularly, but not exclusively, in relation to repo transactions</w:t>
      </w:r>
      <w:r w:rsidRPr="00671E2C">
        <w:rPr>
          <w:szCs w:val="22"/>
        </w:rPr>
        <w:t>) may not be linked to a single trade as the instruction may be the result of the netting of multiple trades</w:t>
      </w:r>
      <w:r>
        <w:rPr>
          <w:szCs w:val="22"/>
        </w:rPr>
        <w:t>.</w:t>
      </w:r>
      <w:r w:rsidR="00672A3A">
        <w:rPr>
          <w:szCs w:val="22"/>
        </w:rPr>
        <w:t xml:space="preserve"> For example, for CCPs using the </w:t>
      </w:r>
      <w:r w:rsidR="00672A3A">
        <w:t>Continuous Net S</w:t>
      </w:r>
      <w:r w:rsidR="00672A3A" w:rsidRPr="00B07584">
        <w:t>ettleme</w:t>
      </w:r>
      <w:r w:rsidR="00672A3A">
        <w:t>nt (</w:t>
      </w:r>
      <w:r w:rsidR="00672A3A">
        <w:rPr>
          <w:szCs w:val="20"/>
        </w:rPr>
        <w:t>CNS) model</w:t>
      </w:r>
      <w:r w:rsidR="00050995">
        <w:rPr>
          <w:szCs w:val="20"/>
        </w:rPr>
        <w:t>, such as LCH.Clearnet SA, the C</w:t>
      </w:r>
      <w:r w:rsidR="006E7000">
        <w:rPr>
          <w:szCs w:val="20"/>
        </w:rPr>
        <w:t>ontinental Europe</w:t>
      </w:r>
      <w:r w:rsidR="00050995">
        <w:rPr>
          <w:szCs w:val="20"/>
        </w:rPr>
        <w:t>an</w:t>
      </w:r>
      <w:r w:rsidR="006E7000">
        <w:rPr>
          <w:szCs w:val="20"/>
        </w:rPr>
        <w:t xml:space="preserve"> entity of LCH.Clearnet</w:t>
      </w:r>
      <w:r w:rsidR="00672A3A">
        <w:rPr>
          <w:szCs w:val="20"/>
        </w:rPr>
        <w:t xml:space="preserve"> </w:t>
      </w:r>
      <w:r w:rsidR="006E7000">
        <w:rPr>
          <w:szCs w:val="20"/>
        </w:rPr>
        <w:t xml:space="preserve">Group Limited, </w:t>
      </w:r>
      <w:r w:rsidR="00672A3A">
        <w:rPr>
          <w:szCs w:val="20"/>
        </w:rPr>
        <w:t>the following three steps apply:</w:t>
      </w:r>
    </w:p>
    <w:p w:rsidR="00672A3A" w:rsidRPr="00106BB2" w:rsidRDefault="00672A3A" w:rsidP="002146E2">
      <w:pPr>
        <w:pStyle w:val="ListParagraph"/>
        <w:numPr>
          <w:ilvl w:val="0"/>
          <w:numId w:val="39"/>
        </w:numPr>
        <w:jc w:val="both"/>
        <w:rPr>
          <w:szCs w:val="20"/>
          <w:lang w:val="en-US"/>
        </w:rPr>
      </w:pPr>
      <w:r>
        <w:rPr>
          <w:b/>
          <w:bCs/>
          <w:szCs w:val="20"/>
        </w:rPr>
        <w:t>1</w:t>
      </w:r>
      <w:r w:rsidRPr="00106BB2">
        <w:rPr>
          <w:b/>
          <w:bCs/>
          <w:szCs w:val="20"/>
          <w:vertAlign w:val="superscript"/>
        </w:rPr>
        <w:t>st</w:t>
      </w:r>
      <w:r>
        <w:rPr>
          <w:b/>
          <w:bCs/>
          <w:szCs w:val="20"/>
        </w:rPr>
        <w:t xml:space="preserve"> step:</w:t>
      </w:r>
      <w:r w:rsidRPr="00721131">
        <w:rPr>
          <w:b/>
          <w:bCs/>
          <w:szCs w:val="20"/>
        </w:rPr>
        <w:t xml:space="preserve"> </w:t>
      </w:r>
      <w:r>
        <w:rPr>
          <w:b/>
          <w:bCs/>
          <w:szCs w:val="20"/>
        </w:rPr>
        <w:t>on ISD-</w:t>
      </w:r>
      <w:r w:rsidRPr="00721131">
        <w:rPr>
          <w:b/>
          <w:bCs/>
          <w:szCs w:val="20"/>
        </w:rPr>
        <w:t xml:space="preserve">1 </w:t>
      </w:r>
      <w:r>
        <w:rPr>
          <w:b/>
          <w:bCs/>
          <w:szCs w:val="20"/>
        </w:rPr>
        <w:t>the CCP performs netting of trades with the same ISD</w:t>
      </w:r>
      <w:r w:rsidRPr="00721131">
        <w:rPr>
          <w:b/>
          <w:bCs/>
          <w:szCs w:val="20"/>
        </w:rPr>
        <w:t>:</w:t>
      </w:r>
    </w:p>
    <w:p w:rsidR="00672A3A" w:rsidRPr="00721131" w:rsidRDefault="001A359B" w:rsidP="002146E2">
      <w:pPr>
        <w:pStyle w:val="ListParagraph"/>
        <w:numPr>
          <w:ilvl w:val="1"/>
          <w:numId w:val="39"/>
        </w:numPr>
        <w:jc w:val="both"/>
        <w:rPr>
          <w:szCs w:val="20"/>
          <w:lang w:val="en-US"/>
        </w:rPr>
      </w:pPr>
      <w:r>
        <w:rPr>
          <w:szCs w:val="20"/>
        </w:rPr>
        <w:t>The</w:t>
      </w:r>
      <w:r w:rsidR="00672A3A">
        <w:rPr>
          <w:szCs w:val="20"/>
        </w:rPr>
        <w:t xml:space="preserve"> </w:t>
      </w:r>
      <w:r w:rsidR="00672A3A" w:rsidRPr="00721131">
        <w:rPr>
          <w:szCs w:val="20"/>
        </w:rPr>
        <w:t xml:space="preserve">netting of all trades with the same </w:t>
      </w:r>
      <w:r w:rsidR="00672A3A">
        <w:rPr>
          <w:szCs w:val="20"/>
        </w:rPr>
        <w:t>ISD</w:t>
      </w:r>
      <w:r w:rsidR="00672A3A" w:rsidRPr="00721131">
        <w:rPr>
          <w:szCs w:val="20"/>
        </w:rPr>
        <w:t xml:space="preserve"> </w:t>
      </w:r>
      <w:r w:rsidR="00672A3A">
        <w:rPr>
          <w:szCs w:val="20"/>
        </w:rPr>
        <w:t>leads to a single</w:t>
      </w:r>
      <w:r w:rsidR="00672A3A" w:rsidRPr="00721131">
        <w:rPr>
          <w:szCs w:val="20"/>
        </w:rPr>
        <w:t xml:space="preserve"> Buy or Sell position.</w:t>
      </w:r>
    </w:p>
    <w:p w:rsidR="00672A3A" w:rsidRPr="00721131" w:rsidRDefault="00672A3A" w:rsidP="002146E2">
      <w:pPr>
        <w:pStyle w:val="ListParagraph"/>
        <w:numPr>
          <w:ilvl w:val="2"/>
          <w:numId w:val="39"/>
        </w:numPr>
        <w:jc w:val="both"/>
        <w:rPr>
          <w:szCs w:val="20"/>
          <w:lang w:val="en-US"/>
        </w:rPr>
      </w:pPr>
      <w:r>
        <w:rPr>
          <w:szCs w:val="20"/>
          <w:lang w:val="en-US"/>
        </w:rPr>
        <w:t>In this process trades with potentially different trade dates, but with the same ISD are netted together.</w:t>
      </w:r>
    </w:p>
    <w:p w:rsidR="00672A3A" w:rsidRPr="00106BB2" w:rsidRDefault="00672A3A" w:rsidP="002146E2">
      <w:pPr>
        <w:pStyle w:val="ListParagraph"/>
        <w:numPr>
          <w:ilvl w:val="0"/>
          <w:numId w:val="39"/>
        </w:numPr>
        <w:jc w:val="both"/>
        <w:rPr>
          <w:szCs w:val="20"/>
          <w:lang w:val="en-US"/>
        </w:rPr>
      </w:pPr>
      <w:r w:rsidRPr="00721131">
        <w:rPr>
          <w:b/>
          <w:bCs/>
          <w:szCs w:val="20"/>
        </w:rPr>
        <w:lastRenderedPageBreak/>
        <w:t>2</w:t>
      </w:r>
      <w:r w:rsidRPr="00106BB2">
        <w:rPr>
          <w:b/>
          <w:bCs/>
          <w:szCs w:val="20"/>
          <w:vertAlign w:val="superscript"/>
        </w:rPr>
        <w:t>nd</w:t>
      </w:r>
      <w:r>
        <w:rPr>
          <w:b/>
          <w:bCs/>
          <w:szCs w:val="20"/>
        </w:rPr>
        <w:t xml:space="preserve"> </w:t>
      </w:r>
      <w:r w:rsidRPr="00721131">
        <w:rPr>
          <w:b/>
          <w:bCs/>
          <w:szCs w:val="20"/>
        </w:rPr>
        <w:t>step</w:t>
      </w:r>
      <w:r w:rsidR="0056175C">
        <w:rPr>
          <w:b/>
          <w:bCs/>
          <w:szCs w:val="20"/>
        </w:rPr>
        <w:t>:</w:t>
      </w:r>
      <w:r w:rsidRPr="00721131">
        <w:rPr>
          <w:b/>
          <w:bCs/>
          <w:szCs w:val="20"/>
        </w:rPr>
        <w:t xml:space="preserve"> </w:t>
      </w:r>
      <w:r>
        <w:rPr>
          <w:b/>
          <w:bCs/>
          <w:szCs w:val="20"/>
        </w:rPr>
        <w:t>on ISD-1 CCPs also performs n</w:t>
      </w:r>
      <w:r w:rsidRPr="00721131">
        <w:rPr>
          <w:b/>
          <w:bCs/>
          <w:szCs w:val="20"/>
        </w:rPr>
        <w:t xml:space="preserve">etting </w:t>
      </w:r>
      <w:r>
        <w:rPr>
          <w:b/>
          <w:bCs/>
          <w:szCs w:val="20"/>
        </w:rPr>
        <w:t xml:space="preserve">of unsettled </w:t>
      </w:r>
      <w:r w:rsidRPr="001A359B">
        <w:rPr>
          <w:b/>
          <w:bCs/>
          <w:szCs w:val="20"/>
        </w:rPr>
        <w:t>instructions</w:t>
      </w:r>
      <w:r w:rsidRPr="001A359B">
        <w:rPr>
          <w:b/>
          <w:szCs w:val="20"/>
        </w:rPr>
        <w:t>:</w:t>
      </w:r>
    </w:p>
    <w:p w:rsidR="00672A3A" w:rsidRPr="00106BB2" w:rsidRDefault="0056175C" w:rsidP="002146E2">
      <w:pPr>
        <w:pStyle w:val="ListParagraph"/>
        <w:numPr>
          <w:ilvl w:val="1"/>
          <w:numId w:val="39"/>
        </w:numPr>
        <w:jc w:val="both"/>
        <w:rPr>
          <w:szCs w:val="20"/>
          <w:lang w:val="en-US"/>
        </w:rPr>
      </w:pPr>
      <w:r>
        <w:rPr>
          <w:szCs w:val="20"/>
          <w:lang w:val="en-US"/>
        </w:rPr>
        <w:t xml:space="preserve">The netting comprises </w:t>
      </w:r>
      <w:r>
        <w:rPr>
          <w:szCs w:val="20"/>
        </w:rPr>
        <w:t xml:space="preserve">trades </w:t>
      </w:r>
      <w:r w:rsidR="00672A3A">
        <w:rPr>
          <w:szCs w:val="20"/>
        </w:rPr>
        <w:t>result</w:t>
      </w:r>
      <w:r>
        <w:rPr>
          <w:szCs w:val="20"/>
        </w:rPr>
        <w:t>ing from step 1 and</w:t>
      </w:r>
      <w:r w:rsidR="00672A3A">
        <w:rPr>
          <w:szCs w:val="20"/>
        </w:rPr>
        <w:t xml:space="preserve"> </w:t>
      </w:r>
      <w:r>
        <w:rPr>
          <w:szCs w:val="20"/>
        </w:rPr>
        <w:t xml:space="preserve">old </w:t>
      </w:r>
      <w:r w:rsidR="001A359B">
        <w:rPr>
          <w:szCs w:val="20"/>
        </w:rPr>
        <w:t>unsettled</w:t>
      </w:r>
      <w:r w:rsidR="00672A3A">
        <w:rPr>
          <w:szCs w:val="20"/>
        </w:rPr>
        <w:t xml:space="preserve"> </w:t>
      </w:r>
      <w:r>
        <w:rPr>
          <w:szCs w:val="20"/>
        </w:rPr>
        <w:t>instructions</w:t>
      </w:r>
      <w:r w:rsidR="00672A3A">
        <w:rPr>
          <w:szCs w:val="20"/>
        </w:rPr>
        <w:t>.</w:t>
      </w:r>
    </w:p>
    <w:p w:rsidR="00672A3A" w:rsidRPr="00106BB2" w:rsidRDefault="00672A3A" w:rsidP="002146E2">
      <w:pPr>
        <w:pStyle w:val="ListParagraph"/>
        <w:numPr>
          <w:ilvl w:val="0"/>
          <w:numId w:val="39"/>
        </w:numPr>
        <w:jc w:val="both"/>
        <w:rPr>
          <w:szCs w:val="20"/>
          <w:lang w:val="en-US"/>
        </w:rPr>
      </w:pPr>
      <w:r w:rsidRPr="00721131">
        <w:rPr>
          <w:b/>
          <w:bCs/>
          <w:szCs w:val="20"/>
        </w:rPr>
        <w:t>3</w:t>
      </w:r>
      <w:r w:rsidRPr="00106BB2">
        <w:rPr>
          <w:b/>
          <w:bCs/>
          <w:szCs w:val="20"/>
          <w:vertAlign w:val="superscript"/>
        </w:rPr>
        <w:t>rd</w:t>
      </w:r>
      <w:r>
        <w:rPr>
          <w:b/>
          <w:bCs/>
          <w:szCs w:val="20"/>
        </w:rPr>
        <w:t xml:space="preserve"> </w:t>
      </w:r>
      <w:r w:rsidRPr="00721131">
        <w:rPr>
          <w:b/>
          <w:bCs/>
          <w:szCs w:val="20"/>
        </w:rPr>
        <w:t>step</w:t>
      </w:r>
      <w:r w:rsidR="0056175C">
        <w:rPr>
          <w:b/>
          <w:bCs/>
          <w:szCs w:val="20"/>
        </w:rPr>
        <w:t>: a</w:t>
      </w:r>
      <w:r w:rsidRPr="00721131">
        <w:rPr>
          <w:b/>
          <w:bCs/>
          <w:szCs w:val="20"/>
        </w:rPr>
        <w:t>ggregation proces</w:t>
      </w:r>
      <w:r w:rsidRPr="001A359B">
        <w:rPr>
          <w:b/>
          <w:bCs/>
          <w:szCs w:val="20"/>
        </w:rPr>
        <w:t>s</w:t>
      </w:r>
      <w:r w:rsidRPr="001A359B">
        <w:rPr>
          <w:b/>
          <w:szCs w:val="20"/>
        </w:rPr>
        <w:t>:</w:t>
      </w:r>
    </w:p>
    <w:p w:rsidR="00672A3A" w:rsidRPr="00106BB2" w:rsidRDefault="00672A3A" w:rsidP="002146E2">
      <w:pPr>
        <w:pStyle w:val="ListParagraph"/>
        <w:numPr>
          <w:ilvl w:val="1"/>
          <w:numId w:val="39"/>
        </w:numPr>
        <w:jc w:val="both"/>
        <w:rPr>
          <w:szCs w:val="20"/>
          <w:lang w:val="en-US"/>
        </w:rPr>
      </w:pPr>
      <w:r>
        <w:rPr>
          <w:szCs w:val="20"/>
        </w:rPr>
        <w:t xml:space="preserve">Finally </w:t>
      </w:r>
      <w:r w:rsidR="0056175C">
        <w:rPr>
          <w:szCs w:val="20"/>
        </w:rPr>
        <w:t xml:space="preserve">the CCP performs an </w:t>
      </w:r>
      <w:r w:rsidRPr="00721131">
        <w:rPr>
          <w:szCs w:val="20"/>
        </w:rPr>
        <w:t xml:space="preserve">aggregation </w:t>
      </w:r>
      <w:r w:rsidR="0056175C">
        <w:rPr>
          <w:szCs w:val="20"/>
        </w:rPr>
        <w:t xml:space="preserve">process, whereby </w:t>
      </w:r>
      <w:r>
        <w:rPr>
          <w:szCs w:val="20"/>
        </w:rPr>
        <w:t xml:space="preserve">all </w:t>
      </w:r>
      <w:r w:rsidRPr="00721131">
        <w:rPr>
          <w:szCs w:val="20"/>
        </w:rPr>
        <w:t>long or short pos</w:t>
      </w:r>
      <w:r w:rsidRPr="00721131">
        <w:rPr>
          <w:szCs w:val="20"/>
        </w:rPr>
        <w:t>i</w:t>
      </w:r>
      <w:r w:rsidRPr="00721131">
        <w:rPr>
          <w:szCs w:val="20"/>
        </w:rPr>
        <w:t>tion</w:t>
      </w:r>
      <w:r w:rsidR="0056175C">
        <w:rPr>
          <w:szCs w:val="20"/>
        </w:rPr>
        <w:t>s result</w:t>
      </w:r>
      <w:r>
        <w:rPr>
          <w:szCs w:val="20"/>
        </w:rPr>
        <w:t xml:space="preserve"> in the </w:t>
      </w:r>
      <w:r w:rsidRPr="00721131">
        <w:rPr>
          <w:szCs w:val="20"/>
        </w:rPr>
        <w:t>creat</w:t>
      </w:r>
      <w:r>
        <w:rPr>
          <w:szCs w:val="20"/>
        </w:rPr>
        <w:t>ion</w:t>
      </w:r>
      <w:r w:rsidRPr="00721131">
        <w:rPr>
          <w:szCs w:val="20"/>
        </w:rPr>
        <w:t xml:space="preserve"> </w:t>
      </w:r>
      <w:r>
        <w:rPr>
          <w:szCs w:val="20"/>
        </w:rPr>
        <w:t xml:space="preserve">of </w:t>
      </w:r>
      <w:r w:rsidRPr="00721131">
        <w:rPr>
          <w:szCs w:val="20"/>
        </w:rPr>
        <w:t xml:space="preserve">a </w:t>
      </w:r>
      <w:r w:rsidR="0056175C">
        <w:rPr>
          <w:szCs w:val="20"/>
        </w:rPr>
        <w:t>single</w:t>
      </w:r>
      <w:r w:rsidR="001A359B">
        <w:rPr>
          <w:szCs w:val="20"/>
        </w:rPr>
        <w:t xml:space="preserve"> Delivery-versus-</w:t>
      </w:r>
      <w:r w:rsidR="001A359B" w:rsidRPr="001A359B">
        <w:rPr>
          <w:szCs w:val="20"/>
        </w:rPr>
        <w:t xml:space="preserve">payment </w:t>
      </w:r>
      <w:r w:rsidR="001A359B">
        <w:rPr>
          <w:szCs w:val="20"/>
        </w:rPr>
        <w:t>(</w:t>
      </w:r>
      <w:r w:rsidR="0056175C">
        <w:rPr>
          <w:szCs w:val="20"/>
        </w:rPr>
        <w:t>DVP</w:t>
      </w:r>
      <w:r w:rsidR="001A359B">
        <w:rPr>
          <w:szCs w:val="20"/>
        </w:rPr>
        <w:t>)</w:t>
      </w:r>
      <w:r w:rsidRPr="00721131">
        <w:rPr>
          <w:szCs w:val="20"/>
        </w:rPr>
        <w:t xml:space="preserve"> instruction to </w:t>
      </w:r>
      <w:r w:rsidR="0056175C">
        <w:rPr>
          <w:szCs w:val="20"/>
        </w:rPr>
        <w:t>be sent</w:t>
      </w:r>
      <w:r>
        <w:rPr>
          <w:szCs w:val="20"/>
        </w:rPr>
        <w:t xml:space="preserve"> to the ICSD/CSD with a new ISD.</w:t>
      </w:r>
    </w:p>
    <w:p w:rsidR="00672A3A" w:rsidRDefault="00672A3A" w:rsidP="00C204DC">
      <w:pPr>
        <w:jc w:val="both"/>
        <w:rPr>
          <w:szCs w:val="22"/>
        </w:rPr>
      </w:pPr>
    </w:p>
    <w:p w:rsidR="00446074" w:rsidRDefault="001E368F" w:rsidP="00C204DC">
      <w:pPr>
        <w:jc w:val="both"/>
        <w:rPr>
          <w:szCs w:val="22"/>
        </w:rPr>
      </w:pPr>
      <w:r w:rsidRPr="00671E2C">
        <w:rPr>
          <w:szCs w:val="22"/>
        </w:rPr>
        <w:t xml:space="preserve">ESMA </w:t>
      </w:r>
      <w:r>
        <w:rPr>
          <w:szCs w:val="22"/>
        </w:rPr>
        <w:t xml:space="preserve">should recognise </w:t>
      </w:r>
      <w:r w:rsidR="00693879">
        <w:rPr>
          <w:szCs w:val="22"/>
        </w:rPr>
        <w:t xml:space="preserve">that </w:t>
      </w:r>
      <w:r w:rsidR="00693879" w:rsidRPr="00693879">
        <w:rPr>
          <w:szCs w:val="22"/>
        </w:rPr>
        <w:t>“trade date” is not a piece of data which can be accurately provided at a settleme</w:t>
      </w:r>
      <w:r w:rsidR="000115F6">
        <w:rPr>
          <w:szCs w:val="22"/>
        </w:rPr>
        <w:t>nt instruction level following the</w:t>
      </w:r>
      <w:r w:rsidR="00693879" w:rsidRPr="00693879">
        <w:rPr>
          <w:szCs w:val="22"/>
        </w:rPr>
        <w:t xml:space="preserve"> </w:t>
      </w:r>
      <w:r w:rsidR="000E168C">
        <w:rPr>
          <w:szCs w:val="22"/>
        </w:rPr>
        <w:t xml:space="preserve">multilateral </w:t>
      </w:r>
      <w:r w:rsidR="00693879" w:rsidRPr="00693879">
        <w:rPr>
          <w:szCs w:val="22"/>
        </w:rPr>
        <w:t>netting process</w:t>
      </w:r>
      <w:r w:rsidR="000115F6">
        <w:rPr>
          <w:szCs w:val="22"/>
        </w:rPr>
        <w:t xml:space="preserve"> by CCPs, particularly those using </w:t>
      </w:r>
      <w:r w:rsidR="001A359B">
        <w:rPr>
          <w:szCs w:val="22"/>
        </w:rPr>
        <w:t xml:space="preserve">the </w:t>
      </w:r>
      <w:r w:rsidR="000115F6">
        <w:rPr>
          <w:szCs w:val="22"/>
        </w:rPr>
        <w:t>CNS</w:t>
      </w:r>
      <w:r w:rsidR="001A359B">
        <w:rPr>
          <w:szCs w:val="22"/>
        </w:rPr>
        <w:t xml:space="preserve"> model</w:t>
      </w:r>
      <w:r w:rsidR="000115F6">
        <w:rPr>
          <w:szCs w:val="22"/>
        </w:rPr>
        <w:t xml:space="preserve">, </w:t>
      </w:r>
      <w:r w:rsidR="003A6087">
        <w:rPr>
          <w:szCs w:val="22"/>
        </w:rPr>
        <w:t xml:space="preserve">and should therefore allow this field to be completed with an ‘NA’ value to </w:t>
      </w:r>
      <w:r w:rsidR="000115F6">
        <w:rPr>
          <w:szCs w:val="22"/>
        </w:rPr>
        <w:t>allow for cases where</w:t>
      </w:r>
      <w:r w:rsidR="003A6087">
        <w:rPr>
          <w:szCs w:val="22"/>
        </w:rPr>
        <w:t xml:space="preserve"> it is </w:t>
      </w:r>
      <w:r w:rsidR="003A6087" w:rsidRPr="003A6087">
        <w:rPr>
          <w:szCs w:val="22"/>
        </w:rPr>
        <w:t>not applicable</w:t>
      </w:r>
      <w:r w:rsidR="001A359B">
        <w:rPr>
          <w:szCs w:val="22"/>
        </w:rPr>
        <w:t>, for example</w:t>
      </w:r>
      <w:r w:rsidR="003A6087" w:rsidRPr="003A6087">
        <w:rPr>
          <w:szCs w:val="22"/>
        </w:rPr>
        <w:t xml:space="preserve"> </w:t>
      </w:r>
      <w:r w:rsidR="000115F6">
        <w:rPr>
          <w:szCs w:val="22"/>
        </w:rPr>
        <w:t>following netting of cleared tran</w:t>
      </w:r>
      <w:r w:rsidR="000115F6">
        <w:rPr>
          <w:szCs w:val="22"/>
        </w:rPr>
        <w:t>s</w:t>
      </w:r>
      <w:r w:rsidR="000115F6">
        <w:rPr>
          <w:szCs w:val="22"/>
        </w:rPr>
        <w:t>actions</w:t>
      </w:r>
      <w:r w:rsidR="003A6087">
        <w:rPr>
          <w:szCs w:val="22"/>
        </w:rPr>
        <w:t xml:space="preserve">. </w:t>
      </w:r>
      <w:r>
        <w:rPr>
          <w:szCs w:val="22"/>
        </w:rPr>
        <w:t>We would</w:t>
      </w:r>
      <w:r w:rsidR="000115F6">
        <w:rPr>
          <w:szCs w:val="22"/>
        </w:rPr>
        <w:t xml:space="preserve"> like to</w:t>
      </w:r>
      <w:r w:rsidR="003A6087">
        <w:rPr>
          <w:szCs w:val="22"/>
        </w:rPr>
        <w:t xml:space="preserve"> </w:t>
      </w:r>
      <w:r w:rsidR="00446074">
        <w:rPr>
          <w:szCs w:val="22"/>
        </w:rPr>
        <w:t>propose to amend the text of Article 3(3</w:t>
      </w:r>
      <w:proofErr w:type="gramStart"/>
      <w:r w:rsidR="00446074">
        <w:rPr>
          <w:szCs w:val="22"/>
        </w:rPr>
        <w:t>)(</w:t>
      </w:r>
      <w:proofErr w:type="gramEnd"/>
      <w:r w:rsidR="00446074">
        <w:rPr>
          <w:szCs w:val="22"/>
        </w:rPr>
        <w:t>c) as follows:</w:t>
      </w:r>
    </w:p>
    <w:p w:rsidR="00446074" w:rsidRDefault="00446074" w:rsidP="00C204DC">
      <w:pPr>
        <w:jc w:val="both"/>
        <w:rPr>
          <w:szCs w:val="22"/>
        </w:rPr>
      </w:pPr>
    </w:p>
    <w:p w:rsidR="000115F6" w:rsidRDefault="00446074" w:rsidP="00C204DC">
      <w:pPr>
        <w:ind w:left="426"/>
        <w:jc w:val="both"/>
        <w:rPr>
          <w:b/>
          <w:i/>
          <w:szCs w:val="22"/>
        </w:rPr>
      </w:pPr>
      <w:r>
        <w:rPr>
          <w:szCs w:val="22"/>
        </w:rPr>
        <w:t>(c): ‘</w:t>
      </w:r>
      <w:r>
        <w:rPr>
          <w:i/>
          <w:szCs w:val="22"/>
        </w:rPr>
        <w:t>trade dat</w:t>
      </w:r>
      <w:r w:rsidR="00616E88">
        <w:rPr>
          <w:i/>
          <w:szCs w:val="22"/>
        </w:rPr>
        <w:t>e</w:t>
      </w:r>
      <w:r w:rsidR="00734B06">
        <w:rPr>
          <w:i/>
          <w:szCs w:val="22"/>
        </w:rPr>
        <w:t>’</w:t>
      </w:r>
      <w:r w:rsidR="00483DA0">
        <w:rPr>
          <w:i/>
          <w:szCs w:val="22"/>
        </w:rPr>
        <w:t xml:space="preserve"> </w:t>
      </w:r>
      <w:r>
        <w:rPr>
          <w:b/>
          <w:i/>
          <w:szCs w:val="22"/>
        </w:rPr>
        <w:t>(</w:t>
      </w:r>
      <w:r w:rsidR="001A359B">
        <w:rPr>
          <w:b/>
          <w:i/>
          <w:szCs w:val="22"/>
        </w:rPr>
        <w:t>when applicable);</w:t>
      </w:r>
    </w:p>
    <w:p w:rsidR="001A359B" w:rsidRDefault="001A359B" w:rsidP="00C204DC">
      <w:pPr>
        <w:ind w:left="426"/>
        <w:jc w:val="both"/>
        <w:rPr>
          <w:b/>
          <w:i/>
          <w:szCs w:val="22"/>
        </w:rPr>
      </w:pPr>
    </w:p>
    <w:p w:rsidR="001A359B" w:rsidRDefault="00616E88" w:rsidP="001A359B">
      <w:pPr>
        <w:jc w:val="both"/>
        <w:rPr>
          <w:szCs w:val="22"/>
        </w:rPr>
      </w:pPr>
      <w:r w:rsidRPr="00616E88">
        <w:rPr>
          <w:szCs w:val="22"/>
        </w:rPr>
        <w:t>Art</w:t>
      </w:r>
      <w:r>
        <w:rPr>
          <w:szCs w:val="22"/>
        </w:rPr>
        <w:t>icle 3(7), proposes that a CSD shall offer</w:t>
      </w:r>
      <w:r w:rsidR="00480F2F">
        <w:rPr>
          <w:szCs w:val="22"/>
        </w:rPr>
        <w:t xml:space="preserve"> its participants the possibility to partially settle i</w:t>
      </w:r>
      <w:r w:rsidR="00480F2F">
        <w:rPr>
          <w:szCs w:val="22"/>
        </w:rPr>
        <w:t>n</w:t>
      </w:r>
      <w:r w:rsidR="001A359B">
        <w:rPr>
          <w:szCs w:val="22"/>
        </w:rPr>
        <w:t>structions. However, the</w:t>
      </w:r>
      <w:r w:rsidR="00B94B3A">
        <w:rPr>
          <w:szCs w:val="22"/>
        </w:rPr>
        <w:t xml:space="preserve"> </w:t>
      </w:r>
      <w:r w:rsidR="000E168C">
        <w:rPr>
          <w:szCs w:val="22"/>
        </w:rPr>
        <w:t xml:space="preserve">multilateral netting </w:t>
      </w:r>
      <w:r w:rsidR="002146E2">
        <w:rPr>
          <w:szCs w:val="22"/>
        </w:rPr>
        <w:t>process of the CCPs requires</w:t>
      </w:r>
      <w:r w:rsidR="00B94B3A">
        <w:rPr>
          <w:szCs w:val="22"/>
        </w:rPr>
        <w:t xml:space="preserve"> partial settlement and do not allow for discretion o</w:t>
      </w:r>
      <w:r w:rsidR="00047DBB">
        <w:rPr>
          <w:szCs w:val="22"/>
        </w:rPr>
        <w:t>n the part of the participant</w:t>
      </w:r>
      <w:r w:rsidR="002146E2">
        <w:rPr>
          <w:szCs w:val="22"/>
        </w:rPr>
        <w:t>s</w:t>
      </w:r>
      <w:r w:rsidR="00047DBB">
        <w:rPr>
          <w:szCs w:val="22"/>
        </w:rPr>
        <w:t xml:space="preserve">. </w:t>
      </w:r>
      <w:r w:rsidR="001A359B">
        <w:rPr>
          <w:szCs w:val="22"/>
        </w:rPr>
        <w:t>Therefore, w</w:t>
      </w:r>
      <w:r w:rsidR="001A359B" w:rsidRPr="00914E36">
        <w:rPr>
          <w:szCs w:val="22"/>
        </w:rPr>
        <w:t>e believe that CSDs should offer the auto-</w:t>
      </w:r>
      <w:proofErr w:type="spellStart"/>
      <w:r w:rsidR="001A359B" w:rsidRPr="00914E36">
        <w:rPr>
          <w:szCs w:val="22"/>
        </w:rPr>
        <w:t>partialling</w:t>
      </w:r>
      <w:proofErr w:type="spellEnd"/>
      <w:r w:rsidR="001A359B" w:rsidRPr="00914E36">
        <w:rPr>
          <w:szCs w:val="22"/>
        </w:rPr>
        <w:t xml:space="preserve"> functionality for cleared transactions to maximise settlement efficiency. ESMA</w:t>
      </w:r>
      <w:r w:rsidR="001A359B">
        <w:rPr>
          <w:szCs w:val="22"/>
        </w:rPr>
        <w:t xml:space="preserve"> should clarify that ‘</w:t>
      </w:r>
      <w:proofErr w:type="spellStart"/>
      <w:r w:rsidR="001A359B">
        <w:rPr>
          <w:szCs w:val="22"/>
        </w:rPr>
        <w:t>partialling</w:t>
      </w:r>
      <w:proofErr w:type="spellEnd"/>
      <w:r w:rsidR="001A359B">
        <w:rPr>
          <w:szCs w:val="22"/>
        </w:rPr>
        <w:t>’ under</w:t>
      </w:r>
      <w:r w:rsidR="001A359B" w:rsidRPr="000309DD">
        <w:rPr>
          <w:szCs w:val="22"/>
        </w:rPr>
        <w:t xml:space="preserve"> Article</w:t>
      </w:r>
      <w:r w:rsidR="001A359B">
        <w:rPr>
          <w:szCs w:val="22"/>
        </w:rPr>
        <w:t xml:space="preserve"> </w:t>
      </w:r>
      <w:r w:rsidR="001A359B" w:rsidRPr="000309DD">
        <w:rPr>
          <w:szCs w:val="22"/>
        </w:rPr>
        <w:t xml:space="preserve">3(7) means </w:t>
      </w:r>
      <w:r w:rsidR="001A359B">
        <w:rPr>
          <w:szCs w:val="22"/>
        </w:rPr>
        <w:t>‘</w:t>
      </w:r>
      <w:r w:rsidR="001A359B" w:rsidRPr="000309DD">
        <w:rPr>
          <w:szCs w:val="22"/>
        </w:rPr>
        <w:t xml:space="preserve">unilateral </w:t>
      </w:r>
      <w:proofErr w:type="spellStart"/>
      <w:r w:rsidR="001A359B" w:rsidRPr="000309DD">
        <w:rPr>
          <w:szCs w:val="22"/>
        </w:rPr>
        <w:t>partialling</w:t>
      </w:r>
      <w:proofErr w:type="spellEnd"/>
      <w:r w:rsidR="001A359B">
        <w:rPr>
          <w:szCs w:val="22"/>
        </w:rPr>
        <w:t>’, i.e. the delivering participant</w:t>
      </w:r>
      <w:r w:rsidR="001A359B" w:rsidRPr="000309DD">
        <w:rPr>
          <w:szCs w:val="22"/>
        </w:rPr>
        <w:t xml:space="preserve"> can instigate the partial delivery without matching required by the </w:t>
      </w:r>
      <w:r w:rsidR="001A359B">
        <w:rPr>
          <w:szCs w:val="22"/>
        </w:rPr>
        <w:t>receiving participant</w:t>
      </w:r>
      <w:r w:rsidR="001A359B" w:rsidRPr="000309DD">
        <w:rPr>
          <w:szCs w:val="22"/>
        </w:rPr>
        <w:t xml:space="preserve"> in each case.</w:t>
      </w:r>
      <w:r w:rsidR="001A359B">
        <w:rPr>
          <w:szCs w:val="22"/>
        </w:rPr>
        <w:t xml:space="preserve"> </w:t>
      </w:r>
      <w:r w:rsidR="001A359B" w:rsidRPr="000309DD">
        <w:rPr>
          <w:szCs w:val="22"/>
        </w:rPr>
        <w:t xml:space="preserve">It is assumed that the </w:t>
      </w:r>
      <w:r w:rsidR="001A359B">
        <w:rPr>
          <w:szCs w:val="22"/>
        </w:rPr>
        <w:t>‘</w:t>
      </w:r>
      <w:r w:rsidR="001A359B" w:rsidRPr="000309DD">
        <w:rPr>
          <w:szCs w:val="22"/>
        </w:rPr>
        <w:t>opt</w:t>
      </w:r>
      <w:r w:rsidR="001A359B">
        <w:rPr>
          <w:szCs w:val="22"/>
        </w:rPr>
        <w:t xml:space="preserve"> </w:t>
      </w:r>
      <w:r w:rsidR="001A359B" w:rsidRPr="000309DD">
        <w:rPr>
          <w:szCs w:val="22"/>
        </w:rPr>
        <w:t>out</w:t>
      </w:r>
      <w:r w:rsidR="001A359B">
        <w:rPr>
          <w:szCs w:val="22"/>
        </w:rPr>
        <w:t>’ option</w:t>
      </w:r>
      <w:r w:rsidR="001A359B" w:rsidRPr="000309DD">
        <w:rPr>
          <w:szCs w:val="22"/>
        </w:rPr>
        <w:t xml:space="preserve"> by the receiv</w:t>
      </w:r>
      <w:r w:rsidR="001A359B">
        <w:rPr>
          <w:szCs w:val="22"/>
        </w:rPr>
        <w:t>ing partic</w:t>
      </w:r>
      <w:r w:rsidR="001A359B">
        <w:rPr>
          <w:szCs w:val="22"/>
        </w:rPr>
        <w:t>i</w:t>
      </w:r>
      <w:r w:rsidR="001A359B">
        <w:rPr>
          <w:szCs w:val="22"/>
        </w:rPr>
        <w:t>pant</w:t>
      </w:r>
      <w:r w:rsidR="001A359B" w:rsidRPr="000309DD">
        <w:rPr>
          <w:szCs w:val="22"/>
        </w:rPr>
        <w:t xml:space="preserve"> is globally set on </w:t>
      </w:r>
      <w:r w:rsidR="001A359B">
        <w:rPr>
          <w:szCs w:val="22"/>
        </w:rPr>
        <w:t xml:space="preserve">its </w:t>
      </w:r>
      <w:r w:rsidR="001A359B" w:rsidRPr="000309DD">
        <w:rPr>
          <w:szCs w:val="22"/>
        </w:rPr>
        <w:t xml:space="preserve">account. We would like to understand </w:t>
      </w:r>
      <w:r w:rsidR="001A359B">
        <w:rPr>
          <w:szCs w:val="22"/>
        </w:rPr>
        <w:t xml:space="preserve">the reason </w:t>
      </w:r>
      <w:r w:rsidR="001A359B" w:rsidRPr="000309DD">
        <w:rPr>
          <w:szCs w:val="22"/>
        </w:rPr>
        <w:t xml:space="preserve">why the </w:t>
      </w:r>
      <w:r w:rsidR="001A359B">
        <w:rPr>
          <w:szCs w:val="22"/>
        </w:rPr>
        <w:t>‘</w:t>
      </w:r>
      <w:r w:rsidR="001A359B" w:rsidRPr="000309DD">
        <w:rPr>
          <w:szCs w:val="22"/>
        </w:rPr>
        <w:t>opt out</w:t>
      </w:r>
      <w:r w:rsidR="001A359B">
        <w:rPr>
          <w:szCs w:val="22"/>
        </w:rPr>
        <w:t>’</w:t>
      </w:r>
      <w:r w:rsidR="001A359B" w:rsidRPr="000309DD">
        <w:rPr>
          <w:szCs w:val="22"/>
        </w:rPr>
        <w:t xml:space="preserve"> option has been provided as this appears to reduce settlement efficiency by stopping settleme</w:t>
      </w:r>
      <w:r w:rsidR="001A359B">
        <w:rPr>
          <w:szCs w:val="22"/>
        </w:rPr>
        <w:t>nt taking place where both financial instrument due to be delivered</w:t>
      </w:r>
      <w:r w:rsidR="001A359B" w:rsidRPr="000309DD">
        <w:rPr>
          <w:szCs w:val="22"/>
        </w:rPr>
        <w:t xml:space="preserve"> and cash are available. </w:t>
      </w:r>
      <w:r w:rsidR="001A359B">
        <w:rPr>
          <w:szCs w:val="22"/>
        </w:rPr>
        <w:t>In add</w:t>
      </w:r>
      <w:r w:rsidR="001A359B">
        <w:rPr>
          <w:szCs w:val="22"/>
        </w:rPr>
        <w:t>i</w:t>
      </w:r>
      <w:r w:rsidR="001A359B">
        <w:rPr>
          <w:szCs w:val="22"/>
        </w:rPr>
        <w:t xml:space="preserve">tion, </w:t>
      </w:r>
      <w:r w:rsidR="001A359B" w:rsidRPr="000309DD">
        <w:rPr>
          <w:szCs w:val="22"/>
        </w:rPr>
        <w:t>Article</w:t>
      </w:r>
      <w:r w:rsidR="001A359B">
        <w:rPr>
          <w:szCs w:val="22"/>
        </w:rPr>
        <w:t xml:space="preserve"> </w:t>
      </w:r>
      <w:r w:rsidR="001A359B" w:rsidRPr="000309DD">
        <w:rPr>
          <w:szCs w:val="22"/>
        </w:rPr>
        <w:t xml:space="preserve">11(6) describes a case where the </w:t>
      </w:r>
      <w:r w:rsidR="001A359B">
        <w:rPr>
          <w:szCs w:val="22"/>
        </w:rPr>
        <w:t>‘</w:t>
      </w:r>
      <w:r w:rsidR="001A359B" w:rsidRPr="000309DD">
        <w:rPr>
          <w:szCs w:val="22"/>
        </w:rPr>
        <w:t>opt-out</w:t>
      </w:r>
      <w:r w:rsidR="001A359B">
        <w:rPr>
          <w:szCs w:val="22"/>
        </w:rPr>
        <w:t>’</w:t>
      </w:r>
      <w:r w:rsidR="001A359B" w:rsidRPr="000309DD">
        <w:rPr>
          <w:szCs w:val="22"/>
        </w:rPr>
        <w:t xml:space="preserve"> </w:t>
      </w:r>
      <w:r w:rsidR="001A359B">
        <w:rPr>
          <w:szCs w:val="22"/>
        </w:rPr>
        <w:t xml:space="preserve">option </w:t>
      </w:r>
      <w:r w:rsidR="001A359B" w:rsidRPr="000309DD">
        <w:rPr>
          <w:szCs w:val="22"/>
        </w:rPr>
        <w:t>is not applied</w:t>
      </w:r>
      <w:r w:rsidR="001A359B">
        <w:rPr>
          <w:szCs w:val="22"/>
        </w:rPr>
        <w:t>, that is on the last day of the extension period. It is therefore unclear the reason behind making this option avai</w:t>
      </w:r>
      <w:r w:rsidR="001A359B">
        <w:rPr>
          <w:szCs w:val="22"/>
        </w:rPr>
        <w:t>l</w:t>
      </w:r>
      <w:r w:rsidR="001A359B">
        <w:rPr>
          <w:szCs w:val="22"/>
        </w:rPr>
        <w:t>able in the first place. We believe partial settlement should be required throughout the extension period, as a general rule. We suggest that the text in Article 3(7) is amended as follows to e</w:t>
      </w:r>
      <w:r w:rsidR="001A359B">
        <w:rPr>
          <w:szCs w:val="22"/>
        </w:rPr>
        <w:t>n</w:t>
      </w:r>
      <w:r w:rsidR="001A359B">
        <w:rPr>
          <w:szCs w:val="22"/>
        </w:rPr>
        <w:t>sure that it does not under</w:t>
      </w:r>
      <w:r w:rsidR="00A2593C">
        <w:rPr>
          <w:szCs w:val="22"/>
        </w:rPr>
        <w:t>mine the</w:t>
      </w:r>
      <w:r w:rsidR="001A359B">
        <w:rPr>
          <w:szCs w:val="22"/>
        </w:rPr>
        <w:t xml:space="preserve"> partial settlement requirements</w:t>
      </w:r>
      <w:r w:rsidR="00A2593C">
        <w:rPr>
          <w:szCs w:val="22"/>
        </w:rPr>
        <w:t xml:space="preserve"> of a CCP:</w:t>
      </w:r>
    </w:p>
    <w:p w:rsidR="00A2593C" w:rsidRDefault="00A2593C" w:rsidP="001A359B">
      <w:pPr>
        <w:jc w:val="both"/>
        <w:rPr>
          <w:szCs w:val="22"/>
        </w:rPr>
      </w:pPr>
    </w:p>
    <w:p w:rsidR="001A359B" w:rsidRDefault="001A359B" w:rsidP="001A359B">
      <w:pPr>
        <w:ind w:left="1440" w:hanging="720"/>
        <w:jc w:val="both"/>
        <w:rPr>
          <w:szCs w:val="22"/>
        </w:rPr>
      </w:pPr>
      <w:r>
        <w:rPr>
          <w:szCs w:val="22"/>
        </w:rPr>
        <w:t>(7)</w:t>
      </w:r>
      <w:r>
        <w:rPr>
          <w:szCs w:val="22"/>
        </w:rPr>
        <w:tab/>
      </w:r>
      <w:r w:rsidR="00A2593C">
        <w:rPr>
          <w:b/>
          <w:i/>
          <w:szCs w:val="22"/>
        </w:rPr>
        <w:t xml:space="preserve">Subject to any rules </w:t>
      </w:r>
      <w:r w:rsidR="00A2593C" w:rsidRPr="001A359B">
        <w:rPr>
          <w:b/>
          <w:i/>
          <w:szCs w:val="22"/>
        </w:rPr>
        <w:t>of a relevant CCP or trading venue</w:t>
      </w:r>
      <w:r w:rsidR="00A2593C">
        <w:rPr>
          <w:b/>
          <w:i/>
          <w:szCs w:val="22"/>
        </w:rPr>
        <w:t xml:space="preserve"> mandating or r</w:t>
      </w:r>
      <w:r w:rsidR="00A2593C">
        <w:rPr>
          <w:b/>
          <w:i/>
          <w:szCs w:val="22"/>
        </w:rPr>
        <w:t>e</w:t>
      </w:r>
      <w:r w:rsidR="00A2593C">
        <w:rPr>
          <w:b/>
          <w:i/>
          <w:szCs w:val="22"/>
        </w:rPr>
        <w:t>stricting partial settlement of transactions, a</w:t>
      </w:r>
      <w:r w:rsidRPr="00050995">
        <w:rPr>
          <w:szCs w:val="22"/>
        </w:rPr>
        <w:t xml:space="preserve"> CSD shall offer its participants the possibility to partially settle </w:t>
      </w:r>
      <w:r w:rsidRPr="00050995">
        <w:rPr>
          <w:b/>
          <w:i/>
          <w:szCs w:val="22"/>
        </w:rPr>
        <w:t xml:space="preserve">unilaterally </w:t>
      </w:r>
      <w:r w:rsidRPr="00050995">
        <w:rPr>
          <w:szCs w:val="22"/>
        </w:rPr>
        <w:t xml:space="preserve">their settlement instructions </w:t>
      </w:r>
      <w:r w:rsidRPr="00050995">
        <w:rPr>
          <w:b/>
          <w:i/>
          <w:szCs w:val="22"/>
        </w:rPr>
        <w:t>[deleted]</w:t>
      </w:r>
      <w:r w:rsidRPr="00050995">
        <w:rPr>
          <w:szCs w:val="22"/>
        </w:rPr>
        <w:t xml:space="preserve">. </w:t>
      </w:r>
      <w:r w:rsidRPr="00050995">
        <w:rPr>
          <w:b/>
          <w:i/>
          <w:szCs w:val="22"/>
        </w:rPr>
        <w:t>A CSD shall also offer auto-</w:t>
      </w:r>
      <w:proofErr w:type="spellStart"/>
      <w:r w:rsidRPr="00050995">
        <w:rPr>
          <w:b/>
          <w:i/>
          <w:szCs w:val="22"/>
        </w:rPr>
        <w:t>partialling</w:t>
      </w:r>
      <w:proofErr w:type="spellEnd"/>
      <w:r w:rsidRPr="00050995">
        <w:rPr>
          <w:b/>
          <w:i/>
          <w:szCs w:val="22"/>
        </w:rPr>
        <w:t xml:space="preserve"> for transactions cleared by a CCP.</w:t>
      </w:r>
    </w:p>
    <w:p w:rsidR="00D25C0D" w:rsidRDefault="00D25C0D" w:rsidP="00C204DC">
      <w:pPr>
        <w:ind w:left="1418" w:hanging="713"/>
        <w:jc w:val="both"/>
        <w:rPr>
          <w:szCs w:val="22"/>
        </w:rPr>
      </w:pPr>
    </w:p>
    <w:p w:rsidR="00B94B3A" w:rsidRDefault="00047DBB" w:rsidP="00C204DC">
      <w:pPr>
        <w:jc w:val="both"/>
        <w:rPr>
          <w:szCs w:val="22"/>
        </w:rPr>
      </w:pPr>
      <w:r>
        <w:rPr>
          <w:szCs w:val="22"/>
        </w:rPr>
        <w:t>Finally</w:t>
      </w:r>
      <w:r w:rsidR="00360664">
        <w:rPr>
          <w:szCs w:val="22"/>
        </w:rPr>
        <w:t>,</w:t>
      </w:r>
      <w:r>
        <w:rPr>
          <w:szCs w:val="22"/>
        </w:rPr>
        <w:t xml:space="preserve"> we suggest</w:t>
      </w:r>
      <w:r w:rsidRPr="000309DD">
        <w:rPr>
          <w:szCs w:val="22"/>
        </w:rPr>
        <w:t xml:space="preserve"> that Article</w:t>
      </w:r>
      <w:r>
        <w:rPr>
          <w:szCs w:val="22"/>
        </w:rPr>
        <w:t xml:space="preserve"> </w:t>
      </w:r>
      <w:r w:rsidRPr="000309DD">
        <w:rPr>
          <w:szCs w:val="22"/>
        </w:rPr>
        <w:t>3(9</w:t>
      </w:r>
      <w:proofErr w:type="gramStart"/>
      <w:r w:rsidRPr="000309DD">
        <w:rPr>
          <w:szCs w:val="22"/>
        </w:rPr>
        <w:t>)(</w:t>
      </w:r>
      <w:proofErr w:type="gramEnd"/>
      <w:r w:rsidRPr="000309DD">
        <w:rPr>
          <w:szCs w:val="22"/>
        </w:rPr>
        <w:t>e)</w:t>
      </w:r>
      <w:r>
        <w:rPr>
          <w:szCs w:val="22"/>
        </w:rPr>
        <w:t>, particularly points (</w:t>
      </w:r>
      <w:proofErr w:type="spellStart"/>
      <w:r>
        <w:rPr>
          <w:szCs w:val="22"/>
        </w:rPr>
        <w:t>i</w:t>
      </w:r>
      <w:proofErr w:type="spellEnd"/>
      <w:r>
        <w:rPr>
          <w:szCs w:val="22"/>
        </w:rPr>
        <w:t xml:space="preserve">) to (vi), should not be required </w:t>
      </w:r>
      <w:r w:rsidRPr="000309DD">
        <w:rPr>
          <w:szCs w:val="22"/>
        </w:rPr>
        <w:t>for failed settlements involving a CCP</w:t>
      </w:r>
      <w:r>
        <w:rPr>
          <w:szCs w:val="22"/>
        </w:rPr>
        <w:t xml:space="preserve"> where the information would need to be sourced from the CCP. The usefulness </w:t>
      </w:r>
      <w:r w:rsidR="00A2593C">
        <w:rPr>
          <w:szCs w:val="22"/>
        </w:rPr>
        <w:t xml:space="preserve">of this information in this case </w:t>
      </w:r>
      <w:r>
        <w:rPr>
          <w:szCs w:val="22"/>
        </w:rPr>
        <w:t xml:space="preserve">is questionable and </w:t>
      </w:r>
      <w:r>
        <w:rPr>
          <w:rFonts w:cs="Arial"/>
        </w:rPr>
        <w:t xml:space="preserve">we believe that, where possible, the RTS should minimise the need </w:t>
      </w:r>
      <w:r>
        <w:rPr>
          <w:szCs w:val="22"/>
        </w:rPr>
        <w:t xml:space="preserve">for CSDs and CCPs </w:t>
      </w:r>
      <w:r w:rsidR="00D25C0D">
        <w:rPr>
          <w:rFonts w:cs="Arial"/>
        </w:rPr>
        <w:t>to</w:t>
      </w:r>
      <w:r w:rsidR="00D25C0D" w:rsidRPr="002E7299">
        <w:rPr>
          <w:rFonts w:cs="Arial"/>
        </w:rPr>
        <w:t xml:space="preserve"> exchange bespoke inform</w:t>
      </w:r>
      <w:r w:rsidR="00D25C0D" w:rsidRPr="002E7299">
        <w:rPr>
          <w:rFonts w:cs="Arial"/>
        </w:rPr>
        <w:t>a</w:t>
      </w:r>
      <w:r w:rsidR="00D25C0D" w:rsidRPr="002E7299">
        <w:rPr>
          <w:rFonts w:cs="Arial"/>
        </w:rPr>
        <w:t>tion</w:t>
      </w:r>
      <w:r>
        <w:rPr>
          <w:rFonts w:cs="Arial"/>
        </w:rPr>
        <w:t xml:space="preserve">. </w:t>
      </w:r>
      <w:r w:rsidR="003D24DA">
        <w:rPr>
          <w:szCs w:val="22"/>
        </w:rPr>
        <w:t>We therefore propose the following amendment at the end of paragraph 9 of Article 3:</w:t>
      </w:r>
    </w:p>
    <w:p w:rsidR="003D24DA" w:rsidRDefault="003D24DA" w:rsidP="00C204DC">
      <w:pPr>
        <w:jc w:val="both"/>
        <w:rPr>
          <w:szCs w:val="22"/>
        </w:rPr>
      </w:pPr>
    </w:p>
    <w:p w:rsidR="003D24DA" w:rsidRPr="00BB0A66" w:rsidRDefault="00A2593C" w:rsidP="00C204DC">
      <w:pPr>
        <w:ind w:left="1350" w:hanging="900"/>
        <w:jc w:val="both"/>
        <w:rPr>
          <w:b/>
          <w:i/>
          <w:szCs w:val="22"/>
        </w:rPr>
      </w:pPr>
      <w:r>
        <w:rPr>
          <w:b/>
          <w:i/>
          <w:szCs w:val="22"/>
        </w:rPr>
        <w:t>(9) (</w:t>
      </w:r>
      <w:proofErr w:type="gramStart"/>
      <w:r>
        <w:rPr>
          <w:b/>
          <w:i/>
          <w:szCs w:val="22"/>
        </w:rPr>
        <w:t>n</w:t>
      </w:r>
      <w:r w:rsidR="003D24DA" w:rsidRPr="00BB0A66">
        <w:rPr>
          <w:b/>
          <w:i/>
          <w:szCs w:val="22"/>
        </w:rPr>
        <w:t>ew</w:t>
      </w:r>
      <w:proofErr w:type="gramEnd"/>
      <w:r w:rsidR="00173C05">
        <w:rPr>
          <w:b/>
          <w:i/>
          <w:szCs w:val="22"/>
        </w:rPr>
        <w:t>)</w:t>
      </w:r>
      <w:r w:rsidR="003D24DA" w:rsidRPr="00BB0A66">
        <w:rPr>
          <w:b/>
          <w:i/>
          <w:szCs w:val="22"/>
        </w:rPr>
        <w:t xml:space="preserve">: </w:t>
      </w:r>
      <w:r w:rsidR="009461ED">
        <w:rPr>
          <w:b/>
          <w:i/>
          <w:szCs w:val="22"/>
        </w:rPr>
        <w:t>point (</w:t>
      </w:r>
      <w:proofErr w:type="spellStart"/>
      <w:r w:rsidR="009461ED">
        <w:rPr>
          <w:b/>
          <w:i/>
          <w:szCs w:val="22"/>
        </w:rPr>
        <w:t>i</w:t>
      </w:r>
      <w:proofErr w:type="spellEnd"/>
      <w:r w:rsidR="009461ED">
        <w:rPr>
          <w:b/>
          <w:i/>
          <w:szCs w:val="22"/>
        </w:rPr>
        <w:t xml:space="preserve">) to (vi) of </w:t>
      </w:r>
      <w:r w:rsidR="00173C05">
        <w:rPr>
          <w:b/>
          <w:i/>
          <w:szCs w:val="22"/>
        </w:rPr>
        <w:t>9</w:t>
      </w:r>
      <w:r w:rsidR="00BB0A66" w:rsidRPr="00BB0A66">
        <w:rPr>
          <w:b/>
          <w:i/>
          <w:szCs w:val="22"/>
        </w:rPr>
        <w:t xml:space="preserve">(e) shall not </w:t>
      </w:r>
      <w:r w:rsidR="00173C05">
        <w:rPr>
          <w:b/>
          <w:i/>
          <w:szCs w:val="22"/>
        </w:rPr>
        <w:t>apply to</w:t>
      </w:r>
      <w:r w:rsidR="00BB0A66" w:rsidRPr="00BB0A66">
        <w:rPr>
          <w:b/>
          <w:i/>
          <w:szCs w:val="22"/>
        </w:rPr>
        <w:t xml:space="preserve"> failed settlements </w:t>
      </w:r>
      <w:r w:rsidR="009461ED">
        <w:rPr>
          <w:b/>
          <w:i/>
          <w:szCs w:val="22"/>
        </w:rPr>
        <w:t>cleared by CCPs.</w:t>
      </w:r>
    </w:p>
    <w:permEnd w:id="6"/>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76277F" w:rsidRDefault="00776017" w:rsidP="006E0702">
      <w:pPr>
        <w:jc w:val="both"/>
      </w:pPr>
      <w:permStart w:id="7" w:edGrp="everyone"/>
      <w:r>
        <w:t xml:space="preserve">In section 2.5 </w:t>
      </w:r>
      <w:r w:rsidRPr="00A2593C">
        <w:t xml:space="preserve">of the </w:t>
      </w:r>
      <w:r w:rsidR="00033D54" w:rsidRPr="00A2593C">
        <w:t>discussion part of the Consultation Paper</w:t>
      </w:r>
      <w:r>
        <w:t xml:space="preserve">, ESMA notes that regardless of whether a CCP uses a trade date netting model </w:t>
      </w:r>
      <w:r w:rsidR="00A2593C">
        <w:t xml:space="preserve">(TDN) </w:t>
      </w:r>
      <w:r>
        <w:t xml:space="preserve">or a </w:t>
      </w:r>
      <w:r w:rsidR="00672A3A">
        <w:t>CNS</w:t>
      </w:r>
      <w:r>
        <w:t xml:space="preserve"> model, it should not lead to a different application of the RTS. However, w</w:t>
      </w:r>
      <w:r w:rsidR="0076277F">
        <w:t>e believe that Article in 4</w:t>
      </w:r>
      <w:r w:rsidR="00B07584">
        <w:t>(</w:t>
      </w:r>
      <w:r w:rsidR="00B07584" w:rsidRPr="00B07584">
        <w:t>2</w:t>
      </w:r>
      <w:proofErr w:type="gramStart"/>
      <w:r w:rsidR="00B07584">
        <w:t>)(</w:t>
      </w:r>
      <w:proofErr w:type="gramEnd"/>
      <w:r w:rsidR="00B07584">
        <w:t xml:space="preserve">a) does not take into </w:t>
      </w:r>
      <w:r w:rsidR="00B07584">
        <w:lastRenderedPageBreak/>
        <w:t xml:space="preserve">account </w:t>
      </w:r>
      <w:r w:rsidR="00390E97">
        <w:t xml:space="preserve">the case of </w:t>
      </w:r>
      <w:r w:rsidR="00B07584">
        <w:t>CCPs which oper</w:t>
      </w:r>
      <w:r>
        <w:t>ate the CNS</w:t>
      </w:r>
      <w:r w:rsidR="00B07584">
        <w:t xml:space="preserve"> </w:t>
      </w:r>
      <w:r w:rsidR="00B07584" w:rsidRPr="00B07584">
        <w:t>model</w:t>
      </w:r>
      <w:r w:rsidR="00B07584">
        <w:t xml:space="preserve">. </w:t>
      </w:r>
      <w:r w:rsidR="0056175C">
        <w:t>As explained in the answer to que</w:t>
      </w:r>
      <w:r w:rsidR="0056175C">
        <w:t>s</w:t>
      </w:r>
      <w:r w:rsidR="0056175C">
        <w:t>tion 4, u</w:t>
      </w:r>
      <w:r w:rsidR="00B07584">
        <w:t>nder the</w:t>
      </w:r>
      <w:r w:rsidR="00B07584" w:rsidRPr="00B07584">
        <w:t xml:space="preserve"> CNS model a settlement instruction that has failed to settle duri</w:t>
      </w:r>
      <w:r w:rsidR="00B07584">
        <w:t>ng the settl</w:t>
      </w:r>
      <w:r w:rsidR="00B07584">
        <w:t>e</w:t>
      </w:r>
      <w:r w:rsidR="00B07584">
        <w:t>ment window on a given</w:t>
      </w:r>
      <w:r w:rsidR="00B07584" w:rsidRPr="00B07584">
        <w:t xml:space="preserve"> day </w:t>
      </w:r>
      <w:r w:rsidR="00B07584">
        <w:t>is</w:t>
      </w:r>
      <w:r w:rsidR="00B07584" w:rsidRPr="00B07584">
        <w:t xml:space="preserve"> cancelled at the end of </w:t>
      </w:r>
      <w:r w:rsidR="00B07584">
        <w:t xml:space="preserve">that day </w:t>
      </w:r>
      <w:r w:rsidR="00B07584" w:rsidRPr="00B07584">
        <w:t xml:space="preserve">and </w:t>
      </w:r>
      <w:r w:rsidR="0056175C">
        <w:t>netted and</w:t>
      </w:r>
      <w:r w:rsidR="00B07584" w:rsidRPr="00B07584">
        <w:t xml:space="preserve"> aggregated as appropriate against new p</w:t>
      </w:r>
      <w:r w:rsidR="00B07584">
        <w:t xml:space="preserve">ositions to be settled the following day, when </w:t>
      </w:r>
      <w:r w:rsidR="00B07584" w:rsidRPr="00B07584">
        <w:t>a new settlement instru</w:t>
      </w:r>
      <w:r w:rsidR="00B07584" w:rsidRPr="00B07584">
        <w:t>c</w:t>
      </w:r>
      <w:r w:rsidR="00B07584" w:rsidRPr="00B07584">
        <w:t xml:space="preserve">tion </w:t>
      </w:r>
      <w:r w:rsidR="00B07584">
        <w:t>is</w:t>
      </w:r>
      <w:r w:rsidR="00B07584" w:rsidRPr="00B07584">
        <w:t xml:space="preserve"> issued to the CSD</w:t>
      </w:r>
      <w:r w:rsidR="00B07584">
        <w:t xml:space="preserve">. This process prevents </w:t>
      </w:r>
      <w:r w:rsidR="00390E97">
        <w:t>a CSD to i</w:t>
      </w:r>
      <w:r w:rsidR="00B07584" w:rsidRPr="00B07584">
        <w:t>den</w:t>
      </w:r>
      <w:r w:rsidR="00390E97">
        <w:t>tify any information related to the original failed instruction,</w:t>
      </w:r>
      <w:r w:rsidR="0076277F">
        <w:t xml:space="preserve"> such as the lengh of a settlement fail. We therefore suggest the follo</w:t>
      </w:r>
      <w:r w:rsidR="0076277F">
        <w:t>w</w:t>
      </w:r>
      <w:r w:rsidR="0076277F">
        <w:t>ing amendment to Article 4(2</w:t>
      </w:r>
      <w:proofErr w:type="gramStart"/>
      <w:r w:rsidR="0076277F">
        <w:t>)(</w:t>
      </w:r>
      <w:proofErr w:type="gramEnd"/>
      <w:r w:rsidR="0076277F">
        <w:t>a):</w:t>
      </w:r>
    </w:p>
    <w:p w:rsidR="0076277F" w:rsidRDefault="0076277F" w:rsidP="0076277F"/>
    <w:p w:rsidR="00B77A98" w:rsidRDefault="00B77A98" w:rsidP="006E0702">
      <w:pPr>
        <w:ind w:left="1440" w:hanging="720"/>
        <w:jc w:val="both"/>
        <w:rPr>
          <w:b/>
        </w:rPr>
      </w:pPr>
      <w:r>
        <w:t xml:space="preserve">(2) </w:t>
      </w:r>
      <w:r w:rsidR="0076277F">
        <w:t xml:space="preserve">A system monitoring settlement fails shall allow a CSD to </w:t>
      </w:r>
      <w:r w:rsidR="0076277F" w:rsidRPr="0076277F">
        <w:t>identify:</w:t>
      </w:r>
    </w:p>
    <w:p w:rsidR="006E0702" w:rsidRDefault="00B77A98" w:rsidP="006E0702">
      <w:pPr>
        <w:ind w:left="1440" w:hanging="720"/>
        <w:jc w:val="both"/>
        <w:rPr>
          <w:b/>
        </w:rPr>
      </w:pPr>
      <w:r>
        <w:rPr>
          <w:b/>
        </w:rPr>
        <w:t xml:space="preserve">            </w:t>
      </w:r>
      <w:r w:rsidR="0076277F">
        <w:t xml:space="preserve">(a) </w:t>
      </w:r>
      <w:proofErr w:type="gramStart"/>
      <w:r w:rsidR="0076277F">
        <w:t>a</w:t>
      </w:r>
      <w:r w:rsidR="00B07584" w:rsidRPr="00B07584">
        <w:t>ll</w:t>
      </w:r>
      <w:proofErr w:type="gramEnd"/>
      <w:r w:rsidR="00B07584" w:rsidRPr="00B07584">
        <w:t xml:space="preserve"> the settlement fails</w:t>
      </w:r>
      <w:r w:rsidR="0076277F" w:rsidRPr="0076277F">
        <w:rPr>
          <w:b/>
          <w:i/>
        </w:rPr>
        <w:t xml:space="preserve">, </w:t>
      </w:r>
      <w:r w:rsidR="0076277F">
        <w:rPr>
          <w:b/>
          <w:i/>
        </w:rPr>
        <w:t>except those</w:t>
      </w:r>
      <w:r w:rsidR="0076277F" w:rsidRPr="0076277F">
        <w:rPr>
          <w:b/>
          <w:i/>
        </w:rPr>
        <w:t xml:space="preserve"> involving a CCP</w:t>
      </w:r>
      <w:r w:rsidR="0076277F">
        <w:rPr>
          <w:b/>
          <w:i/>
        </w:rPr>
        <w:t>,</w:t>
      </w:r>
      <w:r w:rsidR="0076277F" w:rsidRPr="0076277F">
        <w:rPr>
          <w:b/>
          <w:i/>
        </w:rPr>
        <w:t xml:space="preserve"> </w:t>
      </w:r>
      <w:r w:rsidR="00B07584" w:rsidRPr="00B07584">
        <w:t>per intended settl</w:t>
      </w:r>
      <w:r w:rsidR="00B07584" w:rsidRPr="00B07584">
        <w:t>e</w:t>
      </w:r>
      <w:r w:rsidR="00B07584" w:rsidRPr="00B07584">
        <w:t>ment date, including the length of such settlement fails based on the number of business days in which a transaction fails to be settled after its intended settl</w:t>
      </w:r>
      <w:r w:rsidR="00B07584" w:rsidRPr="00B07584">
        <w:t>e</w:t>
      </w:r>
      <w:r>
        <w:t>ment date</w:t>
      </w:r>
      <w:r w:rsidR="00B07584" w:rsidRPr="00B07584">
        <w:rPr>
          <w:b/>
        </w:rPr>
        <w:t>.</w:t>
      </w:r>
    </w:p>
    <w:permEnd w:id="7"/>
    <w:p w:rsidR="00D12AFD" w:rsidRDefault="00D12AFD" w:rsidP="00B77A98">
      <w:pPr>
        <w:ind w:left="1440" w:hanging="720"/>
      </w:pPr>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884A38" w:rsidRDefault="008061D3" w:rsidP="00A8170C">
      <w:pPr>
        <w:jc w:val="both"/>
      </w:pPr>
      <w:permStart w:id="8" w:edGrp="everyone"/>
      <w:r>
        <w:t>Under Article 9 of Chapter III of Annex I, ESMA proposes tha</w:t>
      </w:r>
      <w:r w:rsidR="00884A38">
        <w:t>t when a CCP is involved in a fai</w:t>
      </w:r>
      <w:r w:rsidR="00884A38">
        <w:t>l</w:t>
      </w:r>
      <w:r w:rsidR="00884A38">
        <w:t xml:space="preserve">ing settlement instruction, the penalty should not be collected from or paid by the CCP but the CSD should provide the calculation to the CCP, which in turn should collect and distribute the penalty from and to its clearing members. </w:t>
      </w:r>
    </w:p>
    <w:p w:rsidR="00884A38" w:rsidRDefault="00884A38" w:rsidP="00A8170C">
      <w:pPr>
        <w:jc w:val="both"/>
      </w:pPr>
    </w:p>
    <w:p w:rsidR="00A53877" w:rsidRDefault="00A53877" w:rsidP="00033D54">
      <w:pPr>
        <w:jc w:val="both"/>
        <w:rPr>
          <w:color w:val="632423" w:themeColor="accent2" w:themeShade="80"/>
        </w:rPr>
      </w:pPr>
      <w:r w:rsidRPr="00A53877">
        <w:t>We assert that where CCPs are involved in failing transactions they do not need to be involved in the collection or distribution of the associated penalties, rather this can and should be done by the CSDs using the same process as when CCPs are not involved. As such it is rec</w:t>
      </w:r>
      <w:r w:rsidR="008B11CB">
        <w:t xml:space="preserve">ommended that Article 9 </w:t>
      </w:r>
      <w:r w:rsidRPr="00A53877">
        <w:t>(1</w:t>
      </w:r>
      <w:r w:rsidR="008B11CB">
        <w:t>) to (</w:t>
      </w:r>
      <w:r w:rsidR="00873D5F">
        <w:t>5) as currently drafted is</w:t>
      </w:r>
      <w:r w:rsidRPr="00A53877">
        <w:t xml:space="preserve"> removed. </w:t>
      </w:r>
      <w:r>
        <w:t>This position is explained as follows.</w:t>
      </w:r>
    </w:p>
    <w:p w:rsidR="00A53877" w:rsidRDefault="00A53877" w:rsidP="00A53877">
      <w:pPr>
        <w:ind w:left="720"/>
      </w:pPr>
    </w:p>
    <w:p w:rsidR="00BE0DE2" w:rsidRDefault="008B11CB" w:rsidP="00033D54">
      <w:pPr>
        <w:jc w:val="both"/>
        <w:rPr>
          <w:color w:val="FF0000"/>
        </w:rPr>
      </w:pPr>
      <w:r>
        <w:t>The</w:t>
      </w:r>
      <w:r w:rsidR="00A2593C">
        <w:t xml:space="preserve"> CSD Regulation asserts</w:t>
      </w:r>
      <w:r w:rsidR="00A53877">
        <w:t xml:space="preserve"> that failing participants are due to pay penalties to </w:t>
      </w:r>
      <w:r>
        <w:t xml:space="preserve">receiving </w:t>
      </w:r>
      <w:r w:rsidR="00A53877">
        <w:t>partic</w:t>
      </w:r>
      <w:r w:rsidR="00A53877">
        <w:t>i</w:t>
      </w:r>
      <w:r w:rsidR="00A53877">
        <w:t>pants, including CCPs</w:t>
      </w:r>
      <w:r w:rsidR="00A53877" w:rsidRPr="00A2593C">
        <w:t xml:space="preserve">, but </w:t>
      </w:r>
      <w:r w:rsidR="00A2593C" w:rsidRPr="00A2593C">
        <w:t>the</w:t>
      </w:r>
      <w:r w:rsidR="00033D54" w:rsidRPr="00A2593C">
        <w:t xml:space="preserve"> Regulation </w:t>
      </w:r>
      <w:r w:rsidR="00A2593C" w:rsidRPr="00A2593C">
        <w:t xml:space="preserve">also </w:t>
      </w:r>
      <w:r w:rsidR="00033D54" w:rsidRPr="00A2593C">
        <w:t xml:space="preserve">maintains </w:t>
      </w:r>
      <w:r w:rsidR="00A53877" w:rsidRPr="00A2593C">
        <w:t>that the penalty</w:t>
      </w:r>
      <w:r w:rsidR="00A53877">
        <w:t xml:space="preserve"> mechanism shall not apply to failing participants that are CCPs. As such, at face value, CCPs have a revenue stream from the penalties as they are entitled to collect the penalties and have no obligation to pay them.</w:t>
      </w:r>
      <w:r>
        <w:t xml:space="preserve"> We understand that </w:t>
      </w:r>
      <w:r w:rsidR="00A53877">
        <w:t>this is not th</w:t>
      </w:r>
      <w:r w:rsidR="00914E36">
        <w:t xml:space="preserve">e intention of the legislation. </w:t>
      </w:r>
      <w:r w:rsidR="00A53877">
        <w:t>This is clear from the imm</w:t>
      </w:r>
      <w:r w:rsidR="00A53877">
        <w:t>u</w:t>
      </w:r>
      <w:r w:rsidR="00A53877">
        <w:t xml:space="preserve">nisation principle described </w:t>
      </w:r>
      <w:r w:rsidR="00A53877" w:rsidRPr="00F62896">
        <w:t>whereby participants in the middle of a chain of fails would receive and pay the same amount. However</w:t>
      </w:r>
      <w:r w:rsidR="00A2593C">
        <w:t>,</w:t>
      </w:r>
      <w:r w:rsidR="00A53877" w:rsidRPr="00F62896">
        <w:t xml:space="preserve"> this principle would be broken for the failed participant in a chain where a CCP was their failing participant</w:t>
      </w:r>
      <w:r w:rsidR="00F62896" w:rsidRPr="00F62896">
        <w:t xml:space="preserve">. </w:t>
      </w:r>
      <w:r w:rsidR="00961006" w:rsidRPr="00F62896">
        <w:t>In order</w:t>
      </w:r>
      <w:r w:rsidR="00961006">
        <w:t xml:space="preserve"> for the immunisation principle to work where a CCP is in the chain, the CCP would, at least in effect, be subject to the same penalty as all other participants. </w:t>
      </w:r>
      <w:r w:rsidR="003D6552">
        <w:t>Given that CCPs must be,</w:t>
      </w:r>
      <w:r w:rsidR="00A53877">
        <w:t xml:space="preserve"> by definition</w:t>
      </w:r>
      <w:r w:rsidR="003D6552">
        <w:t>,</w:t>
      </w:r>
      <w:r w:rsidR="00A53877">
        <w:t xml:space="preserve"> always flat with regard to sales and pur</w:t>
      </w:r>
      <w:r w:rsidR="003D6552">
        <w:t>chases, t</w:t>
      </w:r>
      <w:r w:rsidR="00A53877">
        <w:t>he immunisation principle should ensure that a CCP never has a net penalt</w:t>
      </w:r>
      <w:r w:rsidR="00914E36">
        <w:t>y to either pay or receive, con</w:t>
      </w:r>
      <w:r w:rsidR="00F62896">
        <w:t>firming</w:t>
      </w:r>
      <w:r w:rsidR="00A53877">
        <w:t xml:space="preserve"> that the penalty mechanism does not apply to CCPs</w:t>
      </w:r>
      <w:r w:rsidR="00914E36">
        <w:t>, in line with the CSD Regulation</w:t>
      </w:r>
      <w:r w:rsidR="00A53877">
        <w:t xml:space="preserve">. </w:t>
      </w:r>
    </w:p>
    <w:p w:rsidR="00786DA6" w:rsidRDefault="00786DA6" w:rsidP="00A53877"/>
    <w:p w:rsidR="00A53877" w:rsidRPr="006D06F4" w:rsidRDefault="00A53877" w:rsidP="00033D54">
      <w:pPr>
        <w:jc w:val="both"/>
      </w:pPr>
      <w:r w:rsidRPr="006D06F4">
        <w:t>The relevant accounts of the participants, including CCPs, are held at the CSDs. Where the CSD has the ability to calculat</w:t>
      </w:r>
      <w:r w:rsidR="00A2593C">
        <w:t xml:space="preserve">e the relevant penalties, as </w:t>
      </w:r>
      <w:r w:rsidRPr="006D06F4">
        <w:t>assumed by Article 9(2)</w:t>
      </w:r>
      <w:r w:rsidR="008B11CB">
        <w:t xml:space="preserve"> as currently drafted</w:t>
      </w:r>
      <w:r w:rsidRPr="006D06F4">
        <w:t>, it also has the ability to collect and distribut</w:t>
      </w:r>
      <w:r w:rsidR="00050995">
        <w:t>e the penalties as it would when</w:t>
      </w:r>
      <w:r w:rsidRPr="006D06F4">
        <w:t xml:space="preserve"> a CCP </w:t>
      </w:r>
      <w:r w:rsidR="008B11CB">
        <w:t xml:space="preserve">is </w:t>
      </w:r>
      <w:r w:rsidRPr="006D06F4">
        <w:t>not involved. Requiring CCPs to be involved in this process, which can be undertaken by the CSDs, adds unnecessary complexity and administrative costs for CCPs, their clearing members, CSDs and their participants, mak</w:t>
      </w:r>
      <w:r>
        <w:t>in</w:t>
      </w:r>
      <w:r w:rsidR="00A2593C">
        <w:t>g the process less efficient</w:t>
      </w:r>
      <w:r>
        <w:t xml:space="preserve"> for no benefit.</w:t>
      </w:r>
    </w:p>
    <w:p w:rsidR="00A53877" w:rsidRDefault="00A53877" w:rsidP="00A53877"/>
    <w:p w:rsidR="00A53877" w:rsidRPr="00A2593C" w:rsidRDefault="00A53877" w:rsidP="00033D54">
      <w:pPr>
        <w:jc w:val="both"/>
      </w:pPr>
      <w:r w:rsidRPr="00A2593C">
        <w:lastRenderedPageBreak/>
        <w:t>This view that CCPs should not need to play any p</w:t>
      </w:r>
      <w:r w:rsidR="008B11CB" w:rsidRPr="00A2593C">
        <w:t xml:space="preserve">art in the penalty mechanism </w:t>
      </w:r>
      <w:r w:rsidR="00277711" w:rsidRPr="00A2593C">
        <w:t>is supported by the fact</w:t>
      </w:r>
      <w:r w:rsidR="00277711">
        <w:t xml:space="preserve"> </w:t>
      </w:r>
      <w:r w:rsidRPr="006D06F4">
        <w:t xml:space="preserve">that there is no authority under article 7(2) of the CSD Regulation to require a CCP to administer the penalty </w:t>
      </w:r>
      <w:r w:rsidRPr="00A2593C">
        <w:t>mechanism</w:t>
      </w:r>
      <w:r w:rsidR="00277711" w:rsidRPr="00A2593C">
        <w:t xml:space="preserve"> itself</w:t>
      </w:r>
      <w:r w:rsidRPr="00A2593C">
        <w:t>.</w:t>
      </w:r>
      <w:r w:rsidRPr="006D06F4">
        <w:t xml:space="preserve"> This article only refers to CSDs </w:t>
      </w:r>
      <w:r w:rsidRPr="00A2593C">
        <w:t>having procedures in place to “facilitate the penalty process”. It does not impose any requirements on CCPs</w:t>
      </w:r>
      <w:r w:rsidR="00277711" w:rsidRPr="00A2593C">
        <w:t xml:space="preserve"> to a</w:t>
      </w:r>
      <w:r w:rsidR="00277711" w:rsidRPr="00A2593C">
        <w:t>c</w:t>
      </w:r>
      <w:r w:rsidR="00277711" w:rsidRPr="00A2593C">
        <w:t>tively administer the process</w:t>
      </w:r>
      <w:r w:rsidRPr="00A2593C">
        <w:t xml:space="preserve">. </w:t>
      </w:r>
    </w:p>
    <w:p w:rsidR="00A53877" w:rsidRDefault="00A53877" w:rsidP="00A53877">
      <w:pPr>
        <w:rPr>
          <w:color w:val="632423" w:themeColor="accent2" w:themeShade="80"/>
        </w:rPr>
      </w:pPr>
    </w:p>
    <w:p w:rsidR="00E10407" w:rsidRPr="00786DA6" w:rsidRDefault="00E10407" w:rsidP="00033D54">
      <w:pPr>
        <w:jc w:val="both"/>
      </w:pPr>
      <w:r w:rsidRPr="00786DA6">
        <w:t>C</w:t>
      </w:r>
      <w:r w:rsidR="00A53877" w:rsidRPr="00786DA6">
        <w:t>ircumstances can arise where settlement instructi</w:t>
      </w:r>
      <w:r w:rsidRPr="00786DA6">
        <w:t>o</w:t>
      </w:r>
      <w:r w:rsidR="00BE0DE2" w:rsidRPr="00786DA6">
        <w:t xml:space="preserve">ns are deleted on or </w:t>
      </w:r>
      <w:r w:rsidR="00BE0DE2" w:rsidRPr="00A2593C">
        <w:t>after ISD.</w:t>
      </w:r>
      <w:r w:rsidR="00BE0DE2" w:rsidRPr="00786DA6">
        <w:t xml:space="preserve"> This is the case for </w:t>
      </w:r>
      <w:r w:rsidR="00A53877" w:rsidRPr="00786DA6">
        <w:t>CCP</w:t>
      </w:r>
      <w:r w:rsidR="00BE0DE2" w:rsidRPr="00786DA6">
        <w:t>s operating</w:t>
      </w:r>
      <w:r w:rsidR="00A53877" w:rsidRPr="00786DA6">
        <w:t xml:space="preserve"> </w:t>
      </w:r>
      <w:r w:rsidR="00A2593C">
        <w:t>the CNS model</w:t>
      </w:r>
      <w:r w:rsidR="00BE0DE2" w:rsidRPr="00786DA6">
        <w:t>. In this case, the CSD will be able to calculate penalties on the basis of the cancellation instructions received</w:t>
      </w:r>
      <w:r w:rsidR="00786DA6" w:rsidRPr="00786DA6">
        <w:t xml:space="preserve"> from</w:t>
      </w:r>
      <w:r w:rsidR="00BE0DE2" w:rsidRPr="00786DA6">
        <w:t xml:space="preserve"> the CCP.</w:t>
      </w:r>
    </w:p>
    <w:p w:rsidR="00E10407" w:rsidRDefault="00E10407" w:rsidP="00033D54">
      <w:pPr>
        <w:jc w:val="both"/>
      </w:pPr>
    </w:p>
    <w:p w:rsidR="00E10407" w:rsidRPr="00E10407" w:rsidRDefault="00E10407" w:rsidP="00033D54">
      <w:pPr>
        <w:jc w:val="both"/>
      </w:pPr>
      <w:r w:rsidRPr="00E10407">
        <w:t>We suggest that Article 9 comprise the following clauses to address the issues raised above:</w:t>
      </w:r>
    </w:p>
    <w:p w:rsidR="00E10407" w:rsidRPr="00E10407" w:rsidRDefault="00E10407" w:rsidP="00033D54">
      <w:pPr>
        <w:jc w:val="both"/>
      </w:pPr>
    </w:p>
    <w:p w:rsidR="00E10407" w:rsidRPr="000E2F3E" w:rsidRDefault="00E10407" w:rsidP="002146E2">
      <w:pPr>
        <w:pStyle w:val="ListParagraph"/>
        <w:numPr>
          <w:ilvl w:val="0"/>
          <w:numId w:val="38"/>
        </w:numPr>
        <w:jc w:val="both"/>
        <w:rPr>
          <w:b/>
          <w:i/>
        </w:rPr>
      </w:pPr>
      <w:r w:rsidRPr="000E2F3E">
        <w:rPr>
          <w:b/>
          <w:i/>
        </w:rPr>
        <w:t>CCPs shall have no involvement in the penalty mechanism.</w:t>
      </w:r>
    </w:p>
    <w:p w:rsidR="00E10407" w:rsidRPr="000E2F3E" w:rsidRDefault="00E10407" w:rsidP="00033D54">
      <w:pPr>
        <w:jc w:val="both"/>
        <w:rPr>
          <w:b/>
          <w:i/>
        </w:rPr>
      </w:pPr>
    </w:p>
    <w:p w:rsidR="00A53877" w:rsidRPr="00786DA6" w:rsidRDefault="00E10407" w:rsidP="002146E2">
      <w:pPr>
        <w:pStyle w:val="ListParagraph"/>
        <w:numPr>
          <w:ilvl w:val="0"/>
          <w:numId w:val="38"/>
        </w:numPr>
        <w:jc w:val="both"/>
        <w:rPr>
          <w:b/>
          <w:i/>
        </w:rPr>
      </w:pPr>
      <w:r w:rsidRPr="000E2F3E">
        <w:rPr>
          <w:b/>
          <w:i/>
        </w:rPr>
        <w:t>CCPs shall not pay nor receive penalties.</w:t>
      </w:r>
    </w:p>
    <w:permEnd w:id="8"/>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586F64" w:rsidRDefault="00E96AE5" w:rsidP="00586F64">
      <w:pPr>
        <w:jc w:val="both"/>
      </w:pPr>
      <w:permStart w:id="9" w:edGrp="everyone"/>
      <w:r>
        <w:t xml:space="preserve">We have </w:t>
      </w:r>
      <w:r w:rsidR="009A5DBC">
        <w:t xml:space="preserve">indentified </w:t>
      </w:r>
      <w:r>
        <w:t xml:space="preserve">the following issues with the buy-in process as proposed under Article 11 of </w:t>
      </w:r>
      <w:r w:rsidRPr="00030F8D">
        <w:t>Chapter III of Annex I</w:t>
      </w:r>
      <w:r w:rsidR="00873D5F">
        <w:t>.</w:t>
      </w:r>
    </w:p>
    <w:p w:rsidR="00586F64" w:rsidRDefault="00586F64" w:rsidP="00586F64">
      <w:pPr>
        <w:jc w:val="both"/>
      </w:pPr>
    </w:p>
    <w:p w:rsidR="00036E90" w:rsidRDefault="00AE023C" w:rsidP="00586F64">
      <w:pPr>
        <w:jc w:val="both"/>
      </w:pPr>
      <w:r>
        <w:t xml:space="preserve">Both in </w:t>
      </w:r>
      <w:r w:rsidRPr="00873D5F">
        <w:t xml:space="preserve">the </w:t>
      </w:r>
      <w:r w:rsidR="00E43CB6" w:rsidRPr="00873D5F">
        <w:t>discussion section</w:t>
      </w:r>
      <w:r w:rsidRPr="00873D5F">
        <w:t xml:space="preserve"> of</w:t>
      </w:r>
      <w:r>
        <w:t xml:space="preserve"> the consultation paper and in recital 32, ESMA recognises that CCPs operate different models, such as </w:t>
      </w:r>
      <w:r w:rsidR="00873D5F">
        <w:t>TDN</w:t>
      </w:r>
      <w:r>
        <w:t xml:space="preserve"> and CNS; ESMA also recognise</w:t>
      </w:r>
      <w:r w:rsidR="00873D5F">
        <w:t>s</w:t>
      </w:r>
      <w:r>
        <w:t xml:space="preserve"> that buy-ins are executed via an auction process or by appointing a buy-in agent. It follows that the Regulation should not prevent or compromise the use </w:t>
      </w:r>
      <w:r w:rsidR="00961006">
        <w:t xml:space="preserve">of </w:t>
      </w:r>
      <w:r>
        <w:t xml:space="preserve">any model or </w:t>
      </w:r>
      <w:r w:rsidR="008C54EA">
        <w:t>process</w:t>
      </w:r>
      <w:r>
        <w:t xml:space="preserve"> used by a CCP. In this co</w:t>
      </w:r>
      <w:r>
        <w:t>n</w:t>
      </w:r>
      <w:r>
        <w:t>text, t</w:t>
      </w:r>
      <w:r w:rsidR="001D5AC5" w:rsidRPr="001D5AC5">
        <w:t>he effective execution o</w:t>
      </w:r>
      <w:r w:rsidR="001D5AC5">
        <w:t xml:space="preserve">f the buy-in </w:t>
      </w:r>
      <w:r w:rsidR="00821E67">
        <w:t xml:space="preserve">process should not preclude the failing participant </w:t>
      </w:r>
      <w:r w:rsidR="001D5AC5">
        <w:t xml:space="preserve">to </w:t>
      </w:r>
      <w:r w:rsidR="001D5AC5" w:rsidRPr="001D5AC5">
        <w:t>complete delivery</w:t>
      </w:r>
      <w:r w:rsidR="001D5AC5">
        <w:t xml:space="preserve"> of the missing </w:t>
      </w:r>
      <w:r w:rsidR="00036E90">
        <w:t>financial instruments</w:t>
      </w:r>
      <w:r w:rsidR="00821E67">
        <w:t xml:space="preserve"> during the execution period. </w:t>
      </w:r>
      <w:r w:rsidR="001D5AC5">
        <w:t>To achieve this, the following amendments to Article 11(2) of the draft RTS are suggested:</w:t>
      </w:r>
    </w:p>
    <w:p w:rsidR="00036E90" w:rsidRDefault="00036E90" w:rsidP="00E50212">
      <w:pPr>
        <w:pStyle w:val="ListParagraph"/>
        <w:jc w:val="both"/>
      </w:pPr>
    </w:p>
    <w:p w:rsidR="004D4D33" w:rsidRPr="00873D5F" w:rsidRDefault="001D5AC5" w:rsidP="004D4D33">
      <w:pPr>
        <w:pStyle w:val="ListParagraph"/>
        <w:jc w:val="both"/>
        <w:rPr>
          <w:b/>
          <w:i/>
        </w:rPr>
      </w:pPr>
      <w:r>
        <w:t>(2) The buy-in shall be executed in a manner to avoid unnecessary cost</w:t>
      </w:r>
      <w:r w:rsidR="00901479">
        <w:t>s</w:t>
      </w:r>
      <w:r>
        <w:t xml:space="preserve"> for the failing participant and shall not imply any unnecessary risk taking by the CSD, CCP or trading venue</w:t>
      </w:r>
      <w:r w:rsidR="00873D5F">
        <w:t xml:space="preserve">. </w:t>
      </w:r>
      <w:r w:rsidR="00E43CB6" w:rsidRPr="00873D5F">
        <w:rPr>
          <w:b/>
          <w:i/>
        </w:rPr>
        <w:t>P</w:t>
      </w:r>
      <w:r w:rsidR="00036E90" w:rsidRPr="00873D5F">
        <w:rPr>
          <w:b/>
          <w:i/>
        </w:rPr>
        <w:t>u</w:t>
      </w:r>
      <w:r w:rsidR="00036E90">
        <w:rPr>
          <w:b/>
          <w:i/>
        </w:rPr>
        <w:t>rsuant to the contractual rules of the buy-in process established under paragraph 1, the failing participant may deliver all or part of the financial instr</w:t>
      </w:r>
      <w:r w:rsidR="00036E90">
        <w:rPr>
          <w:b/>
          <w:i/>
        </w:rPr>
        <w:t>u</w:t>
      </w:r>
      <w:r w:rsidR="00036E90">
        <w:rPr>
          <w:b/>
          <w:i/>
        </w:rPr>
        <w:t xml:space="preserve">ments required under the failed settlement </w:t>
      </w:r>
      <w:r w:rsidR="00036E90" w:rsidRPr="00873D5F">
        <w:rPr>
          <w:b/>
          <w:i/>
        </w:rPr>
        <w:t>instruction</w:t>
      </w:r>
      <w:r w:rsidR="00E43CB6" w:rsidRPr="00873D5F">
        <w:rPr>
          <w:b/>
          <w:i/>
        </w:rPr>
        <w:t xml:space="preserve"> during the buy-in process</w:t>
      </w:r>
      <w:r w:rsidR="00036E90" w:rsidRPr="00873D5F">
        <w:rPr>
          <w:b/>
          <w:i/>
        </w:rPr>
        <w:t>.</w:t>
      </w:r>
    </w:p>
    <w:p w:rsidR="004D4D33" w:rsidRDefault="004D4D33" w:rsidP="004D4D33">
      <w:pPr>
        <w:pStyle w:val="ListParagraph"/>
        <w:jc w:val="both"/>
        <w:rPr>
          <w:b/>
          <w:i/>
        </w:rPr>
      </w:pPr>
    </w:p>
    <w:p w:rsidR="008C122D" w:rsidRDefault="004D4D33" w:rsidP="004D4D33">
      <w:pPr>
        <w:pStyle w:val="ListParagraph"/>
        <w:ind w:left="0"/>
        <w:jc w:val="both"/>
        <w:rPr>
          <w:rFonts w:cs="Arial"/>
        </w:rPr>
      </w:pPr>
      <w:r>
        <w:rPr>
          <w:rFonts w:cs="Arial"/>
        </w:rPr>
        <w:t xml:space="preserve">Article 11(4) requires CCPs to send a notice to both the failing and receiving participant. </w:t>
      </w:r>
      <w:r w:rsidR="008C122D">
        <w:rPr>
          <w:rFonts w:cs="Arial"/>
        </w:rPr>
        <w:t>In the case of settlement instructions which are generated as a result of the netting of several transa</w:t>
      </w:r>
      <w:r w:rsidR="008C122D">
        <w:rPr>
          <w:rFonts w:cs="Arial"/>
        </w:rPr>
        <w:t>c</w:t>
      </w:r>
      <w:r w:rsidR="008C122D">
        <w:rPr>
          <w:rFonts w:cs="Arial"/>
        </w:rPr>
        <w:t xml:space="preserve">tions within a CCP, </w:t>
      </w:r>
      <w:r>
        <w:rPr>
          <w:rFonts w:cs="Arial"/>
        </w:rPr>
        <w:t>there is no necessary link between the failing and receiv</w:t>
      </w:r>
      <w:r w:rsidR="008C122D">
        <w:rPr>
          <w:rFonts w:cs="Arial"/>
        </w:rPr>
        <w:t>ing parties across the CCP. Therefore, i</w:t>
      </w:r>
      <w:r>
        <w:rPr>
          <w:rFonts w:cs="Arial"/>
        </w:rPr>
        <w:t xml:space="preserve">t is not meaningful to send a notice to a receiving participant. It is possible that the only </w:t>
      </w:r>
      <w:r w:rsidRPr="00873D5F">
        <w:rPr>
          <w:rFonts w:cs="Arial"/>
        </w:rPr>
        <w:t>outstanding receiving participant transaction has</w:t>
      </w:r>
      <w:r>
        <w:rPr>
          <w:rFonts w:cs="Arial"/>
        </w:rPr>
        <w:t xml:space="preserve"> not even reached ISD.</w:t>
      </w:r>
      <w:r w:rsidR="008C122D">
        <w:rPr>
          <w:rFonts w:cs="Arial"/>
        </w:rPr>
        <w:t xml:space="preserve"> We pr</w:t>
      </w:r>
      <w:r w:rsidR="008C122D">
        <w:rPr>
          <w:rFonts w:cs="Arial"/>
        </w:rPr>
        <w:t>o</w:t>
      </w:r>
      <w:r w:rsidR="008C122D">
        <w:rPr>
          <w:rFonts w:cs="Arial"/>
        </w:rPr>
        <w:t>pose the following amendment to address this point:</w:t>
      </w:r>
    </w:p>
    <w:p w:rsidR="008C122D" w:rsidRDefault="008C122D" w:rsidP="004D4D33">
      <w:pPr>
        <w:pStyle w:val="ListParagraph"/>
        <w:ind w:left="0"/>
        <w:jc w:val="both"/>
        <w:rPr>
          <w:rFonts w:cs="Arial"/>
        </w:rPr>
      </w:pPr>
    </w:p>
    <w:p w:rsidR="004D4D33" w:rsidRPr="00957256" w:rsidRDefault="008C122D" w:rsidP="008C122D">
      <w:pPr>
        <w:pStyle w:val="ListParagraph"/>
        <w:jc w:val="both"/>
        <w:rPr>
          <w:rFonts w:cs="Arial"/>
          <w:i/>
        </w:rPr>
      </w:pPr>
      <w:r>
        <w:rPr>
          <w:rFonts w:cs="Arial"/>
        </w:rPr>
        <w:lastRenderedPageBreak/>
        <w:t>(4)</w:t>
      </w:r>
      <w:r w:rsidR="004D4D33">
        <w:rPr>
          <w:rFonts w:cs="Arial"/>
        </w:rPr>
        <w:t xml:space="preserve"> </w:t>
      </w:r>
      <w:r>
        <w:rPr>
          <w:rFonts w:cs="Arial"/>
        </w:rPr>
        <w:t xml:space="preserve">The CSD, CCP, or trading venue, as applicable in accordance with Article 7(10) of Regulation (EU) No 909/2014, shall send a notice to </w:t>
      </w:r>
      <w:r w:rsidR="00FF0CA1">
        <w:rPr>
          <w:rFonts w:cs="Arial"/>
          <w:b/>
          <w:i/>
        </w:rPr>
        <w:t xml:space="preserve">[deleted] </w:t>
      </w:r>
      <w:r>
        <w:rPr>
          <w:rFonts w:cs="Arial"/>
        </w:rPr>
        <w:t>the failing participants</w:t>
      </w:r>
      <w:r w:rsidR="00FF0CA1">
        <w:rPr>
          <w:rFonts w:cs="Arial"/>
        </w:rPr>
        <w:t xml:space="preserve"> </w:t>
      </w:r>
      <w:r w:rsidR="00FF0CA1">
        <w:rPr>
          <w:rFonts w:cs="Arial"/>
          <w:b/>
          <w:i/>
        </w:rPr>
        <w:t>[deleted]</w:t>
      </w:r>
      <w:r>
        <w:rPr>
          <w:rFonts w:cs="Arial"/>
        </w:rPr>
        <w:t xml:space="preserve">, </w:t>
      </w:r>
      <w:r w:rsidRPr="00957256">
        <w:rPr>
          <w:rFonts w:cs="Arial"/>
          <w:b/>
          <w:i/>
        </w:rPr>
        <w:t>and where applicable to the receiving participant</w:t>
      </w:r>
      <w:r w:rsidR="00A74D4C" w:rsidRPr="00957256">
        <w:rPr>
          <w:rFonts w:cs="Arial"/>
          <w:b/>
          <w:i/>
        </w:rPr>
        <w:t>s</w:t>
      </w:r>
      <w:r w:rsidRPr="00957256">
        <w:rPr>
          <w:rFonts w:cs="Arial"/>
          <w:i/>
        </w:rPr>
        <w:t>:</w:t>
      </w:r>
    </w:p>
    <w:p w:rsidR="008C54EA" w:rsidRDefault="008C54EA" w:rsidP="00586F64">
      <w:pPr>
        <w:pStyle w:val="ListParagraph"/>
        <w:ind w:left="0"/>
        <w:jc w:val="both"/>
      </w:pPr>
    </w:p>
    <w:p w:rsidR="00036E90" w:rsidRPr="008C54EA" w:rsidRDefault="00873D5F" w:rsidP="000F761F">
      <w:pPr>
        <w:spacing w:after="120"/>
        <w:jc w:val="both"/>
        <w:rPr>
          <w:rFonts w:cs="Arial"/>
        </w:rPr>
      </w:pPr>
      <w:r>
        <w:rPr>
          <w:rFonts w:cs="Arial"/>
        </w:rPr>
        <w:t>Article 11(6) states that “The</w:t>
      </w:r>
      <w:r>
        <w:rPr>
          <w:rFonts w:cs="Arial"/>
          <w:b/>
          <w:i/>
        </w:rPr>
        <w:t xml:space="preserve"> </w:t>
      </w:r>
      <w:proofErr w:type="spellStart"/>
      <w:r w:rsidR="008C54EA" w:rsidRPr="008C54EA">
        <w:rPr>
          <w:rFonts w:cs="Arial"/>
        </w:rPr>
        <w:t>partialling</w:t>
      </w:r>
      <w:proofErr w:type="spellEnd"/>
      <w:r w:rsidR="008C54EA">
        <w:rPr>
          <w:rFonts w:cs="Arial"/>
        </w:rPr>
        <w:t xml:space="preserve"> functionality offered by the CSD</w:t>
      </w:r>
      <w:r w:rsidR="008C54EA" w:rsidRPr="008C54EA">
        <w:rPr>
          <w:rFonts w:cs="Arial"/>
        </w:rPr>
        <w:t>...shall be applied on the last day of the extension period when the financial instruments are available in the account of the delivering partici</w:t>
      </w:r>
      <w:r w:rsidR="008C54EA">
        <w:rPr>
          <w:rFonts w:cs="Arial"/>
        </w:rPr>
        <w:t>pant ...”; i</w:t>
      </w:r>
      <w:r w:rsidR="008C54EA" w:rsidRPr="008C54EA">
        <w:rPr>
          <w:rFonts w:cs="Arial"/>
        </w:rPr>
        <w:t xml:space="preserve">t is therefore not clear how </w:t>
      </w:r>
      <w:r w:rsidR="008C54EA">
        <w:rPr>
          <w:rFonts w:cs="Arial"/>
        </w:rPr>
        <w:t xml:space="preserve">the </w:t>
      </w:r>
      <w:r w:rsidR="008C54EA" w:rsidRPr="008C54EA">
        <w:rPr>
          <w:rFonts w:cs="Arial"/>
        </w:rPr>
        <w:t xml:space="preserve">financial instruments can still be available to deliver in the failing participant’s account as described in Article 11(5). </w:t>
      </w:r>
      <w:r w:rsidR="008C54EA">
        <w:rPr>
          <w:rFonts w:cs="Arial"/>
        </w:rPr>
        <w:t>It follows that</w:t>
      </w:r>
      <w:r w:rsidR="008C54EA" w:rsidRPr="008C54EA">
        <w:rPr>
          <w:rFonts w:cs="Arial"/>
        </w:rPr>
        <w:t xml:space="preserve"> the CCP </w:t>
      </w:r>
      <w:r w:rsidR="00FF0CA1">
        <w:rPr>
          <w:rFonts w:cs="Arial"/>
        </w:rPr>
        <w:t>must</w:t>
      </w:r>
      <w:r w:rsidR="008C54EA" w:rsidRPr="008C54EA">
        <w:rPr>
          <w:rFonts w:cs="Arial"/>
        </w:rPr>
        <w:t xml:space="preserve"> be able to buy-in the full amount due</w:t>
      </w:r>
      <w:r w:rsidR="00FF0CA1">
        <w:rPr>
          <w:rFonts w:cs="Arial"/>
        </w:rPr>
        <w:t xml:space="preserve"> to be delivered</w:t>
      </w:r>
      <w:r w:rsidR="008C54EA" w:rsidRPr="008C54EA">
        <w:rPr>
          <w:rFonts w:cs="Arial"/>
        </w:rPr>
        <w:t>, as</w:t>
      </w:r>
      <w:r w:rsidR="008C54EA">
        <w:rPr>
          <w:rFonts w:cs="Arial"/>
        </w:rPr>
        <w:t xml:space="preserve"> it currently happens,</w:t>
      </w:r>
      <w:r w:rsidR="008C54EA" w:rsidRPr="008C54EA">
        <w:rPr>
          <w:rFonts w:cs="Arial"/>
        </w:rPr>
        <w:t xml:space="preserve"> without requiring any information from the CSD on </w:t>
      </w:r>
      <w:r w:rsidR="008C54EA">
        <w:rPr>
          <w:rFonts w:cs="Arial"/>
        </w:rPr>
        <w:t xml:space="preserve">the </w:t>
      </w:r>
      <w:r w:rsidR="008C54EA" w:rsidRPr="008C54EA">
        <w:rPr>
          <w:rFonts w:cs="Arial"/>
        </w:rPr>
        <w:t>re</w:t>
      </w:r>
      <w:r w:rsidR="008C54EA">
        <w:rPr>
          <w:rFonts w:cs="Arial"/>
        </w:rPr>
        <w:t xml:space="preserve">served </w:t>
      </w:r>
      <w:r w:rsidR="00FF0CA1">
        <w:rPr>
          <w:rFonts w:cs="Arial"/>
        </w:rPr>
        <w:t>financial instrument</w:t>
      </w:r>
      <w:r w:rsidR="008C54EA">
        <w:rPr>
          <w:rFonts w:cs="Arial"/>
        </w:rPr>
        <w:t xml:space="preserve">. </w:t>
      </w:r>
      <w:r w:rsidR="00036E90">
        <w:t xml:space="preserve">To address this issue </w:t>
      </w:r>
      <w:r w:rsidR="008C54EA">
        <w:t xml:space="preserve">we </w:t>
      </w:r>
      <w:r w:rsidR="00E96AE5">
        <w:t>prop</w:t>
      </w:r>
      <w:r w:rsidR="0053533E">
        <w:t>o</w:t>
      </w:r>
      <w:r w:rsidR="00E96AE5">
        <w:t xml:space="preserve">se </w:t>
      </w:r>
      <w:r>
        <w:t>that A</w:t>
      </w:r>
      <w:r w:rsidR="0053533E">
        <w:t>rti</w:t>
      </w:r>
      <w:r w:rsidR="00E96AE5">
        <w:t>cle 11(5)</w:t>
      </w:r>
      <w:r>
        <w:t xml:space="preserve"> is deleted</w:t>
      </w:r>
      <w:r w:rsidR="00E96AE5">
        <w:t>:</w:t>
      </w:r>
    </w:p>
    <w:p w:rsidR="00036E90" w:rsidRDefault="00036E90" w:rsidP="00E50212">
      <w:pPr>
        <w:pStyle w:val="ListParagraph"/>
        <w:jc w:val="both"/>
      </w:pPr>
    </w:p>
    <w:p w:rsidR="006007BB" w:rsidRPr="00873D5F" w:rsidRDefault="00036E90" w:rsidP="00E50212">
      <w:pPr>
        <w:pStyle w:val="ListParagraph"/>
        <w:jc w:val="both"/>
        <w:rPr>
          <w:b/>
          <w:i/>
          <w:strike/>
        </w:rPr>
      </w:pPr>
      <w:r w:rsidRPr="00873D5F">
        <w:rPr>
          <w:b/>
          <w:i/>
          <w:strike/>
        </w:rPr>
        <w:t xml:space="preserve">(5) </w:t>
      </w:r>
      <w:r w:rsidR="00E96AE5" w:rsidRPr="00873D5F">
        <w:rPr>
          <w:b/>
          <w:i/>
          <w:strike/>
        </w:rPr>
        <w:t>Except when the settl</w:t>
      </w:r>
      <w:r w:rsidR="006007BB" w:rsidRPr="00873D5F">
        <w:rPr>
          <w:b/>
          <w:i/>
          <w:strike/>
        </w:rPr>
        <w:t>e</w:t>
      </w:r>
      <w:r w:rsidR="00E96AE5" w:rsidRPr="00873D5F">
        <w:rPr>
          <w:b/>
          <w:i/>
          <w:strike/>
        </w:rPr>
        <w:t>ment i</w:t>
      </w:r>
      <w:r w:rsidR="006007BB" w:rsidRPr="00873D5F">
        <w:rPr>
          <w:b/>
          <w:i/>
          <w:strike/>
        </w:rPr>
        <w:t>n</w:t>
      </w:r>
      <w:r w:rsidR="00E96AE5" w:rsidRPr="00873D5F">
        <w:rPr>
          <w:b/>
          <w:i/>
          <w:strike/>
        </w:rPr>
        <w:t>str</w:t>
      </w:r>
      <w:r w:rsidR="006007BB" w:rsidRPr="00873D5F">
        <w:rPr>
          <w:b/>
          <w:i/>
          <w:strike/>
        </w:rPr>
        <w:t xml:space="preserve">uction is on hold in which </w:t>
      </w:r>
      <w:r w:rsidR="00E96AE5" w:rsidRPr="00873D5F">
        <w:rPr>
          <w:b/>
          <w:i/>
          <w:strike/>
        </w:rPr>
        <w:t xml:space="preserve">case the buy-in shall be perfomed for the full instruction, the buy-in shall only relate to the </w:t>
      </w:r>
      <w:r w:rsidR="006007BB" w:rsidRPr="00873D5F">
        <w:rPr>
          <w:b/>
          <w:i/>
          <w:strike/>
        </w:rPr>
        <w:t>financial i</w:t>
      </w:r>
      <w:r w:rsidR="006007BB" w:rsidRPr="00873D5F">
        <w:rPr>
          <w:b/>
          <w:i/>
          <w:strike/>
        </w:rPr>
        <w:t>n</w:t>
      </w:r>
      <w:r w:rsidR="006007BB" w:rsidRPr="00873D5F">
        <w:rPr>
          <w:b/>
          <w:i/>
          <w:strike/>
        </w:rPr>
        <w:t xml:space="preserve">struments </w:t>
      </w:r>
      <w:r w:rsidR="00E96AE5" w:rsidRPr="00873D5F">
        <w:rPr>
          <w:b/>
          <w:i/>
          <w:strike/>
        </w:rPr>
        <w:t>that are not available in the failing participant’s account with the CSD. The CSD shall reserve the rele</w:t>
      </w:r>
      <w:r w:rsidR="00211619" w:rsidRPr="00873D5F">
        <w:rPr>
          <w:b/>
          <w:i/>
          <w:strike/>
        </w:rPr>
        <w:t>vant financial</w:t>
      </w:r>
      <w:r w:rsidR="00E96AE5" w:rsidRPr="00873D5F">
        <w:rPr>
          <w:b/>
          <w:i/>
          <w:strike/>
        </w:rPr>
        <w:t xml:space="preserve"> in</w:t>
      </w:r>
      <w:r w:rsidR="00211619" w:rsidRPr="00873D5F">
        <w:rPr>
          <w:b/>
          <w:i/>
          <w:strike/>
        </w:rPr>
        <w:t>s</w:t>
      </w:r>
      <w:r w:rsidR="00E96AE5" w:rsidRPr="00873D5F">
        <w:rPr>
          <w:b/>
          <w:i/>
          <w:strike/>
        </w:rPr>
        <w:t>trument</w:t>
      </w:r>
      <w:r w:rsidR="006007BB" w:rsidRPr="00873D5F">
        <w:rPr>
          <w:b/>
          <w:i/>
          <w:strike/>
        </w:rPr>
        <w:t>s</w:t>
      </w:r>
      <w:r w:rsidR="00E96AE5" w:rsidRPr="00873D5F">
        <w:rPr>
          <w:b/>
          <w:i/>
          <w:strike/>
        </w:rPr>
        <w:t xml:space="preserve"> ava</w:t>
      </w:r>
      <w:r w:rsidR="00211619" w:rsidRPr="00873D5F">
        <w:rPr>
          <w:b/>
          <w:i/>
          <w:strike/>
        </w:rPr>
        <w:t>il</w:t>
      </w:r>
      <w:r w:rsidR="006007BB" w:rsidRPr="00873D5F">
        <w:rPr>
          <w:b/>
          <w:i/>
          <w:strike/>
        </w:rPr>
        <w:t>a</w:t>
      </w:r>
      <w:r w:rsidR="00211619" w:rsidRPr="00873D5F">
        <w:rPr>
          <w:b/>
          <w:i/>
          <w:strike/>
        </w:rPr>
        <w:t xml:space="preserve">ble in the failing participant’s account for the settlement </w:t>
      </w:r>
      <w:r w:rsidR="00E96AE5" w:rsidRPr="00873D5F">
        <w:rPr>
          <w:b/>
          <w:i/>
          <w:strike/>
        </w:rPr>
        <w:t>of that instruction</w:t>
      </w:r>
      <w:r w:rsidR="006007BB" w:rsidRPr="00873D5F">
        <w:rPr>
          <w:b/>
          <w:i/>
          <w:strike/>
        </w:rPr>
        <w:t xml:space="preserve">. </w:t>
      </w:r>
    </w:p>
    <w:p w:rsidR="00586F64" w:rsidRDefault="00586F64" w:rsidP="00586F64">
      <w:pPr>
        <w:pStyle w:val="ListParagraph"/>
        <w:ind w:left="426"/>
        <w:jc w:val="both"/>
        <w:rPr>
          <w:b/>
          <w:i/>
        </w:rPr>
      </w:pPr>
    </w:p>
    <w:p w:rsidR="009A569B" w:rsidRDefault="005511DB" w:rsidP="00F24DB2">
      <w:pPr>
        <w:pStyle w:val="ListParagraph"/>
        <w:ind w:left="0"/>
        <w:jc w:val="both"/>
      </w:pPr>
      <w:r>
        <w:t xml:space="preserve">We </w:t>
      </w:r>
      <w:r w:rsidR="008C54EA">
        <w:t>note</w:t>
      </w:r>
      <w:r>
        <w:t xml:space="preserve"> that paragraph 7 of Article 11 includes a drafting error and the reference to article 9 should be a reference to Article 12, which sets out the ti</w:t>
      </w:r>
      <w:r w:rsidR="0053533E">
        <w:t>meframes to deliver the financi</w:t>
      </w:r>
      <w:r>
        <w:t>a</w:t>
      </w:r>
      <w:r w:rsidR="0053533E">
        <w:t>l</w:t>
      </w:r>
      <w:r>
        <w:t xml:space="preserve"> instr</w:t>
      </w:r>
      <w:r>
        <w:t>u</w:t>
      </w:r>
      <w:r>
        <w:t>ment subject to the buy-in.</w:t>
      </w:r>
      <w:r w:rsidR="00FF0CA1">
        <w:t xml:space="preserve"> </w:t>
      </w:r>
    </w:p>
    <w:p w:rsidR="009A569B" w:rsidRDefault="009A569B" w:rsidP="00F24DB2">
      <w:pPr>
        <w:pStyle w:val="ListParagraph"/>
        <w:ind w:left="0"/>
        <w:jc w:val="both"/>
      </w:pPr>
    </w:p>
    <w:p w:rsidR="00FE6985" w:rsidRPr="00F24DB2" w:rsidRDefault="00FF0CA1" w:rsidP="00F24DB2">
      <w:pPr>
        <w:pStyle w:val="ListParagraph"/>
        <w:ind w:left="0"/>
        <w:jc w:val="both"/>
      </w:pPr>
      <w:r>
        <w:t xml:space="preserve">The CSD Regulation states that the CCP is not subject to buy-ins and </w:t>
      </w:r>
      <w:r w:rsidR="00734B06">
        <w:t>execut</w:t>
      </w:r>
      <w:r>
        <w:t xml:space="preserve">es </w:t>
      </w:r>
      <w:r w:rsidR="00734B06">
        <w:t>the buy-in for cleared trans</w:t>
      </w:r>
      <w:r w:rsidR="0053533E">
        <w:t>actions</w:t>
      </w:r>
      <w:r w:rsidR="009A569B">
        <w:t>; therefore, it is</w:t>
      </w:r>
      <w:r>
        <w:t xml:space="preserve"> important that the RTS recognise that the CCP</w:t>
      </w:r>
      <w:r w:rsidR="0053533E">
        <w:t xml:space="preserve"> </w:t>
      </w:r>
      <w:r>
        <w:t>must</w:t>
      </w:r>
      <w:r w:rsidR="0053533E">
        <w:t xml:space="preserve"> be in control of</w:t>
      </w:r>
      <w:r w:rsidR="00734B06">
        <w:t xml:space="preserve"> all the steps of the buy-in process, including the choice to defer the buy-in or</w:t>
      </w:r>
      <w:r w:rsidR="00F24DB2">
        <w:t xml:space="preserve"> perform the cash compensation</w:t>
      </w:r>
      <w:r>
        <w:t>, when it is involved both as the receiving and the delivering participant</w:t>
      </w:r>
      <w:r w:rsidR="001879EB">
        <w:rPr>
          <w:rFonts w:cs="Arial"/>
        </w:rPr>
        <w:t xml:space="preserve">. </w:t>
      </w:r>
      <w:r w:rsidR="00FE6985" w:rsidRPr="006007BB">
        <w:rPr>
          <w:rFonts w:cs="Arial"/>
          <w:color w:val="000000"/>
          <w:szCs w:val="22"/>
          <w:lang w:eastAsia="en-GB"/>
        </w:rPr>
        <w:t>In order to address the above is</w:t>
      </w:r>
      <w:r>
        <w:rPr>
          <w:rFonts w:cs="Arial"/>
          <w:color w:val="000000"/>
          <w:szCs w:val="22"/>
          <w:lang w:eastAsia="en-GB"/>
        </w:rPr>
        <w:t>sue</w:t>
      </w:r>
      <w:r w:rsidR="00FE6985" w:rsidRPr="006007BB">
        <w:rPr>
          <w:rFonts w:cs="Arial"/>
          <w:color w:val="000000"/>
          <w:szCs w:val="22"/>
          <w:lang w:eastAsia="en-GB"/>
        </w:rPr>
        <w:t xml:space="preserve"> we </w:t>
      </w:r>
      <w:r w:rsidR="00F24DB2">
        <w:rPr>
          <w:rFonts w:cs="Arial"/>
          <w:color w:val="000000"/>
          <w:szCs w:val="22"/>
          <w:lang w:eastAsia="en-GB"/>
        </w:rPr>
        <w:t>suggest the following amendment to paragraph</w:t>
      </w:r>
      <w:r w:rsidR="00FE6985" w:rsidRPr="006007BB">
        <w:rPr>
          <w:rFonts w:cs="Arial"/>
          <w:color w:val="000000"/>
          <w:szCs w:val="22"/>
          <w:lang w:eastAsia="en-GB"/>
        </w:rPr>
        <w:t xml:space="preserve"> 8 of Article 11:</w:t>
      </w:r>
      <w:r w:rsidR="00FE6985" w:rsidRPr="00FE6985">
        <w:rPr>
          <w:rFonts w:cs="Arial"/>
          <w:color w:val="000000"/>
          <w:szCs w:val="22"/>
          <w:lang w:eastAsia="en-GB"/>
        </w:rPr>
        <w:t xml:space="preserve"> </w:t>
      </w:r>
    </w:p>
    <w:p w:rsidR="005511DB" w:rsidRPr="00FE6985" w:rsidRDefault="005511DB" w:rsidP="00E50212">
      <w:pPr>
        <w:jc w:val="both"/>
      </w:pPr>
    </w:p>
    <w:p w:rsidR="00586F64" w:rsidRDefault="00F24DB2" w:rsidP="00586F64">
      <w:pPr>
        <w:ind w:left="709"/>
        <w:jc w:val="both"/>
      </w:pPr>
      <w:r>
        <w:t>(</w:t>
      </w:r>
      <w:r w:rsidR="00FE6985" w:rsidRPr="00FE6985">
        <w:t>8</w:t>
      </w:r>
      <w:r w:rsidR="00533AEA">
        <w:t>)</w:t>
      </w:r>
      <w:r w:rsidR="00066C5D">
        <w:t xml:space="preserve"> </w:t>
      </w:r>
      <w:r w:rsidR="00FE6985" w:rsidRPr="00FE6985">
        <w:t>Where the buy-in fails, the receiving participant shall ch</w:t>
      </w:r>
      <w:r w:rsidR="00312F9B">
        <w:t xml:space="preserve">oose to defer the buy-in or </w:t>
      </w:r>
      <w:r>
        <w:t>to receive the cash compensation</w:t>
      </w:r>
      <w:r w:rsidR="00312F9B">
        <w:rPr>
          <w:b/>
          <w:i/>
        </w:rPr>
        <w:t xml:space="preserve"> </w:t>
      </w:r>
      <w:r w:rsidR="00FE6985" w:rsidRPr="00FE6985">
        <w:t>by the end of the business day following the receipt</w:t>
      </w:r>
      <w:r w:rsidR="00312F9B">
        <w:t xml:space="preserve"> of the notice </w:t>
      </w:r>
      <w:r w:rsidR="00591D1B">
        <w:rPr>
          <w:b/>
          <w:i/>
        </w:rPr>
        <w:t xml:space="preserve">[deleted] </w:t>
      </w:r>
      <w:r w:rsidR="00591D1B" w:rsidRPr="00591D1B">
        <w:rPr>
          <w:b/>
          <w:i/>
        </w:rPr>
        <w:t>under paragraph 4</w:t>
      </w:r>
      <w:r w:rsidR="00FE6985" w:rsidRPr="00FE6985">
        <w:t>. In the absence of response within that timeframe, the cash compensation shall be paid.</w:t>
      </w:r>
    </w:p>
    <w:p w:rsidR="00F24DB2" w:rsidRDefault="00F24DB2" w:rsidP="00586F64">
      <w:pPr>
        <w:ind w:left="709"/>
        <w:jc w:val="both"/>
      </w:pPr>
    </w:p>
    <w:p w:rsidR="00F24DB2" w:rsidRPr="00F24DB2" w:rsidRDefault="00F24DB2" w:rsidP="00586F64">
      <w:pPr>
        <w:ind w:left="709"/>
        <w:jc w:val="both"/>
        <w:rPr>
          <w:b/>
          <w:i/>
        </w:rPr>
      </w:pPr>
      <w:r>
        <w:rPr>
          <w:b/>
        </w:rPr>
        <w:t xml:space="preserve">8 A (New) </w:t>
      </w:r>
      <w:r>
        <w:rPr>
          <w:b/>
          <w:i/>
        </w:rPr>
        <w:t>Where the CCP is the delivering participant para</w:t>
      </w:r>
      <w:r w:rsidR="00591D1B">
        <w:rPr>
          <w:b/>
          <w:i/>
        </w:rPr>
        <w:t>graph 8 shall not apply. Where the</w:t>
      </w:r>
      <w:r>
        <w:rPr>
          <w:b/>
          <w:i/>
        </w:rPr>
        <w:t xml:space="preserve"> buy-in fails</w:t>
      </w:r>
      <w:r w:rsidR="001879EB">
        <w:rPr>
          <w:b/>
          <w:i/>
        </w:rPr>
        <w:t>,</w:t>
      </w:r>
      <w:r>
        <w:rPr>
          <w:b/>
          <w:i/>
        </w:rPr>
        <w:t xml:space="preserve"> the CCP shall choose to defer the buy-in or to pay the cash compensation.</w:t>
      </w:r>
    </w:p>
    <w:p w:rsidR="00586F64" w:rsidRDefault="00586F64" w:rsidP="00586F64">
      <w:pPr>
        <w:ind w:left="709"/>
        <w:jc w:val="both"/>
      </w:pPr>
    </w:p>
    <w:p w:rsidR="00312F9B" w:rsidRDefault="000C1DE8" w:rsidP="00586F64">
      <w:pPr>
        <w:jc w:val="both"/>
      </w:pPr>
      <w:r>
        <w:t>We would</w:t>
      </w:r>
      <w:r w:rsidR="00312F9B">
        <w:t xml:space="preserve"> like to clarify that the clearing members to be notified under parapgraph 9 of </w:t>
      </w:r>
      <w:r w:rsidR="00FF0081">
        <w:t>Article 11</w:t>
      </w:r>
      <w:r w:rsidR="00312F9B">
        <w:t xml:space="preserve"> are the clearing members involved in the buy-in action </w:t>
      </w:r>
      <w:r>
        <w:t xml:space="preserve">and not all clearing members of the CCP. In addition, </w:t>
      </w:r>
      <w:r w:rsidRPr="000C1DE8">
        <w:t>Recital 26 suggests that the buy-in process should be capable of being accelerated and cash compensation paid where the financi</w:t>
      </w:r>
      <w:r>
        <w:t>al instrument is not available.</w:t>
      </w:r>
      <w:r w:rsidRPr="000C1DE8">
        <w:t xml:space="preserve"> However, </w:t>
      </w:r>
      <w:r>
        <w:t xml:space="preserve">this is not reflected </w:t>
      </w:r>
      <w:r w:rsidRPr="000C1DE8">
        <w:t>in Article 11 of the draft RTS</w:t>
      </w:r>
      <w:r>
        <w:t xml:space="preserve"> and we believe it should be clear that a buy-in may not be deemed possible at any point</w:t>
      </w:r>
      <w:r w:rsidRPr="000C1DE8">
        <w:t xml:space="preserve"> </w:t>
      </w:r>
      <w:r>
        <w:t>of the e</w:t>
      </w:r>
      <w:r w:rsidRPr="000C1DE8">
        <w:t>xe</w:t>
      </w:r>
      <w:r>
        <w:t>cution p</w:t>
      </w:r>
      <w:r w:rsidRPr="000C1DE8">
        <w:t>eriod</w:t>
      </w:r>
      <w:r>
        <w:t>.</w:t>
      </w:r>
      <w:r w:rsidRPr="000C1DE8">
        <w:t xml:space="preserve"> </w:t>
      </w:r>
      <w:r>
        <w:t>We</w:t>
      </w:r>
      <w:r w:rsidR="00312F9B">
        <w:t xml:space="preserve"> suggest the following amendment</w:t>
      </w:r>
      <w:r>
        <w:t>s to address the</w:t>
      </w:r>
      <w:r w:rsidR="00312F9B">
        <w:t>s</w:t>
      </w:r>
      <w:r>
        <w:t>e points:</w:t>
      </w:r>
      <w:r w:rsidR="00312F9B">
        <w:t xml:space="preserve"> </w:t>
      </w:r>
    </w:p>
    <w:p w:rsidR="00312F9B" w:rsidRPr="00312F9B" w:rsidRDefault="00312F9B" w:rsidP="00E50212">
      <w:pPr>
        <w:autoSpaceDE w:val="0"/>
        <w:autoSpaceDN w:val="0"/>
        <w:adjustRightInd w:val="0"/>
        <w:jc w:val="both"/>
        <w:rPr>
          <w:rFonts w:ascii="Times New Roman" w:hAnsi="Times New Roman"/>
          <w:color w:val="000000"/>
          <w:sz w:val="24"/>
          <w:lang w:eastAsia="en-GB"/>
        </w:rPr>
      </w:pPr>
    </w:p>
    <w:p w:rsidR="00312F9B" w:rsidRPr="000C1DE8" w:rsidRDefault="00066C5D" w:rsidP="00E50212">
      <w:pPr>
        <w:ind w:left="709"/>
        <w:jc w:val="both"/>
      </w:pPr>
      <w:r>
        <w:rPr>
          <w:rFonts w:cs="Arial"/>
          <w:color w:val="000000"/>
          <w:szCs w:val="22"/>
          <w:lang w:eastAsia="en-GB"/>
        </w:rPr>
        <w:t>(9)</w:t>
      </w:r>
      <w:r w:rsidR="00312F9B" w:rsidRPr="00312F9B">
        <w:rPr>
          <w:rFonts w:cs="Arial"/>
          <w:color w:val="000000"/>
          <w:szCs w:val="22"/>
          <w:lang w:eastAsia="en-GB"/>
        </w:rPr>
        <w:t xml:space="preserve"> Where the buy-in is not possible, the following steps shall be taken</w:t>
      </w:r>
      <w:r w:rsidR="000C1DE8">
        <w:rPr>
          <w:rFonts w:cs="Arial"/>
          <w:color w:val="000000"/>
          <w:szCs w:val="22"/>
          <w:lang w:eastAsia="en-GB"/>
        </w:rPr>
        <w:t xml:space="preserve">, </w:t>
      </w:r>
      <w:r w:rsidR="000C1DE8" w:rsidRPr="000C1DE8">
        <w:rPr>
          <w:b/>
          <w:i/>
        </w:rPr>
        <w:t>at any time prior to or upon the end of the last day of the execution period</w:t>
      </w:r>
      <w:r w:rsidR="000C1DE8" w:rsidRPr="000C1DE8">
        <w:t>:</w:t>
      </w:r>
      <w:r w:rsidR="00312F9B" w:rsidRPr="00312F9B">
        <w:rPr>
          <w:rFonts w:cs="Arial"/>
          <w:color w:val="000000"/>
          <w:szCs w:val="22"/>
          <w:lang w:eastAsia="en-GB"/>
        </w:rPr>
        <w:t xml:space="preserve"> </w:t>
      </w:r>
    </w:p>
    <w:p w:rsidR="00066C5D" w:rsidRDefault="00312F9B" w:rsidP="00E50212">
      <w:pPr>
        <w:autoSpaceDE w:val="0"/>
        <w:autoSpaceDN w:val="0"/>
        <w:adjustRightInd w:val="0"/>
        <w:ind w:left="1134"/>
        <w:jc w:val="both"/>
        <w:rPr>
          <w:rFonts w:cs="Arial"/>
          <w:color w:val="000000"/>
          <w:szCs w:val="22"/>
          <w:lang w:eastAsia="en-GB"/>
        </w:rPr>
      </w:pPr>
      <w:r w:rsidRPr="00312F9B">
        <w:rPr>
          <w:rFonts w:cs="Arial"/>
          <w:color w:val="000000"/>
          <w:szCs w:val="22"/>
          <w:lang w:eastAsia="en-GB"/>
        </w:rPr>
        <w:t xml:space="preserve">(a) </w:t>
      </w:r>
      <w:proofErr w:type="gramStart"/>
      <w:r w:rsidRPr="00312F9B">
        <w:rPr>
          <w:rFonts w:cs="Arial"/>
          <w:color w:val="000000"/>
          <w:szCs w:val="22"/>
          <w:lang w:eastAsia="en-GB"/>
        </w:rPr>
        <w:t>the</w:t>
      </w:r>
      <w:proofErr w:type="gramEnd"/>
      <w:r w:rsidRPr="00312F9B">
        <w:rPr>
          <w:rFonts w:cs="Arial"/>
          <w:color w:val="000000"/>
          <w:szCs w:val="22"/>
          <w:lang w:eastAsia="en-GB"/>
        </w:rPr>
        <w:t xml:space="preserve"> buy-in agent shall inform the receiving participant and the CSD, the trading venue or the CCP as relevant. In case of buy-in auction, the CCP s</w:t>
      </w:r>
      <w:r>
        <w:rPr>
          <w:rFonts w:cs="Arial"/>
          <w:color w:val="000000"/>
          <w:szCs w:val="22"/>
          <w:lang w:eastAsia="en-GB"/>
        </w:rPr>
        <w:t>hall inform the clearing members</w:t>
      </w:r>
      <w:r>
        <w:rPr>
          <w:rFonts w:cs="Arial"/>
          <w:b/>
          <w:i/>
          <w:color w:val="000000"/>
          <w:szCs w:val="22"/>
          <w:lang w:eastAsia="en-GB"/>
        </w:rPr>
        <w:t xml:space="preserve"> which participated in the buy-in action</w:t>
      </w:r>
      <w:r w:rsidR="00066C5D">
        <w:rPr>
          <w:rFonts w:cs="Arial"/>
          <w:color w:val="000000"/>
          <w:szCs w:val="22"/>
          <w:lang w:eastAsia="en-GB"/>
        </w:rPr>
        <w:t>;</w:t>
      </w:r>
    </w:p>
    <w:p w:rsidR="00381E56" w:rsidRDefault="00381E56" w:rsidP="00E50212">
      <w:pPr>
        <w:autoSpaceDE w:val="0"/>
        <w:autoSpaceDN w:val="0"/>
        <w:adjustRightInd w:val="0"/>
        <w:jc w:val="both"/>
        <w:rPr>
          <w:rFonts w:cs="Arial"/>
          <w:color w:val="000000"/>
          <w:szCs w:val="22"/>
          <w:lang w:eastAsia="en-GB"/>
        </w:rPr>
      </w:pPr>
    </w:p>
    <w:p w:rsidR="00586F64" w:rsidRPr="00631D49" w:rsidRDefault="00586F64" w:rsidP="000F5C54">
      <w:pPr>
        <w:jc w:val="both"/>
        <w:rPr>
          <w:rFonts w:cs="Arial"/>
        </w:rPr>
      </w:pPr>
      <w:r>
        <w:rPr>
          <w:rFonts w:cs="Arial"/>
          <w:color w:val="000000"/>
          <w:szCs w:val="22"/>
          <w:lang w:eastAsia="en-GB"/>
        </w:rPr>
        <w:t>LCH.Clearnet Limited (Ltd)</w:t>
      </w:r>
      <w:r w:rsidR="006E7000">
        <w:rPr>
          <w:rFonts w:cs="Arial"/>
          <w:color w:val="000000"/>
          <w:szCs w:val="22"/>
          <w:lang w:eastAsia="en-GB"/>
        </w:rPr>
        <w:t>, the UK entity of the LCH</w:t>
      </w:r>
      <w:r w:rsidR="001B36C9">
        <w:rPr>
          <w:rFonts w:cs="Arial"/>
          <w:color w:val="000000"/>
          <w:szCs w:val="22"/>
          <w:lang w:eastAsia="en-GB"/>
        </w:rPr>
        <w:t>.Clearnet Group Limited,</w:t>
      </w:r>
      <w:r>
        <w:rPr>
          <w:rFonts w:cs="Arial"/>
          <w:color w:val="000000"/>
          <w:szCs w:val="22"/>
          <w:lang w:eastAsia="en-GB"/>
        </w:rPr>
        <w:t xml:space="preserve"> uses an approach to buying-in for cleared equities </w:t>
      </w:r>
      <w:r w:rsidR="001B36C9">
        <w:rPr>
          <w:rFonts w:cs="Arial"/>
          <w:color w:val="000000"/>
          <w:szCs w:val="22"/>
          <w:lang w:eastAsia="en-GB"/>
        </w:rPr>
        <w:t>via the appoi</w:t>
      </w:r>
      <w:r w:rsidR="006E7000">
        <w:rPr>
          <w:rFonts w:cs="Arial"/>
          <w:color w:val="000000"/>
          <w:szCs w:val="22"/>
          <w:lang w:eastAsia="en-GB"/>
        </w:rPr>
        <w:t>n</w:t>
      </w:r>
      <w:r w:rsidR="001B36C9">
        <w:rPr>
          <w:rFonts w:cs="Arial"/>
          <w:color w:val="000000"/>
          <w:szCs w:val="22"/>
          <w:lang w:eastAsia="en-GB"/>
        </w:rPr>
        <w:t xml:space="preserve">tment of a buy-in agent </w:t>
      </w:r>
      <w:r>
        <w:rPr>
          <w:rFonts w:cs="Arial"/>
          <w:color w:val="000000"/>
          <w:szCs w:val="22"/>
          <w:lang w:eastAsia="en-GB"/>
        </w:rPr>
        <w:t xml:space="preserve">which has proved very effective and includes features to </w:t>
      </w:r>
      <w:r w:rsidRPr="00631D49">
        <w:rPr>
          <w:rFonts w:cs="Arial"/>
          <w:szCs w:val="22"/>
          <w:lang w:eastAsia="en-GB"/>
        </w:rPr>
        <w:t>maximise early delivery to receiving participants. We</w:t>
      </w:r>
      <w:r w:rsidR="001B36C9" w:rsidRPr="00631D49">
        <w:rPr>
          <w:rFonts w:cs="Arial"/>
          <w:szCs w:val="22"/>
          <w:lang w:eastAsia="en-GB"/>
        </w:rPr>
        <w:t xml:space="preserve"> would request that the RTS do</w:t>
      </w:r>
      <w:r w:rsidRPr="00631D49">
        <w:rPr>
          <w:rFonts w:cs="Arial"/>
          <w:szCs w:val="22"/>
          <w:lang w:eastAsia="en-GB"/>
        </w:rPr>
        <w:t xml:space="preserve"> not preclude the continuation of this approach. </w:t>
      </w:r>
      <w:r w:rsidR="00631D49" w:rsidRPr="00631D49">
        <w:rPr>
          <w:rFonts w:cs="Arial"/>
          <w:szCs w:val="22"/>
          <w:lang w:eastAsia="en-GB"/>
        </w:rPr>
        <w:t>The</w:t>
      </w:r>
      <w:r w:rsidR="001F2721" w:rsidRPr="00631D49">
        <w:rPr>
          <w:rFonts w:cs="Arial"/>
          <w:szCs w:val="22"/>
          <w:lang w:eastAsia="en-GB"/>
        </w:rPr>
        <w:t xml:space="preserve"> approach</w:t>
      </w:r>
      <w:r w:rsidRPr="00631D49">
        <w:rPr>
          <w:rFonts w:cs="Arial"/>
          <w:szCs w:val="22"/>
          <w:lang w:eastAsia="en-GB"/>
        </w:rPr>
        <w:t xml:space="preserve">, with examples, </w:t>
      </w:r>
      <w:r w:rsidR="00631D49" w:rsidRPr="00631D49">
        <w:rPr>
          <w:rFonts w:cs="Arial"/>
          <w:szCs w:val="22"/>
          <w:lang w:eastAsia="en-GB"/>
        </w:rPr>
        <w:t>is</w:t>
      </w:r>
      <w:r w:rsidRPr="00631D49">
        <w:rPr>
          <w:rFonts w:cs="Arial"/>
          <w:szCs w:val="22"/>
          <w:lang w:eastAsia="en-GB"/>
        </w:rPr>
        <w:t xml:space="preserve"> described below.</w:t>
      </w:r>
      <w:r w:rsidR="001F2721" w:rsidRPr="00631D49">
        <w:rPr>
          <w:rFonts w:cs="Arial"/>
        </w:rPr>
        <w:t xml:space="preserve">  </w:t>
      </w:r>
    </w:p>
    <w:p w:rsidR="008E1650" w:rsidRDefault="008E1650" w:rsidP="00E50212">
      <w:pPr>
        <w:autoSpaceDE w:val="0"/>
        <w:autoSpaceDN w:val="0"/>
        <w:adjustRightInd w:val="0"/>
        <w:jc w:val="both"/>
        <w:rPr>
          <w:rFonts w:cs="Arial"/>
        </w:rPr>
      </w:pPr>
    </w:p>
    <w:p w:rsidR="001B36C9" w:rsidRDefault="009A5DBC" w:rsidP="000F5C54">
      <w:pPr>
        <w:jc w:val="both"/>
        <w:rPr>
          <w:rFonts w:cs="Arial"/>
        </w:rPr>
      </w:pPr>
      <w:r>
        <w:rPr>
          <w:rFonts w:cs="Arial"/>
          <w:color w:val="000000"/>
          <w:szCs w:val="22"/>
          <w:lang w:eastAsia="en-GB"/>
        </w:rPr>
        <w:t xml:space="preserve"> </w:t>
      </w:r>
      <w:r w:rsidR="001B36C9">
        <w:rPr>
          <w:rFonts w:cs="Arial"/>
        </w:rPr>
        <w:t xml:space="preserve">The key features of this approach are: </w:t>
      </w:r>
    </w:p>
    <w:p w:rsidR="001B36C9" w:rsidRDefault="001B36C9" w:rsidP="000F5C54">
      <w:pPr>
        <w:jc w:val="both"/>
        <w:rPr>
          <w:rFonts w:cs="Arial"/>
        </w:rPr>
      </w:pPr>
    </w:p>
    <w:p w:rsidR="001B36C9" w:rsidRDefault="001B36C9" w:rsidP="000F5C54">
      <w:pPr>
        <w:pStyle w:val="ListParagraph"/>
        <w:numPr>
          <w:ilvl w:val="0"/>
          <w:numId w:val="34"/>
        </w:numPr>
        <w:jc w:val="both"/>
        <w:rPr>
          <w:rFonts w:cs="Arial"/>
        </w:rPr>
      </w:pPr>
      <w:r>
        <w:rPr>
          <w:rFonts w:cs="Arial"/>
        </w:rPr>
        <w:t>Buy-in is triggered by a qualifying fail to Ltd.</w:t>
      </w:r>
    </w:p>
    <w:p w:rsidR="001B36C9" w:rsidRDefault="001B36C9" w:rsidP="000F5C54">
      <w:pPr>
        <w:pStyle w:val="ListParagraph"/>
        <w:numPr>
          <w:ilvl w:val="0"/>
          <w:numId w:val="34"/>
        </w:numPr>
        <w:jc w:val="both"/>
        <w:rPr>
          <w:rFonts w:cs="Arial"/>
        </w:rPr>
      </w:pPr>
      <w:r>
        <w:rPr>
          <w:rFonts w:cs="Arial"/>
        </w:rPr>
        <w:t>Buy-in is not triggered by any fail from Ltd.</w:t>
      </w:r>
    </w:p>
    <w:p w:rsidR="001B36C9" w:rsidRDefault="001B36C9" w:rsidP="000F5C54">
      <w:pPr>
        <w:pStyle w:val="ListParagraph"/>
        <w:numPr>
          <w:ilvl w:val="0"/>
          <w:numId w:val="34"/>
        </w:numPr>
        <w:jc w:val="both"/>
        <w:rPr>
          <w:rFonts w:cs="Arial"/>
        </w:rPr>
      </w:pPr>
      <w:r>
        <w:rPr>
          <w:rFonts w:cs="Arial"/>
        </w:rPr>
        <w:t>The buy-in is made in the market through a buying-in agent.</w:t>
      </w:r>
    </w:p>
    <w:p w:rsidR="001B36C9" w:rsidRDefault="001B36C9" w:rsidP="000F5C54">
      <w:pPr>
        <w:pStyle w:val="ListParagraph"/>
        <w:numPr>
          <w:ilvl w:val="0"/>
          <w:numId w:val="34"/>
        </w:numPr>
        <w:jc w:val="both"/>
        <w:rPr>
          <w:rFonts w:cs="Arial"/>
        </w:rPr>
      </w:pPr>
      <w:r>
        <w:rPr>
          <w:rFonts w:cs="Arial"/>
        </w:rPr>
        <w:t>The original failing settlement instructions are left in the CSD.</w:t>
      </w:r>
    </w:p>
    <w:p w:rsidR="001B36C9" w:rsidRDefault="001B36C9" w:rsidP="000F5C54">
      <w:pPr>
        <w:pStyle w:val="ListParagraph"/>
        <w:numPr>
          <w:ilvl w:val="1"/>
          <w:numId w:val="34"/>
        </w:numPr>
        <w:jc w:val="both"/>
        <w:rPr>
          <w:rFonts w:cs="Arial"/>
        </w:rPr>
      </w:pPr>
      <w:r>
        <w:rPr>
          <w:rFonts w:cs="Arial"/>
        </w:rPr>
        <w:t>Generally CSDs will ‘recycle’ failed settlements to remain for settlement on su</w:t>
      </w:r>
      <w:r>
        <w:rPr>
          <w:rFonts w:cs="Arial"/>
        </w:rPr>
        <w:t>b</w:t>
      </w:r>
      <w:r>
        <w:rPr>
          <w:rFonts w:cs="Arial"/>
        </w:rPr>
        <w:t>sequent days.</w:t>
      </w:r>
    </w:p>
    <w:p w:rsidR="001B36C9" w:rsidRDefault="001B36C9" w:rsidP="000F5C54">
      <w:pPr>
        <w:pStyle w:val="ListParagraph"/>
        <w:numPr>
          <w:ilvl w:val="0"/>
          <w:numId w:val="34"/>
        </w:numPr>
        <w:jc w:val="both"/>
        <w:rPr>
          <w:rFonts w:cs="Arial"/>
        </w:rPr>
      </w:pPr>
      <w:r>
        <w:rPr>
          <w:rFonts w:cs="Arial"/>
        </w:rPr>
        <w:t>The buy-in is instructed to settle against the failing party.</w:t>
      </w:r>
    </w:p>
    <w:p w:rsidR="001B36C9" w:rsidRDefault="001B36C9" w:rsidP="000F5C54">
      <w:pPr>
        <w:pStyle w:val="ListParagraph"/>
        <w:numPr>
          <w:ilvl w:val="1"/>
          <w:numId w:val="34"/>
        </w:numPr>
        <w:jc w:val="both"/>
        <w:rPr>
          <w:rFonts w:cs="Arial"/>
        </w:rPr>
      </w:pPr>
      <w:r>
        <w:rPr>
          <w:rFonts w:cs="Arial"/>
        </w:rPr>
        <w:t>The principle is that the buy-in is delivered to the failing party for them to fulfil their original obligation.</w:t>
      </w:r>
    </w:p>
    <w:p w:rsidR="001B36C9" w:rsidRDefault="001B36C9" w:rsidP="000F5C54">
      <w:pPr>
        <w:pStyle w:val="ListParagraph"/>
        <w:numPr>
          <w:ilvl w:val="0"/>
          <w:numId w:val="34"/>
        </w:numPr>
        <w:jc w:val="both"/>
        <w:rPr>
          <w:rFonts w:cs="Arial"/>
        </w:rPr>
      </w:pPr>
      <w:r>
        <w:rPr>
          <w:rFonts w:cs="Arial"/>
        </w:rPr>
        <w:t>There is no link between the buy-in against a failing seller to Ltd and any buyer from Ltd.</w:t>
      </w:r>
    </w:p>
    <w:p w:rsidR="001B36C9" w:rsidRDefault="001B36C9" w:rsidP="000F5C54">
      <w:pPr>
        <w:pStyle w:val="ListParagraph"/>
        <w:numPr>
          <w:ilvl w:val="1"/>
          <w:numId w:val="34"/>
        </w:numPr>
        <w:jc w:val="both"/>
        <w:rPr>
          <w:rFonts w:cs="Arial"/>
        </w:rPr>
      </w:pPr>
      <w:r>
        <w:rPr>
          <w:rFonts w:cs="Arial"/>
        </w:rPr>
        <w:t>The oldest failed-to buyer will get the first stock delivered to Ltd rather than being tied to any seller being bought in.</w:t>
      </w:r>
    </w:p>
    <w:p w:rsidR="001B36C9" w:rsidRPr="00612CFE" w:rsidRDefault="001B36C9" w:rsidP="000F5C54">
      <w:pPr>
        <w:jc w:val="both"/>
        <w:rPr>
          <w:rFonts w:cs="Arial"/>
        </w:rPr>
      </w:pPr>
      <w:r w:rsidRPr="00612CFE">
        <w:rPr>
          <w:rFonts w:cs="Arial"/>
        </w:rPr>
        <w:t xml:space="preserve"> </w:t>
      </w:r>
    </w:p>
    <w:p w:rsidR="001B36C9" w:rsidRDefault="001B36C9" w:rsidP="000F5C54">
      <w:pPr>
        <w:jc w:val="both"/>
        <w:rPr>
          <w:rFonts w:cs="Arial"/>
        </w:rPr>
      </w:pPr>
      <w:r>
        <w:rPr>
          <w:rFonts w:cs="Arial"/>
        </w:rPr>
        <w:t>Subsets of the diagram below are used to consider various cases.</w:t>
      </w:r>
    </w:p>
    <w:p w:rsidR="001B36C9" w:rsidRDefault="001B36C9" w:rsidP="001B36C9">
      <w:pPr>
        <w:rPr>
          <w:rFonts w:cs="Arial"/>
        </w:rPr>
      </w:pPr>
    </w:p>
    <w:p w:rsidR="001B36C9" w:rsidRDefault="001B36C9" w:rsidP="001B36C9">
      <w:pPr>
        <w:rPr>
          <w:rFonts w:cs="Arial"/>
        </w:rPr>
      </w:pPr>
      <w:r w:rsidRPr="00066C5D">
        <w:rPr>
          <w:rFonts w:cs="Arial"/>
          <w:noProof/>
          <w:lang w:eastAsia="en-GB"/>
        </w:rPr>
        <w:drawing>
          <wp:inline distT="0" distB="0" distL="0" distR="0">
            <wp:extent cx="4381500" cy="310906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381500" cy="3109065"/>
                    </a:xfrm>
                    <a:prstGeom prst="rect">
                      <a:avLst/>
                    </a:prstGeom>
                    <a:noFill/>
                    <a:ln w="9525">
                      <a:noFill/>
                      <a:miter lim="800000"/>
                      <a:headEnd/>
                      <a:tailEnd/>
                    </a:ln>
                  </pic:spPr>
                </pic:pic>
              </a:graphicData>
            </a:graphic>
          </wp:inline>
        </w:drawing>
      </w:r>
    </w:p>
    <w:p w:rsidR="001B36C9" w:rsidRDefault="001B36C9" w:rsidP="001B36C9">
      <w:pPr>
        <w:keepNext/>
        <w:spacing w:after="120"/>
        <w:rPr>
          <w:rFonts w:cs="Arial"/>
          <w:b/>
        </w:rPr>
      </w:pPr>
    </w:p>
    <w:p w:rsidR="001B36C9" w:rsidRPr="00FE061E" w:rsidRDefault="001B36C9" w:rsidP="001B36C9">
      <w:pPr>
        <w:keepNext/>
        <w:spacing w:after="120"/>
        <w:rPr>
          <w:rFonts w:cs="Arial"/>
          <w:b/>
        </w:rPr>
      </w:pPr>
      <w:r>
        <w:rPr>
          <w:rFonts w:cs="Arial"/>
          <w:b/>
        </w:rPr>
        <w:t>Case 1</w:t>
      </w:r>
    </w:p>
    <w:p w:rsidR="001B36C9" w:rsidRDefault="001B36C9" w:rsidP="001B36C9">
      <w:pPr>
        <w:rPr>
          <w:rFonts w:cs="Arial"/>
        </w:rPr>
      </w:pPr>
      <w:proofErr w:type="gramStart"/>
      <w:r>
        <w:rPr>
          <w:rFonts w:cs="Arial"/>
        </w:rPr>
        <w:t>Standard ongoing failure by ‘A’.</w:t>
      </w:r>
      <w:proofErr w:type="gramEnd"/>
    </w:p>
    <w:p w:rsidR="001B36C9" w:rsidRDefault="001B36C9" w:rsidP="001B36C9">
      <w:pPr>
        <w:rPr>
          <w:rFonts w:cs="Arial"/>
        </w:rPr>
      </w:pPr>
    </w:p>
    <w:p w:rsidR="001B36C9" w:rsidRDefault="001B36C9" w:rsidP="001B36C9">
      <w:pPr>
        <w:jc w:val="center"/>
        <w:rPr>
          <w:rFonts w:cs="Arial"/>
        </w:rPr>
      </w:pPr>
      <w:r>
        <w:rPr>
          <w:rFonts w:cs="Arial"/>
          <w:noProof/>
          <w:lang w:eastAsia="en-GB"/>
        </w:rPr>
        <w:lastRenderedPageBreak/>
        <w:drawing>
          <wp:inline distT="0" distB="0" distL="0" distR="0">
            <wp:extent cx="4993496" cy="2181225"/>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993496" cy="2181225"/>
                    </a:xfrm>
                    <a:prstGeom prst="rect">
                      <a:avLst/>
                    </a:prstGeom>
                    <a:noFill/>
                    <a:ln w="9525">
                      <a:noFill/>
                      <a:miter lim="800000"/>
                      <a:headEnd/>
                      <a:tailEnd/>
                    </a:ln>
                  </pic:spPr>
                </pic:pic>
              </a:graphicData>
            </a:graphic>
          </wp:inline>
        </w:drawing>
      </w:r>
    </w:p>
    <w:p w:rsidR="001B36C9" w:rsidRDefault="001B36C9" w:rsidP="001B36C9">
      <w:pPr>
        <w:rPr>
          <w:rFonts w:cs="Arial"/>
        </w:rPr>
      </w:pPr>
    </w:p>
    <w:p w:rsidR="001B36C9" w:rsidRDefault="001B36C9" w:rsidP="001B36C9">
      <w:pPr>
        <w:rPr>
          <w:rFonts w:cs="Arial"/>
        </w:rPr>
      </w:pPr>
    </w:p>
    <w:p w:rsidR="001B36C9" w:rsidRPr="00631D49" w:rsidRDefault="001B36C9" w:rsidP="000F5C54">
      <w:pPr>
        <w:pStyle w:val="ListParagraph"/>
        <w:numPr>
          <w:ilvl w:val="0"/>
          <w:numId w:val="35"/>
        </w:numPr>
        <w:jc w:val="both"/>
        <w:rPr>
          <w:rFonts w:cs="Arial"/>
        </w:rPr>
      </w:pPr>
      <w:r w:rsidRPr="00FB41CE">
        <w:rPr>
          <w:rFonts w:cs="Arial"/>
        </w:rPr>
        <w:t>‘</w:t>
      </w:r>
      <w:r w:rsidRPr="00631D49">
        <w:rPr>
          <w:rFonts w:cs="Arial"/>
        </w:rPr>
        <w:t>A’ sells 8 shares to ‘C’ with an ISD of 2</w:t>
      </w:r>
      <w:r w:rsidRPr="00631D49">
        <w:rPr>
          <w:rFonts w:cs="Arial"/>
          <w:vertAlign w:val="superscript"/>
        </w:rPr>
        <w:t>nd</w:t>
      </w:r>
      <w:r w:rsidRPr="00631D49">
        <w:rPr>
          <w:rFonts w:cs="Arial"/>
        </w:rPr>
        <w:t xml:space="preserve"> Jan</w:t>
      </w:r>
      <w:r w:rsidR="000F5C54" w:rsidRPr="00631D49">
        <w:rPr>
          <w:rFonts w:cs="Arial"/>
        </w:rPr>
        <w:t xml:space="preserve"> 2015</w:t>
      </w:r>
      <w:r w:rsidRPr="00631D49">
        <w:rPr>
          <w:rFonts w:cs="Arial"/>
        </w:rPr>
        <w:t>.</w:t>
      </w:r>
    </w:p>
    <w:p w:rsidR="001B36C9" w:rsidRPr="00631D49" w:rsidRDefault="001B36C9" w:rsidP="000F5C54">
      <w:pPr>
        <w:pStyle w:val="ListParagraph"/>
        <w:numPr>
          <w:ilvl w:val="0"/>
          <w:numId w:val="35"/>
        </w:numPr>
        <w:jc w:val="both"/>
        <w:rPr>
          <w:rFonts w:cs="Arial"/>
        </w:rPr>
      </w:pPr>
      <w:r w:rsidRPr="00631D49">
        <w:rPr>
          <w:rFonts w:cs="Arial"/>
        </w:rPr>
        <w:t>This continues to fail on 8</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 triggering a successful buy-in on the 9</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 xml:space="preserve"> with an ISD of the 13</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 xml:space="preserve">. </w:t>
      </w:r>
    </w:p>
    <w:p w:rsidR="001B36C9" w:rsidRPr="00631D49" w:rsidRDefault="001B36C9" w:rsidP="000F5C54">
      <w:pPr>
        <w:pStyle w:val="ListParagraph"/>
        <w:numPr>
          <w:ilvl w:val="0"/>
          <w:numId w:val="35"/>
        </w:numPr>
        <w:jc w:val="both"/>
        <w:rPr>
          <w:rFonts w:cs="Arial"/>
        </w:rPr>
      </w:pPr>
      <w:r w:rsidRPr="00631D49">
        <w:rPr>
          <w:rFonts w:cs="Arial"/>
        </w:rPr>
        <w:t>The buy-in agent delivers the shares to Ltd on 13</w:t>
      </w:r>
      <w:r w:rsidRPr="00631D49">
        <w:rPr>
          <w:rFonts w:cs="Arial"/>
          <w:vertAlign w:val="superscript"/>
        </w:rPr>
        <w:t>th</w:t>
      </w:r>
      <w:r w:rsidRPr="00631D49">
        <w:rPr>
          <w:rFonts w:cs="Arial"/>
        </w:rPr>
        <w:t xml:space="preserve"> Jan which is delivered to ‘C’, oldest ISD.</w:t>
      </w:r>
    </w:p>
    <w:p w:rsidR="001B36C9" w:rsidRPr="00631D49" w:rsidRDefault="001B36C9" w:rsidP="000F5C54">
      <w:pPr>
        <w:pStyle w:val="ListParagraph"/>
        <w:numPr>
          <w:ilvl w:val="0"/>
          <w:numId w:val="35"/>
        </w:numPr>
        <w:jc w:val="both"/>
        <w:rPr>
          <w:rFonts w:cs="Arial"/>
        </w:rPr>
      </w:pPr>
      <w:r w:rsidRPr="00631D49">
        <w:rPr>
          <w:rFonts w:cs="Arial"/>
        </w:rPr>
        <w:t xml:space="preserve">There is an outstanding settlement pair between Ltd and ‘A’. The CSDs should settle these through technical netting in their settlement algorithms – many do.  </w:t>
      </w:r>
    </w:p>
    <w:p w:rsidR="001B36C9" w:rsidRPr="00631D49" w:rsidRDefault="001B36C9" w:rsidP="001B36C9">
      <w:pPr>
        <w:rPr>
          <w:rFonts w:cs="Arial"/>
          <w:b/>
        </w:rPr>
      </w:pPr>
    </w:p>
    <w:p w:rsidR="001B36C9" w:rsidRPr="00631D49" w:rsidRDefault="001B36C9" w:rsidP="001B36C9">
      <w:pPr>
        <w:rPr>
          <w:rFonts w:cs="Arial"/>
          <w:b/>
        </w:rPr>
      </w:pPr>
    </w:p>
    <w:p w:rsidR="001B36C9" w:rsidRPr="00FC712D" w:rsidRDefault="001B36C9" w:rsidP="001B36C9">
      <w:pPr>
        <w:keepNext/>
        <w:spacing w:after="120"/>
        <w:rPr>
          <w:rFonts w:cs="Arial"/>
          <w:b/>
        </w:rPr>
      </w:pPr>
      <w:r>
        <w:rPr>
          <w:rFonts w:cs="Arial"/>
          <w:b/>
        </w:rPr>
        <w:t>Case 2</w:t>
      </w:r>
      <w:r w:rsidRPr="00FC712D">
        <w:rPr>
          <w:rFonts w:cs="Arial"/>
          <w:b/>
        </w:rPr>
        <w:t xml:space="preserve"> </w:t>
      </w:r>
    </w:p>
    <w:p w:rsidR="001B36C9" w:rsidRDefault="001B36C9" w:rsidP="001B36C9">
      <w:pPr>
        <w:keepNext/>
        <w:spacing w:after="120"/>
        <w:rPr>
          <w:rFonts w:cs="Arial"/>
        </w:rPr>
      </w:pPr>
      <w:r>
        <w:rPr>
          <w:rFonts w:cs="Arial"/>
        </w:rPr>
        <w:t>The buy-in against ‘A’ does not preclude ‘A’ from delivering before the buy-in completes, which allows ‘C’ to get their stock earlier than otherwise.</w:t>
      </w:r>
    </w:p>
    <w:p w:rsidR="001B36C9" w:rsidRDefault="001B36C9" w:rsidP="001B36C9">
      <w:pPr>
        <w:jc w:val="center"/>
        <w:rPr>
          <w:rFonts w:cs="Arial"/>
        </w:rPr>
      </w:pPr>
      <w:r>
        <w:rPr>
          <w:rFonts w:cs="Arial"/>
          <w:noProof/>
          <w:lang w:eastAsia="en-GB"/>
        </w:rPr>
        <w:drawing>
          <wp:inline distT="0" distB="0" distL="0" distR="0">
            <wp:extent cx="4719108" cy="2333625"/>
            <wp:effectExtent l="19050" t="0" r="5292"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719108" cy="2333625"/>
                    </a:xfrm>
                    <a:prstGeom prst="rect">
                      <a:avLst/>
                    </a:prstGeom>
                    <a:noFill/>
                    <a:ln w="9525">
                      <a:noFill/>
                      <a:miter lim="800000"/>
                      <a:headEnd/>
                      <a:tailEnd/>
                    </a:ln>
                  </pic:spPr>
                </pic:pic>
              </a:graphicData>
            </a:graphic>
          </wp:inline>
        </w:drawing>
      </w:r>
    </w:p>
    <w:p w:rsidR="001B36C9" w:rsidRDefault="001B36C9" w:rsidP="001B36C9">
      <w:pPr>
        <w:rPr>
          <w:rFonts w:cs="Arial"/>
        </w:rPr>
      </w:pPr>
    </w:p>
    <w:p w:rsidR="001B36C9" w:rsidRDefault="001B36C9" w:rsidP="001B36C9">
      <w:pPr>
        <w:rPr>
          <w:rFonts w:cs="Arial"/>
        </w:rPr>
      </w:pPr>
    </w:p>
    <w:p w:rsidR="001B36C9" w:rsidRPr="00631D49" w:rsidRDefault="001B36C9" w:rsidP="000F5C54">
      <w:pPr>
        <w:pStyle w:val="ListParagraph"/>
        <w:numPr>
          <w:ilvl w:val="0"/>
          <w:numId w:val="35"/>
        </w:numPr>
        <w:jc w:val="both"/>
        <w:rPr>
          <w:rFonts w:cs="Arial"/>
        </w:rPr>
      </w:pPr>
      <w:r w:rsidRPr="00FB41CE">
        <w:rPr>
          <w:rFonts w:cs="Arial"/>
        </w:rPr>
        <w:t>‘</w:t>
      </w:r>
      <w:r w:rsidRPr="00631D49">
        <w:rPr>
          <w:rFonts w:cs="Arial"/>
        </w:rPr>
        <w:t>A’ sells 8 shares to ‘C’ with an ISD of 2</w:t>
      </w:r>
      <w:r w:rsidRPr="00631D49">
        <w:rPr>
          <w:rFonts w:cs="Arial"/>
          <w:vertAlign w:val="superscript"/>
        </w:rPr>
        <w:t>nd</w:t>
      </w:r>
      <w:r w:rsidRPr="00631D49">
        <w:rPr>
          <w:rFonts w:cs="Arial"/>
        </w:rPr>
        <w:t xml:space="preserve"> Jan.</w:t>
      </w:r>
    </w:p>
    <w:p w:rsidR="001B36C9" w:rsidRPr="00631D49" w:rsidRDefault="001B36C9" w:rsidP="000F5C54">
      <w:pPr>
        <w:pStyle w:val="ListParagraph"/>
        <w:numPr>
          <w:ilvl w:val="0"/>
          <w:numId w:val="35"/>
        </w:numPr>
        <w:jc w:val="both"/>
        <w:rPr>
          <w:rFonts w:cs="Arial"/>
        </w:rPr>
      </w:pPr>
      <w:r w:rsidRPr="00631D49">
        <w:rPr>
          <w:rFonts w:cs="Arial"/>
        </w:rPr>
        <w:t>This continues to fail on 8</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 triggering a successful buy-in on the 9</w:t>
      </w:r>
      <w:r w:rsidRPr="00631D49">
        <w:rPr>
          <w:rFonts w:cs="Arial"/>
          <w:vertAlign w:val="superscript"/>
        </w:rPr>
        <w:t>th</w:t>
      </w:r>
      <w:r w:rsidRPr="00631D49">
        <w:rPr>
          <w:rFonts w:cs="Arial"/>
        </w:rPr>
        <w:t xml:space="preserve"> Jan </w:t>
      </w:r>
      <w:r w:rsidR="000F5C54" w:rsidRPr="00631D49">
        <w:rPr>
          <w:rFonts w:cs="Arial"/>
        </w:rPr>
        <w:t xml:space="preserve">2015 </w:t>
      </w:r>
      <w:r w:rsidRPr="00631D49">
        <w:rPr>
          <w:rFonts w:cs="Arial"/>
        </w:rPr>
        <w:t>with an ISD of the 13</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 xml:space="preserve">. </w:t>
      </w:r>
    </w:p>
    <w:p w:rsidR="001B36C9" w:rsidRPr="00631D49" w:rsidRDefault="001B36C9" w:rsidP="000F5C54">
      <w:pPr>
        <w:pStyle w:val="ListParagraph"/>
        <w:numPr>
          <w:ilvl w:val="0"/>
          <w:numId w:val="35"/>
        </w:numPr>
        <w:jc w:val="both"/>
        <w:rPr>
          <w:rFonts w:cs="Arial"/>
        </w:rPr>
      </w:pPr>
      <w:r w:rsidRPr="00631D49">
        <w:rPr>
          <w:rFonts w:cs="Arial"/>
        </w:rPr>
        <w:t>‘A’ fulfils the original delivery on the 12</w:t>
      </w:r>
      <w:r w:rsidRPr="00631D49">
        <w:rPr>
          <w:rFonts w:cs="Arial"/>
          <w:vertAlign w:val="superscript"/>
        </w:rPr>
        <w:t>th</w:t>
      </w:r>
      <w:r w:rsidRPr="00631D49">
        <w:rPr>
          <w:rFonts w:cs="Arial"/>
        </w:rPr>
        <w:t xml:space="preserve"> Jan which is delivered to ‘C’.</w:t>
      </w:r>
    </w:p>
    <w:p w:rsidR="001B36C9" w:rsidRPr="00631D49" w:rsidRDefault="001B36C9" w:rsidP="000F5C54">
      <w:pPr>
        <w:pStyle w:val="ListParagraph"/>
        <w:numPr>
          <w:ilvl w:val="0"/>
          <w:numId w:val="35"/>
        </w:numPr>
        <w:jc w:val="both"/>
        <w:rPr>
          <w:rFonts w:cs="Arial"/>
        </w:rPr>
      </w:pPr>
      <w:r w:rsidRPr="00631D49">
        <w:rPr>
          <w:rFonts w:cs="Arial"/>
        </w:rPr>
        <w:t>The buy-in agent delivers to Ltd on 13</w:t>
      </w:r>
      <w:r w:rsidRPr="00631D49">
        <w:rPr>
          <w:rFonts w:cs="Arial"/>
          <w:vertAlign w:val="superscript"/>
        </w:rPr>
        <w:t>th</w:t>
      </w:r>
      <w:r w:rsidRPr="00631D49">
        <w:rPr>
          <w:rFonts w:cs="Arial"/>
        </w:rPr>
        <w:t xml:space="preserve"> Jan which is delivered to ‘A’.</w:t>
      </w:r>
    </w:p>
    <w:p w:rsidR="001B36C9" w:rsidRPr="00631D49" w:rsidRDefault="001B36C9" w:rsidP="001B36C9">
      <w:pPr>
        <w:rPr>
          <w:rFonts w:cs="Arial"/>
          <w:b/>
        </w:rPr>
      </w:pPr>
    </w:p>
    <w:p w:rsidR="001B36C9" w:rsidRDefault="001B36C9" w:rsidP="001B36C9">
      <w:pPr>
        <w:rPr>
          <w:rFonts w:cs="Arial"/>
          <w:b/>
        </w:rPr>
      </w:pPr>
    </w:p>
    <w:p w:rsidR="001B36C9" w:rsidRPr="00FC712D" w:rsidRDefault="001B36C9" w:rsidP="001B36C9">
      <w:pPr>
        <w:keepNext/>
        <w:spacing w:after="120"/>
        <w:rPr>
          <w:rFonts w:cs="Arial"/>
          <w:b/>
        </w:rPr>
      </w:pPr>
      <w:r>
        <w:rPr>
          <w:rFonts w:cs="Arial"/>
          <w:b/>
        </w:rPr>
        <w:t>Case 3</w:t>
      </w:r>
      <w:r w:rsidRPr="00FC712D">
        <w:rPr>
          <w:rFonts w:cs="Arial"/>
          <w:b/>
        </w:rPr>
        <w:t xml:space="preserve"> </w:t>
      </w:r>
    </w:p>
    <w:p w:rsidR="001B36C9" w:rsidRDefault="001B36C9" w:rsidP="001B36C9">
      <w:pPr>
        <w:keepNext/>
        <w:spacing w:after="120"/>
        <w:rPr>
          <w:rFonts w:cs="Arial"/>
        </w:rPr>
      </w:pPr>
      <w:r>
        <w:rPr>
          <w:rFonts w:cs="Arial"/>
        </w:rPr>
        <w:t xml:space="preserve">A subsequent separate trade/settlement delivers to ‘C’ before ‘A’ or the buy-in. </w:t>
      </w:r>
    </w:p>
    <w:p w:rsidR="001B36C9" w:rsidRDefault="001B36C9" w:rsidP="001B36C9">
      <w:pPr>
        <w:jc w:val="center"/>
        <w:rPr>
          <w:rFonts w:cs="Arial"/>
        </w:rPr>
      </w:pPr>
      <w:r>
        <w:rPr>
          <w:rFonts w:cs="Arial"/>
          <w:noProof/>
          <w:lang w:eastAsia="en-GB"/>
        </w:rPr>
        <w:drawing>
          <wp:inline distT="0" distB="0" distL="0" distR="0">
            <wp:extent cx="5308157" cy="3762375"/>
            <wp:effectExtent l="19050" t="0" r="6793"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308157" cy="3762375"/>
                    </a:xfrm>
                    <a:prstGeom prst="rect">
                      <a:avLst/>
                    </a:prstGeom>
                    <a:noFill/>
                    <a:ln w="9525">
                      <a:noFill/>
                      <a:miter lim="800000"/>
                      <a:headEnd/>
                      <a:tailEnd/>
                    </a:ln>
                  </pic:spPr>
                </pic:pic>
              </a:graphicData>
            </a:graphic>
          </wp:inline>
        </w:drawing>
      </w:r>
    </w:p>
    <w:p w:rsidR="001B36C9" w:rsidRDefault="001B36C9" w:rsidP="001B36C9">
      <w:pPr>
        <w:jc w:val="center"/>
        <w:rPr>
          <w:rFonts w:cs="Arial"/>
        </w:rPr>
      </w:pPr>
    </w:p>
    <w:p w:rsidR="001B36C9" w:rsidRPr="00631D49" w:rsidRDefault="001B36C9" w:rsidP="001B36C9">
      <w:pPr>
        <w:rPr>
          <w:rFonts w:cs="Arial"/>
        </w:rPr>
      </w:pPr>
    </w:p>
    <w:p w:rsidR="001B36C9" w:rsidRPr="00631D49" w:rsidRDefault="001B36C9" w:rsidP="001F2721">
      <w:pPr>
        <w:pStyle w:val="ListParagraph"/>
        <w:numPr>
          <w:ilvl w:val="0"/>
          <w:numId w:val="35"/>
        </w:numPr>
        <w:jc w:val="both"/>
        <w:rPr>
          <w:rFonts w:cs="Arial"/>
        </w:rPr>
      </w:pPr>
      <w:r w:rsidRPr="00631D49">
        <w:rPr>
          <w:rFonts w:cs="Arial"/>
        </w:rPr>
        <w:t>‘A’ sells 8 shares to ‘C’ with an ISD of 2</w:t>
      </w:r>
      <w:r w:rsidRPr="00631D49">
        <w:rPr>
          <w:rFonts w:cs="Arial"/>
          <w:vertAlign w:val="superscript"/>
        </w:rPr>
        <w:t>nd</w:t>
      </w:r>
      <w:r w:rsidRPr="00631D49">
        <w:rPr>
          <w:rFonts w:cs="Arial"/>
        </w:rPr>
        <w:t xml:space="preserve"> Jan</w:t>
      </w:r>
      <w:r w:rsidR="000F5C54" w:rsidRPr="00631D49">
        <w:rPr>
          <w:rFonts w:cs="Arial"/>
        </w:rPr>
        <w:t xml:space="preserve"> 2015</w:t>
      </w:r>
      <w:r w:rsidRPr="00631D49">
        <w:rPr>
          <w:rFonts w:cs="Arial"/>
        </w:rPr>
        <w:t>.</w:t>
      </w:r>
    </w:p>
    <w:p w:rsidR="001B36C9" w:rsidRPr="00631D49" w:rsidRDefault="001B36C9" w:rsidP="001F2721">
      <w:pPr>
        <w:pStyle w:val="ListParagraph"/>
        <w:numPr>
          <w:ilvl w:val="0"/>
          <w:numId w:val="35"/>
        </w:numPr>
        <w:jc w:val="both"/>
        <w:rPr>
          <w:rFonts w:cs="Arial"/>
        </w:rPr>
      </w:pPr>
      <w:r w:rsidRPr="00631D49">
        <w:rPr>
          <w:rFonts w:cs="Arial"/>
        </w:rPr>
        <w:t>‘D’ sells 8 shares to ‘F’ with an ISD of 8</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w:t>
      </w:r>
    </w:p>
    <w:p w:rsidR="001B36C9" w:rsidRPr="00631D49" w:rsidRDefault="001B36C9" w:rsidP="001F2721">
      <w:pPr>
        <w:pStyle w:val="ListParagraph"/>
        <w:numPr>
          <w:ilvl w:val="0"/>
          <w:numId w:val="35"/>
        </w:numPr>
        <w:jc w:val="both"/>
        <w:rPr>
          <w:rFonts w:cs="Arial"/>
        </w:rPr>
      </w:pPr>
      <w:r w:rsidRPr="00631D49">
        <w:rPr>
          <w:rFonts w:cs="Arial"/>
        </w:rPr>
        <w:t>‘D’ delivers the 8 shares on the 8</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 xml:space="preserve"> which are delivered to ‘C’, oldest ISD.</w:t>
      </w:r>
    </w:p>
    <w:p w:rsidR="001B36C9" w:rsidRPr="00631D49" w:rsidRDefault="001B36C9" w:rsidP="001F2721">
      <w:pPr>
        <w:pStyle w:val="ListParagraph"/>
        <w:numPr>
          <w:ilvl w:val="0"/>
          <w:numId w:val="35"/>
        </w:numPr>
        <w:jc w:val="both"/>
        <w:rPr>
          <w:rFonts w:cs="Arial"/>
        </w:rPr>
      </w:pPr>
      <w:r w:rsidRPr="00631D49">
        <w:rPr>
          <w:rFonts w:cs="Arial"/>
        </w:rPr>
        <w:t>‘A’ continues to fail on 8</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 triggering a successful buy-in on the 9</w:t>
      </w:r>
      <w:r w:rsidRPr="00631D49">
        <w:rPr>
          <w:rFonts w:cs="Arial"/>
          <w:vertAlign w:val="superscript"/>
        </w:rPr>
        <w:t>th</w:t>
      </w:r>
      <w:r w:rsidRPr="00631D49">
        <w:rPr>
          <w:rFonts w:cs="Arial"/>
        </w:rPr>
        <w:t xml:space="preserve"> Jan </w:t>
      </w:r>
      <w:r w:rsidR="000F5C54" w:rsidRPr="00631D49">
        <w:rPr>
          <w:rFonts w:cs="Arial"/>
        </w:rPr>
        <w:t xml:space="preserve">2015 </w:t>
      </w:r>
      <w:r w:rsidRPr="00631D49">
        <w:rPr>
          <w:rFonts w:cs="Arial"/>
        </w:rPr>
        <w:t>with an ISD of the 13</w:t>
      </w:r>
      <w:r w:rsidRPr="00631D49">
        <w:rPr>
          <w:rFonts w:cs="Arial"/>
          <w:vertAlign w:val="superscript"/>
        </w:rPr>
        <w:t>th</w:t>
      </w:r>
      <w:r w:rsidRPr="00631D49">
        <w:rPr>
          <w:rFonts w:cs="Arial"/>
        </w:rPr>
        <w:t xml:space="preserve"> Jan</w:t>
      </w:r>
      <w:r w:rsidR="000F5C54" w:rsidRPr="00631D49">
        <w:rPr>
          <w:rFonts w:cs="Arial"/>
        </w:rPr>
        <w:t xml:space="preserve"> 2015</w:t>
      </w:r>
      <w:r w:rsidRPr="00631D49">
        <w:rPr>
          <w:rFonts w:cs="Arial"/>
        </w:rPr>
        <w:t xml:space="preserve">. </w:t>
      </w:r>
    </w:p>
    <w:p w:rsidR="001B36C9" w:rsidRPr="00631D49" w:rsidRDefault="001B36C9" w:rsidP="001F2721">
      <w:pPr>
        <w:pStyle w:val="ListParagraph"/>
        <w:numPr>
          <w:ilvl w:val="0"/>
          <w:numId w:val="35"/>
        </w:numPr>
        <w:jc w:val="both"/>
        <w:rPr>
          <w:rFonts w:cs="Arial"/>
        </w:rPr>
      </w:pPr>
      <w:r w:rsidRPr="00631D49">
        <w:rPr>
          <w:rFonts w:cs="Arial"/>
        </w:rPr>
        <w:t>The buy-in agent delivers to Ltd on 13</w:t>
      </w:r>
      <w:r w:rsidRPr="00631D49">
        <w:rPr>
          <w:rFonts w:cs="Arial"/>
          <w:vertAlign w:val="superscript"/>
        </w:rPr>
        <w:t>th</w:t>
      </w:r>
      <w:r w:rsidRPr="00631D49">
        <w:rPr>
          <w:rFonts w:cs="Arial"/>
        </w:rPr>
        <w:t xml:space="preserve"> Jan</w:t>
      </w:r>
      <w:r w:rsidR="001F2721" w:rsidRPr="00631D49">
        <w:rPr>
          <w:rFonts w:cs="Arial"/>
        </w:rPr>
        <w:t xml:space="preserve"> 2015</w:t>
      </w:r>
      <w:r w:rsidRPr="00631D49">
        <w:rPr>
          <w:rFonts w:cs="Arial"/>
        </w:rPr>
        <w:t xml:space="preserve"> </w:t>
      </w:r>
      <w:r w:rsidR="001F2721" w:rsidRPr="00631D49">
        <w:rPr>
          <w:rFonts w:cs="Arial"/>
        </w:rPr>
        <w:t>whic</w:t>
      </w:r>
      <w:r w:rsidRPr="00631D49">
        <w:rPr>
          <w:rFonts w:cs="Arial"/>
        </w:rPr>
        <w:t>h is delivered to ‘F’, oldest ISD.</w:t>
      </w:r>
    </w:p>
    <w:p w:rsidR="001B36C9" w:rsidRPr="00631D49" w:rsidRDefault="001B36C9" w:rsidP="001F2721">
      <w:pPr>
        <w:pStyle w:val="ListParagraph"/>
        <w:numPr>
          <w:ilvl w:val="0"/>
          <w:numId w:val="35"/>
        </w:numPr>
        <w:jc w:val="both"/>
        <w:rPr>
          <w:rFonts w:cs="Arial"/>
        </w:rPr>
      </w:pPr>
      <w:r w:rsidRPr="00631D49">
        <w:rPr>
          <w:rFonts w:cs="Arial"/>
        </w:rPr>
        <w:t xml:space="preserve">There is an outstanding settlement pair between Ltd and ‘A’. The CSDs should settle these through technical netting in their settlement algorithms – many do.  </w:t>
      </w:r>
    </w:p>
    <w:p w:rsidR="001B36C9" w:rsidRPr="00631D49" w:rsidRDefault="001B36C9" w:rsidP="001B36C9">
      <w:pPr>
        <w:rPr>
          <w:rFonts w:cs="Arial"/>
        </w:rPr>
      </w:pPr>
    </w:p>
    <w:p w:rsidR="001B36C9" w:rsidRPr="00E268D2" w:rsidRDefault="001B36C9" w:rsidP="001B36C9">
      <w:pPr>
        <w:keepNext/>
        <w:spacing w:after="120"/>
        <w:rPr>
          <w:rFonts w:cs="Arial"/>
          <w:b/>
        </w:rPr>
      </w:pPr>
      <w:proofErr w:type="gramStart"/>
      <w:r w:rsidRPr="00E268D2">
        <w:rPr>
          <w:rFonts w:cs="Arial"/>
          <w:b/>
        </w:rPr>
        <w:lastRenderedPageBreak/>
        <w:t>Case 4.</w:t>
      </w:r>
      <w:proofErr w:type="gramEnd"/>
      <w:r w:rsidRPr="00E268D2">
        <w:rPr>
          <w:rFonts w:cs="Arial"/>
          <w:b/>
        </w:rPr>
        <w:t xml:space="preserve"> </w:t>
      </w:r>
    </w:p>
    <w:p w:rsidR="001B36C9" w:rsidRDefault="001B36C9" w:rsidP="001B36C9">
      <w:pPr>
        <w:keepNext/>
        <w:spacing w:after="120"/>
        <w:rPr>
          <w:rFonts w:cs="Arial"/>
        </w:rPr>
      </w:pPr>
      <w:r>
        <w:rPr>
          <w:rFonts w:cs="Arial"/>
        </w:rPr>
        <w:t>Buy to cover by ‘A’ stopping a buy-in. In this case ‘F’ in the previous example is ‘A’.</w:t>
      </w:r>
    </w:p>
    <w:p w:rsidR="001B36C9" w:rsidRDefault="001B36C9" w:rsidP="001B36C9">
      <w:pPr>
        <w:jc w:val="center"/>
        <w:rPr>
          <w:rFonts w:cs="Arial"/>
        </w:rPr>
      </w:pPr>
      <w:r>
        <w:rPr>
          <w:rFonts w:cs="Arial"/>
          <w:noProof/>
          <w:lang w:eastAsia="en-GB"/>
        </w:rPr>
        <w:drawing>
          <wp:inline distT="0" distB="0" distL="0" distR="0">
            <wp:extent cx="5499539" cy="2190750"/>
            <wp:effectExtent l="19050" t="0" r="5911"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500724" cy="2191222"/>
                    </a:xfrm>
                    <a:prstGeom prst="rect">
                      <a:avLst/>
                    </a:prstGeom>
                    <a:noFill/>
                    <a:ln w="9525">
                      <a:noFill/>
                      <a:miter lim="800000"/>
                      <a:headEnd/>
                      <a:tailEnd/>
                    </a:ln>
                  </pic:spPr>
                </pic:pic>
              </a:graphicData>
            </a:graphic>
          </wp:inline>
        </w:drawing>
      </w:r>
    </w:p>
    <w:p w:rsidR="001B36C9" w:rsidRDefault="001B36C9" w:rsidP="001B36C9">
      <w:pPr>
        <w:jc w:val="center"/>
        <w:rPr>
          <w:rFonts w:cs="Arial"/>
        </w:rPr>
      </w:pPr>
    </w:p>
    <w:p w:rsidR="001B36C9" w:rsidRDefault="001B36C9" w:rsidP="001B36C9">
      <w:pPr>
        <w:rPr>
          <w:rFonts w:cs="Arial"/>
        </w:rPr>
      </w:pPr>
    </w:p>
    <w:p w:rsidR="001B36C9" w:rsidRPr="00631D49" w:rsidRDefault="001B36C9" w:rsidP="001F2721">
      <w:pPr>
        <w:pStyle w:val="ListParagraph"/>
        <w:numPr>
          <w:ilvl w:val="0"/>
          <w:numId w:val="35"/>
        </w:numPr>
        <w:jc w:val="both"/>
        <w:rPr>
          <w:rFonts w:cs="Arial"/>
        </w:rPr>
      </w:pPr>
      <w:r w:rsidRPr="00FB41CE">
        <w:rPr>
          <w:rFonts w:cs="Arial"/>
        </w:rPr>
        <w:t xml:space="preserve">‘A’ </w:t>
      </w:r>
      <w:r w:rsidRPr="00631D49">
        <w:rPr>
          <w:rFonts w:cs="Arial"/>
        </w:rPr>
        <w:t>sells 8 shares to ‘C’ with an ISD of 2</w:t>
      </w:r>
      <w:r w:rsidRPr="00631D49">
        <w:rPr>
          <w:rFonts w:cs="Arial"/>
          <w:vertAlign w:val="superscript"/>
        </w:rPr>
        <w:t>nd</w:t>
      </w:r>
      <w:r w:rsidRPr="00631D49">
        <w:rPr>
          <w:rFonts w:cs="Arial"/>
        </w:rPr>
        <w:t xml:space="preserve"> Jan</w:t>
      </w:r>
      <w:r w:rsidR="001F2721" w:rsidRPr="00631D49">
        <w:rPr>
          <w:rFonts w:cs="Arial"/>
        </w:rPr>
        <w:t xml:space="preserve"> 2015</w:t>
      </w:r>
      <w:r w:rsidRPr="00631D49">
        <w:rPr>
          <w:rFonts w:cs="Arial"/>
        </w:rPr>
        <w:t>.</w:t>
      </w:r>
    </w:p>
    <w:p w:rsidR="001B36C9" w:rsidRPr="00631D49" w:rsidRDefault="001B36C9" w:rsidP="001F2721">
      <w:pPr>
        <w:pStyle w:val="ListParagraph"/>
        <w:numPr>
          <w:ilvl w:val="0"/>
          <w:numId w:val="35"/>
        </w:numPr>
        <w:jc w:val="both"/>
        <w:rPr>
          <w:rFonts w:cs="Arial"/>
        </w:rPr>
      </w:pPr>
      <w:r w:rsidRPr="00631D49">
        <w:rPr>
          <w:rFonts w:cs="Arial"/>
        </w:rPr>
        <w:t>‘D’ sells 8 shares to ‘A’ with an ISD of 8</w:t>
      </w:r>
      <w:r w:rsidRPr="00631D49">
        <w:rPr>
          <w:rFonts w:cs="Arial"/>
          <w:vertAlign w:val="superscript"/>
        </w:rPr>
        <w:t>th</w:t>
      </w:r>
      <w:r w:rsidRPr="00631D49">
        <w:rPr>
          <w:rFonts w:cs="Arial"/>
        </w:rPr>
        <w:t xml:space="preserve"> Jan</w:t>
      </w:r>
      <w:r w:rsidR="001F2721" w:rsidRPr="00631D49">
        <w:rPr>
          <w:rFonts w:cs="Arial"/>
        </w:rPr>
        <w:t xml:space="preserve"> 2015</w:t>
      </w:r>
      <w:r w:rsidRPr="00631D49">
        <w:rPr>
          <w:rFonts w:cs="Arial"/>
        </w:rPr>
        <w:t>.</w:t>
      </w:r>
    </w:p>
    <w:p w:rsidR="001B36C9" w:rsidRPr="00631D49" w:rsidRDefault="001B36C9" w:rsidP="001F2721">
      <w:pPr>
        <w:pStyle w:val="ListParagraph"/>
        <w:numPr>
          <w:ilvl w:val="0"/>
          <w:numId w:val="35"/>
        </w:numPr>
        <w:jc w:val="both"/>
        <w:rPr>
          <w:rFonts w:cs="Arial"/>
        </w:rPr>
      </w:pPr>
      <w:r w:rsidRPr="00631D49">
        <w:rPr>
          <w:rFonts w:cs="Arial"/>
        </w:rPr>
        <w:t>‘D’ delivers the 8 shares on the 8</w:t>
      </w:r>
      <w:r w:rsidRPr="00631D49">
        <w:rPr>
          <w:rFonts w:cs="Arial"/>
          <w:vertAlign w:val="superscript"/>
        </w:rPr>
        <w:t>th</w:t>
      </w:r>
      <w:r w:rsidRPr="00631D49">
        <w:rPr>
          <w:rFonts w:cs="Arial"/>
        </w:rPr>
        <w:t xml:space="preserve"> Jan</w:t>
      </w:r>
      <w:r w:rsidR="001F2721" w:rsidRPr="00631D49">
        <w:rPr>
          <w:rFonts w:cs="Arial"/>
        </w:rPr>
        <w:t xml:space="preserve"> 2015</w:t>
      </w:r>
      <w:r w:rsidRPr="00631D49">
        <w:rPr>
          <w:rFonts w:cs="Arial"/>
        </w:rPr>
        <w:t xml:space="preserve"> which are delivered to ‘C’.</w:t>
      </w:r>
    </w:p>
    <w:p w:rsidR="001B36C9" w:rsidRPr="00631D49" w:rsidRDefault="001B36C9" w:rsidP="001F2721">
      <w:pPr>
        <w:pStyle w:val="ListParagraph"/>
        <w:numPr>
          <w:ilvl w:val="0"/>
          <w:numId w:val="35"/>
        </w:numPr>
        <w:jc w:val="both"/>
        <w:rPr>
          <w:rFonts w:cs="Arial"/>
        </w:rPr>
      </w:pPr>
      <w:r w:rsidRPr="00631D49">
        <w:rPr>
          <w:rFonts w:cs="Arial"/>
        </w:rPr>
        <w:t>‘A’ continues to fail on 8</w:t>
      </w:r>
      <w:r w:rsidRPr="00631D49">
        <w:rPr>
          <w:rFonts w:cs="Arial"/>
          <w:vertAlign w:val="superscript"/>
        </w:rPr>
        <w:t>th</w:t>
      </w:r>
      <w:r w:rsidRPr="00631D49">
        <w:rPr>
          <w:rFonts w:cs="Arial"/>
        </w:rPr>
        <w:t xml:space="preserve"> Jan</w:t>
      </w:r>
      <w:r w:rsidR="001F2721" w:rsidRPr="00631D49">
        <w:rPr>
          <w:rFonts w:cs="Arial"/>
        </w:rPr>
        <w:t xml:space="preserve"> 2015</w:t>
      </w:r>
      <w:r w:rsidRPr="00631D49">
        <w:rPr>
          <w:rFonts w:cs="Arial"/>
        </w:rPr>
        <w:t>, but as Ltd is due to deliver shares to ‘A’ before the earliest buy-in delivery date ‘A’ has effectively arranged his own buy-in, or ‘buy-to-cover’. Ltd does not do a separate buy-in.</w:t>
      </w:r>
    </w:p>
    <w:p w:rsidR="009A5DBC" w:rsidRPr="00A74D4C" w:rsidRDefault="001B36C9" w:rsidP="001F2721">
      <w:pPr>
        <w:pStyle w:val="ListParagraph"/>
        <w:numPr>
          <w:ilvl w:val="0"/>
          <w:numId w:val="35"/>
        </w:numPr>
        <w:jc w:val="both"/>
        <w:rPr>
          <w:rFonts w:cs="Arial"/>
        </w:rPr>
      </w:pPr>
      <w:r>
        <w:rPr>
          <w:rFonts w:cs="Arial"/>
        </w:rPr>
        <w:t>There is an outstanding technical net between Ltd and ‘A’</w:t>
      </w:r>
    </w:p>
    <w:permEnd w:id="9"/>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6D5EC3" w:rsidRDefault="0073291B" w:rsidP="00E50212">
      <w:pPr>
        <w:jc w:val="both"/>
      </w:pPr>
      <w:permStart w:id="10" w:edGrp="everyone"/>
      <w:r>
        <w:t xml:space="preserve">Both the extension periods and the timeframes to deliver the financial instruments take into account the liquidity of the specific financial instrument. We believe that </w:t>
      </w:r>
      <w:r w:rsidR="0068670F">
        <w:t xml:space="preserve">it is essential for policy makers to provide a clear definition of liquidity, currently </w:t>
      </w:r>
      <w:r w:rsidR="00A07416">
        <w:t>proposed</w:t>
      </w:r>
      <w:r w:rsidR="0068670F">
        <w:t xml:space="preserve"> under</w:t>
      </w:r>
      <w:r w:rsidR="00A07416">
        <w:t xml:space="preserve"> the level 2 measures of</w:t>
      </w:r>
      <w:r w:rsidR="0068670F">
        <w:t xml:space="preserve"> </w:t>
      </w:r>
      <w:r>
        <w:t>MiFID II</w:t>
      </w:r>
      <w:r w:rsidR="0068670F">
        <w:t>. Clarity is essential to ensure that there is a consistent understanding of such definition across market participants, CCPs, trading venues and CSDs. Otherwise, there could be inco</w:t>
      </w:r>
      <w:r w:rsidR="0068670F">
        <w:t>n</w:t>
      </w:r>
      <w:r w:rsidR="0068670F">
        <w:t xml:space="preserve">sistency across a chain of transactions, </w:t>
      </w:r>
      <w:r w:rsidR="00A07416">
        <w:t xml:space="preserve">for example </w:t>
      </w:r>
      <w:r w:rsidR="0068670F">
        <w:t>where a specific instrument may be bought in on a liquid basis at the beginning of a chain and on an illiquid basis at the end of the same chain.</w:t>
      </w:r>
    </w:p>
    <w:p w:rsidR="00631D49" w:rsidRDefault="00631D49" w:rsidP="00E50212">
      <w:pPr>
        <w:jc w:val="both"/>
      </w:pPr>
    </w:p>
    <w:p w:rsidR="00631D49" w:rsidRDefault="00631D49" w:rsidP="00631D49">
      <w:pPr>
        <w:jc w:val="both"/>
      </w:pPr>
      <w:r>
        <w:t>We would like to comment particularly on paragraph 1 of Article 12</w:t>
      </w:r>
      <w:r w:rsidR="00642713">
        <w:t xml:space="preserve">. </w:t>
      </w:r>
      <w:r>
        <w:t>As it is currently drafted would prevent the use of the buy-in agent model, whereby a buy-in can be considered succes</w:t>
      </w:r>
      <w:r>
        <w:t>s</w:t>
      </w:r>
      <w:r>
        <w:t>fully executed only after the confirmation sent by the buy-in agent to the CCP.</w:t>
      </w:r>
      <w:r w:rsidR="00642713">
        <w:t xml:space="preserve"> There is therefore, no guaranteed delivery within a specified period.</w:t>
      </w:r>
      <w:r>
        <w:t xml:space="preserve"> </w:t>
      </w:r>
      <w:r w:rsidR="00642713">
        <w:t>The RTS should not prevent the buy-in agent from</w:t>
      </w:r>
      <w:r>
        <w:t xml:space="preserve"> buy</w:t>
      </w:r>
      <w:r w:rsidR="00642713">
        <w:t>ing the</w:t>
      </w:r>
      <w:r>
        <w:t xml:space="preserve"> securi</w:t>
      </w:r>
      <w:r w:rsidR="00642713">
        <w:t>ties i</w:t>
      </w:r>
      <w:r>
        <w:t xml:space="preserve">n the market </w:t>
      </w:r>
      <w:r w:rsidR="00642713">
        <w:t>and deliver</w:t>
      </w:r>
      <w:r>
        <w:t xml:space="preserve"> </w:t>
      </w:r>
      <w:r w:rsidR="00642713">
        <w:t xml:space="preserve">them </w:t>
      </w:r>
      <w:r>
        <w:t>subject to the standard settlement period.</w:t>
      </w:r>
      <w:r w:rsidR="00642713">
        <w:t xml:space="preserve"> </w:t>
      </w:r>
      <w:r>
        <w:t xml:space="preserve">In order to ensure that the </w:t>
      </w:r>
      <w:r w:rsidR="00642713">
        <w:t xml:space="preserve">use of the </w:t>
      </w:r>
      <w:r>
        <w:t>buy-in agent model</w:t>
      </w:r>
      <w:r w:rsidR="00642713">
        <w:t xml:space="preserve"> can continue</w:t>
      </w:r>
      <w:r>
        <w:t xml:space="preserve">, </w:t>
      </w:r>
      <w:r w:rsidR="00642713">
        <w:t xml:space="preserve">we </w:t>
      </w:r>
      <w:r>
        <w:t>pro</w:t>
      </w:r>
      <w:r w:rsidR="00642713">
        <w:t>pose</w:t>
      </w:r>
      <w:r>
        <w:t xml:space="preserve"> the following</w:t>
      </w:r>
      <w:r w:rsidR="00642713">
        <w:t xml:space="preserve"> amendment to</w:t>
      </w:r>
      <w:r>
        <w:t xml:space="preserve"> </w:t>
      </w:r>
      <w:r w:rsidR="00642713">
        <w:t>paragraph 1 of</w:t>
      </w:r>
      <w:r>
        <w:t xml:space="preserve"> Article 12:</w:t>
      </w:r>
    </w:p>
    <w:p w:rsidR="00642713" w:rsidRDefault="00642713" w:rsidP="00631D49">
      <w:pPr>
        <w:jc w:val="both"/>
      </w:pPr>
    </w:p>
    <w:p w:rsidR="00631D49" w:rsidRDefault="00631D49" w:rsidP="002146E2">
      <w:pPr>
        <w:pStyle w:val="ListParagraph"/>
        <w:numPr>
          <w:ilvl w:val="0"/>
          <w:numId w:val="40"/>
        </w:numPr>
        <w:jc w:val="both"/>
      </w:pPr>
      <w:r>
        <w:t xml:space="preserve">Shares or bonds, including those shares cleared by a CCP or those shares or bonds that are SME growth market instruments, shall be available for settlement </w:t>
      </w:r>
      <w:r w:rsidRPr="00631D49">
        <w:rPr>
          <w:b/>
          <w:i/>
          <w:strike/>
        </w:rPr>
        <w:t>and deli</w:t>
      </w:r>
      <w:r w:rsidRPr="00631D49">
        <w:rPr>
          <w:b/>
          <w:i/>
          <w:strike/>
        </w:rPr>
        <w:t>v</w:t>
      </w:r>
      <w:r w:rsidRPr="00631D49">
        <w:rPr>
          <w:b/>
          <w:i/>
          <w:strike/>
        </w:rPr>
        <w:t>ered</w:t>
      </w:r>
      <w:r>
        <w:t xml:space="preserve"> to the receiving participant within:</w:t>
      </w:r>
    </w:p>
    <w:p w:rsidR="00631D49" w:rsidRPr="00642713" w:rsidRDefault="00631D49" w:rsidP="00631D49">
      <w:pPr>
        <w:pStyle w:val="ListParagraph"/>
        <w:jc w:val="both"/>
        <w:rPr>
          <w:rFonts w:cs="Arial"/>
        </w:rPr>
      </w:pPr>
    </w:p>
    <w:p w:rsidR="00642713" w:rsidRPr="00642713" w:rsidRDefault="00642713" w:rsidP="00642713">
      <w:pPr>
        <w:ind w:left="1134"/>
        <w:jc w:val="both"/>
        <w:rPr>
          <w:rFonts w:cs="Arial"/>
        </w:rPr>
      </w:pPr>
      <w:r w:rsidRPr="00642713">
        <w:rPr>
          <w:rFonts w:cs="Arial"/>
        </w:rPr>
        <w:t xml:space="preserve">(a) </w:t>
      </w:r>
      <w:r w:rsidR="00631D49" w:rsidRPr="00642713">
        <w:rPr>
          <w:rFonts w:cs="Arial"/>
        </w:rPr>
        <w:t>4 business days after the end of the extension period where the bonds or shares are considered to have a liquid market, in accordance with point (a) of Article 2(1)(17) or point (b) of Article 2(1)(17), respectively, of Regulation (EU) No 600/2014;</w:t>
      </w:r>
    </w:p>
    <w:p w:rsidR="00642713" w:rsidRDefault="00642713" w:rsidP="00642713">
      <w:pPr>
        <w:pStyle w:val="ListParagraph"/>
        <w:ind w:left="1494"/>
        <w:jc w:val="both"/>
        <w:rPr>
          <w:rFonts w:cs="Arial"/>
        </w:rPr>
      </w:pPr>
    </w:p>
    <w:p w:rsidR="00631D49" w:rsidRPr="00642713" w:rsidRDefault="00642713" w:rsidP="00642713">
      <w:pPr>
        <w:ind w:left="1134"/>
        <w:jc w:val="both"/>
        <w:rPr>
          <w:rFonts w:cs="Arial"/>
        </w:rPr>
      </w:pPr>
      <w:r>
        <w:rPr>
          <w:rFonts w:cs="Arial"/>
        </w:rPr>
        <w:t xml:space="preserve">(b) </w:t>
      </w:r>
      <w:r w:rsidR="00631D49" w:rsidRPr="00642713">
        <w:rPr>
          <w:rFonts w:cs="Arial"/>
        </w:rPr>
        <w:t>7 business days after the end of the extension period where the bonds or shares are not considered to have a liquid market, in accordance with point (a) of Article 2(1)(17) or point (b) of Article 2(1)(17), respectively, of Regulation (EU) No 600/2014.</w:t>
      </w:r>
    </w:p>
    <w:permEnd w:id="10"/>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BD7D34" w:rsidRDefault="00FF36F1" w:rsidP="00E50212">
      <w:pPr>
        <w:jc w:val="both"/>
      </w:pPr>
      <w:permStart w:id="11" w:edGrp="everyone"/>
      <w:r>
        <w:t>The CSD Regulation (Article 7(4</w:t>
      </w:r>
      <w:proofErr w:type="gramStart"/>
      <w:r>
        <w:t>)(</w:t>
      </w:r>
      <w:proofErr w:type="gramEnd"/>
      <w:r>
        <w:t xml:space="preserve">b)) </w:t>
      </w:r>
      <w:r w:rsidR="00F02BCC" w:rsidRPr="00631D49">
        <w:t>exempts the opening leg of short</w:t>
      </w:r>
      <w:r w:rsidR="00F02BCC">
        <w:t>-term</w:t>
      </w:r>
      <w:r>
        <w:t xml:space="preserve"> repo transaction</w:t>
      </w:r>
      <w:r w:rsidR="00F02BCC">
        <w:t>s</w:t>
      </w:r>
      <w:r>
        <w:t xml:space="preserve">. </w:t>
      </w:r>
      <w:r w:rsidR="00052F7D">
        <w:t>CCPs,</w:t>
      </w:r>
      <w:r>
        <w:t xml:space="preserve"> </w:t>
      </w:r>
      <w:r w:rsidR="001B4D9C">
        <w:t xml:space="preserve">such </w:t>
      </w:r>
      <w:r w:rsidR="00052F7D">
        <w:t>as LCH.Clearnet, include</w:t>
      </w:r>
      <w:r>
        <w:t xml:space="preserve"> both opening and closing legs of cleared repo transa</w:t>
      </w:r>
      <w:r>
        <w:t>c</w:t>
      </w:r>
      <w:r>
        <w:t xml:space="preserve">tions in </w:t>
      </w:r>
      <w:r w:rsidR="00052F7D">
        <w:t>their</w:t>
      </w:r>
      <w:r>
        <w:t xml:space="preserve"> netting process. </w:t>
      </w:r>
      <w:r w:rsidR="00052F7D">
        <w:t>The</w:t>
      </w:r>
      <w:r>
        <w:t xml:space="preserve"> e</w:t>
      </w:r>
      <w:r w:rsidR="00052F7D">
        <w:t>xemption for the opening leg of</w:t>
      </w:r>
      <w:r>
        <w:t xml:space="preserve"> a short term repo</w:t>
      </w:r>
      <w:r w:rsidR="00052F7D">
        <w:t xml:space="preserve"> has a si</w:t>
      </w:r>
      <w:r w:rsidR="00052F7D">
        <w:t>g</w:t>
      </w:r>
      <w:r w:rsidR="00052F7D">
        <w:t>nificant impact on the netting process</w:t>
      </w:r>
      <w:r>
        <w:t xml:space="preserve">, </w:t>
      </w:r>
      <w:r w:rsidR="00052F7D">
        <w:t xml:space="preserve">as it </w:t>
      </w:r>
      <w:r>
        <w:t>im</w:t>
      </w:r>
      <w:r w:rsidR="00052F7D">
        <w:t xml:space="preserve">plies that </w:t>
      </w:r>
      <w:r w:rsidR="001B4D9C">
        <w:t>CCPs</w:t>
      </w:r>
      <w:r w:rsidR="00052F7D">
        <w:t xml:space="preserve"> will need to perform separate netting runs (one for exempted legs and one for non-exempted legs)</w:t>
      </w:r>
      <w:r w:rsidR="00F02BCC">
        <w:t xml:space="preserve">. </w:t>
      </w:r>
      <w:r w:rsidR="00052F7D">
        <w:t xml:space="preserve">The result is </w:t>
      </w:r>
      <w:r w:rsidR="00F02BCC">
        <w:t>reduced netting efficiency, therefore increased settlement instructions, which in turn may lead to i</w:t>
      </w:r>
      <w:r w:rsidR="00F02BCC">
        <w:t>n</w:t>
      </w:r>
      <w:r w:rsidR="00F02BCC">
        <w:t>creased failed instructions. In our view, this undermines the core principle of the CSD Regulation and the ESMA level 2 measures to improve settlement in the EU.</w:t>
      </w:r>
      <w:r w:rsidR="005921D3">
        <w:t xml:space="preserve"> As proposed, </w:t>
      </w:r>
      <w:r w:rsidR="005921D3" w:rsidRPr="005921D3">
        <w:t>the netting pro</w:t>
      </w:r>
      <w:r w:rsidR="005921D3" w:rsidRPr="005921D3">
        <w:t>c</w:t>
      </w:r>
      <w:r w:rsidR="005921D3" w:rsidRPr="005921D3">
        <w:t>ess in CCPs would be required to differentiate between transaction subject to buy-in and those not subject to buy-in during the netting process</w:t>
      </w:r>
      <w:r w:rsidR="00957256">
        <w:t xml:space="preserve"> as there is a risk, due to </w:t>
      </w:r>
      <w:r w:rsidR="00AD7AF8">
        <w:t xml:space="preserve">the </w:t>
      </w:r>
      <w:r w:rsidR="00957256">
        <w:t>level 1</w:t>
      </w:r>
      <w:r w:rsidR="005921D3" w:rsidRPr="005921D3">
        <w:t xml:space="preserve"> </w:t>
      </w:r>
      <w:r w:rsidR="00957256">
        <w:t xml:space="preserve">text </w:t>
      </w:r>
      <w:r w:rsidR="005921D3" w:rsidRPr="005921D3">
        <w:t>exem</w:t>
      </w:r>
      <w:r w:rsidR="005921D3" w:rsidRPr="005921D3">
        <w:t>p</w:t>
      </w:r>
      <w:r w:rsidR="005921D3" w:rsidRPr="005921D3">
        <w:t xml:space="preserve">tion, that the CCP could be </w:t>
      </w:r>
      <w:r w:rsidR="00642713">
        <w:t>required to execute the</w:t>
      </w:r>
      <w:r w:rsidR="005921D3" w:rsidRPr="005921D3">
        <w:t xml:space="preserve"> buy-ins </w:t>
      </w:r>
      <w:r w:rsidR="00642713">
        <w:t xml:space="preserve">against </w:t>
      </w:r>
      <w:r w:rsidR="005921D3" w:rsidRPr="005921D3">
        <w:t xml:space="preserve">a </w:t>
      </w:r>
      <w:r w:rsidR="00D368F2">
        <w:t xml:space="preserve">failed </w:t>
      </w:r>
      <w:r w:rsidR="005921D3" w:rsidRPr="005921D3">
        <w:t>deliv</w:t>
      </w:r>
      <w:r w:rsidR="00D368F2">
        <w:t>ery where the corresponding</w:t>
      </w:r>
      <w:r w:rsidR="005921D3" w:rsidRPr="005921D3">
        <w:t xml:space="preserve"> re</w:t>
      </w:r>
      <w:r w:rsidR="00642713">
        <w:t>ceiving party</w:t>
      </w:r>
      <w:r w:rsidR="005921D3" w:rsidRPr="005921D3">
        <w:t xml:space="preserve"> is not subject to an offsetting buy-in. The separation of non-fungible instructions would reduce netting efficiency, require the CCP to prioritise off-setting instructions where buy-ins may be applicable (thereby withdrawing them from the netting cycle altogether) and is likely to result in extended failure period for some transactions.</w:t>
      </w:r>
    </w:p>
    <w:p w:rsidR="00653E3F" w:rsidRPr="00BE0DE2" w:rsidRDefault="00653E3F" w:rsidP="00D12AFD"/>
    <w:p w:rsidR="00653E3F" w:rsidRPr="00BE0DE2" w:rsidRDefault="00653E3F" w:rsidP="00AD7AF8">
      <w:pPr>
        <w:jc w:val="both"/>
        <w:rPr>
          <w:szCs w:val="22"/>
        </w:rPr>
      </w:pPr>
      <w:r w:rsidRPr="00BE0DE2">
        <w:t xml:space="preserve">Furthermore, neither </w:t>
      </w:r>
      <w:r w:rsidRPr="00BE0DE2">
        <w:rPr>
          <w:szCs w:val="22"/>
        </w:rPr>
        <w:t>the buy-in procedure in the level 1 text nor the draft RTS specifically a</w:t>
      </w:r>
      <w:r w:rsidRPr="00BE0DE2">
        <w:rPr>
          <w:szCs w:val="22"/>
        </w:rPr>
        <w:t>d</w:t>
      </w:r>
      <w:r w:rsidRPr="00BE0DE2">
        <w:rPr>
          <w:szCs w:val="22"/>
        </w:rPr>
        <w:t xml:space="preserve">dress settlement with regards to </w:t>
      </w:r>
      <w:proofErr w:type="spellStart"/>
      <w:r w:rsidRPr="00BE0DE2">
        <w:rPr>
          <w:szCs w:val="22"/>
        </w:rPr>
        <w:t>triparty</w:t>
      </w:r>
      <w:proofErr w:type="spellEnd"/>
      <w:r w:rsidRPr="00BE0DE2">
        <w:rPr>
          <w:szCs w:val="22"/>
        </w:rPr>
        <w:t xml:space="preserve"> settlement systems (such as those supported by </w:t>
      </w:r>
      <w:proofErr w:type="spellStart"/>
      <w:r w:rsidRPr="00BE0DE2">
        <w:rPr>
          <w:szCs w:val="22"/>
        </w:rPr>
        <w:t>Eur</w:t>
      </w:r>
      <w:r w:rsidRPr="00BE0DE2">
        <w:rPr>
          <w:szCs w:val="22"/>
        </w:rPr>
        <w:t>o</w:t>
      </w:r>
      <w:r w:rsidRPr="00BE0DE2">
        <w:rPr>
          <w:szCs w:val="22"/>
        </w:rPr>
        <w:t>clear</w:t>
      </w:r>
      <w:proofErr w:type="spellEnd"/>
      <w:r w:rsidRPr="00BE0DE2">
        <w:rPr>
          <w:szCs w:val="22"/>
        </w:rPr>
        <w:t xml:space="preserve"> Bank, </w:t>
      </w:r>
      <w:proofErr w:type="spellStart"/>
      <w:r w:rsidRPr="00BE0DE2">
        <w:rPr>
          <w:szCs w:val="22"/>
        </w:rPr>
        <w:t>Clearstream</w:t>
      </w:r>
      <w:proofErr w:type="spellEnd"/>
      <w:r w:rsidRPr="00BE0DE2">
        <w:rPr>
          <w:szCs w:val="22"/>
        </w:rPr>
        <w:t xml:space="preserve"> International or </w:t>
      </w:r>
      <w:proofErr w:type="spellStart"/>
      <w:r w:rsidRPr="00BE0DE2">
        <w:rPr>
          <w:szCs w:val="22"/>
        </w:rPr>
        <w:t>Euroclear</w:t>
      </w:r>
      <w:proofErr w:type="spellEnd"/>
      <w:r w:rsidRPr="00BE0DE2">
        <w:rPr>
          <w:szCs w:val="22"/>
        </w:rPr>
        <w:t xml:space="preserve"> UK &amp; Ireland’s Delivery by Value (DBV) and Term DBV products). In the response to the ESMA discussion paper issued in March 2014, </w:t>
      </w:r>
      <w:proofErr w:type="spellStart"/>
      <w:r w:rsidRPr="00BE0DE2">
        <w:rPr>
          <w:szCs w:val="22"/>
        </w:rPr>
        <w:t>LCH.Clearnet</w:t>
      </w:r>
      <w:proofErr w:type="spellEnd"/>
      <w:r w:rsidRPr="00BE0DE2">
        <w:rPr>
          <w:szCs w:val="22"/>
        </w:rPr>
        <w:t xml:space="preserve"> had asked ESMA to confirm that settlements</w:t>
      </w:r>
      <w:r>
        <w:rPr>
          <w:szCs w:val="22"/>
        </w:rPr>
        <w:t xml:space="preserve"> relating to repurchase transactions in </w:t>
      </w:r>
      <w:proofErr w:type="spellStart"/>
      <w:r>
        <w:rPr>
          <w:szCs w:val="22"/>
        </w:rPr>
        <w:t>triparty</w:t>
      </w:r>
      <w:proofErr w:type="spellEnd"/>
      <w:r>
        <w:rPr>
          <w:szCs w:val="22"/>
        </w:rPr>
        <w:t xml:space="preserve"> environments would be exc</w:t>
      </w:r>
      <w:r w:rsidR="00D368F2">
        <w:rPr>
          <w:szCs w:val="22"/>
        </w:rPr>
        <w:t xml:space="preserve">luded from the scope of the </w:t>
      </w:r>
      <w:r>
        <w:rPr>
          <w:szCs w:val="22"/>
        </w:rPr>
        <w:t>settlement discipline regime</w:t>
      </w:r>
      <w:r w:rsidR="00D368F2">
        <w:rPr>
          <w:szCs w:val="22"/>
        </w:rPr>
        <w:t xml:space="preserve"> in the CSD Regulation. </w:t>
      </w:r>
      <w:r>
        <w:rPr>
          <w:szCs w:val="22"/>
        </w:rPr>
        <w:t>The set</w:t>
      </w:r>
      <w:r w:rsidR="00D368F2">
        <w:rPr>
          <w:szCs w:val="22"/>
        </w:rPr>
        <w:t xml:space="preserve">tlement of </w:t>
      </w:r>
      <w:proofErr w:type="spellStart"/>
      <w:r w:rsidR="00D368F2">
        <w:rPr>
          <w:szCs w:val="22"/>
        </w:rPr>
        <w:t>t</w:t>
      </w:r>
      <w:r>
        <w:rPr>
          <w:szCs w:val="22"/>
        </w:rPr>
        <w:t>riparty</w:t>
      </w:r>
      <w:proofErr w:type="spellEnd"/>
      <w:r>
        <w:rPr>
          <w:szCs w:val="22"/>
        </w:rPr>
        <w:t xml:space="preserve"> products is substantially differen</w:t>
      </w:r>
      <w:r w:rsidR="001A359B">
        <w:rPr>
          <w:szCs w:val="22"/>
        </w:rPr>
        <w:t>t from standard DVP</w:t>
      </w:r>
      <w:r w:rsidRPr="00BE0DE2">
        <w:rPr>
          <w:szCs w:val="22"/>
        </w:rPr>
        <w:t xml:space="preserve"> transactions, and is based on an ongoing obligation (from the start to end date of a trade) to support mark-to-market transactions initiated by the </w:t>
      </w:r>
      <w:proofErr w:type="spellStart"/>
      <w:r w:rsidRPr="00BE0DE2">
        <w:rPr>
          <w:szCs w:val="22"/>
        </w:rPr>
        <w:t>triparty</w:t>
      </w:r>
      <w:proofErr w:type="spellEnd"/>
      <w:r w:rsidRPr="00BE0DE2">
        <w:rPr>
          <w:szCs w:val="22"/>
        </w:rPr>
        <w:t xml:space="preserve"> provider, and the automatic return of collateral at the end date of a trade. We believe that the buy-in process for </w:t>
      </w:r>
      <w:proofErr w:type="spellStart"/>
      <w:r w:rsidRPr="00BE0DE2">
        <w:rPr>
          <w:szCs w:val="22"/>
        </w:rPr>
        <w:t>triparty</w:t>
      </w:r>
      <w:proofErr w:type="spellEnd"/>
      <w:r w:rsidRPr="00BE0DE2">
        <w:rPr>
          <w:szCs w:val="22"/>
        </w:rPr>
        <w:t xml:space="preserve"> products should be deemed to be ineffective because the buy-in of collateral would not be sufficient to support the efficient settlement of </w:t>
      </w:r>
      <w:proofErr w:type="spellStart"/>
      <w:r w:rsidRPr="00BE0DE2">
        <w:rPr>
          <w:szCs w:val="22"/>
        </w:rPr>
        <w:t>triparty</w:t>
      </w:r>
      <w:proofErr w:type="spellEnd"/>
      <w:r w:rsidRPr="00BE0DE2">
        <w:rPr>
          <w:szCs w:val="22"/>
        </w:rPr>
        <w:t xml:space="preserve"> transactions on an ongoing basis (especially in relation to mark-to-market transactions, which take place on an a daily basis). We therefore suggest that ESMA adds the following amendment in a recital or as an additional paragraph to Article 14 of the RTS: </w:t>
      </w:r>
    </w:p>
    <w:p w:rsidR="00653E3F" w:rsidRPr="00BE0DE2" w:rsidRDefault="00653E3F" w:rsidP="00653E3F">
      <w:pPr>
        <w:rPr>
          <w:b/>
          <w:bCs/>
          <w:szCs w:val="22"/>
        </w:rPr>
      </w:pPr>
    </w:p>
    <w:p w:rsidR="00AD7AF8" w:rsidRDefault="00653E3F" w:rsidP="00AD7AF8">
      <w:pPr>
        <w:ind w:left="567"/>
        <w:jc w:val="both"/>
      </w:pPr>
      <w:r w:rsidRPr="00BE0DE2">
        <w:rPr>
          <w:b/>
          <w:i/>
          <w:szCs w:val="22"/>
        </w:rPr>
        <w:t xml:space="preserve">The buy-in process for </w:t>
      </w:r>
      <w:proofErr w:type="spellStart"/>
      <w:r w:rsidRPr="00BE0DE2">
        <w:rPr>
          <w:b/>
          <w:i/>
          <w:szCs w:val="22"/>
        </w:rPr>
        <w:t>triparty</w:t>
      </w:r>
      <w:proofErr w:type="spellEnd"/>
      <w:r w:rsidRPr="00BE0DE2">
        <w:rPr>
          <w:b/>
          <w:i/>
          <w:szCs w:val="22"/>
        </w:rPr>
        <w:t xml:space="preserve"> products should be deemed to be ineffective b</w:t>
      </w:r>
      <w:r w:rsidRPr="00BE0DE2">
        <w:rPr>
          <w:b/>
          <w:i/>
          <w:szCs w:val="22"/>
        </w:rPr>
        <w:t>e</w:t>
      </w:r>
      <w:r w:rsidRPr="00BE0DE2">
        <w:rPr>
          <w:b/>
          <w:i/>
          <w:szCs w:val="22"/>
        </w:rPr>
        <w:t>cause the buy-in of collateral would not be sufficient to support the ongoing oblig</w:t>
      </w:r>
      <w:r w:rsidRPr="00BE0DE2">
        <w:rPr>
          <w:b/>
          <w:i/>
          <w:szCs w:val="22"/>
        </w:rPr>
        <w:t>a</w:t>
      </w:r>
      <w:r w:rsidRPr="00BE0DE2">
        <w:rPr>
          <w:b/>
          <w:i/>
          <w:szCs w:val="22"/>
        </w:rPr>
        <w:t xml:space="preserve">tion of the </w:t>
      </w:r>
      <w:proofErr w:type="spellStart"/>
      <w:r w:rsidRPr="00BE0DE2">
        <w:rPr>
          <w:b/>
          <w:i/>
          <w:szCs w:val="22"/>
        </w:rPr>
        <w:t>triparty</w:t>
      </w:r>
      <w:proofErr w:type="spellEnd"/>
      <w:r w:rsidRPr="00BE0DE2">
        <w:rPr>
          <w:b/>
          <w:i/>
          <w:szCs w:val="22"/>
        </w:rPr>
        <w:t xml:space="preserve"> provider to mark-to-market transactions during the life of a trade and the automatic return of col</w:t>
      </w:r>
      <w:r w:rsidR="00901479">
        <w:rPr>
          <w:b/>
          <w:i/>
          <w:szCs w:val="22"/>
        </w:rPr>
        <w:t xml:space="preserve">lateral at the end date of that </w:t>
      </w:r>
      <w:r w:rsidRPr="00BE0DE2">
        <w:rPr>
          <w:b/>
          <w:i/>
          <w:szCs w:val="22"/>
        </w:rPr>
        <w:t>trade</w:t>
      </w:r>
      <w:r w:rsidRPr="00BE0DE2">
        <w:rPr>
          <w:szCs w:val="22"/>
        </w:rPr>
        <w:t>.</w:t>
      </w:r>
    </w:p>
    <w:permEnd w:id="11"/>
    <w:p w:rsidR="00D12AFD" w:rsidRDefault="00D12AFD" w:rsidP="00BE0DE2">
      <w:pPr>
        <w:ind w:left="567"/>
      </w:pPr>
      <w:r>
        <w:t>&lt;ESMA_QUESTION_TS_CSDR_9&gt;</w:t>
      </w:r>
    </w:p>
    <w:p w:rsidR="00D12AFD" w:rsidRPr="002C4F00" w:rsidRDefault="00D12AFD" w:rsidP="00965B03">
      <w:pPr>
        <w:pStyle w:val="Heading5"/>
        <w:ind w:left="567" w:hanging="567"/>
      </w:pPr>
      <w:r w:rsidRPr="002C4F00">
        <w:lastRenderedPageBreak/>
        <w:t>What are your views on the proposed draft RTS related to the calculation of the cash compensation?</w:t>
      </w:r>
    </w:p>
    <w:p w:rsidR="00D12AFD" w:rsidRDefault="00D12AFD" w:rsidP="00D12AFD"/>
    <w:p w:rsidR="00D12AFD" w:rsidRDefault="00D12AFD" w:rsidP="00D12AFD">
      <w:r>
        <w:t>&lt;ESMA_QUESTION_TS_CSDR_10&gt;</w:t>
      </w:r>
    </w:p>
    <w:p w:rsidR="00533AEA" w:rsidRDefault="00533AEA" w:rsidP="00E50212">
      <w:pPr>
        <w:jc w:val="both"/>
      </w:pPr>
      <w:permStart w:id="12" w:edGrp="everyone"/>
      <w:r>
        <w:t xml:space="preserve">We support ESMA’s approach explained in paragraph 103 of the </w:t>
      </w:r>
      <w:r w:rsidR="00D368F2">
        <w:t>discussion section of the C</w:t>
      </w:r>
      <w:r>
        <w:t>o</w:t>
      </w:r>
      <w:r>
        <w:t>n</w:t>
      </w:r>
      <w:r>
        <w:t xml:space="preserve">sultation which allows for the cash compensation to be based on a pre-agreed price or pre-agreed method to determine such price. However, this is not fully reflected in Article 15 of the draft RTS, which does not refer to </w:t>
      </w:r>
      <w:r w:rsidR="00D368F2">
        <w:t xml:space="preserve">the </w:t>
      </w:r>
      <w:r>
        <w:t xml:space="preserve">pre-agreed method to calculate the cash compensation.  Indeed, in the case of cleared transactions, </w:t>
      </w:r>
      <w:r w:rsidRPr="00533AEA">
        <w:t xml:space="preserve">a single failed settlement instruction may be the net of many </w:t>
      </w:r>
      <w:r>
        <w:t>trades from many trade sources; d</w:t>
      </w:r>
      <w:r w:rsidRPr="00533AEA">
        <w:t>ue to multilateral netting by a CCP</w:t>
      </w:r>
      <w:r w:rsidR="001B4D9C">
        <w:t>,</w:t>
      </w:r>
      <w:r w:rsidRPr="00533AEA">
        <w:t xml:space="preserve"> it is also likely that the net consideration of the selling party does not match that of the buying party – i.e. the equivalent ‘trade price’ is different on each side of the fail.</w:t>
      </w:r>
      <w:r>
        <w:t xml:space="preserve"> CCPs should therefore be able to determine the price compensation acco</w:t>
      </w:r>
      <w:r w:rsidR="001B4D9C">
        <w:t>rding to a method set out in their rulebook</w:t>
      </w:r>
      <w:r>
        <w:t>. To address this point we propose the following amendment</w:t>
      </w:r>
      <w:r w:rsidR="00D368F2">
        <w:t xml:space="preserve"> in Article 15 of the RTS</w:t>
      </w:r>
      <w:r>
        <w:t>:</w:t>
      </w:r>
    </w:p>
    <w:p w:rsidR="00533AEA" w:rsidRDefault="00533AEA" w:rsidP="00E50212">
      <w:pPr>
        <w:jc w:val="both"/>
      </w:pPr>
    </w:p>
    <w:p w:rsidR="00FB3442" w:rsidRDefault="00FB3442" w:rsidP="00E50212">
      <w:pPr>
        <w:ind w:left="709"/>
        <w:jc w:val="both"/>
      </w:pPr>
      <w:r>
        <w:t>The cash compensation shall be determined as follows:</w:t>
      </w:r>
    </w:p>
    <w:p w:rsidR="00FB3442" w:rsidRDefault="00FB3442" w:rsidP="00E50212">
      <w:pPr>
        <w:ind w:left="1134"/>
        <w:jc w:val="both"/>
      </w:pPr>
      <w:r>
        <w:t xml:space="preserve">(a) Where the participants pre-agreed the price </w:t>
      </w:r>
      <w:r>
        <w:rPr>
          <w:b/>
          <w:i/>
        </w:rPr>
        <w:t>or a method to calculate such price</w:t>
      </w:r>
      <w:r>
        <w:t xml:space="preserve"> to </w:t>
      </w:r>
      <w:r>
        <w:rPr>
          <w:b/>
          <w:i/>
        </w:rPr>
        <w:t xml:space="preserve">settle </w:t>
      </w:r>
      <w:r>
        <w:t>the cash compensation, the difference between the pre-agreed price and the price set for the failed transaction shall determine the cash compensation;</w:t>
      </w:r>
    </w:p>
    <w:p w:rsidR="00124278" w:rsidRDefault="00FB3442" w:rsidP="00E50212">
      <w:pPr>
        <w:ind w:left="1134"/>
        <w:jc w:val="both"/>
      </w:pPr>
      <w:r>
        <w:t xml:space="preserve">(b) Where the participants have not pre-agreed a price </w:t>
      </w:r>
      <w:r>
        <w:rPr>
          <w:b/>
          <w:i/>
        </w:rPr>
        <w:t>or a method to calculate such price</w:t>
      </w:r>
      <w:r>
        <w:t>, the cash compensation shall be determined by the difference between the price determined by the buy-in agent by reference to the closing price of the rel</w:t>
      </w:r>
      <w:r>
        <w:t>e</w:t>
      </w:r>
      <w:r>
        <w:t>vant trading venue on the day before the payment of the cash compensation and the price set for the failed transaction.</w:t>
      </w:r>
    </w:p>
    <w:permEnd w:id="12"/>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735C13" w:rsidRDefault="00E051D4" w:rsidP="00735C13">
      <w:pPr>
        <w:jc w:val="both"/>
      </w:pPr>
      <w:permStart w:id="13" w:edGrp="everyone"/>
      <w:r>
        <w:t>ESMA should clarify that CSDs are responsible</w:t>
      </w:r>
      <w:r w:rsidR="00BF6706">
        <w:t xml:space="preserve"> </w:t>
      </w:r>
      <w:r w:rsidR="00381E56">
        <w:t>for</w:t>
      </w:r>
      <w:r w:rsidR="00BF6706">
        <w:t xml:space="preserve"> determin</w:t>
      </w:r>
      <w:r w:rsidR="00381E56">
        <w:t>ing</w:t>
      </w:r>
      <w:r w:rsidR="00BF6706">
        <w:t xml:space="preserve"> the calculation under</w:t>
      </w:r>
      <w:r>
        <w:t xml:space="preserve"> Article 16 </w:t>
      </w:r>
      <w:r w:rsidR="00BF6706">
        <w:t xml:space="preserve">of the RTS </w:t>
      </w:r>
      <w:r>
        <w:t xml:space="preserve">to indentify </w:t>
      </w:r>
      <w:r w:rsidRPr="002C4F00">
        <w:t>systematically fail</w:t>
      </w:r>
      <w:r>
        <w:t>ing participan</w:t>
      </w:r>
      <w:r w:rsidR="00F32D44">
        <w:t xml:space="preserve">ts on the basis </w:t>
      </w:r>
      <w:r w:rsidR="00BF6706">
        <w:t>of the</w:t>
      </w:r>
      <w:r w:rsidR="00F32D44">
        <w:t xml:space="preserve"> reports</w:t>
      </w:r>
      <w:r w:rsidR="00BF6706">
        <w:t xml:space="preserve"> on settl</w:t>
      </w:r>
      <w:r w:rsidR="00BF6706">
        <w:t>e</w:t>
      </w:r>
      <w:r w:rsidR="00BF6706">
        <w:t xml:space="preserve">ment fails </w:t>
      </w:r>
      <w:r w:rsidR="00F32D44">
        <w:t xml:space="preserve">under Article 5 of the RTS. </w:t>
      </w:r>
      <w:r w:rsidR="00CF1D20">
        <w:t>This ensures that t</w:t>
      </w:r>
      <w:r w:rsidR="00735C13" w:rsidRPr="00735C13">
        <w:t>he calculation capture</w:t>
      </w:r>
      <w:r w:rsidR="00CF1D20">
        <w:t>s</w:t>
      </w:r>
      <w:r w:rsidR="00735C13" w:rsidRPr="00735C13">
        <w:t xml:space="preserve"> the overall settlement</w:t>
      </w:r>
      <w:r w:rsidR="00FC0E1E">
        <w:t xml:space="preserve"> fail rate of a participant</w:t>
      </w:r>
      <w:r w:rsidR="00735C13" w:rsidRPr="00735C13">
        <w:t xml:space="preserve"> across all its transactions. In addition, our understanding is that CSDs would calculate the percentage in paragraph 1 based on the gross value and volume of the settlement fails. Using net value and volumes would unnecessarily capture a too large amount of participants, defeating the purpose of the calculation.</w:t>
      </w:r>
      <w:r w:rsidR="00735C13">
        <w:t xml:space="preserve">  </w:t>
      </w:r>
      <w:r w:rsidR="00D368F2">
        <w:t>We would welcome clarification that our understanding is correct.</w:t>
      </w:r>
    </w:p>
    <w:p w:rsidR="00735C13" w:rsidRDefault="00735C13" w:rsidP="00735C13">
      <w:pPr>
        <w:jc w:val="both"/>
      </w:pPr>
    </w:p>
    <w:p w:rsidR="00BA426C" w:rsidRDefault="00F32D44" w:rsidP="00735C13">
      <w:pPr>
        <w:jc w:val="both"/>
      </w:pPr>
      <w:r>
        <w:t xml:space="preserve">Article 7(9) of the CSD Regulation requires CSDs, CCPs and trading venues to have procedures in place that enable them to suspend </w:t>
      </w:r>
      <w:r w:rsidRPr="002C4F00">
        <w:t>participant</w:t>
      </w:r>
      <w:r>
        <w:t>s</w:t>
      </w:r>
      <w:r w:rsidR="00BF6706">
        <w:t xml:space="preserve"> which</w:t>
      </w:r>
      <w:r w:rsidRPr="002C4F00">
        <w:t xml:space="preserve"> consistently and systematically fail</w:t>
      </w:r>
      <w:r w:rsidR="00FC0E1E">
        <w:t>.</w:t>
      </w:r>
      <w:r w:rsidR="00381E56">
        <w:t xml:space="preserve"> </w:t>
      </w:r>
      <w:r w:rsidR="004B394A">
        <w:t>The divergence reference for identifying participants who systematically fail should be set on the basis of its relevant peer group for a specific category of financial instrument settled on the relevant securities settlement system. For example, the settlement rate for an entity which sp</w:t>
      </w:r>
      <w:r w:rsidR="004B394A">
        <w:t>e</w:t>
      </w:r>
      <w:r w:rsidR="004B394A">
        <w:t>cialises in trading low liquidity instruments should not be judged against a settlement rate for entities which do significant volumes of trading in a limited number of very highly liquid instr</w:t>
      </w:r>
      <w:r w:rsidR="004B394A">
        <w:t>u</w:t>
      </w:r>
      <w:r w:rsidR="004B394A">
        <w:t>ments. This would distort the meaning of the divergence rate because it does not take into a</w:t>
      </w:r>
      <w:r w:rsidR="004B394A">
        <w:t>c</w:t>
      </w:r>
      <w:r w:rsidR="004B394A">
        <w:t>count the relative liquidity of the instruments which might lead to a divergence in settlement performance. Furthermore, the</w:t>
      </w:r>
      <w:r w:rsidR="00CF1D20">
        <w:t xml:space="preserve"> procedures</w:t>
      </w:r>
      <w:r w:rsidR="008E19F4">
        <w:t xml:space="preserve"> </w:t>
      </w:r>
      <w:r w:rsidR="004B394A">
        <w:t xml:space="preserve">for suspension </w:t>
      </w:r>
      <w:r w:rsidR="008E19F4">
        <w:t>should only relate to the type of f</w:t>
      </w:r>
      <w:r w:rsidR="008E19F4">
        <w:t>i</w:t>
      </w:r>
      <w:r w:rsidR="008E19F4">
        <w:t>nancial instruments which the participant is systematically failing to settle and not other types of financial instru</w:t>
      </w:r>
      <w:r w:rsidR="004B394A">
        <w:t>ments.</w:t>
      </w:r>
      <w:r w:rsidR="008E19F4">
        <w:t xml:space="preserve"> Therefore, if a </w:t>
      </w:r>
      <w:r>
        <w:t>CSD</w:t>
      </w:r>
      <w:r w:rsidR="008E19F4">
        <w:t xml:space="preserve"> were to suspend a participant it should be clear what types of financial instruments it is suspended from transacting i</w:t>
      </w:r>
      <w:r w:rsidR="00CF1D20">
        <w:t xml:space="preserve">n. </w:t>
      </w:r>
      <w:r w:rsidR="008E19F4">
        <w:t xml:space="preserve">This should be notified to </w:t>
      </w:r>
      <w:r w:rsidR="008E19F4">
        <w:lastRenderedPageBreak/>
        <w:t>CCPs and trading venues</w:t>
      </w:r>
      <w:r w:rsidR="00273C0A">
        <w:t xml:space="preserve"> which, on the basis of specific instructions by their competent author</w:t>
      </w:r>
      <w:r w:rsidR="00273C0A">
        <w:t>i</w:t>
      </w:r>
      <w:r w:rsidR="00273C0A">
        <w:t>ties, would determine the actions to be taken in respect of the participant identified as systemat</w:t>
      </w:r>
      <w:r w:rsidR="00273C0A">
        <w:t>i</w:t>
      </w:r>
      <w:r w:rsidR="00273C0A">
        <w:t>cally failing.</w:t>
      </w:r>
      <w:r w:rsidR="00BF6706">
        <w:t xml:space="preserve"> </w:t>
      </w:r>
      <w:r w:rsidR="00495AE8">
        <w:t xml:space="preserve"> </w:t>
      </w:r>
    </w:p>
    <w:p w:rsidR="00E0770A" w:rsidRDefault="00E0770A" w:rsidP="00735C13">
      <w:pPr>
        <w:jc w:val="both"/>
      </w:pPr>
    </w:p>
    <w:p w:rsidR="00D368F2" w:rsidRDefault="00E0770A" w:rsidP="00735C13">
      <w:pPr>
        <w:jc w:val="both"/>
      </w:pPr>
      <w:r>
        <w:t>It is important that ESMA and relevant competent authorities recognise that any suspension by a CSD should not automatically trigger any action by a CCP. The CCP should be in close dialogue with its competent authority before determining the steps to be taken against one or more sy</w:t>
      </w:r>
      <w:r>
        <w:t>s</w:t>
      </w:r>
      <w:r>
        <w:t xml:space="preserve">temic failing participants in order to minimise the impact of a potential suspension on the market activity. </w:t>
      </w:r>
      <w:r w:rsidR="00BA426C" w:rsidRPr="00BA426C">
        <w:t xml:space="preserve">It is essential that the RTS </w:t>
      </w:r>
      <w:r>
        <w:t xml:space="preserve">also </w:t>
      </w:r>
      <w:r w:rsidR="00CF1D20">
        <w:t xml:space="preserve">recognise that </w:t>
      </w:r>
      <w:r w:rsidR="00BA426C" w:rsidRPr="00BA426C">
        <w:t>any decision</w:t>
      </w:r>
      <w:r w:rsidR="00526DEB">
        <w:t>, taken following consultation with the relevant competent authorities,</w:t>
      </w:r>
      <w:r w:rsidR="00BA426C" w:rsidRPr="00BA426C">
        <w:t xml:space="preserve"> to suspend the clearing activity of a systemic failing participant under Article 16 of th</w:t>
      </w:r>
      <w:r w:rsidR="00CF1D20">
        <w:t>e RTS</w:t>
      </w:r>
      <w:r w:rsidR="00D368F2">
        <w:t>:</w:t>
      </w:r>
    </w:p>
    <w:p w:rsidR="00D368F2" w:rsidRDefault="00D368F2" w:rsidP="00735C13">
      <w:pPr>
        <w:jc w:val="both"/>
      </w:pPr>
    </w:p>
    <w:p w:rsidR="00D368F2" w:rsidRDefault="00D368F2" w:rsidP="00D368F2">
      <w:pPr>
        <w:pStyle w:val="ListParagraph"/>
        <w:ind w:left="1140"/>
        <w:jc w:val="both"/>
      </w:pPr>
      <w:proofErr w:type="spellStart"/>
      <w:proofErr w:type="gramStart"/>
      <w:r>
        <w:t>i</w:t>
      </w:r>
      <w:proofErr w:type="spellEnd"/>
      <w:r>
        <w:t xml:space="preserve">.  </w:t>
      </w:r>
      <w:r w:rsidR="00CF1D20">
        <w:t>should</w:t>
      </w:r>
      <w:proofErr w:type="gramEnd"/>
      <w:r w:rsidR="00CF1D20">
        <w:t xml:space="preserve"> </w:t>
      </w:r>
      <w:r w:rsidR="00CF1D20" w:rsidRPr="00D368F2">
        <w:rPr>
          <w:u w:val="single"/>
        </w:rPr>
        <w:t>only</w:t>
      </w:r>
      <w:r w:rsidR="00CF1D20">
        <w:t xml:space="preserve"> be applied to</w:t>
      </w:r>
      <w:r w:rsidR="00495AE8">
        <w:t xml:space="preserve"> </w:t>
      </w:r>
      <w:r w:rsidR="00BA426C" w:rsidRPr="00BA426C">
        <w:t>future trades</w:t>
      </w:r>
      <w:r w:rsidR="00CF1D20">
        <w:t xml:space="preserve"> n</w:t>
      </w:r>
      <w:r>
        <w:t>ot yet registered by the CCP</w:t>
      </w:r>
    </w:p>
    <w:p w:rsidR="00D368F2" w:rsidRDefault="00D368F2" w:rsidP="00D368F2">
      <w:pPr>
        <w:pStyle w:val="ListParagraph"/>
        <w:ind w:left="1140"/>
        <w:jc w:val="both"/>
      </w:pPr>
      <w:r>
        <w:t xml:space="preserve">ii. </w:t>
      </w:r>
      <w:proofErr w:type="gramStart"/>
      <w:r w:rsidR="00495AE8">
        <w:t>should</w:t>
      </w:r>
      <w:proofErr w:type="gramEnd"/>
      <w:r w:rsidR="00CF1D20">
        <w:t xml:space="preserve"> </w:t>
      </w:r>
      <w:r w:rsidR="00CF1D20" w:rsidRPr="00D368F2">
        <w:rPr>
          <w:u w:val="single"/>
        </w:rPr>
        <w:t>not</w:t>
      </w:r>
      <w:r w:rsidR="00CF1D20">
        <w:t xml:space="preserve"> </w:t>
      </w:r>
      <w:r w:rsidR="00495AE8">
        <w:t xml:space="preserve">be applied to </w:t>
      </w:r>
      <w:r w:rsidR="00CF1D20">
        <w:t>existing trades or future trades that have been already registered</w:t>
      </w:r>
      <w:r>
        <w:t xml:space="preserve"> with the CCP</w:t>
      </w:r>
      <w:r w:rsidR="00495AE8">
        <w:t xml:space="preserve"> at the point of the suspension</w:t>
      </w:r>
      <w:r w:rsidR="00CF1D20">
        <w:t xml:space="preserve">. </w:t>
      </w:r>
    </w:p>
    <w:p w:rsidR="00D368F2" w:rsidRDefault="00D368F2" w:rsidP="00D368F2">
      <w:pPr>
        <w:jc w:val="both"/>
      </w:pPr>
    </w:p>
    <w:p w:rsidR="00180DBF" w:rsidRDefault="00CF1D20" w:rsidP="00735C13">
      <w:pPr>
        <w:jc w:val="both"/>
      </w:pPr>
      <w:r>
        <w:t>Failure to do so would adversely impact the operations of the CCP and the relevant clearing member</w:t>
      </w:r>
      <w:r w:rsidR="00D368F2">
        <w:t>/s</w:t>
      </w:r>
      <w:r w:rsidR="00BA426C" w:rsidRPr="00BA426C">
        <w:t>.</w:t>
      </w:r>
      <w:r w:rsidR="00E0770A">
        <w:t xml:space="preserve"> The suspension</w:t>
      </w:r>
      <w:r w:rsidR="00526DEB">
        <w:t xml:space="preserve"> </w:t>
      </w:r>
      <w:r w:rsidR="00E0770A">
        <w:t>should also be for a fixed period at the discretion of the CCP in accordance with its rulebook.</w:t>
      </w:r>
      <w:r w:rsidR="00D368F2">
        <w:t xml:space="preserve"> </w:t>
      </w:r>
      <w:r w:rsidR="00180DBF">
        <w:t xml:space="preserve">We suggest the following amendments to Article 16 of the </w:t>
      </w:r>
      <w:r w:rsidR="006F2556">
        <w:t xml:space="preserve">draft </w:t>
      </w:r>
      <w:r w:rsidR="00180DBF">
        <w:t>RTS to address the</w:t>
      </w:r>
      <w:r w:rsidR="008E19F4">
        <w:t xml:space="preserve"> above</w:t>
      </w:r>
      <w:r w:rsidR="00180DBF">
        <w:t xml:space="preserve"> points:</w:t>
      </w:r>
    </w:p>
    <w:p w:rsidR="00A84501" w:rsidRDefault="00A84501" w:rsidP="00735C13">
      <w:pPr>
        <w:jc w:val="both"/>
      </w:pPr>
    </w:p>
    <w:p w:rsidR="00A84501" w:rsidRPr="00934995" w:rsidRDefault="00A84501" w:rsidP="002146E2">
      <w:pPr>
        <w:pStyle w:val="ListParagraph"/>
        <w:numPr>
          <w:ilvl w:val="0"/>
          <w:numId w:val="36"/>
        </w:numPr>
        <w:jc w:val="both"/>
      </w:pPr>
      <w:r>
        <w:t xml:space="preserve">A participant shall be deemed to consistently and systematically fail to deliver </w:t>
      </w:r>
      <w:r>
        <w:rPr>
          <w:b/>
          <w:i/>
        </w:rPr>
        <w:t>a type of</w:t>
      </w:r>
      <w:r>
        <w:t xml:space="preserve"> financial </w:t>
      </w:r>
      <w:r>
        <w:rPr>
          <w:b/>
          <w:i/>
        </w:rPr>
        <w:t>instrument</w:t>
      </w:r>
      <w:r>
        <w:t xml:space="preserve"> when its settlement efficiency rate is 10% lower than the se</w:t>
      </w:r>
      <w:r>
        <w:t>t</w:t>
      </w:r>
      <w:r>
        <w:t xml:space="preserve">tlement efficiency rate determined by the </w:t>
      </w:r>
      <w:r>
        <w:rPr>
          <w:b/>
          <w:i/>
        </w:rPr>
        <w:t xml:space="preserve">CSD for that type of financial instrument </w:t>
      </w:r>
      <w:r w:rsidRPr="00934995">
        <w:t>over</w:t>
      </w:r>
      <w:r>
        <w:t xml:space="preserve"> a number of days that exceeds 10% of the number of days when the participant is active in the </w:t>
      </w:r>
      <w:r>
        <w:rPr>
          <w:b/>
          <w:i/>
        </w:rPr>
        <w:t>CSD</w:t>
      </w:r>
      <w:r>
        <w:t xml:space="preserve">, over a 12 </w:t>
      </w:r>
      <w:r>
        <w:rPr>
          <w:b/>
          <w:i/>
        </w:rPr>
        <w:t>month</w:t>
      </w:r>
      <w:r>
        <w:t xml:space="preserve"> period.  </w:t>
      </w:r>
      <w:r>
        <w:rPr>
          <w:b/>
          <w:i/>
        </w:rPr>
        <w:t xml:space="preserve">For the purposes of determining the settlement efficiency rate of a type of financial instrument, the CSD shall </w:t>
      </w:r>
      <w:r w:rsidR="00FC0E1E">
        <w:rPr>
          <w:b/>
          <w:i/>
        </w:rPr>
        <w:t xml:space="preserve">take into account </w:t>
      </w:r>
      <w:r>
        <w:rPr>
          <w:b/>
          <w:i/>
        </w:rPr>
        <w:t xml:space="preserve">whether </w:t>
      </w:r>
      <w:r w:rsidR="008E19F4">
        <w:rPr>
          <w:b/>
          <w:i/>
        </w:rPr>
        <w:t>such financial instrument</w:t>
      </w:r>
      <w:r>
        <w:rPr>
          <w:b/>
          <w:i/>
        </w:rPr>
        <w:t xml:space="preserve"> is considered to have a liquid market in accordance with point (a) of Article 2(1)(17) or point (b) of Article 2(1)(17), respectively, of Regulation (EU) No 600/2014.</w:t>
      </w:r>
    </w:p>
    <w:p w:rsidR="00A84501" w:rsidRDefault="00A84501" w:rsidP="00735C13">
      <w:pPr>
        <w:pStyle w:val="ListParagraph"/>
        <w:ind w:left="1065"/>
        <w:jc w:val="both"/>
      </w:pPr>
    </w:p>
    <w:p w:rsidR="00A84501" w:rsidRDefault="00A84501" w:rsidP="002146E2">
      <w:pPr>
        <w:pStyle w:val="ListParagraph"/>
        <w:numPr>
          <w:ilvl w:val="0"/>
          <w:numId w:val="36"/>
        </w:numPr>
        <w:jc w:val="both"/>
      </w:pPr>
      <w:r w:rsidRPr="00CA3B6A">
        <w:t xml:space="preserve">In calculating the percentage referred to in paragraph 1, </w:t>
      </w:r>
      <w:r>
        <w:rPr>
          <w:b/>
          <w:i/>
        </w:rPr>
        <w:t xml:space="preserve">the CSD shall consider </w:t>
      </w:r>
      <w:r w:rsidRPr="00CA3B6A">
        <w:t>both the value and the volume of set</w:t>
      </w:r>
      <w:r>
        <w:t>tlement fails</w:t>
      </w:r>
      <w:r w:rsidR="00273C0A">
        <w:t xml:space="preserve"> </w:t>
      </w:r>
      <w:r w:rsidR="00273C0A">
        <w:rPr>
          <w:b/>
          <w:i/>
        </w:rPr>
        <w:t>in relation to gross settlement i</w:t>
      </w:r>
      <w:r w:rsidR="00273C0A">
        <w:rPr>
          <w:b/>
          <w:i/>
        </w:rPr>
        <w:t>n</w:t>
      </w:r>
      <w:r w:rsidR="00273C0A">
        <w:rPr>
          <w:b/>
          <w:i/>
        </w:rPr>
        <w:t>structions</w:t>
      </w:r>
      <w:r w:rsidRPr="00CA3B6A">
        <w:t>. Where either the percentage in volume or in value terms is lower than the one indicated in paragraph 1, the participant shall be deemed to consistently and sy</w:t>
      </w:r>
      <w:r w:rsidRPr="00CA3B6A">
        <w:t>s</w:t>
      </w:r>
      <w:r w:rsidRPr="00CA3B6A">
        <w:t>tematically fail to deliver the financial instruments.</w:t>
      </w:r>
    </w:p>
    <w:p w:rsidR="00A84501" w:rsidRDefault="00A84501" w:rsidP="00735C13">
      <w:pPr>
        <w:pStyle w:val="ListParagraph"/>
        <w:jc w:val="both"/>
      </w:pPr>
    </w:p>
    <w:p w:rsidR="00180DBF" w:rsidRDefault="006F2556" w:rsidP="002146E2">
      <w:pPr>
        <w:pStyle w:val="ListParagraph"/>
        <w:numPr>
          <w:ilvl w:val="0"/>
          <w:numId w:val="36"/>
        </w:numPr>
        <w:jc w:val="both"/>
      </w:pPr>
      <w:r>
        <w:rPr>
          <w:b/>
          <w:i/>
        </w:rPr>
        <w:t>T</w:t>
      </w:r>
      <w:r w:rsidR="00A84501">
        <w:rPr>
          <w:b/>
          <w:i/>
        </w:rPr>
        <w:t xml:space="preserve">he CSD shall </w:t>
      </w:r>
      <w:r>
        <w:rPr>
          <w:b/>
          <w:i/>
        </w:rPr>
        <w:t xml:space="preserve">inform the relevant CCPs and trading venues where a </w:t>
      </w:r>
      <w:r w:rsidR="00A84501">
        <w:rPr>
          <w:b/>
          <w:i/>
        </w:rPr>
        <w:t>participant which consistently and systemically fail</w:t>
      </w:r>
      <w:r>
        <w:rPr>
          <w:b/>
          <w:i/>
        </w:rPr>
        <w:t>s</w:t>
      </w:r>
      <w:r w:rsidR="00A84501">
        <w:rPr>
          <w:b/>
          <w:i/>
        </w:rPr>
        <w:t xml:space="preserve"> </w:t>
      </w:r>
      <w:r>
        <w:rPr>
          <w:b/>
          <w:i/>
        </w:rPr>
        <w:t>to deliver a type of financial instr</w:t>
      </w:r>
      <w:r>
        <w:rPr>
          <w:b/>
          <w:i/>
        </w:rPr>
        <w:t>u</w:t>
      </w:r>
      <w:r>
        <w:rPr>
          <w:b/>
          <w:i/>
        </w:rPr>
        <w:t xml:space="preserve">ment is suspended from the CSD, detailing </w:t>
      </w:r>
      <w:r w:rsidR="00CF1D20">
        <w:rPr>
          <w:b/>
          <w:i/>
        </w:rPr>
        <w:t>for which financial instruments the participant</w:t>
      </w:r>
      <w:r>
        <w:rPr>
          <w:b/>
          <w:i/>
        </w:rPr>
        <w:t xml:space="preserve"> is suspended from </w:t>
      </w:r>
      <w:r w:rsidR="00CF1D20">
        <w:rPr>
          <w:b/>
          <w:i/>
        </w:rPr>
        <w:t>its settlement systems.</w:t>
      </w:r>
    </w:p>
    <w:permEnd w:id="13"/>
    <w:p w:rsidR="00D12AFD" w:rsidRDefault="00D12AFD" w:rsidP="00BF6706">
      <w:pPr>
        <w:ind w:left="709"/>
      </w:pPr>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997127" w:rsidRPr="00FC0E1E" w:rsidRDefault="00FC0E1E" w:rsidP="00FC0E1E">
      <w:permStart w:id="14" w:edGrp="everyone"/>
      <w:r w:rsidRPr="00FC0E1E">
        <w:t xml:space="preserve"> TYPE</w:t>
      </w:r>
      <w:r>
        <w:t xml:space="preserve"> YOUR TEXT HERE</w:t>
      </w:r>
    </w:p>
    <w:permEnd w:id="14"/>
    <w:p w:rsidR="00D12AFD" w:rsidRDefault="00D12AFD" w:rsidP="00D12AFD">
      <w:r>
        <w:t>&lt;ESMA_QUESTION_TS_CSDR_12&gt;</w:t>
      </w:r>
    </w:p>
    <w:p w:rsidR="00D12AFD" w:rsidRPr="002C4F00" w:rsidRDefault="00D12AFD" w:rsidP="00965B03">
      <w:pPr>
        <w:pStyle w:val="Heading5"/>
        <w:ind w:left="567" w:hanging="567"/>
      </w:pPr>
      <w:r w:rsidRPr="002C4F00">
        <w:lastRenderedPageBreak/>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124278" w:rsidP="00124278">
      <w:permStart w:id="15" w:edGrp="everyone"/>
      <w:r>
        <w:t>TYPE YOUR TEXT HERE</w:t>
      </w:r>
    </w:p>
    <w:permEnd w:id="15"/>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56248B" w:rsidRDefault="00F675E7" w:rsidP="000521F4">
      <w:pPr>
        <w:jc w:val="both"/>
        <w:rPr>
          <w:rFonts w:cs="Arial"/>
        </w:rPr>
      </w:pPr>
      <w:permStart w:id="16" w:edGrp="everyone"/>
      <w:r w:rsidRPr="00612A44">
        <w:rPr>
          <w:rFonts w:cs="Arial"/>
        </w:rPr>
        <w:t xml:space="preserve">We </w:t>
      </w:r>
      <w:r w:rsidR="00711F17" w:rsidRPr="00612A44">
        <w:rPr>
          <w:rFonts w:cs="Arial"/>
        </w:rPr>
        <w:t xml:space="preserve">fully support </w:t>
      </w:r>
      <w:r w:rsidRPr="00612A44">
        <w:rPr>
          <w:rFonts w:cs="Arial"/>
        </w:rPr>
        <w:t xml:space="preserve">ESMA’s proposal to </w:t>
      </w:r>
      <w:r w:rsidR="0000247F">
        <w:rPr>
          <w:rFonts w:cs="Arial"/>
        </w:rPr>
        <w:t xml:space="preserve">defer </w:t>
      </w:r>
      <w:r w:rsidRPr="00612A44">
        <w:rPr>
          <w:rFonts w:cs="Arial"/>
        </w:rPr>
        <w:t xml:space="preserve">the </w:t>
      </w:r>
      <w:r w:rsidR="0000247F">
        <w:rPr>
          <w:rFonts w:cs="Arial"/>
        </w:rPr>
        <w:t xml:space="preserve">application of the </w:t>
      </w:r>
      <w:r w:rsidRPr="00612A44">
        <w:rPr>
          <w:rFonts w:cs="Arial"/>
        </w:rPr>
        <w:t xml:space="preserve">RTS on settlement discipline </w:t>
      </w:r>
      <w:r w:rsidR="0000247F">
        <w:rPr>
          <w:rFonts w:cs="Arial"/>
        </w:rPr>
        <w:t xml:space="preserve">sometime after </w:t>
      </w:r>
      <w:r w:rsidRPr="00612A44">
        <w:rPr>
          <w:rFonts w:cs="Arial"/>
        </w:rPr>
        <w:t>the</w:t>
      </w:r>
      <w:r w:rsidR="0000247F">
        <w:rPr>
          <w:rFonts w:cs="Arial"/>
        </w:rPr>
        <w:t>y are published</w:t>
      </w:r>
      <w:r w:rsidRPr="00612A44">
        <w:rPr>
          <w:rFonts w:cs="Arial"/>
        </w:rPr>
        <w:t xml:space="preserve">. </w:t>
      </w:r>
      <w:r w:rsidR="0000247F">
        <w:rPr>
          <w:rFonts w:cs="Arial"/>
        </w:rPr>
        <w:t>As ESMA notes, t</w:t>
      </w:r>
      <w:r w:rsidR="0000247F" w:rsidRPr="00612A44">
        <w:rPr>
          <w:rFonts w:cs="Arial"/>
        </w:rPr>
        <w:t>he publication of the RTS is expected by the end of this year</w:t>
      </w:r>
      <w:r w:rsidR="0000247F">
        <w:rPr>
          <w:rFonts w:cs="Arial"/>
        </w:rPr>
        <w:t>, so under the current proposed phase-in of 18 months</w:t>
      </w:r>
      <w:r w:rsidR="00E0770A">
        <w:rPr>
          <w:rFonts w:cs="Arial"/>
        </w:rPr>
        <w:t xml:space="preserve"> </w:t>
      </w:r>
      <w:r w:rsidR="001E575E" w:rsidRPr="00612A44">
        <w:rPr>
          <w:rFonts w:cs="Arial"/>
        </w:rPr>
        <w:t>the application would be required in early 2017</w:t>
      </w:r>
      <w:r w:rsidR="0000247F">
        <w:rPr>
          <w:rFonts w:cs="Arial"/>
        </w:rPr>
        <w:t>. We believe t</w:t>
      </w:r>
      <w:r w:rsidR="001E575E" w:rsidRPr="00612A44">
        <w:rPr>
          <w:rFonts w:cs="Arial"/>
        </w:rPr>
        <w:t xml:space="preserve">his timeline is </w:t>
      </w:r>
      <w:r w:rsidR="0000247F">
        <w:rPr>
          <w:rFonts w:cs="Arial"/>
        </w:rPr>
        <w:t xml:space="preserve">the minimum time </w:t>
      </w:r>
      <w:r w:rsidR="001E575E" w:rsidRPr="00612A44">
        <w:rPr>
          <w:rFonts w:cs="Arial"/>
        </w:rPr>
        <w:t xml:space="preserve">necessary for </w:t>
      </w:r>
      <w:r w:rsidR="007D3D88" w:rsidRPr="00612A44">
        <w:rPr>
          <w:rFonts w:cs="Arial"/>
        </w:rPr>
        <w:t xml:space="preserve">all relevant stakeholders </w:t>
      </w:r>
      <w:r w:rsidR="00552C85" w:rsidRPr="00612A44">
        <w:rPr>
          <w:rFonts w:cs="Arial"/>
        </w:rPr>
        <w:t xml:space="preserve">to fully understand </w:t>
      </w:r>
      <w:r w:rsidR="0000247F">
        <w:rPr>
          <w:rFonts w:cs="Arial"/>
        </w:rPr>
        <w:t xml:space="preserve">and implement </w:t>
      </w:r>
      <w:r w:rsidR="00552C85" w:rsidRPr="00612A44">
        <w:rPr>
          <w:rFonts w:cs="Arial"/>
        </w:rPr>
        <w:t>the detailed</w:t>
      </w:r>
      <w:r w:rsidR="00B13437">
        <w:rPr>
          <w:rFonts w:cs="Arial"/>
        </w:rPr>
        <w:t xml:space="preserve"> new</w:t>
      </w:r>
      <w:r w:rsidR="00552C85" w:rsidRPr="00612A44">
        <w:rPr>
          <w:rFonts w:cs="Arial"/>
        </w:rPr>
        <w:t xml:space="preserve"> requirements on </w:t>
      </w:r>
      <w:r w:rsidR="00711F17" w:rsidRPr="00612A44">
        <w:rPr>
          <w:rFonts w:cs="Arial"/>
        </w:rPr>
        <w:t>settlement discipline</w:t>
      </w:r>
      <w:r w:rsidR="00612A44">
        <w:rPr>
          <w:rFonts w:cs="Arial"/>
        </w:rPr>
        <w:t>. Market infrastructures and market participants will need to undertake systems changes and adapt their rulebooks in order to comply with the new requirements</w:t>
      </w:r>
      <w:r w:rsidR="0056248B">
        <w:rPr>
          <w:rFonts w:cs="Arial"/>
        </w:rPr>
        <w:t xml:space="preserve">. The phased in implementation is essential to allow them to do so appropriately, because regulatory change needs to be </w:t>
      </w:r>
      <w:r w:rsidR="00495F50">
        <w:rPr>
          <w:rFonts w:cs="Arial"/>
        </w:rPr>
        <w:t xml:space="preserve">coordinated internally to minimise any disruption and risks to core services and sufficiently budgeted for through </w:t>
      </w:r>
      <w:r w:rsidR="0000247F">
        <w:rPr>
          <w:rFonts w:cs="Arial"/>
        </w:rPr>
        <w:t>a firm’s</w:t>
      </w:r>
      <w:r w:rsidR="00B13437">
        <w:rPr>
          <w:rFonts w:cs="Arial"/>
        </w:rPr>
        <w:t xml:space="preserve"> </w:t>
      </w:r>
      <w:r w:rsidR="00495F50">
        <w:rPr>
          <w:rFonts w:cs="Arial"/>
        </w:rPr>
        <w:t xml:space="preserve">internal governance structure. </w:t>
      </w:r>
    </w:p>
    <w:p w:rsidR="0056248B" w:rsidRDefault="0056248B" w:rsidP="000521F4">
      <w:pPr>
        <w:jc w:val="both"/>
        <w:rPr>
          <w:rFonts w:cs="Arial"/>
        </w:rPr>
      </w:pPr>
    </w:p>
    <w:p w:rsidR="00711F17" w:rsidRDefault="00B13437" w:rsidP="000521F4">
      <w:pPr>
        <w:jc w:val="both"/>
        <w:rPr>
          <w:rFonts w:cs="Arial"/>
        </w:rPr>
      </w:pPr>
      <w:r>
        <w:rPr>
          <w:rFonts w:cs="Arial"/>
        </w:rPr>
        <w:t>Furthermore, d</w:t>
      </w:r>
      <w:r w:rsidR="00711F17" w:rsidRPr="00612A44">
        <w:rPr>
          <w:rFonts w:cs="Arial"/>
        </w:rPr>
        <w:t xml:space="preserve">ue to the </w:t>
      </w:r>
      <w:r w:rsidR="007D3D88" w:rsidRPr="00612A44">
        <w:rPr>
          <w:rFonts w:cs="Arial"/>
        </w:rPr>
        <w:t xml:space="preserve">ongoing </w:t>
      </w:r>
      <w:r w:rsidR="00711F17" w:rsidRPr="00612A44">
        <w:rPr>
          <w:rFonts w:cs="Arial"/>
        </w:rPr>
        <w:t xml:space="preserve">implementation of </w:t>
      </w:r>
      <w:r w:rsidR="00552C85" w:rsidRPr="00612A44">
        <w:rPr>
          <w:rFonts w:cs="Arial"/>
        </w:rPr>
        <w:t xml:space="preserve">the </w:t>
      </w:r>
      <w:r w:rsidR="00711F17" w:rsidRPr="00612A44">
        <w:rPr>
          <w:rFonts w:cs="Arial"/>
        </w:rPr>
        <w:t xml:space="preserve">T2S </w:t>
      </w:r>
      <w:r w:rsidR="00552C85" w:rsidRPr="00612A44">
        <w:rPr>
          <w:rFonts w:cs="Arial"/>
        </w:rPr>
        <w:t xml:space="preserve">project, </w:t>
      </w:r>
      <w:r w:rsidR="00711F17" w:rsidRPr="00612A44">
        <w:rPr>
          <w:rFonts w:cs="Arial"/>
        </w:rPr>
        <w:t xml:space="preserve">CSDs are </w:t>
      </w:r>
      <w:r w:rsidR="007D3D88" w:rsidRPr="00612A44">
        <w:rPr>
          <w:rFonts w:cs="Arial"/>
        </w:rPr>
        <w:t>likely to face significant</w:t>
      </w:r>
      <w:r w:rsidR="00711F17" w:rsidRPr="00612A44">
        <w:rPr>
          <w:rFonts w:cs="Arial"/>
        </w:rPr>
        <w:t xml:space="preserve"> resources </w:t>
      </w:r>
      <w:r w:rsidR="007D3D88" w:rsidRPr="00612A44">
        <w:rPr>
          <w:rFonts w:cs="Arial"/>
        </w:rPr>
        <w:t xml:space="preserve">constraints if required to </w:t>
      </w:r>
      <w:r>
        <w:rPr>
          <w:rFonts w:cs="Arial"/>
        </w:rPr>
        <w:t xml:space="preserve">concurrently </w:t>
      </w:r>
      <w:r w:rsidR="00711F17" w:rsidRPr="00612A44">
        <w:rPr>
          <w:rFonts w:cs="Arial"/>
        </w:rPr>
        <w:t xml:space="preserve">implement </w:t>
      </w:r>
      <w:r w:rsidR="007D3D88" w:rsidRPr="00612A44">
        <w:rPr>
          <w:rFonts w:cs="Arial"/>
        </w:rPr>
        <w:t>the settlement discipline rules</w:t>
      </w:r>
      <w:r>
        <w:rPr>
          <w:rFonts w:cs="Arial"/>
        </w:rPr>
        <w:t>.</w:t>
      </w:r>
      <w:r w:rsidR="000521F4">
        <w:rPr>
          <w:rFonts w:cs="Arial"/>
        </w:rPr>
        <w:t xml:space="preserve"> </w:t>
      </w:r>
      <w:r w:rsidR="007D3D88" w:rsidRPr="00612A44">
        <w:rPr>
          <w:rFonts w:cs="Arial"/>
        </w:rPr>
        <w:t>This could have</w:t>
      </w:r>
      <w:r w:rsidR="00612A44">
        <w:rPr>
          <w:rFonts w:cs="Arial"/>
        </w:rPr>
        <w:t xml:space="preserve"> a</w:t>
      </w:r>
      <w:r w:rsidR="007D3D88" w:rsidRPr="00612A44">
        <w:rPr>
          <w:rFonts w:cs="Arial"/>
        </w:rPr>
        <w:t xml:space="preserve"> negative impact on the </w:t>
      </w:r>
      <w:r w:rsidR="00612A44">
        <w:rPr>
          <w:rFonts w:cs="Arial"/>
        </w:rPr>
        <w:t xml:space="preserve">functioning of the </w:t>
      </w:r>
      <w:r w:rsidR="00612A44" w:rsidRPr="00612A44">
        <w:rPr>
          <w:rFonts w:cs="Arial"/>
        </w:rPr>
        <w:t>equity and fixed income ma</w:t>
      </w:r>
      <w:r w:rsidR="00612A44" w:rsidRPr="00612A44">
        <w:rPr>
          <w:rFonts w:cs="Arial"/>
        </w:rPr>
        <w:t>r</w:t>
      </w:r>
      <w:r w:rsidR="00612A44" w:rsidRPr="00612A44">
        <w:rPr>
          <w:rFonts w:cs="Arial"/>
        </w:rPr>
        <w:t>kets</w:t>
      </w:r>
      <w:r w:rsidR="007D3D88" w:rsidRPr="00612A44">
        <w:rPr>
          <w:rFonts w:cs="Arial"/>
        </w:rPr>
        <w:t>, given that the implementation of the settlement discipline’s rules require coordination b</w:t>
      </w:r>
      <w:r w:rsidR="007D3D88" w:rsidRPr="00612A44">
        <w:rPr>
          <w:rFonts w:cs="Arial"/>
        </w:rPr>
        <w:t>e</w:t>
      </w:r>
      <w:r w:rsidR="007D3D88" w:rsidRPr="00612A44">
        <w:rPr>
          <w:rFonts w:cs="Arial"/>
        </w:rPr>
        <w:t xml:space="preserve">tween the CSDs and their participants, including CCPs and trading venues. </w:t>
      </w:r>
    </w:p>
    <w:p w:rsidR="007D3D88" w:rsidRPr="00612A44" w:rsidRDefault="007D3D88" w:rsidP="000521F4">
      <w:pPr>
        <w:jc w:val="both"/>
        <w:rPr>
          <w:rFonts w:cs="Arial"/>
        </w:rPr>
      </w:pPr>
    </w:p>
    <w:p w:rsidR="00124278" w:rsidRPr="00612A44" w:rsidRDefault="007D3D88" w:rsidP="000521F4">
      <w:pPr>
        <w:jc w:val="both"/>
        <w:rPr>
          <w:rFonts w:cs="Arial"/>
        </w:rPr>
      </w:pPr>
      <w:r w:rsidRPr="00612A44">
        <w:rPr>
          <w:rFonts w:cs="Arial"/>
        </w:rPr>
        <w:t>We would also like to note that u</w:t>
      </w:r>
      <w:r w:rsidR="00711F17" w:rsidRPr="00612A44">
        <w:rPr>
          <w:rFonts w:cs="Arial"/>
        </w:rPr>
        <w:t xml:space="preserve">ntil the complete </w:t>
      </w:r>
      <w:r w:rsidR="00612A44">
        <w:rPr>
          <w:rFonts w:cs="Arial"/>
        </w:rPr>
        <w:t xml:space="preserve">migration to </w:t>
      </w:r>
      <w:r w:rsidR="00711F17" w:rsidRPr="00612A44">
        <w:rPr>
          <w:rFonts w:cs="Arial"/>
        </w:rPr>
        <w:t>the T2S project some fails are likely to occur because of settlement infrastructure’s issues, not intentionally (e.g.</w:t>
      </w:r>
      <w:r w:rsidR="00D368F2">
        <w:rPr>
          <w:rFonts w:cs="Arial"/>
        </w:rPr>
        <w:t xml:space="preserve"> based on a decision by a participant</w:t>
      </w:r>
      <w:r w:rsidR="00711F17" w:rsidRPr="00612A44">
        <w:rPr>
          <w:rFonts w:cs="Arial"/>
        </w:rPr>
        <w:t xml:space="preserve"> not </w:t>
      </w:r>
      <w:r w:rsidR="00D368F2">
        <w:rPr>
          <w:rFonts w:cs="Arial"/>
        </w:rPr>
        <w:t xml:space="preserve">to </w:t>
      </w:r>
      <w:r w:rsidR="00711F17" w:rsidRPr="00612A44">
        <w:rPr>
          <w:rFonts w:cs="Arial"/>
        </w:rPr>
        <w:t>make a delivery). Therefore, the phased in implementation is essential to prevent market disruption</w:t>
      </w:r>
      <w:r w:rsidRPr="00612A44">
        <w:rPr>
          <w:rFonts w:cs="Arial"/>
        </w:rPr>
        <w:t>.</w:t>
      </w:r>
    </w:p>
    <w:permEnd w:id="16"/>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17" w:edGrp="everyone"/>
      <w:r>
        <w:t>TYPE YOUR TEXT HERE</w:t>
      </w:r>
    </w:p>
    <w:permEnd w:id="17"/>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18" w:edGrp="everyone"/>
      <w:r>
        <w:t>TYPE YOUR TEXT HERE</w:t>
      </w:r>
    </w:p>
    <w:permEnd w:id="18"/>
    <w:p w:rsidR="00D12AFD" w:rsidRDefault="00D12AFD" w:rsidP="00D12AFD">
      <w:r>
        <w:t>&lt;ESMA_QUESTION_TS_CSDR_16&gt;</w:t>
      </w:r>
    </w:p>
    <w:p w:rsidR="00D12AFD" w:rsidRPr="002C4F00" w:rsidRDefault="00D12AFD" w:rsidP="00965B03">
      <w:pPr>
        <w:pStyle w:val="Heading5"/>
        <w:ind w:left="567" w:hanging="567"/>
      </w:pPr>
      <w:r w:rsidRPr="002C4F00">
        <w:lastRenderedPageBreak/>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19" w:edGrp="everyone"/>
      <w:r>
        <w:t>TYPE YOUR TEXT HERE</w:t>
      </w:r>
    </w:p>
    <w:permEnd w:id="19"/>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r>
        <w:t>TYPE YOUR TEXT HERE</w:t>
      </w:r>
    </w:p>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20" w:edGrp="everyone"/>
      <w:r>
        <w:t>TYPE YOUR TEXT HERE</w:t>
      </w:r>
    </w:p>
    <w:permEnd w:id="20"/>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21" w:edGrp="everyone"/>
      <w:r>
        <w:t>TYPE YOUR TEXT HERE</w:t>
      </w:r>
    </w:p>
    <w:permEnd w:id="21"/>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22" w:edGrp="everyone"/>
      <w:r>
        <w:t>TYPE YOUR TEXT HERE</w:t>
      </w:r>
    </w:p>
    <w:permEnd w:id="22"/>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r>
        <w:t>TYPE YOUR TEXT HERE</w:t>
      </w:r>
    </w:p>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23" w:edGrp="everyone"/>
      <w:r>
        <w:t>TYPE YOUR TEXT HERE</w:t>
      </w:r>
    </w:p>
    <w:permEnd w:id="23"/>
    <w:p w:rsidR="00D12AFD" w:rsidRDefault="00D12AFD" w:rsidP="00D12AFD">
      <w:r>
        <w:t>&lt;ESMA_QUESTION_TS_CSDR_23&gt;</w:t>
      </w:r>
    </w:p>
    <w:p w:rsidR="00D12AFD" w:rsidRPr="002C4F00" w:rsidRDefault="00D12AFD" w:rsidP="00965B03">
      <w:pPr>
        <w:pStyle w:val="Heading5"/>
        <w:ind w:left="567" w:hanging="567"/>
      </w:pPr>
      <w:r w:rsidRPr="002C4F00">
        <w:lastRenderedPageBreak/>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24" w:edGrp="everyone"/>
      <w:r>
        <w:t>TYPE YOUR TEXT HERE</w:t>
      </w:r>
    </w:p>
    <w:permEnd w:id="24"/>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25" w:edGrp="everyone"/>
      <w:r>
        <w:t>TYPE YOUR TEXT HERE</w:t>
      </w:r>
    </w:p>
    <w:permEnd w:id="25"/>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 xml:space="preserve">ing of Article 37(2) of CSDR are adequate? Please explain if you think that any of the proposed measures would not be applicable in the case of a specific entity. Please </w:t>
      </w:r>
      <w:bookmarkStart w:id="3" w:name="_GoBack"/>
      <w:bookmarkEnd w:id="3"/>
      <w:r w:rsidRPr="002C4F00">
        <w:t>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26" w:edGrp="everyone"/>
      <w:r>
        <w:t>TYPE YOUR TEXT HERE</w:t>
      </w:r>
    </w:p>
    <w:permEnd w:id="26"/>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27" w:edGrp="everyone"/>
      <w:r>
        <w:t>TYPE YOUR TEXT HERE</w:t>
      </w:r>
    </w:p>
    <w:permEnd w:id="27"/>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28" w:edGrp="everyone"/>
      <w:r>
        <w:t>TYPE YOUR TEXT HERE</w:t>
      </w:r>
    </w:p>
    <w:permEnd w:id="28"/>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29" w:edGrp="everyone"/>
      <w:r>
        <w:t>TYPE YOUR TEXT HERE</w:t>
      </w:r>
    </w:p>
    <w:permEnd w:id="29"/>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30" w:edGrp="everyone"/>
      <w:r>
        <w:lastRenderedPageBreak/>
        <w:t>TYPE YOUR TEXT HERE</w:t>
      </w:r>
    </w:p>
    <w:permEnd w:id="30"/>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31" w:edGrp="everyone"/>
      <w:r>
        <w:t>TYPE YOUR TEXT HERE</w:t>
      </w:r>
    </w:p>
    <w:permEnd w:id="31"/>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32" w:edGrp="everyone"/>
      <w:r>
        <w:t>TYPE YOUR TEXT HERE</w:t>
      </w:r>
    </w:p>
    <w:permEnd w:id="32"/>
    <w:p w:rsidR="00F05A8C" w:rsidRDefault="00D12AFD" w:rsidP="00CE149D">
      <w:r>
        <w:t>&lt;ESMA_QUESTION_TS_CSDR_3</w:t>
      </w:r>
      <w:r w:rsidR="00252063">
        <w:t>2</w:t>
      </w:r>
      <w:r>
        <w:t>&gt;</w:t>
      </w:r>
    </w:p>
    <w:sectPr w:rsidR="00F05A8C" w:rsidSect="000D17AA">
      <w:headerReference w:type="even" r:id="rId19"/>
      <w:headerReference w:type="first" r:id="rId20"/>
      <w:footerReference w:type="first" r:id="rId21"/>
      <w:pgSz w:w="11906" w:h="16838" w:code="9"/>
      <w:pgMar w:top="2552"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06" w:rsidRDefault="00961006">
      <w:r>
        <w:separator/>
      </w:r>
    </w:p>
    <w:p w:rsidR="00961006" w:rsidRDefault="00961006"/>
  </w:endnote>
  <w:endnote w:type="continuationSeparator" w:id="0">
    <w:p w:rsidR="00961006" w:rsidRDefault="00961006">
      <w:r>
        <w:continuationSeparator/>
      </w:r>
    </w:p>
    <w:p w:rsidR="00961006" w:rsidRDefault="00961006"/>
  </w:endnote>
  <w:endnote w:type="continuationNotice" w:id="1">
    <w:p w:rsidR="00961006" w:rsidRDefault="009610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961006" w:rsidRPr="00315E96" w:rsidTr="00315E96">
      <w:trPr>
        <w:trHeight w:val="284"/>
      </w:trPr>
      <w:tc>
        <w:tcPr>
          <w:tcW w:w="8460" w:type="dxa"/>
        </w:tcPr>
        <w:p w:rsidR="00961006" w:rsidRPr="00315E96" w:rsidRDefault="00961006" w:rsidP="00315E96">
          <w:pPr>
            <w:pStyle w:val="00Footer"/>
            <w:rPr>
              <w:lang w:val="fr-FR"/>
            </w:rPr>
          </w:pPr>
        </w:p>
      </w:tc>
      <w:tc>
        <w:tcPr>
          <w:tcW w:w="952" w:type="dxa"/>
        </w:tcPr>
        <w:p w:rsidR="00961006" w:rsidRPr="002C5B2D" w:rsidRDefault="00200B58" w:rsidP="002C5B2D">
          <w:pPr>
            <w:pStyle w:val="00aPagenumber"/>
          </w:pPr>
          <w:fldSimple w:instr=" PAGE ">
            <w:r w:rsidR="00B6316C">
              <w:rPr>
                <w:noProof/>
              </w:rPr>
              <w:t>3</w:t>
            </w:r>
          </w:fldSimple>
        </w:p>
      </w:tc>
    </w:tr>
  </w:tbl>
  <w:p w:rsidR="00961006" w:rsidRDefault="009610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06" w:rsidRDefault="00961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06" w:rsidRDefault="00961006">
      <w:r>
        <w:separator/>
      </w:r>
    </w:p>
    <w:p w:rsidR="00961006" w:rsidRDefault="00961006"/>
  </w:footnote>
  <w:footnote w:type="continuationSeparator" w:id="0">
    <w:p w:rsidR="00961006" w:rsidRDefault="00961006">
      <w:r>
        <w:continuationSeparator/>
      </w:r>
    </w:p>
    <w:p w:rsidR="00961006" w:rsidRDefault="00961006"/>
  </w:footnote>
  <w:footnote w:type="continuationNotice" w:id="1">
    <w:p w:rsidR="00961006" w:rsidRDefault="009610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06" w:rsidRDefault="00961006">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200B58">
      <w:rPr>
        <w:noProof/>
        <w:lang w:eastAsia="zh-CN"/>
      </w:rPr>
      <w:pict>
        <v:line id="Line 16" o:spid="_x0000_s4098" style="position:absolute;z-index:251656192;visibility:visible;mso-wrap-style:square;mso-width-percent:0;mso-height-percent:0;mso-wrap-distance-left:3.17481mm;mso-wrap-distance-top:0;mso-wrap-distance-right:3.17481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06" w:rsidRDefault="00961006"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06" w:rsidRDefault="0096100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961006" w:rsidRPr="002F4496" w:rsidTr="000C06C9">
      <w:trPr>
        <w:trHeight w:val="284"/>
      </w:trPr>
      <w:tc>
        <w:tcPr>
          <w:tcW w:w="8460" w:type="dxa"/>
        </w:tcPr>
        <w:p w:rsidR="00961006" w:rsidRPr="000C3B6D" w:rsidRDefault="00961006" w:rsidP="000C06C9">
          <w:pPr>
            <w:pStyle w:val="00Footer"/>
            <w:rPr>
              <w:lang w:val="fr-FR"/>
            </w:rPr>
          </w:pPr>
        </w:p>
      </w:tc>
      <w:tc>
        <w:tcPr>
          <w:tcW w:w="952" w:type="dxa"/>
        </w:tcPr>
        <w:p w:rsidR="00961006" w:rsidRPr="00146B34" w:rsidRDefault="00961006" w:rsidP="000C06C9">
          <w:pPr>
            <w:pStyle w:val="00aPagenumber"/>
            <w:rPr>
              <w:lang w:val="fr-FR"/>
            </w:rPr>
          </w:pPr>
        </w:p>
      </w:tc>
    </w:tr>
  </w:tbl>
  <w:p w:rsidR="00961006" w:rsidRPr="00DB46C3" w:rsidRDefault="00961006">
    <w:pPr>
      <w:rPr>
        <w:lang w:val="fr-FR"/>
      </w:rPr>
    </w:pPr>
  </w:p>
  <w:p w:rsidR="00961006" w:rsidRPr="002F4496" w:rsidRDefault="00961006">
    <w:pPr>
      <w:pStyle w:val="Header"/>
      <w:rPr>
        <w:lang w:val="fr-FR"/>
      </w:rPr>
    </w:pPr>
  </w:p>
  <w:p w:rsidR="00961006" w:rsidRPr="002F4496" w:rsidRDefault="00961006" w:rsidP="000C06C9">
    <w:pPr>
      <w:pStyle w:val="Header"/>
      <w:tabs>
        <w:tab w:val="clear" w:pos="4536"/>
        <w:tab w:val="clear" w:pos="9072"/>
        <w:tab w:val="left" w:pos="8227"/>
      </w:tabs>
      <w:rPr>
        <w:lang w:val="fr-FR"/>
      </w:rPr>
    </w:pPr>
  </w:p>
  <w:p w:rsidR="00961006" w:rsidRPr="002F4496" w:rsidRDefault="00961006" w:rsidP="000C06C9">
    <w:pPr>
      <w:pStyle w:val="Header"/>
      <w:tabs>
        <w:tab w:val="clear" w:pos="4536"/>
        <w:tab w:val="clear" w:pos="9072"/>
        <w:tab w:val="left" w:pos="8227"/>
      </w:tabs>
      <w:rPr>
        <w:lang w:val="fr-FR"/>
      </w:rPr>
    </w:pPr>
  </w:p>
  <w:p w:rsidR="00961006" w:rsidRPr="002F4496" w:rsidRDefault="00961006">
    <w:pPr>
      <w:pStyle w:val="Header"/>
      <w:rPr>
        <w:lang w:val="fr-FR"/>
      </w:rPr>
    </w:pPr>
  </w:p>
  <w:p w:rsidR="00961006" w:rsidRPr="002F4496" w:rsidRDefault="00961006">
    <w:pPr>
      <w:pStyle w:val="Header"/>
      <w:rPr>
        <w:lang w:val="fr-FR"/>
      </w:rPr>
    </w:pPr>
  </w:p>
  <w:p w:rsidR="00961006" w:rsidRPr="002F4496" w:rsidRDefault="00961006">
    <w:pPr>
      <w:pStyle w:val="Header"/>
      <w:rPr>
        <w:lang w:val="fr-FR"/>
      </w:rPr>
    </w:pPr>
  </w:p>
  <w:p w:rsidR="00961006" w:rsidRPr="002F4496" w:rsidRDefault="00961006">
    <w:pPr>
      <w:pStyle w:val="Header"/>
      <w:rPr>
        <w:lang w:val="fr-FR"/>
      </w:rPr>
    </w:pPr>
  </w:p>
  <w:p w:rsidR="00961006" w:rsidRPr="002F4496" w:rsidRDefault="00961006">
    <w:pPr>
      <w:pStyle w:val="Header"/>
      <w:rPr>
        <w:highlight w:val="yellow"/>
        <w:lang w:val="fr-FR"/>
      </w:rPr>
    </w:pPr>
  </w:p>
  <w:p w:rsidR="00961006" w:rsidRDefault="00200B58">
    <w:pPr>
      <w:pStyle w:val="Header"/>
    </w:pPr>
    <w:r>
      <w:rPr>
        <w:noProof/>
        <w:lang w:eastAsia="zh-CN"/>
      </w:rPr>
      <w:pict>
        <v:line id="Straight Connector 138" o:spid="_x0000_s4097" style="position:absolute;z-index:251660288;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961006">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1A13EE0"/>
    <w:multiLevelType w:val="hybridMultilevel"/>
    <w:tmpl w:val="A2CC06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93DCE"/>
    <w:multiLevelType w:val="hybridMultilevel"/>
    <w:tmpl w:val="87FC3752"/>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8B6347F"/>
    <w:multiLevelType w:val="hybridMultilevel"/>
    <w:tmpl w:val="FDE02260"/>
    <w:lvl w:ilvl="0" w:tplc="CFF687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4796C0C"/>
    <w:multiLevelType w:val="hybridMultilevel"/>
    <w:tmpl w:val="E5187786"/>
    <w:lvl w:ilvl="0" w:tplc="F1B89FA4">
      <w:start w:val="1"/>
      <w:numFmt w:val="decimal"/>
      <w:lvlText w:val="(%1)"/>
      <w:lvlJc w:val="left"/>
      <w:pPr>
        <w:ind w:left="1065" w:hanging="360"/>
      </w:pPr>
      <w:rPr>
        <w:rFonts w:hint="default"/>
        <w:b w:val="0"/>
        <w:i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FDF30B8"/>
    <w:multiLevelType w:val="hybridMultilevel"/>
    <w:tmpl w:val="92F06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A411145"/>
    <w:multiLevelType w:val="hybridMultilevel"/>
    <w:tmpl w:val="60D2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21A1D45"/>
    <w:multiLevelType w:val="hybridMultilevel"/>
    <w:tmpl w:val="BCB01FAC"/>
    <w:lvl w:ilvl="0" w:tplc="D7C4FA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BC667A"/>
    <w:multiLevelType w:val="hybridMultilevel"/>
    <w:tmpl w:val="A2FC4384"/>
    <w:lvl w:ilvl="0" w:tplc="6C545A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5"/>
  </w:num>
  <w:num w:numId="6">
    <w:abstractNumId w:val="27"/>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3"/>
  </w:num>
  <w:num w:numId="15">
    <w:abstractNumId w:val="23"/>
  </w:num>
  <w:num w:numId="16">
    <w:abstractNumId w:val="12"/>
  </w:num>
  <w:num w:numId="17">
    <w:abstractNumId w:val="2"/>
  </w:num>
  <w:num w:numId="18">
    <w:abstractNumId w:val="15"/>
  </w:num>
  <w:num w:numId="19">
    <w:abstractNumId w:val="16"/>
  </w:num>
  <w:num w:numId="20">
    <w:abstractNumId w:val="18"/>
  </w:num>
  <w:num w:numId="21">
    <w:abstractNumId w:val="28"/>
  </w:num>
  <w:num w:numId="22">
    <w:abstractNumId w:val="37"/>
  </w:num>
  <w:num w:numId="23">
    <w:abstractNumId w:val="25"/>
  </w:num>
  <w:num w:numId="24">
    <w:abstractNumId w:val="11"/>
  </w:num>
  <w:num w:numId="25">
    <w:abstractNumId w:val="31"/>
  </w:num>
  <w:num w:numId="26">
    <w:abstractNumId w:val="30"/>
  </w:num>
  <w:num w:numId="27">
    <w:abstractNumId w:val="20"/>
  </w:num>
  <w:num w:numId="28">
    <w:abstractNumId w:val="35"/>
  </w:num>
  <w:num w:numId="29">
    <w:abstractNumId w:val="41"/>
  </w:num>
  <w:num w:numId="30">
    <w:abstractNumId w:val="9"/>
  </w:num>
  <w:num w:numId="31">
    <w:abstractNumId w:val="6"/>
  </w:num>
  <w:num w:numId="32">
    <w:abstractNumId w:val="22"/>
  </w:num>
  <w:num w:numId="33">
    <w:abstractNumId w:val="3"/>
  </w:num>
  <w:num w:numId="34">
    <w:abstractNumId w:val="32"/>
  </w:num>
  <w:num w:numId="35">
    <w:abstractNumId w:val="36"/>
  </w:num>
  <w:num w:numId="36">
    <w:abstractNumId w:val="26"/>
  </w:num>
  <w:num w:numId="3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
  </w:num>
  <w:num w:numId="40">
    <w:abstractNumId w:val="21"/>
  </w:num>
  <w:num w:numId="41">
    <w:abstractNumId w:val="3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6bfjm/iXYcseCfNqFFexqQAtOxQ=" w:salt="TR/MU8Bj+9PToco2KdLWwQ=="/>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7F"/>
    <w:rsid w:val="00002491"/>
    <w:rsid w:val="0000378E"/>
    <w:rsid w:val="00003AEB"/>
    <w:rsid w:val="00005BBA"/>
    <w:rsid w:val="00005D8C"/>
    <w:rsid w:val="00006C2B"/>
    <w:rsid w:val="00007014"/>
    <w:rsid w:val="00007879"/>
    <w:rsid w:val="00007968"/>
    <w:rsid w:val="0001062E"/>
    <w:rsid w:val="0001067A"/>
    <w:rsid w:val="000115F6"/>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3D54"/>
    <w:rsid w:val="000344D6"/>
    <w:rsid w:val="00034960"/>
    <w:rsid w:val="00036E90"/>
    <w:rsid w:val="00036FAE"/>
    <w:rsid w:val="00041858"/>
    <w:rsid w:val="0004389E"/>
    <w:rsid w:val="000463A6"/>
    <w:rsid w:val="00046CC9"/>
    <w:rsid w:val="00046E91"/>
    <w:rsid w:val="00047DBB"/>
    <w:rsid w:val="000502FE"/>
    <w:rsid w:val="00050995"/>
    <w:rsid w:val="0005126D"/>
    <w:rsid w:val="00051992"/>
    <w:rsid w:val="00051E9A"/>
    <w:rsid w:val="000521A7"/>
    <w:rsid w:val="000521F4"/>
    <w:rsid w:val="00052F47"/>
    <w:rsid w:val="00052F7D"/>
    <w:rsid w:val="0005399B"/>
    <w:rsid w:val="00054DE6"/>
    <w:rsid w:val="000569D7"/>
    <w:rsid w:val="000576D7"/>
    <w:rsid w:val="00060F72"/>
    <w:rsid w:val="00062592"/>
    <w:rsid w:val="000636A1"/>
    <w:rsid w:val="000649D9"/>
    <w:rsid w:val="000652BE"/>
    <w:rsid w:val="00066479"/>
    <w:rsid w:val="00066C5D"/>
    <w:rsid w:val="00066CAA"/>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DE8"/>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68C"/>
    <w:rsid w:val="000E18A8"/>
    <w:rsid w:val="000E1AEC"/>
    <w:rsid w:val="000E2F3E"/>
    <w:rsid w:val="000E3937"/>
    <w:rsid w:val="000E4926"/>
    <w:rsid w:val="000E5F7F"/>
    <w:rsid w:val="000E7086"/>
    <w:rsid w:val="000E7C65"/>
    <w:rsid w:val="000F04D2"/>
    <w:rsid w:val="000F55B7"/>
    <w:rsid w:val="000F5C54"/>
    <w:rsid w:val="000F604F"/>
    <w:rsid w:val="000F7399"/>
    <w:rsid w:val="000F761F"/>
    <w:rsid w:val="001027F1"/>
    <w:rsid w:val="00104F2E"/>
    <w:rsid w:val="001072DD"/>
    <w:rsid w:val="00110D7A"/>
    <w:rsid w:val="00111464"/>
    <w:rsid w:val="0011167D"/>
    <w:rsid w:val="00112892"/>
    <w:rsid w:val="00112D63"/>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1550"/>
    <w:rsid w:val="001315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2402"/>
    <w:rsid w:val="0016358A"/>
    <w:rsid w:val="001638D4"/>
    <w:rsid w:val="00164664"/>
    <w:rsid w:val="00164F15"/>
    <w:rsid w:val="001651A4"/>
    <w:rsid w:val="0016552B"/>
    <w:rsid w:val="00166B04"/>
    <w:rsid w:val="001670A6"/>
    <w:rsid w:val="001701FA"/>
    <w:rsid w:val="00171183"/>
    <w:rsid w:val="001725A5"/>
    <w:rsid w:val="00172681"/>
    <w:rsid w:val="00173AC7"/>
    <w:rsid w:val="00173C05"/>
    <w:rsid w:val="00173DDF"/>
    <w:rsid w:val="001745D7"/>
    <w:rsid w:val="00175754"/>
    <w:rsid w:val="00176982"/>
    <w:rsid w:val="0017701C"/>
    <w:rsid w:val="00180DBF"/>
    <w:rsid w:val="00181264"/>
    <w:rsid w:val="00181BD1"/>
    <w:rsid w:val="0018204A"/>
    <w:rsid w:val="00182F7C"/>
    <w:rsid w:val="001843B5"/>
    <w:rsid w:val="00186829"/>
    <w:rsid w:val="001868CA"/>
    <w:rsid w:val="00187304"/>
    <w:rsid w:val="001875BE"/>
    <w:rsid w:val="001879EB"/>
    <w:rsid w:val="0019017A"/>
    <w:rsid w:val="00190946"/>
    <w:rsid w:val="00190B8C"/>
    <w:rsid w:val="00190FF8"/>
    <w:rsid w:val="0019311A"/>
    <w:rsid w:val="0019508A"/>
    <w:rsid w:val="001960D8"/>
    <w:rsid w:val="001A1642"/>
    <w:rsid w:val="001A359B"/>
    <w:rsid w:val="001A371B"/>
    <w:rsid w:val="001A4766"/>
    <w:rsid w:val="001A6A0D"/>
    <w:rsid w:val="001A6C51"/>
    <w:rsid w:val="001A6FAA"/>
    <w:rsid w:val="001A7D73"/>
    <w:rsid w:val="001B0363"/>
    <w:rsid w:val="001B1355"/>
    <w:rsid w:val="001B3138"/>
    <w:rsid w:val="001B36C9"/>
    <w:rsid w:val="001B4D9C"/>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AC5"/>
    <w:rsid w:val="001D5BAF"/>
    <w:rsid w:val="001D6401"/>
    <w:rsid w:val="001D66C9"/>
    <w:rsid w:val="001D722A"/>
    <w:rsid w:val="001E04FC"/>
    <w:rsid w:val="001E1432"/>
    <w:rsid w:val="001E1830"/>
    <w:rsid w:val="001E368F"/>
    <w:rsid w:val="001E407D"/>
    <w:rsid w:val="001E40FB"/>
    <w:rsid w:val="001E575E"/>
    <w:rsid w:val="001E66EC"/>
    <w:rsid w:val="001E68C5"/>
    <w:rsid w:val="001F0F63"/>
    <w:rsid w:val="001F2721"/>
    <w:rsid w:val="001F3996"/>
    <w:rsid w:val="001F44A4"/>
    <w:rsid w:val="001F579D"/>
    <w:rsid w:val="001F61C4"/>
    <w:rsid w:val="001F697B"/>
    <w:rsid w:val="002005A6"/>
    <w:rsid w:val="00200B58"/>
    <w:rsid w:val="00204CBC"/>
    <w:rsid w:val="002051F1"/>
    <w:rsid w:val="002067BA"/>
    <w:rsid w:val="0021058D"/>
    <w:rsid w:val="00211619"/>
    <w:rsid w:val="00211E2F"/>
    <w:rsid w:val="00211E9E"/>
    <w:rsid w:val="002146E2"/>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37FA9"/>
    <w:rsid w:val="00240651"/>
    <w:rsid w:val="00240803"/>
    <w:rsid w:val="0024426D"/>
    <w:rsid w:val="00244F1D"/>
    <w:rsid w:val="00245004"/>
    <w:rsid w:val="00245FB4"/>
    <w:rsid w:val="00247806"/>
    <w:rsid w:val="00250898"/>
    <w:rsid w:val="00251EA9"/>
    <w:rsid w:val="00252063"/>
    <w:rsid w:val="00252843"/>
    <w:rsid w:val="002543F8"/>
    <w:rsid w:val="002551A4"/>
    <w:rsid w:val="002559F3"/>
    <w:rsid w:val="00256DFE"/>
    <w:rsid w:val="00261D56"/>
    <w:rsid w:val="00261FD3"/>
    <w:rsid w:val="00263721"/>
    <w:rsid w:val="00264077"/>
    <w:rsid w:val="00266323"/>
    <w:rsid w:val="00266B9A"/>
    <w:rsid w:val="00270E54"/>
    <w:rsid w:val="00273681"/>
    <w:rsid w:val="00273C0A"/>
    <w:rsid w:val="002754B5"/>
    <w:rsid w:val="002764C5"/>
    <w:rsid w:val="002772AE"/>
    <w:rsid w:val="00277711"/>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38DB"/>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6F9B"/>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2F9B"/>
    <w:rsid w:val="00314013"/>
    <w:rsid w:val="00314945"/>
    <w:rsid w:val="00315389"/>
    <w:rsid w:val="00315746"/>
    <w:rsid w:val="00315E96"/>
    <w:rsid w:val="00317FC8"/>
    <w:rsid w:val="003223D7"/>
    <w:rsid w:val="00323D9F"/>
    <w:rsid w:val="00324984"/>
    <w:rsid w:val="00324FDB"/>
    <w:rsid w:val="00325F48"/>
    <w:rsid w:val="00330386"/>
    <w:rsid w:val="0033194F"/>
    <w:rsid w:val="00331DC9"/>
    <w:rsid w:val="00332406"/>
    <w:rsid w:val="00332D8D"/>
    <w:rsid w:val="00335027"/>
    <w:rsid w:val="00336B56"/>
    <w:rsid w:val="00341B25"/>
    <w:rsid w:val="00341EC0"/>
    <w:rsid w:val="0034240C"/>
    <w:rsid w:val="00344496"/>
    <w:rsid w:val="00345968"/>
    <w:rsid w:val="00347667"/>
    <w:rsid w:val="003504D9"/>
    <w:rsid w:val="003507E2"/>
    <w:rsid w:val="003522B2"/>
    <w:rsid w:val="0035455E"/>
    <w:rsid w:val="00354A6F"/>
    <w:rsid w:val="00354B48"/>
    <w:rsid w:val="00355789"/>
    <w:rsid w:val="00360664"/>
    <w:rsid w:val="003609B6"/>
    <w:rsid w:val="00361119"/>
    <w:rsid w:val="00363964"/>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E56"/>
    <w:rsid w:val="00381FF6"/>
    <w:rsid w:val="00383D7D"/>
    <w:rsid w:val="00384CCE"/>
    <w:rsid w:val="003865E5"/>
    <w:rsid w:val="00390E97"/>
    <w:rsid w:val="00390F5E"/>
    <w:rsid w:val="003926C1"/>
    <w:rsid w:val="00392900"/>
    <w:rsid w:val="00393357"/>
    <w:rsid w:val="00395E7B"/>
    <w:rsid w:val="00395F4C"/>
    <w:rsid w:val="003A6087"/>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24DA"/>
    <w:rsid w:val="003D4B73"/>
    <w:rsid w:val="003D503B"/>
    <w:rsid w:val="003D605E"/>
    <w:rsid w:val="003D61D1"/>
    <w:rsid w:val="003D6552"/>
    <w:rsid w:val="003D6780"/>
    <w:rsid w:val="003D6FCB"/>
    <w:rsid w:val="003E04AA"/>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47AE"/>
    <w:rsid w:val="0041634D"/>
    <w:rsid w:val="00417EF7"/>
    <w:rsid w:val="00422A7D"/>
    <w:rsid w:val="00422BFC"/>
    <w:rsid w:val="00424642"/>
    <w:rsid w:val="00425577"/>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1DB"/>
    <w:rsid w:val="0044277A"/>
    <w:rsid w:val="004456DC"/>
    <w:rsid w:val="0044594E"/>
    <w:rsid w:val="00446074"/>
    <w:rsid w:val="00446926"/>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0F2F"/>
    <w:rsid w:val="0048104E"/>
    <w:rsid w:val="004814BB"/>
    <w:rsid w:val="004815DA"/>
    <w:rsid w:val="00482458"/>
    <w:rsid w:val="004837ED"/>
    <w:rsid w:val="00483942"/>
    <w:rsid w:val="00483DA0"/>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AE8"/>
    <w:rsid w:val="00495F50"/>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394A"/>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0DBF"/>
    <w:rsid w:val="004D1410"/>
    <w:rsid w:val="004D1478"/>
    <w:rsid w:val="004D19EE"/>
    <w:rsid w:val="004D1CF2"/>
    <w:rsid w:val="004D2D3A"/>
    <w:rsid w:val="004D3364"/>
    <w:rsid w:val="004D374D"/>
    <w:rsid w:val="004D4262"/>
    <w:rsid w:val="004D42C8"/>
    <w:rsid w:val="004D4D33"/>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AD"/>
    <w:rsid w:val="00511AAB"/>
    <w:rsid w:val="00511C25"/>
    <w:rsid w:val="00514D10"/>
    <w:rsid w:val="00516783"/>
    <w:rsid w:val="005172FC"/>
    <w:rsid w:val="00517EF8"/>
    <w:rsid w:val="00520083"/>
    <w:rsid w:val="0052029E"/>
    <w:rsid w:val="0052076A"/>
    <w:rsid w:val="00520A2C"/>
    <w:rsid w:val="00520E25"/>
    <w:rsid w:val="0052183D"/>
    <w:rsid w:val="00522F44"/>
    <w:rsid w:val="0052360A"/>
    <w:rsid w:val="005242BA"/>
    <w:rsid w:val="005243B8"/>
    <w:rsid w:val="005252DD"/>
    <w:rsid w:val="00526DEB"/>
    <w:rsid w:val="00530A8D"/>
    <w:rsid w:val="00531C6D"/>
    <w:rsid w:val="00532EF4"/>
    <w:rsid w:val="00533AEA"/>
    <w:rsid w:val="005347CE"/>
    <w:rsid w:val="0053533E"/>
    <w:rsid w:val="00535477"/>
    <w:rsid w:val="00535DEA"/>
    <w:rsid w:val="0053723A"/>
    <w:rsid w:val="00537636"/>
    <w:rsid w:val="00537B1D"/>
    <w:rsid w:val="00540191"/>
    <w:rsid w:val="00540A2A"/>
    <w:rsid w:val="00540F0B"/>
    <w:rsid w:val="00541F27"/>
    <w:rsid w:val="00542297"/>
    <w:rsid w:val="005424BC"/>
    <w:rsid w:val="00542A28"/>
    <w:rsid w:val="005441D4"/>
    <w:rsid w:val="0054672D"/>
    <w:rsid w:val="00550F4E"/>
    <w:rsid w:val="005511DB"/>
    <w:rsid w:val="00552C85"/>
    <w:rsid w:val="005532B5"/>
    <w:rsid w:val="00554A05"/>
    <w:rsid w:val="00555849"/>
    <w:rsid w:val="005559A8"/>
    <w:rsid w:val="00557048"/>
    <w:rsid w:val="00557FB5"/>
    <w:rsid w:val="0056175C"/>
    <w:rsid w:val="00561AED"/>
    <w:rsid w:val="0056248B"/>
    <w:rsid w:val="005648A8"/>
    <w:rsid w:val="00564DE3"/>
    <w:rsid w:val="00564E44"/>
    <w:rsid w:val="00566CE5"/>
    <w:rsid w:val="00566D36"/>
    <w:rsid w:val="00573569"/>
    <w:rsid w:val="0057389E"/>
    <w:rsid w:val="005765C0"/>
    <w:rsid w:val="005778DE"/>
    <w:rsid w:val="00580B3F"/>
    <w:rsid w:val="005825F2"/>
    <w:rsid w:val="005860AF"/>
    <w:rsid w:val="00586F64"/>
    <w:rsid w:val="00587F1D"/>
    <w:rsid w:val="00590348"/>
    <w:rsid w:val="00591075"/>
    <w:rsid w:val="005910D3"/>
    <w:rsid w:val="00591161"/>
    <w:rsid w:val="00591D1B"/>
    <w:rsid w:val="005921D3"/>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7BB"/>
    <w:rsid w:val="00600F63"/>
    <w:rsid w:val="006012E1"/>
    <w:rsid w:val="00602253"/>
    <w:rsid w:val="006023E1"/>
    <w:rsid w:val="00604197"/>
    <w:rsid w:val="00605531"/>
    <w:rsid w:val="0060674A"/>
    <w:rsid w:val="00607832"/>
    <w:rsid w:val="0060784B"/>
    <w:rsid w:val="00610254"/>
    <w:rsid w:val="006105FB"/>
    <w:rsid w:val="00610F94"/>
    <w:rsid w:val="00611293"/>
    <w:rsid w:val="0061135E"/>
    <w:rsid w:val="0061263A"/>
    <w:rsid w:val="00612A44"/>
    <w:rsid w:val="00612C41"/>
    <w:rsid w:val="006145DE"/>
    <w:rsid w:val="0061478E"/>
    <w:rsid w:val="00614F25"/>
    <w:rsid w:val="00616A11"/>
    <w:rsid w:val="00616E88"/>
    <w:rsid w:val="00617520"/>
    <w:rsid w:val="00620D7C"/>
    <w:rsid w:val="00621089"/>
    <w:rsid w:val="00621E1F"/>
    <w:rsid w:val="006225E5"/>
    <w:rsid w:val="006228B2"/>
    <w:rsid w:val="006228E1"/>
    <w:rsid w:val="00622E32"/>
    <w:rsid w:val="00623688"/>
    <w:rsid w:val="006247E0"/>
    <w:rsid w:val="00625F82"/>
    <w:rsid w:val="00627999"/>
    <w:rsid w:val="00630FF7"/>
    <w:rsid w:val="00631D49"/>
    <w:rsid w:val="00633433"/>
    <w:rsid w:val="006341B5"/>
    <w:rsid w:val="00634727"/>
    <w:rsid w:val="00634B64"/>
    <w:rsid w:val="0063578C"/>
    <w:rsid w:val="0063642C"/>
    <w:rsid w:val="0063681E"/>
    <w:rsid w:val="00636FF9"/>
    <w:rsid w:val="00640DCD"/>
    <w:rsid w:val="00641DC3"/>
    <w:rsid w:val="00642713"/>
    <w:rsid w:val="00642972"/>
    <w:rsid w:val="00644F4D"/>
    <w:rsid w:val="006469B1"/>
    <w:rsid w:val="00646C0D"/>
    <w:rsid w:val="006476F7"/>
    <w:rsid w:val="0064779E"/>
    <w:rsid w:val="006501FA"/>
    <w:rsid w:val="006509B0"/>
    <w:rsid w:val="006521F3"/>
    <w:rsid w:val="006524D5"/>
    <w:rsid w:val="00652BBD"/>
    <w:rsid w:val="00653633"/>
    <w:rsid w:val="00653E3F"/>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2A3A"/>
    <w:rsid w:val="0067555E"/>
    <w:rsid w:val="00677FAD"/>
    <w:rsid w:val="006802DE"/>
    <w:rsid w:val="0068032D"/>
    <w:rsid w:val="0068068C"/>
    <w:rsid w:val="00681115"/>
    <w:rsid w:val="00683920"/>
    <w:rsid w:val="00685147"/>
    <w:rsid w:val="00685653"/>
    <w:rsid w:val="0068590D"/>
    <w:rsid w:val="00685A89"/>
    <w:rsid w:val="006861B3"/>
    <w:rsid w:val="0068670F"/>
    <w:rsid w:val="00686FA2"/>
    <w:rsid w:val="006870C5"/>
    <w:rsid w:val="00690F0E"/>
    <w:rsid w:val="006911C0"/>
    <w:rsid w:val="00691B7C"/>
    <w:rsid w:val="00693879"/>
    <w:rsid w:val="00694B73"/>
    <w:rsid w:val="00694DF2"/>
    <w:rsid w:val="00695F80"/>
    <w:rsid w:val="006966CD"/>
    <w:rsid w:val="00696735"/>
    <w:rsid w:val="0069780E"/>
    <w:rsid w:val="006A2CA2"/>
    <w:rsid w:val="006A2ED1"/>
    <w:rsid w:val="006B2D40"/>
    <w:rsid w:val="006B32C9"/>
    <w:rsid w:val="006B34DF"/>
    <w:rsid w:val="006B39B2"/>
    <w:rsid w:val="006B3AF9"/>
    <w:rsid w:val="006B45A0"/>
    <w:rsid w:val="006B5668"/>
    <w:rsid w:val="006B5F71"/>
    <w:rsid w:val="006B6E44"/>
    <w:rsid w:val="006B7059"/>
    <w:rsid w:val="006B7287"/>
    <w:rsid w:val="006B7F2E"/>
    <w:rsid w:val="006C0BF8"/>
    <w:rsid w:val="006C2253"/>
    <w:rsid w:val="006C2914"/>
    <w:rsid w:val="006C2CCB"/>
    <w:rsid w:val="006C4334"/>
    <w:rsid w:val="006C4B0F"/>
    <w:rsid w:val="006C5E96"/>
    <w:rsid w:val="006D0A03"/>
    <w:rsid w:val="006D399F"/>
    <w:rsid w:val="006D4F0C"/>
    <w:rsid w:val="006D5645"/>
    <w:rsid w:val="006D5EC3"/>
    <w:rsid w:val="006D7F18"/>
    <w:rsid w:val="006E0702"/>
    <w:rsid w:val="006E0C8A"/>
    <w:rsid w:val="006E2A23"/>
    <w:rsid w:val="006E35E5"/>
    <w:rsid w:val="006E3C72"/>
    <w:rsid w:val="006E4F20"/>
    <w:rsid w:val="006E649A"/>
    <w:rsid w:val="006E7000"/>
    <w:rsid w:val="006F2556"/>
    <w:rsid w:val="006F26EF"/>
    <w:rsid w:val="006F33C9"/>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1F17"/>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291B"/>
    <w:rsid w:val="00733EE9"/>
    <w:rsid w:val="00734B06"/>
    <w:rsid w:val="00735B8E"/>
    <w:rsid w:val="00735C13"/>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77F"/>
    <w:rsid w:val="00763F36"/>
    <w:rsid w:val="007648A0"/>
    <w:rsid w:val="00766F4D"/>
    <w:rsid w:val="00770268"/>
    <w:rsid w:val="007706B9"/>
    <w:rsid w:val="007707ED"/>
    <w:rsid w:val="00771C3B"/>
    <w:rsid w:val="007726F9"/>
    <w:rsid w:val="00773B94"/>
    <w:rsid w:val="00773C65"/>
    <w:rsid w:val="00775937"/>
    <w:rsid w:val="00775F04"/>
    <w:rsid w:val="00776017"/>
    <w:rsid w:val="00777046"/>
    <w:rsid w:val="007770DA"/>
    <w:rsid w:val="007805B9"/>
    <w:rsid w:val="00780C3A"/>
    <w:rsid w:val="007834A1"/>
    <w:rsid w:val="00786DA6"/>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D88"/>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55A1"/>
    <w:rsid w:val="007F621C"/>
    <w:rsid w:val="007F7155"/>
    <w:rsid w:val="00800C28"/>
    <w:rsid w:val="0080245E"/>
    <w:rsid w:val="00803480"/>
    <w:rsid w:val="0080359C"/>
    <w:rsid w:val="008037AE"/>
    <w:rsid w:val="008043F4"/>
    <w:rsid w:val="00804BB4"/>
    <w:rsid w:val="00805D9F"/>
    <w:rsid w:val="00805DF1"/>
    <w:rsid w:val="008061D3"/>
    <w:rsid w:val="00807A4D"/>
    <w:rsid w:val="00807F30"/>
    <w:rsid w:val="008103DC"/>
    <w:rsid w:val="0081119F"/>
    <w:rsid w:val="0081134D"/>
    <w:rsid w:val="00811EDA"/>
    <w:rsid w:val="00812403"/>
    <w:rsid w:val="00812FD7"/>
    <w:rsid w:val="00817A01"/>
    <w:rsid w:val="00820623"/>
    <w:rsid w:val="00821747"/>
    <w:rsid w:val="00821E67"/>
    <w:rsid w:val="008229A3"/>
    <w:rsid w:val="00822DFB"/>
    <w:rsid w:val="00822F64"/>
    <w:rsid w:val="008253A6"/>
    <w:rsid w:val="00825A6B"/>
    <w:rsid w:val="00825C50"/>
    <w:rsid w:val="00826577"/>
    <w:rsid w:val="00827439"/>
    <w:rsid w:val="0082755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3D5F"/>
    <w:rsid w:val="008746C1"/>
    <w:rsid w:val="00880224"/>
    <w:rsid w:val="0088244C"/>
    <w:rsid w:val="00883367"/>
    <w:rsid w:val="00884A38"/>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11CB"/>
    <w:rsid w:val="008B2B9E"/>
    <w:rsid w:val="008B31F5"/>
    <w:rsid w:val="008B4C79"/>
    <w:rsid w:val="008B525E"/>
    <w:rsid w:val="008B5D2D"/>
    <w:rsid w:val="008B6361"/>
    <w:rsid w:val="008C0320"/>
    <w:rsid w:val="008C122D"/>
    <w:rsid w:val="008C2A81"/>
    <w:rsid w:val="008C3863"/>
    <w:rsid w:val="008C3DE0"/>
    <w:rsid w:val="008C3F12"/>
    <w:rsid w:val="008C4BDC"/>
    <w:rsid w:val="008C50FF"/>
    <w:rsid w:val="008C5435"/>
    <w:rsid w:val="008C54EA"/>
    <w:rsid w:val="008C6BD1"/>
    <w:rsid w:val="008D2DB5"/>
    <w:rsid w:val="008D3F10"/>
    <w:rsid w:val="008D611D"/>
    <w:rsid w:val="008D7CA1"/>
    <w:rsid w:val="008E1650"/>
    <w:rsid w:val="008E19F4"/>
    <w:rsid w:val="008E1B6A"/>
    <w:rsid w:val="008E3054"/>
    <w:rsid w:val="008E32FF"/>
    <w:rsid w:val="008E3CB3"/>
    <w:rsid w:val="008E5625"/>
    <w:rsid w:val="008E5C5B"/>
    <w:rsid w:val="008E6A37"/>
    <w:rsid w:val="008F0354"/>
    <w:rsid w:val="008F085A"/>
    <w:rsid w:val="008F1462"/>
    <w:rsid w:val="008F2413"/>
    <w:rsid w:val="008F248D"/>
    <w:rsid w:val="008F4B2C"/>
    <w:rsid w:val="008F4C08"/>
    <w:rsid w:val="008F6851"/>
    <w:rsid w:val="008F7BC4"/>
    <w:rsid w:val="00900E7A"/>
    <w:rsid w:val="00901479"/>
    <w:rsid w:val="00903E11"/>
    <w:rsid w:val="00903EBE"/>
    <w:rsid w:val="009041DE"/>
    <w:rsid w:val="00905D59"/>
    <w:rsid w:val="009062CA"/>
    <w:rsid w:val="00907631"/>
    <w:rsid w:val="00907776"/>
    <w:rsid w:val="00913401"/>
    <w:rsid w:val="00913567"/>
    <w:rsid w:val="009137B6"/>
    <w:rsid w:val="00914E36"/>
    <w:rsid w:val="00915EBA"/>
    <w:rsid w:val="00917093"/>
    <w:rsid w:val="0092030E"/>
    <w:rsid w:val="009217B1"/>
    <w:rsid w:val="00921A42"/>
    <w:rsid w:val="009223BB"/>
    <w:rsid w:val="00922491"/>
    <w:rsid w:val="00923683"/>
    <w:rsid w:val="00923BCF"/>
    <w:rsid w:val="00924D18"/>
    <w:rsid w:val="00925AEC"/>
    <w:rsid w:val="0092751A"/>
    <w:rsid w:val="009305C4"/>
    <w:rsid w:val="00931FAF"/>
    <w:rsid w:val="009360F6"/>
    <w:rsid w:val="009371DC"/>
    <w:rsid w:val="0093759D"/>
    <w:rsid w:val="00940239"/>
    <w:rsid w:val="00942BD6"/>
    <w:rsid w:val="00942DED"/>
    <w:rsid w:val="00944404"/>
    <w:rsid w:val="009452D7"/>
    <w:rsid w:val="00945FD1"/>
    <w:rsid w:val="009461ED"/>
    <w:rsid w:val="00946CCC"/>
    <w:rsid w:val="009503E5"/>
    <w:rsid w:val="00950F71"/>
    <w:rsid w:val="00952F2C"/>
    <w:rsid w:val="009532E3"/>
    <w:rsid w:val="00953615"/>
    <w:rsid w:val="00953BB4"/>
    <w:rsid w:val="00954BAF"/>
    <w:rsid w:val="00955271"/>
    <w:rsid w:val="009560B3"/>
    <w:rsid w:val="00957256"/>
    <w:rsid w:val="0095745E"/>
    <w:rsid w:val="00957CE0"/>
    <w:rsid w:val="0096002E"/>
    <w:rsid w:val="0096039E"/>
    <w:rsid w:val="00961006"/>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7127"/>
    <w:rsid w:val="009A07A6"/>
    <w:rsid w:val="009A0D56"/>
    <w:rsid w:val="009A31B9"/>
    <w:rsid w:val="009A4D4F"/>
    <w:rsid w:val="009A53D8"/>
    <w:rsid w:val="009A569B"/>
    <w:rsid w:val="009A597F"/>
    <w:rsid w:val="009A5DBC"/>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D19"/>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416"/>
    <w:rsid w:val="00A10148"/>
    <w:rsid w:val="00A113FD"/>
    <w:rsid w:val="00A11DDE"/>
    <w:rsid w:val="00A12521"/>
    <w:rsid w:val="00A127A7"/>
    <w:rsid w:val="00A129F4"/>
    <w:rsid w:val="00A136F4"/>
    <w:rsid w:val="00A160D3"/>
    <w:rsid w:val="00A16DC9"/>
    <w:rsid w:val="00A20225"/>
    <w:rsid w:val="00A24269"/>
    <w:rsid w:val="00A243E4"/>
    <w:rsid w:val="00A2593C"/>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1F6F"/>
    <w:rsid w:val="00A4248B"/>
    <w:rsid w:val="00A4376E"/>
    <w:rsid w:val="00A4572B"/>
    <w:rsid w:val="00A46246"/>
    <w:rsid w:val="00A46349"/>
    <w:rsid w:val="00A46D5E"/>
    <w:rsid w:val="00A50847"/>
    <w:rsid w:val="00A512C7"/>
    <w:rsid w:val="00A51A9E"/>
    <w:rsid w:val="00A5387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36D"/>
    <w:rsid w:val="00A63C96"/>
    <w:rsid w:val="00A65805"/>
    <w:rsid w:val="00A66BEE"/>
    <w:rsid w:val="00A671C9"/>
    <w:rsid w:val="00A67DFD"/>
    <w:rsid w:val="00A74D4C"/>
    <w:rsid w:val="00A74F9F"/>
    <w:rsid w:val="00A750B3"/>
    <w:rsid w:val="00A75559"/>
    <w:rsid w:val="00A7623D"/>
    <w:rsid w:val="00A8170C"/>
    <w:rsid w:val="00A824A7"/>
    <w:rsid w:val="00A83644"/>
    <w:rsid w:val="00A83C07"/>
    <w:rsid w:val="00A83F40"/>
    <w:rsid w:val="00A84501"/>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558"/>
    <w:rsid w:val="00AD0CB4"/>
    <w:rsid w:val="00AD1FF2"/>
    <w:rsid w:val="00AD2A21"/>
    <w:rsid w:val="00AD3B43"/>
    <w:rsid w:val="00AD4FF2"/>
    <w:rsid w:val="00AD506C"/>
    <w:rsid w:val="00AD6BE5"/>
    <w:rsid w:val="00AD783E"/>
    <w:rsid w:val="00AD7AF8"/>
    <w:rsid w:val="00AE023C"/>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07584"/>
    <w:rsid w:val="00B105F2"/>
    <w:rsid w:val="00B10991"/>
    <w:rsid w:val="00B12128"/>
    <w:rsid w:val="00B12945"/>
    <w:rsid w:val="00B12C1E"/>
    <w:rsid w:val="00B13437"/>
    <w:rsid w:val="00B155DF"/>
    <w:rsid w:val="00B1570E"/>
    <w:rsid w:val="00B176B9"/>
    <w:rsid w:val="00B17AD5"/>
    <w:rsid w:val="00B17DC8"/>
    <w:rsid w:val="00B17E1E"/>
    <w:rsid w:val="00B20251"/>
    <w:rsid w:val="00B207F1"/>
    <w:rsid w:val="00B20A42"/>
    <w:rsid w:val="00B20BDE"/>
    <w:rsid w:val="00B20C41"/>
    <w:rsid w:val="00B20F1A"/>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145C"/>
    <w:rsid w:val="00B525C0"/>
    <w:rsid w:val="00B52FAB"/>
    <w:rsid w:val="00B5319A"/>
    <w:rsid w:val="00B539F9"/>
    <w:rsid w:val="00B53E56"/>
    <w:rsid w:val="00B546C3"/>
    <w:rsid w:val="00B54BD9"/>
    <w:rsid w:val="00B5503C"/>
    <w:rsid w:val="00B55640"/>
    <w:rsid w:val="00B57107"/>
    <w:rsid w:val="00B57DCE"/>
    <w:rsid w:val="00B60DFB"/>
    <w:rsid w:val="00B619E4"/>
    <w:rsid w:val="00B61D0B"/>
    <w:rsid w:val="00B6316C"/>
    <w:rsid w:val="00B6439A"/>
    <w:rsid w:val="00B6443B"/>
    <w:rsid w:val="00B6517B"/>
    <w:rsid w:val="00B65E71"/>
    <w:rsid w:val="00B66C26"/>
    <w:rsid w:val="00B71FB3"/>
    <w:rsid w:val="00B73492"/>
    <w:rsid w:val="00B7512A"/>
    <w:rsid w:val="00B76548"/>
    <w:rsid w:val="00B76BED"/>
    <w:rsid w:val="00B77A98"/>
    <w:rsid w:val="00B806E6"/>
    <w:rsid w:val="00B82DC1"/>
    <w:rsid w:val="00B835D5"/>
    <w:rsid w:val="00B84028"/>
    <w:rsid w:val="00B84307"/>
    <w:rsid w:val="00B8430D"/>
    <w:rsid w:val="00B85661"/>
    <w:rsid w:val="00B85C8A"/>
    <w:rsid w:val="00B86FBD"/>
    <w:rsid w:val="00B874B2"/>
    <w:rsid w:val="00B91B86"/>
    <w:rsid w:val="00B91C90"/>
    <w:rsid w:val="00B927CA"/>
    <w:rsid w:val="00B928AE"/>
    <w:rsid w:val="00B93CDA"/>
    <w:rsid w:val="00B942E9"/>
    <w:rsid w:val="00B9433A"/>
    <w:rsid w:val="00B948EE"/>
    <w:rsid w:val="00B94B3A"/>
    <w:rsid w:val="00B94BF3"/>
    <w:rsid w:val="00B94F90"/>
    <w:rsid w:val="00B95DC5"/>
    <w:rsid w:val="00B97E34"/>
    <w:rsid w:val="00B97FEF"/>
    <w:rsid w:val="00BA1354"/>
    <w:rsid w:val="00BA1DEE"/>
    <w:rsid w:val="00BA24F8"/>
    <w:rsid w:val="00BA31AA"/>
    <w:rsid w:val="00BA426C"/>
    <w:rsid w:val="00BA45D8"/>
    <w:rsid w:val="00BA5828"/>
    <w:rsid w:val="00BA64B3"/>
    <w:rsid w:val="00BA754A"/>
    <w:rsid w:val="00BA7820"/>
    <w:rsid w:val="00BA794C"/>
    <w:rsid w:val="00BB0A66"/>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D7D34"/>
    <w:rsid w:val="00BE0DE2"/>
    <w:rsid w:val="00BE19EF"/>
    <w:rsid w:val="00BE425B"/>
    <w:rsid w:val="00BE51BB"/>
    <w:rsid w:val="00BE7595"/>
    <w:rsid w:val="00BE77D3"/>
    <w:rsid w:val="00BF0138"/>
    <w:rsid w:val="00BF114B"/>
    <w:rsid w:val="00BF1620"/>
    <w:rsid w:val="00BF1AC3"/>
    <w:rsid w:val="00BF2408"/>
    <w:rsid w:val="00BF373A"/>
    <w:rsid w:val="00BF62D2"/>
    <w:rsid w:val="00BF6706"/>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4DC"/>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37E42"/>
    <w:rsid w:val="00C400B0"/>
    <w:rsid w:val="00C4046B"/>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278"/>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3B6A"/>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1D20"/>
    <w:rsid w:val="00CF2056"/>
    <w:rsid w:val="00CF4471"/>
    <w:rsid w:val="00CF51C0"/>
    <w:rsid w:val="00CF5B2A"/>
    <w:rsid w:val="00CF5F57"/>
    <w:rsid w:val="00CF64A7"/>
    <w:rsid w:val="00CF6730"/>
    <w:rsid w:val="00CF70E5"/>
    <w:rsid w:val="00CF7CEC"/>
    <w:rsid w:val="00D00B0F"/>
    <w:rsid w:val="00D01BF4"/>
    <w:rsid w:val="00D0272C"/>
    <w:rsid w:val="00D03DE5"/>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25C0D"/>
    <w:rsid w:val="00D305F6"/>
    <w:rsid w:val="00D30B25"/>
    <w:rsid w:val="00D31247"/>
    <w:rsid w:val="00D3175A"/>
    <w:rsid w:val="00D31A00"/>
    <w:rsid w:val="00D323E4"/>
    <w:rsid w:val="00D32871"/>
    <w:rsid w:val="00D33881"/>
    <w:rsid w:val="00D366B1"/>
    <w:rsid w:val="00D368F2"/>
    <w:rsid w:val="00D37AE0"/>
    <w:rsid w:val="00D416A8"/>
    <w:rsid w:val="00D4257C"/>
    <w:rsid w:val="00D425AC"/>
    <w:rsid w:val="00D42823"/>
    <w:rsid w:val="00D42D5E"/>
    <w:rsid w:val="00D43F14"/>
    <w:rsid w:val="00D44C18"/>
    <w:rsid w:val="00D4556D"/>
    <w:rsid w:val="00D506C2"/>
    <w:rsid w:val="00D511C6"/>
    <w:rsid w:val="00D5121D"/>
    <w:rsid w:val="00D516AC"/>
    <w:rsid w:val="00D52875"/>
    <w:rsid w:val="00D54050"/>
    <w:rsid w:val="00D54D29"/>
    <w:rsid w:val="00D56AC0"/>
    <w:rsid w:val="00D6081B"/>
    <w:rsid w:val="00D6240A"/>
    <w:rsid w:val="00D63093"/>
    <w:rsid w:val="00D63599"/>
    <w:rsid w:val="00D63EBD"/>
    <w:rsid w:val="00D65CE7"/>
    <w:rsid w:val="00D664C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45FF"/>
    <w:rsid w:val="00DA5B13"/>
    <w:rsid w:val="00DA6917"/>
    <w:rsid w:val="00DA6926"/>
    <w:rsid w:val="00DB0965"/>
    <w:rsid w:val="00DB0E47"/>
    <w:rsid w:val="00DB2BDD"/>
    <w:rsid w:val="00DB4121"/>
    <w:rsid w:val="00DB46C3"/>
    <w:rsid w:val="00DB5742"/>
    <w:rsid w:val="00DB5EDF"/>
    <w:rsid w:val="00DB6C46"/>
    <w:rsid w:val="00DB6CF8"/>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51D4"/>
    <w:rsid w:val="00E063F8"/>
    <w:rsid w:val="00E0770A"/>
    <w:rsid w:val="00E10407"/>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8AB"/>
    <w:rsid w:val="00E32AC9"/>
    <w:rsid w:val="00E354DA"/>
    <w:rsid w:val="00E354F5"/>
    <w:rsid w:val="00E35BCC"/>
    <w:rsid w:val="00E3687E"/>
    <w:rsid w:val="00E40974"/>
    <w:rsid w:val="00E40AAB"/>
    <w:rsid w:val="00E41205"/>
    <w:rsid w:val="00E41F32"/>
    <w:rsid w:val="00E42608"/>
    <w:rsid w:val="00E43536"/>
    <w:rsid w:val="00E43CB6"/>
    <w:rsid w:val="00E43DA3"/>
    <w:rsid w:val="00E44B80"/>
    <w:rsid w:val="00E463BF"/>
    <w:rsid w:val="00E47430"/>
    <w:rsid w:val="00E50212"/>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6AE5"/>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BCC"/>
    <w:rsid w:val="00F02C04"/>
    <w:rsid w:val="00F03AF1"/>
    <w:rsid w:val="00F04BCD"/>
    <w:rsid w:val="00F05A8C"/>
    <w:rsid w:val="00F06211"/>
    <w:rsid w:val="00F10A54"/>
    <w:rsid w:val="00F123D0"/>
    <w:rsid w:val="00F1314C"/>
    <w:rsid w:val="00F13200"/>
    <w:rsid w:val="00F13411"/>
    <w:rsid w:val="00F143BA"/>
    <w:rsid w:val="00F14D98"/>
    <w:rsid w:val="00F2081B"/>
    <w:rsid w:val="00F20A43"/>
    <w:rsid w:val="00F20C51"/>
    <w:rsid w:val="00F21049"/>
    <w:rsid w:val="00F218AE"/>
    <w:rsid w:val="00F22232"/>
    <w:rsid w:val="00F2228E"/>
    <w:rsid w:val="00F22D3C"/>
    <w:rsid w:val="00F23D66"/>
    <w:rsid w:val="00F24DB2"/>
    <w:rsid w:val="00F24E6F"/>
    <w:rsid w:val="00F26069"/>
    <w:rsid w:val="00F26B7E"/>
    <w:rsid w:val="00F27D7D"/>
    <w:rsid w:val="00F3002B"/>
    <w:rsid w:val="00F30BC9"/>
    <w:rsid w:val="00F32D44"/>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2896"/>
    <w:rsid w:val="00F64C45"/>
    <w:rsid w:val="00F6502B"/>
    <w:rsid w:val="00F6612A"/>
    <w:rsid w:val="00F66724"/>
    <w:rsid w:val="00F675E7"/>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ECF"/>
    <w:rsid w:val="00FA7206"/>
    <w:rsid w:val="00FA7EFB"/>
    <w:rsid w:val="00FB0816"/>
    <w:rsid w:val="00FB08C2"/>
    <w:rsid w:val="00FB1735"/>
    <w:rsid w:val="00FB263B"/>
    <w:rsid w:val="00FB3442"/>
    <w:rsid w:val="00FB3DD1"/>
    <w:rsid w:val="00FB51FD"/>
    <w:rsid w:val="00FB5667"/>
    <w:rsid w:val="00FB7A97"/>
    <w:rsid w:val="00FC0E1E"/>
    <w:rsid w:val="00FC1B9B"/>
    <w:rsid w:val="00FC318D"/>
    <w:rsid w:val="00FC36CF"/>
    <w:rsid w:val="00FC40BC"/>
    <w:rsid w:val="00FC41FC"/>
    <w:rsid w:val="00FC4F6E"/>
    <w:rsid w:val="00FC506C"/>
    <w:rsid w:val="00FC578C"/>
    <w:rsid w:val="00FC5A37"/>
    <w:rsid w:val="00FD13EA"/>
    <w:rsid w:val="00FD28FC"/>
    <w:rsid w:val="00FD5EC4"/>
    <w:rsid w:val="00FD7858"/>
    <w:rsid w:val="00FD7A8D"/>
    <w:rsid w:val="00FE1330"/>
    <w:rsid w:val="00FE1CE5"/>
    <w:rsid w:val="00FE2832"/>
    <w:rsid w:val="00FE2D38"/>
    <w:rsid w:val="00FE3929"/>
    <w:rsid w:val="00FE6985"/>
    <w:rsid w:val="00FF0081"/>
    <w:rsid w:val="00FF097B"/>
    <w:rsid w:val="00FF0B6E"/>
    <w:rsid w:val="00FF0CA1"/>
    <w:rsid w:val="00FF1C1B"/>
    <w:rsid w:val="00FF2067"/>
    <w:rsid w:val="00FF36F1"/>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 w:val="22"/>
      <w:szCs w:val="22"/>
      <w:lang w:eastAsia="de-DE"/>
    </w:rPr>
  </w:style>
  <w:style w:type="character" w:customStyle="1" w:styleId="Heading8Char">
    <w:name w:val="Heading 8 Char"/>
    <w:link w:val="Heading8"/>
    <w:rsid w:val="002D6E1A"/>
    <w:rPr>
      <w:i/>
      <w:iCs/>
      <w:sz w:val="22"/>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rPr>
  </w:style>
  <w:style w:type="character" w:customStyle="1" w:styleId="aStyle1Char">
    <w:name w:val="a. Style1 Char"/>
    <w:link w:val="aStyle1"/>
    <w:rsid w:val="000D2D0B"/>
    <w:rPr>
      <w:rFonts w:ascii="Arial" w:hAnsi="Arial"/>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0377815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35106258">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0826679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image" Target="media/image7.emf"/><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B4208E"/>
    <w:rsid w:val="00115F64"/>
    <w:rsid w:val="0022302A"/>
    <w:rsid w:val="002339E9"/>
    <w:rsid w:val="00453C3B"/>
    <w:rsid w:val="004B2C78"/>
    <w:rsid w:val="006A5A0A"/>
    <w:rsid w:val="0079776F"/>
    <w:rsid w:val="008437E4"/>
    <w:rsid w:val="008917E2"/>
    <w:rsid w:val="00953A5F"/>
    <w:rsid w:val="00964FAA"/>
    <w:rsid w:val="009A6324"/>
    <w:rsid w:val="00A862B4"/>
    <w:rsid w:val="00AA7575"/>
    <w:rsid w:val="00AF2479"/>
    <w:rsid w:val="00B4208E"/>
    <w:rsid w:val="00B72F03"/>
    <w:rsid w:val="00C01D12"/>
    <w:rsid w:val="00C453E8"/>
    <w:rsid w:val="00D33745"/>
    <w:rsid w:val="00D43EE0"/>
    <w:rsid w:val="00E7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0648D-D9E2-452E-A566-820A4699883F}">
  <ds:schemaRefs>
    <ds:schemaRef ds:uri="http://schemas.openxmlformats.org/officeDocument/2006/bibliography"/>
  </ds:schemaRefs>
</ds:datastoreItem>
</file>

<file path=customXml/itemProps2.xml><?xml version="1.0" encoding="utf-8"?>
<ds:datastoreItem xmlns:ds="http://schemas.openxmlformats.org/officeDocument/2006/customXml" ds:itemID="{DFB06F1C-C59E-49D3-AB0A-945EDDCD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7040</Words>
  <Characters>36597</Characters>
  <Application>Microsoft Office Word</Application>
  <DocSecurity>12</DocSecurity>
  <Lines>304</Lines>
  <Paragraphs>87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43550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Valentina Cirigliano</cp:lastModifiedBy>
  <cp:revision>2</cp:revision>
  <cp:lastPrinted>2015-02-16T11:58:00Z</cp:lastPrinted>
  <dcterms:created xsi:type="dcterms:W3CDTF">2015-02-19T17:50:00Z</dcterms:created>
  <dcterms:modified xsi:type="dcterms:W3CDTF">2015-02-19T17:50:00Z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