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bookmarkStart w:id="0" w:name="_GoBack"/>
            <w:bookmarkEnd w:id="0"/>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1"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Collegamentoipertestuale"/>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4"/>
      <w:r w:rsidRPr="00295156">
        <w:rPr>
          <w:rFonts w:cs="Georgia"/>
          <w:b/>
          <w:bCs/>
          <w:i/>
          <w:color w:val="000000"/>
          <w:sz w:val="20"/>
          <w:szCs w:val="20"/>
          <w:lang w:eastAsia="en-GB"/>
        </w:rPr>
        <w:t>Publication of responses</w:t>
      </w:r>
      <w:bookmarkEnd w:id="2"/>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3" w:name="_Toc335141335"/>
      <w:r w:rsidRPr="00295156">
        <w:rPr>
          <w:rFonts w:cs="Georgia"/>
          <w:b/>
          <w:bCs/>
          <w:i/>
          <w:color w:val="000000"/>
          <w:sz w:val="20"/>
          <w:szCs w:val="20"/>
          <w:lang w:eastAsia="en-GB"/>
        </w:rPr>
        <w:t>Data protection</w:t>
      </w:r>
      <w:bookmarkEnd w:id="3"/>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Collegamentoipertestuale"/>
            <w:sz w:val="20"/>
            <w:szCs w:val="20"/>
          </w:rPr>
          <w:t>www.esma.europa.eu</w:t>
        </w:r>
      </w:hyperlink>
      <w:r w:rsidRPr="00295156">
        <w:rPr>
          <w:sz w:val="20"/>
          <w:szCs w:val="20"/>
        </w:rPr>
        <w:t xml:space="preserve"> under the heading ‘Disclaimer’.</w:t>
      </w:r>
    </w:p>
    <w:bookmarkEnd w:id="1"/>
    <w:p w:rsidR="00473916" w:rsidRDefault="00473916" w:rsidP="00473916"/>
    <w:p w:rsidR="00473916" w:rsidRPr="00473916" w:rsidRDefault="00473916" w:rsidP="00473916"/>
    <w:p w:rsidR="00473916" w:rsidRPr="0026621B" w:rsidRDefault="00473916" w:rsidP="00473916">
      <w:pPr>
        <w:pStyle w:val="Titolo1"/>
        <w:numPr>
          <w:ilvl w:val="0"/>
          <w:numId w:val="0"/>
        </w:numPr>
        <w:rPr>
          <w:sz w:val="22"/>
          <w:szCs w:val="22"/>
        </w:rPr>
      </w:pPr>
      <w:r w:rsidRPr="0026621B">
        <w:rPr>
          <w:sz w:val="22"/>
          <w:szCs w:val="22"/>
        </w:rPr>
        <w:lastRenderedPageBreak/>
        <w:t>General information about respondent</w:t>
      </w:r>
    </w:p>
    <w:tbl>
      <w:tblPr>
        <w:tblStyle w:val="Grigliatabella"/>
        <w:tblW w:w="0" w:type="auto"/>
        <w:tblLook w:val="04A0" w:firstRow="1" w:lastRow="0" w:firstColumn="1" w:lastColumn="0" w:noHBand="0" w:noVBand="1"/>
      </w:tblPr>
      <w:tblGrid>
        <w:gridCol w:w="3510"/>
        <w:gridCol w:w="6118"/>
      </w:tblGrid>
      <w:tr w:rsidR="00473916" w:rsidRPr="0026621B" w:rsidTr="00A71049">
        <w:tc>
          <w:tcPr>
            <w:tcW w:w="3510" w:type="dxa"/>
          </w:tcPr>
          <w:p w:rsidR="00473916" w:rsidRPr="0026621B" w:rsidRDefault="00473916" w:rsidP="00A71049">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B64F96" w:rsidP="00A71049">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518692794" w:edGrp="everyone"/>
                <w:r w:rsidR="00AB431C">
                  <w:rPr>
                    <w:rFonts w:cs="Arial"/>
                    <w:szCs w:val="22"/>
                  </w:rPr>
                  <w:t>Yes</w:t>
                </w:r>
                <w:permEnd w:id="1518692794"/>
              </w:sdtContent>
            </w:sdt>
          </w:p>
        </w:tc>
      </w:tr>
      <w:tr w:rsidR="00473916" w:rsidRPr="0026621B" w:rsidTr="00A71049">
        <w:tc>
          <w:tcPr>
            <w:tcW w:w="3510" w:type="dxa"/>
          </w:tcPr>
          <w:p w:rsidR="00473916" w:rsidRPr="0026621B" w:rsidRDefault="00473916" w:rsidP="00A71049">
            <w:pPr>
              <w:rPr>
                <w:rFonts w:cs="Arial"/>
                <w:szCs w:val="22"/>
              </w:rPr>
            </w:pPr>
            <w:r w:rsidRPr="0026621B">
              <w:rPr>
                <w:rFonts w:cs="Arial"/>
                <w:szCs w:val="22"/>
              </w:rPr>
              <w:t>Activity:</w:t>
            </w:r>
          </w:p>
        </w:tc>
        <w:tc>
          <w:tcPr>
            <w:tcW w:w="6118" w:type="dxa"/>
          </w:tcPr>
          <w:p w:rsidR="00473916" w:rsidRPr="0026621B" w:rsidRDefault="00B64F96" w:rsidP="00A71049">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2114267935" w:edGrp="everyone"/>
                <w:r w:rsidR="00AB431C">
                  <w:rPr>
                    <w:rFonts w:cs="Arial"/>
                    <w:szCs w:val="22"/>
                  </w:rPr>
                  <w:t>Other</w:t>
                </w:r>
                <w:permEnd w:id="2114267935"/>
              </w:sdtContent>
            </w:sdt>
          </w:p>
        </w:tc>
      </w:tr>
      <w:tr w:rsidR="00473916" w:rsidRPr="0026621B" w:rsidTr="00A71049">
        <w:tc>
          <w:tcPr>
            <w:tcW w:w="3510" w:type="dxa"/>
          </w:tcPr>
          <w:p w:rsidR="00473916" w:rsidRPr="0026621B" w:rsidRDefault="00473916" w:rsidP="00A71049">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438335726" w:edGrp="everyone" w:displacedByCustomXml="prev"/>
            <w:tc>
              <w:tcPr>
                <w:tcW w:w="6118" w:type="dxa"/>
              </w:tcPr>
              <w:p w:rsidR="00473916" w:rsidRPr="0026621B" w:rsidRDefault="00AB431C" w:rsidP="00A71049">
                <w:pPr>
                  <w:rPr>
                    <w:rFonts w:cs="Arial"/>
                    <w:szCs w:val="22"/>
                  </w:rPr>
                </w:pPr>
                <w:r>
                  <w:rPr>
                    <w:rFonts w:cs="Arial"/>
                    <w:szCs w:val="22"/>
                  </w:rPr>
                  <w:t>Italy</w:t>
                </w:r>
              </w:p>
            </w:tc>
            <w:permEnd w:id="1438335726" w:displacedByCustomXml="next"/>
          </w:sdtContent>
        </w:sdt>
      </w:tr>
    </w:tbl>
    <w:p w:rsidR="007F4106" w:rsidRDefault="007F4106">
      <w:pPr>
        <w:rPr>
          <w:b/>
        </w:rPr>
      </w:pPr>
      <w:r>
        <w:br w:type="page"/>
      </w:r>
    </w:p>
    <w:p w:rsidR="00D12AFD" w:rsidRDefault="00D12AFD" w:rsidP="00965B03">
      <w:pPr>
        <w:pStyle w:val="Titolo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Titolo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Titolo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D12AFD" w:rsidP="00D12AFD">
      <w:permStart w:id="1033854476" w:edGrp="everyone"/>
      <w:r>
        <w:t>TYPE YOUR TEXT HERE</w:t>
      </w:r>
    </w:p>
    <w:permEnd w:id="1033854476"/>
    <w:p w:rsidR="00D12AFD" w:rsidRDefault="00D12AFD" w:rsidP="00D12AFD">
      <w:r>
        <w:t>&lt;ESMA_QUESTION_TS_CSDR_1&gt;</w:t>
      </w:r>
    </w:p>
    <w:p w:rsidR="00D12AFD" w:rsidRDefault="00D12AFD" w:rsidP="00B874B2">
      <w:pPr>
        <w:pStyle w:val="Titolo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Titolo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124278" w:rsidRDefault="00124278" w:rsidP="00124278">
      <w:permStart w:id="1690384356" w:edGrp="everyone"/>
      <w:r>
        <w:t>TYPE YOUR TEXT HERE</w:t>
      </w:r>
    </w:p>
    <w:permEnd w:id="1690384356"/>
    <w:p w:rsidR="00D12AFD" w:rsidRDefault="00D12AFD" w:rsidP="00D12AFD">
      <w:r>
        <w:t>&lt;ESMA_QUESTION_TS_CSDR_2&gt;</w:t>
      </w:r>
    </w:p>
    <w:p w:rsidR="00D12AFD" w:rsidRDefault="00D12AFD" w:rsidP="00965B03">
      <w:pPr>
        <w:pStyle w:val="Titolo5"/>
        <w:ind w:left="567" w:hanging="567"/>
      </w:pPr>
      <w:r w:rsidRPr="002C4F00">
        <w:t xml:space="preserve">What are your views on the proposed approach under Article 3(11) of the draft RTS included in Chapter II of Annex I? </w:t>
      </w:r>
    </w:p>
    <w:p w:rsidR="00D12AFD" w:rsidRDefault="00D12AFD" w:rsidP="00BA1DEE">
      <w:pPr>
        <w:pStyle w:val="Titolo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Titolo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57089612" w:edGrp="everyone"/>
      <w:r>
        <w:t>TYPE YOUR TEXT HERE</w:t>
      </w:r>
    </w:p>
    <w:permEnd w:id="57089612"/>
    <w:p w:rsidR="00D12AFD" w:rsidRDefault="00D12AFD" w:rsidP="00D12AFD">
      <w:r>
        <w:t>&lt;ESMA_QUESTION_TS_CSDR_3&gt;</w:t>
      </w:r>
    </w:p>
    <w:p w:rsidR="00D12AFD" w:rsidRPr="002C4F00" w:rsidRDefault="00D12AFD" w:rsidP="00965B03">
      <w:pPr>
        <w:pStyle w:val="Titolo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7D71F0" w:rsidRDefault="007D71F0" w:rsidP="00B64F96">
      <w:pPr>
        <w:jc w:val="both"/>
      </w:pPr>
      <w:permStart w:id="2034383454" w:edGrp="everyone"/>
      <w:r>
        <w:t>We are largely positive on the proposed standard but would like to raise the following comment</w:t>
      </w:r>
      <w:r w:rsidR="004B0CBF">
        <w:t>s</w:t>
      </w:r>
      <w:r>
        <w:t>.</w:t>
      </w:r>
    </w:p>
    <w:p w:rsidR="007D71F0" w:rsidRDefault="007D71F0" w:rsidP="00D12AFD"/>
    <w:p w:rsidR="007D71F0" w:rsidRDefault="00A71049" w:rsidP="00B64F96">
      <w:pPr>
        <w:jc w:val="both"/>
      </w:pPr>
      <w:r>
        <w:t>As clearly stated in the Consultation paper, the “transaction type” field is mandatory in the T2S messages but it is</w:t>
      </w:r>
      <w:r w:rsidR="007D71F0">
        <w:t xml:space="preserve"> not a mandatory matching field</w:t>
      </w:r>
      <w:r>
        <w:t xml:space="preserve">. Although we do acknowledge that </w:t>
      </w:r>
      <w:r w:rsidR="007D71F0">
        <w:t>a</w:t>
      </w:r>
      <w:r>
        <w:t xml:space="preserve"> proper u</w:t>
      </w:r>
      <w:r w:rsidR="007D71F0">
        <w:t xml:space="preserve">se of this field may be useful for the purpose of the settlement discipline, today there is no international standard and market participants will be required to adapt their systems to manage an additional matching field with the timing and costs that this entails. </w:t>
      </w:r>
    </w:p>
    <w:p w:rsidR="007D71F0" w:rsidRDefault="007D71F0" w:rsidP="00D12AFD"/>
    <w:p w:rsidR="004B0CBF" w:rsidRDefault="007D71F0" w:rsidP="00B64F96">
      <w:pPr>
        <w:jc w:val="both"/>
      </w:pPr>
      <w:r>
        <w:t xml:space="preserve">Further, the implementation of the “transaction type” field </w:t>
      </w:r>
      <w:r w:rsidR="00FD6C7A">
        <w:t xml:space="preserve">will </w:t>
      </w:r>
      <w:r>
        <w:t xml:space="preserve">not necessarily </w:t>
      </w:r>
      <w:r w:rsidR="00FD6C7A">
        <w:t xml:space="preserve">allow to </w:t>
      </w:r>
      <w:r>
        <w:t>identif</w:t>
      </w:r>
      <w:r w:rsidR="004B0CBF">
        <w:t xml:space="preserve">y </w:t>
      </w:r>
      <w:r w:rsidR="00FD6C7A">
        <w:t xml:space="preserve">the different types of trades with the aim, for instance, to exclude some of them from the application of the penalties of fails (e.g. short term repos). In case of CCP-guaranteed trades, in fact, only one net balance </w:t>
      </w:r>
      <w:r w:rsidR="00010316">
        <w:t xml:space="preserve">is generated and submitted to the settlement system </w:t>
      </w:r>
      <w:r w:rsidR="00FD6C7A">
        <w:t>for each financial instr</w:t>
      </w:r>
      <w:r w:rsidR="00FD6C7A">
        <w:t>u</w:t>
      </w:r>
      <w:r w:rsidR="00010316">
        <w:lastRenderedPageBreak/>
        <w:t xml:space="preserve">ment and </w:t>
      </w:r>
      <w:r w:rsidR="00FD6C7A">
        <w:t>settlement date regardless of the underlying trades</w:t>
      </w:r>
      <w:r w:rsidR="00010316">
        <w:t xml:space="preserve"> (outright cash trades, short and long term repos, et</w:t>
      </w:r>
      <w:r w:rsidR="00AB431C">
        <w:t>c</w:t>
      </w:r>
      <w:r w:rsidR="00010316">
        <w:t>.)</w:t>
      </w:r>
      <w:r w:rsidR="00FD6C7A">
        <w:t>. Before making any change to this post-trade workflow a more detailed analysis of the implications in terms of risk management and settlement efficiency will be nece</w:t>
      </w:r>
      <w:r w:rsidR="00FD6C7A">
        <w:t>s</w:t>
      </w:r>
      <w:r w:rsidR="004B0CBF">
        <w:t>sary.</w:t>
      </w:r>
    </w:p>
    <w:p w:rsidR="001A50AD" w:rsidRDefault="001A50AD" w:rsidP="00D12AFD"/>
    <w:p w:rsidR="00D35689" w:rsidRDefault="001A50AD" w:rsidP="00B64F96">
      <w:pPr>
        <w:jc w:val="both"/>
      </w:pPr>
      <w:r>
        <w:t>For the responsibility profile of the settlement agent, please refer to our answer to question 11.</w:t>
      </w:r>
    </w:p>
    <w:permEnd w:id="2034383454"/>
    <w:p w:rsidR="00D12AFD" w:rsidRDefault="00D12AFD" w:rsidP="00D12AFD">
      <w:r>
        <w:t>&lt;ESMA_QUESTION_TS_CSDR_4&gt;</w:t>
      </w:r>
    </w:p>
    <w:p w:rsidR="00D12AFD" w:rsidRPr="002C4F00" w:rsidRDefault="00D12AFD" w:rsidP="00965B03">
      <w:pPr>
        <w:pStyle w:val="Titolo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24278" w:rsidRDefault="00124278" w:rsidP="00124278">
      <w:permStart w:id="201537923" w:edGrp="everyone"/>
      <w:r>
        <w:t>TYPE YOUR TEXT HERE</w:t>
      </w:r>
    </w:p>
    <w:permEnd w:id="201537923"/>
    <w:p w:rsidR="00D12AFD" w:rsidRDefault="00D12AFD" w:rsidP="00D12AFD">
      <w:r>
        <w:t>&lt;ESMA_QUESTION_TS_CSDR_5&gt;</w:t>
      </w:r>
    </w:p>
    <w:p w:rsidR="00D12AFD" w:rsidRPr="002C4F00" w:rsidRDefault="00D12AFD" w:rsidP="00965B03">
      <w:pPr>
        <w:pStyle w:val="Titolo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124278" w:rsidRDefault="00124278" w:rsidP="00124278">
      <w:permStart w:id="757298564" w:edGrp="everyone"/>
      <w:r>
        <w:t>TYPE YOUR TEXT HERE</w:t>
      </w:r>
    </w:p>
    <w:permEnd w:id="757298564"/>
    <w:p w:rsidR="00D12AFD" w:rsidRDefault="00D12AFD" w:rsidP="00D12AFD">
      <w:r>
        <w:t>&lt;ESMA_QUESTION_TS_CSDR_6&gt;</w:t>
      </w:r>
    </w:p>
    <w:p w:rsidR="00D12AFD" w:rsidRDefault="00D12AFD" w:rsidP="00965B03">
      <w:pPr>
        <w:pStyle w:val="Titolo5"/>
        <w:ind w:left="567" w:hanging="567"/>
      </w:pPr>
      <w:r w:rsidRPr="002C4F00">
        <w:t>What are your views on the proposed draft RTS related to the buy-in process?</w:t>
      </w:r>
    </w:p>
    <w:p w:rsidR="00D12AFD" w:rsidRDefault="00D12AFD" w:rsidP="00BA1DEE">
      <w:pPr>
        <w:pStyle w:val="Titolo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Titolo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F50296" w:rsidRPr="007B5D87" w:rsidRDefault="00D35689" w:rsidP="005D72E1">
      <w:pPr>
        <w:autoSpaceDE w:val="0"/>
        <w:autoSpaceDN w:val="0"/>
        <w:adjustRightInd w:val="0"/>
        <w:jc w:val="both"/>
        <w:rPr>
          <w:b/>
        </w:rPr>
      </w:pPr>
      <w:permStart w:id="1149129558" w:edGrp="everyone"/>
      <w:r>
        <w:t>As general comment, the buy-in rules should be consistent and coherent with the other rules for handing corporate actions on pending trades (i.e. buyer protection) that are currently being defined and that will be applied as of the transition to T2S.</w:t>
      </w:r>
      <w:r w:rsidRPr="00010316">
        <w:rPr>
          <w:b/>
        </w:rPr>
        <w:t xml:space="preserve"> </w:t>
      </w:r>
      <w:r w:rsidR="00F50296" w:rsidRPr="007B5D87">
        <w:t>More precisely we need to</w:t>
      </w:r>
      <w:r w:rsidR="00F60BC5" w:rsidRPr="007B5D87">
        <w:t xml:space="preserve"> raise</w:t>
      </w:r>
      <w:r w:rsidR="00F50296" w:rsidRPr="007B5D87">
        <w:t xml:space="preserve"> ESMA</w:t>
      </w:r>
      <w:r w:rsidR="00F60BC5" w:rsidRPr="007B5D87">
        <w:t>’s</w:t>
      </w:r>
      <w:r w:rsidR="00F50296" w:rsidRPr="007B5D87">
        <w:t xml:space="preserve"> attention </w:t>
      </w:r>
      <w:r w:rsidR="00F60BC5" w:rsidRPr="007B5D87">
        <w:t xml:space="preserve">on </w:t>
      </w:r>
      <w:r w:rsidR="00F50296" w:rsidRPr="007B5D87">
        <w:t xml:space="preserve">the need to stop the buy in settlement on </w:t>
      </w:r>
      <w:r w:rsidR="001815EF">
        <w:t xml:space="preserve">the day of the </w:t>
      </w:r>
      <w:r w:rsidR="00F50296" w:rsidRPr="007B5D87">
        <w:t>buyer protection deadline so that the buyer can at least benefit of t</w:t>
      </w:r>
      <w:r w:rsidR="00F60BC5" w:rsidRPr="007B5D87">
        <w:t>he buyer protection opportunity</w:t>
      </w:r>
      <w:r w:rsidR="00F50296" w:rsidRPr="007B5D87">
        <w:t xml:space="preserve">. This result has to consider the possibility to cancel the instruction of </w:t>
      </w:r>
      <w:r w:rsidR="001815EF">
        <w:t xml:space="preserve">the </w:t>
      </w:r>
      <w:r w:rsidR="00F50296" w:rsidRPr="007B5D87">
        <w:t>buy in settlement on buyer protection deadline.</w:t>
      </w:r>
    </w:p>
    <w:p w:rsidR="00D35689" w:rsidRPr="00010316" w:rsidRDefault="00D35689">
      <w:pPr>
        <w:autoSpaceDE w:val="0"/>
        <w:autoSpaceDN w:val="0"/>
        <w:adjustRightInd w:val="0"/>
        <w:rPr>
          <w:b/>
        </w:rPr>
      </w:pPr>
    </w:p>
    <w:p w:rsidR="00010316" w:rsidRDefault="009B6F86" w:rsidP="005D72E1">
      <w:pPr>
        <w:autoSpaceDE w:val="0"/>
        <w:autoSpaceDN w:val="0"/>
        <w:adjustRightInd w:val="0"/>
        <w:jc w:val="both"/>
      </w:pPr>
      <w:r>
        <w:t xml:space="preserve">With regard to the application of partial settlement at the end of the extension period, we fully support the principle when the agent banks’ clients settle through a </w:t>
      </w:r>
      <w:r w:rsidRPr="00010316">
        <w:rPr>
          <w:u w:val="single"/>
        </w:rPr>
        <w:t>segregated account</w:t>
      </w:r>
      <w:r>
        <w:t xml:space="preserve"> at the CSD. </w:t>
      </w:r>
      <w:r w:rsidR="00010316">
        <w:t>This is made possible by T2S, which allows automatic partial settlement unless trade counterparties opt-out.</w:t>
      </w:r>
    </w:p>
    <w:p w:rsidR="00010316" w:rsidRDefault="00010316">
      <w:pPr>
        <w:autoSpaceDE w:val="0"/>
        <w:autoSpaceDN w:val="0"/>
        <w:adjustRightInd w:val="0"/>
      </w:pPr>
    </w:p>
    <w:p w:rsidR="00A706E8" w:rsidRDefault="009B6F86" w:rsidP="005D72E1">
      <w:pPr>
        <w:autoSpaceDE w:val="0"/>
        <w:autoSpaceDN w:val="0"/>
        <w:adjustRightInd w:val="0"/>
        <w:jc w:val="both"/>
      </w:pPr>
      <w:r>
        <w:t xml:space="preserve">However, when settlement takes place on an </w:t>
      </w:r>
      <w:r w:rsidRPr="00726120">
        <w:rPr>
          <w:u w:val="single"/>
        </w:rPr>
        <w:t>omnibus ac</w:t>
      </w:r>
      <w:r w:rsidR="00010316" w:rsidRPr="00726120">
        <w:rPr>
          <w:u w:val="single"/>
        </w:rPr>
        <w:t>count</w:t>
      </w:r>
      <w:r>
        <w:t xml:space="preserve"> and based on the current design of T2S</w:t>
      </w:r>
      <w:r w:rsidRPr="009B6F86">
        <w:t xml:space="preserve">, </w:t>
      </w:r>
      <w:r w:rsidR="00726120">
        <w:t xml:space="preserve">participants cannot rely on T2S to apply automatically </w:t>
      </w:r>
      <w:r w:rsidRPr="009B6F86">
        <w:t xml:space="preserve">partial settlement </w:t>
      </w:r>
      <w:r w:rsidR="00726120">
        <w:t xml:space="preserve">as any trade released for settlement </w:t>
      </w:r>
      <w:r w:rsidR="002953C3">
        <w:t>is</w:t>
      </w:r>
      <w:r w:rsidRPr="009B6F86">
        <w:t xml:space="preserve"> </w:t>
      </w:r>
      <w:r>
        <w:t xml:space="preserve">likely to </w:t>
      </w:r>
      <w:r w:rsidRPr="009B6F86">
        <w:t xml:space="preserve">result in </w:t>
      </w:r>
      <w:r>
        <w:t>“</w:t>
      </w:r>
      <w:r w:rsidRPr="009B6F86">
        <w:t>stock poaching</w:t>
      </w:r>
      <w:r>
        <w:t>”</w:t>
      </w:r>
      <w:r w:rsidRPr="009B6F86">
        <w:t xml:space="preserve"> </w:t>
      </w:r>
      <w:r>
        <w:t xml:space="preserve">(i.e. assets belonging to one or more clients of the agent </w:t>
      </w:r>
      <w:r w:rsidR="00A706E8">
        <w:t xml:space="preserve">are </w:t>
      </w:r>
      <w:r>
        <w:t>used to settle a trade of another client)</w:t>
      </w:r>
      <w:r w:rsidR="00A706E8">
        <w:t>.</w:t>
      </w:r>
    </w:p>
    <w:p w:rsidR="009B6F86" w:rsidRPr="009B6F86" w:rsidRDefault="009B6F86">
      <w:pPr>
        <w:autoSpaceDE w:val="0"/>
        <w:autoSpaceDN w:val="0"/>
        <w:adjustRightInd w:val="0"/>
      </w:pPr>
      <w:r>
        <w:t xml:space="preserve"> </w:t>
      </w:r>
    </w:p>
    <w:p w:rsidR="00B9360A" w:rsidRDefault="00A706E8" w:rsidP="005D72E1">
      <w:pPr>
        <w:jc w:val="both"/>
      </w:pPr>
      <w:r>
        <w:t>On the basis of the above,</w:t>
      </w:r>
      <w:r w:rsidR="009B6F86" w:rsidRPr="009B6F86">
        <w:t xml:space="preserve"> the delivering party must be given the </w:t>
      </w:r>
      <w:r>
        <w:t>poss</w:t>
      </w:r>
      <w:r w:rsidR="00726120">
        <w:t xml:space="preserve">ibility to agree the partial </w:t>
      </w:r>
      <w:r w:rsidR="009B6F86" w:rsidRPr="009B6F86">
        <w:t>with the receiving party</w:t>
      </w:r>
      <w:r>
        <w:t xml:space="preserve"> on a bilateral basis and through a well-defined procedure</w:t>
      </w:r>
      <w:r w:rsidR="009B6F86" w:rsidRPr="009B6F86">
        <w:t xml:space="preserve">. </w:t>
      </w:r>
      <w:r>
        <w:t>If</w:t>
      </w:r>
      <w:r w:rsidR="009B6F86" w:rsidRPr="009B6F86">
        <w:t xml:space="preserve"> the </w:t>
      </w:r>
      <w:r>
        <w:t xml:space="preserve">receiving </w:t>
      </w:r>
      <w:r>
        <w:lastRenderedPageBreak/>
        <w:t>entity</w:t>
      </w:r>
      <w:r w:rsidR="009B6F86" w:rsidRPr="009B6F86">
        <w:t xml:space="preserve"> refuse</w:t>
      </w:r>
      <w:r w:rsidR="00726120">
        <w:t>s</w:t>
      </w:r>
      <w:r w:rsidR="009B6F86" w:rsidRPr="009B6F86">
        <w:t xml:space="preserve"> </w:t>
      </w:r>
      <w:r>
        <w:t xml:space="preserve">or </w:t>
      </w:r>
      <w:r w:rsidR="00726120">
        <w:t xml:space="preserve">does not do </w:t>
      </w:r>
      <w:r w:rsidR="009B6F86" w:rsidRPr="009B6F86">
        <w:t>what is necessary to accep</w:t>
      </w:r>
      <w:r>
        <w:t>t the partial,</w:t>
      </w:r>
      <w:r w:rsidR="009B6F86" w:rsidRPr="009B6F86">
        <w:t xml:space="preserve"> the delivering party </w:t>
      </w:r>
      <w:r>
        <w:t xml:space="preserve">will have to </w:t>
      </w:r>
      <w:r w:rsidR="009B6F86" w:rsidRPr="009B6F86">
        <w:t xml:space="preserve">be </w:t>
      </w:r>
      <w:r w:rsidR="00726120">
        <w:t xml:space="preserve">penalised and/or </w:t>
      </w:r>
      <w:r w:rsidR="009B6F86" w:rsidRPr="009B6F86">
        <w:t>b</w:t>
      </w:r>
      <w:r>
        <w:t>o</w:t>
      </w:r>
      <w:r w:rsidR="009B6F86" w:rsidRPr="009B6F86">
        <w:t>u</w:t>
      </w:r>
      <w:r>
        <w:t>ght</w:t>
      </w:r>
      <w:r w:rsidR="009B6F86" w:rsidRPr="009B6F86">
        <w:t xml:space="preserve">-in only </w:t>
      </w:r>
      <w:r>
        <w:t>for</w:t>
      </w:r>
      <w:r w:rsidR="009B6F86" w:rsidRPr="009B6F86">
        <w:t xml:space="preserve"> the missing quantity of stock (e.g. failing delivery of 100, available position of 80, partial settlement of 80 refused by </w:t>
      </w:r>
      <w:r>
        <w:t>the receiving party --&gt; the buy-</w:t>
      </w:r>
      <w:r w:rsidR="009B6F86" w:rsidRPr="009B6F86">
        <w:t>in should be activated only for 20</w:t>
      </w:r>
      <w:r w:rsidR="00726120">
        <w:t>)</w:t>
      </w:r>
      <w:r>
        <w:t>.</w:t>
      </w:r>
    </w:p>
    <w:p w:rsidR="00B9360A" w:rsidRDefault="00B9360A" w:rsidP="00D12AFD"/>
    <w:p w:rsidR="00D12AFD" w:rsidRDefault="00B9360A" w:rsidP="00D12AFD">
      <w:r>
        <w:t>For the responsibility profile of the settlement agent, please refer to our answer to question</w:t>
      </w:r>
      <w:r w:rsidR="005D72E1">
        <w:t xml:space="preserve"> </w:t>
      </w:r>
      <w:r w:rsidR="001A50AD">
        <w:t>11</w:t>
      </w:r>
      <w:r>
        <w:t>.</w:t>
      </w:r>
      <w:r w:rsidR="009B6F86">
        <w:rPr>
          <w:rFonts w:ascii="Helv" w:hAnsi="Helv" w:cs="Helv"/>
          <w:color w:val="000000"/>
          <w:sz w:val="20"/>
          <w:szCs w:val="20"/>
          <w:lang w:eastAsia="en-GB"/>
        </w:rPr>
        <w:t>)</w:t>
      </w:r>
      <w:permEnd w:id="1149129558"/>
      <w:r w:rsidR="00D12AFD">
        <w:t>&lt;ESMA_QUESTION_TS_CSDR_7&gt;</w:t>
      </w:r>
    </w:p>
    <w:p w:rsidR="00D12AFD" w:rsidRPr="002C4F00" w:rsidRDefault="00D12AFD" w:rsidP="00965B03">
      <w:pPr>
        <w:pStyle w:val="Titolo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124278" w:rsidP="00124278">
      <w:permStart w:id="1744919400" w:edGrp="everyone"/>
      <w:r>
        <w:t>TYPE YOUR TEXT HERE</w:t>
      </w:r>
    </w:p>
    <w:permEnd w:id="1744919400"/>
    <w:p w:rsidR="00D12AFD" w:rsidRDefault="00D12AFD" w:rsidP="00D12AFD">
      <w:r>
        <w:t>&lt;ESMA_QUESTION_TS_CSDR_8&gt;</w:t>
      </w:r>
    </w:p>
    <w:p w:rsidR="00D12AFD" w:rsidRPr="002C4F00" w:rsidRDefault="00D12AFD" w:rsidP="00965B03">
      <w:pPr>
        <w:pStyle w:val="Titolo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D35689" w:rsidRDefault="00D35689" w:rsidP="005D72E1">
      <w:pPr>
        <w:jc w:val="both"/>
      </w:pPr>
      <w:permStart w:id="1245334474" w:edGrp="everyone"/>
      <w:r>
        <w:t xml:space="preserve">As clearly stated in the Consultation paper, the “transaction type” field is mandatory in the T2S messages but it is not a mandatory matching field. Although we do acknowledge that a proper use of this field may be useful for the purpose of the settlement discipline, today there is no international standard and market participants will be required to adapt their systems to manage an additional matching field with the timing and costs that this entails. </w:t>
      </w:r>
    </w:p>
    <w:p w:rsidR="00D35689" w:rsidRDefault="00D35689" w:rsidP="00D35689"/>
    <w:p w:rsidR="00D35689" w:rsidRDefault="00D35689" w:rsidP="005D72E1">
      <w:pPr>
        <w:jc w:val="both"/>
      </w:pPr>
      <w:r>
        <w:t>Further, the implementation of the “transaction type” field will not necessarily allow to identify the different types of trades with the aim, for instance, to exclude some of them from the application of the penalties of fails (e.g. short term repos). In case of CCP-guaranteed trades, in fact, only one net balance for each financial instrument and trade/settlement date regardless of the unde</w:t>
      </w:r>
      <w:r>
        <w:t>r</w:t>
      </w:r>
      <w:r>
        <w:t>lying trades. Before making any change to this post-trade workflow a more detailed analysis of the implications in terms of risk management and settlement efficiency will be necessary.</w:t>
      </w:r>
    </w:p>
    <w:p w:rsidR="00124278" w:rsidRDefault="00124278" w:rsidP="00124278"/>
    <w:p w:rsidR="00D35689" w:rsidRDefault="0096514A" w:rsidP="005D72E1">
      <w:pPr>
        <w:jc w:val="both"/>
      </w:pPr>
      <w:r>
        <w:t xml:space="preserve">With regard to trades </w:t>
      </w:r>
      <w:r w:rsidR="00D35689">
        <w:t>that are exempt from the buy-in</w:t>
      </w:r>
      <w:r>
        <w:t>, “open” loans or repo should be included in this category as the settlement date of the return leg of the trade is unknown when the trade is executed.</w:t>
      </w:r>
      <w:r w:rsidR="00D35689">
        <w:t xml:space="preserve"> </w:t>
      </w:r>
    </w:p>
    <w:p w:rsidR="00B9360A" w:rsidRDefault="00B9360A" w:rsidP="00124278"/>
    <w:p w:rsidR="00B9360A" w:rsidRDefault="00B9360A" w:rsidP="005D72E1">
      <w:pPr>
        <w:jc w:val="both"/>
      </w:pPr>
      <w:r>
        <w:t xml:space="preserve">For the responsibility profile of the settlement agent, please refer to our answer to question </w:t>
      </w:r>
      <w:r w:rsidR="00C0140F">
        <w:t>11</w:t>
      </w:r>
      <w:r>
        <w:t>.</w:t>
      </w:r>
    </w:p>
    <w:permEnd w:id="1245334474"/>
    <w:p w:rsidR="00D12AFD" w:rsidRDefault="00D12AFD" w:rsidP="00D12AFD">
      <w:r>
        <w:t>&lt;ESMA_QUESTION_TS_CSDR_9&gt;</w:t>
      </w:r>
    </w:p>
    <w:p w:rsidR="00D12AFD" w:rsidRPr="002C4F00" w:rsidRDefault="00D12AFD" w:rsidP="00965B03">
      <w:pPr>
        <w:pStyle w:val="Titolo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124278" w:rsidRDefault="00124278" w:rsidP="00124278">
      <w:permStart w:id="1971740914" w:edGrp="everyone"/>
      <w:r>
        <w:t>TYPE YOUR TEXT HERE</w:t>
      </w:r>
    </w:p>
    <w:permEnd w:id="1971740914"/>
    <w:p w:rsidR="00D12AFD" w:rsidRDefault="00D12AFD" w:rsidP="00D12AFD">
      <w:r>
        <w:t>&lt;ESMA_QUESTION_TS_CSDR_10&gt;</w:t>
      </w:r>
    </w:p>
    <w:p w:rsidR="00D12AFD" w:rsidRPr="002C4F00" w:rsidRDefault="00D12AFD" w:rsidP="00965B03">
      <w:pPr>
        <w:pStyle w:val="Titolo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A50AD" w:rsidRDefault="001A50AD" w:rsidP="005D72E1">
      <w:pPr>
        <w:autoSpaceDE w:val="0"/>
        <w:autoSpaceDN w:val="0"/>
        <w:adjustRightInd w:val="0"/>
        <w:jc w:val="both"/>
      </w:pPr>
      <w:permStart w:id="1893364532" w:edGrp="everyone"/>
      <w:r>
        <w:t xml:space="preserve">A fundamental point for agent banks is to clarify their role and responsibilities with respect to penalties on fails and buy-in. </w:t>
      </w:r>
      <w:r w:rsidRPr="0096514A">
        <w:t xml:space="preserve">We </w:t>
      </w:r>
      <w:r>
        <w:t>do acknowledge that the agent banks are the</w:t>
      </w:r>
      <w:r w:rsidRPr="0096514A">
        <w:t xml:space="preserve"> CSDs' contrac</w:t>
      </w:r>
      <w:r w:rsidRPr="0096514A">
        <w:t>t</w:t>
      </w:r>
      <w:r w:rsidRPr="0096514A">
        <w:lastRenderedPageBreak/>
        <w:t xml:space="preserve">ing parties </w:t>
      </w:r>
      <w:r w:rsidRPr="001A50AD">
        <w:t>and consequently can</w:t>
      </w:r>
      <w:r w:rsidRPr="0096514A">
        <w:t xml:space="preserve"> be easily identified. Nonetheless, when it comes to attributing responsibiliti</w:t>
      </w:r>
      <w:r>
        <w:t xml:space="preserve">es for settlement fails and buy-ins, the CSD members </w:t>
      </w:r>
      <w:r w:rsidRPr="0096514A">
        <w:t xml:space="preserve">cannot be held liable for fails generated by their clients. </w:t>
      </w:r>
    </w:p>
    <w:p w:rsidR="001A50AD" w:rsidRPr="0096514A" w:rsidRDefault="001A50AD" w:rsidP="001A50AD">
      <w:pPr>
        <w:autoSpaceDE w:val="0"/>
        <w:autoSpaceDN w:val="0"/>
        <w:adjustRightInd w:val="0"/>
      </w:pPr>
    </w:p>
    <w:p w:rsidR="001A50AD" w:rsidRPr="0096514A" w:rsidRDefault="001A50AD" w:rsidP="005D72E1">
      <w:pPr>
        <w:autoSpaceDE w:val="0"/>
        <w:autoSpaceDN w:val="0"/>
        <w:adjustRightInd w:val="0"/>
        <w:jc w:val="both"/>
      </w:pPr>
      <w:r w:rsidRPr="001815EF">
        <w:t>This is relevant also when it comes to the identification of the 10 participants that fail to deliver on a "relevant and systematic" basis and the potential subsequent actions. Indeed</w:t>
      </w:r>
      <w:r w:rsidRPr="001A50AD">
        <w:t>, it</w:t>
      </w:r>
      <w:r w:rsidRPr="0096514A">
        <w:t xml:space="preserve"> seems</w:t>
      </w:r>
      <w:r>
        <w:t xml:space="preserve"> </w:t>
      </w:r>
      <w:r w:rsidRPr="0096514A">
        <w:t>that the authorities may decide to suspend a settlement participant that fails to deliver on a "relevant and systematic" basis.</w:t>
      </w:r>
    </w:p>
    <w:p w:rsidR="001A50AD" w:rsidRPr="0096514A" w:rsidRDefault="001A50AD" w:rsidP="005D72E1">
      <w:pPr>
        <w:autoSpaceDE w:val="0"/>
        <w:autoSpaceDN w:val="0"/>
        <w:adjustRightInd w:val="0"/>
        <w:jc w:val="both"/>
      </w:pPr>
      <w:r w:rsidRPr="0096514A">
        <w:t xml:space="preserve">Although </w:t>
      </w:r>
      <w:r>
        <w:t xml:space="preserve">the consultation </w:t>
      </w:r>
      <w:r w:rsidRPr="001A50AD">
        <w:t>paper mentions that the</w:t>
      </w:r>
      <w:r>
        <w:t xml:space="preserve"> </w:t>
      </w:r>
      <w:r w:rsidRPr="0096514A">
        <w:t>authorities will consult with the impacted settlement participant on a bilateral</w:t>
      </w:r>
      <w:r>
        <w:t xml:space="preserve"> basis before taking any action</w:t>
      </w:r>
      <w:r w:rsidRPr="0096514A">
        <w:t xml:space="preserve"> and they </w:t>
      </w:r>
      <w:r>
        <w:t xml:space="preserve">should acknowledge </w:t>
      </w:r>
      <w:r w:rsidRPr="0096514A">
        <w:t>that the settlement agent is not the ultimate re</w:t>
      </w:r>
      <w:r>
        <w:t>sponsible entity for the fails,</w:t>
      </w:r>
      <w:r w:rsidRPr="0096514A">
        <w:t xml:space="preserve"> </w:t>
      </w:r>
      <w:r>
        <w:t xml:space="preserve">CSDR </w:t>
      </w:r>
      <w:r w:rsidRPr="0096514A">
        <w:t>attributes the responsibili</w:t>
      </w:r>
      <w:r>
        <w:t>t</w:t>
      </w:r>
      <w:r w:rsidRPr="001A50AD">
        <w:t xml:space="preserve">y </w:t>
      </w:r>
      <w:r>
        <w:t xml:space="preserve">to the settlement agent (failing </w:t>
      </w:r>
      <w:r w:rsidRPr="0096514A">
        <w:t>participant</w:t>
      </w:r>
      <w:r>
        <w:t>).</w:t>
      </w:r>
    </w:p>
    <w:p w:rsidR="001A50AD" w:rsidRPr="0096514A" w:rsidRDefault="001A50AD" w:rsidP="001A50AD">
      <w:pPr>
        <w:autoSpaceDE w:val="0"/>
        <w:autoSpaceDN w:val="0"/>
        <w:adjustRightInd w:val="0"/>
      </w:pPr>
    </w:p>
    <w:p w:rsidR="001A50AD" w:rsidRPr="0096514A" w:rsidRDefault="001A50AD" w:rsidP="005D72E1">
      <w:pPr>
        <w:autoSpaceDE w:val="0"/>
        <w:autoSpaceDN w:val="0"/>
        <w:adjustRightInd w:val="0"/>
        <w:jc w:val="both"/>
      </w:pPr>
      <w:r>
        <w:t>Settlement agents, as defined in the Directive 98/26/EC, do not cause settlement fails and do not have any responsibility to fulfil the contractual trading obligations on behalf of their clients. Hence, they can facilitate the authorities to identify the ultimate entity that cause the fail and that should be penalized and/or bought-in. In no case, though, agent banks have to be the ultimate target of penalties or sanctions for fails caused by the missing provision of securities and/or cash of their clients</w:t>
      </w:r>
      <w:r w:rsidRPr="0096514A">
        <w:t>.</w:t>
      </w:r>
    </w:p>
    <w:p w:rsidR="001A50AD" w:rsidRPr="0096514A" w:rsidRDefault="001A50AD" w:rsidP="001A50AD">
      <w:pPr>
        <w:autoSpaceDE w:val="0"/>
        <w:autoSpaceDN w:val="0"/>
        <w:adjustRightInd w:val="0"/>
      </w:pPr>
    </w:p>
    <w:p w:rsidR="001A50AD" w:rsidRPr="001815EF" w:rsidRDefault="001A50AD" w:rsidP="005D72E1">
      <w:pPr>
        <w:autoSpaceDE w:val="0"/>
        <w:autoSpaceDN w:val="0"/>
        <w:adjustRightInd w:val="0"/>
        <w:jc w:val="both"/>
      </w:pPr>
      <w:r w:rsidRPr="0096514A">
        <w:t>Also, in case of default of a</w:t>
      </w:r>
      <w:r>
        <w:t xml:space="preserve"> client of the settlement agent, the buy-in</w:t>
      </w:r>
      <w:r w:rsidRPr="0096514A">
        <w:t xml:space="preserve"> must not be activated on </w:t>
      </w:r>
      <w:r w:rsidRPr="001815EF">
        <w:t xml:space="preserve">the defaulted client that failed to deliver. If the buy-in is </w:t>
      </w:r>
      <w:r w:rsidR="00AB431C" w:rsidRPr="001815EF">
        <w:t>on-going</w:t>
      </w:r>
      <w:r w:rsidRPr="001815EF">
        <w:t xml:space="preserve"> at the moment of default, the settlement agent must not be responsible for the settlement of the buy-in and should not bear any cost and risk.</w:t>
      </w:r>
    </w:p>
    <w:p w:rsidR="001A50AD" w:rsidRPr="001815EF" w:rsidRDefault="001A50AD" w:rsidP="001A50AD">
      <w:pPr>
        <w:autoSpaceDE w:val="0"/>
        <w:autoSpaceDN w:val="0"/>
        <w:adjustRightInd w:val="0"/>
      </w:pPr>
    </w:p>
    <w:p w:rsidR="00124278" w:rsidRPr="001815EF" w:rsidRDefault="00840639" w:rsidP="005D72E1">
      <w:pPr>
        <w:autoSpaceDE w:val="0"/>
        <w:autoSpaceDN w:val="0"/>
        <w:adjustRightInd w:val="0"/>
        <w:jc w:val="both"/>
      </w:pPr>
      <w:r w:rsidRPr="001815EF">
        <w:t>T</w:t>
      </w:r>
      <w:r w:rsidR="001A50AD" w:rsidRPr="001815EF">
        <w:t>he possibility that “hybrid” models fostered by T2S are adopted needs to be taken into account for the identification of the failing party. For instance, when a trading participant uses an agent only to settle the securities leg of its trades and settle</w:t>
      </w:r>
      <w:r w:rsidR="001A50AD" w:rsidRPr="001815EF">
        <w:rPr>
          <w:u w:val="single"/>
        </w:rPr>
        <w:t>s</w:t>
      </w:r>
      <w:r w:rsidR="001A50AD" w:rsidRPr="001815EF">
        <w:t xml:space="preserve"> the cash leg on its own cash account, the agent should not be deemed liable for fails due to lack of cash and should not be subject to penalties or any other sanction.</w:t>
      </w:r>
    </w:p>
    <w:p w:rsidR="00840639" w:rsidRPr="001815EF" w:rsidRDefault="00840639" w:rsidP="001A50AD">
      <w:pPr>
        <w:autoSpaceDE w:val="0"/>
        <w:autoSpaceDN w:val="0"/>
        <w:adjustRightInd w:val="0"/>
      </w:pPr>
    </w:p>
    <w:p w:rsidR="00840639" w:rsidRPr="001815EF" w:rsidRDefault="00AB431C" w:rsidP="005D72E1">
      <w:pPr>
        <w:jc w:val="both"/>
      </w:pPr>
      <w:r>
        <w:t xml:space="preserve">Furthermore, </w:t>
      </w:r>
      <w:r w:rsidR="00840639" w:rsidRPr="001815EF">
        <w:t>it is important to remember that CSDR Art 2.1(19) contains a definition of “partic</w:t>
      </w:r>
      <w:r w:rsidR="00840639" w:rsidRPr="001815EF">
        <w:t>i</w:t>
      </w:r>
      <w:r w:rsidR="00840639" w:rsidRPr="001815EF">
        <w:t>pant” in line with the provisions of the Settlement Finality Directive (SFD)</w:t>
      </w:r>
      <w:r>
        <w:t>:</w:t>
      </w:r>
      <w:r w:rsidR="00840639" w:rsidRPr="001815EF">
        <w:t xml:space="preserve"> “(19) ‘participant’ means any participant, as defined in point (f) of Article 2 of Directive 98/26/EC in a securities settlement system”. The SFD provides for the possibility to consider “indirect participants” as equal to “participants”. The option of recognizing indirect participants as “participants” of a se</w:t>
      </w:r>
      <w:r w:rsidR="00840639" w:rsidRPr="001815EF">
        <w:t>t</w:t>
      </w:r>
      <w:r w:rsidR="00840639" w:rsidRPr="001815EF">
        <w:t>tlement system has been used by various EU Member States (e.g. Portugal and Luxembourg, partly also in Italy) but not by all. For these markets, it is reasonable to expect that the relevant actors (CSDs, CCPs and trading venues) should be able to define mechanisms for the applic</w:t>
      </w:r>
      <w:r w:rsidR="00840639" w:rsidRPr="001815EF">
        <w:t>a</w:t>
      </w:r>
      <w:r w:rsidR="00840639" w:rsidRPr="001815EF">
        <w:t>tion of the settlement discipline measures of CSDR Art. 7 also to these indirect participants: in particular, these mechanisms should appropriately define the settlement fail as being the ult</w:t>
      </w:r>
      <w:r w:rsidR="00840639" w:rsidRPr="001815EF">
        <w:t>i</w:t>
      </w:r>
      <w:r w:rsidR="00840639" w:rsidRPr="001815EF">
        <w:t>mate responsibility of the indirect participant that originates the settlement instruction(s) and that does not provide to its appointed settlement agent the appropriate resources (cash or securities as the case may be) which are necessary to complete the settlement. Considering the uneven formal use of the option contained in SFD Art 2(f) across the EU Member States, it seems logical and strongly advisable that ESMA should recommend a complete harmonization of the rules of all settlement systems in the EU in order to achieve a common definition of the indirect partic</w:t>
      </w:r>
      <w:r w:rsidR="00840639" w:rsidRPr="001815EF">
        <w:t>i</w:t>
      </w:r>
      <w:r w:rsidR="00840639" w:rsidRPr="001815EF">
        <w:t>pant and a harmonized applicability of the settlement discipline enforcement mechanisms (pe</w:t>
      </w:r>
      <w:r w:rsidR="00840639" w:rsidRPr="001815EF">
        <w:t>n</w:t>
      </w:r>
      <w:r w:rsidR="00840639" w:rsidRPr="001815EF">
        <w:t xml:space="preserve">alties and buy-ins) also to indirect participants who are identifiable as participants to a settlement system. The key focus should be on ensuring that the (direct) participant of a settlement system </w:t>
      </w:r>
      <w:r w:rsidR="00840639" w:rsidRPr="001815EF">
        <w:lastRenderedPageBreak/>
        <w:t>does not automatically become a “guarantor” of the settlement performance of its clients who are recognized as indirect participants.</w:t>
      </w:r>
    </w:p>
    <w:permEnd w:id="1893364532"/>
    <w:p w:rsidR="00D12AFD" w:rsidRDefault="00D12AFD" w:rsidP="00D12AFD">
      <w:r>
        <w:t>&lt;ESMA_QUESTION_TS_CSDR_11&gt;</w:t>
      </w:r>
    </w:p>
    <w:p w:rsidR="00D12AFD" w:rsidRPr="002C4F00" w:rsidRDefault="00D12AFD" w:rsidP="00965B03">
      <w:pPr>
        <w:pStyle w:val="Titolo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124278" w:rsidP="00124278">
      <w:permStart w:id="760885638" w:edGrp="everyone"/>
      <w:r>
        <w:t>TYPE YOUR TEXT HERE</w:t>
      </w:r>
    </w:p>
    <w:permEnd w:id="760885638"/>
    <w:p w:rsidR="00D12AFD" w:rsidRDefault="00D12AFD" w:rsidP="00D12AFD">
      <w:r>
        <w:t>&lt;ESMA_QUESTION_TS_CSDR_12&gt;</w:t>
      </w:r>
    </w:p>
    <w:p w:rsidR="00D12AFD" w:rsidRPr="002C4F00" w:rsidRDefault="00D12AFD" w:rsidP="00965B03">
      <w:pPr>
        <w:pStyle w:val="Titolo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124278" w:rsidP="00124278">
      <w:permStart w:id="811535224" w:edGrp="everyone"/>
      <w:r>
        <w:t>TYPE YOUR TEXT HERE</w:t>
      </w:r>
    </w:p>
    <w:permEnd w:id="811535224"/>
    <w:p w:rsidR="00D12AFD" w:rsidRDefault="00D12AFD" w:rsidP="00D12AFD">
      <w:r>
        <w:t>&lt;ESMA_QUESTION_TS_CSDR_13&gt;</w:t>
      </w:r>
    </w:p>
    <w:p w:rsidR="00D12AFD" w:rsidRPr="002C4F00" w:rsidRDefault="00D12AFD" w:rsidP="00965B03">
      <w:pPr>
        <w:pStyle w:val="Titolo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124278" w:rsidRDefault="00124278" w:rsidP="00124278">
      <w:permStart w:id="83195791" w:edGrp="everyone"/>
      <w:r>
        <w:t>TYPE YOUR TEXT HERE</w:t>
      </w:r>
    </w:p>
    <w:permEnd w:id="83195791"/>
    <w:p w:rsidR="00D12AFD" w:rsidRDefault="00D12AFD" w:rsidP="00D12AFD">
      <w:r>
        <w:t>&lt;ESMA_QUESTION_TS_CSDR_14&gt;</w:t>
      </w:r>
    </w:p>
    <w:p w:rsidR="00D12AFD" w:rsidRPr="002C4F00" w:rsidRDefault="00D12AFD" w:rsidP="00965B03">
      <w:pPr>
        <w:pStyle w:val="Titolo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105142694" w:edGrp="everyone"/>
      <w:r>
        <w:t>TYPE YOUR TEXT HERE</w:t>
      </w:r>
    </w:p>
    <w:permEnd w:id="105142694"/>
    <w:p w:rsidR="00D12AFD" w:rsidRDefault="00D12AFD" w:rsidP="00D12AFD">
      <w:r>
        <w:t>&lt;ESMA_QUESTION_TS_CSDR_15&gt;</w:t>
      </w:r>
    </w:p>
    <w:p w:rsidR="00D12AFD" w:rsidRPr="002C4F00" w:rsidRDefault="00D12AFD" w:rsidP="00965B03">
      <w:pPr>
        <w:pStyle w:val="Titolo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167118587" w:edGrp="everyone"/>
      <w:r>
        <w:t>TYPE YOUR TEXT HERE</w:t>
      </w:r>
    </w:p>
    <w:permEnd w:id="167118587"/>
    <w:p w:rsidR="00D12AFD" w:rsidRDefault="00D12AFD" w:rsidP="00D12AFD">
      <w:r>
        <w:t>&lt;ESMA_QUESTION_TS_CSDR_16&gt;</w:t>
      </w:r>
    </w:p>
    <w:p w:rsidR="00D12AFD" w:rsidRPr="002C4F00" w:rsidRDefault="00D12AFD" w:rsidP="00965B03">
      <w:pPr>
        <w:pStyle w:val="Titolo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1040926812" w:edGrp="everyone"/>
      <w:r>
        <w:t>TYPE YOUR TEXT HERE</w:t>
      </w:r>
    </w:p>
    <w:permEnd w:id="1040926812"/>
    <w:p w:rsidR="00D12AFD" w:rsidRDefault="00D12AFD" w:rsidP="00D12AFD">
      <w:r>
        <w:t>&lt;ESMA_QUESTION_TS_CSDR_17&gt;</w:t>
      </w:r>
    </w:p>
    <w:p w:rsidR="00D12AFD" w:rsidRPr="002C4F00" w:rsidRDefault="00D12AFD" w:rsidP="00965B03">
      <w:pPr>
        <w:pStyle w:val="Titolo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2022928894" w:edGrp="everyone"/>
      <w:r>
        <w:lastRenderedPageBreak/>
        <w:t>TYPE YOUR TEXT HERE</w:t>
      </w:r>
    </w:p>
    <w:permEnd w:id="2022928894"/>
    <w:p w:rsidR="00D12AFD" w:rsidRDefault="00D12AFD" w:rsidP="00D12AFD">
      <w:r>
        <w:t>&lt;ESMA_QUESTION_TS_CSDR_18&gt;</w:t>
      </w:r>
    </w:p>
    <w:p w:rsidR="00D12AFD" w:rsidRPr="002C4F00" w:rsidRDefault="00D12AFD" w:rsidP="00965B03">
      <w:pPr>
        <w:pStyle w:val="Titolo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1871799752" w:edGrp="everyone"/>
      <w:r>
        <w:t>TYPE YOUR TEXT HERE</w:t>
      </w:r>
    </w:p>
    <w:permEnd w:id="1871799752"/>
    <w:p w:rsidR="00D12AFD" w:rsidRDefault="00D12AFD" w:rsidP="00D12AFD">
      <w:r>
        <w:t>&lt;ESMA_QUESTION_TS_CSDR_19&gt;</w:t>
      </w:r>
    </w:p>
    <w:p w:rsidR="00D12AFD" w:rsidRPr="002C4F00" w:rsidRDefault="00D12AFD" w:rsidP="00965B03">
      <w:pPr>
        <w:pStyle w:val="Titolo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2022009275" w:edGrp="everyone"/>
      <w:r>
        <w:t>TYPE YOUR TEXT HERE</w:t>
      </w:r>
    </w:p>
    <w:permEnd w:id="2022009275"/>
    <w:p w:rsidR="00D12AFD" w:rsidRDefault="00D12AFD" w:rsidP="00D12AFD">
      <w:r>
        <w:t>&lt;ESMA_QUESTION_TS_CSDR_20&gt;</w:t>
      </w:r>
    </w:p>
    <w:p w:rsidR="00D12AFD" w:rsidRPr="002C4F00" w:rsidRDefault="00D12AFD" w:rsidP="00965B03">
      <w:pPr>
        <w:pStyle w:val="Titolo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346516287" w:edGrp="everyone"/>
      <w:r>
        <w:t>TYPE YOUR TEXT HERE</w:t>
      </w:r>
    </w:p>
    <w:permEnd w:id="346516287"/>
    <w:p w:rsidR="00D12AFD" w:rsidRDefault="00D12AFD" w:rsidP="00D12AFD">
      <w:r>
        <w:t>&lt;ESMA_QUESTION_TS_CSDR_21&gt;</w:t>
      </w:r>
    </w:p>
    <w:p w:rsidR="00D12AFD" w:rsidRDefault="00D12AFD" w:rsidP="00965B03">
      <w:pPr>
        <w:pStyle w:val="Titolo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permStart w:id="2017295661" w:edGrp="everyone"/>
      <w:r>
        <w:t>TYPE YOUR TEXT HERE</w:t>
      </w:r>
    </w:p>
    <w:permEnd w:id="2017295661"/>
    <w:p w:rsidR="00D12AFD" w:rsidRDefault="00D12AFD" w:rsidP="00D12AFD">
      <w:r>
        <w:t>&lt;ESMA_QUESTION_TS_CSDR_22&gt;</w:t>
      </w:r>
    </w:p>
    <w:p w:rsidR="00D12AFD" w:rsidRDefault="00D12AFD" w:rsidP="00965B03">
      <w:pPr>
        <w:pStyle w:val="Titolo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1940921788" w:edGrp="everyone"/>
      <w:r>
        <w:t>TYPE YOUR TEXT HERE</w:t>
      </w:r>
    </w:p>
    <w:permEnd w:id="1940921788"/>
    <w:p w:rsidR="00D12AFD" w:rsidRDefault="00D12AFD" w:rsidP="00D12AFD">
      <w:r>
        <w:t>&lt;ESMA_QUESTION_TS_CSDR_23&gt;</w:t>
      </w:r>
    </w:p>
    <w:p w:rsidR="00D12AFD" w:rsidRPr="002C4F00" w:rsidRDefault="00D12AFD" w:rsidP="00965B03">
      <w:pPr>
        <w:pStyle w:val="Titolo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58198786" w:edGrp="everyone"/>
      <w:r>
        <w:t>TYPE YOUR TEXT HERE</w:t>
      </w:r>
    </w:p>
    <w:permEnd w:id="58198786"/>
    <w:p w:rsidR="00D12AFD" w:rsidRDefault="00D12AFD" w:rsidP="00D12AFD">
      <w:r>
        <w:t>&lt;ESMA_QUESTION_TS_CSDR_25&gt;</w:t>
      </w:r>
    </w:p>
    <w:p w:rsidR="00D12AFD" w:rsidRPr="002C4F00" w:rsidRDefault="00D12AFD" w:rsidP="00965B03">
      <w:pPr>
        <w:pStyle w:val="Titolo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855391647" w:edGrp="everyone"/>
      <w:r>
        <w:t>TYPE YOUR TEXT HERE</w:t>
      </w:r>
    </w:p>
    <w:permEnd w:id="855391647"/>
    <w:p w:rsidR="00D12AFD" w:rsidRDefault="00D12AFD" w:rsidP="00D12AFD">
      <w:r>
        <w:lastRenderedPageBreak/>
        <w:t>&lt;ESMA_QUESTION_TS_CSDR_25&gt;</w:t>
      </w:r>
    </w:p>
    <w:p w:rsidR="00D12AFD" w:rsidRPr="002C4F00" w:rsidRDefault="00D12AFD" w:rsidP="00965B03">
      <w:pPr>
        <w:pStyle w:val="Titolo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1518415059" w:edGrp="everyone"/>
      <w:r>
        <w:t>TYPE YOUR TEXT HERE</w:t>
      </w:r>
    </w:p>
    <w:permEnd w:id="1518415059"/>
    <w:p w:rsidR="00D12AFD" w:rsidRDefault="00D12AFD" w:rsidP="00D12AFD">
      <w:r>
        <w:t>&lt;ESMA_QUESTION_TS_CSDR_26&gt;</w:t>
      </w:r>
    </w:p>
    <w:p w:rsidR="00F1314C" w:rsidRDefault="00F1314C" w:rsidP="00F1314C">
      <w:pPr>
        <w:pStyle w:val="Titolo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375677742" w:edGrp="everyone"/>
      <w:r>
        <w:t>TYPE YOUR TEXT HERE</w:t>
      </w:r>
    </w:p>
    <w:permEnd w:id="375677742"/>
    <w:p w:rsidR="00252063" w:rsidRDefault="00252063" w:rsidP="00252063">
      <w:r>
        <w:t>&lt;ESMA_QUESTION_TS_CSDR_27&gt;</w:t>
      </w:r>
    </w:p>
    <w:p w:rsidR="00F1314C" w:rsidRPr="00F1314C" w:rsidRDefault="00F1314C" w:rsidP="00F1314C"/>
    <w:p w:rsidR="00D12AFD" w:rsidRPr="002C4F00" w:rsidRDefault="00D12AFD" w:rsidP="00965B03">
      <w:pPr>
        <w:pStyle w:val="Titolo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1593519549" w:edGrp="everyone"/>
      <w:r>
        <w:t>TYPE YOUR TEXT HERE</w:t>
      </w:r>
    </w:p>
    <w:permEnd w:id="1593519549"/>
    <w:p w:rsidR="00D12AFD" w:rsidRDefault="00D12AFD" w:rsidP="00D12AFD">
      <w:r>
        <w:t>&lt;ESMA_QUESTION_TS_CSDR_2</w:t>
      </w:r>
      <w:r w:rsidR="00252063">
        <w:t>8</w:t>
      </w:r>
      <w:r>
        <w:t>&gt;</w:t>
      </w:r>
    </w:p>
    <w:p w:rsidR="00D12AFD" w:rsidRPr="002C4F00" w:rsidRDefault="00D12AFD" w:rsidP="00965B03">
      <w:pPr>
        <w:pStyle w:val="Titolo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1506677145" w:edGrp="everyone"/>
      <w:r>
        <w:t>TYPE YOUR TEXT HERE</w:t>
      </w:r>
    </w:p>
    <w:permEnd w:id="1506677145"/>
    <w:p w:rsidR="00D12AFD" w:rsidRDefault="00D12AFD" w:rsidP="00D12AFD">
      <w:r>
        <w:t>&lt;ESMA_QUESTION_TS_CSDR_2</w:t>
      </w:r>
      <w:r w:rsidR="00252063">
        <w:t>9</w:t>
      </w:r>
      <w:r>
        <w:t>&gt;</w:t>
      </w:r>
    </w:p>
    <w:p w:rsidR="00D12AFD" w:rsidRPr="002C4F00" w:rsidRDefault="00D12AFD" w:rsidP="00965B03">
      <w:pPr>
        <w:pStyle w:val="Titolo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1057581971" w:edGrp="everyone"/>
      <w:r>
        <w:t>TYPE YOUR TEXT HERE</w:t>
      </w:r>
    </w:p>
    <w:permEnd w:id="1057581971"/>
    <w:p w:rsidR="00D12AFD" w:rsidRDefault="00D12AFD" w:rsidP="00D12AFD">
      <w:r>
        <w:t>&lt;ESMA_QUESTION_TS_CSDR_</w:t>
      </w:r>
      <w:r w:rsidR="00252063">
        <w:t>30</w:t>
      </w:r>
      <w:r>
        <w:t>&gt;</w:t>
      </w:r>
    </w:p>
    <w:p w:rsidR="00D12AFD" w:rsidRPr="002C4F00" w:rsidRDefault="00D12AFD" w:rsidP="00965B03">
      <w:pPr>
        <w:pStyle w:val="Titolo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1688761440" w:edGrp="everyone"/>
      <w:r>
        <w:t>TYPE YOUR TEXT HERE</w:t>
      </w:r>
    </w:p>
    <w:permEnd w:id="1688761440"/>
    <w:p w:rsidR="00D12AFD" w:rsidRPr="002C4F00" w:rsidRDefault="00D12AFD" w:rsidP="00D12AFD">
      <w:r>
        <w:t>&lt;ESMA_QUESTION_TS_CSDR_3</w:t>
      </w:r>
      <w:r w:rsidR="00252063">
        <w:t>1</w:t>
      </w:r>
      <w:r>
        <w:t>&gt;</w:t>
      </w:r>
    </w:p>
    <w:p w:rsidR="00D12AFD" w:rsidRPr="002C4F00" w:rsidRDefault="00D12AFD" w:rsidP="00965B03">
      <w:pPr>
        <w:pStyle w:val="Titolo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1108164323" w:edGrp="everyone"/>
      <w:r>
        <w:lastRenderedPageBreak/>
        <w:t>TYPE YOUR TEXT HERE</w:t>
      </w:r>
    </w:p>
    <w:permEnd w:id="1108164323"/>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31C" w:rsidRDefault="00AB431C">
      <w:r>
        <w:separator/>
      </w:r>
    </w:p>
    <w:p w:rsidR="00AB431C" w:rsidRDefault="00AB431C"/>
  </w:endnote>
  <w:endnote w:type="continuationSeparator" w:id="0">
    <w:p w:rsidR="00AB431C" w:rsidRDefault="00AB431C">
      <w:r>
        <w:continuationSeparator/>
      </w:r>
    </w:p>
    <w:p w:rsidR="00AB431C" w:rsidRDefault="00AB431C"/>
  </w:endnote>
  <w:endnote w:type="continuationNotice" w:id="1">
    <w:p w:rsidR="00AB431C" w:rsidRDefault="00AB4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B431C" w:rsidRPr="00315E96" w:rsidTr="00315E96">
      <w:trPr>
        <w:trHeight w:val="284"/>
      </w:trPr>
      <w:tc>
        <w:tcPr>
          <w:tcW w:w="8460" w:type="dxa"/>
        </w:tcPr>
        <w:p w:rsidR="00AB431C" w:rsidRPr="00315E96" w:rsidRDefault="00AB431C" w:rsidP="00315E96">
          <w:pPr>
            <w:pStyle w:val="00Footer"/>
            <w:rPr>
              <w:lang w:val="fr-FR"/>
            </w:rPr>
          </w:pPr>
        </w:p>
      </w:tc>
      <w:tc>
        <w:tcPr>
          <w:tcW w:w="952" w:type="dxa"/>
        </w:tcPr>
        <w:p w:rsidR="00AB431C" w:rsidRPr="002C5B2D" w:rsidRDefault="00AB431C" w:rsidP="002C5B2D">
          <w:pPr>
            <w:pStyle w:val="00aPagenumber"/>
          </w:pPr>
          <w:r>
            <w:fldChar w:fldCharType="begin"/>
          </w:r>
          <w:r>
            <w:instrText xml:space="preserve"> PAGE </w:instrText>
          </w:r>
          <w:r>
            <w:fldChar w:fldCharType="separate"/>
          </w:r>
          <w:r w:rsidR="00B64F96">
            <w:rPr>
              <w:noProof/>
            </w:rPr>
            <w:t>12</w:t>
          </w:r>
          <w:r>
            <w:rPr>
              <w:noProof/>
            </w:rPr>
            <w:fldChar w:fldCharType="end"/>
          </w:r>
        </w:p>
      </w:tc>
    </w:tr>
  </w:tbl>
  <w:p w:rsidR="00AB431C" w:rsidRDefault="00AB431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C" w:rsidRDefault="00AB43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31C" w:rsidRDefault="00AB431C">
      <w:r>
        <w:separator/>
      </w:r>
    </w:p>
    <w:p w:rsidR="00AB431C" w:rsidRDefault="00AB431C"/>
  </w:footnote>
  <w:footnote w:type="continuationSeparator" w:id="0">
    <w:p w:rsidR="00AB431C" w:rsidRDefault="00AB431C">
      <w:r>
        <w:continuationSeparator/>
      </w:r>
    </w:p>
    <w:p w:rsidR="00AB431C" w:rsidRDefault="00AB431C"/>
  </w:footnote>
  <w:footnote w:type="continuationNotice" w:id="1">
    <w:p w:rsidR="00AB431C" w:rsidRDefault="00AB43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C" w:rsidRDefault="00AB431C">
    <w:pPr>
      <w:pStyle w:val="Intestazione"/>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B64F96">
      <w:rPr>
        <w:noProof/>
        <w:lang w:eastAsia="ja-JP"/>
      </w:rPr>
      <w:pict>
        <v:line id="Line 16" o:spid="_x0000_s2049"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C" w:rsidRDefault="00AB431C" w:rsidP="00013CCE">
    <w:pPr>
      <w:pStyle w:val="Intestazione"/>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C" w:rsidRDefault="00AB431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B431C" w:rsidRPr="002F4496" w:rsidTr="000C06C9">
      <w:trPr>
        <w:trHeight w:val="284"/>
      </w:trPr>
      <w:tc>
        <w:tcPr>
          <w:tcW w:w="8460" w:type="dxa"/>
        </w:tcPr>
        <w:p w:rsidR="00AB431C" w:rsidRPr="000C3B6D" w:rsidRDefault="00AB431C" w:rsidP="000C06C9">
          <w:pPr>
            <w:pStyle w:val="00Footer"/>
            <w:rPr>
              <w:lang w:val="fr-FR"/>
            </w:rPr>
          </w:pPr>
        </w:p>
      </w:tc>
      <w:tc>
        <w:tcPr>
          <w:tcW w:w="952" w:type="dxa"/>
        </w:tcPr>
        <w:p w:rsidR="00AB431C" w:rsidRPr="00146B34" w:rsidRDefault="00AB431C" w:rsidP="000C06C9">
          <w:pPr>
            <w:pStyle w:val="00aPagenumber"/>
            <w:rPr>
              <w:lang w:val="fr-FR"/>
            </w:rPr>
          </w:pPr>
        </w:p>
      </w:tc>
    </w:tr>
  </w:tbl>
  <w:p w:rsidR="00AB431C" w:rsidRPr="00DB46C3" w:rsidRDefault="00AB431C">
    <w:pPr>
      <w:rPr>
        <w:lang w:val="fr-FR"/>
      </w:rPr>
    </w:pPr>
  </w:p>
  <w:p w:rsidR="00AB431C" w:rsidRPr="002F4496" w:rsidRDefault="00AB431C">
    <w:pPr>
      <w:pStyle w:val="Intestazione"/>
      <w:rPr>
        <w:lang w:val="fr-FR"/>
      </w:rPr>
    </w:pPr>
  </w:p>
  <w:p w:rsidR="00AB431C" w:rsidRPr="002F4496" w:rsidRDefault="00AB431C" w:rsidP="000C06C9">
    <w:pPr>
      <w:pStyle w:val="Intestazione"/>
      <w:tabs>
        <w:tab w:val="clear" w:pos="4536"/>
        <w:tab w:val="clear" w:pos="9072"/>
        <w:tab w:val="left" w:pos="8227"/>
      </w:tabs>
      <w:rPr>
        <w:lang w:val="fr-FR"/>
      </w:rPr>
    </w:pPr>
  </w:p>
  <w:p w:rsidR="00AB431C" w:rsidRPr="002F4496" w:rsidRDefault="00AB431C" w:rsidP="000C06C9">
    <w:pPr>
      <w:pStyle w:val="Intestazione"/>
      <w:tabs>
        <w:tab w:val="clear" w:pos="4536"/>
        <w:tab w:val="clear" w:pos="9072"/>
        <w:tab w:val="left" w:pos="8227"/>
      </w:tabs>
      <w:rPr>
        <w:lang w:val="fr-FR"/>
      </w:rPr>
    </w:pPr>
  </w:p>
  <w:p w:rsidR="00AB431C" w:rsidRPr="002F4496" w:rsidRDefault="00AB431C">
    <w:pPr>
      <w:pStyle w:val="Intestazione"/>
      <w:rPr>
        <w:lang w:val="fr-FR"/>
      </w:rPr>
    </w:pPr>
  </w:p>
  <w:p w:rsidR="00AB431C" w:rsidRPr="002F4496" w:rsidRDefault="00AB431C">
    <w:pPr>
      <w:pStyle w:val="Intestazione"/>
      <w:rPr>
        <w:lang w:val="fr-FR"/>
      </w:rPr>
    </w:pPr>
  </w:p>
  <w:p w:rsidR="00AB431C" w:rsidRPr="002F4496" w:rsidRDefault="00AB431C">
    <w:pPr>
      <w:pStyle w:val="Intestazione"/>
      <w:rPr>
        <w:lang w:val="fr-FR"/>
      </w:rPr>
    </w:pPr>
  </w:p>
  <w:p w:rsidR="00AB431C" w:rsidRPr="002F4496" w:rsidRDefault="00AB431C">
    <w:pPr>
      <w:pStyle w:val="Intestazione"/>
      <w:rPr>
        <w:lang w:val="fr-FR"/>
      </w:rPr>
    </w:pPr>
  </w:p>
  <w:p w:rsidR="00AB431C" w:rsidRPr="002F4496" w:rsidRDefault="00AB431C">
    <w:pPr>
      <w:pStyle w:val="Intestazione"/>
      <w:rPr>
        <w:highlight w:val="yellow"/>
        <w:lang w:val="fr-FR"/>
      </w:rPr>
    </w:pPr>
  </w:p>
  <w:p w:rsidR="00AB431C" w:rsidRDefault="00B64F96">
    <w:pPr>
      <w:pStyle w:val="Intestazione"/>
    </w:pPr>
    <w:r>
      <w:rPr>
        <w:noProof/>
        <w:lang w:eastAsia="ja-JP"/>
      </w:rPr>
      <w:pict>
        <v:line id="Straight Connector 138" o:spid="_x0000_s2050"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AB431C">
      <w:rPr>
        <w:noProof/>
        <w:lang w:val="it-IT" w:eastAsia="it-I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2FC42C50"/>
    <w:multiLevelType w:val="hybridMultilevel"/>
    <w:tmpl w:val="DBC48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FE2226F2"/>
    <w:lvl w:ilvl="0" w:tplc="659EE572">
      <w:start w:val="1"/>
      <w:numFmt w:val="decimal"/>
      <w:pStyle w:val="Titolo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21"/>
  </w:num>
  <w:num w:numId="3">
    <w:abstractNumId w:val="14"/>
  </w:num>
  <w:num w:numId="4">
    <w:abstractNumId w:val="25"/>
  </w:num>
  <w:num w:numId="5">
    <w:abstractNumId w:val="3"/>
  </w:num>
  <w:num w:numId="6">
    <w:abstractNumId w:val="27"/>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24"/>
  </w:num>
  <w:num w:numId="16">
    <w:abstractNumId w:val="11"/>
  </w:num>
  <w:num w:numId="17">
    <w:abstractNumId w:val="1"/>
  </w:num>
  <w:num w:numId="18">
    <w:abstractNumId w:val="16"/>
  </w:num>
  <w:num w:numId="19">
    <w:abstractNumId w:val="17"/>
  </w:num>
  <w:num w:numId="20">
    <w:abstractNumId w:val="19"/>
  </w:num>
  <w:num w:numId="21">
    <w:abstractNumId w:val="28"/>
  </w:num>
  <w:num w:numId="22">
    <w:abstractNumId w:val="35"/>
  </w:num>
  <w:num w:numId="23">
    <w:abstractNumId w:val="26"/>
  </w:num>
  <w:num w:numId="24">
    <w:abstractNumId w:val="10"/>
  </w:num>
  <w:num w:numId="25">
    <w:abstractNumId w:val="31"/>
  </w:num>
  <w:num w:numId="26">
    <w:abstractNumId w:val="30"/>
  </w:num>
  <w:num w:numId="27">
    <w:abstractNumId w:val="22"/>
  </w:num>
  <w:num w:numId="28">
    <w:abstractNumId w:val="34"/>
  </w:num>
  <w:num w:numId="29">
    <w:abstractNumId w:val="37"/>
  </w:num>
  <w:num w:numId="30">
    <w:abstractNumId w:val="8"/>
  </w:num>
  <w:num w:numId="31">
    <w:abstractNumId w:val="4"/>
  </w:num>
  <w:num w:numId="32">
    <w:abstractNumId w:val="23"/>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2051">
      <o:colormru v:ext="edit" colors="#2d4491,#283583"/>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A02370"/>
    <w:rsid w:val="000006AD"/>
    <w:rsid w:val="00001490"/>
    <w:rsid w:val="00002232"/>
    <w:rsid w:val="00002491"/>
    <w:rsid w:val="0000378E"/>
    <w:rsid w:val="00003AEB"/>
    <w:rsid w:val="00005BBA"/>
    <w:rsid w:val="00005D8C"/>
    <w:rsid w:val="00006C2B"/>
    <w:rsid w:val="00007014"/>
    <w:rsid w:val="00007968"/>
    <w:rsid w:val="00010316"/>
    <w:rsid w:val="0001067A"/>
    <w:rsid w:val="0001311F"/>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08C"/>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87D2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2AF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5EF"/>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50AD"/>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2D6E"/>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953C3"/>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CBF"/>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9EC"/>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D72E1"/>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120"/>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D87"/>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D71F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0639"/>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375"/>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37B93"/>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14A"/>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6F86"/>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6E8"/>
    <w:rsid w:val="00A71049"/>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31C"/>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4F96"/>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60A"/>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354B"/>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140F"/>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EB"/>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5689"/>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296"/>
    <w:rsid w:val="00F504DD"/>
    <w:rsid w:val="00F50874"/>
    <w:rsid w:val="00F516C6"/>
    <w:rsid w:val="00F52221"/>
    <w:rsid w:val="00F52B28"/>
    <w:rsid w:val="00F536BB"/>
    <w:rsid w:val="00F53755"/>
    <w:rsid w:val="00F53E59"/>
    <w:rsid w:val="00F5475B"/>
    <w:rsid w:val="00F56B11"/>
    <w:rsid w:val="00F574D0"/>
    <w:rsid w:val="00F6031F"/>
    <w:rsid w:val="00F60BC5"/>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6C7A"/>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65B03"/>
    <w:rPr>
      <w:rFonts w:ascii="Arial" w:hAnsi="Arial"/>
      <w:sz w:val="22"/>
      <w:szCs w:val="24"/>
      <w:lang w:eastAsia="de-DE"/>
    </w:rPr>
  </w:style>
  <w:style w:type="paragraph" w:styleId="Titolo1">
    <w:name w:val="heading 1"/>
    <w:basedOn w:val="Normale"/>
    <w:next w:val="Normale"/>
    <w:link w:val="Titolo1Carattere"/>
    <w:qFormat/>
    <w:rsid w:val="009E7724"/>
    <w:pPr>
      <w:keepNext/>
      <w:numPr>
        <w:numId w:val="6"/>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4"/>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ommario2">
    <w:name w:val="toc 2"/>
    <w:basedOn w:val="Normale"/>
    <w:next w:val="Normale"/>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uiPriority w:val="99"/>
    <w:rsid w:val="004B1E61"/>
    <w:rPr>
      <w:sz w:val="16"/>
      <w:szCs w:val="16"/>
    </w:rPr>
  </w:style>
  <w:style w:type="paragraph" w:styleId="Testocommento">
    <w:name w:val="annotation text"/>
    <w:basedOn w:val="Normale"/>
    <w:link w:val="TestocommentoCarattere"/>
    <w:uiPriority w:val="99"/>
    <w:rsid w:val="004B1E61"/>
    <w:rPr>
      <w:sz w:val="20"/>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9"/>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 w:val="20"/>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e"/>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 w:val="20"/>
      <w:szCs w:val="20"/>
      <w:u w:val="single"/>
    </w:rPr>
  </w:style>
  <w:style w:type="paragraph" w:customStyle="1" w:styleId="Bullet">
    <w:name w:val="Bullet"/>
    <w:basedOn w:val="Normale"/>
    <w:rsid w:val="002D6E1A"/>
    <w:pPr>
      <w:numPr>
        <w:numId w:val="12"/>
      </w:numPr>
      <w:tabs>
        <w:tab w:val="left" w:pos="708"/>
      </w:tabs>
      <w:spacing w:before="120" w:after="120" w:line="276" w:lineRule="auto"/>
      <w:jc w:val="both"/>
    </w:pPr>
    <w:rPr>
      <w:sz w:val="20"/>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 w:val="22"/>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sz w:val="20"/>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e"/>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 w:val="20"/>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7"/>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30"/>
      </w:numPr>
      <w:suppressAutoHyphens/>
      <w:spacing w:after="250" w:line="276" w:lineRule="auto"/>
      <w:jc w:val="both"/>
    </w:pPr>
    <w:rPr>
      <w:sz w:val="20"/>
      <w:szCs w:val="20"/>
    </w:rPr>
  </w:style>
  <w:style w:type="character" w:customStyle="1" w:styleId="aStyle1Char">
    <w:name w:val="a. Style1 Char"/>
    <w:link w:val="aStyle1"/>
    <w:rsid w:val="000D2D0B"/>
    <w:rPr>
      <w:rFonts w:ascii="Georgia" w:hAnsi="Georgia"/>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e"/>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e"/>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65B03"/>
    <w:rPr>
      <w:rFonts w:ascii="Arial" w:hAnsi="Arial"/>
      <w:sz w:val="22"/>
      <w:szCs w:val="24"/>
      <w:lang w:eastAsia="de-DE"/>
    </w:rPr>
  </w:style>
  <w:style w:type="paragraph" w:styleId="Titolo1">
    <w:name w:val="heading 1"/>
    <w:basedOn w:val="Normale"/>
    <w:next w:val="Normale"/>
    <w:link w:val="Titolo1Carattere"/>
    <w:qFormat/>
    <w:rsid w:val="009E7724"/>
    <w:pPr>
      <w:keepNext/>
      <w:spacing w:before="240" w:after="60"/>
      <w:ind w:left="360" w:hanging="3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spacing w:before="200"/>
      <w:ind w:left="502" w:hanging="360"/>
      <w:jc w:val="both"/>
      <w:outlineLvl w:val="4"/>
    </w:pPr>
    <w:rPr>
      <w:b/>
    </w:rPr>
  </w:style>
  <w:style w:type="paragraph" w:styleId="Titolo6">
    <w:name w:val="heading 6"/>
    <w:basedOn w:val="Normale"/>
    <w:next w:val="Normale"/>
    <w:link w:val="Titolo6Carattere"/>
    <w:qFormat/>
    <w:rsid w:val="003609B6"/>
    <w:pPr>
      <w:tabs>
        <w:tab w:val="num" w:pos="1152"/>
      </w:tabs>
      <w:spacing w:before="240" w:after="60"/>
      <w:ind w:left="1152" w:hanging="1152"/>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tabs>
        <w:tab w:val="num" w:pos="1440"/>
      </w:tabs>
      <w:spacing w:before="240" w:after="60"/>
      <w:ind w:left="1440" w:hanging="144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ommario2">
    <w:name w:val="toc 2"/>
    <w:basedOn w:val="Normale"/>
    <w:next w:val="Normale"/>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uiPriority w:val="99"/>
    <w:rsid w:val="004B1E61"/>
    <w:rPr>
      <w:sz w:val="16"/>
      <w:szCs w:val="16"/>
    </w:rPr>
  </w:style>
  <w:style w:type="paragraph" w:styleId="Testocommento">
    <w:name w:val="annotation text"/>
    <w:basedOn w:val="Normale"/>
    <w:link w:val="TestocommentoCarattere"/>
    <w:uiPriority w:val="99"/>
    <w:rsid w:val="004B1E61"/>
    <w:rPr>
      <w:sz w:val="20"/>
      <w:szCs w:val="20"/>
    </w:rPr>
  </w:style>
  <w:style w:type="character" w:customStyle="1" w:styleId="TestocommentoCarattere">
    <w:name w:val="Comment Text Char"/>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Comment Subject Char"/>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Balloon Text Char"/>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spacing w:before="480" w:after="0" w:line="276" w:lineRule="auto"/>
      <w:ind w:left="0" w:firstLine="0"/>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Footnote Text Char"/>
    <w:aliases w:val="Char3 Char, Char3 Char,Fußnotentextf Char,Fußnotentextr Char,stile 1 Char,Footnote1 Char,Footnote2 Char,Footnote3 Char,Footnote4 Char,Footnote5 Char,Footnote6 Char,Footnote7 Char,Footnote8 Char,Footnote9 Char,Footnote10 Char"/>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Heading 1 Char"/>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Document Map Char"/>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Plain Text Char"/>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tabs>
        <w:tab w:val="num" w:pos="720"/>
      </w:tabs>
      <w:spacing w:after="240"/>
      <w:ind w:left="720" w:hanging="720"/>
      <w:jc w:val="both"/>
    </w:pPr>
    <w:rPr>
      <w:rFonts w:ascii="Times New Roman" w:hAnsi="Times New Roman"/>
      <w:sz w:val="24"/>
      <w:szCs w:val="20"/>
      <w:lang w:eastAsia="en-GB"/>
    </w:rPr>
  </w:style>
  <w:style w:type="character" w:customStyle="1" w:styleId="CorpotestoCarattere">
    <w:name w:val="Body Text Char"/>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Heading 2 Char2"/>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Heading 9 Char"/>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Heading 7 Char"/>
    <w:link w:val="Titolo7"/>
    <w:rsid w:val="002D6E1A"/>
    <w:rPr>
      <w:sz w:val="22"/>
      <w:szCs w:val="24"/>
      <w:lang w:eastAsia="de-DE"/>
    </w:rPr>
  </w:style>
  <w:style w:type="character" w:customStyle="1" w:styleId="Titolo6Carattere">
    <w:name w:val="Heading 6 Char"/>
    <w:link w:val="Titolo6"/>
    <w:rsid w:val="002D6E1A"/>
    <w:rPr>
      <w:b/>
      <w:bCs/>
      <w:sz w:val="22"/>
      <w:szCs w:val="22"/>
      <w:lang w:eastAsia="de-DE"/>
    </w:rPr>
  </w:style>
  <w:style w:type="character" w:customStyle="1" w:styleId="Titolo8Carattere">
    <w:name w:val="Heading 8 Char"/>
    <w:link w:val="Titolo8"/>
    <w:rsid w:val="002D6E1A"/>
    <w:rPr>
      <w:i/>
      <w:iCs/>
      <w:sz w:val="22"/>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Header Char"/>
    <w:link w:val="Intestazione"/>
    <w:rsid w:val="002D6E1A"/>
    <w:rPr>
      <w:rFonts w:ascii="Georgia" w:hAnsi="Georgia"/>
      <w:sz w:val="22"/>
      <w:szCs w:val="24"/>
      <w:lang w:eastAsia="de-DE"/>
    </w:rPr>
  </w:style>
  <w:style w:type="character" w:customStyle="1" w:styleId="PidipaginaCarattere">
    <w:name w:val="Footer Char"/>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 w:val="20"/>
      <w:szCs w:val="20"/>
    </w:rPr>
  </w:style>
  <w:style w:type="character" w:customStyle="1" w:styleId="TestonotadichiusuraCarattere">
    <w:name w:val="Endnote Text Char"/>
    <w:link w:val="Testonotadichiusura"/>
    <w:rsid w:val="002D6E1A"/>
    <w:rPr>
      <w:rFonts w:ascii="Georgia" w:hAnsi="Georgia"/>
      <w:lang w:eastAsia="de-DE"/>
    </w:rPr>
  </w:style>
  <w:style w:type="paragraph" w:styleId="Numeroelenco">
    <w:name w:val="List Number"/>
    <w:basedOn w:val="Normale"/>
    <w:unhideWhenUsed/>
    <w:rsid w:val="002D6E1A"/>
    <w:pPr>
      <w:tabs>
        <w:tab w:val="num" w:pos="1417"/>
      </w:tabs>
      <w:spacing w:before="120" w:after="120"/>
      <w:ind w:left="360" w:hanging="360"/>
      <w:jc w:val="both"/>
    </w:pPr>
    <w:rPr>
      <w:rFonts w:ascii="Times New Roman" w:hAnsi="Times New Roman"/>
      <w:sz w:val="24"/>
      <w:lang w:eastAsia="en-US"/>
    </w:rPr>
  </w:style>
  <w:style w:type="character" w:customStyle="1" w:styleId="ParagrafoelencoCarattere">
    <w:name w:val="List Paragraph Char"/>
    <w:aliases w:val="Paragraphe EI Char,Paragraphe de liste1 Char,EC Char"/>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e"/>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 w:val="20"/>
      <w:szCs w:val="20"/>
      <w:u w:val="single"/>
    </w:rPr>
  </w:style>
  <w:style w:type="paragraph" w:customStyle="1" w:styleId="Bullet">
    <w:name w:val="Bullet"/>
    <w:basedOn w:val="Normale"/>
    <w:rsid w:val="002D6E1A"/>
    <w:pPr>
      <w:numPr>
        <w:numId w:val="12"/>
      </w:numPr>
      <w:tabs>
        <w:tab w:val="left" w:pos="708"/>
      </w:tabs>
      <w:spacing w:before="120" w:after="120" w:line="276" w:lineRule="auto"/>
      <w:jc w:val="both"/>
    </w:pPr>
    <w:rPr>
      <w:sz w:val="20"/>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Heading 5 Char14"/>
    <w:aliases w:val="Questions Char7"/>
    <w:link w:val="Titolo5"/>
    <w:rsid w:val="00E9344E"/>
    <w:rPr>
      <w:rFonts w:ascii="Arial" w:hAnsi="Arial"/>
      <w:b/>
      <w:sz w:val="22"/>
      <w:szCs w:val="24"/>
      <w:lang w:eastAsia="de-DE"/>
    </w:rPr>
  </w:style>
  <w:style w:type="character" w:customStyle="1" w:styleId="Titolo3Carattere">
    <w:name w:val="Heading 3 Char2"/>
    <w:link w:val="Titolo3"/>
    <w:rsid w:val="003865E5"/>
    <w:rPr>
      <w:rFonts w:ascii="Cambria" w:eastAsia="Times New Roman" w:hAnsi="Cambria" w:cs="Times New Roman"/>
      <w:b/>
      <w:bCs/>
      <w:color w:val="4F81BD"/>
      <w:sz w:val="22"/>
      <w:szCs w:val="24"/>
      <w:lang w:eastAsia="de-DE"/>
    </w:rPr>
  </w:style>
  <w:style w:type="character" w:customStyle="1" w:styleId="Titolo4Carattere">
    <w:name w:val="Heading 4 Char1"/>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tabs>
        <w:tab w:val="left" w:pos="397"/>
      </w:tabs>
      <w:suppressAutoHyphens/>
      <w:spacing w:before="480" w:after="0" w:line="280" w:lineRule="exact"/>
      <w:ind w:left="72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e"/>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 w:val="20"/>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tabs>
        <w:tab w:val="num" w:pos="360"/>
        <w:tab w:val="num" w:pos="735"/>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Puntoelenco4">
    <w:name w:val="List Bullet 4"/>
    <w:basedOn w:val="Normale"/>
    <w:rsid w:val="000D2D0B"/>
    <w:pPr>
      <w:tabs>
        <w:tab w:val="num" w:pos="1209"/>
      </w:tabs>
      <w:spacing w:before="120" w:after="120"/>
      <w:ind w:left="1209" w:hanging="360"/>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tabs>
        <w:tab w:val="left" w:pos="397"/>
      </w:tabs>
      <w:suppressAutoHyphens/>
      <w:spacing w:before="0" w:after="280"/>
      <w:ind w:left="0" w:firstLine="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le Char"/>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 Char"/>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e"/>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e"/>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58653302">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Testosegnaposto"/>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Testosegnaposto"/>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283"/>
  <w:characterSpacingControl w:val="doNotCompress"/>
  <w:compat>
    <w:useFELayout/>
    <w:compatSetting w:name="compatibilityMode" w:uri="http://schemas.microsoft.com/office/word" w:val="12"/>
  </w:compat>
  <w:rsids>
    <w:rsidRoot w:val="00B4208E"/>
    <w:rsid w:val="00064A17"/>
    <w:rsid w:val="00115F64"/>
    <w:rsid w:val="004B2C78"/>
    <w:rsid w:val="00572344"/>
    <w:rsid w:val="006A5A0A"/>
    <w:rsid w:val="008044D4"/>
    <w:rsid w:val="008437E4"/>
    <w:rsid w:val="008917E2"/>
    <w:rsid w:val="00953A5F"/>
    <w:rsid w:val="00976DBB"/>
    <w:rsid w:val="00A60765"/>
    <w:rsid w:val="00AF2479"/>
    <w:rsid w:val="00B4208E"/>
    <w:rsid w:val="00EA4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4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25B3-C2F7-4AE1-89B1-40CCEB30B241}">
  <ds:schemaRefs>
    <ds:schemaRef ds:uri="http://schemas.openxmlformats.org/officeDocument/2006/bibliography"/>
  </ds:schemaRefs>
</ds:datastoreItem>
</file>

<file path=customXml/itemProps2.xml><?xml version="1.0" encoding="utf-8"?>
<ds:datastoreItem xmlns:ds="http://schemas.openxmlformats.org/officeDocument/2006/customXml" ds:itemID="{5B915D2F-7FBC-44CE-B25F-1FE12461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2992</Words>
  <Characters>16474</Characters>
  <Application>Microsoft Office Word</Application>
  <DocSecurity>8</DocSecurity>
  <Lines>137</Lines>
  <Paragraphs>38</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19428</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D.Angeloni</cp:lastModifiedBy>
  <cp:revision>5</cp:revision>
  <cp:lastPrinted>2014-05-08T16:06:00Z</cp:lastPrinted>
  <dcterms:created xsi:type="dcterms:W3CDTF">2015-02-18T17:41:00Z</dcterms:created>
  <dcterms:modified xsi:type="dcterms:W3CDTF">2015-02-19T17:09:00Z</dcterms:modified>
</cp:coreProperties>
</file>