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1460F" w14:textId="77777777" w:rsidR="00352BDE" w:rsidRPr="00352BDE" w:rsidRDefault="00352BDE" w:rsidP="00352BDE">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r w:rsidRPr="00352BDE">
        <w:rPr>
          <w:rFonts w:ascii="Arial" w:eastAsia="Times New Roman" w:hAnsi="Arial" w:cs="Arial"/>
          <w:b/>
          <w:kern w:val="1"/>
          <w:sz w:val="24"/>
          <w:szCs w:val="24"/>
          <w:lang w:eastAsia="ar-SA"/>
        </w:rPr>
        <w:t>Annex I: CSD Cost estimates</w:t>
      </w:r>
    </w:p>
    <w:p w14:paraId="2D497335" w14:textId="77777777" w:rsidR="00352BDE" w:rsidRPr="00352BDE" w:rsidRDefault="00352BDE" w:rsidP="00352BDE">
      <w:pPr>
        <w:spacing w:after="0" w:line="240" w:lineRule="auto"/>
        <w:rPr>
          <w:rFonts w:ascii="Times" w:eastAsia="Times New Roman" w:hAnsi="Times" w:cs="Times New Roman"/>
          <w:sz w:val="20"/>
          <w:szCs w:val="20"/>
          <w:lang w:eastAsia="ar-SA"/>
        </w:rPr>
      </w:pPr>
    </w:p>
    <w:p w14:paraId="75D59636" w14:textId="77777777" w:rsidR="00352BDE" w:rsidRPr="00352BDE" w:rsidRDefault="00352BDE" w:rsidP="00352BDE">
      <w:pPr>
        <w:spacing w:after="0" w:line="240" w:lineRule="auto"/>
        <w:rPr>
          <w:rFonts w:ascii="Times" w:eastAsia="Times New Roman" w:hAnsi="Times" w:cs="Times New Roman"/>
          <w:sz w:val="20"/>
          <w:szCs w:val="20"/>
          <w:lang w:eastAsia="ar-SA"/>
        </w:rPr>
      </w:pPr>
    </w:p>
    <w:p w14:paraId="1DF08D48" w14:textId="77777777" w:rsidR="00352BDE" w:rsidRPr="00352BDE" w:rsidRDefault="00352BDE" w:rsidP="00352BDE">
      <w:pPr>
        <w:spacing w:after="0" w:line="360" w:lineRule="auto"/>
        <w:jc w:val="both"/>
        <w:rPr>
          <w:rFonts w:ascii="Arial" w:eastAsia="Times New Roman" w:hAnsi="Arial" w:cs="Arial"/>
          <w:bCs/>
          <w:sz w:val="20"/>
          <w:szCs w:val="20"/>
          <w:lang w:eastAsia="ar-SA"/>
        </w:rPr>
      </w:pPr>
      <w:r w:rsidRPr="00352BDE">
        <w:rPr>
          <w:rFonts w:ascii="Arial" w:eastAsia="Times New Roman" w:hAnsi="Arial" w:cs="Arial"/>
          <w:bCs/>
          <w:sz w:val="20"/>
          <w:szCs w:val="20"/>
          <w:lang w:eastAsia="ar-SA"/>
        </w:rPr>
        <w:t xml:space="preserve">This annex presents costs estimates collected by ECSDA in February 2015 in the context of the </w:t>
      </w:r>
      <w:hyperlink r:id="rId8" w:history="1">
        <w:r w:rsidRPr="00352BDE">
          <w:rPr>
            <w:rFonts w:ascii="Arial" w:eastAsia="Times New Roman" w:hAnsi="Arial" w:cs="Arial"/>
            <w:bCs/>
            <w:sz w:val="20"/>
            <w:szCs w:val="20"/>
            <w:lang w:eastAsia="ar-SA"/>
          </w:rPr>
          <w:t>ESMA Consultation</w:t>
        </w:r>
      </w:hyperlink>
      <w:r w:rsidRPr="00352BDE">
        <w:rPr>
          <w:rFonts w:ascii="Arial" w:eastAsia="Times New Roman" w:hAnsi="Arial" w:cs="Arial"/>
          <w:bCs/>
          <w:sz w:val="20"/>
          <w:szCs w:val="20"/>
          <w:lang w:eastAsia="ar-SA"/>
        </w:rPr>
        <w:t xml:space="preserve"> on CSDR settlement discipline. Data was collected from 19 EU CSDs (including the 2 ICSDs, Euroclear Bank and Clearstream Banking Luxembourg). </w:t>
      </w:r>
    </w:p>
    <w:p w14:paraId="3068B9C8" w14:textId="77777777" w:rsidR="00352BDE" w:rsidRPr="00352BDE" w:rsidRDefault="00352BDE" w:rsidP="00352BDE">
      <w:pPr>
        <w:widowControl w:val="0"/>
        <w:spacing w:after="0" w:line="360" w:lineRule="auto"/>
        <w:jc w:val="both"/>
        <w:rPr>
          <w:rFonts w:ascii="Arial" w:eastAsia="Courier New" w:hAnsi="Arial" w:cs="Courier New"/>
          <w:kern w:val="1"/>
          <w:sz w:val="28"/>
          <w:szCs w:val="28"/>
          <w:lang w:eastAsia="ar-SA"/>
        </w:rPr>
      </w:pPr>
    </w:p>
    <w:p w14:paraId="3CABF118" w14:textId="77777777" w:rsidR="00352BDE" w:rsidRPr="00352BDE" w:rsidRDefault="00352BDE" w:rsidP="00352BDE">
      <w:pPr>
        <w:numPr>
          <w:ilvl w:val="0"/>
          <w:numId w:val="6"/>
        </w:numPr>
        <w:shd w:val="clear" w:color="auto" w:fill="D9D9D9"/>
        <w:tabs>
          <w:tab w:val="left" w:pos="360"/>
        </w:tabs>
        <w:spacing w:after="0" w:line="276" w:lineRule="auto"/>
        <w:ind w:hanging="720"/>
        <w:jc w:val="both"/>
        <w:rPr>
          <w:rFonts w:ascii="Arial" w:eastAsia="Times New Roman" w:hAnsi="Arial" w:cs="Arial"/>
          <w:b/>
          <w:i/>
          <w:kern w:val="1"/>
          <w:sz w:val="20"/>
          <w:szCs w:val="20"/>
          <w:lang w:eastAsia="ar-SA"/>
        </w:rPr>
      </w:pPr>
      <w:r w:rsidRPr="00352BDE">
        <w:rPr>
          <w:rFonts w:ascii="Arial" w:eastAsia="Times New Roman" w:hAnsi="Arial" w:cs="Arial"/>
          <w:b/>
          <w:i/>
          <w:kern w:val="1"/>
          <w:sz w:val="20"/>
          <w:szCs w:val="20"/>
          <w:lang w:eastAsia="ar-SA"/>
        </w:rPr>
        <w:t>CSD implementation costs</w:t>
      </w:r>
    </w:p>
    <w:p w14:paraId="2B4CEB7B" w14:textId="77777777" w:rsidR="00352BDE" w:rsidRPr="00352BDE" w:rsidRDefault="00352BDE" w:rsidP="00352BDE">
      <w:pPr>
        <w:widowControl w:val="0"/>
        <w:spacing w:after="0" w:line="360" w:lineRule="auto"/>
        <w:jc w:val="both"/>
        <w:rPr>
          <w:rFonts w:ascii="Arial" w:eastAsia="Courier New" w:hAnsi="Arial" w:cs="Courier New"/>
          <w:kern w:val="1"/>
          <w:sz w:val="20"/>
          <w:szCs w:val="20"/>
          <w:lang w:eastAsia="ar-SA"/>
        </w:rPr>
      </w:pPr>
    </w:p>
    <w:p w14:paraId="40F28548" w14:textId="77777777" w:rsidR="00352BDE" w:rsidRPr="00352BDE" w:rsidRDefault="00352BDE" w:rsidP="00352BDE">
      <w:pPr>
        <w:numPr>
          <w:ilvl w:val="0"/>
          <w:numId w:val="1"/>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Total (one-off) development costs to implement the requirements proposed by ESMA in relation to settlement discipline for the 19 CSDs in the sample are expected to amount to over EUR 67 million, or EUR 3.55 million per CSD on average. The estimates provided mainly include the costs for developing the IT system required to implement the ESMA proposals. In most cases, non-IT costs, for instance in cases where no full automation is possible, were not included and would thus have to be added on top of these figures.</w:t>
      </w:r>
    </w:p>
    <w:p w14:paraId="32EFEC74"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394EFB0D" w14:textId="77777777" w:rsidR="00352BDE" w:rsidRPr="00352BDE" w:rsidRDefault="00352BDE" w:rsidP="00352BDE">
      <w:pPr>
        <w:numPr>
          <w:ilvl w:val="0"/>
          <w:numId w:val="1"/>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In addition to the one-off costs for the technical developments, CSDs estimated annual operating costs that they will face as a result of the CSDR settlement discipline technical standards. For the CSDs that participated in the survey, these would amount to EUR 13.5 million per year, or around EUR 750,000 on average per CSD.</w:t>
      </w:r>
    </w:p>
    <w:p w14:paraId="2602048E"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36758577" w14:textId="77777777" w:rsidR="00352BDE" w:rsidRPr="00352BDE" w:rsidRDefault="00352BDE" w:rsidP="00352BDE">
      <w:pPr>
        <w:numPr>
          <w:ilvl w:val="0"/>
          <w:numId w:val="1"/>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 xml:space="preserve">In order to put these figures in perspective, it is important to keep in mind that CSDs are generally small or medium size companies. The CSDs in the sample have on average 325 employees, or 132 when excluding the 2 ICSDs. Implementation costs for settlement discipline measures alone would thus translate into additional costs per employee of well over EUR 10,000. </w:t>
      </w:r>
    </w:p>
    <w:p w14:paraId="558E03D1" w14:textId="77777777" w:rsidR="00352BDE" w:rsidRPr="00352BDE" w:rsidRDefault="00352BDE" w:rsidP="00352BDE">
      <w:pPr>
        <w:spacing w:after="0" w:line="360" w:lineRule="auto"/>
        <w:jc w:val="both"/>
        <w:rPr>
          <w:rFonts w:ascii="Arial" w:eastAsia="Times New Roman" w:hAnsi="Arial" w:cs="Arial"/>
          <w:sz w:val="20"/>
          <w:szCs w:val="20"/>
          <w:lang w:eastAsia="ar-SA"/>
        </w:rPr>
      </w:pPr>
    </w:p>
    <w:p w14:paraId="44353DBF" w14:textId="77777777" w:rsidR="00352BDE" w:rsidRPr="00352BDE" w:rsidRDefault="00352BDE" w:rsidP="00352BDE">
      <w:pPr>
        <w:numPr>
          <w:ilvl w:val="0"/>
          <w:numId w:val="1"/>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 xml:space="preserve">It is moreover important to stress that implementation costs do not proportionally decrease with the size of the CSD. There are significant fixed costs in the development of the IT system, which means that smaller CSDs will have to bear a proportionately heavier burden relative to larger CSDs. Excluding the two ICSDs, for instance, leads to average costs per CSD still around EUR 2 million, or over EUR 15,000 per employee. For certain small CSDs, the costs could even reach up to EUR 30,000 per employee. </w:t>
      </w:r>
    </w:p>
    <w:p w14:paraId="498E938A"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7DBEF616" w14:textId="77777777" w:rsidR="00352BDE" w:rsidRPr="00352BDE" w:rsidRDefault="00352BDE" w:rsidP="00352BDE">
      <w:pPr>
        <w:numPr>
          <w:ilvl w:val="0"/>
          <w:numId w:val="1"/>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 xml:space="preserve">Considering that the sample of CSDs that participated in the survey seems broadly representative of the whole CSD industry in the EU and includes CSDs of various sizes, we can extrapolate from the figures above cost estimates for the entire CSD industry in the EU. Considering the average implementation costs per CSD (excluding the 2 ICSDs) mentioned above would give us total development costs for all 30 EU CSDs of around EUR 90 million and annual running costs of over EUR 18 million. </w:t>
      </w:r>
    </w:p>
    <w:p w14:paraId="21F3ABD8"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1C144F11" w14:textId="77777777" w:rsidR="00352BDE" w:rsidRPr="00352BDE" w:rsidRDefault="00352BDE" w:rsidP="00352BDE">
      <w:pPr>
        <w:numPr>
          <w:ilvl w:val="0"/>
          <w:numId w:val="1"/>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lastRenderedPageBreak/>
        <w:t>It is important to note that our estimates only cover direct CSD implementation costs. An assessment of the total costs will also have to include the costs incurred by CSD participants and other impacted infrastructures (e.g. CCPs).</w:t>
      </w:r>
    </w:p>
    <w:p w14:paraId="522A1199" w14:textId="77777777" w:rsidR="00352BDE" w:rsidRPr="00352BDE" w:rsidRDefault="00352BDE" w:rsidP="00352BDE">
      <w:pPr>
        <w:widowControl w:val="0"/>
        <w:spacing w:after="0" w:line="360" w:lineRule="auto"/>
        <w:jc w:val="both"/>
        <w:rPr>
          <w:rFonts w:ascii="Arial" w:eastAsia="Courier New" w:hAnsi="Arial" w:cs="Courier New"/>
          <w:kern w:val="1"/>
          <w:sz w:val="28"/>
          <w:szCs w:val="28"/>
          <w:lang w:eastAsia="ar-SA"/>
        </w:rPr>
      </w:pPr>
    </w:p>
    <w:p w14:paraId="32F1ECEE" w14:textId="77777777" w:rsidR="00352BDE" w:rsidRPr="00352BDE" w:rsidRDefault="00352BDE" w:rsidP="00352BDE">
      <w:pPr>
        <w:numPr>
          <w:ilvl w:val="0"/>
          <w:numId w:val="6"/>
        </w:numPr>
        <w:shd w:val="clear" w:color="auto" w:fill="D9D9D9"/>
        <w:tabs>
          <w:tab w:val="left" w:pos="360"/>
        </w:tabs>
        <w:spacing w:after="0" w:line="276" w:lineRule="auto"/>
        <w:ind w:hanging="720"/>
        <w:jc w:val="both"/>
        <w:rPr>
          <w:rFonts w:ascii="Arial" w:eastAsia="Times New Roman" w:hAnsi="Arial" w:cs="Arial"/>
          <w:b/>
          <w:i/>
          <w:kern w:val="1"/>
          <w:sz w:val="20"/>
          <w:szCs w:val="20"/>
          <w:lang w:eastAsia="ar-SA"/>
        </w:rPr>
      </w:pPr>
      <w:r w:rsidRPr="00352BDE">
        <w:rPr>
          <w:rFonts w:ascii="Arial" w:eastAsia="Times New Roman" w:hAnsi="Arial" w:cs="Arial"/>
          <w:b/>
          <w:i/>
          <w:kern w:val="1"/>
          <w:sz w:val="20"/>
          <w:szCs w:val="20"/>
          <w:lang w:eastAsia="ar-SA"/>
        </w:rPr>
        <w:t xml:space="preserve">Comparing costs of different types of requirements </w:t>
      </w:r>
    </w:p>
    <w:p w14:paraId="061B31D8" w14:textId="77777777" w:rsidR="00352BDE" w:rsidRPr="00352BDE" w:rsidRDefault="00352BDE" w:rsidP="00352BDE">
      <w:pPr>
        <w:widowControl w:val="0"/>
        <w:spacing w:after="0" w:line="360" w:lineRule="auto"/>
        <w:jc w:val="both"/>
        <w:rPr>
          <w:rFonts w:ascii="Arial" w:eastAsia="Courier New" w:hAnsi="Arial" w:cs="Courier New"/>
          <w:b/>
          <w:bCs/>
          <w:kern w:val="1"/>
          <w:sz w:val="20"/>
          <w:szCs w:val="20"/>
          <w:lang w:eastAsia="ar-SA"/>
        </w:rPr>
      </w:pPr>
    </w:p>
    <w:p w14:paraId="5C53D49A" w14:textId="77777777" w:rsidR="00352BDE" w:rsidRPr="00352BDE" w:rsidRDefault="00352BDE" w:rsidP="00352BDE">
      <w:pPr>
        <w:spacing w:after="0" w:line="360" w:lineRule="auto"/>
        <w:jc w:val="both"/>
        <w:rPr>
          <w:rFonts w:ascii="Arial" w:eastAsia="Times New Roman" w:hAnsi="Arial" w:cs="Arial"/>
          <w:sz w:val="20"/>
          <w:szCs w:val="20"/>
          <w:lang w:eastAsia="ar-SA"/>
        </w:rPr>
      </w:pPr>
      <w:r w:rsidRPr="00352BDE">
        <w:rPr>
          <w:rFonts w:ascii="Arial" w:eastAsia="Times New Roman" w:hAnsi="Arial" w:cs="Arial"/>
          <w:sz w:val="20"/>
          <w:szCs w:val="20"/>
          <w:lang w:eastAsia="ar-SA"/>
        </w:rPr>
        <w:t>In addition to total costs, ECSDA asked its members to provide a more detailed breakdown of the estimates, based on the three main types of measures proposed by ESMA in relation to settlement discipline:</w:t>
      </w:r>
    </w:p>
    <w:p w14:paraId="17100D70" w14:textId="77777777" w:rsidR="00352BDE" w:rsidRPr="00352BDE" w:rsidRDefault="00352BDE" w:rsidP="00352BDE">
      <w:pPr>
        <w:spacing w:after="0" w:line="360" w:lineRule="auto"/>
        <w:jc w:val="both"/>
        <w:rPr>
          <w:rFonts w:ascii="Arial" w:eastAsia="Times New Roman" w:hAnsi="Arial" w:cs="Arial"/>
          <w:b/>
          <w:bCs/>
          <w:sz w:val="20"/>
          <w:szCs w:val="20"/>
          <w:lang w:eastAsia="ar-SA"/>
        </w:rPr>
      </w:pPr>
    </w:p>
    <w:p w14:paraId="5DE02DF8" w14:textId="77777777" w:rsidR="00352BDE" w:rsidRPr="00352BDE" w:rsidRDefault="00352BDE" w:rsidP="00352BDE">
      <w:pPr>
        <w:numPr>
          <w:ilvl w:val="0"/>
          <w:numId w:val="7"/>
        </w:numPr>
        <w:spacing w:after="0" w:line="360" w:lineRule="auto"/>
        <w:ind w:left="284" w:hanging="284"/>
        <w:jc w:val="both"/>
        <w:rPr>
          <w:rFonts w:ascii="Arial" w:eastAsia="Times New Roman" w:hAnsi="Arial" w:cs="Arial"/>
          <w:b/>
          <w:bCs/>
          <w:kern w:val="1"/>
          <w:sz w:val="20"/>
          <w:szCs w:val="20"/>
          <w:u w:val="single"/>
          <w:lang w:eastAsia="ar-SA"/>
        </w:rPr>
      </w:pPr>
      <w:r w:rsidRPr="00352BDE">
        <w:rPr>
          <w:rFonts w:ascii="Arial" w:eastAsia="Times New Roman" w:hAnsi="Arial" w:cs="Arial"/>
          <w:b/>
          <w:bCs/>
          <w:kern w:val="1"/>
          <w:sz w:val="20"/>
          <w:szCs w:val="20"/>
          <w:u w:val="single"/>
          <w:lang w:eastAsia="ar-SA"/>
        </w:rPr>
        <w:t>Buy-in requirements (art.11 of the draft RTS)</w:t>
      </w:r>
    </w:p>
    <w:p w14:paraId="7C506A57" w14:textId="77777777" w:rsidR="00352BDE" w:rsidRPr="00352BDE" w:rsidRDefault="00352BDE" w:rsidP="00352BDE">
      <w:pPr>
        <w:spacing w:after="0" w:line="360" w:lineRule="auto"/>
        <w:jc w:val="both"/>
        <w:rPr>
          <w:rFonts w:ascii="Arial" w:eastAsia="Times New Roman" w:hAnsi="Arial" w:cs="Arial"/>
          <w:bCs/>
          <w:sz w:val="20"/>
          <w:szCs w:val="20"/>
          <w:lang w:eastAsia="ar-SA"/>
        </w:rPr>
      </w:pPr>
    </w:p>
    <w:p w14:paraId="340C9759" w14:textId="77777777" w:rsidR="00352BDE" w:rsidRPr="00352BDE" w:rsidRDefault="00352BDE" w:rsidP="00352BDE">
      <w:pPr>
        <w:numPr>
          <w:ilvl w:val="0"/>
          <w:numId w:val="2"/>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 xml:space="preserve">The numbers show that the proposed buy-in rules are likely to be the most costly ones for CSDs to implement, with total implementation costs of around EUR 24.5 million, or on average close to 1.3 million per CSD. </w:t>
      </w:r>
    </w:p>
    <w:p w14:paraId="62170207"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27B5B870" w14:textId="77777777" w:rsidR="00352BDE" w:rsidRPr="00352BDE" w:rsidRDefault="00352BDE" w:rsidP="00352BDE">
      <w:pPr>
        <w:numPr>
          <w:ilvl w:val="0"/>
          <w:numId w:val="2"/>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 xml:space="preserve">In addition, yearly running costs for CSDs to fulfil their responsibilities under the buy-in proposals are expected to add up to nearly EUR 5 million per year, or on average more than EUR 250,000 per CSD. </w:t>
      </w:r>
    </w:p>
    <w:p w14:paraId="017157C4"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74409AB8" w14:textId="77777777" w:rsidR="00352BDE" w:rsidRPr="00352BDE" w:rsidRDefault="00352BDE" w:rsidP="00352BDE">
      <w:pPr>
        <w:numPr>
          <w:ilvl w:val="0"/>
          <w:numId w:val="2"/>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 xml:space="preserve">There are several important additional considerations that have to be taken into account in relation to the buy-in proposals and implementation costs: </w:t>
      </w:r>
    </w:p>
    <w:p w14:paraId="6D7C7E9A" w14:textId="77777777" w:rsidR="00352BDE" w:rsidRPr="00352BDE" w:rsidRDefault="00352BDE" w:rsidP="00352BDE">
      <w:pPr>
        <w:spacing w:after="0" w:line="360" w:lineRule="auto"/>
        <w:rPr>
          <w:rFonts w:ascii="Arial" w:eastAsia="Times New Roman" w:hAnsi="Arial" w:cs="Arial"/>
          <w:kern w:val="1"/>
          <w:sz w:val="20"/>
          <w:szCs w:val="20"/>
          <w:lang w:eastAsia="ar-SA"/>
        </w:rPr>
      </w:pPr>
    </w:p>
    <w:p w14:paraId="5C11C5C4" w14:textId="77777777" w:rsidR="00352BDE" w:rsidRPr="00352BDE" w:rsidRDefault="00352BDE" w:rsidP="00352BDE">
      <w:pPr>
        <w:numPr>
          <w:ilvl w:val="1"/>
          <w:numId w:val="2"/>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First of all, there are substantial remaining uncertainties around the buy-in process. CSDs believe that some of the measures described by ESMA in the draft RTS are simply impossible to implement in practice, and their costs can thus not be estimated. This is for instance the case for art.11(10).</w:t>
      </w:r>
    </w:p>
    <w:p w14:paraId="30DCD8BB" w14:textId="77777777" w:rsidR="00352BDE" w:rsidRPr="00352BDE" w:rsidRDefault="00352BDE" w:rsidP="00352BDE">
      <w:pPr>
        <w:spacing w:after="0" w:line="360" w:lineRule="auto"/>
        <w:ind w:left="1080"/>
        <w:jc w:val="both"/>
        <w:rPr>
          <w:rFonts w:ascii="Arial" w:eastAsia="Times New Roman" w:hAnsi="Arial" w:cs="Arial"/>
          <w:kern w:val="1"/>
          <w:sz w:val="20"/>
          <w:szCs w:val="20"/>
          <w:lang w:eastAsia="ar-SA"/>
        </w:rPr>
      </w:pPr>
    </w:p>
    <w:p w14:paraId="23734052" w14:textId="77777777" w:rsidR="00352BDE" w:rsidRPr="00352BDE" w:rsidRDefault="00352BDE" w:rsidP="00352BDE">
      <w:pPr>
        <w:numPr>
          <w:ilvl w:val="1"/>
          <w:numId w:val="2"/>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Similarly, the fact that CSDs are typically not involved in buy-ins today makes it difficult for them to accurately estimate implementation costs of the proposed measures. For instance, it is difficult to see at this stage the level of automation in the process that can be achieved. In case the process would require significant manual intervention on the side of the CSD (which many CSDs currently expect), the real cost would be substantially higher than the costs reported above.</w:t>
      </w:r>
    </w:p>
    <w:p w14:paraId="17776115" w14:textId="77777777" w:rsidR="00352BDE" w:rsidRPr="00352BDE" w:rsidRDefault="00352BDE" w:rsidP="00352BDE">
      <w:pPr>
        <w:spacing w:after="0" w:line="360" w:lineRule="auto"/>
        <w:ind w:left="1080"/>
        <w:jc w:val="both"/>
        <w:rPr>
          <w:rFonts w:ascii="Arial" w:eastAsia="Times New Roman" w:hAnsi="Arial" w:cs="Arial"/>
          <w:kern w:val="1"/>
          <w:sz w:val="20"/>
          <w:szCs w:val="20"/>
          <w:lang w:eastAsia="ar-SA"/>
        </w:rPr>
      </w:pPr>
    </w:p>
    <w:p w14:paraId="59D42D8E" w14:textId="77777777" w:rsidR="00352BDE" w:rsidRPr="00352BDE" w:rsidRDefault="00352BDE" w:rsidP="00352BDE">
      <w:pPr>
        <w:numPr>
          <w:ilvl w:val="1"/>
          <w:numId w:val="2"/>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 xml:space="preserve">Moreover, the costs only include direct implementation costs for the CSD. They do not account for the impact of the measures on the CSD’s risk profile. Although hard to quantify, the negative impact in terms of increased systemic risk could be significant, for the CSD but more importantly for the market as a whole. </w:t>
      </w:r>
    </w:p>
    <w:p w14:paraId="3BE49301" w14:textId="77777777" w:rsidR="00352BDE" w:rsidRPr="00352BDE" w:rsidRDefault="00352BDE" w:rsidP="00352BDE">
      <w:pPr>
        <w:spacing w:after="0" w:line="360" w:lineRule="auto"/>
        <w:ind w:left="1080"/>
        <w:jc w:val="both"/>
        <w:rPr>
          <w:rFonts w:ascii="Arial" w:eastAsia="Times New Roman" w:hAnsi="Arial" w:cs="Arial"/>
          <w:kern w:val="1"/>
          <w:sz w:val="20"/>
          <w:szCs w:val="20"/>
          <w:lang w:eastAsia="ar-SA"/>
        </w:rPr>
      </w:pPr>
    </w:p>
    <w:p w14:paraId="4AE84EDA" w14:textId="77777777" w:rsidR="00352BDE" w:rsidRPr="00352BDE" w:rsidRDefault="00352BDE" w:rsidP="00352BDE">
      <w:pPr>
        <w:numPr>
          <w:ilvl w:val="1"/>
          <w:numId w:val="2"/>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lastRenderedPageBreak/>
        <w:t>This is also true for the wider market impact of the buy-in rules (see Annex II). Handling buy-ins at settlement level rather than at trading level would lead to various other problems, as explained in our response to the ESMA Consultation. The resulting sub-optimal outcome would need to be factored in when assessing the costs and benefits of the proposed measures.</w:t>
      </w:r>
    </w:p>
    <w:p w14:paraId="4D25D198" w14:textId="77777777" w:rsidR="00352BDE" w:rsidRPr="00352BDE" w:rsidRDefault="00352BDE" w:rsidP="00352BDE">
      <w:pPr>
        <w:spacing w:after="0" w:line="360" w:lineRule="auto"/>
        <w:jc w:val="both"/>
        <w:rPr>
          <w:rFonts w:ascii="Arial" w:eastAsia="Times New Roman" w:hAnsi="Arial" w:cs="Arial"/>
          <w:b/>
          <w:bCs/>
          <w:sz w:val="20"/>
          <w:szCs w:val="20"/>
          <w:u w:val="single"/>
          <w:lang w:eastAsia="ar-SA"/>
        </w:rPr>
      </w:pPr>
    </w:p>
    <w:p w14:paraId="3EE68A3D" w14:textId="77777777" w:rsidR="00352BDE" w:rsidRPr="00352BDE" w:rsidRDefault="00352BDE" w:rsidP="00352BDE">
      <w:pPr>
        <w:numPr>
          <w:ilvl w:val="0"/>
          <w:numId w:val="7"/>
        </w:numPr>
        <w:spacing w:after="0" w:line="360" w:lineRule="auto"/>
        <w:ind w:left="284" w:hanging="284"/>
        <w:jc w:val="both"/>
        <w:rPr>
          <w:rFonts w:ascii="Arial" w:eastAsia="Times New Roman" w:hAnsi="Arial" w:cs="Arial"/>
          <w:b/>
          <w:bCs/>
          <w:kern w:val="1"/>
          <w:sz w:val="20"/>
          <w:szCs w:val="20"/>
          <w:u w:val="single"/>
          <w:lang w:eastAsia="ar-SA"/>
        </w:rPr>
      </w:pPr>
      <w:r w:rsidRPr="00352BDE">
        <w:rPr>
          <w:rFonts w:ascii="Arial" w:eastAsia="Times New Roman" w:hAnsi="Arial" w:cs="Arial"/>
          <w:b/>
          <w:bCs/>
          <w:kern w:val="1"/>
          <w:sz w:val="20"/>
          <w:szCs w:val="20"/>
          <w:u w:val="single"/>
          <w:lang w:eastAsia="ar-SA"/>
        </w:rPr>
        <w:t>Preventing, monitoring and reporting fails (art.3-6 of the draft RTS)</w:t>
      </w:r>
    </w:p>
    <w:p w14:paraId="2D520DB8" w14:textId="77777777" w:rsidR="00352BDE" w:rsidRPr="00352BDE" w:rsidRDefault="00352BDE" w:rsidP="00352BDE">
      <w:pPr>
        <w:spacing w:after="0" w:line="360" w:lineRule="auto"/>
        <w:jc w:val="both"/>
        <w:rPr>
          <w:rFonts w:ascii="Arial" w:eastAsia="Times New Roman" w:hAnsi="Arial" w:cs="Arial"/>
          <w:sz w:val="20"/>
          <w:szCs w:val="20"/>
          <w:lang w:eastAsia="ar-SA"/>
        </w:rPr>
      </w:pPr>
    </w:p>
    <w:p w14:paraId="3FE5113A" w14:textId="77777777" w:rsidR="00352BDE" w:rsidRPr="00352BDE" w:rsidRDefault="00352BDE" w:rsidP="00352BDE">
      <w:pPr>
        <w:numPr>
          <w:ilvl w:val="0"/>
          <w:numId w:val="3"/>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Expected costs to implement the proposed requirements on preventing and monitoring fails are expected to be very close to the ones required for buy-ins. CSDs estimate total implementation costs to amount to nearly EUR 24 million, or EUR 1.25 million per CSD on average. The high costs are partly due to need for the ICSDs to implement the functionalities and reporting not just in relation to EU "domestic" transactions, but also to their international business.</w:t>
      </w:r>
    </w:p>
    <w:p w14:paraId="51D2BF8D"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1D0B6A21" w14:textId="77777777" w:rsidR="00352BDE" w:rsidRPr="00352BDE" w:rsidRDefault="00352BDE" w:rsidP="00352BDE">
      <w:pPr>
        <w:numPr>
          <w:ilvl w:val="0"/>
          <w:numId w:val="3"/>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On the other hand, it is worth noting that there are significant cost differences across national CSDs, in particular between those participating in T2S and those outside T2S. The functionalities required by the draft technical standards will be available in T2S and were thus not separately counted by CSDs participating in T2S, since they are perceived as part of the general T2S costs. For CSDs outside T2S however, implementing the compulsory functionalities, in particular partial settlement, will cause substantial costs.</w:t>
      </w:r>
    </w:p>
    <w:p w14:paraId="59F328A9"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606BCFD5" w14:textId="77777777" w:rsidR="00352BDE" w:rsidRPr="00352BDE" w:rsidRDefault="00352BDE" w:rsidP="00352BDE">
      <w:pPr>
        <w:numPr>
          <w:ilvl w:val="0"/>
          <w:numId w:val="3"/>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 xml:space="preserve">Once implemented, the system for preventing and monitoring fails will have to be maintained. This is expected to cause further yearly operating costs similar to the ones for buy-ins, i.e. nearly EUR 5 million or over EUR 250,000 per CSD. </w:t>
      </w:r>
    </w:p>
    <w:p w14:paraId="2311028F" w14:textId="77777777" w:rsidR="00352BDE" w:rsidRPr="00352BDE" w:rsidRDefault="00352BDE" w:rsidP="00352BDE">
      <w:pPr>
        <w:spacing w:after="0" w:line="360" w:lineRule="auto"/>
        <w:jc w:val="both"/>
        <w:rPr>
          <w:rFonts w:ascii="Arial" w:eastAsia="Times New Roman" w:hAnsi="Arial" w:cs="Arial"/>
          <w:sz w:val="20"/>
          <w:szCs w:val="20"/>
          <w:lang w:eastAsia="ar-SA"/>
        </w:rPr>
      </w:pPr>
    </w:p>
    <w:p w14:paraId="5E9BFC2B" w14:textId="77777777" w:rsidR="00352BDE" w:rsidRPr="00352BDE" w:rsidRDefault="00352BDE" w:rsidP="00352BDE">
      <w:pPr>
        <w:numPr>
          <w:ilvl w:val="0"/>
          <w:numId w:val="7"/>
        </w:numPr>
        <w:spacing w:after="0" w:line="360" w:lineRule="auto"/>
        <w:ind w:left="284" w:hanging="284"/>
        <w:jc w:val="both"/>
        <w:rPr>
          <w:rFonts w:ascii="Arial" w:eastAsia="Times New Roman" w:hAnsi="Arial" w:cs="Arial"/>
          <w:b/>
          <w:bCs/>
          <w:kern w:val="1"/>
          <w:sz w:val="20"/>
          <w:szCs w:val="20"/>
          <w:u w:val="single"/>
          <w:lang w:eastAsia="ar-SA"/>
        </w:rPr>
      </w:pPr>
      <w:r w:rsidRPr="00352BDE">
        <w:rPr>
          <w:rFonts w:ascii="Arial" w:eastAsia="Times New Roman" w:hAnsi="Arial" w:cs="Arial"/>
          <w:b/>
          <w:bCs/>
          <w:kern w:val="1"/>
          <w:sz w:val="20"/>
          <w:szCs w:val="20"/>
          <w:u w:val="single"/>
          <w:lang w:eastAsia="ar-SA"/>
        </w:rPr>
        <w:t>Late settlement penalties (art.7-10 of the draft RTS)</w:t>
      </w:r>
    </w:p>
    <w:p w14:paraId="2125DDC2" w14:textId="77777777" w:rsidR="00352BDE" w:rsidRPr="00352BDE" w:rsidRDefault="00352BDE" w:rsidP="00352BDE">
      <w:pPr>
        <w:spacing w:after="0" w:line="360" w:lineRule="auto"/>
        <w:jc w:val="both"/>
        <w:rPr>
          <w:rFonts w:ascii="Arial" w:eastAsia="Times New Roman" w:hAnsi="Arial" w:cs="Arial"/>
          <w:sz w:val="20"/>
          <w:szCs w:val="20"/>
          <w:lang w:eastAsia="ar-SA"/>
        </w:rPr>
      </w:pPr>
    </w:p>
    <w:p w14:paraId="44B910AD" w14:textId="77777777" w:rsidR="00352BDE" w:rsidRPr="00352BDE" w:rsidRDefault="00352BDE" w:rsidP="00352BDE">
      <w:pPr>
        <w:numPr>
          <w:ilvl w:val="0"/>
          <w:numId w:val="4"/>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 xml:space="preserve">Total reported costs for implementing the mechanism for cash penalties for late settlement amount to around EUR 19 million or around EUR 1 million per CSD. </w:t>
      </w:r>
    </w:p>
    <w:p w14:paraId="0AC19557"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3F8AF1F0" w14:textId="77777777" w:rsidR="00352BDE" w:rsidRPr="00352BDE" w:rsidRDefault="00352BDE" w:rsidP="00352BDE">
      <w:pPr>
        <w:numPr>
          <w:ilvl w:val="0"/>
          <w:numId w:val="4"/>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In addition, annual running costs are expected to be close to EUR 4 million or on average over EUR 200,000 per CSD.</w:t>
      </w:r>
    </w:p>
    <w:p w14:paraId="50705B07" w14:textId="77777777" w:rsidR="00352BDE" w:rsidRPr="00352BDE" w:rsidRDefault="00352BDE" w:rsidP="00352BDE">
      <w:pPr>
        <w:spacing w:after="0" w:line="360" w:lineRule="auto"/>
        <w:ind w:left="360"/>
        <w:jc w:val="both"/>
        <w:rPr>
          <w:rFonts w:ascii="Arial" w:eastAsia="Times New Roman" w:hAnsi="Arial" w:cs="Arial"/>
          <w:kern w:val="1"/>
          <w:sz w:val="20"/>
          <w:szCs w:val="20"/>
          <w:lang w:eastAsia="ar-SA"/>
        </w:rPr>
      </w:pPr>
    </w:p>
    <w:p w14:paraId="01610964" w14:textId="77777777" w:rsidR="00352BDE" w:rsidRPr="00352BDE" w:rsidRDefault="00352BDE" w:rsidP="00352BDE">
      <w:pPr>
        <w:numPr>
          <w:ilvl w:val="0"/>
          <w:numId w:val="4"/>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It is important to note that these figures only cover direct costs for CSDs having to implement the necessary IT system and do not take into account the wider market impact of cash penalties (see Annex II).</w:t>
      </w:r>
    </w:p>
    <w:p w14:paraId="02B1FFBF" w14:textId="77777777" w:rsidR="00352BDE" w:rsidRPr="00352BDE" w:rsidRDefault="00352BDE" w:rsidP="00352BDE">
      <w:pPr>
        <w:widowControl w:val="0"/>
        <w:spacing w:after="0" w:line="360" w:lineRule="auto"/>
        <w:jc w:val="both"/>
        <w:rPr>
          <w:rFonts w:ascii="Arial" w:eastAsia="Courier New" w:hAnsi="Arial" w:cs="Courier New"/>
          <w:b/>
          <w:kern w:val="1"/>
          <w:sz w:val="28"/>
          <w:szCs w:val="28"/>
          <w:lang w:eastAsia="ar-SA"/>
        </w:rPr>
      </w:pPr>
    </w:p>
    <w:p w14:paraId="01AD01A2" w14:textId="77777777" w:rsidR="00352BDE" w:rsidRPr="00352BDE" w:rsidRDefault="00352BDE" w:rsidP="00352BDE">
      <w:pPr>
        <w:widowControl w:val="0"/>
        <w:spacing w:after="0" w:line="360" w:lineRule="auto"/>
        <w:jc w:val="both"/>
        <w:rPr>
          <w:rFonts w:ascii="Arial" w:eastAsia="Courier New" w:hAnsi="Arial" w:cs="Courier New"/>
          <w:b/>
          <w:kern w:val="1"/>
          <w:sz w:val="28"/>
          <w:szCs w:val="28"/>
          <w:lang w:eastAsia="ar-SA"/>
        </w:rPr>
      </w:pPr>
    </w:p>
    <w:p w14:paraId="65244826" w14:textId="77777777" w:rsidR="00352BDE" w:rsidRPr="00352BDE" w:rsidRDefault="00352BDE" w:rsidP="00352BDE">
      <w:pPr>
        <w:widowControl w:val="0"/>
        <w:spacing w:after="0" w:line="360" w:lineRule="auto"/>
        <w:jc w:val="both"/>
        <w:rPr>
          <w:rFonts w:ascii="Arial" w:eastAsia="Courier New" w:hAnsi="Arial" w:cs="Courier New"/>
          <w:b/>
          <w:kern w:val="1"/>
          <w:sz w:val="28"/>
          <w:szCs w:val="28"/>
          <w:lang w:eastAsia="ar-SA"/>
        </w:rPr>
      </w:pPr>
    </w:p>
    <w:p w14:paraId="3BF0D662" w14:textId="77777777" w:rsidR="00352BDE" w:rsidRPr="00352BDE" w:rsidRDefault="00352BDE" w:rsidP="00352BDE">
      <w:pPr>
        <w:numPr>
          <w:ilvl w:val="0"/>
          <w:numId w:val="6"/>
        </w:numPr>
        <w:shd w:val="clear" w:color="auto" w:fill="D9D9D9"/>
        <w:tabs>
          <w:tab w:val="left" w:pos="360"/>
        </w:tabs>
        <w:spacing w:after="0" w:line="276" w:lineRule="auto"/>
        <w:ind w:hanging="720"/>
        <w:jc w:val="both"/>
        <w:rPr>
          <w:rFonts w:ascii="Arial" w:eastAsia="Times New Roman" w:hAnsi="Arial" w:cs="Arial"/>
          <w:b/>
          <w:i/>
          <w:kern w:val="1"/>
          <w:sz w:val="20"/>
          <w:szCs w:val="20"/>
          <w:lang w:eastAsia="ar-SA"/>
        </w:rPr>
      </w:pPr>
      <w:r w:rsidRPr="00352BDE">
        <w:rPr>
          <w:rFonts w:ascii="Arial" w:eastAsia="Times New Roman" w:hAnsi="Arial" w:cs="Arial"/>
          <w:b/>
          <w:i/>
          <w:kern w:val="1"/>
          <w:sz w:val="20"/>
          <w:szCs w:val="20"/>
          <w:lang w:eastAsia="ar-SA"/>
        </w:rPr>
        <w:lastRenderedPageBreak/>
        <w:t xml:space="preserve">Implementation timeline </w:t>
      </w:r>
    </w:p>
    <w:p w14:paraId="215D42A6" w14:textId="77777777" w:rsidR="00352BDE" w:rsidRPr="00352BDE" w:rsidRDefault="00352BDE" w:rsidP="00352BDE">
      <w:pPr>
        <w:spacing w:after="0" w:line="360" w:lineRule="auto"/>
        <w:jc w:val="both"/>
        <w:rPr>
          <w:rFonts w:ascii="Arial" w:eastAsia="Times New Roman" w:hAnsi="Arial" w:cs="Arial"/>
          <w:sz w:val="20"/>
          <w:szCs w:val="20"/>
          <w:u w:val="single"/>
          <w:lang w:eastAsia="ar-SA"/>
        </w:rPr>
      </w:pPr>
    </w:p>
    <w:p w14:paraId="11D29401" w14:textId="77777777" w:rsidR="00352BDE" w:rsidRPr="00352BDE" w:rsidRDefault="00352BDE" w:rsidP="00352BDE">
      <w:pPr>
        <w:spacing w:after="0" w:line="360" w:lineRule="auto"/>
        <w:jc w:val="both"/>
        <w:rPr>
          <w:rFonts w:ascii="Arial" w:eastAsia="Times New Roman" w:hAnsi="Arial" w:cs="Arial"/>
          <w:sz w:val="20"/>
          <w:szCs w:val="20"/>
          <w:lang w:eastAsia="ar-SA"/>
        </w:rPr>
      </w:pPr>
      <w:r w:rsidRPr="00352BDE">
        <w:rPr>
          <w:rFonts w:ascii="Arial" w:eastAsia="Times New Roman" w:hAnsi="Arial" w:cs="Arial"/>
          <w:sz w:val="20"/>
          <w:szCs w:val="20"/>
          <w:lang w:eastAsia="ar-SA"/>
        </w:rPr>
        <w:t>Finally, ECSDA asked its members to estimate the timeline necessary to implement the proposed settlement discipline measures:</w:t>
      </w:r>
    </w:p>
    <w:p w14:paraId="56849898" w14:textId="77777777" w:rsidR="00352BDE" w:rsidRPr="00352BDE" w:rsidRDefault="00352BDE" w:rsidP="00352BDE">
      <w:pPr>
        <w:spacing w:after="0" w:line="360" w:lineRule="auto"/>
        <w:jc w:val="both"/>
        <w:rPr>
          <w:rFonts w:ascii="Arial" w:eastAsia="Times New Roman" w:hAnsi="Arial" w:cs="Arial"/>
          <w:sz w:val="20"/>
          <w:szCs w:val="20"/>
          <w:lang w:eastAsia="ar-SA"/>
        </w:rPr>
      </w:pPr>
    </w:p>
    <w:p w14:paraId="37DEDBD5" w14:textId="77777777" w:rsidR="00352BDE" w:rsidRPr="00352BDE" w:rsidRDefault="00352BDE" w:rsidP="00352BDE">
      <w:pPr>
        <w:numPr>
          <w:ilvl w:val="0"/>
          <w:numId w:val="5"/>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CSDs which participated in the survey estimated on average that they would need more than 23 months to implement the proposed requirements.</w:t>
      </w:r>
    </w:p>
    <w:p w14:paraId="7BA44155" w14:textId="77777777" w:rsidR="00352BDE" w:rsidRPr="00352BDE" w:rsidRDefault="00352BDE" w:rsidP="00352BDE">
      <w:pPr>
        <w:spacing w:after="0" w:line="360" w:lineRule="auto"/>
        <w:ind w:left="360"/>
        <w:contextualSpacing/>
        <w:jc w:val="both"/>
        <w:rPr>
          <w:rFonts w:ascii="Arial" w:eastAsia="Times New Roman" w:hAnsi="Arial" w:cs="Arial"/>
          <w:kern w:val="1"/>
          <w:sz w:val="20"/>
          <w:szCs w:val="20"/>
          <w:lang w:eastAsia="ar-SA"/>
        </w:rPr>
      </w:pPr>
    </w:p>
    <w:p w14:paraId="676B5A9B" w14:textId="77777777" w:rsidR="00352BDE" w:rsidRPr="00352BDE" w:rsidRDefault="00352BDE" w:rsidP="00352BDE">
      <w:pPr>
        <w:numPr>
          <w:ilvl w:val="0"/>
          <w:numId w:val="5"/>
        </w:numPr>
        <w:spacing w:after="0" w:line="360" w:lineRule="auto"/>
        <w:contextualSpacing/>
        <w:jc w:val="both"/>
        <w:rPr>
          <w:rFonts w:ascii="Arial" w:eastAsia="Times New Roman" w:hAnsi="Arial" w:cs="Arial"/>
          <w:kern w:val="1"/>
          <w:sz w:val="20"/>
          <w:szCs w:val="20"/>
          <w:lang w:eastAsia="ar-SA"/>
        </w:rPr>
      </w:pPr>
      <w:r w:rsidRPr="00352BDE">
        <w:rPr>
          <w:rFonts w:ascii="Arial" w:eastAsia="Times New Roman" w:hAnsi="Arial" w:cs="Arial"/>
          <w:kern w:val="1"/>
          <w:sz w:val="20"/>
          <w:szCs w:val="20"/>
          <w:lang w:eastAsia="ar-SA"/>
        </w:rPr>
        <w:t>Estimates were quite consistent across CSDs, ranging between 18 and up to 36 months. It is however important to keep in mind that the maximum implementation time specified by the legal text will have to take as a reference the upper bound of these figures. This is particularly key for CSDs participating in T2S, who will only be able to start implementing the new settlement discipline regime once migration to T2S and the related testing have been completed.</w:t>
      </w:r>
    </w:p>
    <w:p w14:paraId="5A832091" w14:textId="599B2DD9"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67F78BB9"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1EB83723"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1C280804"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6C8542D"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0E520A35"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7C5E4E25"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8E8D8CD"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27D217F3"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1ED9932"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531AFDC9"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D86F411"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D4E072B"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575D20A"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5407A62B"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47EA5F9"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9B21FF1"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51803C43"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3F94BCC4"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81A90A8"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3E2C549F"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45B73E90"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21E7FC3F" w14:textId="77777777" w:rsid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p>
    <w:p w14:paraId="5F5007EC" w14:textId="0992A9A7" w:rsidR="009D5753" w:rsidRPr="009D5753" w:rsidRDefault="009D5753" w:rsidP="009D5753">
      <w:pPr>
        <w:pBdr>
          <w:bottom w:val="single" w:sz="4" w:space="1" w:color="000000"/>
        </w:pBdr>
        <w:tabs>
          <w:tab w:val="left" w:pos="567"/>
        </w:tabs>
        <w:spacing w:after="0" w:line="360" w:lineRule="auto"/>
        <w:ind w:left="567" w:hanging="567"/>
        <w:jc w:val="both"/>
        <w:outlineLvl w:val="0"/>
        <w:rPr>
          <w:rFonts w:ascii="Arial" w:eastAsia="Times New Roman" w:hAnsi="Arial" w:cs="Arial"/>
          <w:b/>
          <w:kern w:val="1"/>
          <w:sz w:val="24"/>
          <w:szCs w:val="24"/>
          <w:lang w:eastAsia="ar-SA"/>
        </w:rPr>
      </w:pPr>
      <w:r w:rsidRPr="009D5753">
        <w:rPr>
          <w:rFonts w:ascii="Arial" w:eastAsia="Times New Roman" w:hAnsi="Arial" w:cs="Arial"/>
          <w:b/>
          <w:kern w:val="1"/>
          <w:sz w:val="24"/>
          <w:szCs w:val="24"/>
          <w:lang w:eastAsia="ar-SA"/>
        </w:rPr>
        <w:lastRenderedPageBreak/>
        <w:t xml:space="preserve">Annex II: Assessment of the market impact </w:t>
      </w:r>
    </w:p>
    <w:p w14:paraId="1C4CE2CC" w14:textId="77777777" w:rsidR="009D5753" w:rsidRPr="009D5753" w:rsidRDefault="009D5753" w:rsidP="009D5753">
      <w:pPr>
        <w:spacing w:after="0" w:line="240" w:lineRule="auto"/>
        <w:rPr>
          <w:rFonts w:ascii="Times" w:eastAsia="Times New Roman" w:hAnsi="Times" w:cs="Times New Roman"/>
          <w:sz w:val="20"/>
          <w:szCs w:val="20"/>
          <w:lang w:eastAsia="ar-SA"/>
        </w:rPr>
      </w:pPr>
    </w:p>
    <w:p w14:paraId="4CA55B77" w14:textId="77777777" w:rsidR="009D5753" w:rsidRPr="009D5753" w:rsidRDefault="009D5753" w:rsidP="009D5753">
      <w:pPr>
        <w:spacing w:after="0" w:line="360" w:lineRule="auto"/>
        <w:rPr>
          <w:rFonts w:ascii="Times" w:eastAsia="Times New Roman" w:hAnsi="Times" w:cs="Times New Roman"/>
          <w:sz w:val="20"/>
          <w:szCs w:val="20"/>
          <w:lang w:eastAsia="ar-SA"/>
        </w:rPr>
      </w:pPr>
    </w:p>
    <w:p w14:paraId="7EB2B646" w14:textId="77777777" w:rsidR="009D5753" w:rsidRPr="009D5753" w:rsidRDefault="009D5753" w:rsidP="009D5753">
      <w:pPr>
        <w:spacing w:after="0" w:line="360" w:lineRule="auto"/>
        <w:jc w:val="both"/>
        <w:rPr>
          <w:rFonts w:ascii="Arial" w:eastAsia="Courier New" w:hAnsi="Arial" w:cs="Courier New"/>
          <w:kern w:val="1"/>
          <w:sz w:val="20"/>
          <w:szCs w:val="20"/>
          <w:lang w:eastAsia="ar-SA"/>
        </w:rPr>
      </w:pPr>
      <w:r w:rsidRPr="009D5753">
        <w:rPr>
          <w:rFonts w:ascii="Arial" w:eastAsia="Times New Roman" w:hAnsi="Arial" w:cs="Arial"/>
          <w:bCs/>
          <w:sz w:val="20"/>
          <w:szCs w:val="20"/>
          <w:lang w:eastAsia="ar-SA"/>
        </w:rPr>
        <w:t xml:space="preserve">This annex presents </w:t>
      </w:r>
      <w:r w:rsidRPr="009D5753">
        <w:rPr>
          <w:rFonts w:ascii="Arial" w:eastAsia="Courier New" w:hAnsi="Arial" w:cs="Courier New"/>
          <w:kern w:val="1"/>
          <w:sz w:val="20"/>
          <w:szCs w:val="20"/>
          <w:lang w:eastAsia="ar-SA"/>
        </w:rPr>
        <w:t>a simulation exercise undertaken by ECSDA in order to help assess the market impact of the settlement discipline measures proposed by ESMA in the draft CSDR Lev</w:t>
      </w:r>
      <w:bookmarkStart w:id="0" w:name="_GoBack"/>
      <w:bookmarkEnd w:id="0"/>
      <w:r w:rsidRPr="009D5753">
        <w:rPr>
          <w:rFonts w:ascii="Arial" w:eastAsia="Courier New" w:hAnsi="Arial" w:cs="Courier New"/>
          <w:kern w:val="1"/>
          <w:sz w:val="20"/>
          <w:szCs w:val="20"/>
          <w:lang w:eastAsia="ar-SA"/>
        </w:rPr>
        <w:t xml:space="preserve">el 2 standards. The analysis is based on settlement fails data collected from 17 EU CSDs (including the 2 ICSDs) in February 2015. The figures are based on monthly data for November 2014. </w:t>
      </w:r>
    </w:p>
    <w:p w14:paraId="290797AA" w14:textId="77777777" w:rsidR="009D5753" w:rsidRPr="009D5753" w:rsidRDefault="009D5753" w:rsidP="009D5753">
      <w:pPr>
        <w:widowControl w:val="0"/>
        <w:spacing w:after="0" w:line="360" w:lineRule="auto"/>
        <w:jc w:val="both"/>
        <w:rPr>
          <w:rFonts w:ascii="Arial" w:eastAsia="Courier New" w:hAnsi="Arial" w:cs="Courier New"/>
          <w:kern w:val="1"/>
          <w:sz w:val="28"/>
          <w:szCs w:val="28"/>
          <w:lang w:eastAsia="ar-SA"/>
        </w:rPr>
      </w:pPr>
    </w:p>
    <w:p w14:paraId="23520E88" w14:textId="77777777" w:rsidR="009D5753" w:rsidRPr="009D5753" w:rsidRDefault="009D5753" w:rsidP="009D5753">
      <w:pPr>
        <w:numPr>
          <w:ilvl w:val="0"/>
          <w:numId w:val="9"/>
        </w:numPr>
        <w:shd w:val="clear" w:color="auto" w:fill="D9D9D9"/>
        <w:tabs>
          <w:tab w:val="left" w:pos="360"/>
        </w:tabs>
        <w:spacing w:after="0" w:line="276" w:lineRule="auto"/>
        <w:ind w:hanging="720"/>
        <w:jc w:val="both"/>
        <w:rPr>
          <w:rFonts w:ascii="Arial" w:eastAsia="Times New Roman" w:hAnsi="Arial" w:cs="Arial"/>
          <w:b/>
          <w:i/>
          <w:kern w:val="1"/>
          <w:sz w:val="20"/>
          <w:szCs w:val="20"/>
          <w:lang w:eastAsia="ar-SA"/>
        </w:rPr>
      </w:pPr>
      <w:r w:rsidRPr="009D5753">
        <w:rPr>
          <w:rFonts w:ascii="Arial" w:eastAsia="Times New Roman" w:hAnsi="Arial" w:cs="Arial"/>
          <w:b/>
          <w:i/>
          <w:kern w:val="1"/>
          <w:sz w:val="20"/>
          <w:szCs w:val="20"/>
          <w:lang w:eastAsia="ar-SA"/>
        </w:rPr>
        <w:t>Basis for the market impact analysis</w:t>
      </w:r>
    </w:p>
    <w:p w14:paraId="1E042C9C" w14:textId="77777777" w:rsidR="009D5753" w:rsidRPr="009D5753" w:rsidRDefault="009D5753" w:rsidP="009D5753">
      <w:pPr>
        <w:widowControl w:val="0"/>
        <w:spacing w:after="0" w:line="360" w:lineRule="auto"/>
        <w:jc w:val="both"/>
        <w:rPr>
          <w:rFonts w:ascii="Arial" w:eastAsia="Courier New" w:hAnsi="Arial" w:cs="Courier New"/>
          <w:kern w:val="1"/>
          <w:sz w:val="20"/>
          <w:szCs w:val="20"/>
          <w:lang w:eastAsia="ar-SA"/>
        </w:rPr>
      </w:pPr>
    </w:p>
    <w:p w14:paraId="21300ECD"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Times New Roman"/>
          <w:kern w:val="1"/>
          <w:sz w:val="20"/>
          <w:szCs w:val="20"/>
          <w:lang w:eastAsia="ar-SA"/>
        </w:rPr>
      </w:pPr>
      <w:r w:rsidRPr="009D5753">
        <w:rPr>
          <w:rFonts w:ascii="Arial" w:eastAsia="Times New Roman" w:hAnsi="Arial" w:cs="Times New Roman"/>
          <w:kern w:val="1"/>
          <w:sz w:val="20"/>
          <w:szCs w:val="20"/>
          <w:lang w:eastAsia="ar-SA"/>
        </w:rPr>
        <w:t>In 2013, the 30 ECSDA members that are established in the EU collectively processed around 350 million delivery instructions. In terms of value, these delivery instructions represented close to EUR 1.1 quadrillion. Despite generally high settlement efficiency rates across EU CSDs, the volume and value of instructions at stake means that the impact of the settlement discipline regime is likely to be substantial.</w:t>
      </w:r>
    </w:p>
    <w:p w14:paraId="4BB495CE" w14:textId="77777777" w:rsidR="009D5753" w:rsidRPr="009D5753" w:rsidRDefault="009D5753" w:rsidP="009D5753">
      <w:pPr>
        <w:spacing w:after="0" w:line="360" w:lineRule="auto"/>
        <w:ind w:left="284" w:hanging="284"/>
        <w:jc w:val="both"/>
        <w:rPr>
          <w:rFonts w:ascii="Arial" w:eastAsia="Times New Roman" w:hAnsi="Arial" w:cs="Times New Roman"/>
          <w:kern w:val="1"/>
          <w:sz w:val="20"/>
          <w:szCs w:val="20"/>
          <w:lang w:eastAsia="ar-SA"/>
        </w:rPr>
      </w:pPr>
    </w:p>
    <w:p w14:paraId="69E3D6AD"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Arial"/>
          <w:kern w:val="1"/>
          <w:sz w:val="20"/>
          <w:szCs w:val="20"/>
          <w:lang w:eastAsia="ar-SA"/>
        </w:rPr>
      </w:pPr>
      <w:r w:rsidRPr="009D5753">
        <w:rPr>
          <w:rFonts w:ascii="Arial" w:eastAsia="Times New Roman" w:hAnsi="Arial" w:cs="Times New Roman"/>
          <w:kern w:val="1"/>
          <w:sz w:val="20"/>
          <w:szCs w:val="20"/>
          <w:lang w:eastAsia="ar-SA"/>
        </w:rPr>
        <w:t>CSDs which participated in the analysis were asked by ECSDA to provide as much granularity as possible in relation to fails data. Not all CSDs were able however to provide details based on the categories proposed by ESMA (e.g. fails per asset class or duration of fails).</w:t>
      </w:r>
    </w:p>
    <w:p w14:paraId="64AF98B1" w14:textId="77777777" w:rsidR="009D5753" w:rsidRPr="009D5753" w:rsidRDefault="009D5753" w:rsidP="009D5753">
      <w:pPr>
        <w:spacing w:after="0" w:line="360" w:lineRule="auto"/>
        <w:rPr>
          <w:rFonts w:ascii="Arial" w:eastAsia="Times New Roman" w:hAnsi="Arial" w:cs="Times New Roman"/>
          <w:kern w:val="1"/>
          <w:sz w:val="20"/>
          <w:szCs w:val="20"/>
          <w:lang w:eastAsia="ar-SA"/>
        </w:rPr>
      </w:pPr>
    </w:p>
    <w:p w14:paraId="3F81A314"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Arial"/>
          <w:kern w:val="1"/>
          <w:sz w:val="20"/>
          <w:szCs w:val="20"/>
          <w:lang w:eastAsia="ar-SA"/>
        </w:rPr>
      </w:pPr>
      <w:r w:rsidRPr="009D5753">
        <w:rPr>
          <w:rFonts w:ascii="Arial" w:eastAsia="Times New Roman" w:hAnsi="Arial" w:cs="Times New Roman"/>
          <w:kern w:val="1"/>
          <w:sz w:val="20"/>
          <w:szCs w:val="20"/>
          <w:lang w:eastAsia="ar-SA"/>
        </w:rPr>
        <w:t xml:space="preserve">Some inconsistencies in the data were inevitable given the tight deadline and the lack of clarity as regards some of the measures proposed by ESMA in the draft standards and technical advice. The figures should thus be interpreted with caution. We are nevertheless confident that they can be used as rough indications of the actual impact of the proposed measures. </w:t>
      </w:r>
    </w:p>
    <w:p w14:paraId="6B5A1BDE" w14:textId="77777777" w:rsidR="009D5753" w:rsidRPr="009D5753" w:rsidRDefault="009D5753" w:rsidP="009D5753">
      <w:pPr>
        <w:spacing w:after="0" w:line="360" w:lineRule="auto"/>
        <w:rPr>
          <w:rFonts w:ascii="Arial" w:eastAsia="Times New Roman" w:hAnsi="Arial" w:cs="Times New Roman"/>
          <w:kern w:val="1"/>
          <w:sz w:val="20"/>
          <w:szCs w:val="20"/>
          <w:lang w:eastAsia="ar-SA"/>
        </w:rPr>
      </w:pPr>
    </w:p>
    <w:p w14:paraId="7AEBF92C"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Arial"/>
          <w:kern w:val="1"/>
          <w:sz w:val="20"/>
          <w:szCs w:val="20"/>
          <w:lang w:eastAsia="ar-SA"/>
        </w:rPr>
      </w:pPr>
      <w:r w:rsidRPr="009D5753">
        <w:rPr>
          <w:rFonts w:ascii="Arial" w:eastAsia="Times New Roman" w:hAnsi="Arial" w:cs="Times New Roman"/>
          <w:kern w:val="1"/>
          <w:sz w:val="20"/>
          <w:szCs w:val="20"/>
          <w:lang w:eastAsia="ar-SA"/>
        </w:rPr>
        <w:t>The biggest difficulty faced by CSDs taking part in the exercise was to define the appropriate scope of instructions to be included in the fails data. Since CSDs are currently mostly not able to identify whether a financial instrument is “</w:t>
      </w:r>
      <w:r w:rsidRPr="009D5753">
        <w:rPr>
          <w:rFonts w:ascii="Arial" w:eastAsia="Times New Roman" w:hAnsi="Arial" w:cs="Times New Roman"/>
          <w:i/>
          <w:kern w:val="1"/>
          <w:sz w:val="20"/>
          <w:szCs w:val="20"/>
          <w:lang w:eastAsia="ar-SA"/>
        </w:rPr>
        <w:t>admitted to trading on a trading venue</w:t>
      </w:r>
      <w:r w:rsidRPr="009D5753">
        <w:rPr>
          <w:rFonts w:ascii="Arial" w:eastAsia="Times New Roman" w:hAnsi="Arial" w:cs="Times New Roman"/>
          <w:kern w:val="1"/>
          <w:sz w:val="20"/>
          <w:szCs w:val="20"/>
          <w:lang w:eastAsia="ar-SA"/>
        </w:rPr>
        <w:t xml:space="preserve">” (i.e. not only admitted to trading on a regulated markets, but also on MTFs or OTFs), the data provided often includes all instructions (in all financial instruments) processed by the CSD. </w:t>
      </w:r>
    </w:p>
    <w:p w14:paraId="49C311FB" w14:textId="77777777" w:rsidR="009D5753" w:rsidRPr="009D5753" w:rsidRDefault="009D5753" w:rsidP="009D5753">
      <w:pPr>
        <w:widowControl w:val="0"/>
        <w:spacing w:after="0" w:line="360" w:lineRule="auto"/>
        <w:jc w:val="both"/>
        <w:rPr>
          <w:rFonts w:ascii="Arial" w:eastAsia="Courier New" w:hAnsi="Arial" w:cs="Courier New"/>
          <w:kern w:val="1"/>
          <w:sz w:val="28"/>
          <w:szCs w:val="28"/>
          <w:lang w:eastAsia="ar-SA"/>
        </w:rPr>
      </w:pPr>
    </w:p>
    <w:p w14:paraId="5B95B3E8" w14:textId="77777777" w:rsidR="009D5753" w:rsidRPr="009D5753" w:rsidRDefault="009D5753" w:rsidP="009D5753">
      <w:pPr>
        <w:numPr>
          <w:ilvl w:val="0"/>
          <w:numId w:val="9"/>
        </w:numPr>
        <w:shd w:val="clear" w:color="auto" w:fill="D9D9D9"/>
        <w:tabs>
          <w:tab w:val="left" w:pos="360"/>
        </w:tabs>
        <w:spacing w:after="0" w:line="276" w:lineRule="auto"/>
        <w:ind w:hanging="720"/>
        <w:jc w:val="both"/>
        <w:rPr>
          <w:rFonts w:ascii="Arial" w:eastAsia="Times New Roman" w:hAnsi="Arial" w:cs="Arial"/>
          <w:b/>
          <w:i/>
          <w:kern w:val="1"/>
          <w:sz w:val="20"/>
          <w:szCs w:val="20"/>
          <w:lang w:eastAsia="ar-SA"/>
        </w:rPr>
      </w:pPr>
      <w:r w:rsidRPr="009D5753">
        <w:rPr>
          <w:rFonts w:ascii="Arial" w:eastAsia="Times New Roman" w:hAnsi="Arial" w:cs="Arial"/>
          <w:b/>
          <w:i/>
          <w:kern w:val="1"/>
          <w:sz w:val="20"/>
          <w:szCs w:val="20"/>
          <w:lang w:eastAsia="ar-SA"/>
        </w:rPr>
        <w:t xml:space="preserve">Impact of mandatory buy-ins </w:t>
      </w:r>
    </w:p>
    <w:p w14:paraId="1923B070" w14:textId="77777777" w:rsidR="009D5753" w:rsidRPr="009D5753" w:rsidRDefault="009D5753" w:rsidP="009D5753">
      <w:pPr>
        <w:widowControl w:val="0"/>
        <w:spacing w:after="0" w:line="360" w:lineRule="auto"/>
        <w:jc w:val="both"/>
        <w:rPr>
          <w:rFonts w:ascii="Arial" w:eastAsia="Courier New" w:hAnsi="Arial" w:cs="Courier New"/>
          <w:b/>
          <w:bCs/>
          <w:kern w:val="1"/>
          <w:sz w:val="20"/>
          <w:szCs w:val="20"/>
          <w:lang w:eastAsia="ar-SA"/>
        </w:rPr>
      </w:pPr>
    </w:p>
    <w:p w14:paraId="09347469" w14:textId="77777777" w:rsidR="009D5753" w:rsidRPr="009D5753" w:rsidRDefault="009D5753" w:rsidP="009D5753">
      <w:pPr>
        <w:spacing w:after="0" w:line="360" w:lineRule="auto"/>
        <w:jc w:val="both"/>
        <w:rPr>
          <w:rFonts w:ascii="Arial" w:eastAsia="Times New Roman" w:hAnsi="Arial" w:cs="Times New Roman"/>
          <w:sz w:val="20"/>
          <w:szCs w:val="20"/>
          <w:lang w:eastAsia="ar-SA"/>
        </w:rPr>
      </w:pPr>
      <w:r w:rsidRPr="009D5753">
        <w:rPr>
          <w:rFonts w:ascii="Arial" w:eastAsia="Times New Roman" w:hAnsi="Arial" w:cs="Times New Roman"/>
          <w:sz w:val="20"/>
          <w:szCs w:val="20"/>
          <w:lang w:eastAsia="ar-SA"/>
        </w:rPr>
        <w:t>The figures collected from 11 CSDs were sufficiently granular to draw conclusions for the buy-in process. It was impossible however to take into account any exemptions or differences in the extension period as proposed by ESMA. Based on the default buy-in process (buy-in initiated after ISD+4), the figures indicate that:</w:t>
      </w:r>
    </w:p>
    <w:p w14:paraId="3C628AB4" w14:textId="77777777" w:rsidR="009D5753" w:rsidRPr="009D5753" w:rsidRDefault="009D5753" w:rsidP="009D5753">
      <w:pPr>
        <w:spacing w:after="0" w:line="360" w:lineRule="auto"/>
        <w:ind w:left="284"/>
        <w:jc w:val="both"/>
        <w:rPr>
          <w:rFonts w:ascii="Arial" w:eastAsia="Times New Roman" w:hAnsi="Arial" w:cs="Times New Roman"/>
          <w:kern w:val="1"/>
          <w:sz w:val="20"/>
          <w:szCs w:val="20"/>
          <w:lang w:eastAsia="ar-SA"/>
        </w:rPr>
      </w:pPr>
    </w:p>
    <w:p w14:paraId="2B6FFBD3"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Times New Roman"/>
          <w:kern w:val="1"/>
          <w:sz w:val="20"/>
          <w:szCs w:val="20"/>
          <w:lang w:eastAsia="ar-SA"/>
        </w:rPr>
      </w:pPr>
      <w:r w:rsidRPr="009D5753">
        <w:rPr>
          <w:rFonts w:ascii="Arial" w:eastAsia="Times New Roman" w:hAnsi="Arial" w:cs="Times New Roman"/>
          <w:kern w:val="1"/>
          <w:sz w:val="20"/>
          <w:szCs w:val="20"/>
          <w:lang w:eastAsia="ar-SA"/>
        </w:rPr>
        <w:t xml:space="preserve">Had the rules been in place in November 2014 for the 11 CSDs included in the sample, more than 150,000 buy-ins would have been initiated that month, for a total value of around EUR 214 billion. In </w:t>
      </w:r>
      <w:r w:rsidRPr="009D5753">
        <w:rPr>
          <w:rFonts w:ascii="Arial" w:eastAsia="Times New Roman" w:hAnsi="Arial" w:cs="Times New Roman"/>
          <w:kern w:val="1"/>
          <w:sz w:val="20"/>
          <w:szCs w:val="20"/>
          <w:lang w:eastAsia="ar-SA"/>
        </w:rPr>
        <w:lastRenderedPageBreak/>
        <w:t xml:space="preserve">other words, each business day, more than 7,500 buy-ins would have been triggered for a value of EUR 10.7 billion on average. Assuming that November 2014 figures are broadly representative of a typical month, the total number of buy-ins per year could thus reach over 1.8 million, representing a total value of more than EUR 2.5 trillion.  </w:t>
      </w:r>
    </w:p>
    <w:p w14:paraId="021C9EBB" w14:textId="77777777" w:rsidR="009D5753" w:rsidRPr="009D5753" w:rsidRDefault="009D5753" w:rsidP="009D5753">
      <w:pPr>
        <w:spacing w:after="0" w:line="360" w:lineRule="auto"/>
        <w:ind w:left="284"/>
        <w:jc w:val="both"/>
        <w:rPr>
          <w:rFonts w:ascii="Arial" w:eastAsia="Times New Roman" w:hAnsi="Arial" w:cs="Times New Roman"/>
          <w:kern w:val="1"/>
          <w:sz w:val="20"/>
          <w:szCs w:val="20"/>
          <w:lang w:eastAsia="ar-SA"/>
        </w:rPr>
      </w:pPr>
    </w:p>
    <w:p w14:paraId="1F020D94"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Times New Roman"/>
          <w:kern w:val="1"/>
          <w:sz w:val="20"/>
          <w:szCs w:val="20"/>
          <w:lang w:eastAsia="ar-SA"/>
        </w:rPr>
      </w:pPr>
      <w:r w:rsidRPr="009D5753">
        <w:rPr>
          <w:rFonts w:ascii="Arial" w:eastAsia="Times New Roman" w:hAnsi="Arial" w:cs="Times New Roman"/>
          <w:kern w:val="1"/>
          <w:sz w:val="20"/>
          <w:szCs w:val="20"/>
          <w:lang w:eastAsia="ar-SA"/>
        </w:rPr>
        <w:t>Not surprisingly, the two ICSDs account for the biggest share of the fails still pending after ISD+4 (around 85%), as a result of their overall size, but also due to their significant global cross-border business. However, the figures also show that buy-ins would be far from insignificant for the remaining 9 CSDs. In these markets, around 20,000 buy-ins would have been initiated during that month, with 4 markets counting more than 1,000 buy-ins (and up to 7,500).</w:t>
      </w:r>
    </w:p>
    <w:p w14:paraId="2CCFAF9A" w14:textId="77777777" w:rsidR="009D5753" w:rsidRPr="009D5753" w:rsidRDefault="009D5753" w:rsidP="009D5753">
      <w:pPr>
        <w:widowControl w:val="0"/>
        <w:spacing w:after="0" w:line="360" w:lineRule="auto"/>
        <w:jc w:val="both"/>
        <w:rPr>
          <w:rFonts w:ascii="Arial" w:eastAsia="Courier New" w:hAnsi="Arial" w:cs="Courier New"/>
          <w:b/>
          <w:kern w:val="1"/>
          <w:sz w:val="28"/>
          <w:szCs w:val="28"/>
          <w:lang w:eastAsia="ar-SA"/>
        </w:rPr>
      </w:pPr>
    </w:p>
    <w:p w14:paraId="36906057" w14:textId="77777777" w:rsidR="009D5753" w:rsidRPr="009D5753" w:rsidRDefault="009D5753" w:rsidP="009D5753">
      <w:pPr>
        <w:numPr>
          <w:ilvl w:val="0"/>
          <w:numId w:val="9"/>
        </w:numPr>
        <w:shd w:val="clear" w:color="auto" w:fill="D9D9D9"/>
        <w:tabs>
          <w:tab w:val="left" w:pos="360"/>
        </w:tabs>
        <w:spacing w:after="0" w:line="276" w:lineRule="auto"/>
        <w:ind w:hanging="720"/>
        <w:jc w:val="both"/>
        <w:rPr>
          <w:rFonts w:ascii="Arial" w:eastAsia="Times New Roman" w:hAnsi="Arial" w:cs="Arial"/>
          <w:b/>
          <w:i/>
          <w:kern w:val="1"/>
          <w:sz w:val="20"/>
          <w:szCs w:val="20"/>
          <w:lang w:eastAsia="ar-SA"/>
        </w:rPr>
      </w:pPr>
      <w:r w:rsidRPr="009D5753">
        <w:rPr>
          <w:rFonts w:ascii="Arial" w:eastAsia="Times New Roman" w:hAnsi="Arial" w:cs="Arial"/>
          <w:b/>
          <w:i/>
          <w:kern w:val="1"/>
          <w:sz w:val="20"/>
          <w:szCs w:val="20"/>
          <w:lang w:eastAsia="ar-SA"/>
        </w:rPr>
        <w:t xml:space="preserve">Impact of late settlement penalties </w:t>
      </w:r>
    </w:p>
    <w:p w14:paraId="5BCCC8B0" w14:textId="77777777" w:rsidR="009D5753" w:rsidRPr="009D5753" w:rsidRDefault="009D5753" w:rsidP="009D5753">
      <w:pPr>
        <w:spacing w:after="0" w:line="360" w:lineRule="auto"/>
        <w:jc w:val="both"/>
        <w:rPr>
          <w:rFonts w:ascii="Arial" w:eastAsia="Times New Roman" w:hAnsi="Arial" w:cs="Arial"/>
          <w:sz w:val="20"/>
          <w:szCs w:val="20"/>
          <w:u w:val="single"/>
          <w:lang w:eastAsia="ar-SA"/>
        </w:rPr>
      </w:pPr>
    </w:p>
    <w:p w14:paraId="5A3BF508" w14:textId="77777777" w:rsidR="009D5753" w:rsidRPr="009D5753" w:rsidRDefault="009D5753" w:rsidP="009D5753">
      <w:pPr>
        <w:spacing w:after="0" w:line="360" w:lineRule="auto"/>
        <w:jc w:val="both"/>
        <w:rPr>
          <w:rFonts w:ascii="Arial" w:eastAsia="Times New Roman" w:hAnsi="Arial" w:cs="Arial"/>
          <w:sz w:val="20"/>
          <w:szCs w:val="20"/>
          <w:lang w:eastAsia="ar-SA"/>
        </w:rPr>
      </w:pPr>
      <w:r w:rsidRPr="009D5753">
        <w:rPr>
          <w:rFonts w:ascii="Arial" w:eastAsia="Times New Roman" w:hAnsi="Arial" w:cs="Times New Roman"/>
          <w:sz w:val="20"/>
          <w:szCs w:val="20"/>
          <w:lang w:eastAsia="ar-SA"/>
        </w:rPr>
        <w:t xml:space="preserve">Based on data collected from 17 CSDs, we attempted to draw some conclusions for the expected value of late settlement penalties to be collected and redistributed by CSDs on a monthly basis. It should be noted </w:t>
      </w:r>
      <w:r w:rsidRPr="009D5753">
        <w:rPr>
          <w:rFonts w:ascii="Arial" w:eastAsia="Times New Roman" w:hAnsi="Arial" w:cs="Arial"/>
          <w:sz w:val="20"/>
          <w:szCs w:val="20"/>
          <w:lang w:eastAsia="ar-SA"/>
        </w:rPr>
        <w:t xml:space="preserve">that the figures were calculated on a gross basis, without taking into account the possibility for CSDs to net penalty payments per participant at the end of the month. The actual payments to be made at the end of the month based on the rules proposed by ESMA are therefore likely to be lower. </w:t>
      </w:r>
    </w:p>
    <w:p w14:paraId="49341FBA" w14:textId="77777777" w:rsidR="009D5753" w:rsidRPr="009D5753" w:rsidRDefault="009D5753" w:rsidP="009D5753">
      <w:pPr>
        <w:spacing w:after="0" w:line="360" w:lineRule="auto"/>
        <w:jc w:val="both"/>
        <w:rPr>
          <w:rFonts w:ascii="Arial" w:eastAsia="Times New Roman" w:hAnsi="Arial" w:cs="Arial"/>
          <w:sz w:val="20"/>
          <w:szCs w:val="20"/>
          <w:lang w:eastAsia="ar-SA"/>
        </w:rPr>
      </w:pPr>
      <w:r w:rsidRPr="009D5753">
        <w:rPr>
          <w:rFonts w:ascii="Arial" w:eastAsia="Times New Roman" w:hAnsi="Arial" w:cs="Arial"/>
          <w:sz w:val="20"/>
          <w:szCs w:val="20"/>
          <w:lang w:eastAsia="ar-SA"/>
        </w:rPr>
        <w:t xml:space="preserve">On the other hand, we have assumed that no further penalties are due after ISD+4, once the buy-in is triggered, which may lead, to a certain extent, to an underestimation of the real amount of the penalties to be collected. </w:t>
      </w:r>
    </w:p>
    <w:p w14:paraId="6FB20B05" w14:textId="77777777" w:rsidR="009D5753" w:rsidRPr="009D5753" w:rsidRDefault="009D5753" w:rsidP="009D5753">
      <w:pPr>
        <w:spacing w:after="0" w:line="360" w:lineRule="auto"/>
        <w:ind w:left="284"/>
        <w:jc w:val="both"/>
        <w:rPr>
          <w:rFonts w:ascii="Arial" w:eastAsia="Times New Roman" w:hAnsi="Arial" w:cs="Arial"/>
          <w:kern w:val="1"/>
          <w:sz w:val="20"/>
          <w:szCs w:val="20"/>
          <w:lang w:eastAsia="ar-SA"/>
        </w:rPr>
      </w:pPr>
    </w:p>
    <w:p w14:paraId="1C5DA09A"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Arial"/>
          <w:kern w:val="1"/>
          <w:sz w:val="20"/>
          <w:szCs w:val="20"/>
          <w:lang w:eastAsia="ar-SA"/>
        </w:rPr>
      </w:pPr>
      <w:r w:rsidRPr="009D5753">
        <w:rPr>
          <w:rFonts w:ascii="Arial" w:eastAsia="Times New Roman" w:hAnsi="Arial" w:cs="Arial"/>
          <w:kern w:val="1"/>
          <w:sz w:val="20"/>
          <w:szCs w:val="20"/>
          <w:lang w:eastAsia="ar-SA"/>
        </w:rPr>
        <w:t>According to November 2014 data, the accumulated gross late settlement penalties to be collected by the 17 CSDs would have amounted to over EUR 183 million or around EUR 9 million a day. Assuming that the month of November is representative, this translates into yearly gross late settlement penalties of close to EUR 2.2 billion.</w:t>
      </w:r>
    </w:p>
    <w:p w14:paraId="4EE6E912" w14:textId="77777777" w:rsidR="009D5753" w:rsidRPr="009D5753" w:rsidRDefault="009D5753" w:rsidP="009D5753">
      <w:pPr>
        <w:spacing w:after="0" w:line="360" w:lineRule="auto"/>
        <w:ind w:left="284"/>
        <w:jc w:val="both"/>
        <w:rPr>
          <w:rFonts w:ascii="Arial" w:eastAsia="Times New Roman" w:hAnsi="Arial" w:cs="Arial"/>
          <w:kern w:val="1"/>
          <w:sz w:val="20"/>
          <w:szCs w:val="20"/>
          <w:lang w:eastAsia="ar-SA"/>
        </w:rPr>
      </w:pPr>
    </w:p>
    <w:p w14:paraId="0B882911"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Arial"/>
          <w:kern w:val="1"/>
          <w:sz w:val="20"/>
          <w:szCs w:val="20"/>
          <w:lang w:eastAsia="ar-SA"/>
        </w:rPr>
      </w:pPr>
      <w:r w:rsidRPr="009D5753">
        <w:rPr>
          <w:rFonts w:ascii="Arial" w:eastAsia="Times New Roman" w:hAnsi="Arial" w:cs="Arial"/>
          <w:kern w:val="1"/>
          <w:sz w:val="20"/>
          <w:szCs w:val="20"/>
          <w:lang w:eastAsia="ar-SA"/>
        </w:rPr>
        <w:t>While the two ICSDs hold the largest share of late settlement fines to be collected (75%), the difference is less striking than for buy-ins. Excluding the two ICSDs, the remaining CSDs would on average still each account for more than EUR 3 million per month. Among these CSDs, figures range between very close to 0 and EUR 15 million per month, and only 5 CSDs would have collected less than EUR 100,000 worth of penalties.</w:t>
      </w:r>
    </w:p>
    <w:p w14:paraId="019C1645" w14:textId="77777777" w:rsidR="009D5753" w:rsidRPr="009D5753" w:rsidRDefault="009D5753" w:rsidP="009D5753">
      <w:pPr>
        <w:spacing w:after="0" w:line="360" w:lineRule="auto"/>
        <w:jc w:val="both"/>
        <w:rPr>
          <w:rFonts w:ascii="Arial" w:eastAsia="Times New Roman" w:hAnsi="Arial" w:cs="Arial"/>
          <w:sz w:val="28"/>
          <w:szCs w:val="28"/>
          <w:lang w:eastAsia="ar-SA"/>
        </w:rPr>
      </w:pPr>
    </w:p>
    <w:p w14:paraId="5C0F052B" w14:textId="77777777" w:rsidR="009D5753" w:rsidRPr="009D5753" w:rsidRDefault="009D5753" w:rsidP="009D5753">
      <w:pPr>
        <w:numPr>
          <w:ilvl w:val="0"/>
          <w:numId w:val="9"/>
        </w:numPr>
        <w:shd w:val="clear" w:color="auto" w:fill="D9D9D9"/>
        <w:tabs>
          <w:tab w:val="left" w:pos="360"/>
        </w:tabs>
        <w:spacing w:after="0" w:line="276" w:lineRule="auto"/>
        <w:ind w:hanging="720"/>
        <w:jc w:val="both"/>
        <w:rPr>
          <w:rFonts w:ascii="Arial" w:eastAsia="Times New Roman" w:hAnsi="Arial" w:cs="Arial"/>
          <w:b/>
          <w:i/>
          <w:kern w:val="1"/>
          <w:sz w:val="20"/>
          <w:szCs w:val="20"/>
          <w:lang w:eastAsia="ar-SA"/>
        </w:rPr>
      </w:pPr>
      <w:r w:rsidRPr="009D5753">
        <w:rPr>
          <w:rFonts w:ascii="Arial" w:eastAsia="Times New Roman" w:hAnsi="Arial" w:cs="Arial"/>
          <w:b/>
          <w:i/>
          <w:kern w:val="1"/>
          <w:sz w:val="20"/>
          <w:szCs w:val="20"/>
          <w:lang w:eastAsia="ar-SA"/>
        </w:rPr>
        <w:t xml:space="preserve">Difference in the settlement fail rate per instrument  </w:t>
      </w:r>
    </w:p>
    <w:p w14:paraId="474633FD" w14:textId="77777777" w:rsidR="009D5753" w:rsidRPr="009D5753" w:rsidRDefault="009D5753" w:rsidP="009D5753">
      <w:pPr>
        <w:spacing w:after="0" w:line="360" w:lineRule="auto"/>
        <w:jc w:val="both"/>
        <w:rPr>
          <w:rFonts w:ascii="Arial" w:eastAsia="Times New Roman" w:hAnsi="Arial" w:cs="Arial"/>
          <w:sz w:val="20"/>
          <w:szCs w:val="20"/>
          <w:lang w:eastAsia="ar-SA"/>
        </w:rPr>
      </w:pPr>
    </w:p>
    <w:p w14:paraId="6B454F64"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Arial"/>
          <w:kern w:val="1"/>
          <w:sz w:val="20"/>
          <w:szCs w:val="20"/>
          <w:lang w:eastAsia="ar-SA"/>
        </w:rPr>
      </w:pPr>
      <w:r w:rsidRPr="009D5753">
        <w:rPr>
          <w:rFonts w:ascii="Arial" w:eastAsia="Times New Roman" w:hAnsi="Arial" w:cs="Arial"/>
          <w:kern w:val="1"/>
          <w:sz w:val="20"/>
          <w:szCs w:val="20"/>
          <w:lang w:eastAsia="ar-SA"/>
        </w:rPr>
        <w:t>Not all CSDs were able to provide settlement fail rates per asset type based on the categories provided by ESMA. In particular, it was not possible to distinguish the fail rate of "</w:t>
      </w:r>
      <w:r w:rsidRPr="009D5753">
        <w:rPr>
          <w:rFonts w:ascii="Arial" w:eastAsia="Times New Roman" w:hAnsi="Arial" w:cs="Arial"/>
          <w:i/>
          <w:kern w:val="1"/>
          <w:sz w:val="20"/>
          <w:szCs w:val="20"/>
          <w:lang w:eastAsia="ar-SA"/>
        </w:rPr>
        <w:t>SME growth market shares</w:t>
      </w:r>
      <w:r w:rsidRPr="009D5753">
        <w:rPr>
          <w:rFonts w:ascii="Arial" w:eastAsia="Times New Roman" w:hAnsi="Arial" w:cs="Arial"/>
          <w:kern w:val="1"/>
          <w:sz w:val="20"/>
          <w:szCs w:val="20"/>
          <w:lang w:eastAsia="ar-SA"/>
        </w:rPr>
        <w:t>" from other equities.</w:t>
      </w:r>
    </w:p>
    <w:p w14:paraId="5D03B167" w14:textId="77777777" w:rsidR="009D5753" w:rsidRPr="009D5753" w:rsidRDefault="009D5753" w:rsidP="009D5753">
      <w:pPr>
        <w:spacing w:after="0" w:line="360" w:lineRule="auto"/>
        <w:ind w:left="284"/>
        <w:jc w:val="both"/>
        <w:rPr>
          <w:rFonts w:ascii="Arial" w:eastAsia="Times New Roman" w:hAnsi="Arial" w:cs="Arial"/>
          <w:kern w:val="1"/>
          <w:sz w:val="20"/>
          <w:szCs w:val="20"/>
          <w:lang w:eastAsia="ar-SA"/>
        </w:rPr>
      </w:pPr>
    </w:p>
    <w:p w14:paraId="71B9A2D8" w14:textId="77777777" w:rsidR="009D5753" w:rsidRPr="009D5753" w:rsidRDefault="009D5753" w:rsidP="009D5753">
      <w:pPr>
        <w:spacing w:after="0" w:line="360" w:lineRule="auto"/>
        <w:ind w:left="284"/>
        <w:jc w:val="both"/>
        <w:rPr>
          <w:rFonts w:ascii="Arial" w:eastAsia="Times New Roman" w:hAnsi="Arial" w:cs="Times New Roman"/>
          <w:kern w:val="1"/>
          <w:sz w:val="20"/>
          <w:szCs w:val="20"/>
          <w:lang w:eastAsia="ar-SA"/>
        </w:rPr>
      </w:pPr>
      <w:r w:rsidRPr="009D5753">
        <w:rPr>
          <w:rFonts w:ascii="Arial" w:eastAsia="Times New Roman" w:hAnsi="Arial" w:cs="Arial"/>
          <w:kern w:val="1"/>
          <w:sz w:val="20"/>
          <w:szCs w:val="20"/>
          <w:lang w:eastAsia="ar-SA"/>
        </w:rPr>
        <w:lastRenderedPageBreak/>
        <w:t>Based on the sample and with only few exceptions, equities and ETFs combined seem to display the highest fail rate, compared to other asset categories - in most cases, at least 2-3 times the fail rate for debt instruments. Only 3 CSDs provided separate figures for ETFs, which suggest that the fail rate for ETFs is even higher than that of equities.</w:t>
      </w:r>
      <w:r w:rsidRPr="009D5753" w:rsidDel="00237ADD">
        <w:rPr>
          <w:rFonts w:ascii="Arial" w:eastAsia="Times New Roman" w:hAnsi="Arial" w:cs="Arial"/>
          <w:kern w:val="1"/>
          <w:sz w:val="20"/>
          <w:szCs w:val="20"/>
          <w:lang w:eastAsia="ar-SA"/>
        </w:rPr>
        <w:t xml:space="preserve"> </w:t>
      </w:r>
      <w:r w:rsidRPr="009D5753">
        <w:rPr>
          <w:rFonts w:ascii="Arial" w:eastAsia="Times New Roman" w:hAnsi="Arial" w:cs="Arial"/>
          <w:kern w:val="1"/>
          <w:sz w:val="20"/>
          <w:szCs w:val="20"/>
          <w:lang w:eastAsia="ar-SA"/>
        </w:rPr>
        <w:t>Debt instruments seem to have the lowest fail rate relative to other instruments. In most cases, a distinction between government and</w:t>
      </w:r>
      <w:r w:rsidRPr="009D5753">
        <w:rPr>
          <w:rFonts w:ascii="Arial" w:eastAsia="Times New Roman" w:hAnsi="Arial" w:cs="Times New Roman"/>
          <w:kern w:val="1"/>
          <w:sz w:val="20"/>
          <w:szCs w:val="20"/>
          <w:lang w:eastAsia="ar-SA"/>
        </w:rPr>
        <w:t xml:space="preserve"> corporate bonds was however not possible. Whenever the distinction was made, the rates were broadly aligned - with a few exceptions where fail rates on corporate bonds were significantly higher (however possibly due to a few significant outliers). </w:t>
      </w:r>
    </w:p>
    <w:p w14:paraId="79A91DEB" w14:textId="77777777" w:rsidR="009D5753" w:rsidRPr="009D5753" w:rsidRDefault="009D5753" w:rsidP="009D5753">
      <w:pPr>
        <w:spacing w:after="0" w:line="360" w:lineRule="auto"/>
        <w:ind w:left="284"/>
        <w:jc w:val="both"/>
        <w:rPr>
          <w:rFonts w:ascii="Arial" w:eastAsia="Times New Roman" w:hAnsi="Arial" w:cs="Times New Roman"/>
          <w:kern w:val="1"/>
          <w:sz w:val="20"/>
          <w:szCs w:val="20"/>
          <w:lang w:eastAsia="ar-SA"/>
        </w:rPr>
      </w:pPr>
      <w:r w:rsidRPr="009D5753">
        <w:rPr>
          <w:rFonts w:ascii="Arial" w:eastAsia="Times New Roman" w:hAnsi="Arial" w:cs="Times New Roman"/>
          <w:kern w:val="1"/>
          <w:sz w:val="20"/>
          <w:szCs w:val="20"/>
          <w:lang w:eastAsia="ar-SA"/>
        </w:rPr>
        <w:t xml:space="preserve">The fail rate for all other instruments including investment funds was in general relatively high as compared to debt instruments and similar to the rate of equities and ETFs. This however differs quite substantially across CSDs and seems to depend very much on the specific instruments that each CSD settles. </w:t>
      </w:r>
    </w:p>
    <w:p w14:paraId="67EDBE79" w14:textId="77777777" w:rsidR="009D5753" w:rsidRPr="009D5753" w:rsidRDefault="009D5753" w:rsidP="009D5753">
      <w:pPr>
        <w:spacing w:after="0" w:line="360" w:lineRule="auto"/>
        <w:ind w:left="284"/>
        <w:jc w:val="both"/>
        <w:rPr>
          <w:rFonts w:ascii="Arial" w:eastAsia="Times New Roman" w:hAnsi="Arial" w:cs="Times New Roman"/>
          <w:kern w:val="1"/>
          <w:sz w:val="20"/>
          <w:szCs w:val="20"/>
          <w:lang w:eastAsia="ar-SA"/>
        </w:rPr>
      </w:pPr>
    </w:p>
    <w:p w14:paraId="26B11CC6"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Times New Roman"/>
          <w:kern w:val="1"/>
          <w:sz w:val="20"/>
          <w:szCs w:val="20"/>
          <w:lang w:eastAsia="ar-SA"/>
        </w:rPr>
      </w:pPr>
      <w:r w:rsidRPr="009D5753">
        <w:rPr>
          <w:rFonts w:ascii="Arial" w:eastAsia="Times New Roman" w:hAnsi="Arial" w:cs="Times New Roman"/>
          <w:kern w:val="1"/>
          <w:sz w:val="20"/>
          <w:szCs w:val="20"/>
          <w:lang w:eastAsia="ar-SA"/>
        </w:rPr>
        <w:t xml:space="preserve">Most CSDs did not provide numbers for fails due to a lack of cash. In the few cases where this data was available, their value accounted for 5-15 % of the total number of fails. </w:t>
      </w:r>
    </w:p>
    <w:p w14:paraId="73A99239" w14:textId="77777777" w:rsidR="009D5753" w:rsidRPr="009D5753" w:rsidRDefault="009D5753" w:rsidP="009D5753">
      <w:pPr>
        <w:spacing w:after="0" w:line="360" w:lineRule="auto"/>
        <w:ind w:left="284"/>
        <w:jc w:val="both"/>
        <w:rPr>
          <w:rFonts w:ascii="Arial" w:eastAsia="Times New Roman" w:hAnsi="Arial" w:cs="Times New Roman"/>
          <w:kern w:val="1"/>
          <w:sz w:val="20"/>
          <w:szCs w:val="20"/>
          <w:lang w:eastAsia="ar-SA"/>
        </w:rPr>
      </w:pPr>
    </w:p>
    <w:p w14:paraId="4B5B7AAF"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Times New Roman"/>
          <w:kern w:val="1"/>
          <w:sz w:val="20"/>
          <w:szCs w:val="20"/>
          <w:lang w:eastAsia="ar-SA"/>
        </w:rPr>
      </w:pPr>
      <w:r w:rsidRPr="009D5753">
        <w:rPr>
          <w:rFonts w:ascii="Arial" w:eastAsia="Times New Roman" w:hAnsi="Arial" w:cs="Times New Roman"/>
          <w:kern w:val="1"/>
          <w:sz w:val="20"/>
          <w:szCs w:val="20"/>
          <w:lang w:eastAsia="ar-SA"/>
        </w:rPr>
        <w:t>In general, it is also interesting to note that the relative weight of the instruments settled differs significantly across CSDs/markets. While some CSDs settle mainly equities, other CSDs primarily settle debt instruments (mainly government bonds). This obviously has an impact on the amount of the penalties collected, given that the penalty rate is significantly lower for government bonds in the ESMA proposal.</w:t>
      </w:r>
    </w:p>
    <w:p w14:paraId="0F7E6DA9" w14:textId="77777777" w:rsidR="009D5753" w:rsidRPr="009D5753" w:rsidRDefault="009D5753" w:rsidP="009D5753">
      <w:pPr>
        <w:spacing w:after="0" w:line="360" w:lineRule="auto"/>
        <w:rPr>
          <w:rFonts w:ascii="Arial" w:eastAsia="Times New Roman" w:hAnsi="Arial" w:cs="Times New Roman"/>
          <w:kern w:val="1"/>
          <w:sz w:val="20"/>
          <w:szCs w:val="20"/>
          <w:lang w:eastAsia="ar-SA"/>
        </w:rPr>
      </w:pPr>
    </w:p>
    <w:p w14:paraId="004196F5" w14:textId="77777777" w:rsidR="009D5753" w:rsidRPr="009D5753" w:rsidRDefault="009D5753" w:rsidP="009D5753">
      <w:pPr>
        <w:numPr>
          <w:ilvl w:val="0"/>
          <w:numId w:val="8"/>
        </w:numPr>
        <w:spacing w:after="0" w:line="360" w:lineRule="auto"/>
        <w:ind w:left="284" w:hanging="284"/>
        <w:contextualSpacing/>
        <w:jc w:val="both"/>
        <w:rPr>
          <w:rFonts w:ascii="Arial" w:eastAsia="Times New Roman" w:hAnsi="Arial" w:cs="Times New Roman"/>
          <w:kern w:val="1"/>
          <w:sz w:val="20"/>
          <w:szCs w:val="20"/>
          <w:lang w:eastAsia="ar-SA"/>
        </w:rPr>
      </w:pPr>
      <w:r w:rsidRPr="009D5753">
        <w:rPr>
          <w:rFonts w:ascii="Arial" w:eastAsia="Times New Roman" w:hAnsi="Arial" w:cs="Times New Roman"/>
          <w:kern w:val="1"/>
          <w:sz w:val="20"/>
          <w:szCs w:val="20"/>
          <w:lang w:eastAsia="ar-SA"/>
        </w:rPr>
        <w:t>Based on the figures, the proposed rates would lead to an average effective penalty rate over all instruments and CSDs of 0.79 bp. This rate differs however significantly across CSDs, ranging between close to 1 bp (if mainly equities and others) and only slightly above 0.3 bp (if mainly government bonds).</w:t>
      </w:r>
    </w:p>
    <w:p w14:paraId="6F48EF12" w14:textId="77777777" w:rsidR="009D5753" w:rsidRPr="009D5753" w:rsidRDefault="009D5753" w:rsidP="009D5753">
      <w:pPr>
        <w:spacing w:after="0" w:line="360" w:lineRule="auto"/>
        <w:jc w:val="both"/>
        <w:rPr>
          <w:rFonts w:ascii="Times" w:eastAsia="Times New Roman" w:hAnsi="Times" w:cs="Times New Roman"/>
          <w:sz w:val="20"/>
          <w:szCs w:val="20"/>
          <w:lang w:eastAsia="ar-SA"/>
        </w:rPr>
      </w:pPr>
    </w:p>
    <w:p w14:paraId="1C7FC88C" w14:textId="77777777" w:rsidR="0058131C" w:rsidRDefault="0058131C"/>
    <w:sectPr w:rsidR="00581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7738"/>
    <w:multiLevelType w:val="hybridMultilevel"/>
    <w:tmpl w:val="989E67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085E02"/>
    <w:multiLevelType w:val="hybridMultilevel"/>
    <w:tmpl w:val="883269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952BC"/>
    <w:multiLevelType w:val="hybridMultilevel"/>
    <w:tmpl w:val="6388EB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39A5C9E"/>
    <w:multiLevelType w:val="hybridMultilevel"/>
    <w:tmpl w:val="BF98D3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6F10FB"/>
    <w:multiLevelType w:val="hybridMultilevel"/>
    <w:tmpl w:val="74AEB35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675039D"/>
    <w:multiLevelType w:val="hybridMultilevel"/>
    <w:tmpl w:val="ACFCB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D66CFF"/>
    <w:multiLevelType w:val="hybridMultilevel"/>
    <w:tmpl w:val="EA2E9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3971C5"/>
    <w:multiLevelType w:val="hybridMultilevel"/>
    <w:tmpl w:val="E52C53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1D00B62"/>
    <w:multiLevelType w:val="hybridMultilevel"/>
    <w:tmpl w:val="EA2E9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DE"/>
    <w:rsid w:val="00352BDE"/>
    <w:rsid w:val="0058131C"/>
    <w:rsid w:val="009D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B2D2"/>
  <w15:chartTrackingRefBased/>
  <w15:docId w15:val="{D5ABC5D9-6F42-4B18-B4E5-84E08AC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ma.europa.eu/consultation/Consultation-Technical-Standards-under-CSD-Regul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6EE56A4BFF149B8EDD758F8F6C0D1" ma:contentTypeVersion="2" ma:contentTypeDescription="Create a new document." ma:contentTypeScope="" ma:versionID="09c9b2c660667f7fa4f7dd540f14c6c9">
  <xsd:schema xmlns:xsd="http://www.w3.org/2001/XMLSchema" xmlns:xs="http://www.w3.org/2001/XMLSchema" xmlns:p="http://schemas.microsoft.com/office/2006/metadata/properties" xmlns:ns2="5dd7d9a2-19fe-4da7-b1b5-7993cafc840d" targetNamespace="http://schemas.microsoft.com/office/2006/metadata/properties" ma:root="true" ma:fieldsID="0ea81ffd4f711c34e622346eb700863a" ns2:_="">
    <xsd:import namespace="5dd7d9a2-19fe-4da7-b1b5-7993cafc840d"/>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7d9a2-19fe-4da7-b1b5-7993cafc8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63F39-A217-4A85-A30E-2C497C1D9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7d9a2-19fe-4da7-b1b5-7993cafc8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C75C3-74B0-492E-9F0B-EB159EC1AD9A}">
  <ds:schemaRefs>
    <ds:schemaRef ds:uri="http://schemas.microsoft.com/sharepoint/v3/contenttype/forms"/>
  </ds:schemaRefs>
</ds:datastoreItem>
</file>

<file path=customXml/itemProps3.xml><?xml version="1.0" encoding="utf-8"?>
<ds:datastoreItem xmlns:ds="http://schemas.openxmlformats.org/officeDocument/2006/customXml" ds:itemID="{9D580B2E-8CCA-4DEC-A9BC-B736B1AD1A3A}">
  <ds:schemaRefs>
    <ds:schemaRef ds:uri="http://www.w3.org/XML/1998/namespace"/>
    <ds:schemaRef ds:uri="http://purl.org/dc/dcmitype/"/>
    <ds:schemaRef ds:uri="5dd7d9a2-19fe-4da7-b1b5-7993cafc840d"/>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Westphal</dc:creator>
  <cp:keywords/>
  <dc:description/>
  <cp:lastModifiedBy>Alexander Westphal</cp:lastModifiedBy>
  <cp:revision>2</cp:revision>
  <dcterms:created xsi:type="dcterms:W3CDTF">2015-02-18T18:16:00Z</dcterms:created>
  <dcterms:modified xsi:type="dcterms:W3CDTF">2015-02-18T18:19:00Z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0x0101002F26EE56A4BFF149B8EDD758F8F6C0D1</vt:lpwstr>
  </property>
</Properties>
</file>