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1260DB" w:rsidP="004D3364">
            <w:pPr>
              <w:pStyle w:val="00bDBInfo"/>
            </w:pPr>
            <w:r>
              <w:t>1</w:t>
            </w:r>
            <w:r w:rsidR="004D3364">
              <w:t>8</w:t>
            </w:r>
            <w:r>
              <w:t xml:space="preserve"> December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Pr="00BD3046" w:rsidRDefault="00AE627C" w:rsidP="00C000A5">
            <w:pPr>
              <w:pStyle w:val="01aDBTitle"/>
              <w:rPr>
                <w:sz w:val="36"/>
                <w:szCs w:val="36"/>
              </w:rPr>
            </w:pPr>
            <w:r w:rsidRPr="00BD3046">
              <w:rPr>
                <w:sz w:val="36"/>
                <w:szCs w:val="36"/>
              </w:rPr>
              <w:t>Reply form</w:t>
            </w:r>
            <w:r w:rsidR="00B835D5" w:rsidRPr="00BD3046">
              <w:rPr>
                <w:sz w:val="36"/>
                <w:szCs w:val="36"/>
              </w:rPr>
              <w:t xml:space="preserve"> </w:t>
            </w:r>
            <w:r w:rsidR="0043173B" w:rsidRPr="00BD3046">
              <w:rPr>
                <w:sz w:val="36"/>
                <w:szCs w:val="36"/>
              </w:rPr>
              <w:t>for</w:t>
            </w:r>
            <w:r w:rsidR="00027ECF" w:rsidRPr="00BD3046">
              <w:rPr>
                <w:sz w:val="36"/>
                <w:szCs w:val="36"/>
              </w:rPr>
              <w:t xml:space="preserve"> the </w:t>
            </w:r>
          </w:p>
          <w:p w:rsidR="00791EB4" w:rsidRPr="00E679BA" w:rsidRDefault="00BD3046" w:rsidP="00C000A5">
            <w:pPr>
              <w:pStyle w:val="01aDBTitle"/>
            </w:pPr>
            <w:r w:rsidRPr="00BD3046">
              <w:rPr>
                <w:sz w:val="36"/>
                <w:szCs w:val="36"/>
              </w:rPr>
              <w:t>Technical Standards under the CSD Regulation</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1260DB" w:rsidRDefault="00620D7C" w:rsidP="001260DB">
            <w:pPr>
              <w:pStyle w:val="02Date"/>
            </w:pPr>
            <w:r w:rsidRPr="001260DB">
              <w:lastRenderedPageBreak/>
              <w:t xml:space="preserve">Date: </w:t>
            </w:r>
            <w:r w:rsidR="004D3364">
              <w:t>18</w:t>
            </w:r>
            <w:r w:rsidR="001260DB">
              <w:t xml:space="preserve"> December</w:t>
            </w:r>
            <w:r w:rsidR="002B354F" w:rsidRPr="001260DB">
              <w:t xml:space="preserve"> </w:t>
            </w:r>
            <w:r w:rsidR="00486C17" w:rsidRPr="001260DB">
              <w:t>201</w:t>
            </w:r>
            <w:r w:rsidR="006F57F2" w:rsidRPr="001260DB">
              <w:t>4</w:t>
            </w:r>
          </w:p>
        </w:tc>
      </w:tr>
    </w:tbl>
    <w:p w:rsidR="0088244C" w:rsidRDefault="0088244C" w:rsidP="00F574D0">
      <w:pPr>
        <w:pStyle w:val="05HeadlinenoIndex"/>
      </w:pPr>
      <w:bookmarkStart w:id="0" w:name="_Toc280628648"/>
    </w:p>
    <w:p w:rsidR="00F574D0" w:rsidRPr="00295156" w:rsidRDefault="0088244C" w:rsidP="00F574D0">
      <w:pPr>
        <w:pStyle w:val="05HeadlinenoIndex"/>
        <w:rPr>
          <w:sz w:val="20"/>
          <w:szCs w:val="20"/>
        </w:rPr>
      </w:pPr>
      <w:r w:rsidRPr="00295156">
        <w:rPr>
          <w:sz w:val="20"/>
          <w:szCs w:val="20"/>
        </w:rPr>
        <w:br w:type="page"/>
      </w:r>
      <w:r w:rsidR="00F574D0" w:rsidRPr="00295156">
        <w:rPr>
          <w:sz w:val="20"/>
          <w:szCs w:val="20"/>
        </w:rPr>
        <w:lastRenderedPageBreak/>
        <w:t xml:space="preserve">Responding to this paper </w:t>
      </w:r>
    </w:p>
    <w:p w:rsidR="00F574D0" w:rsidRPr="00295156" w:rsidRDefault="00F574D0" w:rsidP="00F574D0">
      <w:pPr>
        <w:pStyle w:val="04BodyText"/>
        <w:spacing w:before="120" w:after="120"/>
        <w:rPr>
          <w:szCs w:val="20"/>
        </w:rPr>
      </w:pPr>
      <w:r w:rsidRPr="00295156">
        <w:rPr>
          <w:szCs w:val="20"/>
        </w:rPr>
        <w:t xml:space="preserve">The European Securities and Markets Authority (ESMA) invites responses to the specific questions listed in the ESMA </w:t>
      </w:r>
      <w:r w:rsidR="0060674A" w:rsidRPr="00295156">
        <w:rPr>
          <w:szCs w:val="20"/>
        </w:rPr>
        <w:t xml:space="preserve">Consultation Paper - </w:t>
      </w:r>
      <w:r w:rsidR="00390F5E" w:rsidRPr="00295156">
        <w:rPr>
          <w:szCs w:val="20"/>
        </w:rPr>
        <w:t>Technical Standards under the CSD Regulation</w:t>
      </w:r>
      <w:r w:rsidR="00015B5E" w:rsidRPr="00295156">
        <w:rPr>
          <w:szCs w:val="20"/>
        </w:rPr>
        <w:t>, published on the ESMA website</w:t>
      </w:r>
      <w:r w:rsidR="00330386">
        <w:rPr>
          <w:szCs w:val="20"/>
        </w:rPr>
        <w:t>.</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F574D0" w:rsidRPr="00295156" w:rsidRDefault="00D75FEE" w:rsidP="00F574D0">
      <w:pPr>
        <w:pStyle w:val="04BodyText"/>
        <w:spacing w:before="120" w:after="120"/>
        <w:rPr>
          <w:szCs w:val="20"/>
        </w:rPr>
      </w:pPr>
      <w:r w:rsidRPr="00295156">
        <w:rPr>
          <w:szCs w:val="20"/>
        </w:rPr>
        <w:t>Please note that, in order to facilitate the analysis of the large number of responses expected, you are requested to use this file to send your response to ESMA so as to allow us to process it properly. Therefore, please follow the instructions described below</w:t>
      </w:r>
      <w:r w:rsidR="00F574D0" w:rsidRPr="00295156">
        <w:rPr>
          <w:szCs w:val="20"/>
        </w:rPr>
        <w:t>:</w:t>
      </w:r>
    </w:p>
    <w:p w:rsidR="00F574D0" w:rsidRPr="00295156" w:rsidRDefault="00F574D0" w:rsidP="00F574D0">
      <w:pPr>
        <w:pStyle w:val="04bList"/>
        <w:numPr>
          <w:ilvl w:val="0"/>
          <w:numId w:val="5"/>
        </w:numPr>
        <w:spacing w:before="120" w:after="120"/>
        <w:ind w:left="720"/>
        <w:rPr>
          <w:szCs w:val="20"/>
        </w:rPr>
      </w:pPr>
      <w:r w:rsidRPr="00295156">
        <w:rPr>
          <w:szCs w:val="20"/>
        </w:rPr>
        <w:t xml:space="preserve">use this </w:t>
      </w:r>
      <w:r w:rsidR="003F5C06" w:rsidRPr="00295156">
        <w:rPr>
          <w:szCs w:val="20"/>
        </w:rPr>
        <w:t>form</w:t>
      </w:r>
      <w:r w:rsidRPr="00295156">
        <w:rPr>
          <w:szCs w:val="20"/>
        </w:rPr>
        <w:t xml:space="preserve"> and send </w:t>
      </w:r>
      <w:r w:rsidR="00D75FEE" w:rsidRPr="00295156">
        <w:rPr>
          <w:szCs w:val="20"/>
        </w:rPr>
        <w:t>your</w:t>
      </w:r>
      <w:r w:rsidRPr="00295156">
        <w:rPr>
          <w:szCs w:val="20"/>
        </w:rPr>
        <w:t xml:space="preserve"> responses in </w:t>
      </w:r>
      <w:r w:rsidRPr="00295156">
        <w:rPr>
          <w:b/>
          <w:szCs w:val="20"/>
        </w:rPr>
        <w:t>Word format</w:t>
      </w:r>
      <w:r w:rsidRPr="00295156">
        <w:rPr>
          <w:szCs w:val="20"/>
        </w:rPr>
        <w:t>;</w:t>
      </w:r>
    </w:p>
    <w:p w:rsidR="00F574D0" w:rsidRPr="00295156" w:rsidRDefault="00D75FEE" w:rsidP="00F574D0">
      <w:pPr>
        <w:pStyle w:val="04bList"/>
        <w:numPr>
          <w:ilvl w:val="0"/>
          <w:numId w:val="5"/>
        </w:numPr>
        <w:spacing w:before="120" w:after="120"/>
        <w:ind w:left="720"/>
        <w:rPr>
          <w:szCs w:val="20"/>
        </w:rPr>
      </w:pPr>
      <w:r w:rsidRPr="00295156">
        <w:rPr>
          <w:szCs w:val="20"/>
        </w:rPr>
        <w:t xml:space="preserve">do </w:t>
      </w:r>
      <w:r w:rsidR="00F574D0" w:rsidRPr="00295156">
        <w:rPr>
          <w:szCs w:val="20"/>
        </w:rPr>
        <w:t>not remove the tags of type &lt;ESMA_QUESTION_</w:t>
      </w:r>
      <w:r w:rsidR="00C8677B" w:rsidRPr="00295156">
        <w:rPr>
          <w:szCs w:val="20"/>
        </w:rPr>
        <w:t>T</w:t>
      </w:r>
      <w:r w:rsidR="00390F5E" w:rsidRPr="00295156">
        <w:rPr>
          <w:szCs w:val="20"/>
        </w:rPr>
        <w:t>S</w:t>
      </w:r>
      <w:r w:rsidR="00A35728" w:rsidRPr="00295156">
        <w:rPr>
          <w:szCs w:val="20"/>
        </w:rPr>
        <w:t>_CSDR</w:t>
      </w:r>
      <w:r w:rsidR="00E9344E" w:rsidRPr="00295156">
        <w:rPr>
          <w:szCs w:val="20"/>
        </w:rPr>
        <w:t>_</w:t>
      </w:r>
      <w:r w:rsidR="00F574D0" w:rsidRPr="00295156">
        <w:rPr>
          <w:szCs w:val="20"/>
        </w:rPr>
        <w:t>1&gt; - i.e. the response to one question has to be framed by the 2 tags corresponding to the question; and</w:t>
      </w:r>
    </w:p>
    <w:p w:rsidR="00F574D0" w:rsidRPr="00295156" w:rsidRDefault="00F574D0" w:rsidP="00F574D0">
      <w:pPr>
        <w:pStyle w:val="04bList"/>
        <w:numPr>
          <w:ilvl w:val="0"/>
          <w:numId w:val="5"/>
        </w:numPr>
        <w:spacing w:before="120" w:after="120"/>
        <w:ind w:left="720"/>
        <w:rPr>
          <w:szCs w:val="20"/>
        </w:rPr>
      </w:pPr>
      <w:r w:rsidRPr="00295156">
        <w:rPr>
          <w:szCs w:val="20"/>
        </w:rPr>
        <w:t xml:space="preserve">if </w:t>
      </w:r>
      <w:r w:rsidR="00D75FEE" w:rsidRPr="00295156">
        <w:rPr>
          <w:szCs w:val="20"/>
        </w:rPr>
        <w:t>you do not have a</w:t>
      </w:r>
      <w:r w:rsidRPr="00295156">
        <w:rPr>
          <w:szCs w:val="20"/>
        </w:rPr>
        <w:t xml:space="preserve"> response to a question, </w:t>
      </w:r>
      <w:r w:rsidR="00D75FEE" w:rsidRPr="00295156">
        <w:rPr>
          <w:szCs w:val="20"/>
        </w:rPr>
        <w:t xml:space="preserve">do </w:t>
      </w:r>
      <w:r w:rsidRPr="00295156">
        <w:rPr>
          <w:szCs w:val="20"/>
        </w:rPr>
        <w:t>not delete it and leave the text “TYPE YOUR TEXT HERE” between the tags.</w:t>
      </w:r>
    </w:p>
    <w:p w:rsidR="00F574D0" w:rsidRPr="00295156" w:rsidRDefault="00F574D0" w:rsidP="00F574D0">
      <w:pPr>
        <w:pStyle w:val="04bList"/>
        <w:numPr>
          <w:ilvl w:val="0"/>
          <w:numId w:val="0"/>
        </w:numPr>
        <w:spacing w:before="120" w:after="120"/>
        <w:rPr>
          <w:szCs w:val="20"/>
        </w:rPr>
      </w:pPr>
      <w:r w:rsidRPr="00295156">
        <w:rPr>
          <w:szCs w:val="20"/>
        </w:rPr>
        <w:t>Responses are most helpful:</w:t>
      </w:r>
    </w:p>
    <w:p w:rsidR="00F574D0" w:rsidRPr="00295156" w:rsidRDefault="00F574D0" w:rsidP="002067BA">
      <w:pPr>
        <w:pStyle w:val="04bList"/>
        <w:numPr>
          <w:ilvl w:val="0"/>
          <w:numId w:val="33"/>
        </w:numPr>
        <w:spacing w:before="120" w:after="120"/>
        <w:rPr>
          <w:szCs w:val="20"/>
        </w:rPr>
      </w:pPr>
      <w:r w:rsidRPr="00295156">
        <w:rPr>
          <w:szCs w:val="20"/>
        </w:rPr>
        <w:t>if they respond to the question stated;</w:t>
      </w:r>
    </w:p>
    <w:p w:rsidR="00F574D0" w:rsidRPr="00295156" w:rsidRDefault="00F574D0" w:rsidP="002067BA">
      <w:pPr>
        <w:pStyle w:val="04bList"/>
        <w:numPr>
          <w:ilvl w:val="0"/>
          <w:numId w:val="33"/>
        </w:numPr>
        <w:spacing w:before="120" w:after="120"/>
        <w:rPr>
          <w:szCs w:val="20"/>
        </w:rPr>
      </w:pPr>
      <w:r w:rsidRPr="00295156">
        <w:rPr>
          <w:szCs w:val="20"/>
        </w:rPr>
        <w:t>contain a clear rationale, including on any related costs and benefits; and</w:t>
      </w:r>
    </w:p>
    <w:p w:rsidR="00A35728" w:rsidRPr="00295156" w:rsidRDefault="00F574D0" w:rsidP="000D17AA">
      <w:pPr>
        <w:pStyle w:val="04bList"/>
        <w:numPr>
          <w:ilvl w:val="0"/>
          <w:numId w:val="33"/>
        </w:numPr>
        <w:spacing w:before="120" w:after="120"/>
        <w:rPr>
          <w:szCs w:val="20"/>
        </w:rPr>
      </w:pPr>
      <w:r w:rsidRPr="00295156">
        <w:rPr>
          <w:szCs w:val="20"/>
        </w:rPr>
        <w:t>describe any alternatives that ESMA should consider</w:t>
      </w:r>
    </w:p>
    <w:p w:rsidR="000D17AA" w:rsidRPr="00295156" w:rsidRDefault="000D17AA" w:rsidP="000D17AA">
      <w:pPr>
        <w:pStyle w:val="04BodyText"/>
        <w:spacing w:before="120" w:after="120"/>
        <w:jc w:val="left"/>
        <w:rPr>
          <w:b/>
          <w:szCs w:val="20"/>
        </w:rPr>
      </w:pPr>
      <w:r w:rsidRPr="00295156">
        <w:rPr>
          <w:b/>
          <w:szCs w:val="20"/>
        </w:rPr>
        <w:t>Naming protocol:</w:t>
      </w:r>
    </w:p>
    <w:p w:rsidR="000D17AA" w:rsidRPr="00295156" w:rsidRDefault="000D17AA" w:rsidP="000D17AA">
      <w:pPr>
        <w:pStyle w:val="04BodyText"/>
        <w:spacing w:before="120" w:after="120"/>
        <w:jc w:val="left"/>
        <w:rPr>
          <w:szCs w:val="20"/>
        </w:rPr>
      </w:pPr>
      <w:r w:rsidRPr="00295156">
        <w:rPr>
          <w:szCs w:val="20"/>
        </w:rPr>
        <w:t>In order to facilitate the handling of stakeholders responses please save your document using the following format:</w:t>
      </w:r>
    </w:p>
    <w:p w:rsidR="000D17AA" w:rsidRPr="00295156" w:rsidRDefault="000D17AA" w:rsidP="000D17AA">
      <w:pPr>
        <w:pStyle w:val="04BodyText"/>
        <w:spacing w:before="120" w:after="120"/>
        <w:jc w:val="left"/>
        <w:rPr>
          <w:szCs w:val="20"/>
        </w:rPr>
      </w:pPr>
      <w:r w:rsidRPr="00295156">
        <w:rPr>
          <w:szCs w:val="20"/>
        </w:rPr>
        <w:t>ESMA_ TA_CSDR _NAMEOFCOMPANY_NAMEOFDOCUMENT.</w:t>
      </w:r>
    </w:p>
    <w:p w:rsidR="000D17AA" w:rsidRPr="00295156" w:rsidRDefault="000D17AA" w:rsidP="000D17AA">
      <w:pPr>
        <w:pStyle w:val="04BodyText"/>
        <w:spacing w:before="120" w:after="120"/>
        <w:jc w:val="left"/>
        <w:rPr>
          <w:szCs w:val="20"/>
        </w:rPr>
      </w:pPr>
      <w:r w:rsidRPr="00295156">
        <w:rPr>
          <w:szCs w:val="20"/>
        </w:rPr>
        <w:t>E.g. if the respondent were ESMA, the name of the reply form would be ESMA_T</w:t>
      </w:r>
      <w:r w:rsidR="00390F5E" w:rsidRPr="00295156">
        <w:rPr>
          <w:szCs w:val="20"/>
        </w:rPr>
        <w:t>S</w:t>
      </w:r>
      <w:r w:rsidRPr="00295156">
        <w:rPr>
          <w:szCs w:val="20"/>
        </w:rPr>
        <w:t>_CSDR</w:t>
      </w:r>
      <w:r w:rsidR="00390F5E" w:rsidRPr="00295156">
        <w:rPr>
          <w:szCs w:val="20"/>
        </w:rPr>
        <w:t>_AIXX</w:t>
      </w:r>
      <w:r w:rsidRPr="00295156">
        <w:rPr>
          <w:szCs w:val="20"/>
        </w:rPr>
        <w:t>_REPLYFORM or ESMA_</w:t>
      </w:r>
      <w:r w:rsidR="00390F5E" w:rsidRPr="00295156">
        <w:rPr>
          <w:szCs w:val="20"/>
        </w:rPr>
        <w:t>CE_TS_CSDR_AIXX</w:t>
      </w:r>
      <w:r w:rsidRPr="00295156">
        <w:rPr>
          <w:szCs w:val="20"/>
        </w:rPr>
        <w:t>_ANNEX1</w:t>
      </w:r>
    </w:p>
    <w:p w:rsidR="00F574D0" w:rsidRPr="00295156" w:rsidRDefault="00F574D0" w:rsidP="00F574D0">
      <w:pPr>
        <w:pStyle w:val="04BodyText"/>
        <w:spacing w:before="120" w:after="120"/>
        <w:rPr>
          <w:szCs w:val="20"/>
        </w:rPr>
      </w:pPr>
      <w:r w:rsidRPr="00295156">
        <w:rPr>
          <w:szCs w:val="20"/>
        </w:rPr>
        <w:t xml:space="preserve">Responses must reach us </w:t>
      </w:r>
      <w:r w:rsidRPr="007F4106">
        <w:rPr>
          <w:szCs w:val="20"/>
        </w:rPr>
        <w:t xml:space="preserve">by </w:t>
      </w:r>
      <w:r w:rsidR="007F4106" w:rsidRPr="007F4106">
        <w:rPr>
          <w:b/>
          <w:szCs w:val="20"/>
        </w:rPr>
        <w:t>19</w:t>
      </w:r>
      <w:r w:rsidR="00D43F14" w:rsidRPr="007F4106">
        <w:rPr>
          <w:b/>
          <w:szCs w:val="20"/>
        </w:rPr>
        <w:t xml:space="preserve"> </w:t>
      </w:r>
      <w:r w:rsidR="007F4106" w:rsidRPr="007F4106">
        <w:rPr>
          <w:b/>
          <w:szCs w:val="20"/>
        </w:rPr>
        <w:t>February</w:t>
      </w:r>
      <w:r w:rsidR="00D43F14" w:rsidRPr="007F4106">
        <w:rPr>
          <w:b/>
          <w:szCs w:val="20"/>
        </w:rPr>
        <w:t xml:space="preserve"> </w:t>
      </w:r>
      <w:r w:rsidRPr="007F4106">
        <w:rPr>
          <w:b/>
          <w:szCs w:val="20"/>
        </w:rPr>
        <w:t>201</w:t>
      </w:r>
      <w:r w:rsidR="007F4106" w:rsidRPr="007F4106">
        <w:rPr>
          <w:b/>
          <w:szCs w:val="20"/>
        </w:rPr>
        <w:t>5</w:t>
      </w:r>
      <w:r w:rsidRPr="007F4106">
        <w:rPr>
          <w:szCs w:val="20"/>
        </w:rPr>
        <w:t>.</w:t>
      </w:r>
      <w:r w:rsidRPr="00295156">
        <w:rPr>
          <w:szCs w:val="20"/>
        </w:rPr>
        <w:t xml:space="preserve"> </w:t>
      </w:r>
    </w:p>
    <w:p w:rsidR="00F574D0" w:rsidRPr="00295156" w:rsidRDefault="00F574D0" w:rsidP="00F574D0">
      <w:pPr>
        <w:pStyle w:val="04BodyText"/>
        <w:spacing w:before="120" w:after="120"/>
        <w:rPr>
          <w:szCs w:val="20"/>
        </w:rPr>
      </w:pPr>
      <w:r w:rsidRPr="00295156">
        <w:rPr>
          <w:szCs w:val="20"/>
        </w:rPr>
        <w:t xml:space="preserve">All contributions should be submitted online at </w:t>
      </w:r>
      <w:hyperlink r:id="rId12" w:history="1">
        <w:r w:rsidRPr="00295156">
          <w:rPr>
            <w:rStyle w:val="Hyperlink"/>
            <w:szCs w:val="20"/>
          </w:rPr>
          <w:t>www.esma.europa.eu</w:t>
        </w:r>
      </w:hyperlink>
      <w:r w:rsidRPr="00295156">
        <w:rPr>
          <w:szCs w:val="20"/>
        </w:rPr>
        <w:t xml:space="preserve"> under the heading ‘Your input/Consultations’. </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F574D0" w:rsidRPr="00295156" w:rsidRDefault="00F574D0" w:rsidP="00F574D0">
      <w:pPr>
        <w:pStyle w:val="04BodyText"/>
        <w:spacing w:before="120" w:after="120"/>
        <w:rPr>
          <w:szCs w:val="20"/>
        </w:rPr>
      </w:pPr>
      <w:r w:rsidRPr="00295156">
        <w:rPr>
          <w:szCs w:val="20"/>
        </w:rPr>
        <w:t xml:space="preserve">All contributions received will be published following the end of the consultation period, unless otherwise requested. </w:t>
      </w:r>
      <w:r w:rsidRPr="00295156">
        <w:rPr>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rPr>
          <w:szCs w:val="20"/>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F574D0" w:rsidRPr="00295156" w:rsidRDefault="00F574D0"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3" w:history="1">
        <w:r w:rsidRPr="00295156">
          <w:rPr>
            <w:rStyle w:val="Hyperlink"/>
            <w:sz w:val="20"/>
            <w:szCs w:val="20"/>
          </w:rPr>
          <w:t>www.esma.europa.eu</w:t>
        </w:r>
      </w:hyperlink>
      <w:r w:rsidRPr="00295156">
        <w:rPr>
          <w:sz w:val="20"/>
          <w:szCs w:val="20"/>
        </w:rPr>
        <w:t xml:space="preserve"> under the heading ‘Disclaimer’.</w:t>
      </w:r>
    </w:p>
    <w:bookmarkEnd w:id="0"/>
    <w:p w:rsidR="00473916" w:rsidRDefault="00473916" w:rsidP="00473916"/>
    <w:p w:rsidR="00473916" w:rsidRPr="00473916" w:rsidRDefault="00473916" w:rsidP="00473916"/>
    <w:p w:rsidR="00473916" w:rsidRPr="0026621B" w:rsidRDefault="00473916" w:rsidP="00473916">
      <w:pPr>
        <w:pStyle w:val="Heading1"/>
        <w:numPr>
          <w:ilvl w:val="0"/>
          <w:numId w:val="0"/>
        </w:numPr>
        <w:rPr>
          <w:sz w:val="22"/>
          <w:szCs w:val="22"/>
        </w:rPr>
      </w:pPr>
      <w:r w:rsidRPr="0026621B">
        <w:rPr>
          <w:sz w:val="22"/>
          <w:szCs w:val="22"/>
        </w:rPr>
        <w:lastRenderedPageBreak/>
        <w:t>General information about respondent</w:t>
      </w:r>
    </w:p>
    <w:tbl>
      <w:tblPr>
        <w:tblStyle w:val="TableGrid"/>
        <w:tblW w:w="0" w:type="auto"/>
        <w:tblLook w:val="04A0"/>
      </w:tblPr>
      <w:tblGrid>
        <w:gridCol w:w="3510"/>
        <w:gridCol w:w="6118"/>
      </w:tblGrid>
      <w:tr w:rsidR="00473916" w:rsidRPr="0026621B" w:rsidTr="00300F54">
        <w:tc>
          <w:tcPr>
            <w:tcW w:w="3510" w:type="dxa"/>
          </w:tcPr>
          <w:p w:rsidR="00473916" w:rsidRPr="0026621B" w:rsidRDefault="00473916" w:rsidP="00300F54">
            <w:pPr>
              <w:rPr>
                <w:rFonts w:cs="Arial"/>
                <w:szCs w:val="22"/>
              </w:rPr>
            </w:pPr>
            <w:r w:rsidRPr="0026621B">
              <w:rPr>
                <w:rFonts w:cs="Arial"/>
                <w:szCs w:val="22"/>
              </w:rPr>
              <w:t>Are you representing an association?</w:t>
            </w:r>
          </w:p>
        </w:tc>
        <w:tc>
          <w:tcPr>
            <w:tcW w:w="6118" w:type="dxa"/>
          </w:tcPr>
          <w:p w:rsidR="00473916" w:rsidRPr="0026621B" w:rsidRDefault="00887349" w:rsidP="00300F54">
            <w:pPr>
              <w:rPr>
                <w:rFonts w:cs="Arial"/>
                <w:szCs w:val="22"/>
              </w:rPr>
            </w:pPr>
            <w:sdt>
              <w:sdtPr>
                <w:rPr>
                  <w:rFonts w:cs="Arial"/>
                  <w:szCs w:val="22"/>
                </w:rPr>
                <w:alias w:val="Association"/>
                <w:tag w:val="Association"/>
                <w:id w:val="-1769143793"/>
                <w:placeholder>
                  <w:docPart w:val="65E85BD11FA34C35ABE725446C5BAEC5"/>
                </w:placeholder>
                <w:comboBox>
                  <w:listItem w:displayText="Yes" w:value="Yes"/>
                  <w:listItem w:displayText="No" w:value="No"/>
                </w:comboBox>
              </w:sdtPr>
              <w:sdtContent>
                <w:permStart w:id="0" w:edGrp="everyone"/>
                <w:r w:rsidR="00935F6E">
                  <w:rPr>
                    <w:rFonts w:cs="Arial"/>
                    <w:szCs w:val="22"/>
                  </w:rPr>
                  <w:t>No</w:t>
                </w:r>
                <w:permEnd w:id="0"/>
              </w:sdtContent>
            </w:sdt>
          </w:p>
        </w:tc>
      </w:tr>
      <w:tr w:rsidR="00473916" w:rsidRPr="0026621B" w:rsidTr="00300F54">
        <w:tc>
          <w:tcPr>
            <w:tcW w:w="3510" w:type="dxa"/>
          </w:tcPr>
          <w:p w:rsidR="00473916" w:rsidRPr="0026621B" w:rsidRDefault="00473916" w:rsidP="00300F54">
            <w:pPr>
              <w:rPr>
                <w:rFonts w:cs="Arial"/>
                <w:szCs w:val="22"/>
              </w:rPr>
            </w:pPr>
            <w:r w:rsidRPr="0026621B">
              <w:rPr>
                <w:rFonts w:cs="Arial"/>
                <w:szCs w:val="22"/>
              </w:rPr>
              <w:t>Activity:</w:t>
            </w:r>
          </w:p>
        </w:tc>
        <w:tc>
          <w:tcPr>
            <w:tcW w:w="6118" w:type="dxa"/>
          </w:tcPr>
          <w:p w:rsidR="00473916" w:rsidRPr="0026621B" w:rsidRDefault="00887349" w:rsidP="00300F54">
            <w:pPr>
              <w:rPr>
                <w:rFonts w:cs="Arial"/>
                <w:szCs w:val="22"/>
              </w:rPr>
            </w:pPr>
            <w:sdt>
              <w:sdtPr>
                <w:rPr>
                  <w:rFonts w:cs="Arial"/>
                  <w:szCs w:val="22"/>
                </w:rPr>
                <w:alias w:val="Activity"/>
                <w:tag w:val="Activity"/>
                <w:id w:val="1654095920"/>
                <w:placeholder>
                  <w:docPart w:val="98048A7DD8DF4A6B8C6CF00D9B1940F8"/>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Content>
                <w:permStart w:id="1" w:edGrp="everyone"/>
                <w:r w:rsidR="00935F6E">
                  <w:rPr>
                    <w:rFonts w:cs="Arial"/>
                    <w:szCs w:val="22"/>
                  </w:rPr>
                  <w:t>Investment Firm</w:t>
                </w:r>
                <w:permEnd w:id="1"/>
              </w:sdtContent>
            </w:sdt>
          </w:p>
        </w:tc>
      </w:tr>
      <w:tr w:rsidR="00473916" w:rsidRPr="0026621B" w:rsidTr="00300F54">
        <w:tc>
          <w:tcPr>
            <w:tcW w:w="3510" w:type="dxa"/>
          </w:tcPr>
          <w:p w:rsidR="00473916" w:rsidRPr="0026621B" w:rsidRDefault="00473916" w:rsidP="00300F54">
            <w:pPr>
              <w:rPr>
                <w:rFonts w:cs="Arial"/>
                <w:szCs w:val="22"/>
              </w:rPr>
            </w:pPr>
            <w:r w:rsidRPr="0026621B">
              <w:rPr>
                <w:rFonts w:cs="Arial"/>
                <w:szCs w:val="22"/>
              </w:rPr>
              <w:t>Country/Region</w:t>
            </w:r>
          </w:p>
        </w:tc>
        <w:sdt>
          <w:sdtPr>
            <w:rPr>
              <w:rFonts w:cs="Arial"/>
              <w:szCs w:val="22"/>
            </w:rPr>
            <w:alias w:val="Country"/>
            <w:tag w:val="Country"/>
            <w:id w:val="-1549134410"/>
            <w:placeholder>
              <w:docPart w:val="5EAC301EA3224F67909AA00721C3F8B7"/>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473916" w:rsidRPr="0026621B" w:rsidRDefault="00300F54" w:rsidP="00300F54">
                <w:pPr>
                  <w:rPr>
                    <w:rFonts w:cs="Arial"/>
                    <w:szCs w:val="22"/>
                  </w:rPr>
                </w:pPr>
                <w:r>
                  <w:rPr>
                    <w:rFonts w:cs="Arial"/>
                    <w:szCs w:val="22"/>
                  </w:rPr>
                  <w:t>Germany</w:t>
                </w:r>
              </w:p>
            </w:tc>
            <w:permEnd w:id="2" w:displacedByCustomXml="next"/>
          </w:sdtContent>
        </w:sdt>
      </w:tr>
    </w:tbl>
    <w:p w:rsidR="007F4106" w:rsidRDefault="007F4106">
      <w:pPr>
        <w:rPr>
          <w:b/>
        </w:rPr>
      </w:pPr>
      <w:r>
        <w:br w:type="page"/>
      </w:r>
    </w:p>
    <w:p w:rsidR="00D12AFD" w:rsidRDefault="00D12AFD" w:rsidP="00965B03">
      <w:pPr>
        <w:pStyle w:val="Heading5"/>
        <w:ind w:left="567" w:hanging="567"/>
      </w:pPr>
      <w:r w:rsidRPr="002C4F00">
        <w:lastRenderedPageBreak/>
        <w:t>Do you think the proposed timeframes for allocations and confirmations under Article 2 of the RTS on Settlement Discipline are adequate?</w:t>
      </w:r>
    </w:p>
    <w:p w:rsidR="00D12AFD" w:rsidRPr="002C4F00" w:rsidRDefault="00D12AFD" w:rsidP="00BA1DEE">
      <w:pPr>
        <w:pStyle w:val="Heading5"/>
        <w:numPr>
          <w:ilvl w:val="0"/>
          <w:numId w:val="0"/>
        </w:numPr>
        <w:ind w:left="567"/>
      </w:pPr>
      <w:r w:rsidRPr="002C4F00">
        <w:t>If not, what would be feasible timeframes in your opinion?</w:t>
      </w:r>
    </w:p>
    <w:p w:rsidR="00D12AFD" w:rsidRDefault="00D12AFD" w:rsidP="00BA1DEE">
      <w:pPr>
        <w:ind w:left="567"/>
      </w:pPr>
    </w:p>
    <w:p w:rsidR="00D12AFD" w:rsidRPr="002C4F00" w:rsidRDefault="00D12AFD" w:rsidP="00BA1DEE">
      <w:pPr>
        <w:pStyle w:val="Heading5"/>
        <w:numPr>
          <w:ilvl w:val="0"/>
          <w:numId w:val="0"/>
        </w:numPr>
        <w:ind w:left="567"/>
      </w:pPr>
      <w:r w:rsidRPr="002C4F00">
        <w:t>Please provide details and arguments in case you envisage any technical difficulties in complying with the proposed timeframes.</w:t>
      </w:r>
    </w:p>
    <w:p w:rsidR="00D12AFD" w:rsidRDefault="00D12AFD" w:rsidP="00D12AFD"/>
    <w:p w:rsidR="00D12AFD" w:rsidRDefault="00D12AFD" w:rsidP="00D12AFD">
      <w:r>
        <w:t>&lt;ESMA_QUESTION_TS_CSDR_1&gt;</w:t>
      </w:r>
    </w:p>
    <w:p w:rsidR="00300F54" w:rsidRDefault="00300F54" w:rsidP="00300F54">
      <w:pPr>
        <w:spacing w:line="276" w:lineRule="auto"/>
        <w:contextualSpacing/>
        <w:jc w:val="both"/>
        <w:rPr>
          <w:rFonts w:cs="Arial"/>
        </w:rPr>
      </w:pPr>
      <w:permStart w:id="3" w:edGrp="everyone"/>
      <w:r w:rsidRPr="00141288">
        <w:rPr>
          <w:rFonts w:cs="Arial"/>
        </w:rPr>
        <w:t xml:space="preserve">The timeframes are acceptable, but the objective to complete allocations and confirmations on trade date (T) where possible should be supported. </w:t>
      </w:r>
      <w:r>
        <w:rPr>
          <w:rFonts w:cs="Arial"/>
        </w:rPr>
        <w:t xml:space="preserve">It </w:t>
      </w:r>
      <w:r w:rsidRPr="00141288">
        <w:rPr>
          <w:rFonts w:cs="Arial"/>
        </w:rPr>
        <w:t xml:space="preserve">could be </w:t>
      </w:r>
      <w:r>
        <w:rPr>
          <w:rFonts w:cs="Arial"/>
        </w:rPr>
        <w:t xml:space="preserve">worth considering </w:t>
      </w:r>
      <w:r w:rsidRPr="00141288">
        <w:rPr>
          <w:rFonts w:cs="Arial"/>
        </w:rPr>
        <w:t>whether Place of Settlement (PSET) could be mandated as one of the pieces of settlement information needed in order to alleviate future m</w:t>
      </w:r>
      <w:r>
        <w:rPr>
          <w:rFonts w:cs="Arial"/>
        </w:rPr>
        <w:t>atching and settlement issues. The</w:t>
      </w:r>
      <w:r w:rsidRPr="00141288">
        <w:rPr>
          <w:rFonts w:cs="Arial"/>
        </w:rPr>
        <w:t xml:space="preserve"> proposition to place the responsibility on the investment firm to re-paper their clients so as to include details of these proposed timeframes could be </w:t>
      </w:r>
      <w:r>
        <w:rPr>
          <w:rFonts w:cs="Arial"/>
        </w:rPr>
        <w:t xml:space="preserve">a </w:t>
      </w:r>
      <w:r w:rsidRPr="00141288">
        <w:rPr>
          <w:rFonts w:cs="Arial"/>
        </w:rPr>
        <w:t xml:space="preserve">burdensome task.  There is no indication of the </w:t>
      </w:r>
      <w:r>
        <w:rPr>
          <w:rFonts w:cs="Arial"/>
        </w:rPr>
        <w:t>ramifications for any client that</w:t>
      </w:r>
      <w:r w:rsidRPr="00141288">
        <w:rPr>
          <w:rFonts w:cs="Arial"/>
        </w:rPr>
        <w:t xml:space="preserve"> does not adhere to these timelines.  Without an alignment of requirements investment firms may have an issue of enforcing their own </w:t>
      </w:r>
      <w:r>
        <w:rPr>
          <w:rFonts w:cs="Arial"/>
        </w:rPr>
        <w:t xml:space="preserve">regulatory </w:t>
      </w:r>
      <w:r w:rsidRPr="00141288">
        <w:rPr>
          <w:rFonts w:cs="Arial"/>
        </w:rPr>
        <w:t xml:space="preserve">requirements.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 xml:space="preserve">There is currently no way, apart from the devising of internal Management Information systems, to track adherence (unless on a central matching platform such as </w:t>
      </w:r>
      <w:proofErr w:type="spellStart"/>
      <w:r w:rsidRPr="00141288">
        <w:rPr>
          <w:rFonts w:cs="Arial"/>
        </w:rPr>
        <w:t>Omgeo’s</w:t>
      </w:r>
      <w:proofErr w:type="spellEnd"/>
      <w:r w:rsidRPr="00141288">
        <w:rPr>
          <w:rFonts w:cs="Arial"/>
        </w:rPr>
        <w:t xml:space="preserve"> Central Trade Manager platform (CTM)), and no mention of clients having to affirm transactions (electronically), a fundamental necessity in order to reduce risk. At present, for ‘manual’ clients, where paper based confirms are issued and no positive affirmation is received, investment firms are unaware of issues until pre-settlement matching steps take place. </w:t>
      </w:r>
    </w:p>
    <w:p w:rsidR="00300F54" w:rsidRDefault="00300F54" w:rsidP="00300F54">
      <w:pPr>
        <w:spacing w:line="276" w:lineRule="auto"/>
        <w:contextualSpacing/>
        <w:jc w:val="both"/>
        <w:rPr>
          <w:rFonts w:cs="Arial"/>
          <w:b/>
          <w:bCs/>
        </w:rPr>
      </w:pPr>
    </w:p>
    <w:p w:rsidR="00300F54" w:rsidRDefault="00300F54" w:rsidP="00300F54">
      <w:pPr>
        <w:spacing w:line="276" w:lineRule="auto"/>
        <w:contextualSpacing/>
        <w:jc w:val="both"/>
        <w:rPr>
          <w:rFonts w:cs="Arial"/>
        </w:rPr>
      </w:pPr>
      <w:r w:rsidRPr="00141288">
        <w:rPr>
          <w:rFonts w:cs="Arial"/>
          <w:bCs/>
        </w:rPr>
        <w:t>Guid</w:t>
      </w:r>
      <w:r>
        <w:rPr>
          <w:rFonts w:cs="Arial"/>
          <w:bCs/>
        </w:rPr>
        <w:t>ance must be provided on how</w:t>
      </w:r>
      <w:r w:rsidRPr="00141288">
        <w:rPr>
          <w:rFonts w:cs="Arial"/>
          <w:bCs/>
        </w:rPr>
        <w:t xml:space="preserve"> compliance should be monitored and enforced.</w:t>
      </w:r>
      <w:r>
        <w:rPr>
          <w:rFonts w:cs="Arial"/>
          <w:bCs/>
        </w:rPr>
        <w:t xml:space="preserve"> </w:t>
      </w:r>
      <w:r w:rsidRPr="00141288">
        <w:rPr>
          <w:rFonts w:cs="Arial"/>
        </w:rPr>
        <w:t>Instruction should be closely tied with affirmation: instructions should be issued to CSDs as close to trade date as possible so that exceptions, such as Standard Settlement Instruction (SSI) mismatches</w:t>
      </w:r>
      <w:r>
        <w:rPr>
          <w:rFonts w:cs="Arial"/>
        </w:rPr>
        <w:t>,</w:t>
      </w:r>
      <w:r w:rsidRPr="00141288">
        <w:rPr>
          <w:rFonts w:cs="Arial"/>
        </w:rPr>
        <w:t xml:space="preserve"> can be investigated.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 xml:space="preserve">Clarification would be beneficial on a number of points: </w:t>
      </w:r>
    </w:p>
    <w:p w:rsidR="00300F54" w:rsidRDefault="00300F54" w:rsidP="00300F54">
      <w:pPr>
        <w:spacing w:line="276" w:lineRule="auto"/>
        <w:contextualSpacing/>
        <w:jc w:val="both"/>
        <w:rPr>
          <w:rFonts w:cs="Arial"/>
        </w:rPr>
      </w:pPr>
      <w:r w:rsidRPr="00141288">
        <w:rPr>
          <w:rFonts w:cs="Arial"/>
        </w:rPr>
        <w:t xml:space="preserve">-Article </w:t>
      </w:r>
      <w:r>
        <w:rPr>
          <w:rFonts w:cs="Arial"/>
        </w:rPr>
        <w:t>(</w:t>
      </w:r>
      <w:r w:rsidRPr="00141288">
        <w:rPr>
          <w:rFonts w:cs="Arial"/>
        </w:rPr>
        <w:t>2</w:t>
      </w:r>
      <w:proofErr w:type="gramStart"/>
      <w:r w:rsidRPr="00141288">
        <w:rPr>
          <w:rFonts w:cs="Arial"/>
        </w:rPr>
        <w:t>)(</w:t>
      </w:r>
      <w:proofErr w:type="gramEnd"/>
      <w:r w:rsidRPr="00141288">
        <w:rPr>
          <w:rFonts w:cs="Arial"/>
        </w:rPr>
        <w:t xml:space="preserve">1)(a): transaction type should cover transaction types in </w:t>
      </w:r>
      <w:r>
        <w:rPr>
          <w:rFonts w:cs="Arial"/>
        </w:rPr>
        <w:t>paragraph</w:t>
      </w:r>
      <w:r w:rsidRPr="00141288">
        <w:rPr>
          <w:rFonts w:cs="Arial"/>
        </w:rPr>
        <w:t xml:space="preserve"> (e) of Article </w:t>
      </w:r>
      <w:r>
        <w:rPr>
          <w:rFonts w:cs="Arial"/>
        </w:rPr>
        <w:t>(</w:t>
      </w:r>
      <w:r w:rsidRPr="00141288">
        <w:rPr>
          <w:rFonts w:cs="Arial"/>
        </w:rPr>
        <w:t>4</w:t>
      </w:r>
      <w:r>
        <w:rPr>
          <w:rFonts w:cs="Arial"/>
        </w:rPr>
        <w:t>)</w:t>
      </w:r>
      <w:r w:rsidRPr="00141288">
        <w:rPr>
          <w:rFonts w:cs="Arial"/>
        </w:rPr>
        <w:t xml:space="preserve"> (2). The transaction type should not be on client allocations as it will always be OTC on client trades, unless the transaction type would refer to how the market side of the client trade was executed (trading venue, OTC, etc) which in turn would require further clarification as to how to populate this field in cases of mixed executions.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 xml:space="preserve">-In paragraph 1 of proposed RTS it is unclear what is meant by the term “written” as in “written allocations”, “written confirmation” or “written acceptance of the terms.” Clarification would be </w:t>
      </w:r>
      <w:r>
        <w:rPr>
          <w:rFonts w:cs="Arial"/>
        </w:rPr>
        <w:t xml:space="preserve">useful as to </w:t>
      </w:r>
      <w:r w:rsidRPr="00141288">
        <w:rPr>
          <w:rFonts w:cs="Arial"/>
        </w:rPr>
        <w:t>whether this term encompasses electronic as well as manual forms of affirmation and allocation such as Excel spreadsheets.</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 xml:space="preserve">-Article (2) (1)(j):  Clarification would be </w:t>
      </w:r>
      <w:r>
        <w:rPr>
          <w:rFonts w:cs="Arial"/>
        </w:rPr>
        <w:t xml:space="preserve">useful </w:t>
      </w:r>
      <w:r w:rsidRPr="00141288">
        <w:rPr>
          <w:rFonts w:cs="Arial"/>
        </w:rPr>
        <w:t xml:space="preserve">as to what the “identifier of the entity that maintains the securities” should be, i.e. if the identifier will be a Legal Entity Identifier (LEI) or Bank Identifier Code (BIC), and where a BIC is utilised, will there be any obligation to replace it with an LEI for reporting under EMIR. Currently, BIC is the accepted market practise. </w:t>
      </w:r>
    </w:p>
    <w:permEnd w:id="3"/>
    <w:p w:rsidR="00D12AFD" w:rsidRDefault="00D12AFD" w:rsidP="00D12AFD">
      <w:r>
        <w:lastRenderedPageBreak/>
        <w:t>&lt;ESMA_QUESTION_TS_CSDR_1&gt;</w:t>
      </w:r>
    </w:p>
    <w:p w:rsidR="00D12AFD" w:rsidRDefault="00D12AFD" w:rsidP="00B874B2">
      <w:pPr>
        <w:pStyle w:val="Heading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D12AFD" w:rsidRPr="00D12AFD" w:rsidRDefault="00D12AFD" w:rsidP="00BA1DEE">
      <w:pPr>
        <w:pStyle w:val="Heading5"/>
        <w:numPr>
          <w:ilvl w:val="0"/>
          <w:numId w:val="0"/>
        </w:numPr>
        <w:ind w:left="567"/>
        <w:rPr>
          <w:color w:val="000000"/>
          <w:lang w:eastAsia="en-GB"/>
        </w:rPr>
      </w:pPr>
      <w:r w:rsidRPr="00D12AFD">
        <w:rPr>
          <w:color w:val="000000"/>
          <w:lang w:eastAsia="en-GB"/>
        </w:rPr>
        <w:t>Should other cases be included? Please provide details and evidence for any proposed case.</w:t>
      </w:r>
    </w:p>
    <w:p w:rsidR="00D12AFD" w:rsidRDefault="00D12AFD" w:rsidP="00D12AFD"/>
    <w:p w:rsidR="00D12AFD" w:rsidRDefault="00D12AFD" w:rsidP="00D12AFD">
      <w:r>
        <w:t>&lt;ESMA_QUESTION_TS_CSDR_2&gt;</w:t>
      </w:r>
    </w:p>
    <w:p w:rsidR="00300F54" w:rsidRDefault="00300F54" w:rsidP="00300F54">
      <w:pPr>
        <w:spacing w:line="276" w:lineRule="auto"/>
        <w:contextualSpacing/>
        <w:jc w:val="both"/>
        <w:rPr>
          <w:rFonts w:eastAsia="Arial" w:cs="Arial"/>
          <w:bCs/>
          <w:lang w:val="en-US" w:eastAsia="en-US"/>
        </w:rPr>
      </w:pPr>
      <w:permStart w:id="4" w:edGrp="everyone"/>
      <w:r w:rsidRPr="00141288">
        <w:rPr>
          <w:rFonts w:cs="Arial"/>
        </w:rPr>
        <w:t>The proposed cases are acceptable.  A case where no matching is required should be added for cross-CSD movements where there is no matching protocol. In this case a settlement instruction would be entered in the delivering CSD only and the shares would be deposited in the receiving CSD.</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With respect to Free of Payment (</w:t>
      </w:r>
      <w:proofErr w:type="spellStart"/>
      <w:r w:rsidRPr="00141288">
        <w:rPr>
          <w:rFonts w:eastAsia="Arial" w:cs="Arial"/>
          <w:bCs/>
          <w:lang w:val="en-US" w:eastAsia="en-US"/>
        </w:rPr>
        <w:t>FoP</w:t>
      </w:r>
      <w:proofErr w:type="spellEnd"/>
      <w:r w:rsidRPr="00141288">
        <w:rPr>
          <w:rFonts w:eastAsia="Arial" w:cs="Arial"/>
          <w:bCs/>
          <w:lang w:val="en-US" w:eastAsia="en-US"/>
        </w:rPr>
        <w:t xml:space="preserve">) transfers ESMA should clarify that matching should also be possible between two securities accounts of the same CSD participant. As an explanation, agent banks may operate multiple accounts under their own name but for different underlying clients. If the underlying parties have provided instructions to transfer securities </w:t>
      </w:r>
      <w:proofErr w:type="spellStart"/>
      <w:r w:rsidRPr="00141288">
        <w:rPr>
          <w:rFonts w:eastAsia="Arial" w:cs="Arial"/>
          <w:bCs/>
          <w:lang w:val="en-US" w:eastAsia="en-US"/>
        </w:rPr>
        <w:t>FoP</w:t>
      </w:r>
      <w:proofErr w:type="spellEnd"/>
      <w:r w:rsidRPr="00141288">
        <w:rPr>
          <w:rFonts w:eastAsia="Arial" w:cs="Arial"/>
          <w:bCs/>
          <w:lang w:val="en-US" w:eastAsia="en-US"/>
        </w:rPr>
        <w:t xml:space="preserve"> between two accounts those should be matched in order to ensure that the underlying details of the instructions match. Alternatively</w:t>
      </w:r>
      <w:r>
        <w:rPr>
          <w:rFonts w:eastAsia="Arial" w:cs="Arial"/>
          <w:bCs/>
          <w:lang w:val="en-US" w:eastAsia="en-US"/>
        </w:rPr>
        <w:t>,</w:t>
      </w:r>
      <w:r w:rsidRPr="00141288">
        <w:rPr>
          <w:rFonts w:eastAsia="Arial" w:cs="Arial"/>
          <w:bCs/>
          <w:lang w:val="en-US" w:eastAsia="en-US"/>
        </w:rPr>
        <w:t xml:space="preserve"> agent banks would have to build an in-house matching m</w:t>
      </w:r>
      <w:r w:rsidRPr="00141288">
        <w:rPr>
          <w:rFonts w:eastAsia="Arial" w:cs="Arial"/>
          <w:bCs/>
          <w:lang w:val="en-US" w:eastAsia="en-US"/>
        </w:rPr>
        <w:t>e</w:t>
      </w:r>
      <w:r w:rsidRPr="00141288">
        <w:rPr>
          <w:rFonts w:eastAsia="Arial" w:cs="Arial"/>
          <w:bCs/>
          <w:lang w:val="en-US" w:eastAsia="en-US"/>
        </w:rPr>
        <w:t>chanism to perform that check and make additional investments to hold back the receipt instru</w:t>
      </w:r>
      <w:r w:rsidRPr="00141288">
        <w:rPr>
          <w:rFonts w:eastAsia="Arial" w:cs="Arial"/>
          <w:bCs/>
          <w:lang w:val="en-US" w:eastAsia="en-US"/>
        </w:rPr>
        <w:t>c</w:t>
      </w:r>
      <w:r w:rsidRPr="00141288">
        <w:rPr>
          <w:rFonts w:eastAsia="Arial" w:cs="Arial"/>
          <w:bCs/>
          <w:lang w:val="en-US" w:eastAsia="en-US"/>
        </w:rPr>
        <w:t xml:space="preserve">tion.  This scenario should be avoided as it is less efficient. </w:t>
      </w:r>
    </w:p>
    <w:p w:rsidR="00300F54" w:rsidRDefault="00300F54" w:rsidP="00300F54">
      <w:pPr>
        <w:widowControl w:val="0"/>
        <w:spacing w:before="9" w:line="276" w:lineRule="auto"/>
        <w:contextualSpacing/>
        <w:jc w:val="both"/>
        <w:rPr>
          <w:rFonts w:eastAsia="Calibri" w:cs="Arial"/>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Clarification would be beneficial on the following points:</w:t>
      </w:r>
    </w:p>
    <w:p w:rsidR="00300F54" w:rsidRDefault="00300F54" w:rsidP="005C0956">
      <w:pPr>
        <w:pStyle w:val="ListParagraph"/>
        <w:widowControl w:val="0"/>
        <w:numPr>
          <w:ilvl w:val="0"/>
          <w:numId w:val="34"/>
        </w:numPr>
        <w:spacing w:line="276" w:lineRule="auto"/>
        <w:ind w:right="61"/>
        <w:jc w:val="both"/>
        <w:rPr>
          <w:rFonts w:eastAsia="Arial" w:cs="Arial"/>
          <w:bCs/>
          <w:lang w:val="en-US" w:eastAsia="en-US"/>
        </w:rPr>
      </w:pPr>
      <w:r w:rsidRPr="00FE005C">
        <w:rPr>
          <w:rFonts w:eastAsia="Arial" w:cs="Arial"/>
          <w:bCs/>
          <w:lang w:val="en-US" w:eastAsia="en-US"/>
        </w:rPr>
        <w:t>Art 3 (3) (a) the reference to 4(2</w:t>
      </w:r>
      <w:proofErr w:type="gramStart"/>
      <w:r w:rsidRPr="00FE005C">
        <w:rPr>
          <w:rFonts w:eastAsia="Arial" w:cs="Arial"/>
          <w:bCs/>
          <w:lang w:val="en-US" w:eastAsia="en-US"/>
        </w:rPr>
        <w:t>)h</w:t>
      </w:r>
      <w:proofErr w:type="gramEnd"/>
      <w:r w:rsidRPr="00FE005C">
        <w:rPr>
          <w:rFonts w:eastAsia="Arial" w:cs="Arial"/>
          <w:bCs/>
          <w:lang w:val="en-US" w:eastAsia="en-US"/>
        </w:rPr>
        <w:t xml:space="preserve"> is not valid, should this be (g)?</w:t>
      </w:r>
    </w:p>
    <w:p w:rsidR="00D12AFD" w:rsidRDefault="00300F54" w:rsidP="00D12AFD">
      <w:r w:rsidRPr="00FE005C">
        <w:rPr>
          <w:rFonts w:eastAsia="Arial" w:cs="Arial"/>
          <w:bCs/>
          <w:lang w:val="en-US" w:eastAsia="en-US"/>
        </w:rPr>
        <w:t>Art 3 (3) (d) the reference to 4(2</w:t>
      </w:r>
      <w:proofErr w:type="gramStart"/>
      <w:r w:rsidRPr="00FE005C">
        <w:rPr>
          <w:rFonts w:eastAsia="Arial" w:cs="Arial"/>
          <w:bCs/>
          <w:lang w:val="en-US" w:eastAsia="en-US"/>
        </w:rPr>
        <w:t>)f</w:t>
      </w:r>
      <w:proofErr w:type="gramEnd"/>
      <w:r w:rsidRPr="00FE005C">
        <w:rPr>
          <w:rFonts w:eastAsia="Arial" w:cs="Arial"/>
          <w:bCs/>
          <w:lang w:val="en-US" w:eastAsia="en-US"/>
        </w:rPr>
        <w:t xml:space="preserve"> does not make sense either, should this be e?</w:t>
      </w:r>
      <w:permEnd w:id="4"/>
      <w:r w:rsidR="00D12AFD">
        <w:t>&lt;ESMA_QUESTION_TS_CSDR_2&gt;</w:t>
      </w:r>
    </w:p>
    <w:p w:rsidR="00D12AFD" w:rsidRDefault="00D12AFD" w:rsidP="00965B03">
      <w:pPr>
        <w:pStyle w:val="Heading5"/>
        <w:ind w:left="567" w:hanging="567"/>
      </w:pPr>
      <w:r w:rsidRPr="002C4F00">
        <w:t xml:space="preserve">What are your views on the proposed approach under Article 3(11) of the draft RTS included in Chapter II of Annex I? </w:t>
      </w:r>
    </w:p>
    <w:p w:rsidR="00D12AFD" w:rsidRDefault="00D12AFD" w:rsidP="00BA1DEE">
      <w:pPr>
        <w:pStyle w:val="Heading5"/>
        <w:numPr>
          <w:ilvl w:val="0"/>
          <w:numId w:val="0"/>
        </w:numPr>
        <w:ind w:left="567"/>
      </w:pPr>
      <w:r w:rsidRPr="002C4F00">
        <w:t>Do you think that the 0.5% settlement fails threshold (i.e. 99.5% settlement efficiency rate) is adequate? If not, what would be an adequate threshold? Please provide details and arguments.</w:t>
      </w:r>
    </w:p>
    <w:p w:rsidR="00D12AFD" w:rsidRPr="002C4F00" w:rsidRDefault="00D12AFD" w:rsidP="00BA1DEE">
      <w:pPr>
        <w:pStyle w:val="Heading5"/>
        <w:numPr>
          <w:ilvl w:val="0"/>
          <w:numId w:val="0"/>
        </w:numPr>
        <w:ind w:left="567"/>
      </w:pPr>
      <w:r w:rsidRPr="002C4F00">
        <w:t xml:space="preserve">Do you think that the 2,5 billion EUR/year in terms of the value of settlement </w:t>
      </w:r>
      <w:r w:rsidR="00851A83">
        <w:rPr>
          <w:rFonts w:cstheme="minorHAnsi"/>
          <w:szCs w:val="22"/>
        </w:rPr>
        <w:t>fails for a</w:t>
      </w:r>
      <w:r w:rsidR="00851A83" w:rsidRPr="00567AB7">
        <w:rPr>
          <w:rFonts w:cstheme="minorHAnsi"/>
          <w:szCs w:val="22"/>
        </w:rPr>
        <w:t xml:space="preserve"> securities settlement system operated</w:t>
      </w:r>
      <w:r w:rsidRPr="002C4F00">
        <w:t xml:space="preserve"> by a CSD is adequate? If not, what would be an adequate threshold? Please provide details and arguments.</w:t>
      </w:r>
    </w:p>
    <w:p w:rsidR="00D12AFD" w:rsidRDefault="00D12AFD" w:rsidP="00D12AFD"/>
    <w:p w:rsidR="00D12AFD" w:rsidRDefault="00D12AFD" w:rsidP="00D12AFD">
      <w:r>
        <w:t>&lt;ESMA_QUESTION_TS_CSDR_3&gt;</w:t>
      </w:r>
    </w:p>
    <w:p w:rsidR="00300F54" w:rsidRPr="00141288" w:rsidRDefault="00300F54" w:rsidP="00300F54">
      <w:pPr>
        <w:widowControl w:val="0"/>
        <w:spacing w:line="276" w:lineRule="auto"/>
        <w:ind w:right="61"/>
        <w:contextualSpacing/>
        <w:jc w:val="both"/>
        <w:rPr>
          <w:rFonts w:eastAsia="Arial" w:cs="Arial"/>
          <w:bCs/>
          <w:lang w:val="en-US" w:eastAsia="en-US"/>
        </w:rPr>
      </w:pPr>
      <w:permStart w:id="5" w:edGrp="everyone"/>
      <w:r w:rsidRPr="00141288">
        <w:rPr>
          <w:rFonts w:eastAsia="Arial" w:cs="Arial"/>
          <w:bCs/>
          <w:lang w:val="en-US" w:eastAsia="en-US"/>
        </w:rPr>
        <w:t>We support the objective to reduce the regulatory burden on CSDs.  However, the requirements under Article 3(5-7) should be offered by all CSDs, regardless of the value of settlement fails for any particular CSD.  Offering the hold and release mechanism to all CSD participants will serve to increase early matching and hence earlier detection of mismatches. Likewise, the offering of partial settlement will serve to reduce the volume of settlement failures and likely increase sec</w:t>
      </w:r>
      <w:r w:rsidRPr="00141288">
        <w:rPr>
          <w:rFonts w:eastAsia="Arial" w:cs="Arial"/>
          <w:bCs/>
          <w:lang w:val="en-US" w:eastAsia="en-US"/>
        </w:rPr>
        <w:t>u</w:t>
      </w:r>
      <w:r w:rsidRPr="00141288">
        <w:rPr>
          <w:rFonts w:eastAsia="Arial" w:cs="Arial"/>
          <w:bCs/>
          <w:lang w:val="en-US" w:eastAsia="en-US"/>
        </w:rPr>
        <w:t>rity turn-over.</w:t>
      </w: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sidDel="00196E87">
        <w:rPr>
          <w:rFonts w:eastAsia="Arial" w:cs="Arial"/>
          <w:bCs/>
          <w:lang w:val="en-US" w:eastAsia="en-US"/>
        </w:rPr>
        <w:t xml:space="preserve"> </w:t>
      </w: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 xml:space="preserve">It should be noted that T2S offers these functionalities as well, and participating CSDs are encouraged to </w:t>
      </w:r>
      <w:proofErr w:type="spellStart"/>
      <w:r w:rsidRPr="00141288">
        <w:rPr>
          <w:rFonts w:eastAsia="Arial" w:cs="Arial"/>
          <w:bCs/>
          <w:lang w:val="en-US" w:eastAsia="en-US"/>
        </w:rPr>
        <w:t>utilise</w:t>
      </w:r>
      <w:proofErr w:type="spellEnd"/>
      <w:r w:rsidRPr="00141288">
        <w:rPr>
          <w:rFonts w:eastAsia="Arial" w:cs="Arial"/>
          <w:bCs/>
          <w:lang w:val="en-US" w:eastAsia="en-US"/>
        </w:rPr>
        <w:t xml:space="preserve"> them. The exclusion of these processes to some CSD participants would </w:t>
      </w:r>
      <w:r w:rsidRPr="00141288">
        <w:rPr>
          <w:rFonts w:eastAsia="Arial" w:cs="Arial"/>
          <w:bCs/>
          <w:lang w:val="en-US" w:eastAsia="en-US"/>
        </w:rPr>
        <w:lastRenderedPageBreak/>
        <w:t xml:space="preserve">go against the </w:t>
      </w:r>
      <w:proofErr w:type="spellStart"/>
      <w:r w:rsidRPr="00141288">
        <w:rPr>
          <w:rFonts w:eastAsia="Arial" w:cs="Arial"/>
          <w:bCs/>
          <w:lang w:val="en-US" w:eastAsia="en-US"/>
        </w:rPr>
        <w:t>harmoni</w:t>
      </w:r>
      <w:r>
        <w:rPr>
          <w:rFonts w:eastAsia="Arial" w:cs="Arial"/>
          <w:bCs/>
          <w:lang w:val="en-US" w:eastAsia="en-US"/>
        </w:rPr>
        <w:t>s</w:t>
      </w:r>
      <w:r w:rsidRPr="00141288">
        <w:rPr>
          <w:rFonts w:eastAsia="Arial" w:cs="Arial"/>
          <w:bCs/>
          <w:lang w:val="en-US" w:eastAsia="en-US"/>
        </w:rPr>
        <w:t>ation</w:t>
      </w:r>
      <w:proofErr w:type="spellEnd"/>
      <w:r w:rsidRPr="00141288">
        <w:rPr>
          <w:rFonts w:eastAsia="Arial" w:cs="Arial"/>
          <w:bCs/>
          <w:lang w:val="en-US" w:eastAsia="en-US"/>
        </w:rPr>
        <w:t xml:space="preserve"> efforts the market is currently undergoing. While the suggested exemptions could be seen as beneficial for some CSDs, for participants with multiple market access points, having to build different settlement processes for certain markets would be ineff</w:t>
      </w:r>
      <w:r w:rsidRPr="00141288">
        <w:rPr>
          <w:rFonts w:eastAsia="Arial" w:cs="Arial"/>
          <w:bCs/>
          <w:lang w:val="en-US" w:eastAsia="en-US"/>
        </w:rPr>
        <w:t>i</w:t>
      </w:r>
      <w:r w:rsidRPr="00141288">
        <w:rPr>
          <w:rFonts w:eastAsia="Arial" w:cs="Arial"/>
          <w:bCs/>
          <w:lang w:val="en-US" w:eastAsia="en-US"/>
        </w:rPr>
        <w:t xml:space="preserve">cient and costly.  </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Default="00300F54" w:rsidP="00300F54">
      <w:pPr>
        <w:widowControl w:val="0"/>
        <w:tabs>
          <w:tab w:val="left" w:pos="820"/>
        </w:tabs>
        <w:spacing w:line="276" w:lineRule="auto"/>
        <w:ind w:right="-20"/>
        <w:contextualSpacing/>
        <w:jc w:val="both"/>
        <w:rPr>
          <w:rFonts w:eastAsia="Arial" w:cs="Arial"/>
          <w:bCs/>
          <w:lang w:val="en-US" w:eastAsia="en-US"/>
        </w:rPr>
      </w:pPr>
      <w:r w:rsidRPr="00141288">
        <w:rPr>
          <w:rFonts w:eastAsia="Arial" w:cs="Arial"/>
          <w:bCs/>
          <w:lang w:val="en-US" w:eastAsia="en-US"/>
        </w:rPr>
        <w:t>The functional offering of Partial settlement (Partialing) should also be mandatory as it is esse</w:t>
      </w:r>
      <w:r w:rsidRPr="00141288">
        <w:rPr>
          <w:rFonts w:eastAsia="Arial" w:cs="Arial"/>
          <w:bCs/>
          <w:lang w:val="en-US" w:eastAsia="en-US"/>
        </w:rPr>
        <w:t>n</w:t>
      </w:r>
      <w:r w:rsidRPr="00141288">
        <w:rPr>
          <w:rFonts w:eastAsia="Arial" w:cs="Arial"/>
          <w:bCs/>
          <w:lang w:val="en-US" w:eastAsia="en-US"/>
        </w:rPr>
        <w:t xml:space="preserve">tial for effective settlement and position management as well as avoiding systemic blocks or delays. As an added benefit, partial deliveries will aid cash flow and limit overdraft exposure in the event that the Receive Versus Payment (RVP) settles but the Deliver Versus Payment (DVP) fails due to quantity differences. Partialing will also aid the buy-in regime where a buy-in for the missing position is being mandated rather than the full position. </w:t>
      </w:r>
    </w:p>
    <w:p w:rsidR="00300F54" w:rsidRDefault="00300F54" w:rsidP="00300F54">
      <w:pPr>
        <w:widowControl w:val="0"/>
        <w:tabs>
          <w:tab w:val="left" w:pos="820"/>
        </w:tabs>
        <w:spacing w:line="276" w:lineRule="auto"/>
        <w:ind w:right="-20"/>
        <w:contextualSpacing/>
        <w:jc w:val="both"/>
        <w:rPr>
          <w:rFonts w:eastAsia="Arial" w:cs="Arial"/>
          <w:bCs/>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Recycling of settlement instructions should be mandatory in order to avoid the cancellation and re-submission of valid settlement instructions which a participant has already deemed valid. Once initial instructions have been canceled, the participant must then send a second instru</w:t>
      </w:r>
      <w:r w:rsidRPr="00141288">
        <w:rPr>
          <w:rFonts w:eastAsia="Arial" w:cs="Arial"/>
          <w:bCs/>
          <w:lang w:val="en-US" w:eastAsia="en-US"/>
        </w:rPr>
        <w:t>c</w:t>
      </w:r>
      <w:r w:rsidRPr="00141288">
        <w:rPr>
          <w:rFonts w:eastAsia="Arial" w:cs="Arial"/>
          <w:bCs/>
          <w:lang w:val="en-US" w:eastAsia="en-US"/>
        </w:rPr>
        <w:t>tion which will add to the cost and complexity of the reconciliation process.  This creates unn</w:t>
      </w:r>
      <w:r w:rsidRPr="00141288">
        <w:rPr>
          <w:rFonts w:eastAsia="Arial" w:cs="Arial"/>
          <w:bCs/>
          <w:lang w:val="en-US" w:eastAsia="en-US"/>
        </w:rPr>
        <w:t>e</w:t>
      </w:r>
      <w:r w:rsidRPr="00141288">
        <w:rPr>
          <w:rFonts w:eastAsia="Arial" w:cs="Arial"/>
          <w:bCs/>
          <w:lang w:val="en-US" w:eastAsia="en-US"/>
        </w:rPr>
        <w:t xml:space="preserve">cessary risk, complexity, cost and delay. </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Default="00300F54" w:rsidP="00D12AFD">
      <w:pPr>
        <w:rPr>
          <w:rFonts w:eastAsia="Arial" w:cs="Arial"/>
          <w:bCs/>
          <w:lang w:val="en-US" w:eastAsia="en-US"/>
        </w:rPr>
      </w:pPr>
      <w:r w:rsidRPr="00141288">
        <w:rPr>
          <w:rFonts w:eastAsia="Arial" w:cs="Arial"/>
          <w:bCs/>
          <w:lang w:val="en-US" w:eastAsia="en-US"/>
        </w:rPr>
        <w:t>While we believe that the services described above should be offered to all CSD participants regardless of failure threshold or volume, should the proposed exceptions be retained the tim</w:t>
      </w:r>
      <w:r w:rsidRPr="00141288">
        <w:rPr>
          <w:rFonts w:eastAsia="Arial" w:cs="Arial"/>
          <w:bCs/>
          <w:lang w:val="en-US" w:eastAsia="en-US"/>
        </w:rPr>
        <w:t>e</w:t>
      </w:r>
      <w:r w:rsidRPr="00141288">
        <w:rPr>
          <w:rFonts w:eastAsia="Arial" w:cs="Arial"/>
          <w:bCs/>
          <w:lang w:val="en-US" w:eastAsia="en-US"/>
        </w:rPr>
        <w:t>frame for CSDs to implement such functions should be reconsidered given the complicated functionality that would have to be developed and tested before implementation. In such scen</w:t>
      </w:r>
      <w:r w:rsidRPr="00141288">
        <w:rPr>
          <w:rFonts w:eastAsia="Arial" w:cs="Arial"/>
          <w:bCs/>
          <w:lang w:val="en-US" w:eastAsia="en-US"/>
        </w:rPr>
        <w:t>a</w:t>
      </w:r>
      <w:r w:rsidRPr="00141288">
        <w:rPr>
          <w:rFonts w:eastAsia="Arial" w:cs="Arial"/>
          <w:bCs/>
          <w:lang w:val="en-US" w:eastAsia="en-US"/>
        </w:rPr>
        <w:t>rio</w:t>
      </w:r>
      <w:r>
        <w:rPr>
          <w:rFonts w:eastAsia="Arial" w:cs="Arial"/>
          <w:bCs/>
          <w:lang w:val="en-US" w:eastAsia="en-US"/>
        </w:rPr>
        <w:t>,</w:t>
      </w:r>
      <w:r w:rsidRPr="00141288">
        <w:rPr>
          <w:rFonts w:eastAsia="Arial" w:cs="Arial"/>
          <w:bCs/>
          <w:lang w:val="en-US" w:eastAsia="en-US"/>
        </w:rPr>
        <w:t xml:space="preserve"> 3 months would be </w:t>
      </w:r>
      <w:r>
        <w:rPr>
          <w:rFonts w:eastAsia="Arial" w:cs="Arial"/>
          <w:bCs/>
          <w:lang w:val="en-US" w:eastAsia="en-US"/>
        </w:rPr>
        <w:t>in</w:t>
      </w:r>
      <w:r w:rsidRPr="00141288">
        <w:rPr>
          <w:rFonts w:eastAsia="Arial" w:cs="Arial"/>
          <w:bCs/>
          <w:lang w:val="en-US" w:eastAsia="en-US"/>
        </w:rPr>
        <w:t xml:space="preserve">sufficient time to undergo such a significant market change. </w:t>
      </w:r>
      <w:r>
        <w:rPr>
          <w:rFonts w:eastAsia="Arial" w:cs="Arial"/>
          <w:bCs/>
          <w:lang w:val="en-US" w:eastAsia="en-US"/>
        </w:rPr>
        <w:t xml:space="preserve">A 12 month timeframe would most likely be required to </w:t>
      </w:r>
      <w:r w:rsidRPr="00141288">
        <w:rPr>
          <w:rFonts w:eastAsia="Arial" w:cs="Arial"/>
          <w:bCs/>
          <w:lang w:val="en-US" w:eastAsia="en-US"/>
        </w:rPr>
        <w:t>amend</w:t>
      </w:r>
      <w:r>
        <w:rPr>
          <w:rFonts w:eastAsia="Arial" w:cs="Arial"/>
          <w:bCs/>
          <w:lang w:val="en-US" w:eastAsia="en-US"/>
        </w:rPr>
        <w:t xml:space="preserve"> the processes</w:t>
      </w:r>
    </w:p>
    <w:p w:rsidR="00300F54" w:rsidRDefault="00300F54" w:rsidP="00D12AFD">
      <w:pPr>
        <w:rPr>
          <w:rFonts w:eastAsia="Arial" w:cs="Arial"/>
          <w:bCs/>
          <w:lang w:val="en-US" w:eastAsia="en-US"/>
        </w:rPr>
      </w:pPr>
    </w:p>
    <w:p w:rsidR="00300F54" w:rsidRDefault="00300F54" w:rsidP="00D12AFD">
      <w:pPr>
        <w:rPr>
          <w:rFonts w:eastAsia="Arial" w:cs="Arial"/>
          <w:bCs/>
          <w:lang w:val="en-US" w:eastAsia="en-US"/>
        </w:rPr>
      </w:pPr>
      <w:r w:rsidRPr="00300F54">
        <w:rPr>
          <w:rFonts w:eastAsia="Arial" w:cs="Arial"/>
          <w:b/>
          <w:bCs/>
          <w:lang w:val="en-US" w:eastAsia="en-US"/>
        </w:rPr>
        <w:t>0.5% Settlement Threshold</w:t>
      </w:r>
      <w:r>
        <w:rPr>
          <w:rFonts w:eastAsia="Arial" w:cs="Arial"/>
          <w:bCs/>
          <w:lang w:val="en-US" w:eastAsia="en-US"/>
        </w:rPr>
        <w:t>:</w:t>
      </w:r>
    </w:p>
    <w:p w:rsidR="00300F54" w:rsidRDefault="00300F54" w:rsidP="00D12AFD">
      <w:pPr>
        <w:rPr>
          <w:rFonts w:eastAsia="Arial" w:cs="Arial"/>
          <w:bCs/>
          <w:lang w:val="en-US" w:eastAsia="en-US"/>
        </w:rPr>
      </w:pPr>
    </w:p>
    <w:p w:rsidR="00300F54" w:rsidRDefault="00300F54" w:rsidP="00300F54">
      <w:pPr>
        <w:widowControl w:val="0"/>
        <w:spacing w:before="11" w:line="276" w:lineRule="auto"/>
        <w:contextualSpacing/>
        <w:jc w:val="both"/>
        <w:rPr>
          <w:rFonts w:eastAsia="Arial" w:cs="Arial"/>
          <w:lang w:val="en-US" w:eastAsia="en-US"/>
        </w:rPr>
      </w:pPr>
      <w:r w:rsidRPr="00141288">
        <w:rPr>
          <w:rFonts w:eastAsia="Calibri" w:cs="Arial"/>
          <w:lang w:val="en-US" w:eastAsia="en-US"/>
        </w:rPr>
        <w:t>As outlined in response to the previous question, w</w:t>
      </w:r>
      <w:r w:rsidRPr="00141288">
        <w:rPr>
          <w:rFonts w:eastAsia="Arial" w:cs="Arial"/>
          <w:lang w:val="en-US" w:eastAsia="en-US"/>
        </w:rPr>
        <w:t>hile thresholds serve as a useful incentive to timely and efficient settlement, they should not be introduced at the expense of key settlement enhancing controls such as hold and release, shaping, partialing, recycling and linking. These services should be offered to all CSD participants in order to increase the efficiency of the se</w:t>
      </w:r>
      <w:r w:rsidRPr="00141288">
        <w:rPr>
          <w:rFonts w:eastAsia="Arial" w:cs="Arial"/>
          <w:lang w:val="en-US" w:eastAsia="en-US"/>
        </w:rPr>
        <w:t>t</w:t>
      </w:r>
      <w:r w:rsidRPr="00141288">
        <w:rPr>
          <w:rFonts w:eastAsia="Arial" w:cs="Arial"/>
          <w:lang w:val="en-US" w:eastAsia="en-US"/>
        </w:rPr>
        <w:t xml:space="preserve">tlement process.  </w:t>
      </w:r>
    </w:p>
    <w:p w:rsidR="00300F54" w:rsidRDefault="00300F54" w:rsidP="00300F54">
      <w:pPr>
        <w:widowControl w:val="0"/>
        <w:spacing w:before="11" w:line="276" w:lineRule="auto"/>
        <w:contextualSpacing/>
        <w:jc w:val="both"/>
        <w:rPr>
          <w:rFonts w:eastAsia="Arial" w:cs="Arial"/>
          <w:lang w:val="en-US" w:eastAsia="en-US"/>
        </w:rPr>
      </w:pPr>
    </w:p>
    <w:p w:rsidR="00300F54" w:rsidRDefault="00300F54" w:rsidP="00300F54">
      <w:pPr>
        <w:spacing w:line="276" w:lineRule="auto"/>
        <w:contextualSpacing/>
        <w:jc w:val="both"/>
        <w:rPr>
          <w:rFonts w:cs="Arial"/>
        </w:rPr>
      </w:pPr>
      <w:r w:rsidRPr="00141288">
        <w:rPr>
          <w:rFonts w:eastAsia="Arial" w:cs="Arial"/>
          <w:lang w:val="en-US" w:eastAsia="en-US"/>
        </w:rPr>
        <w:t>We would also like to note that t</w:t>
      </w:r>
      <w:r w:rsidRPr="00141288">
        <w:rPr>
          <w:rFonts w:cs="Arial"/>
        </w:rPr>
        <w:t xml:space="preserve">he target settlement rate of 99.5% seems optimistic based on today’s market performance. </w:t>
      </w:r>
      <w:r>
        <w:rPr>
          <w:rFonts w:cs="Arial"/>
        </w:rPr>
        <w:t>M</w:t>
      </w:r>
      <w:r w:rsidRPr="00141288">
        <w:rPr>
          <w:rFonts w:cs="Arial"/>
        </w:rPr>
        <w:t>arket</w:t>
      </w:r>
      <w:r>
        <w:rPr>
          <w:rFonts w:cs="Arial"/>
        </w:rPr>
        <w:t>s</w:t>
      </w:r>
      <w:r w:rsidRPr="00141288">
        <w:rPr>
          <w:rFonts w:cs="Arial"/>
        </w:rPr>
        <w:t xml:space="preserve"> should aspire to attain a higher level of settlement efficiency.  There is no clear indication however, on what settlement efficiency improvements may be realised through the introduction of T2S yet.</w:t>
      </w:r>
    </w:p>
    <w:p w:rsidR="00300F54" w:rsidRDefault="00300F54" w:rsidP="00D12AFD">
      <w:pPr>
        <w:rPr>
          <w:rFonts w:eastAsia="Arial" w:cs="Arial"/>
          <w:bCs/>
          <w:lang w:val="en-US" w:eastAsia="en-US"/>
        </w:rPr>
      </w:pPr>
    </w:p>
    <w:p w:rsidR="00300F54" w:rsidRDefault="00300F54" w:rsidP="00D12AFD">
      <w:pPr>
        <w:rPr>
          <w:rFonts w:eastAsia="Arial" w:cs="Arial"/>
          <w:bCs/>
          <w:lang w:val="en-US" w:eastAsia="en-US"/>
        </w:rPr>
      </w:pPr>
    </w:p>
    <w:p w:rsidR="00300F54" w:rsidRDefault="00300F54" w:rsidP="00D12AFD">
      <w:pPr>
        <w:rPr>
          <w:rFonts w:eastAsia="Arial" w:cs="Arial"/>
          <w:bCs/>
          <w:lang w:val="en-US" w:eastAsia="en-US"/>
        </w:rPr>
      </w:pPr>
      <w:r w:rsidRPr="00300F54">
        <w:rPr>
          <w:rFonts w:eastAsia="Arial" w:cs="Arial"/>
          <w:b/>
          <w:bCs/>
          <w:lang w:val="en-US" w:eastAsia="en-US"/>
        </w:rPr>
        <w:t>2</w:t>
      </w:r>
      <w:proofErr w:type="gramStart"/>
      <w:r w:rsidRPr="00300F54">
        <w:rPr>
          <w:rFonts w:eastAsia="Arial" w:cs="Arial"/>
          <w:b/>
          <w:bCs/>
          <w:lang w:val="en-US" w:eastAsia="en-US"/>
        </w:rPr>
        <w:t>,5</w:t>
      </w:r>
      <w:proofErr w:type="gramEnd"/>
      <w:r w:rsidRPr="00300F54">
        <w:rPr>
          <w:rFonts w:eastAsia="Arial" w:cs="Arial"/>
          <w:b/>
          <w:bCs/>
          <w:lang w:val="en-US" w:eastAsia="en-US"/>
        </w:rPr>
        <w:t xml:space="preserve"> billion EUR/Year</w:t>
      </w:r>
      <w:r w:rsidR="00D971DE">
        <w:rPr>
          <w:rFonts w:eastAsia="Arial" w:cs="Arial"/>
          <w:b/>
          <w:bCs/>
          <w:lang w:val="en-US" w:eastAsia="en-US"/>
        </w:rPr>
        <w:t xml:space="preserve"> Threshold</w:t>
      </w:r>
      <w:r>
        <w:rPr>
          <w:rFonts w:eastAsia="Arial" w:cs="Arial"/>
          <w:bCs/>
          <w:lang w:val="en-US" w:eastAsia="en-US"/>
        </w:rPr>
        <w:t>:</w:t>
      </w:r>
    </w:p>
    <w:p w:rsidR="00300F54" w:rsidRDefault="00300F54" w:rsidP="00D12AFD">
      <w:pPr>
        <w:rPr>
          <w:rFonts w:eastAsia="Arial" w:cs="Arial"/>
          <w:bCs/>
          <w:lang w:val="en-US" w:eastAsia="en-US"/>
        </w:rPr>
      </w:pPr>
    </w:p>
    <w:p w:rsidR="00300F54" w:rsidRPr="00141288" w:rsidRDefault="00300F54" w:rsidP="00300F54">
      <w:pPr>
        <w:widowControl w:val="0"/>
        <w:spacing w:line="276" w:lineRule="auto"/>
        <w:ind w:right="61"/>
        <w:contextualSpacing/>
        <w:jc w:val="both"/>
        <w:rPr>
          <w:rFonts w:eastAsia="Arial" w:cs="Arial"/>
          <w:lang w:val="en-US" w:eastAsia="en-US"/>
        </w:rPr>
      </w:pPr>
      <w:r w:rsidRPr="00141288">
        <w:rPr>
          <w:rFonts w:eastAsia="Arial" w:cs="Arial"/>
          <w:lang w:val="en-US" w:eastAsia="en-US"/>
        </w:rPr>
        <w:t xml:space="preserve">The proposed threshold does not take into account the volume of settlements taking place through any individual CSD.  Reliance on a settlement efficiency rate of 99.5% is preferable as this would be applied to all CSDs and not simply CSDs with high settlement failure amounts.  Again however, we reiterate our concern that all CSDs should offer participants the services listed in Article 3(5-7) of the Regulatory Technical Standards in order to increase the efficiency of the settlement process.  </w:t>
      </w:r>
    </w:p>
    <w:p w:rsidR="00300F54" w:rsidRPr="00141288" w:rsidRDefault="00300F54" w:rsidP="00300F54">
      <w:pPr>
        <w:widowControl w:val="0"/>
        <w:spacing w:line="276" w:lineRule="auto"/>
        <w:ind w:right="61"/>
        <w:contextualSpacing/>
        <w:jc w:val="both"/>
        <w:rPr>
          <w:rFonts w:eastAsia="Arial" w:cs="Arial"/>
          <w:lang w:val="en-US" w:eastAsia="en-US"/>
        </w:rPr>
      </w:pPr>
    </w:p>
    <w:p w:rsidR="00300F54" w:rsidRPr="00141288" w:rsidRDefault="00300F54" w:rsidP="00300F54">
      <w:pPr>
        <w:widowControl w:val="0"/>
        <w:spacing w:line="276" w:lineRule="auto"/>
        <w:ind w:right="61"/>
        <w:contextualSpacing/>
        <w:jc w:val="both"/>
        <w:rPr>
          <w:rFonts w:eastAsia="Arial" w:cs="Arial"/>
          <w:lang w:val="en-US" w:eastAsia="en-US"/>
        </w:rPr>
      </w:pPr>
      <w:r w:rsidRPr="00141288">
        <w:rPr>
          <w:rFonts w:eastAsia="Arial" w:cs="Arial"/>
          <w:lang w:val="en-US" w:eastAsia="en-US"/>
        </w:rPr>
        <w:t xml:space="preserve">One final point, reliance on a specific value of settlement fails will result in an uneven playing field.  A single standard that is applied across all CSDs would be more appropriate. </w:t>
      </w:r>
    </w:p>
    <w:p w:rsidR="00D12AFD" w:rsidRDefault="00300F54" w:rsidP="00D12AFD">
      <w:proofErr w:type="gramStart"/>
      <w:r>
        <w:rPr>
          <w:rFonts w:eastAsia="Arial" w:cs="Arial"/>
          <w:bCs/>
          <w:lang w:val="en-US" w:eastAsia="en-US"/>
        </w:rPr>
        <w:t>.</w:t>
      </w:r>
      <w:permEnd w:id="5"/>
      <w:r w:rsidR="00D12AFD">
        <w:t>&lt;</w:t>
      </w:r>
      <w:proofErr w:type="gramEnd"/>
      <w:r w:rsidR="00D12AFD">
        <w:t>ESMA_QUESTION_TS_CSDR_3&gt;</w:t>
      </w:r>
    </w:p>
    <w:p w:rsidR="00D12AFD" w:rsidRPr="002C4F00" w:rsidRDefault="00D12AFD" w:rsidP="00965B03">
      <w:pPr>
        <w:pStyle w:val="Heading5"/>
        <w:ind w:left="567" w:hanging="567"/>
      </w:pPr>
      <w:r w:rsidRPr="002C4F00">
        <w:t>What are your views on the proposed draft RTS included in Chapter II of Annex I?</w:t>
      </w:r>
    </w:p>
    <w:p w:rsidR="00D12AFD" w:rsidRDefault="00D12AFD" w:rsidP="00D12AFD"/>
    <w:p w:rsidR="00D12AFD" w:rsidRDefault="00D12AFD" w:rsidP="00D12AFD">
      <w:r>
        <w:t>&lt;ESMA_QUESTION_TS_CSDR_4&gt;</w:t>
      </w:r>
    </w:p>
    <w:p w:rsidR="00300F54" w:rsidRPr="003D430F" w:rsidRDefault="00300F54" w:rsidP="00300F54">
      <w:pPr>
        <w:widowControl w:val="0"/>
        <w:spacing w:line="276" w:lineRule="auto"/>
        <w:ind w:right="61"/>
        <w:contextualSpacing/>
        <w:jc w:val="both"/>
        <w:rPr>
          <w:rFonts w:eastAsia="Arial" w:cs="Arial"/>
          <w:bCs/>
          <w:lang w:eastAsia="en-US"/>
        </w:rPr>
      </w:pPr>
      <w:permStart w:id="6" w:edGrp="everyone"/>
      <w:r w:rsidRPr="00141288">
        <w:rPr>
          <w:rFonts w:cs="Arial"/>
        </w:rPr>
        <w:t>Overall the proposed draft RTS in Chapter II of Annex I is acceptable.  Some issues should be given further consideration</w:t>
      </w:r>
      <w:r>
        <w:rPr>
          <w:rFonts w:cs="Arial"/>
        </w:rPr>
        <w:t xml:space="preserve"> however</w:t>
      </w:r>
      <w:r w:rsidRPr="00141288">
        <w:rPr>
          <w:rFonts w:cs="Arial"/>
        </w:rPr>
        <w:t xml:space="preserve">.  First, with regard to the transaction type matching, investment firms would need to seek assurance from third parties (such as CCPs) who are often responsible for issuance of instructions to agents and/or CSDs on their behalf that the correct values are being utilised.  We would expect clarification in Technical Advice on how to populate the transaction type field on client trades.  </w:t>
      </w:r>
      <w:r w:rsidRPr="00141288">
        <w:rPr>
          <w:rFonts w:eastAsia="Arial" w:cs="Arial"/>
          <w:bCs/>
          <w:lang w:eastAsia="en-US"/>
        </w:rPr>
        <w:t xml:space="preserve">Moreover </w:t>
      </w:r>
      <w:r w:rsidRPr="00141288">
        <w:rPr>
          <w:rFonts w:eastAsia="Arial" w:cs="Arial"/>
          <w:bCs/>
          <w:lang w:val="en-US" w:eastAsia="en-US"/>
        </w:rPr>
        <w:t>a matching field “Transaction Type” intr</w:t>
      </w:r>
      <w:r w:rsidRPr="00141288">
        <w:rPr>
          <w:rFonts w:eastAsia="Arial" w:cs="Arial"/>
          <w:bCs/>
          <w:lang w:val="en-US" w:eastAsia="en-US"/>
        </w:rPr>
        <w:t>o</w:t>
      </w:r>
      <w:r w:rsidRPr="00141288">
        <w:rPr>
          <w:rFonts w:eastAsia="Arial" w:cs="Arial"/>
          <w:bCs/>
          <w:lang w:val="en-US" w:eastAsia="en-US"/>
        </w:rPr>
        <w:t xml:space="preserve">duced in Article 3.3 is currently not widely used in European securities settlement systems. The settlement platforms only </w:t>
      </w:r>
      <w:proofErr w:type="spellStart"/>
      <w:r w:rsidRPr="00141288">
        <w:rPr>
          <w:rFonts w:eastAsia="Arial" w:cs="Arial"/>
          <w:bCs/>
          <w:lang w:val="en-US" w:eastAsia="en-US"/>
        </w:rPr>
        <w:t>utilise</w:t>
      </w:r>
      <w:proofErr w:type="spellEnd"/>
      <w:r w:rsidRPr="00141288">
        <w:rPr>
          <w:rFonts w:eastAsia="Arial" w:cs="Arial"/>
          <w:bCs/>
          <w:lang w:val="en-US" w:eastAsia="en-US"/>
        </w:rPr>
        <w:t xml:space="preserve"> the field as a mandatory but not matching field (i.e. a settlement instruction would be rejected should the message not contain a value in that field). Such a</w:t>
      </w:r>
      <w:r w:rsidRPr="00141288">
        <w:rPr>
          <w:rFonts w:eastAsia="Arial" w:cs="Arial"/>
          <w:bCs/>
          <w:lang w:val="en-US" w:eastAsia="en-US"/>
        </w:rPr>
        <w:t>p</w:t>
      </w:r>
      <w:r w:rsidRPr="00141288">
        <w:rPr>
          <w:rFonts w:eastAsia="Arial" w:cs="Arial"/>
          <w:bCs/>
          <w:lang w:val="en-US" w:eastAsia="en-US"/>
        </w:rPr>
        <w:t xml:space="preserve">proach could be sufficient for the CSD’s record keeping requirement. </w:t>
      </w:r>
    </w:p>
    <w:p w:rsidR="00300F54" w:rsidRDefault="00300F54" w:rsidP="00300F54">
      <w:pPr>
        <w:spacing w:line="276" w:lineRule="auto"/>
        <w:contextualSpacing/>
        <w:jc w:val="both"/>
        <w:rPr>
          <w:rFonts w:cs="Arial"/>
        </w:rPr>
      </w:pPr>
    </w:p>
    <w:p w:rsidR="00300F54"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 xml:space="preserve">Should a matching field be required, </w:t>
      </w:r>
      <w:r w:rsidRPr="00141288">
        <w:rPr>
          <w:rFonts w:eastAsia="Arial" w:cs="Arial"/>
          <w:bCs/>
          <w:lang w:eastAsia="en-US"/>
        </w:rPr>
        <w:t>harmonisation</w:t>
      </w:r>
      <w:r w:rsidRPr="00141288">
        <w:rPr>
          <w:rFonts w:eastAsia="Arial" w:cs="Arial"/>
          <w:bCs/>
          <w:lang w:val="en-US" w:eastAsia="en-US"/>
        </w:rPr>
        <w:t xml:space="preserve"> around the nomenclature used for the field within the marketplace would be required in order for this to be effective.  It would also take at least an additional twelve months to make the necessary changes to the ISO standards before the new matching field could be used. Moreover CSDs would have to incorporate this field in their matching algorithms. This in addition </w:t>
      </w:r>
      <w:r>
        <w:rPr>
          <w:rFonts w:eastAsia="Arial" w:cs="Arial"/>
          <w:bCs/>
          <w:lang w:val="en-US" w:eastAsia="en-US"/>
        </w:rPr>
        <w:t>would require a</w:t>
      </w:r>
      <w:r w:rsidRPr="00141288">
        <w:rPr>
          <w:rFonts w:eastAsia="Arial" w:cs="Arial"/>
          <w:bCs/>
          <w:lang w:val="en-US" w:eastAsia="en-US"/>
        </w:rPr>
        <w:t xml:space="preserve">daptation efforts on the CSDs and the respective participants. </w:t>
      </w:r>
      <w:r w:rsidRPr="00141288">
        <w:rPr>
          <w:rFonts w:cs="Arial"/>
          <w:lang w:eastAsia="en-GB"/>
        </w:rPr>
        <w:t xml:space="preserve"> </w:t>
      </w:r>
      <w:r w:rsidRPr="00141288">
        <w:rPr>
          <w:rFonts w:eastAsia="Arial" w:cs="Arial"/>
          <w:bCs/>
          <w:lang w:val="en-US" w:eastAsia="en-US"/>
        </w:rPr>
        <w:t xml:space="preserve">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 xml:space="preserve">Tolerance levels should be 25 EUR at the minimum, not 0-25 EUR.  </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cs="Arial"/>
        </w:rPr>
        <w:t>T</w:t>
      </w:r>
      <w:r w:rsidRPr="00141288">
        <w:rPr>
          <w:rFonts w:eastAsia="Arial" w:cs="Arial"/>
          <w:bCs/>
          <w:lang w:val="en-US" w:eastAsia="en-US"/>
        </w:rPr>
        <w:t>he T2S framework has identified a set of fields which would allow settlement infrastructures to determine with sufficient confidence those transactions which should be matched with each other. During the T2S process it was concluded by the T2S Sub</w:t>
      </w:r>
      <w:r>
        <w:rPr>
          <w:rFonts w:eastAsia="Arial" w:cs="Arial"/>
          <w:bCs/>
          <w:lang w:val="en-US" w:eastAsia="en-US"/>
        </w:rPr>
        <w:t xml:space="preserve"> </w:t>
      </w:r>
      <w:r w:rsidRPr="00141288">
        <w:rPr>
          <w:rFonts w:eastAsia="Arial" w:cs="Arial"/>
          <w:bCs/>
          <w:lang w:val="en-US" w:eastAsia="en-US"/>
        </w:rPr>
        <w:t xml:space="preserve">Group on Process Efficiency however, that increasing the number of fields could have detrimental effects on the matching rate at CSDs and subsequently settlement efficiency. In order to ensure that the increase in the number of fields required by adding a transaction type identifier does not adversely impact the matching rate, market practice must be agreed with respect to transaction type and it must be transmitted throughout the transaction chain.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With respect to CSDs offering the choice of either real-time-gross settlement (RTGS) or three settlement batches per day, a comparative analysis of the overall settlement performance of CSDs would be beneficial to assist in determining whether the market would have a preference for one methodology over another.  These settlement performance figures would need to be provided by CSDs.</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rPr>
        <w:t>With respect to allegement messages, CSDs should not be required to provide participants with multiple messages.  In the majority of instances CSD participants act upon allegement notices in a timely fashion so multiple notices will do little to remed</w:t>
      </w:r>
      <w:r>
        <w:rPr>
          <w:rFonts w:cs="Arial"/>
        </w:rPr>
        <w:t>y</w:t>
      </w:r>
      <w:r w:rsidRPr="00141288">
        <w:rPr>
          <w:rFonts w:cs="Arial"/>
        </w:rPr>
        <w:t xml:space="preserve"> delivery failures but may add to the </w:t>
      </w:r>
      <w:r w:rsidRPr="00141288">
        <w:rPr>
          <w:rFonts w:cs="Arial"/>
        </w:rPr>
        <w:lastRenderedPageBreak/>
        <w:t xml:space="preserve">high level of information participants already receive.  Within T2S for example, allegement services are considered optional and participants are free to subscribe to the service. Under this system, after the participant signs up </w:t>
      </w:r>
      <w:r>
        <w:rPr>
          <w:rFonts w:cs="Arial"/>
        </w:rPr>
        <w:t>to</w:t>
      </w:r>
      <w:r w:rsidRPr="00141288">
        <w:rPr>
          <w:rFonts w:cs="Arial"/>
        </w:rPr>
        <w:t xml:space="preserve"> the allegement service</w:t>
      </w:r>
      <w:r>
        <w:rPr>
          <w:rFonts w:cs="Arial"/>
        </w:rPr>
        <w:t>,</w:t>
      </w:r>
      <w:r w:rsidRPr="00141288">
        <w:rPr>
          <w:rFonts w:cs="Arial"/>
        </w:rPr>
        <w:t xml:space="preserve"> a notice is sent after the first unsuccessful matching attempt either immediately or after a predefined period (</w:t>
      </w:r>
      <w:proofErr w:type="spellStart"/>
      <w:r w:rsidRPr="00141288">
        <w:rPr>
          <w:rFonts w:cs="Arial"/>
        </w:rPr>
        <w:t>eg</w:t>
      </w:r>
      <w:proofErr w:type="spellEnd"/>
      <w:r w:rsidRPr="00141288">
        <w:rPr>
          <w:rFonts w:cs="Arial"/>
        </w:rPr>
        <w:t xml:space="preserve"> 1 hour).  </w:t>
      </w:r>
    </w:p>
    <w:p w:rsidR="00300F54" w:rsidRDefault="00300F54" w:rsidP="00300F54">
      <w:pPr>
        <w:pStyle w:val="NoSpacing"/>
        <w:spacing w:line="276" w:lineRule="auto"/>
        <w:contextualSpacing/>
        <w:jc w:val="both"/>
        <w:rPr>
          <w:rFonts w:ascii="Arial" w:hAnsi="Arial" w:cs="Arial"/>
          <w:lang w:val="en-GB"/>
        </w:rPr>
      </w:pPr>
    </w:p>
    <w:p w:rsidR="00300F54" w:rsidRDefault="00300F54" w:rsidP="00300F54">
      <w:pPr>
        <w:pStyle w:val="NoSpacing"/>
        <w:spacing w:line="276" w:lineRule="auto"/>
        <w:contextualSpacing/>
        <w:jc w:val="both"/>
        <w:rPr>
          <w:rFonts w:ascii="Arial" w:hAnsi="Arial" w:cs="Arial"/>
          <w:lang w:val="en-GB"/>
        </w:rPr>
      </w:pPr>
      <w:r w:rsidRPr="00141288">
        <w:rPr>
          <w:rFonts w:ascii="Arial" w:hAnsi="Arial" w:cs="Arial"/>
          <w:lang w:val="en-GB"/>
        </w:rPr>
        <w:t>Clarification would be beneficial on the following points:</w:t>
      </w:r>
    </w:p>
    <w:p w:rsidR="00300F54" w:rsidRDefault="00300F54" w:rsidP="00300F54">
      <w:pPr>
        <w:pStyle w:val="NoSpacing"/>
        <w:spacing w:line="276" w:lineRule="auto"/>
        <w:contextualSpacing/>
        <w:jc w:val="both"/>
        <w:rPr>
          <w:rFonts w:ascii="Arial" w:hAnsi="Arial" w:cs="Arial"/>
          <w:lang w:val="en-GB"/>
        </w:rPr>
      </w:pPr>
    </w:p>
    <w:p w:rsidR="00300F54" w:rsidRDefault="00300F54" w:rsidP="005C0956">
      <w:pPr>
        <w:pStyle w:val="NoSpacing"/>
        <w:numPr>
          <w:ilvl w:val="0"/>
          <w:numId w:val="35"/>
        </w:numPr>
        <w:spacing w:line="276" w:lineRule="auto"/>
        <w:contextualSpacing/>
        <w:jc w:val="both"/>
        <w:rPr>
          <w:rFonts w:ascii="Arial" w:hAnsi="Arial" w:cs="Arial"/>
          <w:lang w:val="en-GB"/>
        </w:rPr>
      </w:pPr>
      <w:r w:rsidRPr="00141288">
        <w:rPr>
          <w:rFonts w:ascii="Arial" w:hAnsi="Arial" w:cs="Arial"/>
          <w:lang w:val="en-GB"/>
        </w:rPr>
        <w:t xml:space="preserve">There seems to be an incorrect referencing in paragraph 3 of Article 3 of Chapter </w:t>
      </w:r>
      <w:proofErr w:type="spellStart"/>
      <w:r w:rsidRPr="00141288">
        <w:rPr>
          <w:rFonts w:ascii="Arial" w:hAnsi="Arial" w:cs="Arial"/>
          <w:lang w:val="en-GB"/>
        </w:rPr>
        <w:t>II</w:t>
      </w:r>
      <w:proofErr w:type="gramStart"/>
      <w:r w:rsidRPr="00141288">
        <w:rPr>
          <w:rFonts w:ascii="Arial" w:hAnsi="Arial" w:cs="Arial"/>
          <w:lang w:val="en-GB"/>
        </w:rPr>
        <w:t>:</w:t>
      </w:r>
      <w:r w:rsidRPr="00462E72">
        <w:rPr>
          <w:rFonts w:ascii="Arial" w:hAnsi="Arial" w:cs="Arial"/>
          <w:lang w:val="en-GB"/>
        </w:rPr>
        <w:t>Paragraph</w:t>
      </w:r>
      <w:proofErr w:type="spellEnd"/>
      <w:proofErr w:type="gramEnd"/>
      <w:r w:rsidRPr="00462E72">
        <w:rPr>
          <w:rFonts w:ascii="Arial" w:hAnsi="Arial" w:cs="Arial"/>
          <w:lang w:val="en-GB"/>
        </w:rPr>
        <w:t xml:space="preserve"> (a) instruction type should reference paragraph (g) of Article 4(2) as there is no paragraph (h).  </w:t>
      </w:r>
    </w:p>
    <w:p w:rsidR="00300F54" w:rsidRDefault="00300F54" w:rsidP="00300F54">
      <w:pPr>
        <w:spacing w:line="276" w:lineRule="auto"/>
        <w:contextualSpacing/>
        <w:jc w:val="both"/>
        <w:rPr>
          <w:rFonts w:cs="Arial"/>
        </w:rPr>
      </w:pPr>
    </w:p>
    <w:p w:rsidR="00300F54" w:rsidRDefault="00300F54" w:rsidP="005C0956">
      <w:pPr>
        <w:pStyle w:val="ListParagraph"/>
        <w:numPr>
          <w:ilvl w:val="0"/>
          <w:numId w:val="35"/>
        </w:numPr>
        <w:spacing w:line="276" w:lineRule="auto"/>
        <w:jc w:val="both"/>
        <w:rPr>
          <w:rFonts w:cs="Arial"/>
          <w:lang w:eastAsia="en-GB"/>
        </w:rPr>
      </w:pPr>
      <w:r w:rsidRPr="00462E72">
        <w:rPr>
          <w:rFonts w:cs="Arial"/>
        </w:rPr>
        <w:t>Paragraph (d) transaction type should refer to paragraph (e) in Article 4 (2), not t</w:t>
      </w:r>
      <w:r w:rsidRPr="00FE005C">
        <w:rPr>
          <w:rFonts w:cs="Arial"/>
        </w:rPr>
        <w:t xml:space="preserve">o paragraph (f). Paragraph (e) refers to transaction types such as trades on a trading venue, OTC trades, collateral, SBL, repo, CCP etc. The current wording specifies transactions for which there are no ISO codes currently available. </w:t>
      </w:r>
      <w:r w:rsidRPr="00FE005C">
        <w:rPr>
          <w:rFonts w:cs="Arial"/>
          <w:lang w:eastAsia="en-GB"/>
        </w:rPr>
        <w:t xml:space="preserve">Those would have to be applied for with ISO. </w:t>
      </w:r>
    </w:p>
    <w:p w:rsidR="00300F54" w:rsidRDefault="00300F54" w:rsidP="00300F54">
      <w:pPr>
        <w:spacing w:line="276" w:lineRule="auto"/>
        <w:contextualSpacing/>
        <w:jc w:val="both"/>
        <w:rPr>
          <w:rFonts w:cs="Arial"/>
        </w:rPr>
      </w:pPr>
    </w:p>
    <w:p w:rsidR="00300F54" w:rsidRDefault="00300F54" w:rsidP="005C0956">
      <w:pPr>
        <w:pStyle w:val="ListParagraph"/>
        <w:numPr>
          <w:ilvl w:val="0"/>
          <w:numId w:val="35"/>
        </w:numPr>
        <w:spacing w:line="276" w:lineRule="auto"/>
        <w:jc w:val="both"/>
        <w:rPr>
          <w:rFonts w:cs="Arial"/>
        </w:rPr>
      </w:pPr>
      <w:r w:rsidRPr="00FE005C">
        <w:rPr>
          <w:rFonts w:cs="Arial"/>
        </w:rPr>
        <w:t xml:space="preserve">Paragraphs (j), (k) and (l) in Article 3 (3) create a requirement for an “identifier of the participant” to be included in the settlement instructions, which would have to be an LEI or a BIC convertible to LEI for reporting purposes (Annex , Table 1). This would create mismatches in cases where a participant would use an LEI and their counterpart would use a BIC or vice versa. There would also be a potential for delay in issuing settlement instructions and misreporting whenever a BIC is used, as currently conversion from BIC to LEI is not readily available or even possible. Note that currently BIC is the common market practice and should remain used as primary identifier until the LEI has been broadly established. </w:t>
      </w:r>
    </w:p>
    <w:p w:rsidR="00300F54" w:rsidRDefault="00300F54" w:rsidP="00300F54">
      <w:pPr>
        <w:spacing w:line="276" w:lineRule="auto"/>
        <w:contextualSpacing/>
        <w:jc w:val="both"/>
        <w:rPr>
          <w:rFonts w:cs="Arial"/>
        </w:rPr>
      </w:pPr>
    </w:p>
    <w:p w:rsidR="00D12AFD" w:rsidRDefault="00300F54" w:rsidP="00D12AFD">
      <w:r w:rsidRPr="00FE005C">
        <w:rPr>
          <w:rFonts w:cs="Arial"/>
        </w:rPr>
        <w:t>Paragraph (e) in Article 4(2) and Annex Table 1 should include own and external account transfers as a transaction type (OWNI &amp; OWNE)</w:t>
      </w:r>
      <w:proofErr w:type="gramStart"/>
      <w:r w:rsidRPr="00FE005C">
        <w:rPr>
          <w:rFonts w:cs="Arial"/>
        </w:rPr>
        <w:t>.</w:t>
      </w:r>
      <w:permEnd w:id="6"/>
      <w:r w:rsidR="00D12AFD">
        <w:t>&lt;</w:t>
      </w:r>
      <w:proofErr w:type="gramEnd"/>
      <w:r w:rsidR="00D12AFD">
        <w:t>ESMA_QUESTION_TS_CSDR_4&gt;</w:t>
      </w:r>
    </w:p>
    <w:p w:rsidR="00D12AFD" w:rsidRPr="002C4F00" w:rsidRDefault="00D12AFD" w:rsidP="00965B03">
      <w:pPr>
        <w:pStyle w:val="Heading5"/>
        <w:ind w:left="567" w:hanging="567"/>
      </w:pPr>
      <w:r>
        <w:t xml:space="preserve"> </w:t>
      </w:r>
      <w:r w:rsidRPr="00030F8D">
        <w:t>What are your views on the proposed draft RTS on the monitoring of settlement fails as included in Section 1 of Chapter III of Annex I?</w:t>
      </w:r>
    </w:p>
    <w:p w:rsidR="00D12AFD" w:rsidRDefault="00D12AFD" w:rsidP="00D12AFD"/>
    <w:p w:rsidR="00D12AFD" w:rsidRDefault="00D12AFD" w:rsidP="00D12AFD">
      <w:r>
        <w:t>&lt;ESMA_QUESTION_TS_CSDR_5&gt;</w:t>
      </w:r>
    </w:p>
    <w:p w:rsidR="00300F54" w:rsidRPr="00141288" w:rsidRDefault="00300F54" w:rsidP="00300F54">
      <w:pPr>
        <w:widowControl w:val="0"/>
        <w:spacing w:line="276" w:lineRule="auto"/>
        <w:ind w:right="64"/>
        <w:contextualSpacing/>
        <w:jc w:val="both"/>
        <w:rPr>
          <w:rFonts w:cs="Arial"/>
        </w:rPr>
      </w:pPr>
      <w:permStart w:id="7" w:edGrp="everyone"/>
      <w:r w:rsidRPr="00141288">
        <w:rPr>
          <w:rFonts w:cs="Arial"/>
        </w:rPr>
        <w:t>The proposed draft RTS on the monitoring of settlement fails is appropriate.  Some additional points should be taken into consideration.</w:t>
      </w:r>
    </w:p>
    <w:p w:rsidR="00300F54" w:rsidRPr="00141288" w:rsidRDefault="00300F54" w:rsidP="00300F54">
      <w:pPr>
        <w:widowControl w:val="0"/>
        <w:spacing w:line="276" w:lineRule="auto"/>
        <w:ind w:right="64"/>
        <w:contextualSpacing/>
        <w:jc w:val="both"/>
        <w:rPr>
          <w:rFonts w:cs="Arial"/>
        </w:rPr>
      </w:pPr>
    </w:p>
    <w:p w:rsidR="00300F54" w:rsidRPr="00141288" w:rsidRDefault="00300F54" w:rsidP="00300F54">
      <w:pPr>
        <w:widowControl w:val="0"/>
        <w:spacing w:line="277" w:lineRule="auto"/>
        <w:ind w:right="61"/>
        <w:jc w:val="both"/>
        <w:rPr>
          <w:rFonts w:eastAsia="Arial" w:cs="Arial"/>
          <w:bCs/>
          <w:lang w:val="en-US" w:eastAsia="en-US"/>
        </w:rPr>
      </w:pPr>
      <w:r w:rsidRPr="00141288">
        <w:rPr>
          <w:rFonts w:eastAsia="Arial" w:cs="Arial"/>
          <w:bCs/>
          <w:lang w:val="en-US" w:eastAsia="en-US"/>
        </w:rPr>
        <w:t xml:space="preserve">Reporting on recycled transactions is somewhat redundant as such transactions would likely reappear in the reporting part under Article 4(1) </w:t>
      </w:r>
      <w:proofErr w:type="gramStart"/>
      <w:r w:rsidRPr="00141288">
        <w:rPr>
          <w:rFonts w:eastAsia="Arial" w:cs="Arial"/>
          <w:bCs/>
          <w:lang w:val="en-US" w:eastAsia="en-US"/>
        </w:rPr>
        <w:t>a and</w:t>
      </w:r>
      <w:proofErr w:type="gramEnd"/>
      <w:r w:rsidRPr="00141288">
        <w:rPr>
          <w:rFonts w:eastAsia="Arial" w:cs="Arial"/>
          <w:bCs/>
          <w:lang w:val="en-US" w:eastAsia="en-US"/>
        </w:rPr>
        <w:t xml:space="preserve"> e. </w:t>
      </w:r>
    </w:p>
    <w:p w:rsidR="00300F54" w:rsidRPr="00141288" w:rsidRDefault="00300F54" w:rsidP="00300F54">
      <w:pPr>
        <w:widowControl w:val="0"/>
        <w:spacing w:line="277" w:lineRule="auto"/>
        <w:ind w:right="61"/>
        <w:jc w:val="both"/>
        <w:rPr>
          <w:rFonts w:eastAsia="Arial" w:cs="Arial"/>
          <w:bCs/>
          <w:lang w:val="en-US" w:eastAsia="en-US"/>
        </w:rPr>
      </w:pPr>
    </w:p>
    <w:p w:rsidR="00300F54" w:rsidRPr="00141288" w:rsidRDefault="00300F54" w:rsidP="00300F54">
      <w:pPr>
        <w:widowControl w:val="0"/>
        <w:spacing w:line="277" w:lineRule="auto"/>
        <w:ind w:right="61"/>
        <w:jc w:val="both"/>
        <w:rPr>
          <w:rFonts w:eastAsia="Arial" w:cs="Arial"/>
          <w:bCs/>
          <w:lang w:val="en-US" w:eastAsia="en-US"/>
        </w:rPr>
      </w:pPr>
      <w:r w:rsidRPr="00141288">
        <w:rPr>
          <w:rFonts w:eastAsia="Arial" w:cs="Arial"/>
          <w:bCs/>
          <w:lang w:val="en-US" w:eastAsia="en-US"/>
        </w:rPr>
        <w:t>To make better use of existing logic and reports the system monitoring settlement fails should follow the differentiation of settlement instructions under 4(1) as follows:</w:t>
      </w:r>
    </w:p>
    <w:p w:rsidR="00300F54" w:rsidRPr="00141288" w:rsidRDefault="00300F54" w:rsidP="00300F54">
      <w:pPr>
        <w:widowControl w:val="0"/>
        <w:spacing w:line="277" w:lineRule="auto"/>
        <w:ind w:right="61"/>
        <w:jc w:val="both"/>
        <w:rPr>
          <w:rFonts w:eastAsia="Arial" w:cs="Arial"/>
          <w:bCs/>
          <w:lang w:val="en-US" w:eastAsia="en-US"/>
        </w:rPr>
      </w:pPr>
    </w:p>
    <w:tbl>
      <w:tblPr>
        <w:tblStyle w:val="TableGrid"/>
        <w:tblW w:w="0" w:type="auto"/>
        <w:tblLook w:val="04A0"/>
      </w:tblPr>
      <w:tblGrid>
        <w:gridCol w:w="8529"/>
      </w:tblGrid>
      <w:tr w:rsidR="00300F54" w:rsidRPr="00141288" w:rsidTr="00300F54">
        <w:tc>
          <w:tcPr>
            <w:tcW w:w="8529" w:type="dxa"/>
          </w:tcPr>
          <w:p w:rsidR="00300F54" w:rsidRDefault="00300F54" w:rsidP="00300F54">
            <w:pPr>
              <w:pStyle w:val="Default"/>
              <w:tabs>
                <w:tab w:val="left" w:pos="357"/>
              </w:tabs>
              <w:jc w:val="both"/>
              <w:rPr>
                <w:sz w:val="22"/>
                <w:szCs w:val="22"/>
              </w:rPr>
            </w:pPr>
            <w:r w:rsidRPr="00141288">
              <w:rPr>
                <w:rFonts w:eastAsia="Arial"/>
                <w:bCs/>
                <w:sz w:val="22"/>
                <w:szCs w:val="22"/>
              </w:rPr>
              <w:t xml:space="preserve">4.1 </w:t>
            </w:r>
            <w:r w:rsidRPr="00141288">
              <w:rPr>
                <w:sz w:val="22"/>
                <w:szCs w:val="22"/>
              </w:rPr>
              <w:t xml:space="preserve"> A system monitoring </w:t>
            </w:r>
            <w:proofErr w:type="spellStart"/>
            <w:r w:rsidRPr="00141288">
              <w:rPr>
                <w:sz w:val="22"/>
                <w:szCs w:val="22"/>
              </w:rPr>
              <w:t>settlement</w:t>
            </w:r>
            <w:proofErr w:type="spellEnd"/>
            <w:r w:rsidRPr="00141288">
              <w:rPr>
                <w:sz w:val="22"/>
                <w:szCs w:val="22"/>
              </w:rPr>
              <w:t xml:space="preserve"> </w:t>
            </w:r>
            <w:proofErr w:type="spellStart"/>
            <w:r w:rsidRPr="00141288">
              <w:rPr>
                <w:sz w:val="22"/>
                <w:szCs w:val="22"/>
              </w:rPr>
              <w:t>fails</w:t>
            </w:r>
            <w:proofErr w:type="spellEnd"/>
            <w:r w:rsidRPr="00141288">
              <w:rPr>
                <w:sz w:val="22"/>
                <w:szCs w:val="22"/>
              </w:rPr>
              <w:t xml:space="preserve"> </w:t>
            </w:r>
            <w:proofErr w:type="spellStart"/>
            <w:r w:rsidRPr="00141288">
              <w:rPr>
                <w:sz w:val="22"/>
                <w:szCs w:val="22"/>
              </w:rPr>
              <w:t>shall</w:t>
            </w:r>
            <w:proofErr w:type="spellEnd"/>
            <w:r w:rsidRPr="00141288">
              <w:rPr>
                <w:sz w:val="22"/>
                <w:szCs w:val="22"/>
              </w:rPr>
              <w:t xml:space="preserve"> </w:t>
            </w:r>
            <w:proofErr w:type="spellStart"/>
            <w:r w:rsidRPr="00141288">
              <w:rPr>
                <w:sz w:val="22"/>
                <w:szCs w:val="22"/>
              </w:rPr>
              <w:t>enable</w:t>
            </w:r>
            <w:proofErr w:type="spellEnd"/>
            <w:r w:rsidRPr="00141288">
              <w:rPr>
                <w:sz w:val="22"/>
                <w:szCs w:val="22"/>
              </w:rPr>
              <w:t xml:space="preserve"> </w:t>
            </w:r>
            <w:proofErr w:type="gramStart"/>
            <w:r w:rsidRPr="00141288">
              <w:rPr>
                <w:sz w:val="22"/>
                <w:szCs w:val="22"/>
              </w:rPr>
              <w:t>a</w:t>
            </w:r>
            <w:proofErr w:type="gramEnd"/>
            <w:r w:rsidRPr="00141288">
              <w:rPr>
                <w:sz w:val="22"/>
                <w:szCs w:val="22"/>
              </w:rPr>
              <w:t xml:space="preserve"> CSD to </w:t>
            </w:r>
            <w:proofErr w:type="spellStart"/>
            <w:r w:rsidRPr="00141288">
              <w:rPr>
                <w:sz w:val="22"/>
                <w:szCs w:val="22"/>
              </w:rPr>
              <w:t>identify</w:t>
            </w:r>
            <w:proofErr w:type="spellEnd"/>
            <w:r w:rsidRPr="00141288">
              <w:rPr>
                <w:sz w:val="22"/>
                <w:szCs w:val="22"/>
              </w:rPr>
              <w:t xml:space="preserve"> and to </w:t>
            </w:r>
            <w:proofErr w:type="spellStart"/>
            <w:r w:rsidRPr="00141288">
              <w:rPr>
                <w:sz w:val="22"/>
                <w:szCs w:val="22"/>
              </w:rPr>
              <w:t>keep</w:t>
            </w:r>
            <w:proofErr w:type="spellEnd"/>
            <w:r w:rsidRPr="00141288">
              <w:rPr>
                <w:sz w:val="22"/>
                <w:szCs w:val="22"/>
              </w:rPr>
              <w:t xml:space="preserve"> a record of information about the </w:t>
            </w:r>
            <w:proofErr w:type="spellStart"/>
            <w:r w:rsidRPr="00141288">
              <w:rPr>
                <w:sz w:val="22"/>
                <w:szCs w:val="22"/>
              </w:rPr>
              <w:t>intended</w:t>
            </w:r>
            <w:proofErr w:type="spellEnd"/>
            <w:r w:rsidRPr="00141288">
              <w:rPr>
                <w:sz w:val="22"/>
                <w:szCs w:val="22"/>
              </w:rPr>
              <w:t xml:space="preserve"> </w:t>
            </w:r>
            <w:proofErr w:type="spellStart"/>
            <w:r w:rsidRPr="00141288">
              <w:rPr>
                <w:sz w:val="22"/>
                <w:szCs w:val="22"/>
              </w:rPr>
              <w:t>settlement</w:t>
            </w:r>
            <w:proofErr w:type="spellEnd"/>
            <w:r w:rsidRPr="00141288">
              <w:rPr>
                <w:sz w:val="22"/>
                <w:szCs w:val="22"/>
              </w:rPr>
              <w:t xml:space="preserve"> date and the </w:t>
            </w:r>
            <w:proofErr w:type="spellStart"/>
            <w:r w:rsidRPr="00141288">
              <w:rPr>
                <w:sz w:val="22"/>
                <w:szCs w:val="22"/>
              </w:rPr>
              <w:t>status</w:t>
            </w:r>
            <w:proofErr w:type="spellEnd"/>
            <w:r w:rsidRPr="00141288">
              <w:rPr>
                <w:sz w:val="22"/>
                <w:szCs w:val="22"/>
              </w:rPr>
              <w:t xml:space="preserve"> of </w:t>
            </w:r>
            <w:proofErr w:type="spellStart"/>
            <w:r w:rsidRPr="00141288">
              <w:rPr>
                <w:sz w:val="22"/>
                <w:szCs w:val="22"/>
              </w:rPr>
              <w:t>settlement</w:t>
            </w:r>
            <w:proofErr w:type="spellEnd"/>
            <w:r w:rsidRPr="00141288">
              <w:rPr>
                <w:sz w:val="22"/>
                <w:szCs w:val="22"/>
              </w:rPr>
              <w:t xml:space="preserve"> instructions </w:t>
            </w:r>
            <w:proofErr w:type="spellStart"/>
            <w:r w:rsidRPr="00141288">
              <w:rPr>
                <w:sz w:val="22"/>
                <w:szCs w:val="22"/>
              </w:rPr>
              <w:t>entered</w:t>
            </w:r>
            <w:proofErr w:type="spellEnd"/>
            <w:r w:rsidRPr="00141288">
              <w:rPr>
                <w:sz w:val="22"/>
                <w:szCs w:val="22"/>
              </w:rPr>
              <w:t xml:space="preserve"> </w:t>
            </w:r>
            <w:proofErr w:type="spellStart"/>
            <w:r w:rsidRPr="00141288">
              <w:rPr>
                <w:sz w:val="22"/>
                <w:szCs w:val="22"/>
              </w:rPr>
              <w:t>into</w:t>
            </w:r>
            <w:proofErr w:type="spellEnd"/>
            <w:r w:rsidRPr="00141288">
              <w:rPr>
                <w:sz w:val="22"/>
                <w:szCs w:val="22"/>
              </w:rPr>
              <w:t xml:space="preserve"> the </w:t>
            </w:r>
            <w:proofErr w:type="spellStart"/>
            <w:r w:rsidRPr="00141288">
              <w:rPr>
                <w:sz w:val="22"/>
                <w:szCs w:val="22"/>
              </w:rPr>
              <w:t>securities</w:t>
            </w:r>
            <w:proofErr w:type="spellEnd"/>
            <w:r w:rsidRPr="00141288">
              <w:rPr>
                <w:sz w:val="22"/>
                <w:szCs w:val="22"/>
              </w:rPr>
              <w:t xml:space="preserve"> </w:t>
            </w:r>
            <w:proofErr w:type="spellStart"/>
            <w:r w:rsidRPr="00141288">
              <w:rPr>
                <w:sz w:val="22"/>
                <w:szCs w:val="22"/>
              </w:rPr>
              <w:t>settlement</w:t>
            </w:r>
            <w:proofErr w:type="spellEnd"/>
            <w:r w:rsidRPr="00141288">
              <w:rPr>
                <w:sz w:val="22"/>
                <w:szCs w:val="22"/>
              </w:rPr>
              <w:t xml:space="preserve"> system </w:t>
            </w:r>
            <w:proofErr w:type="spellStart"/>
            <w:r w:rsidRPr="00141288">
              <w:rPr>
                <w:sz w:val="22"/>
                <w:szCs w:val="22"/>
              </w:rPr>
              <w:t>that</w:t>
            </w:r>
            <w:proofErr w:type="spellEnd"/>
            <w:r w:rsidRPr="00141288">
              <w:rPr>
                <w:sz w:val="22"/>
                <w:szCs w:val="22"/>
              </w:rPr>
              <w:t xml:space="preserve"> </w:t>
            </w:r>
            <w:proofErr w:type="spellStart"/>
            <w:r w:rsidRPr="00141288">
              <w:rPr>
                <w:sz w:val="22"/>
                <w:szCs w:val="22"/>
              </w:rPr>
              <w:t>it</w:t>
            </w:r>
            <w:proofErr w:type="spellEnd"/>
            <w:r w:rsidRPr="00141288">
              <w:rPr>
                <w:sz w:val="22"/>
                <w:szCs w:val="22"/>
              </w:rPr>
              <w:t xml:space="preserve"> </w:t>
            </w:r>
            <w:proofErr w:type="spellStart"/>
            <w:r w:rsidRPr="00141288">
              <w:rPr>
                <w:sz w:val="22"/>
                <w:szCs w:val="22"/>
              </w:rPr>
              <w:t>operates</w:t>
            </w:r>
            <w:proofErr w:type="spellEnd"/>
            <w:r w:rsidRPr="00141288">
              <w:rPr>
                <w:sz w:val="22"/>
                <w:szCs w:val="22"/>
              </w:rPr>
              <w:t xml:space="preserve">, </w:t>
            </w:r>
            <w:proofErr w:type="spellStart"/>
            <w:r w:rsidRPr="00141288">
              <w:rPr>
                <w:sz w:val="22"/>
                <w:szCs w:val="22"/>
              </w:rPr>
              <w:t>covering</w:t>
            </w:r>
            <w:proofErr w:type="spellEnd"/>
            <w:r w:rsidRPr="00141288">
              <w:rPr>
                <w:sz w:val="22"/>
                <w:szCs w:val="22"/>
              </w:rPr>
              <w:t xml:space="preserve"> </w:t>
            </w:r>
            <w:proofErr w:type="spellStart"/>
            <w:r w:rsidRPr="00141288">
              <w:rPr>
                <w:sz w:val="22"/>
                <w:szCs w:val="22"/>
              </w:rPr>
              <w:t>at</w:t>
            </w:r>
            <w:proofErr w:type="spellEnd"/>
            <w:r w:rsidRPr="00141288">
              <w:rPr>
                <w:sz w:val="22"/>
                <w:szCs w:val="22"/>
              </w:rPr>
              <w:t xml:space="preserve"> </w:t>
            </w:r>
            <w:r w:rsidRPr="00141288">
              <w:rPr>
                <w:sz w:val="22"/>
                <w:szCs w:val="22"/>
              </w:rPr>
              <w:lastRenderedPageBreak/>
              <w:t xml:space="preserve">least the </w:t>
            </w:r>
            <w:proofErr w:type="spellStart"/>
            <w:r w:rsidRPr="00141288">
              <w:rPr>
                <w:sz w:val="22"/>
                <w:szCs w:val="22"/>
              </w:rPr>
              <w:t>following</w:t>
            </w:r>
            <w:proofErr w:type="spellEnd"/>
            <w:r w:rsidRPr="00141288">
              <w:rPr>
                <w:sz w:val="22"/>
                <w:szCs w:val="22"/>
              </w:rPr>
              <w:t xml:space="preserve"> </w:t>
            </w:r>
            <w:proofErr w:type="spellStart"/>
            <w:r w:rsidRPr="00141288">
              <w:rPr>
                <w:sz w:val="22"/>
                <w:szCs w:val="22"/>
              </w:rPr>
              <w:t>including</w:t>
            </w:r>
            <w:proofErr w:type="spellEnd"/>
            <w:r w:rsidRPr="00141288">
              <w:rPr>
                <w:sz w:val="22"/>
                <w:szCs w:val="22"/>
              </w:rPr>
              <w:t xml:space="preserve"> per </w:t>
            </w:r>
            <w:proofErr w:type="spellStart"/>
            <w:r w:rsidRPr="00141288">
              <w:rPr>
                <w:sz w:val="22"/>
                <w:szCs w:val="22"/>
              </w:rPr>
              <w:t>intended</w:t>
            </w:r>
            <w:proofErr w:type="spellEnd"/>
            <w:r w:rsidRPr="00141288">
              <w:rPr>
                <w:sz w:val="22"/>
                <w:szCs w:val="22"/>
              </w:rPr>
              <w:t xml:space="preserve"> </w:t>
            </w:r>
            <w:proofErr w:type="spellStart"/>
            <w:r w:rsidRPr="00141288">
              <w:rPr>
                <w:sz w:val="22"/>
                <w:szCs w:val="22"/>
              </w:rPr>
              <w:t>settlement</w:t>
            </w:r>
            <w:proofErr w:type="spellEnd"/>
            <w:r w:rsidRPr="00141288">
              <w:rPr>
                <w:sz w:val="22"/>
                <w:szCs w:val="22"/>
              </w:rPr>
              <w:t xml:space="preserve"> date: </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a) pending instructions (which can still settle on ISD); </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b) failed settlement instructions (which cannot settle anymore on ISD), inclu</w:t>
            </w:r>
            <w:r w:rsidRPr="00141288">
              <w:rPr>
                <w:rFonts w:eastAsia="Arial" w:cs="Arial"/>
                <w:b/>
                <w:bCs/>
                <w:lang w:val="en-US" w:eastAsia="en-US"/>
              </w:rPr>
              <w:t>d</w:t>
            </w:r>
            <w:r w:rsidRPr="00141288">
              <w:rPr>
                <w:rFonts w:eastAsia="Arial" w:cs="Arial"/>
                <w:b/>
                <w:bCs/>
                <w:lang w:val="en-US" w:eastAsia="en-US"/>
              </w:rPr>
              <w:t>ing information on:</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w:t>
            </w:r>
            <w:proofErr w:type="spellStart"/>
            <w:r w:rsidRPr="00141288">
              <w:rPr>
                <w:rFonts w:eastAsia="Arial" w:cs="Arial"/>
                <w:b/>
                <w:bCs/>
                <w:lang w:val="en-US" w:eastAsia="en-US"/>
              </w:rPr>
              <w:t>i</w:t>
            </w:r>
            <w:proofErr w:type="spellEnd"/>
            <w:r w:rsidRPr="00141288">
              <w:rPr>
                <w:rFonts w:eastAsia="Arial" w:cs="Arial"/>
                <w:b/>
                <w:bCs/>
                <w:lang w:val="en-US" w:eastAsia="en-US"/>
              </w:rPr>
              <w:t>) initiation of buy-in;</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ii) extension period;</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iii) deferral period;</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iv) buy-in period;</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v) outcome of buy-in process;</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vi) payment of cash compensation or settlement of the buy-in tran</w:t>
            </w:r>
            <w:r w:rsidRPr="00141288">
              <w:rPr>
                <w:rFonts w:eastAsia="Arial" w:cs="Arial"/>
                <w:b/>
                <w:bCs/>
                <w:lang w:val="en-US" w:eastAsia="en-US"/>
              </w:rPr>
              <w:t>s</w:t>
            </w:r>
            <w:r w:rsidRPr="00141288">
              <w:rPr>
                <w:rFonts w:eastAsia="Arial" w:cs="Arial"/>
                <w:b/>
                <w:bCs/>
                <w:lang w:val="en-US" w:eastAsia="en-US"/>
              </w:rPr>
              <w:t>action;</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 xml:space="preserve">               vii) </w:t>
            </w:r>
            <w:proofErr w:type="gramStart"/>
            <w:r w:rsidRPr="00141288">
              <w:rPr>
                <w:rFonts w:eastAsia="Arial" w:cs="Arial"/>
                <w:b/>
                <w:bCs/>
                <w:lang w:val="en-US" w:eastAsia="en-US"/>
              </w:rPr>
              <w:t>penalties</w:t>
            </w:r>
            <w:proofErr w:type="gramEnd"/>
            <w:r w:rsidRPr="00141288">
              <w:rPr>
                <w:rFonts w:eastAsia="Arial" w:cs="Arial"/>
                <w:b/>
                <w:bCs/>
                <w:lang w:val="en-US" w:eastAsia="en-US"/>
              </w:rPr>
              <w:t xml:space="preserve"> referred to in Article 7(2) of Regulation (EU) No 909/2014.</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c) fully settled settlement instructions;</w:t>
            </w:r>
          </w:p>
          <w:p w:rsidR="00300F54" w:rsidRPr="00141288" w:rsidRDefault="00300F54" w:rsidP="00300F54">
            <w:pPr>
              <w:widowControl w:val="0"/>
              <w:spacing w:line="277" w:lineRule="auto"/>
              <w:ind w:right="61"/>
              <w:jc w:val="both"/>
              <w:rPr>
                <w:rFonts w:eastAsia="Arial" w:cs="Arial"/>
                <w:b/>
                <w:bCs/>
                <w:lang w:val="en-US" w:eastAsia="en-US"/>
              </w:rPr>
            </w:pPr>
            <w:r w:rsidRPr="00141288">
              <w:rPr>
                <w:rFonts w:eastAsia="Arial" w:cs="Arial"/>
                <w:b/>
                <w:bCs/>
                <w:lang w:val="en-US" w:eastAsia="en-US"/>
              </w:rPr>
              <w:t>d) partially settled settlement instructions, including the settled part and the missing part of either securities or cash;</w:t>
            </w:r>
          </w:p>
          <w:p w:rsidR="00300F54" w:rsidRPr="00141288" w:rsidRDefault="00300F54" w:rsidP="00300F54">
            <w:pPr>
              <w:widowControl w:val="0"/>
              <w:spacing w:line="277" w:lineRule="auto"/>
              <w:ind w:right="61"/>
              <w:jc w:val="both"/>
              <w:rPr>
                <w:rFonts w:eastAsia="Arial" w:cs="Arial"/>
                <w:bCs/>
                <w:lang w:val="en-US" w:eastAsia="en-US"/>
              </w:rPr>
            </w:pPr>
            <w:r w:rsidRPr="00141288">
              <w:rPr>
                <w:rFonts w:eastAsia="Arial" w:cs="Arial"/>
                <w:b/>
                <w:bCs/>
                <w:lang w:val="en-US" w:eastAsia="en-US"/>
              </w:rPr>
              <w:t xml:space="preserve">e) </w:t>
            </w:r>
            <w:proofErr w:type="gramStart"/>
            <w:r w:rsidRPr="00141288">
              <w:rPr>
                <w:rFonts w:eastAsia="Arial" w:cs="Arial"/>
                <w:b/>
                <w:bCs/>
                <w:lang w:val="en-US" w:eastAsia="en-US"/>
              </w:rPr>
              <w:t>cancelled</w:t>
            </w:r>
            <w:proofErr w:type="gramEnd"/>
            <w:r w:rsidRPr="00141288">
              <w:rPr>
                <w:rFonts w:eastAsia="Arial" w:cs="Arial"/>
                <w:b/>
                <w:bCs/>
                <w:lang w:val="en-US" w:eastAsia="en-US"/>
              </w:rPr>
              <w:t xml:space="preserve"> settlement instructions, including information whether it is ca</w:t>
            </w:r>
            <w:r w:rsidRPr="00141288">
              <w:rPr>
                <w:rFonts w:eastAsia="Arial" w:cs="Arial"/>
                <w:b/>
                <w:bCs/>
                <w:lang w:val="en-US" w:eastAsia="en-US"/>
              </w:rPr>
              <w:t>n</w:t>
            </w:r>
            <w:r w:rsidRPr="00141288">
              <w:rPr>
                <w:rFonts w:eastAsia="Arial" w:cs="Arial"/>
                <w:b/>
                <w:bCs/>
                <w:lang w:val="en-US" w:eastAsia="en-US"/>
              </w:rPr>
              <w:t>celled by the system or by the participant.</w:t>
            </w:r>
          </w:p>
          <w:p w:rsidR="00300F54" w:rsidRDefault="00300F54" w:rsidP="00300F54">
            <w:pPr>
              <w:pStyle w:val="Default"/>
              <w:tabs>
                <w:tab w:val="left" w:pos="357"/>
              </w:tabs>
              <w:jc w:val="both"/>
              <w:rPr>
                <w:sz w:val="22"/>
                <w:szCs w:val="22"/>
              </w:rPr>
            </w:pPr>
          </w:p>
          <w:p w:rsidR="00300F54" w:rsidRDefault="00300F54" w:rsidP="00300F54">
            <w:pPr>
              <w:tabs>
                <w:tab w:val="left" w:pos="357"/>
              </w:tabs>
              <w:autoSpaceDE w:val="0"/>
              <w:autoSpaceDN w:val="0"/>
              <w:adjustRightInd w:val="0"/>
              <w:spacing w:after="147"/>
              <w:jc w:val="both"/>
              <w:rPr>
                <w:rFonts w:eastAsiaTheme="minorHAnsi" w:cs="Arial"/>
                <w:strike/>
                <w:color w:val="000000"/>
                <w:lang w:val="en-US" w:eastAsia="en-US"/>
              </w:rPr>
            </w:pPr>
            <w:r w:rsidRPr="00141288">
              <w:rPr>
                <w:rFonts w:eastAsiaTheme="minorHAnsi" w:cs="Arial"/>
                <w:strike/>
                <w:color w:val="000000"/>
                <w:lang w:val="en-US" w:eastAsia="en-US"/>
              </w:rPr>
              <w:t xml:space="preserve">(a) matched settlement instructions that are not settled; </w:t>
            </w:r>
          </w:p>
          <w:p w:rsidR="00300F54" w:rsidRDefault="00300F54" w:rsidP="00300F54">
            <w:pPr>
              <w:tabs>
                <w:tab w:val="left" w:pos="357"/>
              </w:tabs>
              <w:autoSpaceDE w:val="0"/>
              <w:autoSpaceDN w:val="0"/>
              <w:adjustRightInd w:val="0"/>
              <w:spacing w:after="147"/>
              <w:jc w:val="both"/>
              <w:rPr>
                <w:rFonts w:eastAsiaTheme="minorHAnsi" w:cs="Arial"/>
                <w:strike/>
                <w:color w:val="000000"/>
                <w:lang w:val="en-US" w:eastAsia="en-US"/>
              </w:rPr>
            </w:pPr>
            <w:r w:rsidRPr="00141288">
              <w:rPr>
                <w:rFonts w:eastAsiaTheme="minorHAnsi" w:cs="Arial"/>
                <w:strike/>
                <w:color w:val="000000"/>
                <w:lang w:val="en-US" w:eastAsia="en-US"/>
              </w:rPr>
              <w:t xml:space="preserve">(b) settlement instructions that are not matched; </w:t>
            </w:r>
          </w:p>
          <w:p w:rsidR="00300F54" w:rsidRDefault="00300F54" w:rsidP="00300F54">
            <w:pPr>
              <w:tabs>
                <w:tab w:val="left" w:pos="357"/>
              </w:tabs>
              <w:autoSpaceDE w:val="0"/>
              <w:autoSpaceDN w:val="0"/>
              <w:adjustRightInd w:val="0"/>
              <w:spacing w:after="147"/>
              <w:jc w:val="both"/>
              <w:rPr>
                <w:rFonts w:eastAsiaTheme="minorHAnsi" w:cs="Arial"/>
                <w:strike/>
                <w:color w:val="000000"/>
                <w:lang w:val="en-US" w:eastAsia="en-US"/>
              </w:rPr>
            </w:pPr>
            <w:r w:rsidRPr="00141288">
              <w:rPr>
                <w:rFonts w:eastAsiaTheme="minorHAnsi" w:cs="Arial"/>
                <w:strike/>
                <w:color w:val="000000"/>
                <w:lang w:val="en-US" w:eastAsia="en-US"/>
              </w:rPr>
              <w:t xml:space="preserve">(c) settlement instructions on hold; </w:t>
            </w:r>
          </w:p>
          <w:p w:rsidR="00300F54" w:rsidRDefault="00300F54" w:rsidP="00300F54">
            <w:pPr>
              <w:tabs>
                <w:tab w:val="left" w:pos="357"/>
              </w:tabs>
              <w:autoSpaceDE w:val="0"/>
              <w:autoSpaceDN w:val="0"/>
              <w:adjustRightInd w:val="0"/>
              <w:spacing w:after="147"/>
              <w:jc w:val="both"/>
              <w:rPr>
                <w:rFonts w:eastAsiaTheme="minorHAnsi" w:cs="Arial"/>
                <w:strike/>
                <w:color w:val="000000"/>
                <w:lang w:val="en-US" w:eastAsia="en-US"/>
              </w:rPr>
            </w:pPr>
            <w:r w:rsidRPr="00141288">
              <w:rPr>
                <w:rFonts w:eastAsiaTheme="minorHAnsi" w:cs="Arial"/>
                <w:strike/>
                <w:color w:val="000000"/>
                <w:lang w:val="en-US" w:eastAsia="en-US"/>
              </w:rPr>
              <w:t xml:space="preserve">(d) partially settled settlement instructions, including the settled part and the missing part of either securities or cash; </w:t>
            </w:r>
          </w:p>
          <w:p w:rsidR="00300F54" w:rsidRDefault="00300F54" w:rsidP="00300F54">
            <w:pPr>
              <w:tabs>
                <w:tab w:val="left" w:pos="357"/>
              </w:tabs>
              <w:autoSpaceDE w:val="0"/>
              <w:autoSpaceDN w:val="0"/>
              <w:adjustRightInd w:val="0"/>
              <w:jc w:val="both"/>
              <w:rPr>
                <w:rFonts w:eastAsiaTheme="minorHAnsi" w:cs="Arial"/>
                <w:strike/>
                <w:color w:val="000000"/>
                <w:lang w:val="en-US" w:eastAsia="en-US"/>
              </w:rPr>
            </w:pPr>
            <w:r w:rsidRPr="00141288">
              <w:rPr>
                <w:rFonts w:eastAsiaTheme="minorHAnsi" w:cs="Arial"/>
                <w:strike/>
                <w:color w:val="000000"/>
                <w:lang w:val="en-US" w:eastAsia="en-US"/>
              </w:rPr>
              <w:t xml:space="preserve">(e) failed settlement instructions, including information on: </w:t>
            </w:r>
          </w:p>
          <w:p w:rsidR="00300F54" w:rsidRPr="00141288" w:rsidRDefault="00300F54" w:rsidP="00300F54">
            <w:pPr>
              <w:widowControl w:val="0"/>
              <w:spacing w:line="277" w:lineRule="auto"/>
              <w:ind w:right="61"/>
              <w:jc w:val="both"/>
              <w:rPr>
                <w:rFonts w:eastAsia="Arial" w:cs="Arial"/>
                <w:bCs/>
                <w:lang w:val="en-US" w:eastAsia="en-US"/>
              </w:rPr>
            </w:pPr>
          </w:p>
          <w:p w:rsidR="00300F54" w:rsidRPr="00141288" w:rsidRDefault="00300F54" w:rsidP="00300F54">
            <w:pPr>
              <w:widowControl w:val="0"/>
              <w:spacing w:line="277" w:lineRule="auto"/>
              <w:ind w:right="61"/>
              <w:jc w:val="both"/>
              <w:rPr>
                <w:rFonts w:eastAsia="Arial" w:cs="Arial"/>
                <w:bCs/>
                <w:lang w:val="en-US" w:eastAsia="en-US"/>
              </w:rPr>
            </w:pPr>
            <w:r w:rsidRPr="00141288">
              <w:rPr>
                <w:rFonts w:eastAsia="Arial" w:cs="Arial"/>
                <w:bCs/>
                <w:lang w:val="en-US" w:eastAsia="en-US"/>
              </w:rPr>
              <w:t>For each of the categories of settlement instructions above, the following information should be provided:</w:t>
            </w:r>
          </w:p>
          <w:p w:rsidR="00300F54" w:rsidRPr="00141288" w:rsidRDefault="00300F54" w:rsidP="005C0956">
            <w:pPr>
              <w:pStyle w:val="ListParagraph"/>
              <w:widowControl w:val="0"/>
              <w:numPr>
                <w:ilvl w:val="0"/>
                <w:numId w:val="36"/>
              </w:numPr>
              <w:tabs>
                <w:tab w:val="left" w:pos="357"/>
              </w:tabs>
              <w:spacing w:line="277" w:lineRule="auto"/>
              <w:ind w:right="61"/>
              <w:jc w:val="both"/>
              <w:rPr>
                <w:rFonts w:eastAsia="Arial" w:cs="Arial"/>
                <w:bCs/>
                <w:lang w:val="en-US" w:eastAsia="en-US"/>
              </w:rPr>
            </w:pPr>
            <w:r w:rsidRPr="00141288">
              <w:rPr>
                <w:rFonts w:eastAsia="Arial" w:cs="Arial"/>
                <w:bCs/>
                <w:lang w:val="en-US" w:eastAsia="en-US"/>
              </w:rPr>
              <w:t>Matching Status (Matched or Not-matched);</w:t>
            </w:r>
          </w:p>
          <w:p w:rsidR="00300F54" w:rsidRPr="00141288" w:rsidRDefault="00300F54" w:rsidP="005C0956">
            <w:pPr>
              <w:pStyle w:val="ListParagraph"/>
              <w:widowControl w:val="0"/>
              <w:numPr>
                <w:ilvl w:val="0"/>
                <w:numId w:val="36"/>
              </w:numPr>
              <w:tabs>
                <w:tab w:val="left" w:pos="357"/>
              </w:tabs>
              <w:spacing w:line="277" w:lineRule="auto"/>
              <w:ind w:right="61"/>
              <w:jc w:val="both"/>
              <w:rPr>
                <w:rFonts w:eastAsia="Arial" w:cs="Arial"/>
                <w:bCs/>
                <w:lang w:val="en-US" w:eastAsia="en-US"/>
              </w:rPr>
            </w:pPr>
            <w:r w:rsidRPr="00141288">
              <w:rPr>
                <w:rFonts w:eastAsia="Arial" w:cs="Arial"/>
                <w:bCs/>
                <w:lang w:val="en-US" w:eastAsia="en-US"/>
              </w:rPr>
              <w:t>Partial Settlement indicator (Yes or No)</w:t>
            </w:r>
          </w:p>
          <w:p w:rsidR="00300F54" w:rsidRPr="00141288" w:rsidRDefault="00300F54" w:rsidP="005C0956">
            <w:pPr>
              <w:pStyle w:val="ListParagraph"/>
              <w:widowControl w:val="0"/>
              <w:numPr>
                <w:ilvl w:val="0"/>
                <w:numId w:val="36"/>
              </w:numPr>
              <w:tabs>
                <w:tab w:val="left" w:pos="357"/>
              </w:tabs>
              <w:spacing w:line="277" w:lineRule="auto"/>
              <w:ind w:right="61"/>
              <w:jc w:val="both"/>
              <w:rPr>
                <w:rFonts w:eastAsia="Arial" w:cs="Arial"/>
                <w:bCs/>
                <w:lang w:val="en-US" w:eastAsia="en-US"/>
              </w:rPr>
            </w:pPr>
            <w:r w:rsidRPr="00141288">
              <w:rPr>
                <w:rFonts w:eastAsia="Arial" w:cs="Arial"/>
                <w:bCs/>
                <w:lang w:val="en-US" w:eastAsia="en-US"/>
              </w:rPr>
              <w:t xml:space="preserve">Hold &amp; Release indicator (On hold) </w:t>
            </w:r>
          </w:p>
          <w:p w:rsidR="00300F54" w:rsidRDefault="00300F54" w:rsidP="005C0956">
            <w:pPr>
              <w:pStyle w:val="ListParagraph"/>
              <w:widowControl w:val="0"/>
              <w:numPr>
                <w:ilvl w:val="0"/>
                <w:numId w:val="36"/>
              </w:numPr>
              <w:tabs>
                <w:tab w:val="left" w:pos="357"/>
              </w:tabs>
              <w:spacing w:line="277" w:lineRule="auto"/>
              <w:ind w:right="61"/>
              <w:jc w:val="both"/>
              <w:rPr>
                <w:rFonts w:eastAsia="Arial" w:cs="Arial"/>
                <w:bCs/>
                <w:lang w:val="en-US" w:eastAsia="en-US"/>
              </w:rPr>
            </w:pPr>
            <w:r w:rsidRPr="00141288">
              <w:rPr>
                <w:rFonts w:eastAsia="Arial" w:cs="Arial"/>
                <w:bCs/>
                <w:lang w:val="en-US" w:eastAsia="en-US"/>
              </w:rPr>
              <w:t>Reason code for instruction pending or failing</w:t>
            </w:r>
          </w:p>
          <w:p w:rsidR="00300F54" w:rsidRPr="00141288" w:rsidRDefault="00300F54" w:rsidP="005C0956">
            <w:pPr>
              <w:pStyle w:val="ListParagraph"/>
              <w:widowControl w:val="0"/>
              <w:numPr>
                <w:ilvl w:val="0"/>
                <w:numId w:val="36"/>
              </w:numPr>
              <w:tabs>
                <w:tab w:val="left" w:pos="357"/>
              </w:tabs>
              <w:spacing w:line="277" w:lineRule="auto"/>
              <w:ind w:right="61"/>
              <w:jc w:val="both"/>
              <w:rPr>
                <w:rFonts w:eastAsia="Arial" w:cs="Arial"/>
                <w:bCs/>
                <w:lang w:val="en-US" w:eastAsia="en-US"/>
              </w:rPr>
            </w:pPr>
            <w:r>
              <w:rPr>
                <w:rFonts w:eastAsia="Arial" w:cs="Arial"/>
                <w:bCs/>
                <w:lang w:val="en-US" w:eastAsia="en-US"/>
              </w:rPr>
              <w:t>Time the instruction was received at the CSD for each party</w:t>
            </w:r>
            <w:r w:rsidRPr="00141288">
              <w:rPr>
                <w:rFonts w:eastAsia="Arial" w:cs="Arial"/>
                <w:bCs/>
                <w:lang w:val="en-US" w:eastAsia="en-US"/>
              </w:rPr>
              <w:t xml:space="preserve">. </w:t>
            </w:r>
          </w:p>
          <w:p w:rsidR="00300F54" w:rsidRPr="00141288" w:rsidRDefault="00300F54" w:rsidP="00300F54">
            <w:pPr>
              <w:widowControl w:val="0"/>
              <w:spacing w:line="277" w:lineRule="auto"/>
              <w:ind w:right="61"/>
              <w:jc w:val="both"/>
              <w:rPr>
                <w:rFonts w:eastAsia="Arial" w:cs="Arial"/>
                <w:bCs/>
                <w:lang w:val="en-US" w:eastAsia="en-US"/>
              </w:rPr>
            </w:pPr>
          </w:p>
        </w:tc>
      </w:tr>
    </w:tbl>
    <w:p w:rsidR="00300F54" w:rsidRDefault="00300F54" w:rsidP="00300F54">
      <w:pPr>
        <w:pStyle w:val="copytext"/>
        <w:jc w:val="both"/>
      </w:pPr>
    </w:p>
    <w:p w:rsidR="00300F54" w:rsidRPr="00141288" w:rsidRDefault="00300F54" w:rsidP="00300F54">
      <w:pPr>
        <w:widowControl w:val="0"/>
        <w:spacing w:line="277" w:lineRule="auto"/>
        <w:ind w:right="61"/>
        <w:jc w:val="both"/>
        <w:rPr>
          <w:rFonts w:eastAsia="Arial" w:cs="Arial"/>
          <w:bCs/>
          <w:lang w:val="en-US" w:eastAsia="en-US"/>
        </w:rPr>
      </w:pPr>
      <w:r w:rsidRPr="00141288">
        <w:rPr>
          <w:rFonts w:eastAsia="Arial" w:cs="Arial"/>
          <w:bCs/>
          <w:lang w:val="en-US" w:eastAsia="en-US"/>
        </w:rPr>
        <w:t xml:space="preserve">This proposal provides all the information necessary for monitoring settlement fails required by ESMA in its reporting under its original proposal for reporting under article 4(1). </w:t>
      </w:r>
    </w:p>
    <w:p w:rsidR="00300F54" w:rsidRPr="00141288" w:rsidRDefault="00300F54" w:rsidP="00300F54">
      <w:pPr>
        <w:widowControl w:val="0"/>
        <w:spacing w:line="277" w:lineRule="auto"/>
        <w:ind w:right="61"/>
        <w:jc w:val="both"/>
        <w:rPr>
          <w:rFonts w:cs="Arial"/>
        </w:rPr>
      </w:pPr>
    </w:p>
    <w:p w:rsidR="00300F54" w:rsidRPr="00141288" w:rsidRDefault="00300F54" w:rsidP="00300F54">
      <w:pPr>
        <w:widowControl w:val="0"/>
        <w:spacing w:line="277" w:lineRule="auto"/>
        <w:ind w:right="61"/>
        <w:jc w:val="both"/>
        <w:rPr>
          <w:rFonts w:eastAsia="Arial" w:cs="Arial"/>
          <w:bCs/>
          <w:lang w:val="en-US" w:eastAsia="en-US"/>
        </w:rPr>
      </w:pPr>
      <w:r w:rsidRPr="00141288">
        <w:rPr>
          <w:rFonts w:cs="Arial"/>
        </w:rPr>
        <w:t>I</w:t>
      </w:r>
      <w:r>
        <w:rPr>
          <w:rFonts w:eastAsia="Arial" w:cs="Arial"/>
          <w:lang w:val="en-US" w:eastAsia="en-US"/>
        </w:rPr>
        <w:t>t is vital for settlement fail</w:t>
      </w:r>
      <w:r w:rsidRPr="00141288">
        <w:rPr>
          <w:rFonts w:eastAsia="Arial" w:cs="Arial"/>
          <w:lang w:val="en-US" w:eastAsia="en-US"/>
        </w:rPr>
        <w:t xml:space="preserve"> monitoring systems to note the reason for the fail itself.  Requiring CSDs to identify the reason for the settlement failure will allow them to pass that information on to the CSD participant. </w:t>
      </w:r>
      <w:r w:rsidRPr="00141288">
        <w:rPr>
          <w:rFonts w:eastAsia="Arial" w:cs="Arial"/>
          <w:bCs/>
          <w:lang w:val="en-US" w:eastAsia="en-US"/>
        </w:rPr>
        <w:t>With regards to Article 4(2</w:t>
      </w:r>
      <w:proofErr w:type="gramStart"/>
      <w:r>
        <w:rPr>
          <w:rFonts w:eastAsia="Arial" w:cs="Arial"/>
          <w:bCs/>
          <w:lang w:val="en-US" w:eastAsia="en-US"/>
        </w:rPr>
        <w:t>)(</w:t>
      </w:r>
      <w:proofErr w:type="gramEnd"/>
      <w:r w:rsidRPr="00141288">
        <w:rPr>
          <w:rFonts w:eastAsia="Arial" w:cs="Arial"/>
          <w:bCs/>
          <w:lang w:val="en-US" w:eastAsia="en-US"/>
        </w:rPr>
        <w:t xml:space="preserve">b) regarding the reason an instruction is failing, in addition to lack of securities or lack of cash, there are other reasons for settlement fails (e.g. temporary restriction for settlements with a certain ISIN) which are captured by ISO codes and should be available in the reports (please refer to the attached report translating reason codes into text). </w:t>
      </w:r>
    </w:p>
    <w:p w:rsidR="00300F54" w:rsidRPr="00141288" w:rsidRDefault="00300F54" w:rsidP="00300F54">
      <w:pPr>
        <w:widowControl w:val="0"/>
        <w:spacing w:line="277" w:lineRule="auto"/>
        <w:ind w:right="61"/>
        <w:jc w:val="both"/>
        <w:rPr>
          <w:rFonts w:eastAsia="Arial" w:cs="Arial"/>
          <w:bCs/>
          <w:lang w:val="en-US" w:eastAsia="en-US"/>
        </w:rPr>
      </w:pPr>
    </w:p>
    <w:p w:rsidR="00300F54" w:rsidRPr="00141288" w:rsidRDefault="00300F54" w:rsidP="00300F54">
      <w:pPr>
        <w:widowControl w:val="0"/>
        <w:spacing w:line="276" w:lineRule="auto"/>
        <w:ind w:right="64"/>
        <w:contextualSpacing/>
        <w:jc w:val="both"/>
        <w:rPr>
          <w:rFonts w:eastAsia="Arial" w:cs="Arial"/>
          <w:lang w:val="en-US" w:eastAsia="en-US"/>
        </w:rPr>
      </w:pPr>
      <w:hyperlink r:id="rId14" w:history="1">
        <w:r w:rsidRPr="00141288">
          <w:rPr>
            <w:rStyle w:val="Hyperlink"/>
            <w:rFonts w:eastAsia="Arial" w:cs="Arial"/>
            <w:bCs/>
            <w:lang w:val="en-US" w:eastAsia="en-US"/>
          </w:rPr>
          <w:t>http://www.iso20022.org/standardsrepository/public/wqt/Description/mx/dico/codesets/_aFGlxdp-Ed-ak6NoX_4Aeg_-870507202</w:t>
        </w:r>
      </w:hyperlink>
      <w:r w:rsidRPr="00141288">
        <w:rPr>
          <w:rFonts w:eastAsia="Arial" w:cs="Arial"/>
          <w:bCs/>
          <w:lang w:val="en-US" w:eastAsia="en-US"/>
        </w:rPr>
        <w:t xml:space="preserve">) </w:t>
      </w:r>
      <w:r w:rsidRPr="00141288">
        <w:rPr>
          <w:rFonts w:eastAsia="Arial" w:cs="Arial"/>
          <w:lang w:val="en-US" w:eastAsia="en-US"/>
        </w:rPr>
        <w:t xml:space="preserve"> </w:t>
      </w:r>
    </w:p>
    <w:p w:rsidR="00300F54" w:rsidRDefault="00300F54" w:rsidP="00300F54">
      <w:pPr>
        <w:spacing w:line="276" w:lineRule="auto"/>
        <w:contextualSpacing/>
        <w:jc w:val="both"/>
        <w:rPr>
          <w:rFonts w:eastAsia="Arial" w:cs="Arial"/>
          <w:bCs/>
          <w:lang w:val="en-US" w:eastAsia="en-US"/>
        </w:rPr>
      </w:pPr>
    </w:p>
    <w:p w:rsidR="00300F54" w:rsidRDefault="00300F54" w:rsidP="00300F54">
      <w:pPr>
        <w:spacing w:line="276" w:lineRule="auto"/>
        <w:contextualSpacing/>
        <w:jc w:val="both"/>
        <w:rPr>
          <w:rFonts w:cs="Arial"/>
        </w:rPr>
      </w:pPr>
      <w:r w:rsidRPr="00141288">
        <w:rPr>
          <w:rFonts w:eastAsia="Arial" w:cs="Arial"/>
          <w:bCs/>
          <w:lang w:val="en-US" w:eastAsia="en-US"/>
        </w:rPr>
        <w:t xml:space="preserve">There needs to be more work done to understand, measure and decrease settlement fails.  This should also include the ability to identify deficient CCPs, Direct Participants (DPs) and Indirect Participants (IPs) in and across all CSDs in Europe. Greater transparency will enable remedial action and will enhance investor protection by differentiating efficient </w:t>
      </w:r>
      <w:proofErr w:type="spellStart"/>
      <w:r w:rsidRPr="00141288">
        <w:rPr>
          <w:rFonts w:eastAsia="Arial" w:cs="Arial"/>
          <w:bCs/>
          <w:lang w:val="en-US" w:eastAsia="en-US"/>
        </w:rPr>
        <w:t>vs</w:t>
      </w:r>
      <w:proofErr w:type="spellEnd"/>
      <w:r w:rsidRPr="00141288">
        <w:rPr>
          <w:rFonts w:eastAsia="Arial" w:cs="Arial"/>
          <w:bCs/>
          <w:lang w:val="en-US" w:eastAsia="en-US"/>
        </w:rPr>
        <w:t xml:space="preserve"> inefficient practices / participants across the trade lifecycle and value chain.  </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Pr="00141288" w:rsidRDefault="00300F54" w:rsidP="00300F54">
      <w:pPr>
        <w:widowControl w:val="0"/>
        <w:spacing w:line="276" w:lineRule="auto"/>
        <w:ind w:right="64"/>
        <w:contextualSpacing/>
        <w:jc w:val="both"/>
        <w:rPr>
          <w:rFonts w:eastAsia="Arial" w:cs="Arial"/>
          <w:lang w:val="en-US" w:eastAsia="en-US"/>
        </w:rPr>
      </w:pPr>
      <w:r w:rsidRPr="00141288">
        <w:rPr>
          <w:rFonts w:eastAsia="Arial" w:cs="Arial"/>
          <w:lang w:val="en-US" w:eastAsia="en-US"/>
        </w:rPr>
        <w:t>With respect to Article 4(3) SD-RTS,</w:t>
      </w:r>
      <w:r w:rsidRPr="00141288">
        <w:rPr>
          <w:rFonts w:eastAsia="Arial" w:cs="Arial"/>
          <w:b/>
          <w:lang w:val="en-US" w:eastAsia="en-US"/>
        </w:rPr>
        <w:t xml:space="preserve"> </w:t>
      </w:r>
      <w:r w:rsidRPr="00141288">
        <w:rPr>
          <w:rFonts w:eastAsia="Arial" w:cs="Arial"/>
          <w:lang w:val="en-US" w:eastAsia="en-US"/>
        </w:rPr>
        <w:t>the rationale behind the proposal is sound but CSDs should be required to set up a working flow with the “most relevant” participants and not merely the “top ten.” A minimum of 10 participants based upon sheer volume is not sufficient as it r</w:t>
      </w:r>
      <w:r w:rsidRPr="00141288">
        <w:rPr>
          <w:rFonts w:eastAsia="Arial" w:cs="Arial"/>
          <w:lang w:val="en-US" w:eastAsia="en-US"/>
        </w:rPr>
        <w:t>e</w:t>
      </w:r>
      <w:r w:rsidRPr="00141288">
        <w:rPr>
          <w:rFonts w:eastAsia="Arial" w:cs="Arial"/>
          <w:lang w:val="en-US" w:eastAsia="en-US"/>
        </w:rPr>
        <w:t xml:space="preserve">mains unclear how the settlement rate will be determined, i.e. exceeding 2.5 billion EUR/year or 0.05% failure rate.  The specificities of a CSD as well as the number, size and specificities of its participants, existing level of settlement efficiency, extraordinary circumstances and the market environment should be taken into account. The CSD should be given the opportunity </w:t>
      </w:r>
      <w:r>
        <w:rPr>
          <w:rFonts w:eastAsia="Arial" w:cs="Arial"/>
          <w:lang w:val="en-US" w:eastAsia="en-US"/>
        </w:rPr>
        <w:t>t</w:t>
      </w:r>
      <w:r w:rsidRPr="00141288">
        <w:rPr>
          <w:rFonts w:eastAsia="Arial" w:cs="Arial"/>
          <w:lang w:val="en-US" w:eastAsia="en-US"/>
        </w:rPr>
        <w:t xml:space="preserve">o set up the most efficient working group for the purpose of improving settlement efficiency. </w:t>
      </w:r>
    </w:p>
    <w:p w:rsidR="00300F54" w:rsidRPr="00141288" w:rsidRDefault="00300F54" w:rsidP="00300F54">
      <w:pPr>
        <w:widowControl w:val="0"/>
        <w:spacing w:line="276" w:lineRule="auto"/>
        <w:ind w:right="64"/>
        <w:contextualSpacing/>
        <w:jc w:val="both"/>
        <w:rPr>
          <w:rFonts w:eastAsia="Arial" w:cs="Arial"/>
          <w:lang w:val="en-US" w:eastAsia="en-US"/>
        </w:rPr>
      </w:pPr>
    </w:p>
    <w:p w:rsidR="00300F54" w:rsidRPr="00141288" w:rsidRDefault="00300F54" w:rsidP="00300F54">
      <w:pPr>
        <w:widowControl w:val="0"/>
        <w:spacing w:line="276" w:lineRule="auto"/>
        <w:ind w:right="64"/>
        <w:contextualSpacing/>
        <w:jc w:val="both"/>
        <w:rPr>
          <w:rFonts w:eastAsia="Arial" w:cs="Arial"/>
          <w:lang w:val="en-US" w:eastAsia="en-US"/>
        </w:rPr>
      </w:pPr>
      <w:r w:rsidRPr="00141288">
        <w:rPr>
          <w:rFonts w:eastAsia="Arial" w:cs="Arial"/>
          <w:lang w:val="en-US" w:eastAsia="en-US"/>
        </w:rPr>
        <w:t>The draft RTS should be amended as follows:</w:t>
      </w:r>
    </w:p>
    <w:p w:rsidR="00300F54" w:rsidRPr="00141288" w:rsidRDefault="00300F54" w:rsidP="00300F54">
      <w:pPr>
        <w:widowControl w:val="0"/>
        <w:spacing w:line="276" w:lineRule="auto"/>
        <w:ind w:right="64"/>
        <w:contextualSpacing/>
        <w:jc w:val="both"/>
        <w:rPr>
          <w:rFonts w:eastAsia="Arial" w:cs="Arial"/>
          <w:lang w:val="en-US" w:eastAsia="en-US"/>
        </w:rPr>
      </w:pPr>
    </w:p>
    <w:tbl>
      <w:tblPr>
        <w:tblW w:w="9090" w:type="dxa"/>
        <w:tblLook w:val="04A0"/>
      </w:tblPr>
      <w:tblGrid>
        <w:gridCol w:w="9090"/>
      </w:tblGrid>
      <w:tr w:rsidR="00300F54" w:rsidRPr="00141288" w:rsidTr="00300F54">
        <w:trPr>
          <w:trHeight w:val="120"/>
        </w:trPr>
        <w:tc>
          <w:tcPr>
            <w:tcW w:w="885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300F54" w:rsidRDefault="00300F54" w:rsidP="00300F54">
            <w:pPr>
              <w:spacing w:line="276" w:lineRule="auto"/>
              <w:contextualSpacing/>
              <w:jc w:val="both"/>
              <w:rPr>
                <w:rFonts w:cs="Arial"/>
                <w:lang w:val="en-US" w:eastAsia="en-US"/>
              </w:rPr>
            </w:pPr>
            <w:r w:rsidRPr="00141288">
              <w:rPr>
                <w:rFonts w:cs="Arial"/>
                <w:i/>
                <w:iCs/>
                <w:lang w:val="en-US" w:eastAsia="en-US"/>
              </w:rPr>
              <w:t>Article 4 - Details of the system monitoring settlement fails</w:t>
            </w:r>
            <w:r w:rsidRPr="00141288">
              <w:rPr>
                <w:rFonts w:cs="Arial"/>
                <w:lang w:val="en-US" w:eastAsia="en-US"/>
              </w:rPr>
              <w:t xml:space="preserve"> </w:t>
            </w:r>
          </w:p>
          <w:p w:rsidR="00300F54" w:rsidRDefault="00300F54" w:rsidP="00300F54">
            <w:pPr>
              <w:pStyle w:val="NormalWeb"/>
              <w:spacing w:line="276" w:lineRule="auto"/>
              <w:contextualSpacing/>
              <w:jc w:val="both"/>
              <w:rPr>
                <w:sz w:val="22"/>
                <w:szCs w:val="22"/>
                <w:lang w:val="en-US" w:eastAsia="en-US"/>
              </w:rPr>
            </w:pPr>
            <w:r w:rsidRPr="00141288">
              <w:rPr>
                <w:i/>
                <w:iCs/>
                <w:sz w:val="22"/>
                <w:szCs w:val="22"/>
                <w:lang w:val="en-US" w:eastAsia="en-US"/>
              </w:rPr>
              <w:t>[…] 3. A CSD shall set up a working flow with the</w:t>
            </w:r>
            <w:r w:rsidRPr="00141288">
              <w:rPr>
                <w:b/>
                <w:bCs/>
                <w:i/>
                <w:iCs/>
                <w:sz w:val="22"/>
                <w:szCs w:val="22"/>
                <w:lang w:val="en-US" w:eastAsia="en-US"/>
              </w:rPr>
              <w:t xml:space="preserve"> most relevant</w:t>
            </w:r>
            <w:r w:rsidRPr="00141288">
              <w:rPr>
                <w:i/>
                <w:iCs/>
                <w:sz w:val="22"/>
                <w:szCs w:val="22"/>
                <w:lang w:val="en-US" w:eastAsia="en-US"/>
              </w:rPr>
              <w:t xml:space="preserve"> </w:t>
            </w:r>
            <w:r w:rsidRPr="00141288">
              <w:rPr>
                <w:b/>
                <w:bCs/>
                <w:i/>
                <w:iCs/>
                <w:strike/>
                <w:sz w:val="22"/>
                <w:szCs w:val="22"/>
                <w:lang w:val="en-US" w:eastAsia="en-US"/>
              </w:rPr>
              <w:t>top ten</w:t>
            </w:r>
            <w:r w:rsidRPr="00141288">
              <w:rPr>
                <w:i/>
                <w:iCs/>
                <w:sz w:val="22"/>
                <w:szCs w:val="22"/>
                <w:lang w:val="en-US" w:eastAsia="en-US"/>
              </w:rPr>
              <w:t xml:space="preserve"> participants </w:t>
            </w:r>
            <w:r w:rsidRPr="00141288">
              <w:rPr>
                <w:b/>
                <w:bCs/>
                <w:i/>
                <w:iCs/>
                <w:strike/>
                <w:sz w:val="22"/>
                <w:szCs w:val="22"/>
                <w:lang w:val="en-US" w:eastAsia="en-US"/>
              </w:rPr>
              <w:t>with the highest rates of settlement fails</w:t>
            </w:r>
            <w:r w:rsidRPr="00141288">
              <w:rPr>
                <w:i/>
                <w:iCs/>
                <w:sz w:val="22"/>
                <w:szCs w:val="22"/>
                <w:lang w:val="en-US" w:eastAsia="en-US"/>
              </w:rPr>
              <w:t>, as well as, if applicable, with relevant CCPs and trading venues, in order to identify the main reasons for settlement fails and to establish measures to improve settl</w:t>
            </w:r>
            <w:r w:rsidRPr="00141288">
              <w:rPr>
                <w:i/>
                <w:iCs/>
                <w:sz w:val="22"/>
                <w:szCs w:val="22"/>
                <w:lang w:val="en-US" w:eastAsia="en-US"/>
              </w:rPr>
              <w:t>e</w:t>
            </w:r>
            <w:r w:rsidRPr="00141288">
              <w:rPr>
                <w:i/>
                <w:iCs/>
                <w:sz w:val="22"/>
                <w:szCs w:val="22"/>
                <w:lang w:val="en-US" w:eastAsia="en-US"/>
              </w:rPr>
              <w:t>ment efficiency.</w:t>
            </w:r>
          </w:p>
        </w:tc>
      </w:tr>
    </w:tbl>
    <w:p w:rsidR="00300F54" w:rsidRPr="00141288" w:rsidRDefault="00300F54" w:rsidP="00300F54">
      <w:pPr>
        <w:widowControl w:val="0"/>
        <w:spacing w:line="276" w:lineRule="auto"/>
        <w:ind w:right="64"/>
        <w:contextualSpacing/>
        <w:jc w:val="both"/>
        <w:rPr>
          <w:rFonts w:eastAsia="Arial" w:cs="Arial"/>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 xml:space="preserve">Clarification would be beneficial on the following points: </w:t>
      </w:r>
    </w:p>
    <w:p w:rsidR="00300F54" w:rsidRDefault="00300F54" w:rsidP="00300F54">
      <w:pPr>
        <w:widowControl w:val="0"/>
        <w:spacing w:line="276" w:lineRule="auto"/>
        <w:ind w:right="61"/>
        <w:contextualSpacing/>
        <w:jc w:val="both"/>
        <w:rPr>
          <w:rFonts w:eastAsia="Arial" w:cs="Arial"/>
          <w:bCs/>
          <w:lang w:val="en-US" w:eastAsia="en-US"/>
        </w:rPr>
      </w:pPr>
    </w:p>
    <w:p w:rsidR="00300F54" w:rsidRDefault="00300F54" w:rsidP="005C0956">
      <w:pPr>
        <w:pStyle w:val="ListParagraph"/>
        <w:widowControl w:val="0"/>
        <w:numPr>
          <w:ilvl w:val="0"/>
          <w:numId w:val="37"/>
        </w:numPr>
        <w:spacing w:line="276" w:lineRule="auto"/>
        <w:ind w:right="61"/>
        <w:jc w:val="both"/>
        <w:rPr>
          <w:rFonts w:eastAsia="Arial" w:cs="Arial"/>
          <w:bCs/>
          <w:lang w:val="en-US" w:eastAsia="en-US"/>
        </w:rPr>
      </w:pPr>
      <w:r w:rsidRPr="00FE005C">
        <w:rPr>
          <w:rFonts w:eastAsia="Arial" w:cs="Arial"/>
          <w:bCs/>
          <w:lang w:val="en-US" w:eastAsia="en-US"/>
        </w:rPr>
        <w:t xml:space="preserve">Article 4 (1) (f) – Would recycled transactions not be captured under (e) already as they are all failed transactions? </w:t>
      </w:r>
    </w:p>
    <w:p w:rsidR="00300F54" w:rsidRDefault="00300F54" w:rsidP="005C0956">
      <w:pPr>
        <w:pStyle w:val="ListParagraph"/>
        <w:widowControl w:val="0"/>
        <w:numPr>
          <w:ilvl w:val="0"/>
          <w:numId w:val="37"/>
        </w:numPr>
        <w:spacing w:line="276" w:lineRule="auto"/>
        <w:ind w:right="61"/>
        <w:jc w:val="both"/>
        <w:rPr>
          <w:rFonts w:eastAsia="Arial" w:cs="Arial"/>
          <w:bCs/>
          <w:lang w:val="en-US" w:eastAsia="en-US"/>
        </w:rPr>
      </w:pPr>
      <w:r w:rsidRPr="00FF0925">
        <w:rPr>
          <w:rFonts w:eastAsia="Arial" w:cs="Arial"/>
          <w:bCs/>
          <w:lang w:val="en-US" w:eastAsia="en-US"/>
        </w:rPr>
        <w:t>The impact of netting and partial settlement must be taken into account; do transactions that are netted and partially settled stay in the system for the next day or are they cons</w:t>
      </w:r>
      <w:r w:rsidRPr="00FF0925">
        <w:rPr>
          <w:rFonts w:eastAsia="Arial" w:cs="Arial"/>
          <w:bCs/>
          <w:lang w:val="en-US" w:eastAsia="en-US"/>
        </w:rPr>
        <w:t>i</w:t>
      </w:r>
      <w:r w:rsidRPr="00FF0925">
        <w:rPr>
          <w:rFonts w:eastAsia="Arial" w:cs="Arial"/>
          <w:bCs/>
          <w:lang w:val="en-US" w:eastAsia="en-US"/>
        </w:rPr>
        <w:t xml:space="preserve">dered a fail? </w:t>
      </w:r>
    </w:p>
    <w:p w:rsidR="00D12AFD" w:rsidRDefault="00300F54" w:rsidP="00D12AFD">
      <w:r w:rsidRPr="00FF0925">
        <w:rPr>
          <w:rFonts w:eastAsia="Arial" w:cs="Arial"/>
          <w:bCs/>
          <w:lang w:val="en-US" w:eastAsia="en-US"/>
        </w:rPr>
        <w:t xml:space="preserve">Article 6 (2) should clearly state that information “shall be published on the website of </w:t>
      </w:r>
      <w:r w:rsidRPr="00FF0925">
        <w:rPr>
          <w:rFonts w:eastAsia="Arial" w:cs="Arial"/>
          <w:b/>
          <w:bCs/>
          <w:u w:val="single"/>
          <w:lang w:val="en-US" w:eastAsia="en-US"/>
        </w:rPr>
        <w:t>the</w:t>
      </w:r>
      <w:r w:rsidRPr="00FF0925">
        <w:rPr>
          <w:rFonts w:eastAsia="Arial" w:cs="Arial"/>
          <w:bCs/>
          <w:lang w:val="en-US" w:eastAsia="en-US"/>
        </w:rPr>
        <w:t xml:space="preserve"> CSD.”</w:t>
      </w:r>
      <w:permEnd w:id="7"/>
      <w:r w:rsidR="00D12AFD">
        <w:t>&lt;ESMA_QUESTION_TS_CSDR_5&gt;</w:t>
      </w:r>
    </w:p>
    <w:p w:rsidR="00D12AFD" w:rsidRPr="002C4F00" w:rsidRDefault="00D12AFD" w:rsidP="00965B03">
      <w:pPr>
        <w:pStyle w:val="Heading5"/>
        <w:ind w:left="567" w:hanging="567"/>
      </w:pPr>
      <w:r w:rsidRPr="002C4F00">
        <w:t>What are your views on the proposed draft RTS related to the penalty mechanism? Do you agree that when CSDs use a common settlement infrastructure, the procedures for cash penalties should be jointly managed?</w:t>
      </w:r>
    </w:p>
    <w:p w:rsidR="00D12AFD" w:rsidRDefault="00D12AFD" w:rsidP="00D12AFD"/>
    <w:p w:rsidR="00D12AFD" w:rsidRDefault="00D12AFD" w:rsidP="00D12AFD">
      <w:r>
        <w:t>&lt;ESMA_QUESTION_TS_CSDR_6&gt;</w:t>
      </w:r>
    </w:p>
    <w:p w:rsidR="00300F54" w:rsidRDefault="00300F54" w:rsidP="00300F54">
      <w:pPr>
        <w:widowControl w:val="0"/>
        <w:spacing w:before="11" w:line="276" w:lineRule="auto"/>
        <w:contextualSpacing/>
        <w:jc w:val="both"/>
        <w:rPr>
          <w:rFonts w:eastAsia="Calibri" w:cs="Arial"/>
          <w:lang w:val="en-US" w:eastAsia="en-US"/>
        </w:rPr>
      </w:pPr>
      <w:permStart w:id="8" w:edGrp="everyone"/>
      <w:r w:rsidRPr="00141288">
        <w:rPr>
          <w:rFonts w:eastAsia="Calibri" w:cs="Arial"/>
          <w:lang w:val="en-US" w:eastAsia="en-US"/>
        </w:rPr>
        <w:t xml:space="preserve">We support a settlement penalty mechanism being jointly managed. Rather than a platform arranging for the collection and distribution of fines, it would be preferable if a common platform like T2S concentrated on the following services: </w:t>
      </w:r>
    </w:p>
    <w:p w:rsidR="00300F54" w:rsidRDefault="00300F54" w:rsidP="00300F54">
      <w:pPr>
        <w:widowControl w:val="0"/>
        <w:spacing w:before="11" w:line="276" w:lineRule="auto"/>
        <w:contextualSpacing/>
        <w:jc w:val="both"/>
        <w:rPr>
          <w:rFonts w:eastAsia="Calibri" w:cs="Arial"/>
          <w:lang w:val="en-US" w:eastAsia="en-US"/>
        </w:rPr>
      </w:pPr>
    </w:p>
    <w:p w:rsidR="00300F54" w:rsidRDefault="00300F54" w:rsidP="005C0956">
      <w:pPr>
        <w:pStyle w:val="ListParagraph"/>
        <w:widowControl w:val="0"/>
        <w:numPr>
          <w:ilvl w:val="0"/>
          <w:numId w:val="39"/>
        </w:numPr>
        <w:spacing w:before="11" w:line="276" w:lineRule="auto"/>
        <w:jc w:val="both"/>
        <w:rPr>
          <w:rFonts w:eastAsia="Calibri" w:cs="Arial"/>
          <w:lang w:val="en-US" w:eastAsia="en-US"/>
        </w:rPr>
      </w:pPr>
      <w:r w:rsidRPr="00141288">
        <w:rPr>
          <w:rFonts w:eastAsia="Calibri" w:cs="Arial"/>
          <w:lang w:val="en-US" w:eastAsia="en-US"/>
        </w:rPr>
        <w:t>Collect / report information on the failed transactions per CSD</w:t>
      </w:r>
    </w:p>
    <w:p w:rsidR="00300F54" w:rsidRDefault="00300F54" w:rsidP="005C0956">
      <w:pPr>
        <w:pStyle w:val="ListParagraph"/>
        <w:widowControl w:val="0"/>
        <w:numPr>
          <w:ilvl w:val="0"/>
          <w:numId w:val="39"/>
        </w:numPr>
        <w:spacing w:before="11" w:line="276" w:lineRule="auto"/>
        <w:jc w:val="both"/>
        <w:rPr>
          <w:rFonts w:eastAsia="Calibri" w:cs="Arial"/>
          <w:lang w:val="en-US" w:eastAsia="en-US"/>
        </w:rPr>
      </w:pPr>
      <w:r w:rsidRPr="00141288">
        <w:rPr>
          <w:rFonts w:eastAsia="Calibri" w:cs="Arial"/>
          <w:lang w:val="en-US" w:eastAsia="en-US"/>
        </w:rPr>
        <w:t>Calculate the penalties as per the RTS requirements</w:t>
      </w:r>
    </w:p>
    <w:p w:rsidR="00300F54" w:rsidRDefault="00300F54" w:rsidP="005C0956">
      <w:pPr>
        <w:pStyle w:val="ListParagraph"/>
        <w:widowControl w:val="0"/>
        <w:numPr>
          <w:ilvl w:val="0"/>
          <w:numId w:val="39"/>
        </w:numPr>
        <w:spacing w:before="11" w:line="276" w:lineRule="auto"/>
        <w:jc w:val="both"/>
        <w:rPr>
          <w:rFonts w:eastAsia="Calibri" w:cs="Arial"/>
          <w:lang w:val="en-US" w:eastAsia="en-US"/>
        </w:rPr>
      </w:pPr>
      <w:r w:rsidRPr="00141288">
        <w:rPr>
          <w:rFonts w:eastAsia="Calibri" w:cs="Arial"/>
          <w:lang w:val="en-US" w:eastAsia="en-US"/>
        </w:rPr>
        <w:t>Report the results to the respective CSDs for their own participants</w:t>
      </w:r>
    </w:p>
    <w:p w:rsidR="00300F54" w:rsidRDefault="00300F54" w:rsidP="005C0956">
      <w:pPr>
        <w:pStyle w:val="ListParagraph"/>
        <w:widowControl w:val="0"/>
        <w:numPr>
          <w:ilvl w:val="0"/>
          <w:numId w:val="39"/>
        </w:numPr>
        <w:spacing w:before="11" w:line="276" w:lineRule="auto"/>
        <w:jc w:val="both"/>
        <w:rPr>
          <w:rFonts w:eastAsia="Calibri" w:cs="Arial"/>
          <w:lang w:val="en-US" w:eastAsia="en-US"/>
        </w:rPr>
      </w:pPr>
      <w:r w:rsidRPr="00141288">
        <w:rPr>
          <w:rFonts w:eastAsia="Calibri" w:cs="Arial"/>
          <w:lang w:val="en-US" w:eastAsia="en-US"/>
        </w:rPr>
        <w:t>Issue the respective bills to the CSDs</w:t>
      </w:r>
    </w:p>
    <w:p w:rsidR="00300F54" w:rsidRDefault="00300F54" w:rsidP="00300F54">
      <w:pPr>
        <w:widowControl w:val="0"/>
        <w:spacing w:before="11" w:line="276" w:lineRule="auto"/>
        <w:contextualSpacing/>
        <w:jc w:val="both"/>
        <w:rPr>
          <w:rFonts w:eastAsia="Calibri" w:cs="Arial"/>
          <w:lang w:val="en-US" w:eastAsia="en-US"/>
        </w:rPr>
      </w:pPr>
    </w:p>
    <w:p w:rsidR="00300F54" w:rsidRDefault="00300F54" w:rsidP="00300F54">
      <w:pPr>
        <w:widowControl w:val="0"/>
        <w:spacing w:before="11" w:line="276" w:lineRule="auto"/>
        <w:contextualSpacing/>
        <w:jc w:val="both"/>
        <w:rPr>
          <w:rFonts w:eastAsia="Calibri" w:cs="Arial"/>
          <w:lang w:val="en-US" w:eastAsia="en-US"/>
        </w:rPr>
      </w:pPr>
      <w:r w:rsidRPr="00141288">
        <w:rPr>
          <w:rFonts w:eastAsia="Calibri" w:cs="Arial"/>
          <w:lang w:val="en-US" w:eastAsia="en-US"/>
        </w:rPr>
        <w:t>The actual debiting and crediting of the amounts would be something which CSDs would better perform themselves as part of their billing process. Here it should be noted that CSD participants do not have a contractual relationship with T2S but only with their respective CSD.</w:t>
      </w:r>
    </w:p>
    <w:p w:rsidR="00300F54" w:rsidRDefault="00300F54" w:rsidP="00300F54">
      <w:pPr>
        <w:widowControl w:val="0"/>
        <w:spacing w:before="11" w:line="276" w:lineRule="auto"/>
        <w:contextualSpacing/>
        <w:jc w:val="both"/>
        <w:rPr>
          <w:rFonts w:eastAsia="Calibri" w:cs="Arial"/>
          <w:lang w:val="en-US" w:eastAsia="en-US"/>
        </w:rPr>
      </w:pPr>
    </w:p>
    <w:p w:rsidR="00300F54" w:rsidRDefault="00300F54" w:rsidP="00300F54">
      <w:pPr>
        <w:widowControl w:val="0"/>
        <w:spacing w:before="11" w:line="276" w:lineRule="auto"/>
        <w:contextualSpacing/>
        <w:jc w:val="both"/>
        <w:rPr>
          <w:rFonts w:eastAsia="Calibri" w:cs="Arial"/>
          <w:lang w:val="en-US" w:eastAsia="en-US"/>
        </w:rPr>
      </w:pPr>
      <w:r w:rsidRPr="00141288">
        <w:rPr>
          <w:rFonts w:eastAsia="Calibri" w:cs="Arial"/>
          <w:lang w:val="en-US" w:eastAsia="en-US"/>
        </w:rPr>
        <w:t xml:space="preserve">A similar set up would be envisaged for interoperable </w:t>
      </w:r>
      <w:proofErr w:type="gramStart"/>
      <w:r w:rsidRPr="00141288">
        <w:rPr>
          <w:rFonts w:eastAsia="Calibri" w:cs="Arial"/>
          <w:lang w:val="en-US" w:eastAsia="en-US"/>
        </w:rPr>
        <w:t>CSDs,</w:t>
      </w:r>
      <w:proofErr w:type="gramEnd"/>
      <w:r w:rsidRPr="00141288">
        <w:rPr>
          <w:rFonts w:eastAsia="Calibri" w:cs="Arial"/>
          <w:lang w:val="en-US" w:eastAsia="en-US"/>
        </w:rPr>
        <w:t xml:space="preserve"> however the RTS misconceive</w:t>
      </w:r>
      <w:r>
        <w:rPr>
          <w:rFonts w:eastAsia="Calibri" w:cs="Arial"/>
          <w:lang w:val="en-US" w:eastAsia="en-US"/>
        </w:rPr>
        <w:t>s</w:t>
      </w:r>
      <w:r w:rsidRPr="00141288">
        <w:rPr>
          <w:rFonts w:eastAsia="Calibri" w:cs="Arial"/>
          <w:lang w:val="en-US" w:eastAsia="en-US"/>
        </w:rPr>
        <w:t xml:space="preserve"> the functionality of an “interoperable” link. In the T2S scenario, CSDs clearly share a processing platform and this platform should be used for the settlement discipline regime accordingly. In an “interoperable” link however, CSDs only have detailed agreements </w:t>
      </w:r>
      <w:r>
        <w:rPr>
          <w:rFonts w:eastAsia="Calibri" w:cs="Arial"/>
          <w:lang w:val="en-US" w:eastAsia="en-US"/>
        </w:rPr>
        <w:t xml:space="preserve">on </w:t>
      </w:r>
      <w:r w:rsidRPr="00141288">
        <w:rPr>
          <w:rFonts w:eastAsia="Calibri" w:cs="Arial"/>
          <w:lang w:val="en-US" w:eastAsia="en-US"/>
        </w:rPr>
        <w:t>how to cooperate techn</w:t>
      </w:r>
      <w:r w:rsidRPr="00141288">
        <w:rPr>
          <w:rFonts w:eastAsia="Calibri" w:cs="Arial"/>
          <w:lang w:val="en-US" w:eastAsia="en-US"/>
        </w:rPr>
        <w:t>i</w:t>
      </w:r>
      <w:r w:rsidRPr="00141288">
        <w:rPr>
          <w:rFonts w:eastAsia="Calibri" w:cs="Arial"/>
          <w:lang w:val="en-US" w:eastAsia="en-US"/>
        </w:rPr>
        <w:t>cally wh</w:t>
      </w:r>
      <w:r>
        <w:rPr>
          <w:rFonts w:eastAsia="Calibri" w:cs="Arial"/>
          <w:lang w:val="en-US" w:eastAsia="en-US"/>
        </w:rPr>
        <w:t>ile</w:t>
      </w:r>
      <w:r w:rsidRPr="00141288">
        <w:rPr>
          <w:rFonts w:eastAsia="Calibri" w:cs="Arial"/>
          <w:lang w:val="en-US" w:eastAsia="en-US"/>
        </w:rPr>
        <w:t xml:space="preserve"> keeping a separate settlement platform. </w:t>
      </w:r>
      <w:r>
        <w:rPr>
          <w:rFonts w:eastAsia="Calibri" w:cs="Arial"/>
          <w:lang w:val="en-US" w:eastAsia="en-US"/>
        </w:rPr>
        <w:t xml:space="preserve"> T</w:t>
      </w:r>
      <w:r w:rsidRPr="00141288">
        <w:rPr>
          <w:rFonts w:eastAsia="Calibri" w:cs="Arial"/>
          <w:lang w:val="en-US" w:eastAsia="en-US"/>
        </w:rPr>
        <w:t>he reference to interoperable CSDs in the technical standard</w:t>
      </w:r>
      <w:r>
        <w:rPr>
          <w:rFonts w:eastAsia="Calibri" w:cs="Arial"/>
          <w:lang w:val="en-US" w:eastAsia="en-US"/>
        </w:rPr>
        <w:t xml:space="preserve"> should be deleted</w:t>
      </w:r>
      <w:r w:rsidRPr="00141288">
        <w:rPr>
          <w:rFonts w:eastAsia="Calibri" w:cs="Arial"/>
          <w:lang w:val="en-US" w:eastAsia="en-US"/>
        </w:rPr>
        <w:t xml:space="preserve">. </w:t>
      </w:r>
    </w:p>
    <w:p w:rsidR="00300F54" w:rsidRDefault="00300F54" w:rsidP="00300F54">
      <w:pPr>
        <w:widowControl w:val="0"/>
        <w:spacing w:before="11" w:line="276" w:lineRule="auto"/>
        <w:contextualSpacing/>
        <w:jc w:val="both"/>
        <w:rPr>
          <w:rFonts w:eastAsia="Calibri" w:cs="Arial"/>
          <w:lang w:val="en-US" w:eastAsia="en-US"/>
        </w:rPr>
      </w:pPr>
    </w:p>
    <w:p w:rsidR="00300F54" w:rsidRDefault="00300F54" w:rsidP="00300F54">
      <w:pPr>
        <w:widowControl w:val="0"/>
        <w:spacing w:before="11" w:line="276" w:lineRule="auto"/>
        <w:contextualSpacing/>
        <w:jc w:val="both"/>
        <w:rPr>
          <w:rFonts w:eastAsia="Calibri" w:cs="Arial"/>
          <w:lang w:val="en-US" w:eastAsia="en-US"/>
        </w:rPr>
      </w:pPr>
      <w:r w:rsidRPr="00141288">
        <w:rPr>
          <w:rFonts w:cs="Arial"/>
        </w:rPr>
        <w:t>Clarification would be beneficial on the following points</w:t>
      </w:r>
      <w:r w:rsidRPr="00141288">
        <w:rPr>
          <w:rFonts w:eastAsia="Calibri" w:cs="Arial"/>
          <w:lang w:val="en-US" w:eastAsia="en-US"/>
        </w:rPr>
        <w:t xml:space="preserve">: </w:t>
      </w:r>
    </w:p>
    <w:p w:rsidR="00300F54" w:rsidRDefault="00300F54" w:rsidP="00300F54">
      <w:pPr>
        <w:widowControl w:val="0"/>
        <w:spacing w:before="11" w:line="276" w:lineRule="auto"/>
        <w:contextualSpacing/>
        <w:jc w:val="both"/>
        <w:rPr>
          <w:rFonts w:eastAsia="Calibri" w:cs="Arial"/>
          <w:lang w:val="en-US" w:eastAsia="en-US"/>
        </w:rPr>
      </w:pPr>
    </w:p>
    <w:p w:rsidR="00300F54" w:rsidRDefault="00300F54" w:rsidP="005C0956">
      <w:pPr>
        <w:pStyle w:val="ListParagraph"/>
        <w:widowControl w:val="0"/>
        <w:numPr>
          <w:ilvl w:val="0"/>
          <w:numId w:val="38"/>
        </w:numPr>
        <w:spacing w:before="11" w:line="276" w:lineRule="auto"/>
        <w:jc w:val="both"/>
        <w:rPr>
          <w:rFonts w:eastAsia="Calibri" w:cs="Arial"/>
          <w:lang w:eastAsia="en-US"/>
        </w:rPr>
      </w:pPr>
      <w:r w:rsidRPr="00141288">
        <w:rPr>
          <w:rFonts w:eastAsia="Calibri" w:cs="Arial"/>
          <w:lang w:eastAsia="en-US"/>
        </w:rPr>
        <w:t>The particular financial instruments within scope of the penalty regime.  I</w:t>
      </w:r>
      <w:r w:rsidRPr="00141288">
        <w:rPr>
          <w:rFonts w:cs="Arial"/>
        </w:rPr>
        <w:t>deally ESMA would publish those regularly on its website, similar to those equities with the primary exchange being non-EU based</w:t>
      </w:r>
    </w:p>
    <w:p w:rsidR="00300F54" w:rsidRDefault="00300F54" w:rsidP="00300F54">
      <w:pPr>
        <w:pStyle w:val="ListParagraph"/>
        <w:widowControl w:val="0"/>
        <w:spacing w:before="11" w:line="276" w:lineRule="auto"/>
        <w:rPr>
          <w:rFonts w:eastAsia="Calibri" w:cs="Arial"/>
          <w:lang w:eastAsia="en-US"/>
        </w:rPr>
      </w:pPr>
    </w:p>
    <w:p w:rsidR="00300F54" w:rsidRDefault="00300F54" w:rsidP="005C0956">
      <w:pPr>
        <w:pStyle w:val="ListParagraph"/>
        <w:widowControl w:val="0"/>
        <w:numPr>
          <w:ilvl w:val="0"/>
          <w:numId w:val="38"/>
        </w:numPr>
        <w:spacing w:before="11" w:line="280" w:lineRule="exact"/>
        <w:jc w:val="both"/>
        <w:rPr>
          <w:rFonts w:eastAsia="Calibri" w:cs="Arial"/>
          <w:lang w:eastAsia="en-US"/>
        </w:rPr>
      </w:pPr>
      <w:r w:rsidRPr="00141288">
        <w:rPr>
          <w:rFonts w:eastAsia="Calibri" w:cs="Arial"/>
          <w:lang w:eastAsia="en-US"/>
        </w:rPr>
        <w:t xml:space="preserve">Which entity will provide the reference price to the jointly managed cash penalty service? </w:t>
      </w:r>
      <w:r w:rsidRPr="00141288">
        <w:rPr>
          <w:rFonts w:cs="Arial"/>
        </w:rPr>
        <w:t>The above publication ideally also contains a reference price which could be utilized for the calculation of the cash penalty, as such all CSDs settling any of the securities would be using the same reference price, this could be combined with a determination on the liquidity level of the respective instrument to cater for the different penalty level.</w:t>
      </w:r>
    </w:p>
    <w:p w:rsidR="00300F54" w:rsidRDefault="00300F54" w:rsidP="00300F54">
      <w:pPr>
        <w:pStyle w:val="ListParagraph"/>
        <w:spacing w:line="240" w:lineRule="exact"/>
        <w:rPr>
          <w:rFonts w:eastAsia="Calibri" w:cs="Arial"/>
          <w:lang w:eastAsia="en-US"/>
        </w:rPr>
      </w:pPr>
    </w:p>
    <w:p w:rsidR="00300F54" w:rsidRDefault="00300F54" w:rsidP="005C0956">
      <w:pPr>
        <w:pStyle w:val="ListParagraph"/>
        <w:widowControl w:val="0"/>
        <w:numPr>
          <w:ilvl w:val="0"/>
          <w:numId w:val="38"/>
        </w:numPr>
        <w:spacing w:before="11" w:line="276" w:lineRule="auto"/>
        <w:jc w:val="both"/>
        <w:rPr>
          <w:rFonts w:eastAsia="Calibri" w:cs="Arial"/>
          <w:lang w:eastAsia="en-US"/>
        </w:rPr>
      </w:pPr>
      <w:r w:rsidRPr="00141288">
        <w:rPr>
          <w:rFonts w:eastAsia="Calibri" w:cs="Arial"/>
          <w:lang w:eastAsia="en-US"/>
        </w:rPr>
        <w:t xml:space="preserve">What is the “value date” of such a reference price? What is the trade or intended settlement day of the failed transaction? What is the end of day price or intraday average etc.? </w:t>
      </w:r>
      <w:r w:rsidRPr="00141288">
        <w:rPr>
          <w:rFonts w:cs="Arial"/>
        </w:rPr>
        <w:t xml:space="preserve">As some transactions may have different trade dates than others but the same </w:t>
      </w:r>
      <w:r>
        <w:rPr>
          <w:rFonts w:cs="Arial"/>
        </w:rPr>
        <w:t>ISD</w:t>
      </w:r>
      <w:r w:rsidRPr="00141288">
        <w:rPr>
          <w:rFonts w:cs="Arial"/>
        </w:rPr>
        <w:t xml:space="preserve">, </w:t>
      </w:r>
      <w:r>
        <w:rPr>
          <w:rFonts w:cs="Arial"/>
        </w:rPr>
        <w:t xml:space="preserve">the ESMA reference price </w:t>
      </w:r>
      <w:r w:rsidRPr="00141288">
        <w:rPr>
          <w:rFonts w:cs="Arial"/>
        </w:rPr>
        <w:t xml:space="preserve">should be used </w:t>
      </w:r>
      <w:r>
        <w:rPr>
          <w:rFonts w:cs="Arial"/>
        </w:rPr>
        <w:t>for the given fail</w:t>
      </w:r>
      <w:r w:rsidRPr="00141288">
        <w:rPr>
          <w:rFonts w:cs="Arial"/>
        </w:rPr>
        <w:t>.  For longer</w:t>
      </w:r>
      <w:r w:rsidRPr="00141288">
        <w:rPr>
          <w:rFonts w:eastAsia="Calibri" w:cs="Arial"/>
          <w:lang w:eastAsia="en-US"/>
        </w:rPr>
        <w:t xml:space="preserve"> fails the daily reference price should apply. In addition, the penalty should be calculated daily based on the daily changing reference price</w:t>
      </w:r>
    </w:p>
    <w:p w:rsidR="00300F54" w:rsidRDefault="00300F54" w:rsidP="00300F54">
      <w:pPr>
        <w:pStyle w:val="ListParagraph"/>
        <w:widowControl w:val="0"/>
        <w:spacing w:before="11" w:line="276" w:lineRule="auto"/>
        <w:rPr>
          <w:rFonts w:eastAsia="Calibri" w:cs="Arial"/>
          <w:lang w:eastAsia="en-US"/>
        </w:rPr>
      </w:pPr>
    </w:p>
    <w:p w:rsidR="00300F54" w:rsidRDefault="00300F54" w:rsidP="005C0956">
      <w:pPr>
        <w:pStyle w:val="ListParagraph"/>
        <w:widowControl w:val="0"/>
        <w:numPr>
          <w:ilvl w:val="0"/>
          <w:numId w:val="38"/>
        </w:numPr>
        <w:spacing w:before="11" w:line="276" w:lineRule="auto"/>
        <w:jc w:val="both"/>
        <w:rPr>
          <w:rFonts w:eastAsia="Calibri" w:cs="Arial"/>
          <w:lang w:eastAsia="en-US"/>
        </w:rPr>
      </w:pPr>
      <w:r w:rsidRPr="00141288">
        <w:rPr>
          <w:rFonts w:eastAsia="Calibri" w:cs="Arial"/>
          <w:lang w:eastAsia="en-US"/>
        </w:rPr>
        <w:t xml:space="preserve">What are the timelines for calculating and collecting the penalties? How frequently will penalties be collected?  Will there be a particular day of the month on which penalties are collected?  While it is appropriate billing should be done on a monthly basis to allow for netting of the penalty sums, members will require daily information on the incurred penalties and compensations. </w:t>
      </w:r>
    </w:p>
    <w:p w:rsidR="00300F54" w:rsidRDefault="00300F54" w:rsidP="00300F54">
      <w:pPr>
        <w:pStyle w:val="ListParagraph"/>
        <w:widowControl w:val="0"/>
        <w:spacing w:before="11" w:line="276" w:lineRule="auto"/>
        <w:rPr>
          <w:rFonts w:eastAsia="Calibri" w:cs="Arial"/>
          <w:lang w:eastAsia="en-US"/>
        </w:rPr>
      </w:pPr>
    </w:p>
    <w:p w:rsidR="00300F54" w:rsidRDefault="00300F54" w:rsidP="005C0956">
      <w:pPr>
        <w:pStyle w:val="ListParagraph"/>
        <w:widowControl w:val="0"/>
        <w:numPr>
          <w:ilvl w:val="0"/>
          <w:numId w:val="38"/>
        </w:numPr>
        <w:spacing w:before="11" w:line="276" w:lineRule="auto"/>
        <w:jc w:val="both"/>
        <w:rPr>
          <w:rFonts w:eastAsia="Calibri" w:cs="Arial"/>
          <w:lang w:eastAsia="en-US"/>
        </w:rPr>
      </w:pPr>
      <w:r w:rsidRPr="00141288">
        <w:rPr>
          <w:rFonts w:eastAsia="Calibri" w:cs="Arial"/>
          <w:lang w:eastAsia="en-US"/>
        </w:rPr>
        <w:t xml:space="preserve">Who ensures that EU CSDs that are not part of T2S will also follow the same harmonised conversions/parameters as the CSDs participating in the jointly managed cash penalty system? </w:t>
      </w:r>
      <w:r w:rsidRPr="00141288">
        <w:rPr>
          <w:rFonts w:cs="Arial"/>
        </w:rPr>
        <w:t xml:space="preserve">With ESMA publishing the above reference prices and the list of in scope </w:t>
      </w:r>
      <w:r w:rsidRPr="00141288">
        <w:rPr>
          <w:rFonts w:cs="Arial"/>
        </w:rPr>
        <w:lastRenderedPageBreak/>
        <w:t xml:space="preserve">instruments on a central website, non-T2S CSDs </w:t>
      </w:r>
      <w:r>
        <w:rPr>
          <w:rFonts w:cs="Arial"/>
        </w:rPr>
        <w:t xml:space="preserve">would have </w:t>
      </w:r>
      <w:r w:rsidRPr="00141288">
        <w:rPr>
          <w:rFonts w:cs="Arial"/>
        </w:rPr>
        <w:t xml:space="preserve">the same foundation on which to base its penalty calculation. This procedure should be verified by </w:t>
      </w:r>
      <w:r>
        <w:rPr>
          <w:rFonts w:cs="Arial"/>
        </w:rPr>
        <w:t>their</w:t>
      </w:r>
      <w:r w:rsidRPr="00141288">
        <w:rPr>
          <w:rFonts w:cs="Arial"/>
        </w:rPr>
        <w:t xml:space="preserve"> national competent authorities</w:t>
      </w:r>
      <w:r>
        <w:rPr>
          <w:rFonts w:cs="Arial"/>
        </w:rPr>
        <w:t>.</w:t>
      </w:r>
    </w:p>
    <w:p w:rsidR="00300F54" w:rsidRDefault="00300F54" w:rsidP="00300F54">
      <w:pPr>
        <w:pStyle w:val="ListParagraph"/>
        <w:widowControl w:val="0"/>
        <w:spacing w:before="11" w:line="276" w:lineRule="auto"/>
        <w:rPr>
          <w:rFonts w:eastAsia="Calibri" w:cs="Arial"/>
          <w:lang w:eastAsia="en-US"/>
        </w:rPr>
      </w:pPr>
    </w:p>
    <w:p w:rsidR="00300F54" w:rsidRDefault="00300F54" w:rsidP="005C0956">
      <w:pPr>
        <w:pStyle w:val="ListParagraph"/>
        <w:widowControl w:val="0"/>
        <w:numPr>
          <w:ilvl w:val="0"/>
          <w:numId w:val="38"/>
        </w:numPr>
        <w:spacing w:before="11" w:line="276" w:lineRule="auto"/>
        <w:jc w:val="both"/>
        <w:rPr>
          <w:rFonts w:eastAsia="Calibri" w:cs="Arial"/>
          <w:lang w:eastAsia="en-US"/>
        </w:rPr>
      </w:pPr>
      <w:r w:rsidRPr="00141288">
        <w:rPr>
          <w:rFonts w:eastAsia="Calibri" w:cs="Arial"/>
          <w:lang w:eastAsia="en-US"/>
        </w:rPr>
        <w:t xml:space="preserve">How shall “backdated” transactions be treated in the calculation? If both parties send their instructions late, which party would be penalised, the last party to submit? Since Art 7 (2) stipulates that penalties should be calculated at the moment of cut-off-time, how could a penalty </w:t>
      </w:r>
      <w:proofErr w:type="gramStart"/>
      <w:r w:rsidRPr="00141288">
        <w:rPr>
          <w:rFonts w:eastAsia="Calibri" w:cs="Arial"/>
          <w:lang w:eastAsia="en-US"/>
        </w:rPr>
        <w:t>be</w:t>
      </w:r>
      <w:proofErr w:type="gramEnd"/>
      <w:r w:rsidRPr="00141288">
        <w:rPr>
          <w:rFonts w:eastAsia="Calibri" w:cs="Arial"/>
          <w:lang w:eastAsia="en-US"/>
        </w:rPr>
        <w:t xml:space="preserve"> calculated on those back-dated transactions when they settle on the day of instruction input?  </w:t>
      </w:r>
      <w:r w:rsidRPr="00141288">
        <w:rPr>
          <w:rFonts w:cs="Arial"/>
        </w:rPr>
        <w:t>Instructions should be penalised if they are input late into the settlement system. ESMA should further clarify that if both parties send their instructions late it should be the last instructing party if the instruction settles on the same day. Should it however not settle on the instruction day the CSD should determine the fail reason and apply the charge to the failing participant?</w:t>
      </w:r>
    </w:p>
    <w:p w:rsidR="00300F54" w:rsidRDefault="00300F54" w:rsidP="00300F54">
      <w:pPr>
        <w:widowControl w:val="0"/>
        <w:spacing w:before="11" w:line="276" w:lineRule="auto"/>
        <w:contextualSpacing/>
        <w:jc w:val="both"/>
        <w:rPr>
          <w:rFonts w:eastAsia="Calibri" w:cs="Arial"/>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eastAsia="Arial" w:cs="Arial"/>
          <w:bCs/>
          <w:lang w:val="en-US" w:eastAsia="en-US"/>
        </w:rPr>
        <w:t>With respect to Article 7(1), instructions with an “on hold” indicator are technically not cons</w:t>
      </w:r>
      <w:r w:rsidRPr="00141288">
        <w:rPr>
          <w:rFonts w:eastAsia="Arial" w:cs="Arial"/>
          <w:bCs/>
          <w:lang w:val="en-US" w:eastAsia="en-US"/>
        </w:rPr>
        <w:t>i</w:t>
      </w:r>
      <w:r w:rsidRPr="00141288">
        <w:rPr>
          <w:rFonts w:eastAsia="Arial" w:cs="Arial"/>
          <w:bCs/>
          <w:lang w:val="en-US" w:eastAsia="en-US"/>
        </w:rPr>
        <w:t xml:space="preserve">dered a fail, as they have never been presented to the settlement process. As a result, the language should be rephrased to read “that fails to settle” to “that remains unsettled.”  </w:t>
      </w:r>
    </w:p>
    <w:p w:rsidR="00300F54" w:rsidRPr="00141288" w:rsidRDefault="00300F54" w:rsidP="00300F54">
      <w:pPr>
        <w:widowControl w:val="0"/>
        <w:spacing w:line="276" w:lineRule="auto"/>
        <w:ind w:right="61"/>
        <w:contextualSpacing/>
        <w:jc w:val="both"/>
        <w:rPr>
          <w:rFonts w:eastAsia="Arial" w:cs="Arial"/>
          <w:bCs/>
          <w:lang w:val="en-US" w:eastAsia="en-US"/>
        </w:rPr>
      </w:pPr>
    </w:p>
    <w:p w:rsidR="00300F54" w:rsidRPr="00141288" w:rsidRDefault="00300F54" w:rsidP="00300F54">
      <w:pPr>
        <w:widowControl w:val="0"/>
        <w:spacing w:line="276" w:lineRule="auto"/>
        <w:ind w:right="61"/>
        <w:contextualSpacing/>
        <w:jc w:val="both"/>
        <w:rPr>
          <w:rFonts w:eastAsia="Arial" w:cs="Arial"/>
          <w:bCs/>
          <w:lang w:val="en-US" w:eastAsia="en-US"/>
        </w:rPr>
      </w:pPr>
      <w:r w:rsidRPr="00141288">
        <w:rPr>
          <w:rFonts w:cs="Arial"/>
          <w:bCs/>
        </w:rPr>
        <w:t>Further questions arise from the proposed drafts and CSDR and relate to the scope of instruments. CSDR art 7.13 states that “This Article shall not apply where the principal venue for the trading of shares is located in a third country”.  It is not clear this exemption has been foreseen in the ITS and RTS, and how it will be applied.</w:t>
      </w:r>
    </w:p>
    <w:p w:rsidR="00300F54" w:rsidRPr="00141288" w:rsidRDefault="00300F54" w:rsidP="00300F54">
      <w:pPr>
        <w:widowControl w:val="0"/>
        <w:spacing w:line="276" w:lineRule="auto"/>
        <w:ind w:right="61"/>
        <w:contextualSpacing/>
        <w:jc w:val="both"/>
        <w:rPr>
          <w:rFonts w:eastAsia="Arial" w:cs="Arial"/>
          <w:bCs/>
          <w:lang w:val="en-US" w:eastAsia="en-US"/>
        </w:rPr>
      </w:pPr>
    </w:p>
    <w:p w:rsidR="00D12AFD" w:rsidRDefault="00300F54" w:rsidP="00D12AFD">
      <w:r w:rsidRPr="00141288">
        <w:rPr>
          <w:rFonts w:eastAsia="Arial" w:cs="Arial"/>
          <w:bCs/>
          <w:lang w:val="en-US" w:eastAsia="en-US"/>
        </w:rPr>
        <w:t xml:space="preserve">The RTS should include a requirement to establish an appeals process should participants believe they are unjustly </w:t>
      </w:r>
      <w:proofErr w:type="spellStart"/>
      <w:r w:rsidRPr="00141288">
        <w:rPr>
          <w:rFonts w:eastAsia="Arial" w:cs="Arial"/>
          <w:bCs/>
          <w:lang w:val="en-US" w:eastAsia="en-US"/>
        </w:rPr>
        <w:t>penalised</w:t>
      </w:r>
      <w:proofErr w:type="spellEnd"/>
      <w:proofErr w:type="gramStart"/>
      <w:r w:rsidRPr="00141288">
        <w:rPr>
          <w:rFonts w:eastAsia="Arial" w:cs="Arial"/>
          <w:bCs/>
          <w:lang w:val="en-US" w:eastAsia="en-US"/>
        </w:rPr>
        <w:t>.</w:t>
      </w:r>
      <w:permEnd w:id="8"/>
      <w:r w:rsidR="00D12AFD">
        <w:t>&lt;</w:t>
      </w:r>
      <w:proofErr w:type="gramEnd"/>
      <w:r w:rsidR="00D12AFD">
        <w:t>ESMA_QUESTION_TS_CSDR_6&gt;</w:t>
      </w:r>
    </w:p>
    <w:p w:rsidR="00D12AFD" w:rsidRDefault="00D12AFD" w:rsidP="00965B03">
      <w:pPr>
        <w:pStyle w:val="Heading5"/>
        <w:ind w:left="567" w:hanging="567"/>
      </w:pPr>
      <w:r w:rsidRPr="002C4F00">
        <w:t>What are your views on the proposed draft RTS related to the buy-in process?</w:t>
      </w:r>
    </w:p>
    <w:p w:rsidR="00D12AFD" w:rsidRDefault="00D12AFD" w:rsidP="00BA1DEE">
      <w:pPr>
        <w:pStyle w:val="Heading5"/>
        <w:numPr>
          <w:ilvl w:val="0"/>
          <w:numId w:val="0"/>
        </w:numPr>
        <w:ind w:left="567"/>
        <w:rPr>
          <w:b w:val="0"/>
        </w:rPr>
      </w:pPr>
      <w:r w:rsidRPr="002C4F00">
        <w:t>In particular, what are your views on applying partial settlement at the end of the extension period? Do you consider that the partialling of the settlement instruction would impact the rights and obligations of the participants?</w:t>
      </w:r>
    </w:p>
    <w:p w:rsidR="00D12AFD" w:rsidRPr="002C4F00" w:rsidRDefault="00D12AFD" w:rsidP="00BA1DEE">
      <w:pPr>
        <w:pStyle w:val="Heading5"/>
        <w:numPr>
          <w:ilvl w:val="0"/>
          <w:numId w:val="0"/>
        </w:numPr>
        <w:ind w:left="567"/>
      </w:pPr>
      <w:r w:rsidRPr="002C4F00">
        <w:t xml:space="preserve"> What do you think about the proposed approach for limiting multiple buy-in and the timing for the participant to provide the information to the CSD?</w:t>
      </w:r>
    </w:p>
    <w:p w:rsidR="00D12AFD" w:rsidRDefault="00D12AFD" w:rsidP="00D12AFD"/>
    <w:p w:rsidR="00D12AFD" w:rsidRDefault="00D12AFD" w:rsidP="00D12AFD">
      <w:r>
        <w:t>&lt;ESMA_QUESTION_TS_CSDR_7&gt;</w:t>
      </w:r>
    </w:p>
    <w:p w:rsidR="00300F54" w:rsidRDefault="00300F54" w:rsidP="00300F54">
      <w:pPr>
        <w:spacing w:line="276" w:lineRule="auto"/>
        <w:contextualSpacing/>
        <w:jc w:val="both"/>
        <w:rPr>
          <w:rFonts w:cs="Arial"/>
          <w:bCs/>
        </w:rPr>
      </w:pPr>
      <w:permStart w:id="9" w:edGrp="everyone"/>
      <w:r w:rsidRPr="00141288">
        <w:rPr>
          <w:rFonts w:cs="Arial"/>
          <w:bCs/>
        </w:rPr>
        <w:t xml:space="preserve">Buy-ins should be executed at the level of the trading counterparties (underlying clients), and be managed by them. This </w:t>
      </w:r>
      <w:r>
        <w:rPr>
          <w:rFonts w:cs="Arial"/>
          <w:bCs/>
        </w:rPr>
        <w:t>c</w:t>
      </w:r>
      <w:r w:rsidRPr="00141288">
        <w:rPr>
          <w:rFonts w:cs="Arial"/>
          <w:bCs/>
        </w:rPr>
        <w:t xml:space="preserve">ould be </w:t>
      </w:r>
      <w:r>
        <w:rPr>
          <w:rFonts w:cs="Arial"/>
          <w:bCs/>
        </w:rPr>
        <w:t xml:space="preserve">interpreted as </w:t>
      </w:r>
      <w:r w:rsidRPr="00141288">
        <w:rPr>
          <w:rFonts w:cs="Arial"/>
          <w:bCs/>
        </w:rPr>
        <w:t>consistent with CSDR Level 1 and reflects current market practice (</w:t>
      </w:r>
      <w:proofErr w:type="spellStart"/>
      <w:r w:rsidRPr="00141288">
        <w:rPr>
          <w:rFonts w:cs="Arial"/>
          <w:bCs/>
        </w:rPr>
        <w:t>eg</w:t>
      </w:r>
      <w:proofErr w:type="spellEnd"/>
      <w:r w:rsidRPr="00141288">
        <w:rPr>
          <w:rFonts w:cs="Arial"/>
          <w:bCs/>
        </w:rPr>
        <w:t xml:space="preserve"> in OTC bond markets). Moreover, buy-in at the trading counter-party level will prevent unequal treatment of cleared vs. un-cleared settlement transactions. CSDR level 1 provides that for CCP cleared </w:t>
      </w:r>
      <w:proofErr w:type="gramStart"/>
      <w:r w:rsidRPr="00141288">
        <w:rPr>
          <w:rFonts w:cs="Arial"/>
          <w:bCs/>
        </w:rPr>
        <w:t>transactions,</w:t>
      </w:r>
      <w:proofErr w:type="gramEnd"/>
      <w:r w:rsidRPr="00141288">
        <w:rPr>
          <w:rFonts w:cs="Arial"/>
          <w:bCs/>
        </w:rPr>
        <w:t xml:space="preserve"> the buy-in would be initiated by the CCP (as a party to the underlying transaction). Translating this to trading venue (TV) and OTC transactions would mean that only parties to the trade can actually initiate a buy-in. </w:t>
      </w:r>
    </w:p>
    <w:p w:rsidR="00300F54" w:rsidRDefault="00300F54" w:rsidP="00300F54">
      <w:pPr>
        <w:spacing w:line="276" w:lineRule="auto"/>
        <w:contextualSpacing/>
        <w:jc w:val="both"/>
        <w:rPr>
          <w:rFonts w:cs="Arial"/>
          <w:bCs/>
        </w:rPr>
      </w:pPr>
    </w:p>
    <w:p w:rsidR="00300F54" w:rsidRDefault="00300F54" w:rsidP="00300F54">
      <w:pPr>
        <w:spacing w:line="276" w:lineRule="auto"/>
        <w:contextualSpacing/>
        <w:jc w:val="both"/>
        <w:rPr>
          <w:rFonts w:cs="Arial"/>
          <w:bCs/>
        </w:rPr>
      </w:pPr>
      <w:r w:rsidRPr="00141288">
        <w:rPr>
          <w:rFonts w:cs="Arial"/>
          <w:bCs/>
        </w:rPr>
        <w:t xml:space="preserve">Different CSD participant account models exist concurrently and buy-in procedures should be different for an account which is classified as “own account” compared to an account classified as “omnibus” or “Individually segregated.” Only in the first instance is it possible to state that the </w:t>
      </w:r>
      <w:r w:rsidRPr="00141288">
        <w:rPr>
          <w:rFonts w:cs="Arial"/>
          <w:bCs/>
        </w:rPr>
        <w:lastRenderedPageBreak/>
        <w:t>CSD participant is the failing party. In the two latter instances it becomes clear from the classification that the transactions on the accounts are not transactions entered into by the CSD pa</w:t>
      </w:r>
      <w:r w:rsidRPr="00141288">
        <w:rPr>
          <w:rFonts w:cs="Arial"/>
          <w:bCs/>
        </w:rPr>
        <w:t>r</w:t>
      </w:r>
      <w:r w:rsidRPr="00141288">
        <w:rPr>
          <w:rFonts w:cs="Arial"/>
          <w:bCs/>
        </w:rPr>
        <w:t xml:space="preserve">ticipant. It only acts as a settlement agent for its direct client.  It is unclear however whether this client is the actual trading party responsible for the fail. It might well be that the chain of custody is somewhat longer and the failing party can only be found further down the chain.  </w:t>
      </w:r>
    </w:p>
    <w:p w:rsidR="00300F54" w:rsidRDefault="00300F54" w:rsidP="00300F54">
      <w:pPr>
        <w:spacing w:line="276" w:lineRule="auto"/>
        <w:contextualSpacing/>
        <w:jc w:val="both"/>
        <w:rPr>
          <w:rFonts w:cs="Arial"/>
          <w:bCs/>
        </w:rPr>
      </w:pPr>
    </w:p>
    <w:p w:rsidR="00300F54" w:rsidRDefault="00300F54" w:rsidP="00300F54">
      <w:pPr>
        <w:spacing w:line="276" w:lineRule="auto"/>
        <w:contextualSpacing/>
        <w:jc w:val="both"/>
        <w:rPr>
          <w:rFonts w:cs="Arial"/>
          <w:bCs/>
        </w:rPr>
      </w:pPr>
      <w:r w:rsidRPr="00141288">
        <w:rPr>
          <w:rFonts w:cs="Arial"/>
          <w:bCs/>
        </w:rPr>
        <w:t xml:space="preserve">Without recognition of this point the RTS could significantly increase the risk-profile of settlement agents. In particular, a receiving CSD participant may have to purchase bought-in securities and face the risk of non-reimbursement (by client and/or delivering participant or underlying seller). On the other hand, the delivering CSD participant is obliged to pay cash compensation or part of cost of bought-in securities and faces the same risk of non-reimbursement by his client. Such a scenario could be even more critical in situations where a CSD’s participant becomes insolvent and the trade has already been bought-in. For such situations, it should be clarified </w:t>
      </w:r>
      <w:r>
        <w:rPr>
          <w:rFonts w:cs="Arial"/>
          <w:bCs/>
        </w:rPr>
        <w:t xml:space="preserve">to </w:t>
      </w:r>
      <w:r w:rsidRPr="00141288">
        <w:rPr>
          <w:rFonts w:cs="Arial"/>
          <w:bCs/>
        </w:rPr>
        <w:t>who</w:t>
      </w:r>
      <w:r>
        <w:rPr>
          <w:rFonts w:cs="Arial"/>
          <w:bCs/>
        </w:rPr>
        <w:t xml:space="preserve">m the </w:t>
      </w:r>
      <w:r w:rsidRPr="00141288">
        <w:rPr>
          <w:rFonts w:cs="Arial"/>
          <w:bCs/>
        </w:rPr>
        <w:t xml:space="preserve">settlement agent </w:t>
      </w:r>
      <w:r>
        <w:rPr>
          <w:rFonts w:cs="Arial"/>
          <w:bCs/>
        </w:rPr>
        <w:t xml:space="preserve">may </w:t>
      </w:r>
      <w:r w:rsidRPr="00141288">
        <w:rPr>
          <w:rFonts w:cs="Arial"/>
          <w:bCs/>
        </w:rPr>
        <w:t xml:space="preserve">turn for reimbursement of the incurred costs. CSD participants acting as custodian will likely take steps to reduce their exposure to these risks by withholding orders when clients lack the securities or cash necessary for settlement or asking clients to post collateral based in these risks. This will lead to increased trading </w:t>
      </w:r>
      <w:r>
        <w:rPr>
          <w:rFonts w:cs="Arial"/>
          <w:bCs/>
        </w:rPr>
        <w:t xml:space="preserve">and settlement </w:t>
      </w:r>
      <w:r w:rsidRPr="00141288">
        <w:rPr>
          <w:rFonts w:cs="Arial"/>
          <w:bCs/>
        </w:rPr>
        <w:t xml:space="preserve">costs </w:t>
      </w:r>
      <w:r>
        <w:rPr>
          <w:rFonts w:cs="Arial"/>
          <w:bCs/>
        </w:rPr>
        <w:t xml:space="preserve">for trading firms but also the real economy </w:t>
      </w:r>
      <w:r w:rsidRPr="00141288">
        <w:rPr>
          <w:rFonts w:cs="Arial"/>
          <w:bCs/>
        </w:rPr>
        <w:t xml:space="preserve">and should be avoided </w:t>
      </w:r>
      <w:r>
        <w:rPr>
          <w:rFonts w:cs="Arial"/>
          <w:bCs/>
        </w:rPr>
        <w:t>at all costs</w:t>
      </w:r>
      <w:r w:rsidRPr="00141288">
        <w:rPr>
          <w:rFonts w:cs="Arial"/>
          <w:bCs/>
        </w:rPr>
        <w:t xml:space="preserve">.  </w:t>
      </w:r>
    </w:p>
    <w:p w:rsidR="00300F54" w:rsidRDefault="00300F54" w:rsidP="00300F54">
      <w:pPr>
        <w:spacing w:line="276" w:lineRule="auto"/>
        <w:contextualSpacing/>
        <w:jc w:val="both"/>
        <w:rPr>
          <w:rFonts w:cs="Arial"/>
          <w:bCs/>
        </w:rPr>
      </w:pPr>
    </w:p>
    <w:p w:rsidR="00300F54" w:rsidRDefault="00300F54" w:rsidP="00300F54">
      <w:pPr>
        <w:spacing w:line="276" w:lineRule="auto"/>
        <w:contextualSpacing/>
        <w:jc w:val="both"/>
        <w:rPr>
          <w:rFonts w:cs="Arial"/>
          <w:bCs/>
        </w:rPr>
      </w:pPr>
      <w:r w:rsidRPr="00141288">
        <w:rPr>
          <w:rFonts w:cs="Arial"/>
          <w:bCs/>
        </w:rPr>
        <w:t>At the same time</w:t>
      </w:r>
      <w:r>
        <w:rPr>
          <w:rFonts w:cs="Arial"/>
          <w:bCs/>
        </w:rPr>
        <w:t xml:space="preserve"> we </w:t>
      </w:r>
      <w:r w:rsidRPr="00141288">
        <w:rPr>
          <w:rFonts w:cs="Arial"/>
          <w:bCs/>
        </w:rPr>
        <w:t xml:space="preserve">acknowledge that the current process needs to be enhanced in order to be in accordance with the CSDR level 1 text.  This would include requirements with respect to automation and information to be provided from trading down to CSD level, as well as monitoring and reporting. This can however be done without changing the fundamentals of having buy-ins executed between trading counterparties. </w:t>
      </w:r>
      <w:r>
        <w:rPr>
          <w:rFonts w:cs="Arial"/>
          <w:bCs/>
        </w:rPr>
        <w:t xml:space="preserve">We </w:t>
      </w:r>
      <w:r w:rsidRPr="00141288">
        <w:rPr>
          <w:rFonts w:cs="Arial"/>
          <w:bCs/>
        </w:rPr>
        <w:t>believe that the key pillars of an alternative regime in line with CSDR level 1 text are as follows:</w:t>
      </w:r>
    </w:p>
    <w:p w:rsidR="00300F54" w:rsidRDefault="00300F54" w:rsidP="00300F54">
      <w:pPr>
        <w:spacing w:line="276" w:lineRule="auto"/>
        <w:contextualSpacing/>
        <w:jc w:val="both"/>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t xml:space="preserve">CSDs should take no active role in the Buy-In </w:t>
      </w:r>
      <w:proofErr w:type="gramStart"/>
      <w:r w:rsidRPr="00FE005C">
        <w:rPr>
          <w:rFonts w:cs="Arial"/>
          <w:b/>
          <w:bCs/>
        </w:rPr>
        <w:t>process,</w:t>
      </w:r>
      <w:proofErr w:type="gramEnd"/>
      <w:r w:rsidRPr="00FE005C">
        <w:rPr>
          <w:rFonts w:cs="Arial"/>
          <w:b/>
          <w:bCs/>
        </w:rPr>
        <w:t xml:space="preserve"> their role should be limited to monitoring activity, receiving information back from their clients on the status of the potential buy-in and reporting the status to the involved CSD participants</w:t>
      </w:r>
      <w:r>
        <w:rPr>
          <w:rFonts w:cs="Arial"/>
          <w:bCs/>
        </w:rPr>
        <w:t>.</w:t>
      </w:r>
    </w:p>
    <w:p w:rsidR="00300F54" w:rsidRDefault="00300F54" w:rsidP="00300F54">
      <w:pPr>
        <w:pStyle w:val="ListParagraph"/>
        <w:spacing w:line="276" w:lineRule="auto"/>
        <w:ind w:left="360"/>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t>CSD participants should only be obliged to execute a buy-in if they are the actual trading party</w:t>
      </w:r>
      <w:r w:rsidRPr="00141288">
        <w:rPr>
          <w:rFonts w:cs="Arial"/>
          <w:bCs/>
        </w:rPr>
        <w:t xml:space="preserve">, </w:t>
      </w:r>
      <w:proofErr w:type="spellStart"/>
      <w:r w:rsidRPr="00141288">
        <w:rPr>
          <w:rFonts w:cs="Arial"/>
          <w:bCs/>
        </w:rPr>
        <w:t>ie</w:t>
      </w:r>
      <w:proofErr w:type="spellEnd"/>
      <w:r w:rsidRPr="00141288">
        <w:rPr>
          <w:rFonts w:cs="Arial"/>
          <w:bCs/>
        </w:rPr>
        <w:t>. Managing their own positions (this would also be the case in an account operator model) CSDs could outline the different responsibilities in their internal documentation.</w:t>
      </w:r>
    </w:p>
    <w:p w:rsidR="00300F54" w:rsidRDefault="00300F54" w:rsidP="00300F54">
      <w:pPr>
        <w:pStyle w:val="ListParagraph"/>
        <w:spacing w:line="240" w:lineRule="exact"/>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t>CSD participants with Client/Omnibus accounts will be required to inform their clients throughout the chain to determine the final trading participant</w:t>
      </w:r>
      <w:r w:rsidRPr="00656B3D">
        <w:rPr>
          <w:rFonts w:cs="Arial"/>
          <w:bCs/>
        </w:rPr>
        <w:t xml:space="preserve">. CSD participants will be required to include in their contracts with clients, the obligation on the part of the client to identify clients further down the custody chain in order for the CSD participant to determine the final trading participant.  </w:t>
      </w:r>
      <w:r>
        <w:rPr>
          <w:rFonts w:cs="Arial"/>
          <w:bCs/>
        </w:rPr>
        <w:t xml:space="preserve">This requirement will also have to be included in contracts CSD participant clients have with client further down the transaction chain.  </w:t>
      </w:r>
      <w:r w:rsidRPr="00656B3D">
        <w:rPr>
          <w:rFonts w:cs="Arial"/>
          <w:bCs/>
        </w:rPr>
        <w:t>This is in line with art 7.10 of CSDR. Within an internal analysis, DB has estimated that such re-negotiation of contracts would incur significant legal costs (multiple million EURs) as well as requiring significant lead-time for implementation of between 18-36 months</w:t>
      </w:r>
      <w:r>
        <w:rPr>
          <w:rFonts w:cs="Arial"/>
          <w:bCs/>
        </w:rPr>
        <w:t>.</w:t>
      </w:r>
    </w:p>
    <w:p w:rsidR="00300F54" w:rsidRDefault="00300F54" w:rsidP="00300F54">
      <w:pPr>
        <w:pStyle w:val="ListParagraph"/>
        <w:spacing w:line="276" w:lineRule="auto"/>
        <w:ind w:left="360"/>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lastRenderedPageBreak/>
        <w:t>Buy-ins should be enforced at the trading level between counterparties to the trade.</w:t>
      </w:r>
      <w:r w:rsidRPr="00141288">
        <w:rPr>
          <w:rFonts w:cs="Arial"/>
          <w:bCs/>
        </w:rPr>
        <w:t xml:space="preserve"> Their agreements</w:t>
      </w:r>
      <w:r>
        <w:rPr>
          <w:rFonts w:cs="Arial"/>
          <w:bCs/>
        </w:rPr>
        <w:t xml:space="preserve"> and </w:t>
      </w:r>
      <w:r w:rsidRPr="00141288">
        <w:rPr>
          <w:rFonts w:cs="Arial"/>
          <w:bCs/>
        </w:rPr>
        <w:t>standard industry rules will need to be enhanced to refer to the mandatory obligations imposed by CSDR level 1 text and the RTS. Such changes will have to be done on a harmonised basis across Europe. In addition, CSDs and trading venues will i</w:t>
      </w:r>
      <w:r w:rsidRPr="00141288">
        <w:rPr>
          <w:rFonts w:cs="Arial"/>
          <w:bCs/>
        </w:rPr>
        <w:t>n</w:t>
      </w:r>
      <w:r w:rsidRPr="00141288">
        <w:rPr>
          <w:rFonts w:cs="Arial"/>
          <w:bCs/>
        </w:rPr>
        <w:t xml:space="preserve">clude in their internal rules and obligation for its members the obligation to apply Art. 10 of CSDR. </w:t>
      </w:r>
    </w:p>
    <w:p w:rsidR="00300F54" w:rsidRDefault="00300F54" w:rsidP="00300F54">
      <w:pPr>
        <w:pStyle w:val="ListParagraph"/>
        <w:spacing w:line="240" w:lineRule="exact"/>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t>Who will execute the buy-in:</w:t>
      </w:r>
      <w:r w:rsidRPr="00141288">
        <w:rPr>
          <w:rFonts w:cs="Arial"/>
          <w:bCs/>
        </w:rPr>
        <w:t xml:space="preserve"> Where a CCP is involved (who has become </w:t>
      </w:r>
      <w:proofErr w:type="gramStart"/>
      <w:r w:rsidRPr="00141288">
        <w:rPr>
          <w:rFonts w:cs="Arial"/>
          <w:bCs/>
        </w:rPr>
        <w:t>a counter</w:t>
      </w:r>
      <w:proofErr w:type="gramEnd"/>
      <w:r w:rsidRPr="00141288">
        <w:rPr>
          <w:rFonts w:cs="Arial"/>
          <w:bCs/>
        </w:rPr>
        <w:t xml:space="preserve">-party through </w:t>
      </w:r>
      <w:proofErr w:type="spellStart"/>
      <w:r w:rsidRPr="00141288">
        <w:rPr>
          <w:rFonts w:cs="Arial"/>
          <w:bCs/>
        </w:rPr>
        <w:t>novation</w:t>
      </w:r>
      <w:proofErr w:type="spellEnd"/>
      <w:r w:rsidRPr="00141288">
        <w:rPr>
          <w:rFonts w:cs="Arial"/>
          <w:bCs/>
        </w:rPr>
        <w:t>), it is the CCP who will execute the buy-in by appointing a buy-in agent or using an auction tool. Where no CCP is involved, it is the prejudiced receiver/buyer who initiates the buy-in (unless he caused the fail) by having insufficient cash resources). Notices of the relevant parties and modalities (extension period, deferral, quantity and timing etc) will be passed by the trading counterparties through the chain of settlement intermediaries back to the CSD for reporting and monitoring purposes</w:t>
      </w:r>
      <w:r>
        <w:rPr>
          <w:rFonts w:cs="Arial"/>
          <w:bCs/>
        </w:rPr>
        <w:t>.</w:t>
      </w:r>
    </w:p>
    <w:p w:rsidR="00300F54" w:rsidRDefault="00300F54" w:rsidP="00300F54">
      <w:pPr>
        <w:pStyle w:val="ListParagraph"/>
        <w:spacing w:line="276" w:lineRule="auto"/>
        <w:ind w:left="360"/>
        <w:rPr>
          <w:rFonts w:cs="Arial"/>
          <w:bCs/>
        </w:rPr>
      </w:pPr>
    </w:p>
    <w:p w:rsidR="00300F54" w:rsidRDefault="00300F54" w:rsidP="005C0956">
      <w:pPr>
        <w:pStyle w:val="ListParagraph"/>
        <w:numPr>
          <w:ilvl w:val="0"/>
          <w:numId w:val="40"/>
        </w:numPr>
        <w:spacing w:line="276" w:lineRule="auto"/>
        <w:jc w:val="both"/>
        <w:rPr>
          <w:rFonts w:cs="Arial"/>
          <w:bCs/>
        </w:rPr>
      </w:pPr>
      <w:r w:rsidRPr="00FE005C">
        <w:rPr>
          <w:rFonts w:cs="Arial"/>
          <w:b/>
          <w:bCs/>
        </w:rPr>
        <w:t>Procedure:</w:t>
      </w:r>
      <w:r w:rsidRPr="00141288">
        <w:rPr>
          <w:rFonts w:cs="Arial"/>
          <w:bCs/>
        </w:rPr>
        <w:t xml:space="preserve"> If a mandatory buy-in is to be initiated between trading counterparties according to the timeframes and modalities of CSDR, the prejudiced receiver should send a buy-in notification to the delivering party in a format which can be processed automatically. The delive</w:t>
      </w:r>
      <w:r w:rsidRPr="00141288">
        <w:rPr>
          <w:rFonts w:cs="Arial"/>
          <w:bCs/>
        </w:rPr>
        <w:t>r</w:t>
      </w:r>
      <w:r w:rsidRPr="00141288">
        <w:rPr>
          <w:rFonts w:cs="Arial"/>
          <w:bCs/>
        </w:rPr>
        <w:t xml:space="preserve">ing party will verify (as </w:t>
      </w:r>
      <w:r>
        <w:rPr>
          <w:rFonts w:cs="Arial"/>
          <w:bCs/>
        </w:rPr>
        <w:t xml:space="preserve">of that </w:t>
      </w:r>
      <w:r w:rsidRPr="00141288">
        <w:rPr>
          <w:rFonts w:cs="Arial"/>
          <w:bCs/>
        </w:rPr>
        <w:t>day) what caused the fail, and has two options:</w:t>
      </w:r>
    </w:p>
    <w:p w:rsidR="00300F54" w:rsidRDefault="00300F54" w:rsidP="00300F54">
      <w:pPr>
        <w:pStyle w:val="ListParagraph"/>
        <w:spacing w:line="240" w:lineRule="exact"/>
        <w:rPr>
          <w:rFonts w:cs="Arial"/>
          <w:bCs/>
        </w:rPr>
      </w:pPr>
    </w:p>
    <w:p w:rsidR="00300F54" w:rsidRDefault="00300F54" w:rsidP="005C0956">
      <w:pPr>
        <w:pStyle w:val="ListParagraph"/>
        <w:numPr>
          <w:ilvl w:val="1"/>
          <w:numId w:val="40"/>
        </w:numPr>
        <w:spacing w:line="276" w:lineRule="auto"/>
        <w:jc w:val="both"/>
        <w:rPr>
          <w:rFonts w:cs="Arial"/>
          <w:bCs/>
        </w:rPr>
      </w:pPr>
      <w:r>
        <w:rPr>
          <w:rFonts w:cs="Arial"/>
          <w:bCs/>
        </w:rPr>
        <w:t>If t</w:t>
      </w:r>
      <w:r w:rsidRPr="00141288">
        <w:rPr>
          <w:rFonts w:cs="Arial"/>
          <w:bCs/>
        </w:rPr>
        <w:t xml:space="preserve">he delivering party is the one who caused the fail, that party should acknowledge the receipt of the message and would not need to do anything further, and will eventually be bought in. The prejudiced party and the delivering party </w:t>
      </w:r>
      <w:r>
        <w:rPr>
          <w:rFonts w:cs="Arial"/>
          <w:bCs/>
        </w:rPr>
        <w:t xml:space="preserve">should </w:t>
      </w:r>
      <w:r w:rsidRPr="00141288">
        <w:rPr>
          <w:rFonts w:cs="Arial"/>
          <w:bCs/>
        </w:rPr>
        <w:t xml:space="preserve">also advise their settlement agent of the notice. This information should be fed back to the CSD for reporting purposes. </w:t>
      </w:r>
    </w:p>
    <w:p w:rsidR="00300F54" w:rsidRDefault="00300F54" w:rsidP="005C0956">
      <w:pPr>
        <w:pStyle w:val="ListParagraph"/>
        <w:numPr>
          <w:ilvl w:val="1"/>
          <w:numId w:val="40"/>
        </w:numPr>
        <w:spacing w:line="276" w:lineRule="auto"/>
        <w:jc w:val="both"/>
        <w:rPr>
          <w:rFonts w:cs="Arial"/>
          <w:bCs/>
        </w:rPr>
      </w:pPr>
      <w:r w:rsidRPr="00141288">
        <w:rPr>
          <w:rFonts w:cs="Arial"/>
          <w:bCs/>
        </w:rPr>
        <w:t xml:space="preserve">If the prejudice delivering party’s delivery fails because of external circumstances, </w:t>
      </w:r>
      <w:proofErr w:type="spellStart"/>
      <w:r w:rsidRPr="00141288">
        <w:rPr>
          <w:rFonts w:cs="Arial"/>
          <w:bCs/>
        </w:rPr>
        <w:t>eg</w:t>
      </w:r>
      <w:proofErr w:type="spellEnd"/>
      <w:r w:rsidRPr="00141288">
        <w:rPr>
          <w:rFonts w:cs="Arial"/>
          <w:bCs/>
        </w:rPr>
        <w:t xml:space="preserve"> an incoming receipt which is also failing, then they can/should ‘pass on’ the buy-in notice to the party who fails to deliver to the prejudiced party. This “pass-on” notice must be in a machine readable format. As a result, the delivering party will inform its settlement agent of the receipt of the buy-in notice and the “pass-on” to the other failing party. </w:t>
      </w:r>
    </w:p>
    <w:p w:rsidR="00300F54" w:rsidRDefault="00300F54" w:rsidP="005C0956">
      <w:pPr>
        <w:pStyle w:val="ListParagraph"/>
        <w:numPr>
          <w:ilvl w:val="1"/>
          <w:numId w:val="40"/>
        </w:numPr>
        <w:spacing w:line="276" w:lineRule="auto"/>
        <w:jc w:val="both"/>
        <w:rPr>
          <w:rFonts w:cs="Arial"/>
          <w:bCs/>
        </w:rPr>
      </w:pPr>
      <w:r w:rsidRPr="00141288">
        <w:rPr>
          <w:rFonts w:cs="Arial"/>
          <w:bCs/>
        </w:rPr>
        <w:t>Upon execution of the buy-in through the buy-in agent the receiving party (which has initiated the buy-in) will inform its direct party and the CSD of the result, which will then cancel the underlying instruction. The same information flow is anticipated through the other parts in a chain transaction. (Buy-in execution = trigger for transaction cancellation).   CSDR L1 specifies that penalties are to be calculated until the end of the buy-in process or until the transaction settles.  As a result, as long as the buy-in process has been completed (i.e. securities have been delivered), the underl</w:t>
      </w:r>
      <w:r w:rsidRPr="00141288">
        <w:rPr>
          <w:rFonts w:cs="Arial"/>
          <w:bCs/>
        </w:rPr>
        <w:t>y</w:t>
      </w:r>
      <w:r w:rsidRPr="00141288">
        <w:rPr>
          <w:rFonts w:cs="Arial"/>
          <w:bCs/>
        </w:rPr>
        <w:t xml:space="preserve">ing transaction can still settle.  </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rPr>
      </w:pPr>
      <w:r w:rsidRPr="00141288">
        <w:rPr>
          <w:rFonts w:cs="Arial"/>
          <w:bCs/>
        </w:rPr>
        <w:t>When a CCP, which is exempt from the buy-in process, is part of a “chain” it is assumed that the CCP on its side would initiate a buy-in. This information needs to be brought to the attention of the receiving party by requesting the buy-in to be rested until the CCP has executed the buy-in on its own</w:t>
      </w:r>
      <w:r>
        <w:rPr>
          <w:rFonts w:cs="Arial"/>
          <w:bCs/>
        </w:rPr>
        <w:t>,</w:t>
      </w:r>
      <w:r w:rsidRPr="00141288">
        <w:rPr>
          <w:rFonts w:cs="Arial"/>
          <w:bCs/>
        </w:rPr>
        <w:t xml:space="preserve"> ideally in a machine readable format to allow automatic processing and updating. Such a process would help limit the execution of multiple </w:t>
      </w:r>
      <w:proofErr w:type="gramStart"/>
      <w:r w:rsidRPr="00141288">
        <w:rPr>
          <w:rFonts w:cs="Arial"/>
          <w:bCs/>
        </w:rPr>
        <w:t>buy-ins</w:t>
      </w:r>
      <w:proofErr w:type="gramEnd"/>
      <w:r w:rsidRPr="00141288">
        <w:rPr>
          <w:rFonts w:cs="Arial"/>
          <w:bCs/>
        </w:rPr>
        <w:t xml:space="preserve"> and avoid requesting CSDs </w:t>
      </w:r>
      <w:r>
        <w:rPr>
          <w:rFonts w:cs="Arial"/>
          <w:bCs/>
        </w:rPr>
        <w:lastRenderedPageBreak/>
        <w:t xml:space="preserve">having to </w:t>
      </w:r>
      <w:r w:rsidRPr="00141288">
        <w:rPr>
          <w:rFonts w:cs="Arial"/>
          <w:bCs/>
        </w:rPr>
        <w:t xml:space="preserve">perform intensive validation of data. </w:t>
      </w:r>
      <w:r>
        <w:rPr>
          <w:rFonts w:cs="Arial"/>
          <w:bCs/>
        </w:rPr>
        <w:t>D</w:t>
      </w:r>
      <w:r w:rsidRPr="00141288">
        <w:rPr>
          <w:rFonts w:cs="Arial"/>
          <w:bCs/>
        </w:rPr>
        <w:t xml:space="preserve">espite the industry currently analysing the possibilities to develop automated messages </w:t>
      </w:r>
      <w:r>
        <w:rPr>
          <w:rFonts w:cs="Arial"/>
          <w:bCs/>
        </w:rPr>
        <w:t xml:space="preserve">however, </w:t>
      </w:r>
      <w:r w:rsidRPr="00141288">
        <w:rPr>
          <w:rFonts w:cs="Arial"/>
          <w:bCs/>
        </w:rPr>
        <w:t>there is currently no market practice for a buy-in message. As a result this would have to be developed prior to implementation</w:t>
      </w:r>
      <w:r>
        <w:rPr>
          <w:rFonts w:cs="Arial"/>
          <w:bCs/>
        </w:rPr>
        <w:t xml:space="preserve"> and will take several years</w:t>
      </w:r>
      <w:r w:rsidRPr="00141288">
        <w:rPr>
          <w:rFonts w:cs="Arial"/>
          <w:bCs/>
        </w:rPr>
        <w:t>.</w:t>
      </w:r>
    </w:p>
    <w:p w:rsidR="00300F54" w:rsidRDefault="00300F54" w:rsidP="00300F54">
      <w:pPr>
        <w:spacing w:line="276" w:lineRule="auto"/>
        <w:contextualSpacing/>
        <w:jc w:val="both"/>
        <w:rPr>
          <w:rFonts w:cs="Arial"/>
        </w:rPr>
      </w:pPr>
    </w:p>
    <w:p w:rsidR="00300F54" w:rsidRDefault="00300F54" w:rsidP="00300F54">
      <w:pPr>
        <w:spacing w:line="276" w:lineRule="auto"/>
        <w:contextualSpacing/>
        <w:jc w:val="both"/>
        <w:rPr>
          <w:rFonts w:cs="Arial"/>
          <w:bCs/>
        </w:rPr>
      </w:pPr>
      <w:r w:rsidRPr="00141288">
        <w:rPr>
          <w:rFonts w:cs="Arial"/>
          <w:bCs/>
        </w:rPr>
        <w:t>With respect to the proposal to apply a mandatory partial delivery towards the end of the extension period, this would only be acceptable from a custodian point of view if this exempts transa</w:t>
      </w:r>
      <w:r w:rsidRPr="00141288">
        <w:rPr>
          <w:rFonts w:cs="Arial"/>
          <w:bCs/>
        </w:rPr>
        <w:t>c</w:t>
      </w:r>
      <w:r w:rsidRPr="00141288">
        <w:rPr>
          <w:rFonts w:cs="Arial"/>
          <w:bCs/>
        </w:rPr>
        <w:t xml:space="preserve">tions with a “hold” indicator in an omnibus account set up. Here the CSD would not know, which position belongs to which client, hence a mandatory partial could use securities that belong to another client of that custodian. </w:t>
      </w:r>
    </w:p>
    <w:p w:rsidR="00300F54" w:rsidRDefault="00300F54" w:rsidP="00300F54">
      <w:pPr>
        <w:spacing w:line="276" w:lineRule="auto"/>
        <w:contextualSpacing/>
        <w:jc w:val="both"/>
        <w:rPr>
          <w:rFonts w:cs="Arial"/>
          <w:bCs/>
        </w:rPr>
      </w:pPr>
    </w:p>
    <w:p w:rsidR="00300F54" w:rsidRDefault="00300F54" w:rsidP="00300F54">
      <w:pPr>
        <w:spacing w:line="276" w:lineRule="auto"/>
        <w:contextualSpacing/>
        <w:jc w:val="both"/>
        <w:rPr>
          <w:rFonts w:cs="Arial"/>
          <w:bCs/>
        </w:rPr>
      </w:pPr>
      <w:r w:rsidRPr="00141288">
        <w:rPr>
          <w:rFonts w:cs="Arial"/>
          <w:bCs/>
        </w:rPr>
        <w:t>If however the account is classified as an “own account,</w:t>
      </w:r>
      <w:proofErr w:type="gramStart"/>
      <w:r w:rsidRPr="00141288">
        <w:rPr>
          <w:rFonts w:cs="Arial"/>
          <w:bCs/>
        </w:rPr>
        <w:t>”(</w:t>
      </w:r>
      <w:proofErr w:type="gramEnd"/>
      <w:r w:rsidRPr="00141288">
        <w:rPr>
          <w:rFonts w:cs="Arial"/>
          <w:bCs/>
        </w:rPr>
        <w:t>the term is used by ESMA in the Technical Standards but there is no definition</w:t>
      </w:r>
      <w:r>
        <w:rPr>
          <w:rFonts w:cs="Arial"/>
          <w:bCs/>
        </w:rPr>
        <w:t>, t</w:t>
      </w:r>
      <w:r w:rsidRPr="00141288">
        <w:rPr>
          <w:rFonts w:cs="Arial"/>
          <w:bCs/>
        </w:rPr>
        <w:t>he term should apply to accounts which hold propri</w:t>
      </w:r>
      <w:r w:rsidRPr="00141288">
        <w:rPr>
          <w:rFonts w:cs="Arial"/>
          <w:bCs/>
        </w:rPr>
        <w:t>e</w:t>
      </w:r>
      <w:r w:rsidRPr="00141288">
        <w:rPr>
          <w:rFonts w:cs="Arial"/>
          <w:bCs/>
        </w:rPr>
        <w:t xml:space="preserve">tary assets of the CSD participant) </w:t>
      </w:r>
      <w:r>
        <w:rPr>
          <w:rFonts w:cs="Arial"/>
          <w:bCs/>
        </w:rPr>
        <w:t xml:space="preserve">or the account is maintained for retail clients with the bank as principle agent </w:t>
      </w:r>
      <w:r w:rsidRPr="00141288">
        <w:rPr>
          <w:rFonts w:cs="Arial"/>
          <w:bCs/>
        </w:rPr>
        <w:t>applying partial settlement at the end of the extension period would be accep</w:t>
      </w:r>
      <w:r w:rsidRPr="00141288">
        <w:rPr>
          <w:rFonts w:cs="Arial"/>
          <w:bCs/>
        </w:rPr>
        <w:t>t</w:t>
      </w:r>
      <w:r w:rsidRPr="00141288">
        <w:rPr>
          <w:rFonts w:cs="Arial"/>
          <w:bCs/>
        </w:rPr>
        <w:t>able. In order to limit the amount to be bought-in, mandatory partial delivery should be applied earlier in the extension period (</w:t>
      </w:r>
      <w:proofErr w:type="spellStart"/>
      <w:r w:rsidRPr="00141288">
        <w:rPr>
          <w:rFonts w:cs="Arial"/>
          <w:bCs/>
        </w:rPr>
        <w:t>eg</w:t>
      </w:r>
      <w:proofErr w:type="spellEnd"/>
      <w:r w:rsidRPr="00141288">
        <w:rPr>
          <w:rFonts w:cs="Arial"/>
          <w:bCs/>
        </w:rPr>
        <w:t xml:space="preserve"> S+3) to cater for recycling of the received securities within a settlement chain. Note however that this is currently not a market practice. Imposing a mand</w:t>
      </w:r>
      <w:r w:rsidRPr="00141288">
        <w:rPr>
          <w:rFonts w:cs="Arial"/>
          <w:bCs/>
        </w:rPr>
        <w:t>a</w:t>
      </w:r>
      <w:r w:rsidRPr="00141288">
        <w:rPr>
          <w:rFonts w:cs="Arial"/>
          <w:bCs/>
        </w:rPr>
        <w:t>tory partial settlement on instructions/ transactions which do not show a “technical” partial indic</w:t>
      </w:r>
      <w:r w:rsidRPr="00141288">
        <w:rPr>
          <w:rFonts w:cs="Arial"/>
          <w:bCs/>
        </w:rPr>
        <w:t>a</w:t>
      </w:r>
      <w:r w:rsidRPr="00141288">
        <w:rPr>
          <w:rFonts w:cs="Arial"/>
          <w:bCs/>
        </w:rPr>
        <w:t>tor will require significant technical build on the side of the CSD (to force the settlement) and the participants (to process the results).</w:t>
      </w:r>
    </w:p>
    <w:p w:rsidR="00300F54" w:rsidRDefault="00300F54" w:rsidP="00300F54">
      <w:pPr>
        <w:spacing w:line="276" w:lineRule="auto"/>
        <w:contextualSpacing/>
        <w:jc w:val="both"/>
        <w:rPr>
          <w:rFonts w:cs="Arial"/>
          <w:bCs/>
        </w:rPr>
      </w:pPr>
    </w:p>
    <w:p w:rsidR="00D12AFD" w:rsidRDefault="00300F54" w:rsidP="00D12AFD">
      <w:r w:rsidRPr="00141288">
        <w:rPr>
          <w:rFonts w:cs="Arial"/>
          <w:bCs/>
        </w:rPr>
        <w:t xml:space="preserve">Further questions arise from the proposed drafts and CSDR and relate to the scope of instruments. CSDR art 7.13 states that “This Article shall not apply where the principal venue for the trading of shares is located in a third country”.  It is not clear this exemption has been foreseen in the ITS and RTS, and how it will be applied. </w:t>
      </w:r>
      <w:r w:rsidRPr="00141288">
        <w:rPr>
          <w:rFonts w:eastAsia="Calibri" w:cs="Arial"/>
          <w:lang w:eastAsia="en-US"/>
        </w:rPr>
        <w:t>I</w:t>
      </w:r>
      <w:r w:rsidRPr="00141288">
        <w:rPr>
          <w:rFonts w:cs="Arial"/>
        </w:rPr>
        <w:t>deally ESMA would publish those regularly on its website, similar to those equities with the primary exchange being non-EU based</w:t>
      </w:r>
      <w:proofErr w:type="gramStart"/>
      <w:r>
        <w:rPr>
          <w:rFonts w:cs="Arial"/>
        </w:rPr>
        <w:t>.</w:t>
      </w:r>
      <w:permEnd w:id="9"/>
      <w:r w:rsidR="00D12AFD">
        <w:t>&lt;</w:t>
      </w:r>
      <w:proofErr w:type="gramEnd"/>
      <w:r w:rsidR="00D12AFD">
        <w:t>ESMA_QUESTION_TS_CSDR_7&gt;</w:t>
      </w:r>
    </w:p>
    <w:p w:rsidR="00D12AFD" w:rsidRPr="002C4F00" w:rsidRDefault="00D12AFD" w:rsidP="00965B03">
      <w:pPr>
        <w:pStyle w:val="Heading5"/>
        <w:ind w:left="567" w:hanging="567"/>
      </w:pPr>
      <w:r w:rsidRPr="002C4F00">
        <w:t>What are your views on the proposed draft RTS related to the buy-in timeframe and extension period?</w:t>
      </w:r>
    </w:p>
    <w:p w:rsidR="00D12AFD" w:rsidRDefault="00D12AFD" w:rsidP="00D12AFD"/>
    <w:p w:rsidR="00D12AFD" w:rsidRDefault="00D12AFD" w:rsidP="00D12AFD">
      <w:r>
        <w:t>&lt;ESMA_QUESTION_TS_CSDR_8&gt;</w:t>
      </w:r>
    </w:p>
    <w:p w:rsidR="00300F54" w:rsidRPr="00AE05CE" w:rsidRDefault="00300F54" w:rsidP="00300F54">
      <w:pPr>
        <w:widowControl w:val="0"/>
        <w:spacing w:line="276" w:lineRule="auto"/>
        <w:ind w:right="64"/>
        <w:contextualSpacing/>
        <w:jc w:val="both"/>
        <w:rPr>
          <w:rFonts w:cs="Arial"/>
          <w:bCs/>
        </w:rPr>
      </w:pPr>
      <w:permStart w:id="10" w:edGrp="everyone"/>
      <w:r w:rsidRPr="00AE05CE">
        <w:rPr>
          <w:rFonts w:cs="Arial"/>
          <w:bCs/>
        </w:rPr>
        <w:t xml:space="preserve">We agree in principle with the RTS but would like to point out that standards issued by </w:t>
      </w:r>
      <w:r>
        <w:rPr>
          <w:rFonts w:cs="Arial"/>
          <w:bCs/>
        </w:rPr>
        <w:t>the International Capital Market Association (</w:t>
      </w:r>
      <w:r w:rsidRPr="00AE05CE">
        <w:rPr>
          <w:rFonts w:cs="Arial"/>
          <w:bCs/>
        </w:rPr>
        <w:t>ICMA</w:t>
      </w:r>
      <w:r>
        <w:rPr>
          <w:rFonts w:cs="Arial"/>
          <w:bCs/>
        </w:rPr>
        <w:t>)</w:t>
      </w:r>
      <w:r w:rsidRPr="00AE05CE">
        <w:rPr>
          <w:rFonts w:cs="Arial"/>
          <w:bCs/>
        </w:rPr>
        <w:t xml:space="preserve"> already exist for </w:t>
      </w:r>
      <w:r>
        <w:rPr>
          <w:rFonts w:cs="Arial"/>
          <w:bCs/>
        </w:rPr>
        <w:t xml:space="preserve">the </w:t>
      </w:r>
      <w:r w:rsidRPr="00AE05CE">
        <w:rPr>
          <w:rFonts w:cs="Arial"/>
          <w:bCs/>
        </w:rPr>
        <w:t xml:space="preserve">buy-in processes. Those </w:t>
      </w:r>
      <w:r>
        <w:rPr>
          <w:rFonts w:cs="Arial"/>
          <w:bCs/>
        </w:rPr>
        <w:t xml:space="preserve">ICMA standards </w:t>
      </w:r>
      <w:r w:rsidRPr="00AE05CE">
        <w:rPr>
          <w:rFonts w:cs="Arial"/>
          <w:bCs/>
        </w:rPr>
        <w:t>should be taken into consideration when preparing the final standards.</w:t>
      </w:r>
    </w:p>
    <w:permEnd w:id="10"/>
    <w:p w:rsidR="00D12AFD" w:rsidRDefault="00D12AFD" w:rsidP="00D12AFD">
      <w:r>
        <w:t>&lt;ESMA_QUESTION_TS_CSDR_8&gt;</w:t>
      </w:r>
    </w:p>
    <w:p w:rsidR="00D12AFD" w:rsidRPr="002C4F00" w:rsidRDefault="00D12AFD" w:rsidP="00965B03">
      <w:pPr>
        <w:pStyle w:val="Heading5"/>
        <w:ind w:left="567" w:hanging="567"/>
      </w:pPr>
      <w:r w:rsidRPr="002C4F00">
        <w:t>What are your views on the proposed draft RTS related to the type of operations and their timeframe that render buy-in ineffective?</w:t>
      </w:r>
    </w:p>
    <w:p w:rsidR="00D12AFD" w:rsidRDefault="00D12AFD" w:rsidP="00D12AFD"/>
    <w:p w:rsidR="00D12AFD" w:rsidRDefault="00D12AFD" w:rsidP="00D12AFD">
      <w:r>
        <w:t>&lt;ESMA_QUESTION_TS_CSDR_9&gt;</w:t>
      </w:r>
    </w:p>
    <w:p w:rsidR="005C0956" w:rsidRDefault="005C0956" w:rsidP="00C43D09">
      <w:pPr>
        <w:spacing w:line="276" w:lineRule="auto"/>
        <w:contextualSpacing/>
        <w:jc w:val="both"/>
        <w:rPr>
          <w:rFonts w:cs="Arial"/>
        </w:rPr>
      </w:pPr>
      <w:permStart w:id="11" w:edGrp="everyone"/>
      <w:r w:rsidRPr="00141288">
        <w:rPr>
          <w:rFonts w:cs="Arial"/>
        </w:rPr>
        <w:t xml:space="preserve">Overall the proposal is acceptable, but further technical advice should be provided regarding how an operation composed of several transactions could be identified by a CSD, in particular a CSD which does not offer linking functionality.  </w:t>
      </w:r>
    </w:p>
    <w:p w:rsidR="005C0956" w:rsidRPr="00141288" w:rsidRDefault="005C0956" w:rsidP="00C43D09">
      <w:pPr>
        <w:widowControl w:val="0"/>
        <w:spacing w:line="276" w:lineRule="auto"/>
        <w:ind w:right="63"/>
        <w:contextualSpacing/>
        <w:jc w:val="both"/>
        <w:rPr>
          <w:rFonts w:eastAsia="Arial" w:cs="Arial"/>
          <w:bCs/>
          <w:spacing w:val="1"/>
          <w:lang w:val="en-US" w:eastAsia="en-US"/>
        </w:rPr>
      </w:pPr>
    </w:p>
    <w:p w:rsidR="005C0956" w:rsidRDefault="005C0956" w:rsidP="00C43D09">
      <w:pPr>
        <w:widowControl w:val="0"/>
        <w:spacing w:line="276" w:lineRule="auto"/>
        <w:ind w:right="63"/>
        <w:contextualSpacing/>
        <w:jc w:val="both"/>
        <w:rPr>
          <w:rFonts w:eastAsia="Arial" w:cs="Arial"/>
          <w:b/>
          <w:bCs/>
          <w:spacing w:val="1"/>
          <w:lang w:val="en-US" w:eastAsia="en-US"/>
        </w:rPr>
      </w:pPr>
      <w:r w:rsidRPr="00141288">
        <w:rPr>
          <w:rFonts w:eastAsia="Arial" w:cs="Arial"/>
          <w:bCs/>
          <w:spacing w:val="1"/>
          <w:lang w:val="en-US" w:eastAsia="en-US"/>
        </w:rPr>
        <w:t xml:space="preserve">The RTS would capture all open repo and open SLB.  This would be problematic as it will </w:t>
      </w:r>
      <w:r w:rsidRPr="00141288">
        <w:rPr>
          <w:rFonts w:eastAsia="Arial" w:cs="Arial"/>
          <w:bCs/>
          <w:spacing w:val="1"/>
          <w:lang w:val="en-US" w:eastAsia="en-US"/>
        </w:rPr>
        <w:lastRenderedPageBreak/>
        <w:t>create a two-tiered market</w:t>
      </w:r>
    </w:p>
    <w:p w:rsidR="005C0956" w:rsidRPr="00141288" w:rsidRDefault="005C0956" w:rsidP="00C43D09">
      <w:pPr>
        <w:widowControl w:val="0"/>
        <w:spacing w:line="276" w:lineRule="auto"/>
        <w:ind w:right="63"/>
        <w:contextualSpacing/>
        <w:jc w:val="both"/>
        <w:rPr>
          <w:rFonts w:eastAsia="Arial" w:cs="Arial"/>
          <w:b/>
          <w:bCs/>
          <w:spacing w:val="1"/>
          <w:lang w:val="en-US" w:eastAsia="en-US"/>
        </w:rPr>
      </w:pPr>
    </w:p>
    <w:p w:rsidR="005C0956" w:rsidRPr="00141288" w:rsidRDefault="005C0956" w:rsidP="00C43D09">
      <w:pPr>
        <w:widowControl w:val="0"/>
        <w:spacing w:line="276" w:lineRule="auto"/>
        <w:ind w:right="63"/>
        <w:contextualSpacing/>
        <w:jc w:val="both"/>
        <w:rPr>
          <w:rFonts w:eastAsia="Arial" w:cs="Arial"/>
          <w:bCs/>
          <w:spacing w:val="1"/>
          <w:lang w:val="en-US" w:eastAsia="en-US"/>
        </w:rPr>
      </w:pPr>
      <w:r w:rsidRPr="00141288">
        <w:rPr>
          <w:rFonts w:eastAsia="Arial" w:cs="Arial"/>
          <w:bCs/>
          <w:spacing w:val="1"/>
          <w:lang w:val="en-US" w:eastAsia="en-US"/>
        </w:rPr>
        <w:t>Such exceptions for the buy-in process will have a significant impact on the chai</w:t>
      </w:r>
      <w:r>
        <w:rPr>
          <w:rFonts w:eastAsia="Arial" w:cs="Arial"/>
          <w:bCs/>
          <w:spacing w:val="1"/>
          <w:lang w:val="en-US" w:eastAsia="en-US"/>
        </w:rPr>
        <w:t>n of interm</w:t>
      </w:r>
      <w:r>
        <w:rPr>
          <w:rFonts w:eastAsia="Arial" w:cs="Arial"/>
          <w:bCs/>
          <w:spacing w:val="1"/>
          <w:lang w:val="en-US" w:eastAsia="en-US"/>
        </w:rPr>
        <w:t>e</w:t>
      </w:r>
      <w:r>
        <w:rPr>
          <w:rFonts w:eastAsia="Arial" w:cs="Arial"/>
          <w:bCs/>
          <w:spacing w:val="1"/>
          <w:lang w:val="en-US" w:eastAsia="en-US"/>
        </w:rPr>
        <w:t>diaries and the CSD</w:t>
      </w:r>
      <w:r w:rsidRPr="00141288">
        <w:rPr>
          <w:rFonts w:eastAsia="Arial" w:cs="Arial"/>
          <w:bCs/>
          <w:spacing w:val="1"/>
          <w:lang w:val="en-US" w:eastAsia="en-US"/>
        </w:rPr>
        <w:t xml:space="preserve"> since transaction types are not logged as part of current industry practice. In addition, these transactions types could be misused by some counterparties in order to avoid penalties or buy-in.  </w:t>
      </w:r>
    </w:p>
    <w:p w:rsidR="005C0956" w:rsidRPr="00141288" w:rsidRDefault="005C0956" w:rsidP="00C43D09">
      <w:pPr>
        <w:widowControl w:val="0"/>
        <w:spacing w:line="276" w:lineRule="auto"/>
        <w:ind w:right="63"/>
        <w:contextualSpacing/>
        <w:jc w:val="both"/>
        <w:rPr>
          <w:rFonts w:eastAsia="Arial" w:cs="Arial"/>
          <w:bCs/>
          <w:spacing w:val="1"/>
          <w:lang w:val="en-US" w:eastAsia="en-US"/>
        </w:rPr>
      </w:pPr>
    </w:p>
    <w:p w:rsidR="005C0956" w:rsidRDefault="005C0956" w:rsidP="00C43D09">
      <w:pPr>
        <w:spacing w:line="276" w:lineRule="auto"/>
        <w:contextualSpacing/>
        <w:jc w:val="both"/>
        <w:rPr>
          <w:rFonts w:cs="Arial"/>
          <w:bCs/>
        </w:rPr>
      </w:pPr>
      <w:r w:rsidRPr="00141288">
        <w:rPr>
          <w:rFonts w:cs="Arial"/>
          <w:bCs/>
        </w:rPr>
        <w:t>There are additional circumstances where buy-in</w:t>
      </w:r>
      <w:r>
        <w:rPr>
          <w:rFonts w:cs="Arial"/>
          <w:bCs/>
        </w:rPr>
        <w:t xml:space="preserve"> i</w:t>
      </w:r>
      <w:r w:rsidRPr="00141288">
        <w:rPr>
          <w:rFonts w:cs="Arial"/>
          <w:bCs/>
        </w:rPr>
        <w:t>s impossible or ineffective and these individual cases need to be considered as out of scope. We understand ineffective to mean that although it is possible to execute a buy-in, the buy-in would serve no economic purpose to either party.  There are numerous cases where a settlement does not represent an underlying contractual agreement between a buyer and a seller to satisfy a purchase against an agreed price. Non-exhaustive lists of transfers between CSD accounts which do not represent an underlying trade include the following:</w:t>
      </w:r>
    </w:p>
    <w:p w:rsidR="005C0956" w:rsidRDefault="005C0956" w:rsidP="00C43D09">
      <w:pPr>
        <w:spacing w:line="276" w:lineRule="auto"/>
        <w:contextualSpacing/>
        <w:jc w:val="both"/>
        <w:rPr>
          <w:rFonts w:cs="Arial"/>
          <w:bCs/>
        </w:rPr>
      </w:pPr>
    </w:p>
    <w:p w:rsidR="005C0956" w:rsidRDefault="005C0956" w:rsidP="005C0956">
      <w:pPr>
        <w:pStyle w:val="ListParagraph"/>
        <w:numPr>
          <w:ilvl w:val="0"/>
          <w:numId w:val="41"/>
        </w:numPr>
        <w:spacing w:line="276" w:lineRule="auto"/>
        <w:jc w:val="both"/>
        <w:rPr>
          <w:rFonts w:cs="Arial"/>
          <w:bCs/>
        </w:rPr>
      </w:pPr>
      <w:r w:rsidRPr="00141288">
        <w:rPr>
          <w:rFonts w:cs="Arial"/>
          <w:bCs/>
        </w:rPr>
        <w:t>Portfolio transfers between accounts of the same client at different custodians;</w:t>
      </w:r>
    </w:p>
    <w:p w:rsidR="005C0956" w:rsidRDefault="005C0956" w:rsidP="005C0956">
      <w:pPr>
        <w:pStyle w:val="ListParagraph"/>
        <w:numPr>
          <w:ilvl w:val="0"/>
          <w:numId w:val="41"/>
        </w:numPr>
        <w:spacing w:line="276" w:lineRule="auto"/>
        <w:jc w:val="both"/>
        <w:rPr>
          <w:rFonts w:cs="Arial"/>
          <w:bCs/>
        </w:rPr>
      </w:pPr>
      <w:r w:rsidRPr="00141288">
        <w:rPr>
          <w:rFonts w:cs="Arial"/>
          <w:bCs/>
        </w:rPr>
        <w:t>Realignment of assets between securities accounts held at the same CSD or different CSD’s (depot transfers);</w:t>
      </w:r>
    </w:p>
    <w:p w:rsidR="005C0956" w:rsidRDefault="005C0956" w:rsidP="005C0956">
      <w:pPr>
        <w:pStyle w:val="ListParagraph"/>
        <w:numPr>
          <w:ilvl w:val="0"/>
          <w:numId w:val="41"/>
        </w:numPr>
        <w:spacing w:line="276" w:lineRule="auto"/>
        <w:jc w:val="both"/>
        <w:rPr>
          <w:rFonts w:cs="Arial"/>
          <w:bCs/>
        </w:rPr>
      </w:pPr>
      <w:r w:rsidRPr="00141288">
        <w:rPr>
          <w:rFonts w:cs="Arial"/>
          <w:bCs/>
        </w:rPr>
        <w:t>Allocation of assets across different funds, or in different tax pooling accounts;</w:t>
      </w:r>
    </w:p>
    <w:p w:rsidR="005C0956" w:rsidRDefault="005C0956" w:rsidP="005C0956">
      <w:pPr>
        <w:pStyle w:val="ListParagraph"/>
        <w:numPr>
          <w:ilvl w:val="0"/>
          <w:numId w:val="41"/>
        </w:numPr>
        <w:spacing w:line="276" w:lineRule="auto"/>
        <w:jc w:val="both"/>
        <w:rPr>
          <w:rFonts w:cs="Arial"/>
          <w:bCs/>
        </w:rPr>
      </w:pPr>
      <w:r w:rsidRPr="00141288">
        <w:rPr>
          <w:rFonts w:cs="Arial"/>
          <w:bCs/>
        </w:rPr>
        <w:t>Collateral movements and margin deliveries/reimbursements;</w:t>
      </w:r>
      <w:r>
        <w:rPr>
          <w:rFonts w:cs="Arial"/>
          <w:bCs/>
        </w:rPr>
        <w:t xml:space="preserve"> and</w:t>
      </w:r>
    </w:p>
    <w:p w:rsidR="005C0956" w:rsidRDefault="005C0956" w:rsidP="005C0956">
      <w:pPr>
        <w:pStyle w:val="ListParagraph"/>
        <w:numPr>
          <w:ilvl w:val="0"/>
          <w:numId w:val="41"/>
        </w:numPr>
        <w:spacing w:line="276" w:lineRule="auto"/>
        <w:jc w:val="both"/>
        <w:rPr>
          <w:rFonts w:cs="Arial"/>
          <w:bCs/>
        </w:rPr>
      </w:pPr>
      <w:r w:rsidRPr="00141288">
        <w:rPr>
          <w:rFonts w:cs="Arial"/>
          <w:bCs/>
        </w:rPr>
        <w:t>Settlement as a result of a corporate action etc</w:t>
      </w:r>
      <w:r>
        <w:rPr>
          <w:rFonts w:cs="Arial"/>
          <w:bCs/>
        </w:rPr>
        <w:t>.</w:t>
      </w:r>
    </w:p>
    <w:p w:rsidR="005C0956" w:rsidRDefault="005C0956" w:rsidP="00C43D09">
      <w:pPr>
        <w:spacing w:line="276" w:lineRule="auto"/>
        <w:contextualSpacing/>
        <w:jc w:val="both"/>
        <w:rPr>
          <w:rFonts w:cs="Arial"/>
          <w:bCs/>
        </w:rPr>
      </w:pPr>
    </w:p>
    <w:p w:rsidR="00D12AFD" w:rsidRDefault="005C0956" w:rsidP="00D12AFD">
      <w:r w:rsidRPr="00141288">
        <w:rPr>
          <w:rFonts w:cs="Arial"/>
          <w:bCs/>
        </w:rPr>
        <w:t>It s</w:t>
      </w:r>
      <w:r>
        <w:rPr>
          <w:rFonts w:cs="Arial"/>
          <w:bCs/>
        </w:rPr>
        <w:t>hould</w:t>
      </w:r>
      <w:r w:rsidRPr="00141288">
        <w:rPr>
          <w:rFonts w:cs="Arial"/>
          <w:bCs/>
        </w:rPr>
        <w:t xml:space="preserve"> be noted that the majority of those settlements are free of payment. However, even delivery versus payment (DVP) settlements can in certain cases be executed without representing an underlying trade and therefore such trades should be considered as out of scope</w:t>
      </w:r>
      <w:proofErr w:type="gramStart"/>
      <w:r w:rsidRPr="00141288">
        <w:rPr>
          <w:rFonts w:cs="Arial"/>
          <w:bCs/>
        </w:rPr>
        <w:t>.</w:t>
      </w:r>
      <w:permEnd w:id="11"/>
      <w:r w:rsidR="00D12AFD">
        <w:t>&lt;</w:t>
      </w:r>
      <w:proofErr w:type="gramEnd"/>
      <w:r w:rsidR="00D12AFD">
        <w:t>ESMA_QUESTION_TS_CSDR_9&gt;</w:t>
      </w:r>
    </w:p>
    <w:p w:rsidR="00D12AFD" w:rsidRPr="002C4F00" w:rsidRDefault="00D12AFD" w:rsidP="00965B03">
      <w:pPr>
        <w:pStyle w:val="Heading5"/>
        <w:ind w:left="567" w:hanging="567"/>
      </w:pPr>
      <w:r w:rsidRPr="002C4F00">
        <w:t>What are your views on the proposed draft RTS related to the calculation of the cash compensation?</w:t>
      </w:r>
    </w:p>
    <w:p w:rsidR="00D12AFD" w:rsidRDefault="00D12AFD" w:rsidP="00D12AFD"/>
    <w:p w:rsidR="00D12AFD" w:rsidRDefault="00D12AFD" w:rsidP="00D12AFD">
      <w:r>
        <w:t>&lt;ESMA_QUESTION_TS_CSDR_10&gt;</w:t>
      </w:r>
    </w:p>
    <w:p w:rsidR="005C0956" w:rsidRPr="00141288" w:rsidRDefault="005C0956" w:rsidP="00C43D09">
      <w:pPr>
        <w:widowControl w:val="0"/>
        <w:spacing w:line="276" w:lineRule="auto"/>
        <w:ind w:right="60"/>
        <w:contextualSpacing/>
        <w:jc w:val="both"/>
        <w:rPr>
          <w:rFonts w:eastAsia="Arial" w:cs="Arial"/>
          <w:bCs/>
          <w:spacing w:val="1"/>
          <w:lang w:val="en-US" w:eastAsia="en-US"/>
        </w:rPr>
      </w:pPr>
      <w:permStart w:id="12" w:edGrp="everyone"/>
      <w:r w:rsidRPr="00141288">
        <w:rPr>
          <w:rFonts w:eastAsia="Arial" w:cs="Arial"/>
          <w:bCs/>
          <w:lang w:val="en-US" w:eastAsia="en-US"/>
        </w:rPr>
        <w:t xml:space="preserve">We agree with the proposal in general.  The cost should be based on the mark-to-market of the traded price due </w:t>
      </w:r>
      <w:proofErr w:type="spellStart"/>
      <w:r w:rsidRPr="00141288">
        <w:rPr>
          <w:rFonts w:eastAsia="Arial" w:cs="Arial"/>
          <w:bCs/>
          <w:lang w:val="en-US" w:eastAsia="en-US"/>
        </w:rPr>
        <w:t>vs</w:t>
      </w:r>
      <w:proofErr w:type="spellEnd"/>
      <w:r w:rsidRPr="00141288">
        <w:rPr>
          <w:rFonts w:eastAsia="Arial" w:cs="Arial"/>
          <w:bCs/>
          <w:lang w:val="en-US" w:eastAsia="en-US"/>
        </w:rPr>
        <w:t xml:space="preserve"> the buy-in price of the securities. The penalty regime should tackle the settlement inefficiency; the Buy-in process should mitigate the recipient’s </w:t>
      </w:r>
      <w:r>
        <w:rPr>
          <w:rFonts w:eastAsia="Arial" w:cs="Arial"/>
          <w:bCs/>
          <w:lang w:val="en-US" w:eastAsia="en-US"/>
        </w:rPr>
        <w:t xml:space="preserve">loss due to </w:t>
      </w:r>
      <w:r w:rsidRPr="00141288">
        <w:rPr>
          <w:rFonts w:eastAsia="Arial" w:cs="Arial"/>
          <w:bCs/>
          <w:lang w:val="en-US" w:eastAsia="en-US"/>
        </w:rPr>
        <w:t xml:space="preserve">the failure to deliver.  </w:t>
      </w:r>
    </w:p>
    <w:p w:rsidR="005C0956" w:rsidRPr="00141288" w:rsidRDefault="005C0956" w:rsidP="00C43D09">
      <w:pPr>
        <w:widowControl w:val="0"/>
        <w:spacing w:line="276" w:lineRule="auto"/>
        <w:ind w:right="60"/>
        <w:contextualSpacing/>
        <w:jc w:val="both"/>
        <w:rPr>
          <w:rFonts w:eastAsia="Arial" w:cs="Arial"/>
          <w:bCs/>
          <w:spacing w:val="1"/>
          <w:lang w:val="en-US" w:eastAsia="en-US"/>
        </w:rPr>
      </w:pPr>
    </w:p>
    <w:p w:rsidR="005C0956" w:rsidRPr="00141288" w:rsidRDefault="005C0956" w:rsidP="00C43D09">
      <w:pPr>
        <w:widowControl w:val="0"/>
        <w:spacing w:line="276" w:lineRule="auto"/>
        <w:ind w:right="60"/>
        <w:contextualSpacing/>
        <w:jc w:val="both"/>
        <w:rPr>
          <w:rFonts w:eastAsia="Arial" w:cs="Arial"/>
          <w:bCs/>
          <w:spacing w:val="1"/>
          <w:lang w:val="en-US" w:eastAsia="en-US"/>
        </w:rPr>
      </w:pPr>
      <w:r w:rsidRPr="00141288">
        <w:rPr>
          <w:rFonts w:eastAsia="Arial" w:cs="Arial"/>
          <w:bCs/>
          <w:spacing w:val="1"/>
          <w:lang w:val="en-US" w:eastAsia="en-US"/>
        </w:rPr>
        <w:t>Clarification should also be provided on how to address the situation where there is no buy-in agent available for the respective instrument or there is no source of any reference price avai</w:t>
      </w:r>
      <w:r w:rsidRPr="00141288">
        <w:rPr>
          <w:rFonts w:eastAsia="Arial" w:cs="Arial"/>
          <w:bCs/>
          <w:spacing w:val="1"/>
          <w:lang w:val="en-US" w:eastAsia="en-US"/>
        </w:rPr>
        <w:t>l</w:t>
      </w:r>
      <w:r w:rsidRPr="00141288">
        <w:rPr>
          <w:rFonts w:eastAsia="Arial" w:cs="Arial"/>
          <w:bCs/>
          <w:spacing w:val="1"/>
          <w:lang w:val="en-US" w:eastAsia="en-US"/>
        </w:rPr>
        <w:t xml:space="preserve">able (which would not be unusual in cases of illiquid securities).  </w:t>
      </w:r>
    </w:p>
    <w:p w:rsidR="005C0956" w:rsidRPr="00141288" w:rsidRDefault="005C0956" w:rsidP="00C43D09">
      <w:pPr>
        <w:widowControl w:val="0"/>
        <w:spacing w:line="276" w:lineRule="auto"/>
        <w:ind w:right="60"/>
        <w:contextualSpacing/>
        <w:jc w:val="both"/>
        <w:rPr>
          <w:rFonts w:eastAsia="Arial" w:cs="Arial"/>
          <w:b/>
          <w:bCs/>
          <w:spacing w:val="1"/>
          <w:lang w:val="en-US" w:eastAsia="en-US"/>
        </w:rPr>
      </w:pPr>
    </w:p>
    <w:p w:rsidR="005C0956" w:rsidRDefault="005C0956" w:rsidP="00C43D09">
      <w:pPr>
        <w:widowControl w:val="0"/>
        <w:spacing w:line="276" w:lineRule="auto"/>
        <w:ind w:right="60"/>
        <w:jc w:val="both"/>
        <w:rPr>
          <w:rFonts w:eastAsia="Arial" w:cs="Arial"/>
          <w:b/>
          <w:bCs/>
          <w:spacing w:val="1"/>
          <w:lang w:val="de-DE" w:eastAsia="en-US"/>
        </w:rPr>
      </w:pPr>
      <w:r w:rsidRPr="00FE005C">
        <w:rPr>
          <w:rFonts w:cs="Arial"/>
          <w:lang w:val="de-DE"/>
        </w:rPr>
        <w:t xml:space="preserve">A pre-agreed formula for cash compensation between counterparties could be a solution when the buy-in cannot be processed successfully. However, the proposal that the cash compensation will only be paid where there is a positive difference to the receiving participant warrants reconsideration. This would imply that the buy-in process is essentially a penalty and not a remedy mechanism to restore both counterparties to the position they would be in had the original trade settled as anticipated. Any cash compensation should be paid both ways. </w:t>
      </w:r>
      <w:r w:rsidRPr="00FE005C">
        <w:rPr>
          <w:rFonts w:cs="Arial"/>
          <w:lang w:val="de-DE"/>
        </w:rPr>
        <w:lastRenderedPageBreak/>
        <w:t>Moreover, by imposing the payment only in one direction, the defaulting party might be doubly penalised as it already has paid the settlement penalty up to the moment of buy-in.</w:t>
      </w:r>
    </w:p>
    <w:p w:rsidR="005C0956" w:rsidRDefault="005C0956" w:rsidP="00C43D09">
      <w:pPr>
        <w:widowControl w:val="0"/>
        <w:spacing w:line="276" w:lineRule="auto"/>
        <w:ind w:right="60"/>
        <w:contextualSpacing/>
        <w:jc w:val="both"/>
        <w:rPr>
          <w:rFonts w:eastAsia="Arial" w:cs="Arial"/>
          <w:b/>
          <w:bCs/>
          <w:spacing w:val="1"/>
          <w:lang w:val="en-US" w:eastAsia="en-US"/>
        </w:rPr>
      </w:pPr>
    </w:p>
    <w:p w:rsidR="005C0956" w:rsidRDefault="005C0956" w:rsidP="00C43D09">
      <w:pPr>
        <w:spacing w:line="276" w:lineRule="auto"/>
        <w:contextualSpacing/>
        <w:jc w:val="both"/>
        <w:rPr>
          <w:rFonts w:cs="Arial"/>
          <w:bCs/>
        </w:rPr>
      </w:pPr>
      <w:r>
        <w:rPr>
          <w:rFonts w:cs="Arial"/>
          <w:bCs/>
        </w:rPr>
        <w:t xml:space="preserve">The RTS should reflect the fact that </w:t>
      </w:r>
      <w:r w:rsidRPr="00141288">
        <w:rPr>
          <w:rFonts w:cs="Arial"/>
          <w:bCs/>
        </w:rPr>
        <w:t xml:space="preserve">there are also cases where a buy-in is simply not possible. </w:t>
      </w:r>
      <w:r>
        <w:rPr>
          <w:rFonts w:cs="Arial"/>
          <w:bCs/>
        </w:rPr>
        <w:t xml:space="preserve">As a result, payment of cash compensation to the receiving participant in such cases is neither necessary nor appropriate.  </w:t>
      </w:r>
      <w:r w:rsidRPr="00141288">
        <w:rPr>
          <w:rFonts w:cs="Arial"/>
          <w:bCs/>
        </w:rPr>
        <w:t>Examples of such scenarios include the following:</w:t>
      </w:r>
    </w:p>
    <w:p w:rsidR="005C0956" w:rsidRDefault="005C0956" w:rsidP="00C43D09">
      <w:pPr>
        <w:spacing w:line="276" w:lineRule="auto"/>
        <w:contextualSpacing/>
        <w:jc w:val="both"/>
        <w:rPr>
          <w:rFonts w:cs="Arial"/>
          <w:bCs/>
        </w:rPr>
      </w:pPr>
    </w:p>
    <w:p w:rsidR="005C0956" w:rsidRDefault="005C0956" w:rsidP="005C0956">
      <w:pPr>
        <w:pStyle w:val="ListParagraph"/>
        <w:numPr>
          <w:ilvl w:val="0"/>
          <w:numId w:val="42"/>
        </w:numPr>
        <w:spacing w:line="276" w:lineRule="auto"/>
        <w:jc w:val="both"/>
        <w:rPr>
          <w:rFonts w:cs="Arial"/>
          <w:bCs/>
        </w:rPr>
      </w:pPr>
      <w:r w:rsidRPr="00141288">
        <w:rPr>
          <w:rFonts w:cs="Arial"/>
          <w:bCs/>
        </w:rPr>
        <w:t>The security which is the subject of a buy-in ceases to exist, or there are changes in the nature or characteristics of the security;</w:t>
      </w:r>
    </w:p>
    <w:p w:rsidR="005C0956" w:rsidRDefault="005C0956" w:rsidP="005C0956">
      <w:pPr>
        <w:pStyle w:val="ListParagraph"/>
        <w:numPr>
          <w:ilvl w:val="1"/>
          <w:numId w:val="42"/>
        </w:numPr>
        <w:spacing w:line="276" w:lineRule="auto"/>
        <w:jc w:val="both"/>
        <w:rPr>
          <w:rFonts w:cs="Arial"/>
          <w:bCs/>
        </w:rPr>
      </w:pPr>
      <w:r w:rsidRPr="00141288">
        <w:rPr>
          <w:rFonts w:cs="Arial"/>
          <w:bCs/>
        </w:rPr>
        <w:t>Securities come to the end of their life (e.g. as a result of a partial or full redemption);</w:t>
      </w:r>
    </w:p>
    <w:p w:rsidR="005C0956" w:rsidRDefault="005C0956" w:rsidP="005C0956">
      <w:pPr>
        <w:pStyle w:val="ListParagraph"/>
        <w:numPr>
          <w:ilvl w:val="1"/>
          <w:numId w:val="42"/>
        </w:numPr>
        <w:spacing w:line="276" w:lineRule="auto"/>
        <w:jc w:val="both"/>
        <w:rPr>
          <w:rFonts w:cs="Arial"/>
          <w:bCs/>
        </w:rPr>
      </w:pPr>
      <w:r w:rsidRPr="00141288">
        <w:rPr>
          <w:rFonts w:cs="Arial"/>
          <w:bCs/>
        </w:rPr>
        <w:t>Asset classes that are convertible and redeemable should be excluded from buy-in when they are close to their redeemable/convertible dates (i.e. buy-in period &lt;= time to conversion/redemption): e.g. convertible bonds, warrants, bonds (all types);</w:t>
      </w:r>
    </w:p>
    <w:p w:rsidR="005C0956" w:rsidRDefault="005C0956" w:rsidP="005C0956">
      <w:pPr>
        <w:pStyle w:val="ListParagraph"/>
        <w:numPr>
          <w:ilvl w:val="1"/>
          <w:numId w:val="42"/>
        </w:numPr>
        <w:spacing w:line="276" w:lineRule="auto"/>
        <w:jc w:val="both"/>
        <w:rPr>
          <w:rFonts w:cs="Arial"/>
          <w:bCs/>
        </w:rPr>
      </w:pPr>
      <w:r w:rsidRPr="00141288">
        <w:rPr>
          <w:rFonts w:cs="Arial"/>
          <w:bCs/>
        </w:rPr>
        <w:t>Securities bought with certain rights (e.g. additional rights, cum dividend) are losing those attached rights, or change in nature, e.g. as a result of a right expiring or a dividend pay-out, issued securities subject to conversion resulting from merger and acquisition.</w:t>
      </w:r>
    </w:p>
    <w:p w:rsidR="005C0956" w:rsidRDefault="005C0956" w:rsidP="005C0956">
      <w:pPr>
        <w:pStyle w:val="ListParagraph"/>
        <w:numPr>
          <w:ilvl w:val="1"/>
          <w:numId w:val="42"/>
        </w:numPr>
        <w:spacing w:line="276" w:lineRule="auto"/>
        <w:jc w:val="both"/>
        <w:rPr>
          <w:rFonts w:cs="Arial"/>
          <w:bCs/>
        </w:rPr>
      </w:pPr>
      <w:r w:rsidRPr="00141288">
        <w:rPr>
          <w:rFonts w:cs="Arial"/>
          <w:bCs/>
        </w:rPr>
        <w:t>The resultant security contains a covenant restricting ownership by investor type, market or region or the investor is restricted from holding the resultant security.</w:t>
      </w:r>
    </w:p>
    <w:p w:rsidR="005C0956" w:rsidRDefault="005C0956" w:rsidP="005C0956">
      <w:pPr>
        <w:pStyle w:val="ListParagraph"/>
        <w:numPr>
          <w:ilvl w:val="0"/>
          <w:numId w:val="42"/>
        </w:numPr>
        <w:spacing w:line="276" w:lineRule="auto"/>
        <w:jc w:val="both"/>
        <w:rPr>
          <w:rFonts w:cs="Arial"/>
          <w:bCs/>
        </w:rPr>
      </w:pPr>
      <w:r w:rsidRPr="00141288">
        <w:rPr>
          <w:rFonts w:cs="Arial"/>
          <w:bCs/>
        </w:rPr>
        <w:t>Securities can no longer be traded and/or settled e.g. listing at exchange/trading venue is suspended and  or the issuer defaults (all securities)</w:t>
      </w:r>
    </w:p>
    <w:p w:rsidR="005C0956" w:rsidRDefault="005C0956" w:rsidP="005C0956">
      <w:pPr>
        <w:pStyle w:val="ListParagraph"/>
        <w:numPr>
          <w:ilvl w:val="1"/>
          <w:numId w:val="42"/>
        </w:numPr>
        <w:spacing w:line="276" w:lineRule="auto"/>
        <w:jc w:val="both"/>
        <w:rPr>
          <w:rFonts w:cs="Arial"/>
          <w:bCs/>
        </w:rPr>
      </w:pPr>
      <w:r w:rsidRPr="00141288">
        <w:rPr>
          <w:rFonts w:cs="Arial"/>
          <w:bCs/>
        </w:rPr>
        <w:t>Even though the security still exists, there is not enough liquidity in the market to permit a successful buy-in. The loss of liquidity can be temporary or permanent. A non-exhaustive list of examples includes the following:</w:t>
      </w:r>
    </w:p>
    <w:p w:rsidR="005C0956" w:rsidRDefault="005C0956" w:rsidP="005C0956">
      <w:pPr>
        <w:pStyle w:val="ListParagraph"/>
        <w:numPr>
          <w:ilvl w:val="1"/>
          <w:numId w:val="42"/>
        </w:numPr>
        <w:spacing w:line="276" w:lineRule="auto"/>
        <w:jc w:val="both"/>
        <w:rPr>
          <w:rFonts w:cs="Arial"/>
          <w:bCs/>
        </w:rPr>
      </w:pPr>
      <w:r w:rsidRPr="00141288">
        <w:rPr>
          <w:rFonts w:cs="Arial"/>
          <w:bCs/>
        </w:rPr>
        <w:t>Trading liquidity disappears as a result of a temporary market event: in dividend season, securities often “go special” and are not available to be borrowed (preventing a buy-in) or bought.</w:t>
      </w:r>
    </w:p>
    <w:p w:rsidR="005C0956" w:rsidRDefault="005C0956" w:rsidP="005C0956">
      <w:pPr>
        <w:pStyle w:val="ListParagraph"/>
        <w:numPr>
          <w:ilvl w:val="1"/>
          <w:numId w:val="42"/>
        </w:numPr>
        <w:spacing w:line="276" w:lineRule="auto"/>
        <w:jc w:val="both"/>
        <w:rPr>
          <w:rFonts w:cs="Arial"/>
          <w:bCs/>
        </w:rPr>
      </w:pPr>
      <w:r w:rsidRPr="00141288">
        <w:rPr>
          <w:rFonts w:cs="Arial"/>
          <w:bCs/>
        </w:rPr>
        <w:t>The demand for securities is much higher than what is available for sale: bid offer spreads widen, and securities might be temporarily unavailable. Some examples are:</w:t>
      </w:r>
    </w:p>
    <w:p w:rsidR="005C0956" w:rsidRDefault="005C0956" w:rsidP="005C0956">
      <w:pPr>
        <w:pStyle w:val="ListParagraph"/>
        <w:numPr>
          <w:ilvl w:val="1"/>
          <w:numId w:val="42"/>
        </w:numPr>
        <w:spacing w:line="276" w:lineRule="auto"/>
        <w:jc w:val="both"/>
        <w:rPr>
          <w:rFonts w:cs="Arial"/>
          <w:bCs/>
        </w:rPr>
      </w:pPr>
      <w:r w:rsidRPr="00141288">
        <w:rPr>
          <w:rFonts w:cs="Arial"/>
          <w:bCs/>
        </w:rPr>
        <w:t>Over futures expiry periods, certain lines of securities become the “cheapest to deliver” and demand for those securities peaks</w:t>
      </w:r>
    </w:p>
    <w:p w:rsidR="005C0956" w:rsidRDefault="005C0956" w:rsidP="005C0956">
      <w:pPr>
        <w:pStyle w:val="ListParagraph"/>
        <w:numPr>
          <w:ilvl w:val="1"/>
          <w:numId w:val="42"/>
        </w:numPr>
        <w:spacing w:line="276" w:lineRule="auto"/>
        <w:jc w:val="both"/>
        <w:rPr>
          <w:rFonts w:cs="Arial"/>
          <w:bCs/>
        </w:rPr>
      </w:pPr>
      <w:r w:rsidRPr="00141288">
        <w:rPr>
          <w:rFonts w:cs="Arial"/>
          <w:bCs/>
        </w:rPr>
        <w:t>The composition of certain market indices changes (e.g. FTSE, DAX), triggering large demands for certain securities</w:t>
      </w:r>
    </w:p>
    <w:p w:rsidR="005C0956" w:rsidRDefault="005C0956" w:rsidP="005C0956">
      <w:pPr>
        <w:pStyle w:val="ListParagraph"/>
        <w:numPr>
          <w:ilvl w:val="1"/>
          <w:numId w:val="42"/>
        </w:numPr>
        <w:spacing w:line="276" w:lineRule="auto"/>
        <w:jc w:val="both"/>
        <w:rPr>
          <w:rFonts w:cs="Arial"/>
          <w:bCs/>
        </w:rPr>
      </w:pPr>
      <w:r w:rsidRPr="00141288">
        <w:rPr>
          <w:rFonts w:cs="Arial"/>
          <w:bCs/>
        </w:rPr>
        <w:t>Securities are temporarily blocked and cannot be delivered or settled any longer: e.g. as a result of corporate actions or international sanctions:</w:t>
      </w:r>
    </w:p>
    <w:p w:rsidR="005C0956" w:rsidRDefault="005C0956" w:rsidP="005C0956">
      <w:pPr>
        <w:pStyle w:val="ListParagraph"/>
        <w:numPr>
          <w:ilvl w:val="1"/>
          <w:numId w:val="42"/>
        </w:numPr>
        <w:spacing w:line="276" w:lineRule="auto"/>
        <w:jc w:val="both"/>
        <w:rPr>
          <w:rFonts w:cs="Arial"/>
          <w:bCs/>
        </w:rPr>
      </w:pPr>
      <w:r w:rsidRPr="00141288">
        <w:rPr>
          <w:rFonts w:cs="Arial"/>
          <w:bCs/>
        </w:rPr>
        <w:t>OTC Market Maker Securities with limited inventory (requiring private placements)</w:t>
      </w:r>
    </w:p>
    <w:p w:rsidR="005C0956" w:rsidRDefault="005C0956" w:rsidP="005C0956">
      <w:pPr>
        <w:pStyle w:val="ListParagraph"/>
        <w:numPr>
          <w:ilvl w:val="1"/>
          <w:numId w:val="42"/>
        </w:numPr>
        <w:spacing w:line="276" w:lineRule="auto"/>
        <w:jc w:val="both"/>
        <w:rPr>
          <w:rFonts w:cs="Arial"/>
          <w:bCs/>
        </w:rPr>
      </w:pPr>
      <w:r w:rsidRPr="00141288">
        <w:rPr>
          <w:rFonts w:cs="Arial"/>
          <w:bCs/>
        </w:rPr>
        <w:t>Depository Receipts with no headroom to convert from liquid underlying to the Depository Receipt</w:t>
      </w:r>
    </w:p>
    <w:p w:rsidR="005C0956" w:rsidRDefault="005C0956" w:rsidP="005C0956">
      <w:pPr>
        <w:pStyle w:val="ListParagraph"/>
        <w:numPr>
          <w:ilvl w:val="1"/>
          <w:numId w:val="42"/>
        </w:numPr>
        <w:spacing w:line="276" w:lineRule="auto"/>
        <w:jc w:val="both"/>
        <w:rPr>
          <w:rFonts w:cs="Arial"/>
          <w:bCs/>
        </w:rPr>
      </w:pPr>
      <w:r w:rsidRPr="00141288">
        <w:rPr>
          <w:rFonts w:cs="Arial"/>
          <w:bCs/>
        </w:rPr>
        <w:t>If the buyer ceases or is restricted from activities in the interim period (insolvency, sanctions, Court Orders) etc.</w:t>
      </w:r>
    </w:p>
    <w:p w:rsidR="00D12AFD" w:rsidRDefault="005C0956" w:rsidP="00D12AFD">
      <w:r w:rsidRPr="000F5663">
        <w:rPr>
          <w:rFonts w:cs="Arial"/>
          <w:bCs/>
        </w:rPr>
        <w:t>Cross border settlement via a CSD link between an EU and non-EU CSD</w:t>
      </w:r>
      <w:permEnd w:id="12"/>
      <w:r w:rsidR="00D12AFD">
        <w:t>&lt;ESMA_QUESTION_TS_CSDR_10&gt;</w:t>
      </w:r>
    </w:p>
    <w:p w:rsidR="00D12AFD" w:rsidRPr="002C4F00" w:rsidRDefault="00D12AFD" w:rsidP="00965B03">
      <w:pPr>
        <w:pStyle w:val="Heading5"/>
        <w:ind w:left="567" w:hanging="567"/>
      </w:pPr>
      <w:r w:rsidRPr="002C4F00">
        <w:lastRenderedPageBreak/>
        <w:t>What are your views on the proposed draft RTS related to the conditions for a participant to consistently and systematically fail?</w:t>
      </w:r>
    </w:p>
    <w:p w:rsidR="00D12AFD" w:rsidRDefault="00D12AFD" w:rsidP="00D12AFD"/>
    <w:p w:rsidR="00D12AFD" w:rsidRDefault="00D12AFD" w:rsidP="00D12AFD">
      <w:r>
        <w:t>&lt;ESMA_QUESTION_TS_CSDR_11&gt;</w:t>
      </w:r>
    </w:p>
    <w:p w:rsidR="005C0956" w:rsidRDefault="005C0956" w:rsidP="00C43D09">
      <w:pPr>
        <w:widowControl w:val="0"/>
        <w:spacing w:line="276" w:lineRule="auto"/>
        <w:ind w:right="64"/>
        <w:contextualSpacing/>
        <w:jc w:val="both"/>
        <w:rPr>
          <w:rFonts w:cs="Arial"/>
          <w:bCs/>
        </w:rPr>
      </w:pPr>
      <w:permStart w:id="13" w:edGrp="everyone"/>
      <w:r w:rsidRPr="00141288">
        <w:rPr>
          <w:rFonts w:cs="Arial"/>
          <w:bCs/>
        </w:rPr>
        <w:t>When assessing a CSD participant to determine if the entity should be deemed to consistently and systematically fail, the RTS must acknowledge the different roles of intermediaries in the settlement chain.  CSD Participants settling third party trades are considered intermediaries acting as direct agents on behalf of their underlying clients.  Such agents will often have limited control with respect to the settlement efficiency and trading patterns of their underlying clients. At times, settlement agents are forced to withhold settlement of certain client settlement transactions in order to protect positions of other clients</w:t>
      </w:r>
      <w:r>
        <w:rPr>
          <w:rFonts w:cs="Arial"/>
          <w:bCs/>
        </w:rPr>
        <w:t xml:space="preserve"> or to apply client risk management princ</w:t>
      </w:r>
      <w:r>
        <w:rPr>
          <w:rFonts w:cs="Arial"/>
          <w:bCs/>
        </w:rPr>
        <w:t>i</w:t>
      </w:r>
      <w:r>
        <w:rPr>
          <w:rFonts w:cs="Arial"/>
          <w:bCs/>
        </w:rPr>
        <w:t>ples</w:t>
      </w:r>
      <w:r w:rsidRPr="00141288">
        <w:rPr>
          <w:rFonts w:cs="Arial"/>
          <w:bCs/>
        </w:rPr>
        <w:t>. Imposing a suspension on CSD participants due to high fail rates attributable to the participant’s clients will unfairly harm CSD participants. As a result, a CSD participant’s performance should only be assessed in the context of the account type in question; i.e. is the CSD acting as principle in management of the account, or is the participant submitting settlement instructions for an omnibus or individual client segregated account. Only settlement failures for proprietary accounts should be included in the analysis to determine systematic failure status. Failures attributable to the accounts of a CSD’s clients should be excluded from the calculation.</w:t>
      </w:r>
    </w:p>
    <w:p w:rsidR="005C0956" w:rsidRDefault="005C0956" w:rsidP="00C43D09">
      <w:pPr>
        <w:widowControl w:val="0"/>
        <w:spacing w:line="276" w:lineRule="auto"/>
        <w:ind w:right="64"/>
        <w:contextualSpacing/>
        <w:jc w:val="both"/>
        <w:rPr>
          <w:rFonts w:cs="Arial"/>
          <w:bCs/>
        </w:rPr>
      </w:pPr>
    </w:p>
    <w:p w:rsidR="005C0956" w:rsidRPr="00141288" w:rsidRDefault="005C0956" w:rsidP="00C43D09">
      <w:pPr>
        <w:widowControl w:val="0"/>
        <w:spacing w:line="276" w:lineRule="auto"/>
        <w:ind w:right="64"/>
        <w:contextualSpacing/>
        <w:jc w:val="both"/>
        <w:rPr>
          <w:rFonts w:cs="Arial"/>
          <w:bCs/>
        </w:rPr>
      </w:pPr>
      <w:r w:rsidRPr="00141288">
        <w:rPr>
          <w:rFonts w:cs="Arial"/>
          <w:bCs/>
        </w:rPr>
        <w:t>Moreover we should highlight that in its calculation of the settlement performance</w:t>
      </w:r>
      <w:r>
        <w:rPr>
          <w:rFonts w:cs="Arial"/>
          <w:bCs/>
        </w:rPr>
        <w:t>,</w:t>
      </w:r>
      <w:r w:rsidRPr="00141288">
        <w:rPr>
          <w:rFonts w:cs="Arial"/>
          <w:bCs/>
        </w:rPr>
        <w:t xml:space="preserve"> CSDs should only take into consideration those transactions where the fail can be attributed to the participant. ESMA should provide clarity as to how the settlement efficiency should be computed by CSDs</w:t>
      </w:r>
      <w:r>
        <w:rPr>
          <w:rFonts w:cs="Arial"/>
          <w:bCs/>
        </w:rPr>
        <w:t>,</w:t>
      </w:r>
      <w:r w:rsidRPr="00141288">
        <w:rPr>
          <w:rFonts w:cs="Arial"/>
          <w:bCs/>
        </w:rPr>
        <w:t xml:space="preserve"> otherwise undesired </w:t>
      </w:r>
      <w:r>
        <w:rPr>
          <w:rFonts w:cs="Arial"/>
          <w:bCs/>
        </w:rPr>
        <w:t xml:space="preserve">consequences </w:t>
      </w:r>
      <w:r w:rsidRPr="00141288">
        <w:rPr>
          <w:rFonts w:cs="Arial"/>
          <w:bCs/>
        </w:rPr>
        <w:t xml:space="preserve">could </w:t>
      </w:r>
      <w:r>
        <w:rPr>
          <w:rFonts w:cs="Arial"/>
          <w:bCs/>
        </w:rPr>
        <w:t xml:space="preserve">result.  </w:t>
      </w:r>
      <w:r w:rsidRPr="00141288">
        <w:rPr>
          <w:rFonts w:cs="Arial"/>
          <w:bCs/>
        </w:rPr>
        <w:t xml:space="preserve">As an example as CSD participant which is only on the receiving end of transactions could have a bad settlement efficiency if his trading counterparties are not delivering the financial instruments despite sufficient cash being available. </w:t>
      </w:r>
    </w:p>
    <w:p w:rsidR="005C0956" w:rsidRDefault="005C0956" w:rsidP="00C43D09">
      <w:pPr>
        <w:spacing w:line="276" w:lineRule="auto"/>
        <w:contextualSpacing/>
        <w:jc w:val="both"/>
        <w:rPr>
          <w:rFonts w:cs="Arial"/>
          <w:bCs/>
        </w:rPr>
      </w:pPr>
    </w:p>
    <w:p w:rsidR="005C0956" w:rsidRDefault="005C0956" w:rsidP="00C43D09">
      <w:pPr>
        <w:spacing w:line="276" w:lineRule="auto"/>
        <w:contextualSpacing/>
        <w:jc w:val="both"/>
        <w:rPr>
          <w:rFonts w:cs="Arial"/>
          <w:bCs/>
        </w:rPr>
      </w:pPr>
      <w:r w:rsidRPr="00141288">
        <w:rPr>
          <w:rFonts w:cs="Arial"/>
          <w:bCs/>
        </w:rPr>
        <w:t>The RTS must clarify on which basis CSDs should analyse the performance of a CSD participant (LEI vs. CSD account). Some member firms operate multiple CSD accounts for proprietary and client transactions (omnibus or individually segregated). Since the purpose of those transa</w:t>
      </w:r>
      <w:r w:rsidRPr="00141288">
        <w:rPr>
          <w:rFonts w:cs="Arial"/>
          <w:bCs/>
        </w:rPr>
        <w:t>c</w:t>
      </w:r>
      <w:r w:rsidRPr="00141288">
        <w:rPr>
          <w:rFonts w:cs="Arial"/>
          <w:bCs/>
        </w:rPr>
        <w:t>tions is usually different, the analysis should also cater for the performance by CSD account not necessarily by the legal entity as a whole. Otherwise CSDs might not approach the right “o</w:t>
      </w:r>
      <w:r w:rsidRPr="00141288">
        <w:rPr>
          <w:rFonts w:cs="Arial"/>
          <w:bCs/>
        </w:rPr>
        <w:t>f</w:t>
      </w:r>
      <w:r w:rsidRPr="00141288">
        <w:rPr>
          <w:rFonts w:cs="Arial"/>
          <w:bCs/>
        </w:rPr>
        <w:t>fender</w:t>
      </w:r>
      <w:r>
        <w:rPr>
          <w:rFonts w:cs="Arial"/>
          <w:bCs/>
        </w:rPr>
        <w:t>.</w:t>
      </w:r>
      <w:r w:rsidRPr="00141288">
        <w:rPr>
          <w:rFonts w:cs="Arial"/>
          <w:bCs/>
        </w:rPr>
        <w:t xml:space="preserve">” </w:t>
      </w:r>
    </w:p>
    <w:p w:rsidR="005C0956" w:rsidRDefault="005C0956" w:rsidP="00C43D09">
      <w:pPr>
        <w:spacing w:line="276" w:lineRule="auto"/>
        <w:contextualSpacing/>
        <w:jc w:val="both"/>
        <w:rPr>
          <w:rFonts w:cs="Arial"/>
          <w:bCs/>
        </w:rPr>
      </w:pPr>
    </w:p>
    <w:p w:rsidR="005C0956" w:rsidRDefault="005C0956" w:rsidP="00C43D09">
      <w:pPr>
        <w:spacing w:line="276" w:lineRule="auto"/>
        <w:contextualSpacing/>
        <w:jc w:val="both"/>
        <w:rPr>
          <w:rFonts w:cs="Arial"/>
          <w:bCs/>
        </w:rPr>
      </w:pPr>
      <w:r w:rsidRPr="00141288">
        <w:rPr>
          <w:rFonts w:cs="Arial"/>
          <w:bCs/>
        </w:rPr>
        <w:t>By failing to recognize the difference between proprietary and customer accounts, uniform buy-in and suspension penalties applied to both participants acting as either custodian for third party clients or principles is unfair.  The regulation will change the risk structure of these entities and moving settlement risk away from the trading party and onto the CSD participants.</w:t>
      </w:r>
    </w:p>
    <w:p w:rsidR="005C0956" w:rsidRDefault="005C0956" w:rsidP="00C43D09">
      <w:pPr>
        <w:spacing w:line="276" w:lineRule="auto"/>
        <w:contextualSpacing/>
        <w:jc w:val="both"/>
        <w:rPr>
          <w:rFonts w:cs="Arial"/>
          <w:bCs/>
        </w:rPr>
      </w:pPr>
      <w:r w:rsidRPr="00141288">
        <w:rPr>
          <w:rFonts w:cs="Arial"/>
          <w:bCs/>
        </w:rPr>
        <w:br/>
      </w:r>
    </w:p>
    <w:p w:rsidR="005C0956" w:rsidRDefault="005C0956" w:rsidP="00C43D09">
      <w:pPr>
        <w:spacing w:line="276" w:lineRule="auto"/>
        <w:contextualSpacing/>
        <w:jc w:val="both"/>
        <w:rPr>
          <w:rFonts w:cs="Arial"/>
          <w:bCs/>
        </w:rPr>
      </w:pPr>
      <w:r w:rsidRPr="00141288">
        <w:rPr>
          <w:rFonts w:cs="Arial"/>
          <w:bCs/>
        </w:rPr>
        <w:t xml:space="preserve">ESMA’s RTS moves that obligation onto the CSD participant making them quasi principal to the transaction.  In doing so, these participants will now need to ensure that they address this additional risk in their business model by margining these deliveries which could take the form of collateral or the extension of credit. This will of course add to the cost of trade to the underlying </w:t>
      </w:r>
      <w:r w:rsidRPr="00141288">
        <w:rPr>
          <w:rFonts w:cs="Arial"/>
          <w:bCs/>
        </w:rPr>
        <w:lastRenderedPageBreak/>
        <w:t>client. Indeed in certain scenarios it will involve collateral/margin being taken at multiple points in the settlement chain to support a single trade.</w:t>
      </w:r>
    </w:p>
    <w:p w:rsidR="005C0956" w:rsidRDefault="005C0956" w:rsidP="00C43D09">
      <w:pPr>
        <w:spacing w:line="276" w:lineRule="auto"/>
        <w:contextualSpacing/>
        <w:jc w:val="both"/>
        <w:rPr>
          <w:rFonts w:cs="Arial"/>
          <w:bCs/>
        </w:rPr>
      </w:pPr>
    </w:p>
    <w:p w:rsidR="005C0956" w:rsidRDefault="005C0956" w:rsidP="00C43D09">
      <w:pPr>
        <w:spacing w:line="276" w:lineRule="auto"/>
        <w:contextualSpacing/>
        <w:jc w:val="both"/>
        <w:rPr>
          <w:rFonts w:cs="Arial"/>
          <w:bCs/>
        </w:rPr>
      </w:pPr>
      <w:r w:rsidRPr="00141288">
        <w:rPr>
          <w:rFonts w:cs="Arial"/>
          <w:bCs/>
        </w:rPr>
        <w:t>Clarification should be provided that a suspension of a CSD participant should ultimately only be affected by the competent authority. Given the potential knock-on effects such suspension might have (an incorrect suspension would open the CSD to significant liabilities) the decision to suspend a participant should be an administrative action, which can only be ordered by a competent authority.</w:t>
      </w:r>
    </w:p>
    <w:p w:rsidR="005C0956" w:rsidRDefault="005C0956" w:rsidP="00C43D09">
      <w:pPr>
        <w:spacing w:line="276" w:lineRule="auto"/>
        <w:contextualSpacing/>
        <w:jc w:val="both"/>
        <w:rPr>
          <w:rFonts w:cs="Arial"/>
          <w:bCs/>
        </w:rPr>
      </w:pPr>
    </w:p>
    <w:p w:rsidR="00D12AFD" w:rsidRDefault="005C0956" w:rsidP="00D12AFD">
      <w:r w:rsidRPr="00141288">
        <w:rPr>
          <w:rFonts w:cs="Arial"/>
          <w:bCs/>
        </w:rPr>
        <w:t>In recognition of the adjustments a CSD will be required to make in order to change their processes to comply with the new requirements, participants should receive regular statements of their performance (at least monthly, but more frequently would be advisable). Additionally, CSDs should be mandated to establish a staged warning process, i.e. first warning after 10 days, second warning after 15 days below the average settlement efficiency</w:t>
      </w:r>
      <w:proofErr w:type="gramStart"/>
      <w:r w:rsidRPr="00141288">
        <w:rPr>
          <w:rFonts w:cs="Arial"/>
          <w:bCs/>
        </w:rPr>
        <w:t>.</w:t>
      </w:r>
      <w:permEnd w:id="13"/>
      <w:r w:rsidR="00D12AFD">
        <w:t>&lt;</w:t>
      </w:r>
      <w:proofErr w:type="gramEnd"/>
      <w:r w:rsidR="00D12AFD">
        <w:t>ESMA_QUESTION_TS_CSDR_11&gt;</w:t>
      </w:r>
    </w:p>
    <w:p w:rsidR="00D12AFD" w:rsidRPr="002C4F00" w:rsidRDefault="00D12AFD" w:rsidP="00965B03">
      <w:pPr>
        <w:pStyle w:val="Heading5"/>
        <w:ind w:left="567" w:hanging="567"/>
      </w:pPr>
      <w:r w:rsidRPr="002C4F00">
        <w:t>What are your views on the proposed draft RTS related to the settlement information for CCPs and trading venues?</w:t>
      </w:r>
    </w:p>
    <w:p w:rsidR="00D12AFD" w:rsidRDefault="00D12AFD" w:rsidP="00D12AFD"/>
    <w:p w:rsidR="00D12AFD" w:rsidRDefault="00D12AFD" w:rsidP="00D12AFD">
      <w:r>
        <w:t>&lt;ESMA_QUESTION_TS_CSDR_12&gt;</w:t>
      </w:r>
    </w:p>
    <w:p w:rsidR="005C0956" w:rsidRPr="00141288" w:rsidRDefault="005C0956" w:rsidP="00C43D09">
      <w:pPr>
        <w:widowControl w:val="0"/>
        <w:spacing w:line="276" w:lineRule="auto"/>
        <w:ind w:right="56"/>
        <w:contextualSpacing/>
        <w:jc w:val="both"/>
        <w:rPr>
          <w:rFonts w:eastAsia="Arial" w:cs="Arial"/>
          <w:bCs/>
          <w:spacing w:val="1"/>
          <w:lang w:val="en-US" w:eastAsia="en-US"/>
        </w:rPr>
      </w:pPr>
      <w:permStart w:id="14" w:edGrp="everyone"/>
      <w:r w:rsidRPr="00141288">
        <w:rPr>
          <w:rFonts w:eastAsia="Arial" w:cs="Arial"/>
          <w:bCs/>
          <w:spacing w:val="1"/>
          <w:lang w:val="en-US" w:eastAsia="en-US"/>
        </w:rPr>
        <w:t>Trading venues do not consistently use identifications markers linked to specific transactions. As a result, the CSD will not be able to provide such a reference to the trading venue when listing failed settlements. Trading venues should be required to provide a unique reference which allows identification in their instructions</w:t>
      </w:r>
      <w:r>
        <w:rPr>
          <w:rFonts w:eastAsia="Arial" w:cs="Arial"/>
          <w:bCs/>
          <w:spacing w:val="1"/>
          <w:lang w:val="en-US" w:eastAsia="en-US"/>
        </w:rPr>
        <w:t>.</w:t>
      </w:r>
      <w:r w:rsidRPr="00141288">
        <w:rPr>
          <w:rFonts w:eastAsia="Arial" w:cs="Arial"/>
          <w:bCs/>
          <w:spacing w:val="1"/>
          <w:lang w:val="en-US" w:eastAsia="en-US"/>
        </w:rPr>
        <w:t xml:space="preserve"> </w:t>
      </w:r>
    </w:p>
    <w:p w:rsidR="005C0956" w:rsidRPr="00141288" w:rsidRDefault="005C0956" w:rsidP="00C43D09">
      <w:pPr>
        <w:widowControl w:val="0"/>
        <w:spacing w:line="276" w:lineRule="auto"/>
        <w:ind w:right="56"/>
        <w:contextualSpacing/>
        <w:jc w:val="both"/>
        <w:rPr>
          <w:rFonts w:eastAsia="Arial" w:cs="Arial"/>
          <w:bCs/>
          <w:spacing w:val="1"/>
          <w:lang w:val="en-US" w:eastAsia="en-US"/>
        </w:rPr>
      </w:pPr>
    </w:p>
    <w:p w:rsidR="005C0956" w:rsidRPr="00141288" w:rsidRDefault="005C0956" w:rsidP="00C43D09">
      <w:pPr>
        <w:widowControl w:val="0"/>
        <w:spacing w:line="276" w:lineRule="auto"/>
        <w:ind w:right="56"/>
        <w:contextualSpacing/>
        <w:jc w:val="both"/>
        <w:rPr>
          <w:rFonts w:eastAsia="Arial" w:cs="Arial"/>
          <w:bCs/>
          <w:spacing w:val="1"/>
          <w:lang w:val="en-US" w:eastAsia="en-US"/>
        </w:rPr>
      </w:pPr>
      <w:r w:rsidRPr="00141288">
        <w:rPr>
          <w:rFonts w:eastAsia="Arial" w:cs="Arial"/>
          <w:bCs/>
          <w:spacing w:val="1"/>
          <w:lang w:val="en-US" w:eastAsia="en-US"/>
        </w:rPr>
        <w:t xml:space="preserve">CSDs will also be limited to providing information on the CSD participants only; they will not be able to provide information on any underlying client account of the CSD. </w:t>
      </w:r>
    </w:p>
    <w:p w:rsidR="005C0956" w:rsidRPr="00141288" w:rsidRDefault="005C0956" w:rsidP="00C43D09">
      <w:pPr>
        <w:widowControl w:val="0"/>
        <w:spacing w:line="276" w:lineRule="auto"/>
        <w:ind w:right="56"/>
        <w:contextualSpacing/>
        <w:jc w:val="both"/>
        <w:rPr>
          <w:rFonts w:eastAsia="Arial" w:cs="Arial"/>
          <w:bCs/>
          <w:spacing w:val="1"/>
          <w:lang w:val="en-US" w:eastAsia="en-US"/>
        </w:rPr>
      </w:pPr>
    </w:p>
    <w:p w:rsidR="00D12AFD" w:rsidRDefault="005C0956" w:rsidP="00D12AFD">
      <w:r w:rsidRPr="00141288">
        <w:rPr>
          <w:rFonts w:eastAsia="Arial" w:cs="Arial"/>
          <w:bCs/>
          <w:spacing w:val="1"/>
          <w:lang w:val="en-US" w:eastAsia="en-US"/>
        </w:rPr>
        <w:t xml:space="preserve">Better and consistent messaging throughout the lifecycle of the trade is required in order to identify at the CSD:  </w:t>
      </w:r>
      <w:proofErr w:type="spellStart"/>
      <w:r w:rsidRPr="00141288">
        <w:rPr>
          <w:rFonts w:eastAsia="Arial" w:cs="Arial"/>
          <w:bCs/>
          <w:spacing w:val="1"/>
          <w:lang w:val="en-US" w:eastAsia="en-US"/>
        </w:rPr>
        <w:t>i</w:t>
      </w:r>
      <w:proofErr w:type="spellEnd"/>
      <w:r w:rsidRPr="00141288">
        <w:rPr>
          <w:rFonts w:eastAsia="Arial" w:cs="Arial"/>
          <w:bCs/>
          <w:spacing w:val="1"/>
          <w:lang w:val="en-US" w:eastAsia="en-US"/>
        </w:rPr>
        <w:t>) the trade and trading venue identifier and ii) identification of the partic</w:t>
      </w:r>
      <w:r w:rsidRPr="00141288">
        <w:rPr>
          <w:rFonts w:eastAsia="Arial" w:cs="Arial"/>
          <w:bCs/>
          <w:spacing w:val="1"/>
          <w:lang w:val="en-US" w:eastAsia="en-US"/>
        </w:rPr>
        <w:t>i</w:t>
      </w:r>
      <w:r w:rsidRPr="00141288">
        <w:rPr>
          <w:rFonts w:eastAsia="Arial" w:cs="Arial"/>
          <w:bCs/>
          <w:spacing w:val="1"/>
          <w:lang w:val="en-US" w:eastAsia="en-US"/>
        </w:rPr>
        <w:t>pant when settling through an omnibus account. Omnibus accounts are an accepted model but improvements are needed to aide transparency in terms of culpability of fails and for remedial action; e.g. penalties/buy-ins and for the management of insolvency/default</w:t>
      </w:r>
      <w:proofErr w:type="gramStart"/>
      <w:r w:rsidRPr="00141288">
        <w:rPr>
          <w:rFonts w:eastAsia="Arial" w:cs="Arial"/>
          <w:bCs/>
          <w:spacing w:val="1"/>
          <w:lang w:val="en-US" w:eastAsia="en-US"/>
        </w:rPr>
        <w:t>.</w:t>
      </w:r>
      <w:permEnd w:id="14"/>
      <w:r w:rsidR="00D12AFD">
        <w:t>&lt;</w:t>
      </w:r>
      <w:proofErr w:type="gramEnd"/>
      <w:r w:rsidR="00D12AFD">
        <w:t>ESMA_QUESTION_TS_CSDR_12&gt;</w:t>
      </w:r>
    </w:p>
    <w:p w:rsidR="00D12AFD" w:rsidRPr="002C4F00" w:rsidRDefault="00D12AFD" w:rsidP="00965B03">
      <w:pPr>
        <w:pStyle w:val="Heading5"/>
        <w:ind w:left="567" w:hanging="567"/>
      </w:pPr>
      <w:r w:rsidRPr="002C4F00">
        <w:t>What are your views on the proposed draft RTS related to anti-avoidance rules for cash penalties and buy-in?</w:t>
      </w:r>
    </w:p>
    <w:p w:rsidR="00D12AFD" w:rsidRDefault="00D12AFD" w:rsidP="00D12AFD"/>
    <w:p w:rsidR="00D12AFD" w:rsidRDefault="00D12AFD" w:rsidP="00D12AFD">
      <w:r>
        <w:t>&lt;ESMA_QUESTION_TS_CSDR_13&gt;</w:t>
      </w:r>
    </w:p>
    <w:p w:rsidR="00D12AFD" w:rsidRDefault="005C0956" w:rsidP="00D12AFD">
      <w:permStart w:id="15" w:edGrp="everyone"/>
      <w:r w:rsidRPr="00141288">
        <w:rPr>
          <w:rFonts w:eastAsia="Calibri" w:cs="Arial"/>
          <w:lang w:val="en-US" w:eastAsia="en-US"/>
        </w:rPr>
        <w:t>The suggested wording is acceptable but, it should be clarified that business models currently in existence by CCPs (Continuous Net Settlement for example) are recognized. In such cases the CCP at the end of the day would cancel unsettled transactions in their system and net them with open transactions for the next value date. The CCP in this instance would be aware of the rel</w:t>
      </w:r>
      <w:r w:rsidRPr="00141288">
        <w:rPr>
          <w:rFonts w:eastAsia="Calibri" w:cs="Arial"/>
          <w:lang w:val="en-US" w:eastAsia="en-US"/>
        </w:rPr>
        <w:t>e</w:t>
      </w:r>
      <w:r w:rsidRPr="00141288">
        <w:rPr>
          <w:rFonts w:eastAsia="Calibri" w:cs="Arial"/>
          <w:lang w:val="en-US" w:eastAsia="en-US"/>
        </w:rPr>
        <w:t>vant underlying transactions and could charge the penalties for those accordingly</w:t>
      </w:r>
      <w:proofErr w:type="gramStart"/>
      <w:r w:rsidRPr="00141288">
        <w:rPr>
          <w:rFonts w:eastAsia="Calibri" w:cs="Arial"/>
          <w:lang w:val="en-US" w:eastAsia="en-US"/>
        </w:rPr>
        <w:t>.</w:t>
      </w:r>
      <w:permEnd w:id="15"/>
      <w:r w:rsidR="00D12AFD">
        <w:t>&lt;</w:t>
      </w:r>
      <w:proofErr w:type="gramEnd"/>
      <w:r w:rsidR="00D12AFD">
        <w:t>ESMA_QUESTION_TS_CSDR_13&gt;</w:t>
      </w:r>
    </w:p>
    <w:p w:rsidR="00D12AFD" w:rsidRPr="002C4F00" w:rsidRDefault="00D12AFD" w:rsidP="00965B03">
      <w:pPr>
        <w:pStyle w:val="Heading5"/>
        <w:ind w:left="567" w:hanging="567"/>
      </w:pPr>
      <w:r w:rsidRPr="002C4F00">
        <w:lastRenderedPageBreak/>
        <w:t>Do you agree that 1</w:t>
      </w:r>
      <w:r w:rsidR="00775F04">
        <w:t>8</w:t>
      </w:r>
      <w:r w:rsidRPr="002C4F00">
        <w:t xml:space="preserve"> months would be an appropriate timeframe for the implementation of the settlement discipline regime under CSDR? If not, what would be an appropriate timeframe in your opinion? Please provide concrete data and evidence justifying a phase-in for the settlement discipline measures and supporting your proposals.</w:t>
      </w:r>
    </w:p>
    <w:p w:rsidR="00D12AFD" w:rsidRDefault="00D12AFD" w:rsidP="00D12AFD"/>
    <w:p w:rsidR="00D12AFD" w:rsidRDefault="00D12AFD" w:rsidP="00D12AFD">
      <w:r>
        <w:t>&lt;ESMA_QUESTION_TS_CSDR_14&gt;</w:t>
      </w:r>
      <w:bookmarkStart w:id="3" w:name="_GoBack"/>
      <w:bookmarkEnd w:id="3"/>
    </w:p>
    <w:p w:rsidR="005C0956" w:rsidRDefault="005C0956" w:rsidP="00C43D09">
      <w:pPr>
        <w:widowControl w:val="0"/>
        <w:spacing w:before="14" w:line="276" w:lineRule="auto"/>
        <w:contextualSpacing/>
        <w:jc w:val="both"/>
        <w:rPr>
          <w:rFonts w:eastAsia="Calibri" w:cs="Arial"/>
          <w:lang w:val="en-US" w:eastAsia="en-US"/>
        </w:rPr>
      </w:pPr>
      <w:permStart w:id="16" w:edGrp="everyone"/>
      <w:r w:rsidRPr="00141288">
        <w:rPr>
          <w:rFonts w:eastAsia="Calibri" w:cs="Arial"/>
          <w:lang w:val="en-US" w:eastAsia="en-US"/>
        </w:rPr>
        <w:t>We agree with the proposal to provide more time for implementation. In the context of a co</w:t>
      </w:r>
      <w:r w:rsidRPr="00141288">
        <w:rPr>
          <w:rFonts w:eastAsia="Calibri" w:cs="Arial"/>
          <w:lang w:val="en-US" w:eastAsia="en-US"/>
        </w:rPr>
        <w:t>m</w:t>
      </w:r>
      <w:r w:rsidRPr="00141288">
        <w:rPr>
          <w:rFonts w:eastAsia="Calibri" w:cs="Arial"/>
          <w:lang w:val="en-US" w:eastAsia="en-US"/>
        </w:rPr>
        <w:t>monly operated platform, such penalty regime should be operated centrally as this is perceived to provide the most efficient results. Ideally such a settlement discipline regime would operate through all CSDs in a centralized manner.  While developing a uniform process to run the se</w:t>
      </w:r>
      <w:r w:rsidRPr="00141288">
        <w:rPr>
          <w:rFonts w:eastAsia="Calibri" w:cs="Arial"/>
          <w:lang w:val="en-US" w:eastAsia="en-US"/>
        </w:rPr>
        <w:t>t</w:t>
      </w:r>
      <w:r w:rsidRPr="00141288">
        <w:rPr>
          <w:rFonts w:eastAsia="Calibri" w:cs="Arial"/>
          <w:lang w:val="en-US" w:eastAsia="en-US"/>
        </w:rPr>
        <w:t>tlement discipline regime might require a significant investment of time and resources, it would be less costly than if 24 CSDs were to build their own systems individually. Moreover CSD pa</w:t>
      </w:r>
      <w:r w:rsidRPr="00141288">
        <w:rPr>
          <w:rFonts w:eastAsia="Calibri" w:cs="Arial"/>
          <w:lang w:val="en-US" w:eastAsia="en-US"/>
        </w:rPr>
        <w:t>r</w:t>
      </w:r>
      <w:r w:rsidRPr="00141288">
        <w:rPr>
          <w:rFonts w:eastAsia="Calibri" w:cs="Arial"/>
          <w:lang w:val="en-US" w:eastAsia="en-US"/>
        </w:rPr>
        <w:t>ticipants in multiple markets would be prevented from having to invest 24 times to implement such a system.</w:t>
      </w:r>
      <w:r>
        <w:rPr>
          <w:rFonts w:eastAsia="Calibri" w:cs="Arial"/>
          <w:lang w:val="en-US" w:eastAsia="en-US"/>
        </w:rPr>
        <w:t xml:space="preserve"> The system would also have to be compatible with non-T2S CSDs and non-EU CSDs.</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widowControl w:val="0"/>
        <w:spacing w:before="14" w:line="276" w:lineRule="auto"/>
        <w:contextualSpacing/>
        <w:jc w:val="both"/>
        <w:rPr>
          <w:rFonts w:eastAsia="Calibri" w:cs="Arial"/>
          <w:lang w:val="en-US" w:eastAsia="en-US"/>
        </w:rPr>
      </w:pPr>
      <w:r w:rsidRPr="00141288">
        <w:rPr>
          <w:rFonts w:eastAsia="Calibri" w:cs="Arial"/>
          <w:lang w:val="en-US" w:eastAsia="en-US"/>
        </w:rPr>
        <w:t xml:space="preserve">In order to deliver a central system however, certain processes would have to be fulfilled. As a first step, users of the platform would have to agree on a common set of user requirements that would then be implemented (in the example of T2S this information gathering started in 2006 and is still ongoing).  </w:t>
      </w:r>
      <w:r>
        <w:rPr>
          <w:rFonts w:eastAsia="Calibri" w:cs="Arial"/>
          <w:lang w:val="en-US" w:eastAsia="en-US"/>
        </w:rPr>
        <w:t>I</w:t>
      </w:r>
      <w:r w:rsidRPr="00141288">
        <w:rPr>
          <w:rFonts w:eastAsia="Calibri" w:cs="Arial"/>
          <w:lang w:val="en-US" w:eastAsia="en-US"/>
        </w:rPr>
        <w:t>n order not to endanger the migration of such a central platform, develo</w:t>
      </w:r>
      <w:r w:rsidRPr="00141288">
        <w:rPr>
          <w:rFonts w:eastAsia="Calibri" w:cs="Arial"/>
          <w:lang w:val="en-US" w:eastAsia="en-US"/>
        </w:rPr>
        <w:t>p</w:t>
      </w:r>
      <w:r w:rsidRPr="00141288">
        <w:rPr>
          <w:rFonts w:eastAsia="Calibri" w:cs="Arial"/>
          <w:lang w:val="en-US" w:eastAsia="en-US"/>
        </w:rPr>
        <w:t>ment timelines need to be taken into consideration. T2S has yearly release cycles so the impl</w:t>
      </w:r>
      <w:r w:rsidRPr="00141288">
        <w:rPr>
          <w:rFonts w:eastAsia="Calibri" w:cs="Arial"/>
          <w:lang w:val="en-US" w:eastAsia="en-US"/>
        </w:rPr>
        <w:t>e</w:t>
      </w:r>
      <w:r w:rsidRPr="00141288">
        <w:rPr>
          <w:rFonts w:eastAsia="Calibri" w:cs="Arial"/>
          <w:lang w:val="en-US" w:eastAsia="en-US"/>
        </w:rPr>
        <w:t xml:space="preserve">mentation schedule for the RTS must </w:t>
      </w:r>
      <w:proofErr w:type="gramStart"/>
      <w:r w:rsidRPr="00141288">
        <w:rPr>
          <w:rFonts w:eastAsia="Calibri" w:cs="Arial"/>
          <w:lang w:val="en-US" w:eastAsia="en-US"/>
        </w:rPr>
        <w:t>proceed</w:t>
      </w:r>
      <w:proofErr w:type="gramEnd"/>
      <w:r w:rsidRPr="00141288">
        <w:rPr>
          <w:rFonts w:eastAsia="Calibri" w:cs="Arial"/>
          <w:lang w:val="en-US" w:eastAsia="en-US"/>
        </w:rPr>
        <w:t xml:space="preserve"> on a similar timeline. </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widowControl w:val="0"/>
        <w:spacing w:before="14" w:line="276" w:lineRule="auto"/>
        <w:contextualSpacing/>
        <w:jc w:val="both"/>
        <w:rPr>
          <w:rFonts w:eastAsia="Calibri" w:cs="Arial"/>
          <w:lang w:val="en-US" w:eastAsia="en-US"/>
        </w:rPr>
      </w:pPr>
      <w:r w:rsidRPr="00141288">
        <w:rPr>
          <w:rFonts w:eastAsia="Calibri" w:cs="Arial"/>
          <w:lang w:val="en-US" w:eastAsia="en-US"/>
        </w:rPr>
        <w:t>In addition to building such a system for CSDs, CSD participants would be tasked with replica</w:t>
      </w:r>
      <w:r w:rsidRPr="00141288">
        <w:rPr>
          <w:rFonts w:eastAsia="Calibri" w:cs="Arial"/>
          <w:lang w:val="en-US" w:eastAsia="en-US"/>
        </w:rPr>
        <w:t>t</w:t>
      </w:r>
      <w:r w:rsidRPr="00141288">
        <w:rPr>
          <w:rFonts w:eastAsia="Calibri" w:cs="Arial"/>
          <w:lang w:val="en-US" w:eastAsia="en-US"/>
        </w:rPr>
        <w:t>ing the system developed by CSDs in order to identify the relevant trading desk or the underlying client which has caused a fail or would be entitled to a penalty distribution. Naturally such deve</w:t>
      </w:r>
      <w:r w:rsidRPr="00141288">
        <w:rPr>
          <w:rFonts w:eastAsia="Calibri" w:cs="Arial"/>
          <w:lang w:val="en-US" w:eastAsia="en-US"/>
        </w:rPr>
        <w:t>l</w:t>
      </w:r>
      <w:r w:rsidRPr="00141288">
        <w:rPr>
          <w:rFonts w:eastAsia="Calibri" w:cs="Arial"/>
          <w:lang w:val="en-US" w:eastAsia="en-US"/>
        </w:rPr>
        <w:t xml:space="preserve">opment can only start once the actual requirements and specifications from the CSDs are known. This would have to be factored into the </w:t>
      </w:r>
      <w:r>
        <w:rPr>
          <w:rFonts w:eastAsia="Calibri" w:cs="Arial"/>
          <w:lang w:val="en-US" w:eastAsia="en-US"/>
        </w:rPr>
        <w:t xml:space="preserve">development </w:t>
      </w:r>
      <w:r w:rsidRPr="00141288">
        <w:rPr>
          <w:rFonts w:eastAsia="Calibri" w:cs="Arial"/>
          <w:lang w:val="en-US" w:eastAsia="en-US"/>
        </w:rPr>
        <w:t>processes. A significant lead time of about 12</w:t>
      </w:r>
      <w:r>
        <w:rPr>
          <w:rFonts w:eastAsia="Calibri" w:cs="Arial"/>
          <w:lang w:val="en-US" w:eastAsia="en-US"/>
        </w:rPr>
        <w:t xml:space="preserve"> </w:t>
      </w:r>
      <w:r w:rsidRPr="00141288">
        <w:rPr>
          <w:rFonts w:eastAsia="Calibri" w:cs="Arial"/>
          <w:lang w:val="en-US" w:eastAsia="en-US"/>
        </w:rPr>
        <w:t xml:space="preserve">months following clarity on the actual requirements would be needed.  </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widowControl w:val="0"/>
        <w:spacing w:before="11" w:line="276" w:lineRule="auto"/>
        <w:contextualSpacing/>
        <w:jc w:val="both"/>
        <w:rPr>
          <w:rFonts w:eastAsia="Calibri" w:cs="Arial"/>
          <w:lang w:val="en-US" w:eastAsia="en-US"/>
        </w:rPr>
      </w:pPr>
      <w:r w:rsidRPr="00141288">
        <w:rPr>
          <w:rFonts w:eastAsia="Calibri" w:cs="Arial"/>
          <w:lang w:val="en-US" w:eastAsia="en-US"/>
        </w:rPr>
        <w:t xml:space="preserve">It should be noted that the application of new settlement disciplinary measures under the RTS would require several technical changes to the T2S platform in Q2 2017 (i.e. approximately 18 months delayed application).  Applying these new standards before T2S has been properly implemented and tested will endanger the success of the migration of T2S as a whole due to the technical complexity of introducing changes to a system that is </w:t>
      </w:r>
      <w:r>
        <w:rPr>
          <w:rFonts w:eastAsia="Calibri" w:cs="Arial"/>
          <w:lang w:val="en-US" w:eastAsia="en-US"/>
        </w:rPr>
        <w:t xml:space="preserve">currently undergoing </w:t>
      </w:r>
      <w:r w:rsidRPr="00141288">
        <w:rPr>
          <w:rFonts w:eastAsia="Calibri" w:cs="Arial"/>
          <w:lang w:val="en-US" w:eastAsia="en-US"/>
        </w:rPr>
        <w:t>test</w:t>
      </w:r>
      <w:r>
        <w:rPr>
          <w:rFonts w:eastAsia="Calibri" w:cs="Arial"/>
          <w:lang w:val="en-US" w:eastAsia="en-US"/>
        </w:rPr>
        <w:t>ing</w:t>
      </w:r>
      <w:r w:rsidRPr="00141288">
        <w:rPr>
          <w:rFonts w:eastAsia="Calibri" w:cs="Arial"/>
          <w:lang w:val="en-US" w:eastAsia="en-US"/>
        </w:rPr>
        <w:t xml:space="preserve"> </w:t>
      </w:r>
      <w:r>
        <w:rPr>
          <w:rFonts w:eastAsia="Calibri" w:cs="Arial"/>
          <w:lang w:val="en-US" w:eastAsia="en-US"/>
        </w:rPr>
        <w:t>and migration</w:t>
      </w:r>
      <w:r w:rsidRPr="00141288">
        <w:rPr>
          <w:rFonts w:eastAsia="Calibri" w:cs="Arial"/>
          <w:lang w:val="en-US" w:eastAsia="en-US"/>
        </w:rPr>
        <w:t xml:space="preserve">. As per current time lines it is anticipated that the “last-wave” CSDs would have to implement changes to their (legacy) systems around February 2017 while they are in the middle of their migration to T2S. This could incur significant throw-away costs not only by the CSDs but also participants active in those markets. </w:t>
      </w:r>
    </w:p>
    <w:p w:rsidR="005C0956" w:rsidRDefault="005C0956" w:rsidP="00C43D09">
      <w:pPr>
        <w:widowControl w:val="0"/>
        <w:spacing w:before="11" w:line="276" w:lineRule="auto"/>
        <w:contextualSpacing/>
        <w:jc w:val="both"/>
        <w:rPr>
          <w:rFonts w:eastAsia="Calibri" w:cs="Arial"/>
          <w:lang w:val="en-US" w:eastAsia="en-US"/>
        </w:rPr>
      </w:pPr>
    </w:p>
    <w:p w:rsidR="005C0956" w:rsidRDefault="005C0956" w:rsidP="00C43D09">
      <w:pPr>
        <w:widowControl w:val="0"/>
        <w:spacing w:before="11" w:line="276" w:lineRule="auto"/>
        <w:contextualSpacing/>
        <w:jc w:val="both"/>
        <w:rPr>
          <w:rFonts w:eastAsia="Calibri" w:cs="Arial"/>
          <w:lang w:val="en-US" w:eastAsia="en-US"/>
        </w:rPr>
      </w:pPr>
      <w:r w:rsidRPr="00141288">
        <w:rPr>
          <w:rFonts w:eastAsia="Calibri" w:cs="Arial"/>
          <w:lang w:val="en-US" w:eastAsia="en-US"/>
        </w:rPr>
        <w:t xml:space="preserve">A phased in approach of 18 months in a T2S context clearly would mean that technically it would be applied only after all CSDs have been migrated, but this only applies if none of the CSDs move their migration into a contingency wave. Moreover it has been agreed that following the </w:t>
      </w:r>
      <w:proofErr w:type="spellStart"/>
      <w:r w:rsidRPr="00141288">
        <w:rPr>
          <w:rFonts w:eastAsia="Calibri" w:cs="Arial"/>
          <w:lang w:val="en-US" w:eastAsia="en-US"/>
        </w:rPr>
        <w:t>finali</w:t>
      </w:r>
      <w:r>
        <w:rPr>
          <w:rFonts w:eastAsia="Calibri" w:cs="Arial"/>
          <w:lang w:val="en-US" w:eastAsia="en-US"/>
        </w:rPr>
        <w:t>s</w:t>
      </w:r>
      <w:r w:rsidRPr="00141288">
        <w:rPr>
          <w:rFonts w:eastAsia="Calibri" w:cs="Arial"/>
          <w:lang w:val="en-US" w:eastAsia="en-US"/>
        </w:rPr>
        <w:t>ation</w:t>
      </w:r>
      <w:proofErr w:type="spellEnd"/>
      <w:r w:rsidRPr="00141288">
        <w:rPr>
          <w:rFonts w:eastAsia="Calibri" w:cs="Arial"/>
          <w:lang w:val="en-US" w:eastAsia="en-US"/>
        </w:rPr>
        <w:t xml:space="preserve"> of the migration a period of monitoring of the system should be applied to ensure the smooth operation prior to the introduction of any new change to the platform. </w:t>
      </w:r>
    </w:p>
    <w:p w:rsidR="005C0956" w:rsidRDefault="005C0956" w:rsidP="00C43D09">
      <w:pPr>
        <w:widowControl w:val="0"/>
        <w:spacing w:before="11" w:line="276" w:lineRule="auto"/>
        <w:contextualSpacing/>
        <w:jc w:val="both"/>
        <w:rPr>
          <w:rFonts w:eastAsia="Calibri" w:cs="Arial"/>
          <w:lang w:val="en-US" w:eastAsia="en-US"/>
        </w:rPr>
      </w:pPr>
    </w:p>
    <w:p w:rsidR="005C0956" w:rsidRDefault="005C0956" w:rsidP="00C43D09">
      <w:pPr>
        <w:widowControl w:val="0"/>
        <w:spacing w:before="11" w:line="276" w:lineRule="auto"/>
        <w:contextualSpacing/>
        <w:jc w:val="both"/>
        <w:rPr>
          <w:rFonts w:eastAsia="Calibri" w:cs="Arial"/>
          <w:lang w:val="en-US" w:eastAsia="en-US"/>
        </w:rPr>
      </w:pPr>
      <w:r w:rsidRPr="00141288">
        <w:rPr>
          <w:rFonts w:eastAsia="Calibri" w:cs="Arial"/>
          <w:lang w:val="en-US" w:eastAsia="en-US"/>
        </w:rPr>
        <w:t>As a result, two thirds of EU CSDs will be very busy testing for on-boarding CSDs during the next two years in the different migration waves (i.e. all CSDs will test, even those that are a</w:t>
      </w:r>
      <w:r w:rsidRPr="00141288">
        <w:rPr>
          <w:rFonts w:eastAsia="Calibri" w:cs="Arial"/>
          <w:lang w:val="en-US" w:eastAsia="en-US"/>
        </w:rPr>
        <w:t>l</w:t>
      </w:r>
      <w:r w:rsidRPr="00141288">
        <w:rPr>
          <w:rFonts w:eastAsia="Calibri" w:cs="Arial"/>
          <w:lang w:val="en-US" w:eastAsia="en-US"/>
        </w:rPr>
        <w:t xml:space="preserve">ready migrated – testing with those that are about to migrate), which raises serious  concerns from a settlement efficiency and financial stability perspective. This could risk the stability of a wide part of the European securities settlement infrastructure. </w:t>
      </w:r>
      <w:r>
        <w:rPr>
          <w:rFonts w:eastAsia="Calibri" w:cs="Arial"/>
          <w:lang w:val="en-US" w:eastAsia="en-US"/>
        </w:rPr>
        <w:t xml:space="preserve">We believe </w:t>
      </w:r>
      <w:r w:rsidRPr="00141288">
        <w:rPr>
          <w:rFonts w:eastAsia="Calibri" w:cs="Arial"/>
          <w:lang w:val="en-US" w:eastAsia="en-US"/>
        </w:rPr>
        <w:t xml:space="preserve">that the settlement discipline measures, including the related reporting requirements to competent authorities, should be phased-in with a delay of at least 24 months after T2S </w:t>
      </w:r>
      <w:r w:rsidRPr="00193CA0">
        <w:rPr>
          <w:rFonts w:eastAsia="Calibri" w:cs="Arial"/>
          <w:lang w:val="en-US" w:eastAsia="en-US"/>
        </w:rPr>
        <w:t>migration has been completed</w:t>
      </w:r>
      <w:r w:rsidRPr="00141288">
        <w:rPr>
          <w:rFonts w:eastAsia="Calibri" w:cs="Arial"/>
          <w:lang w:val="en-US" w:eastAsia="en-US"/>
        </w:rPr>
        <w:t xml:space="preserve">.  </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widowControl w:val="0"/>
        <w:spacing w:before="14" w:line="276" w:lineRule="auto"/>
        <w:contextualSpacing/>
        <w:jc w:val="both"/>
        <w:rPr>
          <w:rFonts w:eastAsia="Calibri" w:cs="Arial"/>
          <w:lang w:val="en-US" w:eastAsia="en-US"/>
        </w:rPr>
      </w:pPr>
      <w:r w:rsidRPr="00141288">
        <w:rPr>
          <w:rFonts w:eastAsia="Calibri" w:cs="Arial"/>
          <w:lang w:val="en-US" w:eastAsia="en-US"/>
        </w:rPr>
        <w:t xml:space="preserve">The RTS should be implemented in the proposed timeframe but with a grace period of </w:t>
      </w:r>
      <w:r>
        <w:rPr>
          <w:rFonts w:eastAsia="Calibri" w:cs="Arial"/>
          <w:lang w:val="en-US" w:eastAsia="en-US"/>
        </w:rPr>
        <w:t xml:space="preserve">more than </w:t>
      </w:r>
      <w:r w:rsidRPr="00141288">
        <w:rPr>
          <w:rFonts w:eastAsia="Calibri" w:cs="Arial"/>
          <w:lang w:val="en-US" w:eastAsia="en-US"/>
        </w:rPr>
        <w:t xml:space="preserve">6 months to allow market participants to make the necessary adjustments to their processing.  </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spacing w:line="276" w:lineRule="auto"/>
        <w:contextualSpacing/>
        <w:jc w:val="both"/>
        <w:rPr>
          <w:rFonts w:cs="Arial"/>
          <w:bCs/>
        </w:rPr>
      </w:pPr>
      <w:r w:rsidRPr="00141288">
        <w:rPr>
          <w:rFonts w:cs="Arial"/>
          <w:bCs/>
        </w:rPr>
        <w:t xml:space="preserve">The implementation of the proposed buy-in regime, which would cater for an efficient handling of the process, may also require certain development costs. There is currently no electronic message system to allow for “straight-through-processing” of buy-ins within firms. The development of new messages in the context of T2S required extensive agreement amongst the standard setting entities, </w:t>
      </w:r>
      <w:proofErr w:type="spellStart"/>
      <w:r w:rsidRPr="00141288">
        <w:rPr>
          <w:rFonts w:cs="Arial"/>
          <w:bCs/>
        </w:rPr>
        <w:t>ie</w:t>
      </w:r>
      <w:proofErr w:type="spellEnd"/>
      <w:r w:rsidRPr="00141288">
        <w:rPr>
          <w:rFonts w:cs="Arial"/>
          <w:bCs/>
        </w:rPr>
        <w:t xml:space="preserve"> SWIFT/ISO and lasted significantly longer than the 18 months currently suggested in the draft RTS. The alternative, however, would be a manual “paper” based process, which should be avoided as it is a manual process and subject to errors</w:t>
      </w:r>
      <w:r>
        <w:rPr>
          <w:rFonts w:cs="Arial"/>
          <w:bCs/>
        </w:rPr>
        <w:t xml:space="preserve"> and significant costs</w:t>
      </w:r>
      <w:r w:rsidRPr="00141288">
        <w:rPr>
          <w:rFonts w:cs="Arial"/>
          <w:bCs/>
        </w:rPr>
        <w:t>.</w:t>
      </w:r>
      <w:r>
        <w:rPr>
          <w:rFonts w:cs="Arial"/>
          <w:bCs/>
        </w:rPr>
        <w:t xml:space="preserve"> </w:t>
      </w:r>
    </w:p>
    <w:p w:rsidR="005C0956" w:rsidRDefault="005C0956" w:rsidP="00C43D09">
      <w:pPr>
        <w:widowControl w:val="0"/>
        <w:spacing w:before="14" w:line="276" w:lineRule="auto"/>
        <w:contextualSpacing/>
        <w:jc w:val="both"/>
        <w:rPr>
          <w:rFonts w:eastAsia="Calibri" w:cs="Arial"/>
          <w:lang w:eastAsia="en-US"/>
        </w:rPr>
      </w:pPr>
    </w:p>
    <w:p w:rsidR="005C0956" w:rsidRDefault="005C0956" w:rsidP="00C43D09">
      <w:pPr>
        <w:widowControl w:val="0"/>
        <w:spacing w:before="14" w:line="276" w:lineRule="auto"/>
        <w:contextualSpacing/>
        <w:jc w:val="both"/>
        <w:rPr>
          <w:rFonts w:eastAsia="Calibri" w:cs="Arial"/>
          <w:lang w:val="en-US" w:eastAsia="en-US"/>
        </w:rPr>
      </w:pPr>
      <w:r w:rsidRPr="00141288">
        <w:rPr>
          <w:rFonts w:eastAsia="Calibri" w:cs="Arial"/>
          <w:lang w:val="en-US" w:eastAsia="en-US"/>
        </w:rPr>
        <w:t>The elements which need to be taken into consideration include the following:</w:t>
      </w:r>
    </w:p>
    <w:p w:rsidR="005C0956" w:rsidRDefault="005C0956" w:rsidP="00C43D09">
      <w:pPr>
        <w:widowControl w:val="0"/>
        <w:spacing w:before="14" w:line="276" w:lineRule="auto"/>
        <w:contextualSpacing/>
        <w:jc w:val="both"/>
        <w:rPr>
          <w:rFonts w:eastAsia="Calibri" w:cs="Arial"/>
          <w:lang w:val="en-US" w:eastAsia="en-US"/>
        </w:rPr>
      </w:pPr>
    </w:p>
    <w:p w:rsidR="005C0956" w:rsidRDefault="005C0956" w:rsidP="00C43D09">
      <w:pPr>
        <w:jc w:val="both"/>
        <w:rPr>
          <w:rFonts w:cs="Arial"/>
          <w:bCs/>
          <w:u w:val="single"/>
        </w:rPr>
      </w:pPr>
      <w:r w:rsidRPr="00141288">
        <w:rPr>
          <w:rFonts w:cs="Arial"/>
          <w:bCs/>
          <w:u w:val="single"/>
        </w:rPr>
        <w:t>Impacts of CSDR on CSD participants</w:t>
      </w:r>
    </w:p>
    <w:p w:rsidR="005C0956" w:rsidRDefault="005C0956" w:rsidP="00C43D09">
      <w:pPr>
        <w:jc w:val="both"/>
        <w:rPr>
          <w:rFonts w:cs="Arial"/>
          <w:bCs/>
          <w:u w:val="single"/>
        </w:rPr>
      </w:pPr>
    </w:p>
    <w:p w:rsidR="005C0956" w:rsidRDefault="005C0956" w:rsidP="005C0956">
      <w:pPr>
        <w:pStyle w:val="ListParagraph"/>
        <w:numPr>
          <w:ilvl w:val="0"/>
          <w:numId w:val="43"/>
        </w:numPr>
        <w:contextualSpacing w:val="0"/>
        <w:jc w:val="both"/>
        <w:rPr>
          <w:rFonts w:cs="Arial"/>
          <w:bCs/>
        </w:rPr>
      </w:pPr>
      <w:r w:rsidRPr="00141288">
        <w:rPr>
          <w:rFonts w:cs="Arial"/>
          <w:bCs/>
        </w:rPr>
        <w:t>Prevention of settlement fails</w:t>
      </w:r>
    </w:p>
    <w:p w:rsidR="005C0956" w:rsidRDefault="005C0956" w:rsidP="005C0956">
      <w:pPr>
        <w:pStyle w:val="ListParagraph"/>
        <w:numPr>
          <w:ilvl w:val="1"/>
          <w:numId w:val="43"/>
        </w:numPr>
        <w:contextualSpacing w:val="0"/>
        <w:jc w:val="both"/>
        <w:rPr>
          <w:rFonts w:cs="Arial"/>
          <w:bCs/>
        </w:rPr>
      </w:pPr>
      <w:r w:rsidRPr="00141288">
        <w:rPr>
          <w:rFonts w:cs="Arial"/>
          <w:bCs/>
        </w:rPr>
        <w:t>Adaptation of information contained in the allocations sent to investment firms by their professional clients (Article 2 (1))</w:t>
      </w:r>
    </w:p>
    <w:p w:rsidR="005C0956" w:rsidRDefault="005C0956" w:rsidP="005C0956">
      <w:pPr>
        <w:pStyle w:val="ListParagraph"/>
        <w:numPr>
          <w:ilvl w:val="1"/>
          <w:numId w:val="43"/>
        </w:numPr>
        <w:contextualSpacing w:val="0"/>
        <w:jc w:val="both"/>
        <w:rPr>
          <w:rFonts w:cs="Arial"/>
          <w:bCs/>
        </w:rPr>
      </w:pPr>
      <w:r w:rsidRPr="00141288">
        <w:rPr>
          <w:rFonts w:cs="Arial"/>
          <w:bCs/>
        </w:rPr>
        <w:t>Adaptation of SLAs between investment firms and their clients to reflect new transmission timeframe of settlement details (Article 2(4))</w:t>
      </w:r>
    </w:p>
    <w:p w:rsidR="005C0956" w:rsidRDefault="005C0956" w:rsidP="005C0956">
      <w:pPr>
        <w:pStyle w:val="ListParagraph"/>
        <w:numPr>
          <w:ilvl w:val="1"/>
          <w:numId w:val="43"/>
        </w:numPr>
        <w:contextualSpacing w:val="0"/>
        <w:jc w:val="both"/>
        <w:rPr>
          <w:rFonts w:cs="Arial"/>
          <w:bCs/>
        </w:rPr>
      </w:pPr>
      <w:r w:rsidRPr="00141288">
        <w:rPr>
          <w:rFonts w:cs="Arial"/>
          <w:bCs/>
        </w:rPr>
        <w:t>Adaptation of investment’s firms systems to adopt all mandatory matching fields required under the new RTS (Article 3 (3)) – requirement for a new field to be incorporated, a new ISO harmonised use is to be agreed and tested</w:t>
      </w:r>
    </w:p>
    <w:p w:rsidR="005C0956" w:rsidRDefault="005C0956" w:rsidP="005C0956">
      <w:pPr>
        <w:pStyle w:val="ListParagraph"/>
        <w:numPr>
          <w:ilvl w:val="1"/>
          <w:numId w:val="43"/>
        </w:numPr>
        <w:contextualSpacing w:val="0"/>
        <w:jc w:val="both"/>
        <w:rPr>
          <w:rFonts w:cs="Arial"/>
          <w:bCs/>
        </w:rPr>
      </w:pPr>
      <w:r w:rsidRPr="00141288">
        <w:rPr>
          <w:rFonts w:cs="Arial"/>
          <w:bCs/>
        </w:rPr>
        <w:t>Adaptation of systems and internal processes to allow investment firms to monitor real time gross settlement (RTGS) throughout each business day (Article 3 (10))</w:t>
      </w:r>
    </w:p>
    <w:p w:rsidR="005C0956" w:rsidRDefault="005C0956" w:rsidP="005C0956">
      <w:pPr>
        <w:pStyle w:val="ListParagraph"/>
        <w:numPr>
          <w:ilvl w:val="0"/>
          <w:numId w:val="43"/>
        </w:numPr>
        <w:contextualSpacing w:val="0"/>
        <w:jc w:val="both"/>
        <w:rPr>
          <w:rFonts w:cs="Arial"/>
          <w:bCs/>
        </w:rPr>
      </w:pPr>
      <w:r w:rsidRPr="00141288">
        <w:rPr>
          <w:rFonts w:cs="Arial"/>
          <w:bCs/>
        </w:rPr>
        <w:t>Cash settlement penalties</w:t>
      </w:r>
    </w:p>
    <w:p w:rsidR="005C0956" w:rsidRDefault="005C0956" w:rsidP="005C0956">
      <w:pPr>
        <w:pStyle w:val="ListParagraph"/>
        <w:numPr>
          <w:ilvl w:val="1"/>
          <w:numId w:val="43"/>
        </w:numPr>
        <w:contextualSpacing w:val="0"/>
        <w:jc w:val="both"/>
        <w:rPr>
          <w:rFonts w:cs="Arial"/>
          <w:bCs/>
        </w:rPr>
      </w:pPr>
      <w:r w:rsidRPr="00141288">
        <w:rPr>
          <w:rFonts w:cs="Arial"/>
          <w:bCs/>
        </w:rPr>
        <w:t>Development of systems/processes for managing cash settlement penalties (pass on cash penalties to clients)</w:t>
      </w:r>
    </w:p>
    <w:p w:rsidR="005C0956" w:rsidRDefault="005C0956" w:rsidP="005C0956">
      <w:pPr>
        <w:pStyle w:val="ListParagraph"/>
        <w:numPr>
          <w:ilvl w:val="1"/>
          <w:numId w:val="43"/>
        </w:numPr>
        <w:contextualSpacing w:val="0"/>
        <w:jc w:val="both"/>
        <w:rPr>
          <w:rFonts w:cs="Arial"/>
          <w:bCs/>
        </w:rPr>
      </w:pPr>
      <w:r w:rsidRPr="00141288">
        <w:rPr>
          <w:rFonts w:cs="Arial"/>
          <w:bCs/>
        </w:rPr>
        <w:t>Redrafting and re-negotiations of contracts with clients to cater for pass-on of charges</w:t>
      </w:r>
    </w:p>
    <w:p w:rsidR="005C0956" w:rsidRDefault="005C0956" w:rsidP="005C0956">
      <w:pPr>
        <w:pStyle w:val="ListParagraph"/>
        <w:numPr>
          <w:ilvl w:val="1"/>
          <w:numId w:val="43"/>
        </w:numPr>
        <w:contextualSpacing w:val="0"/>
        <w:jc w:val="both"/>
        <w:rPr>
          <w:rFonts w:cs="Arial"/>
          <w:bCs/>
        </w:rPr>
      </w:pPr>
      <w:r>
        <w:rPr>
          <w:rFonts w:cs="Arial"/>
          <w:bCs/>
        </w:rPr>
        <w:t xml:space="preserve">Updating the message fields in daily fails reporting to incorporate the incurred settlement fines </w:t>
      </w:r>
    </w:p>
    <w:p w:rsidR="005C0956" w:rsidRDefault="005C0956" w:rsidP="005C0956">
      <w:pPr>
        <w:pStyle w:val="ListParagraph"/>
        <w:numPr>
          <w:ilvl w:val="0"/>
          <w:numId w:val="43"/>
        </w:numPr>
        <w:contextualSpacing w:val="0"/>
        <w:jc w:val="both"/>
        <w:rPr>
          <w:rFonts w:cs="Arial"/>
          <w:bCs/>
        </w:rPr>
      </w:pPr>
      <w:r w:rsidRPr="00141288">
        <w:rPr>
          <w:rFonts w:cs="Arial"/>
          <w:bCs/>
        </w:rPr>
        <w:t>Buy-ins</w:t>
      </w:r>
    </w:p>
    <w:p w:rsidR="005C0956" w:rsidRDefault="005C0956" w:rsidP="005C0956">
      <w:pPr>
        <w:pStyle w:val="ListParagraph"/>
        <w:numPr>
          <w:ilvl w:val="1"/>
          <w:numId w:val="43"/>
        </w:numPr>
        <w:contextualSpacing w:val="0"/>
        <w:jc w:val="both"/>
        <w:rPr>
          <w:rFonts w:cs="Arial"/>
          <w:bCs/>
        </w:rPr>
      </w:pPr>
      <w:r w:rsidRPr="00141288">
        <w:rPr>
          <w:rFonts w:cs="Arial"/>
          <w:bCs/>
        </w:rPr>
        <w:t>Development of systems/processes to facilitate the necessary exchange of information to support the buy-in process</w:t>
      </w:r>
    </w:p>
    <w:p w:rsidR="005C0956" w:rsidRDefault="005C0956" w:rsidP="005C0956">
      <w:pPr>
        <w:pStyle w:val="ListParagraph"/>
        <w:numPr>
          <w:ilvl w:val="1"/>
          <w:numId w:val="43"/>
        </w:numPr>
        <w:contextualSpacing w:val="0"/>
        <w:jc w:val="both"/>
        <w:rPr>
          <w:rFonts w:cs="Arial"/>
          <w:bCs/>
        </w:rPr>
      </w:pPr>
      <w:r w:rsidRPr="00141288">
        <w:rPr>
          <w:rFonts w:cs="Arial"/>
          <w:bCs/>
        </w:rPr>
        <w:t>Renegotiation of existing contracts to cater for potential buy-in requirements and reimbursements</w:t>
      </w:r>
    </w:p>
    <w:p w:rsidR="005C0956" w:rsidRDefault="005C0956" w:rsidP="005C0956">
      <w:pPr>
        <w:pStyle w:val="ListParagraph"/>
        <w:numPr>
          <w:ilvl w:val="1"/>
          <w:numId w:val="43"/>
        </w:numPr>
        <w:contextualSpacing w:val="0"/>
        <w:jc w:val="both"/>
        <w:rPr>
          <w:rFonts w:cs="Arial"/>
          <w:bCs/>
        </w:rPr>
      </w:pPr>
      <w:r w:rsidRPr="00141288">
        <w:rPr>
          <w:rFonts w:cs="Arial"/>
          <w:bCs/>
        </w:rPr>
        <w:lastRenderedPageBreak/>
        <w:t>Creation of new message types in ISO standard to support automated processing of buy-in notices</w:t>
      </w:r>
    </w:p>
    <w:p w:rsidR="005C0956" w:rsidRDefault="005C0956" w:rsidP="00C43D09">
      <w:pPr>
        <w:widowControl w:val="0"/>
        <w:spacing w:before="14" w:line="276" w:lineRule="auto"/>
        <w:contextualSpacing/>
        <w:jc w:val="both"/>
        <w:rPr>
          <w:rFonts w:eastAsia="Calibri" w:cs="Arial"/>
          <w:lang w:eastAsia="en-US"/>
        </w:rPr>
      </w:pPr>
    </w:p>
    <w:p w:rsidR="005C0956" w:rsidRDefault="005C0956" w:rsidP="00C43D09">
      <w:pPr>
        <w:widowControl w:val="0"/>
        <w:spacing w:before="14" w:line="276" w:lineRule="auto"/>
        <w:contextualSpacing/>
        <w:jc w:val="both"/>
        <w:rPr>
          <w:rFonts w:eastAsia="Calibri" w:cs="Arial"/>
          <w:lang w:val="en-US" w:eastAsia="en-US"/>
        </w:rPr>
      </w:pPr>
      <w:r>
        <w:rPr>
          <w:rFonts w:eastAsia="Calibri" w:cs="Arial"/>
          <w:lang w:val="en-US" w:eastAsia="en-US"/>
        </w:rPr>
        <w:t>Based on the example of T2S were a number of messages had to be created, the full develo</w:t>
      </w:r>
      <w:r>
        <w:rPr>
          <w:rFonts w:eastAsia="Calibri" w:cs="Arial"/>
          <w:lang w:val="en-US" w:eastAsia="en-US"/>
        </w:rPr>
        <w:t>p</w:t>
      </w:r>
      <w:r>
        <w:rPr>
          <w:rFonts w:eastAsia="Calibri" w:cs="Arial"/>
          <w:lang w:val="en-US" w:eastAsia="en-US"/>
        </w:rPr>
        <w:t xml:space="preserve">ment cycle took about 18 months before they were available for use. If fewer messages had to be created this process could be shorter.  A defined market practice would be required before the respective change request could be raised. Also, message users (intermediaries, CSDs, CCPs) would also have to test the new messages accordingly.  </w:t>
      </w:r>
    </w:p>
    <w:p w:rsidR="005C0956" w:rsidRDefault="005C0956" w:rsidP="00C43D09">
      <w:pPr>
        <w:widowControl w:val="0"/>
        <w:spacing w:before="14" w:line="276" w:lineRule="auto"/>
        <w:contextualSpacing/>
        <w:jc w:val="both"/>
        <w:rPr>
          <w:rFonts w:eastAsia="Calibri" w:cs="Arial"/>
          <w:lang w:val="en-US" w:eastAsia="en-US"/>
        </w:rPr>
      </w:pPr>
    </w:p>
    <w:p w:rsidR="00D12AFD" w:rsidRDefault="005C0956" w:rsidP="00D12AFD">
      <w:r w:rsidRPr="00141288">
        <w:rPr>
          <w:rFonts w:eastAsia="Calibri" w:cs="Arial"/>
          <w:lang w:val="en-US" w:eastAsia="en-US"/>
        </w:rPr>
        <w:t>Should the RTS have to enter into force earlier than suggested, then CSDs and participants would have to invest in multipl</w:t>
      </w:r>
      <w:r>
        <w:rPr>
          <w:rFonts w:eastAsia="Calibri" w:cs="Arial"/>
          <w:lang w:val="en-US" w:eastAsia="en-US"/>
        </w:rPr>
        <w:t>e</w:t>
      </w:r>
      <w:r w:rsidRPr="00141288">
        <w:rPr>
          <w:rFonts w:eastAsia="Calibri" w:cs="Arial"/>
          <w:lang w:val="en-US" w:eastAsia="en-US"/>
        </w:rPr>
        <w:t xml:space="preserve"> disciplin</w:t>
      </w:r>
      <w:r>
        <w:rPr>
          <w:rFonts w:eastAsia="Calibri" w:cs="Arial"/>
          <w:lang w:val="en-US" w:eastAsia="en-US"/>
        </w:rPr>
        <w:t>ary</w:t>
      </w:r>
      <w:r w:rsidRPr="00141288">
        <w:rPr>
          <w:rFonts w:eastAsia="Calibri" w:cs="Arial"/>
          <w:lang w:val="en-US" w:eastAsia="en-US"/>
        </w:rPr>
        <w:t xml:space="preserve"> regimes for several markets in a very short period of time which would lead to unnecessary expense and increased pressure during the T2S migr</w:t>
      </w:r>
      <w:r w:rsidRPr="00141288">
        <w:rPr>
          <w:rFonts w:eastAsia="Calibri" w:cs="Arial"/>
          <w:lang w:val="en-US" w:eastAsia="en-US"/>
        </w:rPr>
        <w:t>a</w:t>
      </w:r>
      <w:r w:rsidRPr="00141288">
        <w:rPr>
          <w:rFonts w:eastAsia="Calibri" w:cs="Arial"/>
          <w:lang w:val="en-US" w:eastAsia="en-US"/>
        </w:rPr>
        <w:t xml:space="preserve">tion. </w:t>
      </w:r>
      <w:permEnd w:id="16"/>
      <w:r w:rsidR="00D12AFD">
        <w:t>&lt;ESMA_QUESTION_TS_CSDR_14&gt;</w:t>
      </w:r>
    </w:p>
    <w:p w:rsidR="00D12AFD" w:rsidRPr="002C4F00" w:rsidRDefault="00D12AFD" w:rsidP="00965B03">
      <w:pPr>
        <w:pStyle w:val="Heading5"/>
        <w:ind w:left="567" w:hanging="567"/>
      </w:pPr>
      <w:r w:rsidRPr="002C4F00">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D12AFD" w:rsidRDefault="00D12AFD" w:rsidP="00D12AFD"/>
    <w:p w:rsidR="00D12AFD" w:rsidRDefault="00D12AFD" w:rsidP="00D12AFD">
      <w:r>
        <w:t>&lt;ESMA_QUESTION_TS_CSDR_15&gt;</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ermStart w:id="17" w:edGrp="everyone"/>
      <w:r w:rsidRPr="00141288">
        <w:rPr>
          <w:rFonts w:eastAsia="Arial" w:cs="Arial"/>
          <w:bCs/>
          <w:spacing w:val="1"/>
          <w:lang w:val="en-US" w:eastAsia="en-US"/>
        </w:rPr>
        <w:t xml:space="preserve">We agree with all criteria in </w:t>
      </w:r>
      <w:r>
        <w:rPr>
          <w:rFonts w:eastAsia="Arial" w:cs="Arial"/>
          <w:bCs/>
          <w:spacing w:val="1"/>
          <w:lang w:val="en-US" w:eastAsia="en-US"/>
        </w:rPr>
        <w:t>p</w:t>
      </w:r>
      <w:proofErr w:type="spellStart"/>
      <w:r>
        <w:rPr>
          <w:rFonts w:cs="Arial"/>
        </w:rPr>
        <w:t>aragraph</w:t>
      </w:r>
      <w:proofErr w:type="spellEnd"/>
      <w:r w:rsidRPr="00141288">
        <w:rPr>
          <w:rFonts w:eastAsia="Arial" w:cs="Arial"/>
          <w:bCs/>
          <w:spacing w:val="1"/>
          <w:lang w:val="en-US" w:eastAsia="en-US"/>
        </w:rPr>
        <w:t xml:space="preserve"> 127 in the consultation paper.</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r w:rsidRPr="00141288">
        <w:rPr>
          <w:rFonts w:eastAsia="Arial" w:cs="Arial"/>
          <w:bCs/>
          <w:spacing w:val="1"/>
          <w:lang w:val="en-US" w:eastAsia="en-US"/>
        </w:rPr>
        <w:t xml:space="preserve">We </w:t>
      </w:r>
      <w:proofErr w:type="spellStart"/>
      <w:r w:rsidRPr="00141288">
        <w:rPr>
          <w:rFonts w:eastAsia="Arial" w:cs="Arial"/>
          <w:bCs/>
          <w:spacing w:val="1"/>
          <w:lang w:val="en-US" w:eastAsia="en-US"/>
        </w:rPr>
        <w:t>favour</w:t>
      </w:r>
      <w:proofErr w:type="spellEnd"/>
      <w:r w:rsidRPr="00141288">
        <w:rPr>
          <w:rFonts w:eastAsia="Arial" w:cs="Arial"/>
          <w:bCs/>
          <w:spacing w:val="1"/>
          <w:lang w:val="en-US" w:eastAsia="en-US"/>
        </w:rPr>
        <w:t xml:space="preserve"> a single set of mandatory standards rather than setting any ‘minimum’ standards. There needs to be true consistency from a legal, financial and operational perspective. In particular, there must be minimum standards with respect to stress testing and business cont</w:t>
      </w:r>
      <w:r w:rsidRPr="00141288">
        <w:rPr>
          <w:rFonts w:eastAsia="Arial" w:cs="Arial"/>
          <w:bCs/>
          <w:spacing w:val="1"/>
          <w:lang w:val="en-US" w:eastAsia="en-US"/>
        </w:rPr>
        <w:t>i</w:t>
      </w:r>
      <w:r w:rsidRPr="00141288">
        <w:rPr>
          <w:rFonts w:eastAsia="Arial" w:cs="Arial"/>
          <w:bCs/>
          <w:spacing w:val="1"/>
          <w:lang w:val="en-US" w:eastAsia="en-US"/>
        </w:rPr>
        <w:t>nuity standards for all CSDs.</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
    <w:p w:rsidR="005C0956" w:rsidRDefault="005C0956" w:rsidP="005C0956">
      <w:pPr>
        <w:widowControl w:val="0"/>
        <w:tabs>
          <w:tab w:val="left" w:pos="780"/>
        </w:tabs>
        <w:spacing w:line="276" w:lineRule="auto"/>
        <w:ind w:right="60"/>
        <w:contextualSpacing/>
        <w:jc w:val="both"/>
        <w:rPr>
          <w:rFonts w:eastAsia="Arial" w:cs="Arial"/>
          <w:b/>
          <w:bCs/>
          <w:spacing w:val="1"/>
          <w:lang w:val="en-US" w:eastAsia="en-US"/>
        </w:rPr>
      </w:pPr>
      <w:r>
        <w:rPr>
          <w:rFonts w:cs="Arial"/>
        </w:rPr>
        <w:t>Paragraph</w:t>
      </w:r>
      <w:r w:rsidRPr="00141288">
        <w:rPr>
          <w:rFonts w:eastAsia="Arial" w:cs="Arial"/>
          <w:bCs/>
          <w:spacing w:val="1"/>
          <w:lang w:val="en-US" w:eastAsia="en-US"/>
        </w:rPr>
        <w:t xml:space="preserve"> 134 (l) &amp; (m) are key elements for a proper risk management system and must be applied in a standardized manner with no variation.</w:t>
      </w:r>
    </w:p>
    <w:permEnd w:id="17"/>
    <w:p w:rsidR="00D12AFD" w:rsidRDefault="00D12AFD" w:rsidP="00D12AFD">
      <w:r>
        <w:t>&lt;ESMA_QUESTION_TS_CSDR_15&gt;</w:t>
      </w:r>
    </w:p>
    <w:p w:rsidR="00D12AFD" w:rsidRPr="002C4F00" w:rsidRDefault="00D12AFD" w:rsidP="00965B03">
      <w:pPr>
        <w:pStyle w:val="Heading5"/>
        <w:ind w:left="567" w:hanging="567"/>
      </w:pPr>
      <w:r w:rsidRPr="00C8467F">
        <w:t>What are your views on the proposed draft RTS on CSD review and evaluation (Chapter III of Annex II) and draft ITS (Chapter II of Annex VI)?</w:t>
      </w:r>
    </w:p>
    <w:p w:rsidR="00D12AFD" w:rsidRDefault="00D12AFD" w:rsidP="00D12AFD"/>
    <w:p w:rsidR="00D12AFD" w:rsidRDefault="00D12AFD" w:rsidP="00D12AFD">
      <w:r>
        <w:t>&lt;ESMA_QUESTION_TS_CSDR_16&gt;</w:t>
      </w:r>
    </w:p>
    <w:p w:rsidR="00124278" w:rsidRDefault="00124278" w:rsidP="00124278">
      <w:permStart w:id="18" w:edGrp="everyone"/>
      <w:r>
        <w:t>TYPE YOUR TEXT HERE</w:t>
      </w:r>
    </w:p>
    <w:permEnd w:id="18"/>
    <w:p w:rsidR="00D12AFD" w:rsidRDefault="00D12AFD" w:rsidP="00D12AFD">
      <w:r>
        <w:t>&lt;ESMA_QUESTION_TS_CSDR_16&gt;</w:t>
      </w:r>
    </w:p>
    <w:p w:rsidR="00D12AFD" w:rsidRPr="002C4F00" w:rsidRDefault="00D12AFD" w:rsidP="00965B03">
      <w:pPr>
        <w:pStyle w:val="Heading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D12AFD" w:rsidRDefault="00D12AFD" w:rsidP="00D12AFD"/>
    <w:p w:rsidR="00D12AFD" w:rsidRDefault="00D12AFD" w:rsidP="00D12AFD">
      <w:r>
        <w:t>&lt;ESMA_QUESTION_TS_CSDR_17&gt;</w:t>
      </w:r>
    </w:p>
    <w:p w:rsidR="00124278" w:rsidRDefault="00124278" w:rsidP="00124278">
      <w:permStart w:id="19" w:edGrp="everyone"/>
      <w:r>
        <w:t>TYPE YOUR TEXT HERE</w:t>
      </w:r>
    </w:p>
    <w:permEnd w:id="19"/>
    <w:p w:rsidR="00D12AFD" w:rsidRDefault="00D12AFD" w:rsidP="00D12AFD">
      <w:r>
        <w:t>&lt;ESMA_QUESTION_TS_CSDR_17&gt;</w:t>
      </w:r>
    </w:p>
    <w:p w:rsidR="00D12AFD" w:rsidRPr="002C4F00" w:rsidRDefault="00D12AFD" w:rsidP="00965B03">
      <w:pPr>
        <w:pStyle w:val="Heading5"/>
        <w:ind w:left="567" w:hanging="567"/>
      </w:pPr>
      <w:r w:rsidRPr="002C4F00">
        <w:t>What are your views on the proposed draft RTS</w:t>
      </w:r>
      <w:r>
        <w:t xml:space="preserve"> on CSD recognition (Chapter IV of Annex II)</w:t>
      </w:r>
      <w:r w:rsidRPr="002C4F00">
        <w:t>?</w:t>
      </w:r>
    </w:p>
    <w:p w:rsidR="00D12AFD" w:rsidRDefault="00D12AFD" w:rsidP="00D12AFD"/>
    <w:p w:rsidR="00D12AFD" w:rsidRDefault="00D12AFD" w:rsidP="00D12AFD">
      <w:r>
        <w:t>&lt;ESMA_QUESTION_TS_CSDR_18&gt;</w:t>
      </w:r>
    </w:p>
    <w:p w:rsidR="00D12AFD" w:rsidRDefault="00D12AFD" w:rsidP="00D12AFD">
      <w:r>
        <w:t>TYPE YOUR TEXT HERE</w:t>
      </w:r>
    </w:p>
    <w:p w:rsidR="00D12AFD" w:rsidRDefault="00D12AFD" w:rsidP="00D12AFD">
      <w:r>
        <w:t>&lt;ESMA_QUESTION_TS_CSDR_18&gt;</w:t>
      </w:r>
    </w:p>
    <w:p w:rsidR="00D12AFD" w:rsidRPr="002C4F00" w:rsidRDefault="00D12AFD" w:rsidP="00965B03">
      <w:pPr>
        <w:pStyle w:val="Heading5"/>
        <w:ind w:left="567" w:hanging="567"/>
      </w:pPr>
      <w:r w:rsidRPr="002C4F00">
        <w:lastRenderedPageBreak/>
        <w:t>What are your views on the proposed approach regarding the determination of the most relevant currencies?</w:t>
      </w:r>
    </w:p>
    <w:p w:rsidR="00D12AFD" w:rsidRDefault="00D12AFD" w:rsidP="00D12AFD"/>
    <w:p w:rsidR="00D12AFD" w:rsidRDefault="00D12AFD" w:rsidP="00D12AFD">
      <w:r>
        <w:t>&lt;ESMA_QUESTION_TS_CSDR_19&gt;</w:t>
      </w:r>
    </w:p>
    <w:p w:rsidR="00124278" w:rsidRDefault="00124278" w:rsidP="00124278">
      <w:permStart w:id="20" w:edGrp="everyone"/>
      <w:r>
        <w:t>TYPE YOUR TEXT HERE</w:t>
      </w:r>
    </w:p>
    <w:permEnd w:id="20"/>
    <w:p w:rsidR="00D12AFD" w:rsidRDefault="00D12AFD" w:rsidP="00D12AFD">
      <w:r>
        <w:t>&lt;ESMA_QUESTION_TS_CSDR_19&gt;</w:t>
      </w:r>
    </w:p>
    <w:p w:rsidR="00D12AFD" w:rsidRPr="002C4F00" w:rsidRDefault="00D12AFD" w:rsidP="00965B03">
      <w:pPr>
        <w:pStyle w:val="Heading5"/>
        <w:ind w:left="567" w:hanging="567"/>
      </w:pPr>
      <w:r w:rsidRPr="002C4F00">
        <w:t xml:space="preserve">What are your views on the proposed draft RTS </w:t>
      </w:r>
      <w:r>
        <w:t xml:space="preserve">on banking type of ancillary services </w:t>
      </w:r>
      <w:r w:rsidRPr="002C4F00">
        <w:t xml:space="preserve">(Chapter VI of Annex II) and draft ITS </w:t>
      </w:r>
      <w:r>
        <w:t xml:space="preserve">on banking type of ancillary services </w:t>
      </w:r>
      <w:r w:rsidRPr="002C4F00">
        <w:t>(Chapter IV of Annex VI)?</w:t>
      </w:r>
    </w:p>
    <w:p w:rsidR="00D12AFD" w:rsidRDefault="00D12AFD" w:rsidP="00D12AFD"/>
    <w:p w:rsidR="00D12AFD" w:rsidRDefault="00D12AFD" w:rsidP="00D12AFD">
      <w:r>
        <w:t>&lt;ESMA_QUESTION_TS_CSDR_20&gt;</w:t>
      </w:r>
    </w:p>
    <w:p w:rsidR="00124278" w:rsidRPr="005C0956" w:rsidRDefault="005C0956" w:rsidP="005C0956">
      <w:pPr>
        <w:widowControl w:val="0"/>
        <w:tabs>
          <w:tab w:val="left" w:pos="780"/>
        </w:tabs>
        <w:spacing w:line="276" w:lineRule="auto"/>
        <w:ind w:right="56"/>
        <w:contextualSpacing/>
        <w:jc w:val="both"/>
        <w:rPr>
          <w:rFonts w:eastAsia="Calibri" w:cs="Arial"/>
          <w:lang w:val="en-US" w:eastAsia="en-US"/>
        </w:rPr>
      </w:pPr>
      <w:permStart w:id="21" w:edGrp="everyone"/>
      <w:r w:rsidRPr="00141288">
        <w:rPr>
          <w:rFonts w:eastAsia="Calibri" w:cs="Arial"/>
          <w:lang w:val="en-US" w:eastAsia="en-US"/>
        </w:rPr>
        <w:t xml:space="preserve">There needs to be clear indication of what banking services a CSD should be able to perform and how they will be suitably segregated from their core offering so as not to overexpose the CSD and endanger its stability. </w:t>
      </w:r>
    </w:p>
    <w:permEnd w:id="21"/>
    <w:p w:rsidR="00D12AFD" w:rsidRDefault="00D12AFD" w:rsidP="00D12AFD">
      <w:r>
        <w:t>&lt;ESMA_QUESTION_TS_CSDR_20&gt;</w:t>
      </w:r>
    </w:p>
    <w:p w:rsidR="00D12AFD" w:rsidRPr="002C4F00" w:rsidRDefault="00D12AFD" w:rsidP="00965B03">
      <w:pPr>
        <w:pStyle w:val="Heading5"/>
        <w:ind w:left="567" w:hanging="567"/>
      </w:pPr>
      <w:r w:rsidRPr="002C4F00">
        <w:t>What are your views on the proposed draft RTS</w:t>
      </w:r>
      <w:r>
        <w:t xml:space="preserve"> on CSD participations</w:t>
      </w:r>
      <w:r w:rsidRPr="002C4F00">
        <w:t xml:space="preserve"> (Chapter II of Annex III)?</w:t>
      </w:r>
    </w:p>
    <w:p w:rsidR="00D12AFD" w:rsidRDefault="00D12AFD" w:rsidP="00D12AFD"/>
    <w:p w:rsidR="00D12AFD" w:rsidRDefault="00D12AFD" w:rsidP="00D12AFD">
      <w:r>
        <w:t>&lt;ESMA_QUESTION_TS_CSDR_21&gt;</w:t>
      </w:r>
    </w:p>
    <w:p w:rsidR="00D12AFD" w:rsidRDefault="005C0956" w:rsidP="00D12AFD">
      <w:permStart w:id="22" w:edGrp="everyone"/>
      <w:r w:rsidRPr="00141288">
        <w:rPr>
          <w:rFonts w:eastAsia="Arial" w:cs="Arial"/>
          <w:bCs/>
          <w:spacing w:val="1"/>
          <w:lang w:val="en-US" w:eastAsia="en-US"/>
        </w:rPr>
        <w:t>Any link to Recovery &amp; Resolution needs an assessment of contagion risk. Please refer to our comments under Q31 regarding the need for harmonized insolvency/default procedures across all CSDs.  This will be fundamental where CSDs are interoperating</w:t>
      </w:r>
      <w:proofErr w:type="gramStart"/>
      <w:r w:rsidRPr="00141288">
        <w:rPr>
          <w:rFonts w:eastAsia="Arial" w:cs="Arial"/>
          <w:bCs/>
          <w:spacing w:val="1"/>
          <w:lang w:val="en-US" w:eastAsia="en-US"/>
        </w:rPr>
        <w:t>.</w:t>
      </w:r>
      <w:permEnd w:id="22"/>
      <w:r w:rsidR="00D12AFD">
        <w:t>&lt;</w:t>
      </w:r>
      <w:proofErr w:type="gramEnd"/>
      <w:r w:rsidR="00D12AFD">
        <w:t>ESMA_QUESTION_TS_CSDR_21&gt;</w:t>
      </w:r>
    </w:p>
    <w:p w:rsidR="00D12AFD" w:rsidRDefault="00D12AFD" w:rsidP="00965B03">
      <w:pPr>
        <w:pStyle w:val="Heading5"/>
        <w:ind w:left="567" w:hanging="567"/>
      </w:pPr>
      <w:r w:rsidRPr="00C8467F">
        <w:t>What are your views on the proposed draft RTS on CSD risk monitoring tools (Chapter III of Annex III)?</w:t>
      </w:r>
    </w:p>
    <w:p w:rsidR="00D12AFD" w:rsidRDefault="00D12AFD" w:rsidP="00D12AFD"/>
    <w:p w:rsidR="00D12AFD" w:rsidRDefault="00D12AFD" w:rsidP="00D12AFD">
      <w:r>
        <w:t>&lt;ESMA_QUESTION_TS_CSDR_22&gt;</w:t>
      </w:r>
    </w:p>
    <w:p w:rsidR="00D12AFD" w:rsidRDefault="00D12AFD" w:rsidP="00D12AFD">
      <w:r>
        <w:t>TYPE YOUR TEXT HERE</w:t>
      </w:r>
    </w:p>
    <w:p w:rsidR="00D12AFD" w:rsidRDefault="00D12AFD" w:rsidP="00D12AFD">
      <w:r>
        <w:t>&lt;ESMA_QUESTION_TS_CSDR_22&gt;</w:t>
      </w:r>
    </w:p>
    <w:p w:rsidR="00D12AFD" w:rsidRDefault="00D12AFD" w:rsidP="00965B03">
      <w:pPr>
        <w:pStyle w:val="Heading5"/>
        <w:ind w:left="567" w:hanging="567"/>
      </w:pPr>
      <w:r w:rsidRPr="00C8467F">
        <w:t>What are your views on the proposed draft RTS on CSD record keeping (Chapter IV of Annex III) and draft ITS on CSD record keeping (Annex VII)?</w:t>
      </w:r>
    </w:p>
    <w:p w:rsidR="00D12AFD" w:rsidRDefault="00D12AFD" w:rsidP="00D12AFD"/>
    <w:p w:rsidR="00D12AFD" w:rsidRDefault="00D12AFD" w:rsidP="00D12AFD">
      <w:r>
        <w:t>&lt;ESMA_QUESTION_TS_CSDR_23&gt;</w:t>
      </w:r>
    </w:p>
    <w:p w:rsidR="005C0956" w:rsidRDefault="005C0956" w:rsidP="005C0956">
      <w:pPr>
        <w:widowControl w:val="0"/>
        <w:spacing w:line="276" w:lineRule="auto"/>
        <w:ind w:right="56"/>
        <w:contextualSpacing/>
        <w:jc w:val="both"/>
        <w:rPr>
          <w:rFonts w:cs="Arial"/>
        </w:rPr>
      </w:pPr>
      <w:permStart w:id="23" w:edGrp="everyone"/>
      <w:proofErr w:type="spellStart"/>
      <w:r w:rsidRPr="00141288">
        <w:rPr>
          <w:rFonts w:eastAsia="Arial" w:cs="Arial"/>
          <w:bCs/>
          <w:lang w:val="en-US" w:eastAsia="en-US"/>
        </w:rPr>
        <w:t>Harmonised</w:t>
      </w:r>
      <w:proofErr w:type="spellEnd"/>
      <w:r w:rsidRPr="00141288">
        <w:rPr>
          <w:rFonts w:eastAsia="Arial" w:cs="Arial"/>
          <w:bCs/>
          <w:lang w:val="en-US" w:eastAsia="en-US"/>
        </w:rPr>
        <w:t xml:space="preserve"> standards are required to avoid distortions and, the ‘maximum approach’ as d</w:t>
      </w:r>
      <w:r w:rsidRPr="00141288">
        <w:rPr>
          <w:rFonts w:eastAsia="Arial" w:cs="Arial"/>
          <w:bCs/>
          <w:lang w:val="en-US" w:eastAsia="en-US"/>
        </w:rPr>
        <w:t>e</w:t>
      </w:r>
      <w:r w:rsidRPr="00141288">
        <w:rPr>
          <w:rFonts w:eastAsia="Arial" w:cs="Arial"/>
          <w:bCs/>
          <w:lang w:val="en-US" w:eastAsia="en-US"/>
        </w:rPr>
        <w:t xml:space="preserve">scribed in </w:t>
      </w:r>
      <w:r>
        <w:rPr>
          <w:rFonts w:eastAsia="Arial" w:cs="Arial"/>
          <w:bCs/>
          <w:lang w:val="en-US" w:eastAsia="en-US"/>
        </w:rPr>
        <w:t>p</w:t>
      </w:r>
      <w:proofErr w:type="spellStart"/>
      <w:r>
        <w:rPr>
          <w:rFonts w:cs="Arial"/>
        </w:rPr>
        <w:t>aragraph</w:t>
      </w:r>
      <w:proofErr w:type="spellEnd"/>
      <w:r>
        <w:rPr>
          <w:rFonts w:cs="Arial"/>
        </w:rPr>
        <w:t xml:space="preserve"> </w:t>
      </w:r>
      <w:r w:rsidRPr="00141288">
        <w:rPr>
          <w:rFonts w:eastAsia="Arial" w:cs="Arial"/>
          <w:bCs/>
          <w:lang w:val="en-US" w:eastAsia="en-US"/>
        </w:rPr>
        <w:t xml:space="preserve">187 should be pursued. We fully agree with the requirements in </w:t>
      </w:r>
      <w:r>
        <w:rPr>
          <w:rFonts w:eastAsia="Arial" w:cs="Arial"/>
          <w:bCs/>
          <w:lang w:val="en-US" w:eastAsia="en-US"/>
        </w:rPr>
        <w:t>p</w:t>
      </w:r>
      <w:proofErr w:type="spellStart"/>
      <w:r>
        <w:rPr>
          <w:rFonts w:cs="Arial"/>
        </w:rPr>
        <w:t>aragraph</w:t>
      </w:r>
      <w:proofErr w:type="spellEnd"/>
      <w:r w:rsidRPr="00141288">
        <w:rPr>
          <w:rFonts w:eastAsia="Arial" w:cs="Arial"/>
          <w:bCs/>
          <w:lang w:val="en-US" w:eastAsia="en-US"/>
        </w:rPr>
        <w:t xml:space="preserve"> 194 in the consultation paper. We advocate the requirement of BIC level identification of direct and indirect participants supporting </w:t>
      </w:r>
      <w:r>
        <w:rPr>
          <w:rFonts w:eastAsia="Arial" w:cs="Arial"/>
          <w:bCs/>
          <w:lang w:val="en-US" w:eastAsia="en-US"/>
        </w:rPr>
        <w:t>p</w:t>
      </w:r>
      <w:proofErr w:type="spellStart"/>
      <w:r>
        <w:rPr>
          <w:rFonts w:cs="Arial"/>
        </w:rPr>
        <w:t>aragraph</w:t>
      </w:r>
      <w:proofErr w:type="spellEnd"/>
      <w:r w:rsidRPr="00141288">
        <w:rPr>
          <w:rFonts w:eastAsia="Arial" w:cs="Arial"/>
          <w:bCs/>
          <w:lang w:val="en-US" w:eastAsia="en-US"/>
        </w:rPr>
        <w:t xml:space="preserve"> 198 in the consultation paper.  Compliance with the record keeping requirements should be part of the CSD </w:t>
      </w:r>
      <w:proofErr w:type="spellStart"/>
      <w:r w:rsidRPr="00141288">
        <w:rPr>
          <w:rFonts w:eastAsia="Arial" w:cs="Arial"/>
          <w:bCs/>
          <w:lang w:val="en-US" w:eastAsia="en-US"/>
        </w:rPr>
        <w:t>authorisation</w:t>
      </w:r>
      <w:proofErr w:type="spellEnd"/>
      <w:r w:rsidRPr="00141288">
        <w:rPr>
          <w:rFonts w:eastAsia="Arial" w:cs="Arial"/>
          <w:bCs/>
          <w:lang w:val="en-US" w:eastAsia="en-US"/>
        </w:rPr>
        <w:t xml:space="preserve"> process. </w:t>
      </w:r>
    </w:p>
    <w:p w:rsidR="00124278" w:rsidRDefault="00124278" w:rsidP="00124278"/>
    <w:permEnd w:id="23"/>
    <w:p w:rsidR="00D12AFD" w:rsidRDefault="00D12AFD" w:rsidP="00D12AFD">
      <w:r>
        <w:t>&lt;ESMA_QUESTION_TS_CSDR_23&gt;</w:t>
      </w:r>
    </w:p>
    <w:p w:rsidR="00D12AFD" w:rsidRPr="002C4F00" w:rsidRDefault="00D12AFD" w:rsidP="00965B03">
      <w:pPr>
        <w:pStyle w:val="Heading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retained by CSDs in relation to ancillary services.</w:t>
      </w:r>
    </w:p>
    <w:p w:rsidR="00D12AFD" w:rsidRDefault="00D12AFD" w:rsidP="00D12AFD"/>
    <w:p w:rsidR="00D12AFD" w:rsidRDefault="00D12AFD" w:rsidP="00D12AFD">
      <w:r>
        <w:t>&lt;ESMA_QUESTION_TS_CSDR_25&gt;</w:t>
      </w:r>
    </w:p>
    <w:p w:rsidR="00124278" w:rsidRDefault="00124278" w:rsidP="00124278">
      <w:permStart w:id="24" w:edGrp="everyone"/>
      <w:r>
        <w:lastRenderedPageBreak/>
        <w:t>TYPE YOUR TEXT HERE</w:t>
      </w:r>
    </w:p>
    <w:permEnd w:id="24"/>
    <w:p w:rsidR="00D12AFD" w:rsidRDefault="00D12AFD" w:rsidP="00D12AFD">
      <w:r>
        <w:t>&lt;ESMA_QUESTION_TS_CSDR_25&gt;</w:t>
      </w:r>
    </w:p>
    <w:p w:rsidR="00D12AFD" w:rsidRPr="002C4F00" w:rsidRDefault="00D12AFD" w:rsidP="00965B03">
      <w:pPr>
        <w:pStyle w:val="Heading5"/>
        <w:ind w:left="567" w:hanging="567"/>
      </w:pPr>
      <w:r w:rsidRPr="002C4F00">
        <w:t>What are your views on the proposed draft RTS</w:t>
      </w:r>
      <w:r>
        <w:t xml:space="preserve"> on reconciliation measures</w:t>
      </w:r>
      <w:r w:rsidRPr="002C4F00">
        <w:t xml:space="preserve"> included in Chapter V of Annex III?</w:t>
      </w:r>
    </w:p>
    <w:p w:rsidR="00D12AFD" w:rsidRDefault="00D12AFD" w:rsidP="00D12AFD"/>
    <w:p w:rsidR="00D12AFD" w:rsidRDefault="00D12AFD" w:rsidP="00D12AFD">
      <w:r>
        <w:t>&lt;ESMA_QUESTION_TS_CSDR_25&gt;</w:t>
      </w:r>
    </w:p>
    <w:p w:rsidR="005C0956" w:rsidRDefault="005C0956" w:rsidP="005C0956">
      <w:pPr>
        <w:spacing w:line="276" w:lineRule="auto"/>
        <w:contextualSpacing/>
        <w:jc w:val="both"/>
        <w:rPr>
          <w:rFonts w:eastAsia="Arial" w:cs="Arial"/>
          <w:bCs/>
          <w:spacing w:val="1"/>
          <w:lang w:val="en-US" w:eastAsia="en-US"/>
        </w:rPr>
      </w:pPr>
      <w:permStart w:id="25" w:edGrp="everyone"/>
      <w:r w:rsidRPr="00141288">
        <w:rPr>
          <w:rFonts w:cs="Arial"/>
        </w:rPr>
        <w:t xml:space="preserve">If a security is suspended from settlement, then it should also be clear that it is then excluded from any settlement discipline regime during this period. </w:t>
      </w:r>
      <w:r w:rsidRPr="00141288">
        <w:rPr>
          <w:rFonts w:eastAsia="Arial" w:cs="Arial"/>
          <w:bCs/>
          <w:spacing w:val="1"/>
          <w:lang w:val="en-US" w:eastAsia="en-US"/>
        </w:rPr>
        <w:t>We are supportive of the extra reconci</w:t>
      </w:r>
      <w:r w:rsidRPr="00141288">
        <w:rPr>
          <w:rFonts w:eastAsia="Arial" w:cs="Arial"/>
          <w:bCs/>
          <w:spacing w:val="1"/>
          <w:lang w:val="en-US" w:eastAsia="en-US"/>
        </w:rPr>
        <w:t>l</w:t>
      </w:r>
      <w:r w:rsidRPr="00141288">
        <w:rPr>
          <w:rFonts w:eastAsia="Arial" w:cs="Arial"/>
          <w:bCs/>
          <w:spacing w:val="1"/>
          <w:lang w:val="en-US" w:eastAsia="en-US"/>
        </w:rPr>
        <w:t>iation measure comparing the previous end of day balance with all settlements made during the day and the current end of day balance.</w:t>
      </w:r>
    </w:p>
    <w:p w:rsidR="005C0956" w:rsidRDefault="005C0956" w:rsidP="005C0956">
      <w:pPr>
        <w:widowControl w:val="0"/>
        <w:spacing w:line="276" w:lineRule="auto"/>
        <w:ind w:right="58"/>
        <w:contextualSpacing/>
        <w:jc w:val="both"/>
        <w:rPr>
          <w:rFonts w:eastAsia="Arial" w:cs="Arial"/>
          <w:bCs/>
          <w:spacing w:val="1"/>
          <w:lang w:val="en-US" w:eastAsia="en-US"/>
        </w:rPr>
      </w:pPr>
    </w:p>
    <w:p w:rsidR="00124278" w:rsidRDefault="005C0956" w:rsidP="005C0956">
      <w:r w:rsidRPr="00141288">
        <w:rPr>
          <w:rFonts w:eastAsia="Arial" w:cs="Arial"/>
          <w:bCs/>
          <w:spacing w:val="1"/>
          <w:lang w:val="en-US" w:eastAsia="en-US"/>
        </w:rPr>
        <w:t xml:space="preserve">Preventing settlement in a securities issue until reconciliation problems have been fixed is also appropriate. It is important that this is </w:t>
      </w:r>
      <w:proofErr w:type="spellStart"/>
      <w:r w:rsidRPr="00141288">
        <w:rPr>
          <w:rFonts w:eastAsia="Arial" w:cs="Arial"/>
          <w:bCs/>
          <w:spacing w:val="1"/>
          <w:lang w:val="en-US" w:eastAsia="en-US"/>
        </w:rPr>
        <w:t>harmonised</w:t>
      </w:r>
      <w:proofErr w:type="spellEnd"/>
      <w:r w:rsidRPr="00141288">
        <w:rPr>
          <w:rFonts w:eastAsia="Arial" w:cs="Arial"/>
          <w:bCs/>
          <w:spacing w:val="1"/>
          <w:lang w:val="en-US" w:eastAsia="en-US"/>
        </w:rPr>
        <w:t xml:space="preserve"> with T2S. Once reconciliation issues have been resolved the expectation is that settlement will be updated at no detriment to the partic</w:t>
      </w:r>
      <w:r w:rsidRPr="00141288">
        <w:rPr>
          <w:rFonts w:eastAsia="Arial" w:cs="Arial"/>
          <w:bCs/>
          <w:spacing w:val="1"/>
          <w:lang w:val="en-US" w:eastAsia="en-US"/>
        </w:rPr>
        <w:t>i</w:t>
      </w:r>
      <w:r w:rsidRPr="00141288">
        <w:rPr>
          <w:rFonts w:eastAsia="Arial" w:cs="Arial"/>
          <w:bCs/>
          <w:spacing w:val="1"/>
          <w:lang w:val="en-US" w:eastAsia="en-US"/>
        </w:rPr>
        <w:t>pant unless they were responsible for the reconciliation issue. It is vital to ring-fence any breaks and contain the risk to ensure that a discrepancy does not become un-manageable and the breaks become further blurred by new activity which will only negatively add to the resolution timeframe. This is especially true in periods of market or participant stress where transparency of holdings and entitlement is of critical importance.</w:t>
      </w:r>
    </w:p>
    <w:permEnd w:id="25"/>
    <w:p w:rsidR="00D12AFD" w:rsidRDefault="00D12AFD" w:rsidP="00D12AFD">
      <w:r>
        <w:t>&lt;ESMA_QUESTION_TS_CSDR_25&gt;</w:t>
      </w:r>
    </w:p>
    <w:p w:rsidR="00D12AFD" w:rsidRPr="002C4F00" w:rsidRDefault="00D12AFD" w:rsidP="00965B03">
      <w:pPr>
        <w:pStyle w:val="Heading5"/>
        <w:ind w:left="567" w:hanging="567"/>
      </w:pPr>
      <w:r w:rsidRPr="002C4F00">
        <w:t>Do you believe that the proposed reconciliation measures where other entities are involved in the reconciliation process for a certain securities issue within the meaning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D12AFD" w:rsidRDefault="00D12AFD" w:rsidP="00D12AFD"/>
    <w:p w:rsidR="00D12AFD" w:rsidRDefault="00D12AFD" w:rsidP="00D12AFD">
      <w:r>
        <w:t>&lt;ESMA_QUESTION_TS_CSDR_26&gt;</w:t>
      </w:r>
    </w:p>
    <w:p w:rsidR="00124278" w:rsidRDefault="00124278" w:rsidP="00124278">
      <w:permStart w:id="26" w:edGrp="everyone"/>
      <w:r>
        <w:t>TYPE YOUR TEXT HERE</w:t>
      </w:r>
    </w:p>
    <w:permEnd w:id="26"/>
    <w:p w:rsidR="00D12AFD" w:rsidRDefault="00D12AFD" w:rsidP="00D12AFD">
      <w:r>
        <w:t>&lt;ESMA_QUESTION_TS_CSDR_26&gt;</w:t>
      </w:r>
    </w:p>
    <w:p w:rsidR="00F1314C" w:rsidRDefault="00F1314C" w:rsidP="00F1314C">
      <w:pPr>
        <w:pStyle w:val="Heading5"/>
      </w:pPr>
      <w:r w:rsidRPr="00F1314C">
        <w:t>What are your views on the proposed reconciliation measures for corporate actions under Article 15 of the draft RTS included in Chapter V of Annex III?</w:t>
      </w:r>
    </w:p>
    <w:p w:rsidR="00F1314C" w:rsidRDefault="00F1314C" w:rsidP="00F1314C"/>
    <w:p w:rsidR="00252063" w:rsidRDefault="00252063" w:rsidP="00252063">
      <w:r>
        <w:t>&lt;ESMA_QUESTION_TS_CSDR_27&gt;</w:t>
      </w:r>
    </w:p>
    <w:p w:rsidR="00124278" w:rsidRPr="005C0956" w:rsidRDefault="005C0956" w:rsidP="005C0956">
      <w:pPr>
        <w:spacing w:line="276" w:lineRule="auto"/>
        <w:contextualSpacing/>
        <w:jc w:val="both"/>
        <w:rPr>
          <w:rFonts w:cs="Arial"/>
        </w:rPr>
      </w:pPr>
      <w:permStart w:id="27" w:edGrp="everyone"/>
      <w:r w:rsidRPr="00141288">
        <w:rPr>
          <w:rFonts w:cs="Arial"/>
        </w:rPr>
        <w:t xml:space="preserve">If </w:t>
      </w:r>
      <w:r>
        <w:rPr>
          <w:rFonts w:cs="Arial"/>
        </w:rPr>
        <w:t>the</w:t>
      </w:r>
      <w:r w:rsidRPr="00141288">
        <w:rPr>
          <w:rFonts w:cs="Arial"/>
        </w:rPr>
        <w:t xml:space="preserve"> ISIN of a security is converted to another ISIN due to a corporate action, then any settlement discipline regime should not apply to any instructions in the original ISIN.</w:t>
      </w:r>
    </w:p>
    <w:permEnd w:id="27"/>
    <w:p w:rsidR="00252063" w:rsidRDefault="00252063" w:rsidP="00252063">
      <w:r>
        <w:t>&lt;ESMA_QUESTION_TS_CSDR_27&gt;</w:t>
      </w:r>
    </w:p>
    <w:p w:rsidR="00F1314C" w:rsidRPr="00F1314C" w:rsidRDefault="00F1314C" w:rsidP="00F1314C"/>
    <w:p w:rsidR="00D12AFD" w:rsidRPr="002C4F00" w:rsidRDefault="00D12AFD" w:rsidP="00965B03">
      <w:pPr>
        <w:pStyle w:val="Heading5"/>
        <w:ind w:left="567" w:hanging="567"/>
      </w:pPr>
      <w:r w:rsidRPr="00C8467F">
        <w:t>What are your views on the proposed draft RTS on CSD operational risks included in Chapter VI of Annex III?</w:t>
      </w:r>
    </w:p>
    <w:p w:rsidR="00D12AFD" w:rsidRDefault="00D12AFD" w:rsidP="00D12AFD"/>
    <w:p w:rsidR="00D12AFD" w:rsidRDefault="00D12AFD" w:rsidP="00D12AFD">
      <w:r>
        <w:t>&lt;ESMA_QUESTION_TS_CSDR_2</w:t>
      </w:r>
      <w:r w:rsidR="00252063">
        <w:t>8</w:t>
      </w:r>
      <w:r>
        <w:t>&gt;</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ermStart w:id="28" w:edGrp="everyone"/>
      <w:r w:rsidRPr="00141288">
        <w:rPr>
          <w:rFonts w:eastAsia="Arial" w:cs="Arial"/>
          <w:bCs/>
          <w:spacing w:val="1"/>
          <w:lang w:val="en-US" w:eastAsia="en-US"/>
        </w:rPr>
        <w:t xml:space="preserve">The draft RTS on CSD operational risks is acceptable overall.  With regards to audits and governance, CSDs should be subject to the same level of audit and compliance standards as banks with conformance attested to at least annually with oversight from internal and external audit.  </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r w:rsidRPr="00141288">
        <w:rPr>
          <w:rFonts w:eastAsia="Arial" w:cs="Arial"/>
          <w:bCs/>
          <w:spacing w:val="1"/>
          <w:lang w:val="en-US" w:eastAsia="en-US"/>
        </w:rPr>
        <w:lastRenderedPageBreak/>
        <w:t>A Risk Department is required and there should be a focus on IT systems. Where IT systems are outsourced their review should be annual.</w:t>
      </w:r>
    </w:p>
    <w:p w:rsidR="005C0956" w:rsidRDefault="005C0956" w:rsidP="005C0956">
      <w:pPr>
        <w:widowControl w:val="0"/>
        <w:tabs>
          <w:tab w:val="left" w:pos="780"/>
        </w:tabs>
        <w:spacing w:line="276" w:lineRule="auto"/>
        <w:ind w:right="60"/>
        <w:contextualSpacing/>
        <w:jc w:val="both"/>
        <w:rPr>
          <w:rFonts w:eastAsia="Arial" w:cs="Arial"/>
          <w:bCs/>
          <w:spacing w:val="1"/>
          <w:lang w:val="en-US" w:eastAsia="en-US"/>
        </w:rPr>
      </w:pPr>
    </w:p>
    <w:p w:rsidR="00124278" w:rsidRDefault="005C0956" w:rsidP="005C0956">
      <w:r>
        <w:rPr>
          <w:rFonts w:eastAsia="Arial" w:cs="Arial"/>
          <w:bCs/>
          <w:spacing w:val="1"/>
          <w:lang w:val="en-US" w:eastAsia="en-US"/>
        </w:rPr>
        <w:t>We believe the maxi</w:t>
      </w:r>
      <w:r w:rsidRPr="00141288">
        <w:rPr>
          <w:rFonts w:eastAsia="Arial" w:cs="Arial"/>
          <w:bCs/>
          <w:spacing w:val="1"/>
          <w:lang w:val="en-US" w:eastAsia="en-US"/>
        </w:rPr>
        <w:t>mum disaster recovery time should be 2hrs.</w:t>
      </w:r>
    </w:p>
    <w:permEnd w:id="28"/>
    <w:p w:rsidR="00D12AFD" w:rsidRDefault="00D12AFD" w:rsidP="00D12AFD">
      <w:r>
        <w:t>&lt;ESMA_QUESTION_TS_CSDR_2</w:t>
      </w:r>
      <w:r w:rsidR="00252063">
        <w:t>8</w:t>
      </w:r>
      <w:r>
        <w:t>&gt;</w:t>
      </w:r>
    </w:p>
    <w:p w:rsidR="00D12AFD" w:rsidRPr="002C4F00" w:rsidRDefault="00D12AFD" w:rsidP="00965B03">
      <w:pPr>
        <w:pStyle w:val="Heading5"/>
        <w:ind w:left="567" w:hanging="567"/>
      </w:pPr>
      <w:r w:rsidRPr="00C8467F">
        <w:t>What are your views on the proposed draft RTS on CSD investment policy (Chapter VII of Annex III)?</w:t>
      </w:r>
    </w:p>
    <w:p w:rsidR="00D12AFD" w:rsidRDefault="00D12AFD" w:rsidP="00D12AFD"/>
    <w:p w:rsidR="00D12AFD" w:rsidRDefault="00D12AFD" w:rsidP="00D12AFD">
      <w:r>
        <w:t>&lt;ESMA_QUESTION_TS_CSDR_2</w:t>
      </w:r>
      <w:r w:rsidR="00252063">
        <w:t>9</w:t>
      </w:r>
      <w:r>
        <w:t>&gt;</w:t>
      </w:r>
    </w:p>
    <w:p w:rsidR="00124278" w:rsidRDefault="00124278" w:rsidP="00124278">
      <w:permStart w:id="29" w:edGrp="everyone"/>
      <w:r>
        <w:t>TYPE YOUR TEXT HERE</w:t>
      </w:r>
    </w:p>
    <w:permEnd w:id="29"/>
    <w:p w:rsidR="00D12AFD" w:rsidRDefault="00D12AFD" w:rsidP="00D12AFD">
      <w:r>
        <w:t>&lt;ESMA_QUESTION_TS_CSDR_2</w:t>
      </w:r>
      <w:r w:rsidR="00252063">
        <w:t>9</w:t>
      </w:r>
      <w:r>
        <w:t>&gt;</w:t>
      </w:r>
    </w:p>
    <w:p w:rsidR="00D12AFD" w:rsidRPr="002C4F00" w:rsidRDefault="00D12AFD" w:rsidP="00965B03">
      <w:pPr>
        <w:pStyle w:val="Heading5"/>
        <w:ind w:left="567" w:hanging="567"/>
      </w:pPr>
      <w:r w:rsidRPr="002C4F00">
        <w:t>What are your views on the proposed draft RTS on access (Chapters I-III of Annex IV) and draft ITS on access (Annex VIII)?</w:t>
      </w:r>
    </w:p>
    <w:p w:rsidR="00D12AFD" w:rsidRDefault="00D12AFD" w:rsidP="00D12AFD"/>
    <w:p w:rsidR="00D12AFD" w:rsidRDefault="00D12AFD" w:rsidP="00D12AFD">
      <w:r>
        <w:t>&lt;ESMA_QUESTION_TS_CSDR_</w:t>
      </w:r>
      <w:r w:rsidR="00252063">
        <w:t>30</w:t>
      </w:r>
      <w:r>
        <w:t>&gt;</w:t>
      </w:r>
    </w:p>
    <w:p w:rsidR="005C0956" w:rsidRDefault="005C0956" w:rsidP="005C0956">
      <w:pPr>
        <w:widowControl w:val="0"/>
        <w:spacing w:line="276" w:lineRule="auto"/>
        <w:contextualSpacing/>
        <w:jc w:val="both"/>
        <w:rPr>
          <w:rFonts w:eastAsia="Calibri" w:cs="Arial"/>
          <w:lang w:val="en-US" w:eastAsia="en-US"/>
        </w:rPr>
      </w:pPr>
      <w:permStart w:id="30" w:edGrp="everyone"/>
      <w:r w:rsidRPr="00141288">
        <w:rPr>
          <w:rFonts w:eastAsia="Calibri" w:cs="Arial"/>
          <w:lang w:val="en-US" w:eastAsia="en-US"/>
        </w:rPr>
        <w:t>We agree with all points covered, in par</w:t>
      </w:r>
      <w:r>
        <w:rPr>
          <w:rFonts w:eastAsia="Calibri" w:cs="Arial"/>
          <w:lang w:val="en-US" w:eastAsia="en-US"/>
        </w:rPr>
        <w:t>ticular paragraphs 263 and 268.</w:t>
      </w:r>
      <w:r w:rsidRPr="00141288">
        <w:rPr>
          <w:rFonts w:eastAsia="Calibri" w:cs="Arial"/>
          <w:lang w:val="en-US" w:eastAsia="en-US"/>
        </w:rPr>
        <w:t xml:space="preserve"> In addition, Anti-Money Laundering, Know Your Customer, Anti-terrorism, and Sanction risk checks should be included under legal entry criteria.  </w:t>
      </w:r>
    </w:p>
    <w:p w:rsidR="005C0956" w:rsidRDefault="005C0956" w:rsidP="005C0956">
      <w:pPr>
        <w:widowControl w:val="0"/>
        <w:spacing w:line="276" w:lineRule="auto"/>
        <w:contextualSpacing/>
        <w:jc w:val="both"/>
        <w:rPr>
          <w:rFonts w:eastAsia="Calibri" w:cs="Arial"/>
          <w:lang w:val="en-US" w:eastAsia="en-US"/>
        </w:rPr>
      </w:pPr>
    </w:p>
    <w:p w:rsidR="005C0956" w:rsidRDefault="005C0956" w:rsidP="005C0956">
      <w:pPr>
        <w:widowControl w:val="0"/>
        <w:spacing w:line="276" w:lineRule="auto"/>
        <w:contextualSpacing/>
        <w:jc w:val="both"/>
        <w:rPr>
          <w:rFonts w:eastAsia="Calibri" w:cs="Arial"/>
          <w:lang w:val="en-US" w:eastAsia="en-US"/>
        </w:rPr>
      </w:pPr>
      <w:r w:rsidRPr="00141288">
        <w:rPr>
          <w:rFonts w:eastAsia="Calibri" w:cs="Arial"/>
          <w:lang w:val="en-US" w:eastAsia="en-US"/>
        </w:rPr>
        <w:t>Participant entry criteria with the CSDs should be reviewed on an ongoing basis with relatio</w:t>
      </w:r>
      <w:r w:rsidRPr="00141288">
        <w:rPr>
          <w:rFonts w:eastAsia="Calibri" w:cs="Arial"/>
          <w:lang w:val="en-US" w:eastAsia="en-US"/>
        </w:rPr>
        <w:t>n</w:t>
      </w:r>
      <w:r w:rsidRPr="00141288">
        <w:rPr>
          <w:rFonts w:eastAsia="Calibri" w:cs="Arial"/>
          <w:lang w:val="en-US" w:eastAsia="en-US"/>
        </w:rPr>
        <w:t xml:space="preserve">ships to be blocked and terminated temporarily if the criteria </w:t>
      </w:r>
      <w:r>
        <w:rPr>
          <w:rFonts w:eastAsia="Calibri" w:cs="Arial"/>
          <w:lang w:val="en-US" w:eastAsia="en-US"/>
        </w:rPr>
        <w:t>are</w:t>
      </w:r>
      <w:r w:rsidRPr="00141288">
        <w:rPr>
          <w:rFonts w:eastAsia="Calibri" w:cs="Arial"/>
          <w:lang w:val="en-US" w:eastAsia="en-US"/>
        </w:rPr>
        <w:t xml:space="preserve"> not met on an ongoing basis. This will ensure that standards are maintained thereby protecting the CSD and other partic</w:t>
      </w:r>
      <w:r w:rsidRPr="00141288">
        <w:rPr>
          <w:rFonts w:eastAsia="Calibri" w:cs="Arial"/>
          <w:lang w:val="en-US" w:eastAsia="en-US"/>
        </w:rPr>
        <w:t>i</w:t>
      </w:r>
      <w:r w:rsidRPr="00141288">
        <w:rPr>
          <w:rFonts w:eastAsia="Calibri" w:cs="Arial"/>
          <w:lang w:val="en-US" w:eastAsia="en-US"/>
        </w:rPr>
        <w:t xml:space="preserve">pants.  </w:t>
      </w:r>
    </w:p>
    <w:p w:rsidR="005C0956" w:rsidRDefault="005C0956" w:rsidP="005C0956">
      <w:pPr>
        <w:widowControl w:val="0"/>
        <w:spacing w:line="276" w:lineRule="auto"/>
        <w:contextualSpacing/>
        <w:jc w:val="both"/>
        <w:rPr>
          <w:rFonts w:eastAsia="Calibri" w:cs="Arial"/>
          <w:lang w:val="en-US" w:eastAsia="en-US"/>
        </w:rPr>
      </w:pPr>
    </w:p>
    <w:p w:rsidR="005C0956" w:rsidRDefault="005C0956" w:rsidP="005C0956">
      <w:pPr>
        <w:widowControl w:val="0"/>
        <w:spacing w:line="276" w:lineRule="auto"/>
        <w:contextualSpacing/>
        <w:jc w:val="both"/>
        <w:rPr>
          <w:rFonts w:eastAsia="Calibri" w:cs="Arial"/>
          <w:lang w:val="en-US" w:eastAsia="en-US"/>
        </w:rPr>
      </w:pPr>
      <w:r w:rsidRPr="00141288">
        <w:rPr>
          <w:rFonts w:eastAsia="Calibri" w:cs="Arial"/>
          <w:lang w:val="en-US" w:eastAsia="en-US"/>
        </w:rPr>
        <w:t>There is a strong need for consistency across each EU CSD with respect to access by market participants. A scenario must be avoided whereby CSD A refuses a participant on certain grounds but CSD B accepts them. This would expose the participants and interoperable CSDs to risk. All participants including 3</w:t>
      </w:r>
      <w:r w:rsidRPr="00141288">
        <w:rPr>
          <w:rFonts w:eastAsia="Calibri" w:cs="Arial"/>
          <w:vertAlign w:val="superscript"/>
          <w:lang w:val="en-US" w:eastAsia="en-US"/>
        </w:rPr>
        <w:t>rd</w:t>
      </w:r>
      <w:r w:rsidRPr="00141288">
        <w:rPr>
          <w:rFonts w:eastAsia="Calibri" w:cs="Arial"/>
          <w:lang w:val="en-US" w:eastAsia="en-US"/>
        </w:rPr>
        <w:t xml:space="preserve"> country participants should comply with the same set of standards that are continually monitored with proactive and timely mitigation when a participant fails to meet the set criteria.</w:t>
      </w:r>
    </w:p>
    <w:p w:rsidR="005C0956" w:rsidRDefault="005C0956" w:rsidP="005C0956">
      <w:pPr>
        <w:widowControl w:val="0"/>
        <w:spacing w:line="276" w:lineRule="auto"/>
        <w:contextualSpacing/>
        <w:jc w:val="both"/>
        <w:rPr>
          <w:rFonts w:eastAsia="Calibri" w:cs="Arial"/>
          <w:lang w:val="en-US" w:eastAsia="en-US"/>
        </w:rPr>
      </w:pPr>
    </w:p>
    <w:p w:rsidR="00124278" w:rsidRDefault="005C0956" w:rsidP="005C0956">
      <w:r w:rsidRPr="00141288">
        <w:rPr>
          <w:rFonts w:eastAsia="Calibri" w:cs="Arial"/>
          <w:lang w:val="en-US" w:eastAsia="en-US"/>
        </w:rPr>
        <w:t>With regards to ‘Issuer’ access – the same blanket rules should apply to avoid differing sta</w:t>
      </w:r>
      <w:r w:rsidRPr="00141288">
        <w:rPr>
          <w:rFonts w:eastAsia="Calibri" w:cs="Arial"/>
          <w:lang w:val="en-US" w:eastAsia="en-US"/>
        </w:rPr>
        <w:t>n</w:t>
      </w:r>
      <w:r w:rsidRPr="00141288">
        <w:rPr>
          <w:rFonts w:eastAsia="Calibri" w:cs="Arial"/>
          <w:lang w:val="en-US" w:eastAsia="en-US"/>
        </w:rPr>
        <w:t>dards across CSDs with regard to the instruments they accept in their systems.</w:t>
      </w:r>
    </w:p>
    <w:permEnd w:id="30"/>
    <w:p w:rsidR="00D12AFD" w:rsidRDefault="00D12AFD" w:rsidP="00D12AFD">
      <w:r>
        <w:t>&lt;ESMA_QUESTION_TS_CSDR_</w:t>
      </w:r>
      <w:r w:rsidR="00252063">
        <w:t>30</w:t>
      </w:r>
      <w:r>
        <w:t>&gt;</w:t>
      </w:r>
    </w:p>
    <w:p w:rsidR="00D12AFD" w:rsidRPr="002C4F00" w:rsidRDefault="00D12AFD" w:rsidP="00965B03">
      <w:pPr>
        <w:pStyle w:val="Heading5"/>
        <w:ind w:left="567" w:hanging="567"/>
      </w:pPr>
      <w:r w:rsidRPr="002C4F00">
        <w:t>What are your views on the proposed draft RTS on CSD links as included in Chapter IV of Annex IV?</w:t>
      </w:r>
    </w:p>
    <w:p w:rsidR="00D12AFD" w:rsidRDefault="00D12AFD" w:rsidP="00D12AFD"/>
    <w:p w:rsidR="00D12AFD" w:rsidRDefault="00D12AFD" w:rsidP="00D12AFD">
      <w:r>
        <w:t>&lt;ESMA_QUESTION_TS_CSDR_3</w:t>
      </w:r>
      <w:r w:rsidR="00252063">
        <w:t>1</w:t>
      </w:r>
      <w:r>
        <w:t>&gt;</w:t>
      </w: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permStart w:id="31" w:edGrp="everyone"/>
      <w:r w:rsidRPr="00141288">
        <w:rPr>
          <w:rFonts w:eastAsia="Arial" w:cs="Arial"/>
          <w:bCs/>
          <w:spacing w:val="1"/>
          <w:lang w:val="en-US" w:eastAsia="en-US"/>
        </w:rPr>
        <w:t xml:space="preserve">We agree with the proposals as they take a significant step towards a </w:t>
      </w:r>
      <w:r w:rsidRPr="00141288">
        <w:rPr>
          <w:rFonts w:eastAsia="Arial" w:cs="Arial"/>
          <w:bCs/>
          <w:spacing w:val="1"/>
          <w:lang w:eastAsia="en-US"/>
        </w:rPr>
        <w:t>harmonised</w:t>
      </w:r>
      <w:r w:rsidRPr="00141288">
        <w:rPr>
          <w:rFonts w:eastAsia="Arial" w:cs="Arial"/>
          <w:bCs/>
          <w:spacing w:val="1"/>
          <w:lang w:val="en-US" w:eastAsia="en-US"/>
        </w:rPr>
        <w:t xml:space="preserve"> CSD market across the EU.  We do have concerns however </w:t>
      </w:r>
      <w:proofErr w:type="gramStart"/>
      <w:r w:rsidRPr="00141288">
        <w:rPr>
          <w:rFonts w:eastAsia="Arial" w:cs="Arial"/>
          <w:bCs/>
          <w:spacing w:val="1"/>
          <w:lang w:val="en-US" w:eastAsia="en-US"/>
        </w:rPr>
        <w:t>that significant additional requirements</w:t>
      </w:r>
      <w:proofErr w:type="gramEnd"/>
      <w:r w:rsidRPr="00141288">
        <w:rPr>
          <w:rFonts w:eastAsia="Arial" w:cs="Arial"/>
          <w:bCs/>
          <w:spacing w:val="1"/>
          <w:lang w:val="en-US" w:eastAsia="en-US"/>
        </w:rPr>
        <w:t xml:space="preserve"> must be imposed on all EU CSDs in order to achieve true interoperability.  Those additional operational requirements include the following. </w:t>
      </w: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t>Single Settlement Finality Standard</w:t>
      </w:r>
      <w:r>
        <w:rPr>
          <w:rFonts w:eastAsia="Arial" w:cs="Arial"/>
          <w:bCs/>
          <w:spacing w:val="1"/>
          <w:lang w:val="en-US" w:eastAsia="en-US"/>
        </w:rPr>
        <w:t>;</w:t>
      </w: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t>Single entry level criteria for participants</w:t>
      </w:r>
      <w:r>
        <w:rPr>
          <w:rFonts w:eastAsia="Arial" w:cs="Arial"/>
          <w:bCs/>
          <w:spacing w:val="1"/>
          <w:lang w:val="en-US" w:eastAsia="en-US"/>
        </w:rPr>
        <w:t>;</w:t>
      </w: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lastRenderedPageBreak/>
        <w:t>Single standard for asset protection</w:t>
      </w:r>
      <w:r>
        <w:rPr>
          <w:rFonts w:eastAsia="Arial" w:cs="Arial"/>
          <w:bCs/>
          <w:spacing w:val="1"/>
          <w:lang w:val="en-US" w:eastAsia="en-US"/>
        </w:rPr>
        <w:t>;</w:t>
      </w: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t>Single standard for CSD default procedures in respect of CSD default / insolvency</w:t>
      </w:r>
      <w:r>
        <w:rPr>
          <w:rFonts w:eastAsia="Arial" w:cs="Arial"/>
          <w:bCs/>
          <w:spacing w:val="1"/>
          <w:lang w:val="en-US" w:eastAsia="en-US"/>
        </w:rPr>
        <w:t>;</w:t>
      </w: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t>Single standard for CSD default / insolvency procedures in respect of participant (and indirect participant) default / insolvency</w:t>
      </w:r>
      <w:r>
        <w:rPr>
          <w:rFonts w:eastAsia="Arial" w:cs="Arial"/>
          <w:bCs/>
          <w:spacing w:val="1"/>
          <w:lang w:val="en-US" w:eastAsia="en-US"/>
        </w:rPr>
        <w:t>; and</w:t>
      </w:r>
    </w:p>
    <w:p w:rsidR="005C0956" w:rsidRDefault="005C0956" w:rsidP="005C0956">
      <w:pPr>
        <w:pStyle w:val="ListParagraph"/>
        <w:widowControl w:val="0"/>
        <w:numPr>
          <w:ilvl w:val="0"/>
          <w:numId w:val="44"/>
        </w:numPr>
        <w:tabs>
          <w:tab w:val="left" w:pos="820"/>
        </w:tabs>
        <w:spacing w:line="276" w:lineRule="auto"/>
        <w:ind w:right="-20"/>
        <w:jc w:val="both"/>
        <w:rPr>
          <w:rFonts w:eastAsia="Arial" w:cs="Arial"/>
          <w:bCs/>
          <w:spacing w:val="1"/>
          <w:lang w:val="en-US" w:eastAsia="en-US"/>
        </w:rPr>
      </w:pPr>
      <w:r w:rsidRPr="00141288">
        <w:rPr>
          <w:rFonts w:eastAsia="Arial" w:cs="Arial"/>
          <w:bCs/>
          <w:spacing w:val="1"/>
          <w:lang w:val="en-US" w:eastAsia="en-US"/>
        </w:rPr>
        <w:t>CSD recognition of Indirect Participants</w:t>
      </w:r>
      <w:r>
        <w:rPr>
          <w:rFonts w:eastAsia="Arial" w:cs="Arial"/>
          <w:bCs/>
          <w:spacing w:val="1"/>
          <w:lang w:val="en-US" w:eastAsia="en-US"/>
        </w:rPr>
        <w:t>.</w:t>
      </w: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r w:rsidRPr="00141288">
        <w:rPr>
          <w:rFonts w:eastAsia="Arial" w:cs="Arial"/>
          <w:bCs/>
          <w:spacing w:val="1"/>
          <w:lang w:val="en-US" w:eastAsia="en-US"/>
        </w:rPr>
        <w:t xml:space="preserve">With respect to linking to non-CSDR CSDs, third country CSDs will likewise need to adopt comparable standards to the ones outlined above in order to safely link to CSDR CSDs. This is particularly true with respect to treatment of segregated customer assets during insolvency proceedings. The current ambiguity and disparity lacks transparency and therefore does not facilitate investor protection and is a key gap in the proposed CSD reform. A more </w:t>
      </w:r>
      <w:proofErr w:type="spellStart"/>
      <w:r w:rsidRPr="00141288">
        <w:rPr>
          <w:rFonts w:eastAsia="Arial" w:cs="Arial"/>
          <w:bCs/>
          <w:spacing w:val="1"/>
          <w:lang w:val="en-US" w:eastAsia="en-US"/>
        </w:rPr>
        <w:t>harmonised</w:t>
      </w:r>
      <w:proofErr w:type="spellEnd"/>
      <w:r w:rsidRPr="00141288">
        <w:rPr>
          <w:rFonts w:eastAsia="Arial" w:cs="Arial"/>
          <w:bCs/>
          <w:spacing w:val="1"/>
          <w:lang w:val="en-US" w:eastAsia="en-US"/>
        </w:rPr>
        <w:t xml:space="preserve"> process is therefore necessary in the RTS, to the extent possible. </w:t>
      </w: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r w:rsidRPr="00141288">
        <w:rPr>
          <w:rFonts w:eastAsia="Arial" w:cs="Arial"/>
          <w:bCs/>
          <w:spacing w:val="1"/>
          <w:lang w:val="en-US" w:eastAsia="en-US"/>
        </w:rPr>
        <w:t>We fully agree that place of settlement should be visible in order to swiftly determine the inso</w:t>
      </w:r>
      <w:r w:rsidRPr="00141288">
        <w:rPr>
          <w:rFonts w:eastAsia="Arial" w:cs="Arial"/>
          <w:bCs/>
          <w:spacing w:val="1"/>
          <w:lang w:val="en-US" w:eastAsia="en-US"/>
        </w:rPr>
        <w:t>l</w:t>
      </w:r>
      <w:r w:rsidRPr="00141288">
        <w:rPr>
          <w:rFonts w:eastAsia="Arial" w:cs="Arial"/>
          <w:bCs/>
          <w:spacing w:val="1"/>
          <w:lang w:val="en-US" w:eastAsia="en-US"/>
        </w:rPr>
        <w:t xml:space="preserve">vency law to be followed (in the event that insolvency or default protocol is not </w:t>
      </w:r>
      <w:proofErr w:type="spellStart"/>
      <w:r w:rsidRPr="00141288">
        <w:rPr>
          <w:rFonts w:eastAsia="Arial" w:cs="Arial"/>
          <w:bCs/>
          <w:spacing w:val="1"/>
          <w:lang w:val="en-US" w:eastAsia="en-US"/>
        </w:rPr>
        <w:t>harmonised</w:t>
      </w:r>
      <w:proofErr w:type="spellEnd"/>
      <w:r w:rsidRPr="00141288">
        <w:rPr>
          <w:rFonts w:eastAsia="Arial" w:cs="Arial"/>
          <w:bCs/>
          <w:spacing w:val="1"/>
          <w:lang w:val="en-US" w:eastAsia="en-US"/>
        </w:rPr>
        <w:t xml:space="preserve"> across the EU). With regards to interoperable links under </w:t>
      </w:r>
      <w:r>
        <w:rPr>
          <w:rFonts w:eastAsia="Arial" w:cs="Arial"/>
          <w:bCs/>
          <w:spacing w:val="1"/>
          <w:lang w:val="en-US" w:eastAsia="en-US"/>
        </w:rPr>
        <w:t>p</w:t>
      </w:r>
      <w:proofErr w:type="spellStart"/>
      <w:r>
        <w:rPr>
          <w:rFonts w:cs="Arial"/>
        </w:rPr>
        <w:t>aragraph</w:t>
      </w:r>
      <w:proofErr w:type="spellEnd"/>
      <w:r w:rsidRPr="00141288">
        <w:rPr>
          <w:rFonts w:eastAsia="Arial" w:cs="Arial"/>
          <w:bCs/>
          <w:spacing w:val="1"/>
          <w:lang w:val="en-US" w:eastAsia="en-US"/>
        </w:rPr>
        <w:t xml:space="preserve"> 310, we see paragraph (e) as critical. Without common contingency and default procedures between those linked CSDs legal uncertainty could arise in the case of a default of one CSD. Moreover this might have strong repercussions if one CSD’s systems are not reachable and thereby endangering the settlement across the systems.  </w:t>
      </w:r>
    </w:p>
    <w:p w:rsidR="005C0956" w:rsidRDefault="005C0956" w:rsidP="005C0956">
      <w:pPr>
        <w:widowControl w:val="0"/>
        <w:tabs>
          <w:tab w:val="left" w:pos="820"/>
        </w:tabs>
        <w:spacing w:line="276" w:lineRule="auto"/>
        <w:ind w:right="-20"/>
        <w:contextualSpacing/>
        <w:jc w:val="both"/>
        <w:rPr>
          <w:rFonts w:eastAsia="Arial" w:cs="Arial"/>
          <w:bCs/>
          <w:spacing w:val="1"/>
          <w:lang w:val="en-US" w:eastAsia="en-US"/>
        </w:rPr>
      </w:pPr>
    </w:p>
    <w:p w:rsidR="00124278" w:rsidRDefault="005C0956" w:rsidP="005C0956">
      <w:r w:rsidRPr="00141288">
        <w:rPr>
          <w:rFonts w:eastAsia="Arial" w:cs="Arial"/>
          <w:bCs/>
          <w:spacing w:val="1"/>
          <w:lang w:val="en-US" w:eastAsia="en-US"/>
        </w:rPr>
        <w:t xml:space="preserve">We fully agree with </w:t>
      </w:r>
      <w:r>
        <w:rPr>
          <w:rFonts w:cs="Arial"/>
        </w:rPr>
        <w:t>paragraph</w:t>
      </w:r>
      <w:r w:rsidRPr="00141288">
        <w:rPr>
          <w:rFonts w:eastAsia="Arial" w:cs="Arial"/>
          <w:bCs/>
          <w:spacing w:val="1"/>
          <w:lang w:val="en-US" w:eastAsia="en-US"/>
        </w:rPr>
        <w:t xml:space="preserve"> 315 with regards to asset protection from an intermediary. We agree with </w:t>
      </w:r>
      <w:r>
        <w:rPr>
          <w:rFonts w:cs="Arial"/>
        </w:rPr>
        <w:t>paragraph</w:t>
      </w:r>
      <w:r w:rsidRPr="00141288">
        <w:rPr>
          <w:rFonts w:eastAsia="Arial" w:cs="Arial"/>
          <w:bCs/>
          <w:spacing w:val="1"/>
          <w:lang w:val="en-US" w:eastAsia="en-US"/>
        </w:rPr>
        <w:t xml:space="preserve"> 320 regarding the Credit Risk assessment of an intermediary. This is dependent on having a single set of criteria that each CSD must adhere to when evaluating intermediaries and participants.</w:t>
      </w:r>
    </w:p>
    <w:permEnd w:id="31"/>
    <w:p w:rsidR="00D12AFD" w:rsidRPr="002C4F00" w:rsidRDefault="00D12AFD" w:rsidP="00D12AFD">
      <w:r>
        <w:t>&lt;ESMA_QUESTION_TS_CSDR_3</w:t>
      </w:r>
      <w:r w:rsidR="00252063">
        <w:t>1</w:t>
      </w:r>
      <w:r>
        <w:t>&gt;</w:t>
      </w:r>
    </w:p>
    <w:p w:rsidR="00D12AFD" w:rsidRPr="002C4F00" w:rsidRDefault="00D12AFD" w:rsidP="00965B03">
      <w:pPr>
        <w:pStyle w:val="Heading5"/>
        <w:ind w:left="567" w:hanging="567"/>
      </w:pPr>
      <w:r w:rsidRPr="00C8467F">
        <w:t>What are your views on the proposed draft RTS on internalised settlement (Annex V) and draft ITS on internalised settlement (Annex IX)?</w:t>
      </w:r>
    </w:p>
    <w:p w:rsidR="00D12AFD" w:rsidRDefault="00D12AFD" w:rsidP="00D12AFD"/>
    <w:p w:rsidR="00D12AFD" w:rsidRDefault="00D12AFD" w:rsidP="00D12AFD">
      <w:r>
        <w:t>&lt;ESMA_QUESTION_TS_CSDR_3</w:t>
      </w:r>
      <w:r w:rsidR="00252063">
        <w:t>2</w:t>
      </w:r>
      <w:r>
        <w:t>&gt;</w:t>
      </w:r>
    </w:p>
    <w:p w:rsidR="005C0956" w:rsidRDefault="005C0956" w:rsidP="005C0956">
      <w:pPr>
        <w:widowControl w:val="0"/>
        <w:spacing w:before="38" w:line="276" w:lineRule="auto"/>
        <w:ind w:right="-20"/>
        <w:contextualSpacing/>
        <w:jc w:val="both"/>
        <w:rPr>
          <w:rFonts w:eastAsia="Arial" w:cs="Arial"/>
          <w:bCs/>
          <w:spacing w:val="1"/>
          <w:lang w:val="en-US" w:eastAsia="en-US"/>
        </w:rPr>
      </w:pPr>
      <w:permStart w:id="32" w:edGrp="everyone"/>
      <w:r w:rsidRPr="00141288">
        <w:rPr>
          <w:rFonts w:eastAsia="Arial" w:cs="Arial"/>
          <w:bCs/>
          <w:spacing w:val="1"/>
          <w:lang w:val="en-US" w:eastAsia="en-US"/>
        </w:rPr>
        <w:t xml:space="preserve">A number of changes have been made since the publication of the Discussion Paper which </w:t>
      </w:r>
      <w:proofErr w:type="gramStart"/>
      <w:r w:rsidRPr="00141288">
        <w:rPr>
          <w:rFonts w:eastAsia="Arial" w:cs="Arial"/>
          <w:bCs/>
          <w:spacing w:val="1"/>
          <w:lang w:val="en-US" w:eastAsia="en-US"/>
        </w:rPr>
        <w:t>aim</w:t>
      </w:r>
      <w:proofErr w:type="gramEnd"/>
      <w:r w:rsidRPr="00141288">
        <w:rPr>
          <w:rFonts w:eastAsia="Arial" w:cs="Arial"/>
          <w:bCs/>
          <w:spacing w:val="1"/>
          <w:lang w:val="en-US" w:eastAsia="en-US"/>
        </w:rPr>
        <w:t xml:space="preserve"> to reduce burdensome reporting. The level of reporting requirements in the RTS however goes beyond the level required in the legislative text. </w:t>
      </w:r>
    </w:p>
    <w:p w:rsidR="005C0956" w:rsidRDefault="005C0956" w:rsidP="005C0956">
      <w:pPr>
        <w:widowControl w:val="0"/>
        <w:spacing w:before="38" w:line="276" w:lineRule="auto"/>
        <w:ind w:right="-20"/>
        <w:contextualSpacing/>
        <w:jc w:val="both"/>
        <w:rPr>
          <w:rFonts w:eastAsia="Arial" w:cs="Arial"/>
          <w:bCs/>
          <w:spacing w:val="1"/>
          <w:lang w:val="en-US" w:eastAsia="en-US"/>
        </w:rPr>
      </w:pPr>
    </w:p>
    <w:p w:rsidR="005C0956" w:rsidRDefault="005C0956" w:rsidP="005C0956">
      <w:pPr>
        <w:widowControl w:val="0"/>
        <w:spacing w:before="38" w:line="276" w:lineRule="auto"/>
        <w:ind w:right="-20"/>
        <w:contextualSpacing/>
        <w:jc w:val="both"/>
        <w:rPr>
          <w:rFonts w:cs="Arial"/>
          <w:lang w:val="en-US"/>
        </w:rPr>
      </w:pPr>
      <w:r w:rsidRPr="00141288">
        <w:rPr>
          <w:rFonts w:cs="Arial"/>
          <w:lang w:val="en-US"/>
        </w:rPr>
        <w:t xml:space="preserve">The reporting requirements in the IS-RTS </w:t>
      </w:r>
      <w:r>
        <w:rPr>
          <w:rFonts w:cs="Arial"/>
          <w:lang w:val="en-US"/>
        </w:rPr>
        <w:t xml:space="preserve">with </w:t>
      </w:r>
      <w:r w:rsidRPr="00141288">
        <w:rPr>
          <w:rFonts w:cs="Arial"/>
          <w:lang w:val="en-US"/>
        </w:rPr>
        <w:t xml:space="preserve">respect </w:t>
      </w:r>
      <w:r>
        <w:rPr>
          <w:rFonts w:cs="Arial"/>
          <w:lang w:val="en-US"/>
        </w:rPr>
        <w:t>t</w:t>
      </w:r>
      <w:r w:rsidRPr="00141288">
        <w:rPr>
          <w:rFonts w:cs="Arial"/>
          <w:lang w:val="en-US"/>
        </w:rPr>
        <w:t>o failed transactions are disproportionate. Art 9(1) CSDR stipulates that settlement</w:t>
      </w:r>
      <w:r w:rsidRPr="00FE005C">
        <w:rPr>
          <w:rFonts w:cs="Arial"/>
        </w:rPr>
        <w:t xml:space="preserve"> </w:t>
      </w:r>
      <w:proofErr w:type="spellStart"/>
      <w:r w:rsidRPr="00FE005C">
        <w:rPr>
          <w:rFonts w:cs="Arial"/>
        </w:rPr>
        <w:t>internalisers</w:t>
      </w:r>
      <w:proofErr w:type="spellEnd"/>
      <w:r w:rsidRPr="00141288">
        <w:rPr>
          <w:rFonts w:cs="Arial"/>
          <w:lang w:val="en-US"/>
        </w:rPr>
        <w:t xml:space="preserve"> report “the aggregated volume and value of all securities transactions that they settle outside securities settlement systems.” No reporting requirement around failed trades is prescribed in the CSDR.  However, Art. 2(1</w:t>
      </w:r>
      <w:proofErr w:type="gramStart"/>
      <w:r w:rsidRPr="00141288">
        <w:rPr>
          <w:rFonts w:cs="Arial"/>
          <w:lang w:val="en-US"/>
        </w:rPr>
        <w:t>)(</w:t>
      </w:r>
      <w:proofErr w:type="gramEnd"/>
      <w:r w:rsidRPr="00141288">
        <w:rPr>
          <w:rFonts w:cs="Arial"/>
          <w:lang w:val="en-US"/>
        </w:rPr>
        <w:t>j) IS-RTS, r</w:t>
      </w:r>
      <w:r w:rsidRPr="00141288">
        <w:rPr>
          <w:rFonts w:cs="Arial"/>
          <w:lang w:val="en-US"/>
        </w:rPr>
        <w:t>e</w:t>
      </w:r>
      <w:r w:rsidRPr="00141288">
        <w:rPr>
          <w:rFonts w:cs="Arial"/>
          <w:lang w:val="en-US"/>
        </w:rPr>
        <w:t>quires the reporting of information on failed transfer orders and should  therefore be deleted. The reporting in number and value of the transactions is already included in Art. 2(1</w:t>
      </w:r>
      <w:proofErr w:type="gramStart"/>
      <w:r w:rsidRPr="00141288">
        <w:rPr>
          <w:rFonts w:cs="Arial"/>
          <w:lang w:val="en-US"/>
        </w:rPr>
        <w:t>)(</w:t>
      </w:r>
      <w:proofErr w:type="gramEnd"/>
      <w:r w:rsidRPr="00141288">
        <w:rPr>
          <w:rFonts w:cs="Arial"/>
          <w:lang w:val="en-US"/>
        </w:rPr>
        <w:t>f) and 2(1)(g) IS-RTS. In addition, this requirement corresponds to none of the fields in the annexes of the draft ITS. Furthermore, a “transfer order” as defined in Directive 98/26/EC includes cash and secur</w:t>
      </w:r>
      <w:r w:rsidRPr="00141288">
        <w:rPr>
          <w:rFonts w:cs="Arial"/>
          <w:lang w:val="en-US"/>
        </w:rPr>
        <w:t>i</w:t>
      </w:r>
      <w:r w:rsidRPr="00141288">
        <w:rPr>
          <w:rFonts w:cs="Arial"/>
          <w:lang w:val="en-US"/>
        </w:rPr>
        <w:t xml:space="preserve">ties settlement through a securities settlement system which is not the case for </w:t>
      </w:r>
      <w:proofErr w:type="spellStart"/>
      <w:r w:rsidRPr="00141288">
        <w:rPr>
          <w:rFonts w:cs="Arial"/>
          <w:lang w:val="en-US"/>
        </w:rPr>
        <w:t>internalised</w:t>
      </w:r>
      <w:proofErr w:type="spellEnd"/>
      <w:r w:rsidRPr="00141288">
        <w:rPr>
          <w:rFonts w:cs="Arial"/>
          <w:lang w:val="en-US"/>
        </w:rPr>
        <w:t xml:space="preserve"> settlement. </w:t>
      </w:r>
    </w:p>
    <w:p w:rsidR="005C0956" w:rsidRDefault="005C0956" w:rsidP="005C0956">
      <w:pPr>
        <w:spacing w:line="276" w:lineRule="auto"/>
        <w:contextualSpacing/>
        <w:jc w:val="both"/>
        <w:rPr>
          <w:rFonts w:cs="Arial"/>
          <w:lang w:val="en-US"/>
        </w:rPr>
      </w:pPr>
    </w:p>
    <w:p w:rsidR="005C0956" w:rsidRDefault="005C0956" w:rsidP="005C0956">
      <w:pPr>
        <w:spacing w:line="276" w:lineRule="auto"/>
        <w:contextualSpacing/>
        <w:jc w:val="both"/>
        <w:rPr>
          <w:rFonts w:cs="Arial"/>
          <w:lang w:val="en-US"/>
        </w:rPr>
      </w:pPr>
      <w:r w:rsidRPr="00141288">
        <w:rPr>
          <w:rFonts w:cs="Arial"/>
          <w:lang w:val="en-US"/>
        </w:rPr>
        <w:lastRenderedPageBreak/>
        <w:t>The required reporting should be structured quite similar</w:t>
      </w:r>
      <w:r>
        <w:rPr>
          <w:rFonts w:cs="Arial"/>
          <w:lang w:val="en-US"/>
        </w:rPr>
        <w:t>ly</w:t>
      </w:r>
      <w:r w:rsidRPr="00141288">
        <w:rPr>
          <w:rFonts w:cs="Arial"/>
          <w:lang w:val="en-US"/>
        </w:rPr>
        <w:t xml:space="preserve"> to the reporting provided by CSDs. Attention needs to be brought to some discrepancies in relation to the reporting of CSDs:</w:t>
      </w:r>
    </w:p>
    <w:p w:rsidR="005C0956" w:rsidRDefault="005C0956" w:rsidP="005C0956">
      <w:pPr>
        <w:spacing w:line="276" w:lineRule="auto"/>
        <w:contextualSpacing/>
        <w:jc w:val="both"/>
        <w:rPr>
          <w:rFonts w:cs="Arial"/>
          <w:lang w:val="en-US"/>
        </w:rPr>
      </w:pPr>
    </w:p>
    <w:p w:rsidR="005C0956" w:rsidRDefault="005C0956" w:rsidP="005C0956">
      <w:pPr>
        <w:pStyle w:val="ListParagraph"/>
        <w:numPr>
          <w:ilvl w:val="0"/>
          <w:numId w:val="45"/>
        </w:numPr>
        <w:spacing w:line="276" w:lineRule="auto"/>
        <w:jc w:val="both"/>
        <w:rPr>
          <w:rFonts w:cs="Arial"/>
          <w:lang w:val="en-US"/>
        </w:rPr>
      </w:pPr>
      <w:r w:rsidRPr="00141288">
        <w:rPr>
          <w:rFonts w:cs="Arial"/>
          <w:lang w:val="en-US"/>
        </w:rPr>
        <w:t>Differentiation by type of settlement transaction (Art. 2(1)(g) IS-RTS)</w:t>
      </w:r>
    </w:p>
    <w:p w:rsidR="005C0956" w:rsidRDefault="005C0956" w:rsidP="005C0956">
      <w:pPr>
        <w:pStyle w:val="ListParagraph"/>
        <w:spacing w:line="276" w:lineRule="auto"/>
        <w:rPr>
          <w:rFonts w:cs="Arial"/>
          <w:lang w:val="en-US"/>
        </w:rPr>
      </w:pPr>
    </w:p>
    <w:p w:rsidR="005C0956" w:rsidRDefault="005C0956" w:rsidP="005C0956">
      <w:pPr>
        <w:pStyle w:val="Default"/>
        <w:spacing w:line="276" w:lineRule="auto"/>
        <w:contextualSpacing/>
        <w:jc w:val="both"/>
        <w:rPr>
          <w:color w:val="auto"/>
          <w:sz w:val="22"/>
          <w:szCs w:val="22"/>
          <w:lang w:val="en-GB"/>
        </w:rPr>
      </w:pPr>
      <w:r w:rsidRPr="00141288">
        <w:rPr>
          <w:sz w:val="22"/>
          <w:szCs w:val="22"/>
        </w:rPr>
        <w:t xml:space="preserve">As </w:t>
      </w:r>
      <w:proofErr w:type="spellStart"/>
      <w:r w:rsidRPr="00141288">
        <w:rPr>
          <w:sz w:val="22"/>
          <w:szCs w:val="22"/>
        </w:rPr>
        <w:t>correctly</w:t>
      </w:r>
      <w:proofErr w:type="spellEnd"/>
      <w:r w:rsidRPr="00141288">
        <w:rPr>
          <w:sz w:val="22"/>
          <w:szCs w:val="22"/>
        </w:rPr>
        <w:t xml:space="preserve"> </w:t>
      </w:r>
      <w:proofErr w:type="spellStart"/>
      <w:r w:rsidRPr="00141288">
        <w:rPr>
          <w:sz w:val="22"/>
          <w:szCs w:val="22"/>
        </w:rPr>
        <w:t>stated</w:t>
      </w:r>
      <w:proofErr w:type="spellEnd"/>
      <w:r w:rsidRPr="00141288">
        <w:rPr>
          <w:sz w:val="22"/>
          <w:szCs w:val="22"/>
        </w:rPr>
        <w:t xml:space="preserve"> in Para 329 of the Consultation </w:t>
      </w:r>
      <w:proofErr w:type="spellStart"/>
      <w:r w:rsidRPr="00141288">
        <w:rPr>
          <w:sz w:val="22"/>
          <w:szCs w:val="22"/>
        </w:rPr>
        <w:t>Paper</w:t>
      </w:r>
      <w:proofErr w:type="spellEnd"/>
      <w:r w:rsidRPr="00141288">
        <w:rPr>
          <w:sz w:val="22"/>
          <w:szCs w:val="22"/>
        </w:rPr>
        <w:t xml:space="preserve">, identifications for the </w:t>
      </w:r>
      <w:proofErr w:type="spellStart"/>
      <w:r w:rsidRPr="00141288">
        <w:rPr>
          <w:sz w:val="22"/>
          <w:szCs w:val="22"/>
        </w:rPr>
        <w:t>requested</w:t>
      </w:r>
      <w:proofErr w:type="spellEnd"/>
      <w:r w:rsidRPr="00141288">
        <w:rPr>
          <w:sz w:val="22"/>
          <w:szCs w:val="22"/>
        </w:rPr>
        <w:t xml:space="preserve"> types of </w:t>
      </w:r>
      <w:proofErr w:type="spellStart"/>
      <w:r w:rsidRPr="00141288">
        <w:rPr>
          <w:sz w:val="22"/>
          <w:szCs w:val="22"/>
        </w:rPr>
        <w:t>settlement</w:t>
      </w:r>
      <w:proofErr w:type="spellEnd"/>
      <w:r w:rsidRPr="00141288">
        <w:rPr>
          <w:sz w:val="22"/>
          <w:szCs w:val="22"/>
        </w:rPr>
        <w:t xml:space="preserve"> transactions </w:t>
      </w:r>
      <w:proofErr w:type="spellStart"/>
      <w:r w:rsidRPr="00141288">
        <w:rPr>
          <w:sz w:val="22"/>
          <w:szCs w:val="22"/>
        </w:rPr>
        <w:t>exist</w:t>
      </w:r>
      <w:proofErr w:type="spellEnd"/>
      <w:r w:rsidRPr="00141288">
        <w:rPr>
          <w:sz w:val="22"/>
          <w:szCs w:val="22"/>
        </w:rPr>
        <w:t xml:space="preserve"> in </w:t>
      </w:r>
      <w:proofErr w:type="spellStart"/>
      <w:r w:rsidRPr="00141288">
        <w:rPr>
          <w:sz w:val="22"/>
          <w:szCs w:val="22"/>
        </w:rPr>
        <w:t>both</w:t>
      </w:r>
      <w:proofErr w:type="spellEnd"/>
      <w:r w:rsidRPr="00141288">
        <w:rPr>
          <w:sz w:val="22"/>
          <w:szCs w:val="22"/>
        </w:rPr>
        <w:t xml:space="preserve"> ISO 15022 and ISO 20022. </w:t>
      </w:r>
      <w:proofErr w:type="spellStart"/>
      <w:r>
        <w:rPr>
          <w:sz w:val="22"/>
          <w:szCs w:val="22"/>
        </w:rPr>
        <w:t>Currently</w:t>
      </w:r>
      <w:proofErr w:type="spellEnd"/>
      <w:r>
        <w:rPr>
          <w:sz w:val="22"/>
          <w:szCs w:val="22"/>
        </w:rPr>
        <w:t xml:space="preserve"> </w:t>
      </w:r>
      <w:proofErr w:type="spellStart"/>
      <w:r>
        <w:rPr>
          <w:sz w:val="22"/>
          <w:szCs w:val="22"/>
        </w:rPr>
        <w:t>however</w:t>
      </w:r>
      <w:proofErr w:type="spellEnd"/>
      <w:r>
        <w:rPr>
          <w:sz w:val="22"/>
          <w:szCs w:val="22"/>
        </w:rPr>
        <w:t xml:space="preserve">, </w:t>
      </w:r>
      <w:proofErr w:type="spellStart"/>
      <w:r>
        <w:rPr>
          <w:sz w:val="22"/>
          <w:szCs w:val="22"/>
        </w:rPr>
        <w:t>t</w:t>
      </w:r>
      <w:r w:rsidRPr="00141288">
        <w:rPr>
          <w:sz w:val="22"/>
          <w:szCs w:val="22"/>
        </w:rPr>
        <w:t>hese</w:t>
      </w:r>
      <w:proofErr w:type="spellEnd"/>
      <w:r w:rsidRPr="00141288">
        <w:rPr>
          <w:sz w:val="22"/>
          <w:szCs w:val="22"/>
        </w:rPr>
        <w:t xml:space="preserve"> are</w:t>
      </w:r>
      <w:r>
        <w:rPr>
          <w:sz w:val="22"/>
          <w:szCs w:val="22"/>
        </w:rPr>
        <w:t xml:space="preserve"> </w:t>
      </w:r>
      <w:r w:rsidRPr="00141288">
        <w:rPr>
          <w:sz w:val="22"/>
          <w:szCs w:val="22"/>
        </w:rPr>
        <w:t xml:space="preserve">not </w:t>
      </w:r>
      <w:proofErr w:type="spellStart"/>
      <w:r w:rsidRPr="00141288">
        <w:rPr>
          <w:sz w:val="22"/>
          <w:szCs w:val="22"/>
        </w:rPr>
        <w:t>used</w:t>
      </w:r>
      <w:proofErr w:type="spellEnd"/>
      <w:r w:rsidRPr="00141288">
        <w:rPr>
          <w:sz w:val="22"/>
          <w:szCs w:val="22"/>
        </w:rPr>
        <w:t xml:space="preserve"> as </w:t>
      </w:r>
      <w:proofErr w:type="spellStart"/>
      <w:r w:rsidRPr="00141288">
        <w:rPr>
          <w:sz w:val="22"/>
          <w:szCs w:val="22"/>
        </w:rPr>
        <w:t>also</w:t>
      </w:r>
      <w:proofErr w:type="spellEnd"/>
      <w:r w:rsidRPr="00141288">
        <w:rPr>
          <w:sz w:val="22"/>
          <w:szCs w:val="22"/>
        </w:rPr>
        <w:t xml:space="preserve"> </w:t>
      </w:r>
      <w:proofErr w:type="spellStart"/>
      <w:r w:rsidRPr="00141288">
        <w:rPr>
          <w:sz w:val="22"/>
          <w:szCs w:val="22"/>
        </w:rPr>
        <w:t>mentioned</w:t>
      </w:r>
      <w:proofErr w:type="spellEnd"/>
      <w:r w:rsidRPr="00141288">
        <w:rPr>
          <w:sz w:val="22"/>
          <w:szCs w:val="22"/>
        </w:rPr>
        <w:t xml:space="preserve"> in Para 329 of the Consultation </w:t>
      </w:r>
      <w:proofErr w:type="spellStart"/>
      <w:r w:rsidRPr="00141288">
        <w:rPr>
          <w:sz w:val="22"/>
          <w:szCs w:val="22"/>
        </w:rPr>
        <w:t>Paper</w:t>
      </w:r>
      <w:proofErr w:type="spellEnd"/>
      <w:r w:rsidRPr="00141288">
        <w:rPr>
          <w:sz w:val="22"/>
          <w:szCs w:val="22"/>
        </w:rPr>
        <w:t xml:space="preserve">. In </w:t>
      </w:r>
      <w:proofErr w:type="spellStart"/>
      <w:r w:rsidRPr="00141288">
        <w:rPr>
          <w:sz w:val="22"/>
          <w:szCs w:val="22"/>
        </w:rPr>
        <w:t>order</w:t>
      </w:r>
      <w:proofErr w:type="spellEnd"/>
      <w:r w:rsidRPr="00141288">
        <w:rPr>
          <w:sz w:val="22"/>
          <w:szCs w:val="22"/>
        </w:rPr>
        <w:t xml:space="preserve"> to </w:t>
      </w:r>
      <w:proofErr w:type="spellStart"/>
      <w:r w:rsidRPr="00141288">
        <w:rPr>
          <w:sz w:val="22"/>
          <w:szCs w:val="22"/>
        </w:rPr>
        <w:t>be</w:t>
      </w:r>
      <w:proofErr w:type="spellEnd"/>
      <w:r w:rsidRPr="00141288">
        <w:rPr>
          <w:sz w:val="22"/>
          <w:szCs w:val="22"/>
        </w:rPr>
        <w:t xml:space="preserve"> able to </w:t>
      </w:r>
      <w:proofErr w:type="spellStart"/>
      <w:r w:rsidRPr="00141288">
        <w:rPr>
          <w:sz w:val="22"/>
          <w:szCs w:val="22"/>
        </w:rPr>
        <w:t>differe</w:t>
      </w:r>
      <w:r w:rsidRPr="00141288">
        <w:rPr>
          <w:sz w:val="22"/>
          <w:szCs w:val="22"/>
        </w:rPr>
        <w:t>n</w:t>
      </w:r>
      <w:r w:rsidRPr="00141288">
        <w:rPr>
          <w:sz w:val="22"/>
          <w:szCs w:val="22"/>
        </w:rPr>
        <w:t>tiate</w:t>
      </w:r>
      <w:proofErr w:type="spellEnd"/>
      <w:r w:rsidRPr="00141288">
        <w:rPr>
          <w:sz w:val="22"/>
          <w:szCs w:val="22"/>
        </w:rPr>
        <w:t xml:space="preserve"> </w:t>
      </w:r>
      <w:proofErr w:type="spellStart"/>
      <w:r w:rsidRPr="00141288">
        <w:rPr>
          <w:sz w:val="22"/>
          <w:szCs w:val="22"/>
        </w:rPr>
        <w:t>between</w:t>
      </w:r>
      <w:proofErr w:type="spellEnd"/>
      <w:r w:rsidRPr="00141288">
        <w:rPr>
          <w:sz w:val="22"/>
          <w:szCs w:val="22"/>
        </w:rPr>
        <w:t xml:space="preserve"> the </w:t>
      </w:r>
      <w:proofErr w:type="spellStart"/>
      <w:r w:rsidRPr="00141288">
        <w:rPr>
          <w:sz w:val="22"/>
          <w:szCs w:val="22"/>
        </w:rPr>
        <w:t>different</w:t>
      </w:r>
      <w:proofErr w:type="spellEnd"/>
      <w:r w:rsidRPr="00141288">
        <w:rPr>
          <w:sz w:val="22"/>
          <w:szCs w:val="22"/>
        </w:rPr>
        <w:t xml:space="preserve"> types of transactions </w:t>
      </w:r>
      <w:proofErr w:type="spellStart"/>
      <w:r w:rsidRPr="00141288">
        <w:rPr>
          <w:sz w:val="22"/>
          <w:szCs w:val="22"/>
        </w:rPr>
        <w:t>these</w:t>
      </w:r>
      <w:proofErr w:type="spellEnd"/>
      <w:r w:rsidRPr="00141288">
        <w:rPr>
          <w:sz w:val="22"/>
          <w:szCs w:val="22"/>
        </w:rPr>
        <w:t xml:space="preserve"> </w:t>
      </w:r>
      <w:proofErr w:type="spellStart"/>
      <w:r w:rsidRPr="00141288">
        <w:rPr>
          <w:sz w:val="22"/>
          <w:szCs w:val="22"/>
        </w:rPr>
        <w:t>identifiers</w:t>
      </w:r>
      <w:proofErr w:type="spellEnd"/>
      <w:r w:rsidRPr="00141288">
        <w:rPr>
          <w:sz w:val="22"/>
          <w:szCs w:val="22"/>
        </w:rPr>
        <w:t xml:space="preserve"> </w:t>
      </w:r>
      <w:proofErr w:type="spellStart"/>
      <w:r w:rsidRPr="00141288">
        <w:rPr>
          <w:sz w:val="22"/>
          <w:szCs w:val="22"/>
        </w:rPr>
        <w:t>would</w:t>
      </w:r>
      <w:proofErr w:type="spellEnd"/>
      <w:r w:rsidRPr="00141288">
        <w:rPr>
          <w:sz w:val="22"/>
          <w:szCs w:val="22"/>
        </w:rPr>
        <w:t xml:space="preserve"> have to </w:t>
      </w:r>
      <w:proofErr w:type="spellStart"/>
      <w:r w:rsidRPr="00141288">
        <w:rPr>
          <w:sz w:val="22"/>
          <w:szCs w:val="22"/>
        </w:rPr>
        <w:t>be</w:t>
      </w:r>
      <w:proofErr w:type="spellEnd"/>
      <w:r w:rsidRPr="00141288">
        <w:rPr>
          <w:sz w:val="22"/>
          <w:szCs w:val="22"/>
        </w:rPr>
        <w:t xml:space="preserve"> </w:t>
      </w:r>
      <w:proofErr w:type="spellStart"/>
      <w:r w:rsidRPr="00141288">
        <w:rPr>
          <w:sz w:val="22"/>
          <w:szCs w:val="22"/>
        </w:rPr>
        <w:t>introduced</w:t>
      </w:r>
      <w:proofErr w:type="spellEnd"/>
      <w:r w:rsidRPr="00141288">
        <w:rPr>
          <w:sz w:val="22"/>
          <w:szCs w:val="22"/>
        </w:rPr>
        <w:t xml:space="preserve">. </w:t>
      </w:r>
      <w:proofErr w:type="spellStart"/>
      <w:r w:rsidRPr="00141288">
        <w:rPr>
          <w:sz w:val="22"/>
          <w:szCs w:val="22"/>
        </w:rPr>
        <w:t>Regarding</w:t>
      </w:r>
      <w:proofErr w:type="spellEnd"/>
      <w:r w:rsidRPr="00141288">
        <w:rPr>
          <w:sz w:val="22"/>
          <w:szCs w:val="22"/>
        </w:rPr>
        <w:t xml:space="preserve"> the </w:t>
      </w:r>
      <w:proofErr w:type="spellStart"/>
      <w:r w:rsidRPr="00141288">
        <w:rPr>
          <w:sz w:val="22"/>
          <w:szCs w:val="22"/>
        </w:rPr>
        <w:t>settlement</w:t>
      </w:r>
      <w:proofErr w:type="spellEnd"/>
      <w:r w:rsidRPr="00141288">
        <w:rPr>
          <w:sz w:val="22"/>
          <w:szCs w:val="22"/>
        </w:rPr>
        <w:t xml:space="preserve"> </w:t>
      </w:r>
      <w:proofErr w:type="spellStart"/>
      <w:r w:rsidRPr="00141288">
        <w:rPr>
          <w:sz w:val="22"/>
          <w:szCs w:val="22"/>
        </w:rPr>
        <w:t>reporting</w:t>
      </w:r>
      <w:proofErr w:type="spellEnd"/>
      <w:r w:rsidRPr="00141288">
        <w:rPr>
          <w:sz w:val="22"/>
          <w:szCs w:val="22"/>
        </w:rPr>
        <w:t xml:space="preserve"> of </w:t>
      </w:r>
      <w:proofErr w:type="spellStart"/>
      <w:r w:rsidRPr="00141288">
        <w:rPr>
          <w:sz w:val="22"/>
          <w:szCs w:val="22"/>
        </w:rPr>
        <w:t>CSDs</w:t>
      </w:r>
      <w:proofErr w:type="spellEnd"/>
      <w:r w:rsidRPr="00141288">
        <w:rPr>
          <w:sz w:val="22"/>
          <w:szCs w:val="22"/>
        </w:rPr>
        <w:t xml:space="preserve">, </w:t>
      </w:r>
      <w:proofErr w:type="spellStart"/>
      <w:r w:rsidRPr="00141288">
        <w:rPr>
          <w:sz w:val="22"/>
          <w:szCs w:val="22"/>
        </w:rPr>
        <w:t>these</w:t>
      </w:r>
      <w:proofErr w:type="spellEnd"/>
      <w:r w:rsidRPr="00141288">
        <w:rPr>
          <w:sz w:val="22"/>
          <w:szCs w:val="22"/>
        </w:rPr>
        <w:t xml:space="preserve"> </w:t>
      </w:r>
      <w:proofErr w:type="spellStart"/>
      <w:r w:rsidRPr="00141288">
        <w:rPr>
          <w:sz w:val="22"/>
          <w:szCs w:val="22"/>
        </w:rPr>
        <w:t>identifiers</w:t>
      </w:r>
      <w:proofErr w:type="spellEnd"/>
      <w:r w:rsidRPr="00141288">
        <w:rPr>
          <w:sz w:val="22"/>
          <w:szCs w:val="22"/>
        </w:rPr>
        <w:t xml:space="preserve"> have to </w:t>
      </w:r>
      <w:proofErr w:type="spellStart"/>
      <w:r w:rsidRPr="00141288">
        <w:rPr>
          <w:sz w:val="22"/>
          <w:szCs w:val="22"/>
        </w:rPr>
        <w:t>be</w:t>
      </w:r>
      <w:proofErr w:type="spellEnd"/>
      <w:r w:rsidRPr="00141288">
        <w:rPr>
          <w:sz w:val="22"/>
          <w:szCs w:val="22"/>
        </w:rPr>
        <w:t xml:space="preserve"> </w:t>
      </w:r>
      <w:proofErr w:type="spellStart"/>
      <w:r w:rsidRPr="00141288">
        <w:rPr>
          <w:sz w:val="22"/>
          <w:szCs w:val="22"/>
        </w:rPr>
        <w:t>introduced</w:t>
      </w:r>
      <w:proofErr w:type="spellEnd"/>
      <w:r w:rsidRPr="00141288">
        <w:rPr>
          <w:sz w:val="22"/>
          <w:szCs w:val="22"/>
        </w:rPr>
        <w:t xml:space="preserve"> </w:t>
      </w:r>
      <w:proofErr w:type="spellStart"/>
      <w:r w:rsidRPr="00141288">
        <w:rPr>
          <w:sz w:val="22"/>
          <w:szCs w:val="22"/>
        </w:rPr>
        <w:t>at</w:t>
      </w:r>
      <w:proofErr w:type="spellEnd"/>
      <w:r w:rsidRPr="00141288">
        <w:rPr>
          <w:sz w:val="22"/>
          <w:szCs w:val="22"/>
        </w:rPr>
        <w:t xml:space="preserve"> entry </w:t>
      </w:r>
      <w:proofErr w:type="spellStart"/>
      <w:r w:rsidRPr="00141288">
        <w:rPr>
          <w:sz w:val="22"/>
          <w:szCs w:val="22"/>
        </w:rPr>
        <w:t>into</w:t>
      </w:r>
      <w:proofErr w:type="spellEnd"/>
      <w:r w:rsidRPr="00141288">
        <w:rPr>
          <w:sz w:val="22"/>
          <w:szCs w:val="22"/>
        </w:rPr>
        <w:t xml:space="preserve"> force of the SD-RTS. The IS-RTS </w:t>
      </w:r>
      <w:proofErr w:type="spellStart"/>
      <w:r w:rsidRPr="00141288">
        <w:rPr>
          <w:sz w:val="22"/>
          <w:szCs w:val="22"/>
        </w:rPr>
        <w:t>should</w:t>
      </w:r>
      <w:proofErr w:type="spellEnd"/>
      <w:r w:rsidRPr="00141288">
        <w:rPr>
          <w:sz w:val="22"/>
          <w:szCs w:val="22"/>
        </w:rPr>
        <w:t xml:space="preserve">, in </w:t>
      </w:r>
      <w:proofErr w:type="spellStart"/>
      <w:r w:rsidRPr="00141288">
        <w:rPr>
          <w:sz w:val="22"/>
          <w:szCs w:val="22"/>
        </w:rPr>
        <w:t>this</w:t>
      </w:r>
      <w:proofErr w:type="spellEnd"/>
      <w:r w:rsidRPr="00141288">
        <w:rPr>
          <w:sz w:val="22"/>
          <w:szCs w:val="22"/>
        </w:rPr>
        <w:t xml:space="preserve"> respect, </w:t>
      </w:r>
      <w:proofErr w:type="spellStart"/>
      <w:r w:rsidRPr="00141288">
        <w:rPr>
          <w:sz w:val="22"/>
          <w:szCs w:val="22"/>
        </w:rPr>
        <w:t>also</w:t>
      </w:r>
      <w:proofErr w:type="spellEnd"/>
      <w:r w:rsidRPr="00141288">
        <w:rPr>
          <w:sz w:val="22"/>
          <w:szCs w:val="22"/>
        </w:rPr>
        <w:t xml:space="preserve"> enter </w:t>
      </w:r>
      <w:proofErr w:type="spellStart"/>
      <w:r w:rsidRPr="00141288">
        <w:rPr>
          <w:sz w:val="22"/>
          <w:szCs w:val="22"/>
        </w:rPr>
        <w:t>into</w:t>
      </w:r>
      <w:proofErr w:type="spellEnd"/>
      <w:r w:rsidRPr="00141288">
        <w:rPr>
          <w:sz w:val="22"/>
          <w:szCs w:val="22"/>
        </w:rPr>
        <w:t xml:space="preserve"> force </w:t>
      </w:r>
      <w:proofErr w:type="spellStart"/>
      <w:r w:rsidRPr="00141288">
        <w:rPr>
          <w:sz w:val="22"/>
          <w:szCs w:val="22"/>
        </w:rPr>
        <w:t>at</w:t>
      </w:r>
      <w:proofErr w:type="spellEnd"/>
      <w:r w:rsidRPr="00141288">
        <w:rPr>
          <w:sz w:val="22"/>
          <w:szCs w:val="22"/>
        </w:rPr>
        <w:t xml:space="preserve"> the </w:t>
      </w:r>
      <w:proofErr w:type="spellStart"/>
      <w:r w:rsidRPr="00141288">
        <w:rPr>
          <w:sz w:val="22"/>
          <w:szCs w:val="22"/>
        </w:rPr>
        <w:t>same</w:t>
      </w:r>
      <w:proofErr w:type="spellEnd"/>
      <w:r w:rsidRPr="00141288">
        <w:rPr>
          <w:sz w:val="22"/>
          <w:szCs w:val="22"/>
        </w:rPr>
        <w:t xml:space="preserve"> time. </w:t>
      </w:r>
      <w:r w:rsidRPr="00141288">
        <w:rPr>
          <w:color w:val="auto"/>
          <w:sz w:val="22"/>
          <w:szCs w:val="22"/>
          <w:lang w:val="en-GB"/>
        </w:rPr>
        <w:t xml:space="preserve">We believe that the current drafting of the scope under Article 2 (1) (f) (vii) creates a risk for the settlement </w:t>
      </w:r>
      <w:proofErr w:type="spellStart"/>
      <w:r w:rsidRPr="00141288">
        <w:rPr>
          <w:color w:val="auto"/>
          <w:sz w:val="22"/>
          <w:szCs w:val="22"/>
          <w:lang w:val="en-GB"/>
        </w:rPr>
        <w:t>internaliser</w:t>
      </w:r>
      <w:proofErr w:type="spellEnd"/>
      <w:r w:rsidRPr="00141288">
        <w:rPr>
          <w:color w:val="auto"/>
          <w:sz w:val="22"/>
          <w:szCs w:val="22"/>
          <w:lang w:val="en-GB"/>
        </w:rPr>
        <w:t xml:space="preserve">. To what does the term “others” refer? In order to limit the risk of non-compliance for the Settlement </w:t>
      </w:r>
      <w:proofErr w:type="spellStart"/>
      <w:r w:rsidRPr="00141288">
        <w:rPr>
          <w:color w:val="auto"/>
          <w:sz w:val="22"/>
          <w:szCs w:val="22"/>
          <w:lang w:val="en-GB"/>
        </w:rPr>
        <w:t>Internaliser</w:t>
      </w:r>
      <w:proofErr w:type="spellEnd"/>
      <w:r w:rsidRPr="00141288">
        <w:rPr>
          <w:color w:val="auto"/>
          <w:sz w:val="22"/>
          <w:szCs w:val="22"/>
          <w:lang w:val="en-GB"/>
        </w:rPr>
        <w:t xml:space="preserve">, ESMA should provide an exhaustive list of transactions that are in scope for settlement internalization reporting. In addition, corporate actions and custody related operations are not triggered by a settlement instruction or a transfer order; hence we would deem such transaction not to be in scope for settlement internalisation reporting. </w:t>
      </w:r>
    </w:p>
    <w:p w:rsidR="005C0956" w:rsidRDefault="005C0956" w:rsidP="005C0956">
      <w:pPr>
        <w:pStyle w:val="Default"/>
        <w:spacing w:line="276" w:lineRule="auto"/>
        <w:contextualSpacing/>
        <w:jc w:val="both"/>
        <w:rPr>
          <w:color w:val="auto"/>
          <w:sz w:val="22"/>
          <w:szCs w:val="22"/>
          <w:lang w:val="en-GB"/>
        </w:rPr>
      </w:pPr>
    </w:p>
    <w:p w:rsidR="005C0956" w:rsidRDefault="005C0956" w:rsidP="005C0956">
      <w:pPr>
        <w:pStyle w:val="ListParagraph"/>
        <w:numPr>
          <w:ilvl w:val="0"/>
          <w:numId w:val="45"/>
        </w:numPr>
        <w:spacing w:line="276" w:lineRule="auto"/>
        <w:jc w:val="both"/>
        <w:rPr>
          <w:rFonts w:cs="Arial"/>
          <w:lang w:val="en-US"/>
        </w:rPr>
      </w:pPr>
      <w:r w:rsidRPr="00141288">
        <w:rPr>
          <w:rFonts w:cs="Arial"/>
          <w:lang w:val="en-US"/>
        </w:rPr>
        <w:t xml:space="preserve">The types of clients are only to be reported for </w:t>
      </w:r>
      <w:proofErr w:type="spellStart"/>
      <w:r w:rsidRPr="00141288">
        <w:rPr>
          <w:rFonts w:cs="Arial"/>
          <w:lang w:val="en-US"/>
        </w:rPr>
        <w:t>internalised</w:t>
      </w:r>
      <w:proofErr w:type="spellEnd"/>
      <w:r w:rsidRPr="00141288">
        <w:rPr>
          <w:rFonts w:cs="Arial"/>
          <w:lang w:val="en-US"/>
        </w:rPr>
        <w:t xml:space="preserve"> settlements (Art. 2(1)(h) IS-RTS)</w:t>
      </w:r>
    </w:p>
    <w:p w:rsidR="005C0956" w:rsidRDefault="005C0956" w:rsidP="005C0956">
      <w:pPr>
        <w:spacing w:line="276" w:lineRule="auto"/>
        <w:contextualSpacing/>
        <w:jc w:val="both"/>
        <w:rPr>
          <w:rFonts w:cs="Arial"/>
          <w:lang w:val="en-US"/>
        </w:rPr>
      </w:pPr>
    </w:p>
    <w:p w:rsidR="005C0956" w:rsidRDefault="005C0956" w:rsidP="005C0956">
      <w:pPr>
        <w:spacing w:line="276" w:lineRule="auto"/>
        <w:contextualSpacing/>
        <w:jc w:val="both"/>
        <w:rPr>
          <w:rFonts w:cs="Arial"/>
          <w:lang w:val="en-US"/>
        </w:rPr>
      </w:pPr>
      <w:r w:rsidRPr="00141288">
        <w:rPr>
          <w:rFonts w:cs="Arial"/>
          <w:lang w:val="en-US"/>
        </w:rPr>
        <w:t>There is no need for this additional reporting in the detailed categories requested. If for risk reasons a distinction is needed, a differentiation between professional clients and retail clients should be sufficient.  In particular we would like to highlight  that</w:t>
      </w:r>
      <w:r w:rsidRPr="00141288">
        <w:rPr>
          <w:rFonts w:eastAsia="Arial" w:cs="Arial"/>
          <w:bCs/>
          <w:spacing w:val="1"/>
          <w:lang w:val="en-US" w:eastAsia="en-US"/>
        </w:rPr>
        <w:t>-under Article 2 (1) (h) (</w:t>
      </w:r>
      <w:proofErr w:type="spellStart"/>
      <w:r w:rsidRPr="00141288">
        <w:rPr>
          <w:rFonts w:eastAsia="Arial" w:cs="Arial"/>
          <w:bCs/>
          <w:spacing w:val="1"/>
          <w:lang w:val="en-US" w:eastAsia="en-US"/>
        </w:rPr>
        <w:t>i</w:t>
      </w:r>
      <w:proofErr w:type="spellEnd"/>
      <w:r w:rsidRPr="00141288">
        <w:rPr>
          <w:rFonts w:eastAsia="Arial" w:cs="Arial"/>
          <w:bCs/>
          <w:spacing w:val="1"/>
          <w:lang w:val="en-US" w:eastAsia="en-US"/>
        </w:rPr>
        <w:t>)+(ii), reporting distinctions between investment firms and credit-institutions will lead to double coun</w:t>
      </w:r>
      <w:r w:rsidRPr="00141288">
        <w:rPr>
          <w:rFonts w:eastAsia="Arial" w:cs="Arial"/>
          <w:bCs/>
          <w:spacing w:val="1"/>
          <w:lang w:val="en-US" w:eastAsia="en-US"/>
        </w:rPr>
        <w:t>t</w:t>
      </w:r>
      <w:r w:rsidRPr="00141288">
        <w:rPr>
          <w:rFonts w:eastAsia="Arial" w:cs="Arial"/>
          <w:bCs/>
          <w:spacing w:val="1"/>
          <w:lang w:val="en-US" w:eastAsia="en-US"/>
        </w:rPr>
        <w:t xml:space="preserve">ing, many banks are also investment firms under </w:t>
      </w:r>
      <w:proofErr w:type="spellStart"/>
      <w:r w:rsidRPr="00141288">
        <w:rPr>
          <w:rFonts w:eastAsia="Arial" w:cs="Arial"/>
          <w:bCs/>
          <w:spacing w:val="1"/>
          <w:lang w:val="en-US" w:eastAsia="en-US"/>
        </w:rPr>
        <w:t>MiFID</w:t>
      </w:r>
      <w:proofErr w:type="spellEnd"/>
      <w:r w:rsidRPr="00141288">
        <w:rPr>
          <w:rFonts w:eastAsia="Arial" w:cs="Arial"/>
          <w:bCs/>
          <w:spacing w:val="1"/>
          <w:lang w:val="en-US" w:eastAsia="en-US"/>
        </w:rPr>
        <w:t xml:space="preserve"> and would hence be counted once as investment firm and once as a credit-institute.</w:t>
      </w:r>
    </w:p>
    <w:p w:rsidR="005C0956" w:rsidRDefault="005C0956" w:rsidP="005C0956">
      <w:pPr>
        <w:spacing w:line="276" w:lineRule="auto"/>
        <w:contextualSpacing/>
        <w:jc w:val="both"/>
        <w:rPr>
          <w:rFonts w:cs="Arial"/>
          <w:lang w:val="en-US"/>
        </w:rPr>
      </w:pPr>
    </w:p>
    <w:p w:rsidR="005C0956" w:rsidRDefault="005C0956" w:rsidP="005C0956">
      <w:pPr>
        <w:spacing w:line="276" w:lineRule="auto"/>
        <w:contextualSpacing/>
        <w:jc w:val="both"/>
        <w:rPr>
          <w:rFonts w:cs="Arial"/>
          <w:lang w:val="en-US"/>
        </w:rPr>
      </w:pPr>
      <w:r w:rsidRPr="00141288">
        <w:rPr>
          <w:rFonts w:cs="Arial"/>
          <w:lang w:val="en-US"/>
        </w:rPr>
        <w:t xml:space="preserve">Finally, the IS-RTS are applicable for settlement </w:t>
      </w:r>
      <w:proofErr w:type="spellStart"/>
      <w:r w:rsidRPr="00141288">
        <w:rPr>
          <w:rFonts w:cs="Arial"/>
          <w:lang w:val="en-US"/>
        </w:rPr>
        <w:t>internalisers</w:t>
      </w:r>
      <w:proofErr w:type="spellEnd"/>
      <w:r w:rsidRPr="00141288">
        <w:rPr>
          <w:rFonts w:cs="Arial"/>
          <w:lang w:val="en-US"/>
        </w:rPr>
        <w:t xml:space="preserve"> established in the European Union, including for their branches in a third country. Obviously, circumvention of the IT-RTS should be avoided. The effects are, however, too far reaching. Following this provision for example, trades between two Japanese counterparties in a Japanese share would have to be reported even if this settlement would never have taken place in </w:t>
      </w:r>
      <w:r>
        <w:rPr>
          <w:rFonts w:cs="Arial"/>
          <w:lang w:val="en-US"/>
        </w:rPr>
        <w:t xml:space="preserve">an </w:t>
      </w:r>
      <w:r w:rsidRPr="00141288">
        <w:rPr>
          <w:rFonts w:cs="Arial"/>
          <w:lang w:val="en-US"/>
        </w:rPr>
        <w:t xml:space="preserve">EU-regulated CSD. It </w:t>
      </w:r>
      <w:r>
        <w:rPr>
          <w:rFonts w:cs="Arial"/>
          <w:lang w:val="en-US"/>
        </w:rPr>
        <w:t xml:space="preserve">would </w:t>
      </w:r>
      <w:r w:rsidRPr="00141288">
        <w:rPr>
          <w:rFonts w:cs="Arial"/>
          <w:lang w:val="en-US"/>
        </w:rPr>
        <w:t xml:space="preserve">therefore </w:t>
      </w:r>
      <w:r>
        <w:rPr>
          <w:rFonts w:cs="Arial"/>
          <w:lang w:val="en-US"/>
        </w:rPr>
        <w:t xml:space="preserve">be </w:t>
      </w:r>
      <w:r w:rsidRPr="00141288">
        <w:rPr>
          <w:rFonts w:cs="Arial"/>
          <w:lang w:val="en-US"/>
        </w:rPr>
        <w:t xml:space="preserve">appropriate that only </w:t>
      </w:r>
      <w:proofErr w:type="spellStart"/>
      <w:r w:rsidRPr="00141288">
        <w:rPr>
          <w:rFonts w:cs="Arial"/>
          <w:lang w:val="en-US"/>
        </w:rPr>
        <w:t>internalised</w:t>
      </w:r>
      <w:proofErr w:type="spellEnd"/>
      <w:r w:rsidRPr="00141288">
        <w:rPr>
          <w:rFonts w:cs="Arial"/>
          <w:lang w:val="en-US"/>
        </w:rPr>
        <w:t xml:space="preserve"> settlement transactions in EU-issued securities between clients based in the EU have to be reported under this RTS if they take place in a branch of an EU-regulated settlement </w:t>
      </w:r>
      <w:proofErr w:type="spellStart"/>
      <w:r w:rsidRPr="00141288">
        <w:rPr>
          <w:rFonts w:cs="Arial"/>
          <w:lang w:val="en-US"/>
        </w:rPr>
        <w:t>internaliser</w:t>
      </w:r>
      <w:proofErr w:type="spellEnd"/>
      <w:r w:rsidRPr="00141288">
        <w:rPr>
          <w:rFonts w:cs="Arial"/>
          <w:lang w:val="en-US"/>
        </w:rPr>
        <w:t xml:space="preserve"> in a third country.</w:t>
      </w:r>
    </w:p>
    <w:p w:rsidR="005C0956" w:rsidRDefault="005C0956" w:rsidP="005C0956">
      <w:pPr>
        <w:spacing w:line="276" w:lineRule="auto"/>
        <w:contextualSpacing/>
        <w:jc w:val="both"/>
        <w:rPr>
          <w:rFonts w:cs="Arial"/>
          <w:lang w:val="en-US"/>
        </w:rPr>
      </w:pPr>
    </w:p>
    <w:p w:rsidR="005C0956" w:rsidRDefault="005C0956" w:rsidP="005C0956">
      <w:pPr>
        <w:pStyle w:val="ListParagraph"/>
        <w:numPr>
          <w:ilvl w:val="0"/>
          <w:numId w:val="45"/>
        </w:numPr>
        <w:spacing w:line="276" w:lineRule="auto"/>
        <w:jc w:val="both"/>
        <w:rPr>
          <w:rFonts w:cs="Arial"/>
          <w:lang w:val="en-US"/>
        </w:rPr>
      </w:pPr>
      <w:r w:rsidRPr="00141288">
        <w:rPr>
          <w:rFonts w:cs="Arial"/>
          <w:lang w:val="en-US"/>
        </w:rPr>
        <w:t>Extraterritorial aspects to be considered</w:t>
      </w:r>
    </w:p>
    <w:p w:rsidR="005C0956" w:rsidRDefault="005C0956" w:rsidP="005C0956">
      <w:pPr>
        <w:spacing w:line="276" w:lineRule="auto"/>
        <w:ind w:left="360"/>
        <w:jc w:val="both"/>
        <w:rPr>
          <w:rFonts w:cs="Arial"/>
          <w:lang w:val="en-US"/>
        </w:rPr>
      </w:pPr>
    </w:p>
    <w:p w:rsidR="005C0956" w:rsidRDefault="005C0956" w:rsidP="005C0956">
      <w:pPr>
        <w:spacing w:line="276" w:lineRule="auto"/>
        <w:contextualSpacing/>
        <w:jc w:val="both"/>
        <w:rPr>
          <w:rFonts w:cs="Arial"/>
          <w:lang w:val="en-US"/>
        </w:rPr>
      </w:pPr>
      <w:r w:rsidRPr="00141288">
        <w:rPr>
          <w:rFonts w:cs="Arial"/>
          <w:lang w:val="en-US"/>
        </w:rPr>
        <w:t xml:space="preserve">ESMA should clarify where a non-EU branch is asked to report, would the report be made to the home competent authority or the foreign authority. ESMA should consider that some countries might require similar reporting, which could </w:t>
      </w:r>
      <w:r>
        <w:rPr>
          <w:rFonts w:cs="Arial"/>
          <w:lang w:val="en-US"/>
        </w:rPr>
        <w:t>make reporting redundant</w:t>
      </w:r>
      <w:r w:rsidRPr="00141288">
        <w:rPr>
          <w:rFonts w:cs="Arial"/>
          <w:lang w:val="en-US"/>
        </w:rPr>
        <w:t xml:space="preserve">. </w:t>
      </w:r>
    </w:p>
    <w:p w:rsidR="005C0956" w:rsidRDefault="005C0956" w:rsidP="005C0956">
      <w:pPr>
        <w:pStyle w:val="Default"/>
        <w:spacing w:line="276" w:lineRule="auto"/>
        <w:contextualSpacing/>
        <w:jc w:val="both"/>
        <w:rPr>
          <w:color w:val="auto"/>
          <w:sz w:val="22"/>
          <w:szCs w:val="22"/>
          <w:lang w:val="en-GB"/>
        </w:rPr>
      </w:pPr>
    </w:p>
    <w:p w:rsidR="005C0956" w:rsidRDefault="005C0956" w:rsidP="005C0956">
      <w:pPr>
        <w:pStyle w:val="ListParagraph"/>
        <w:numPr>
          <w:ilvl w:val="0"/>
          <w:numId w:val="46"/>
        </w:numPr>
        <w:spacing w:line="276" w:lineRule="auto"/>
        <w:jc w:val="both"/>
        <w:rPr>
          <w:rFonts w:cs="Arial"/>
        </w:rPr>
      </w:pPr>
      <w:r w:rsidRPr="00141288">
        <w:rPr>
          <w:rFonts w:cs="Arial"/>
        </w:rPr>
        <w:t>Format of the reports</w:t>
      </w:r>
    </w:p>
    <w:p w:rsidR="005C0956" w:rsidRDefault="005C0956" w:rsidP="005C0956">
      <w:pPr>
        <w:pStyle w:val="ListParagraph"/>
        <w:spacing w:line="276" w:lineRule="auto"/>
        <w:ind w:left="360"/>
        <w:rPr>
          <w:rFonts w:cs="Arial"/>
        </w:rPr>
      </w:pPr>
    </w:p>
    <w:p w:rsidR="005C0956" w:rsidRDefault="005C0956" w:rsidP="005C0956">
      <w:pPr>
        <w:spacing w:line="276" w:lineRule="auto"/>
        <w:contextualSpacing/>
        <w:jc w:val="both"/>
        <w:rPr>
          <w:rFonts w:cs="Arial"/>
          <w:lang w:val="en-US"/>
        </w:rPr>
      </w:pPr>
      <w:r w:rsidRPr="00141288">
        <w:rPr>
          <w:rFonts w:cs="Arial"/>
          <w:lang w:val="en-US"/>
        </w:rPr>
        <w:t>Although ESMA provides as appendices to the draft format of the reports, the description pr</w:t>
      </w:r>
      <w:r w:rsidRPr="00141288">
        <w:rPr>
          <w:rFonts w:cs="Arial"/>
          <w:lang w:val="en-US"/>
        </w:rPr>
        <w:t>o</w:t>
      </w:r>
      <w:r w:rsidRPr="00141288">
        <w:rPr>
          <w:rFonts w:cs="Arial"/>
          <w:lang w:val="en-US"/>
        </w:rPr>
        <w:t>vided is not enough and it is not clear how the reports will actually look. This leaves room to the respective authorities to come with their own specific template. A similar result was reached with EMIR reporting. A standard template and format across all NCAs is critical to ensure one system build and no duplication of effort.</w:t>
      </w:r>
    </w:p>
    <w:p w:rsidR="005C0956" w:rsidRDefault="005C0956" w:rsidP="005C0956">
      <w:pPr>
        <w:spacing w:line="276" w:lineRule="auto"/>
        <w:contextualSpacing/>
        <w:jc w:val="both"/>
        <w:rPr>
          <w:rFonts w:cs="Arial"/>
          <w:lang w:val="en-US"/>
        </w:rPr>
      </w:pPr>
    </w:p>
    <w:p w:rsidR="005C0956" w:rsidRDefault="005C0956" w:rsidP="005C0956">
      <w:pPr>
        <w:pStyle w:val="ListParagraph"/>
        <w:numPr>
          <w:ilvl w:val="0"/>
          <w:numId w:val="46"/>
        </w:numPr>
        <w:spacing w:line="276" w:lineRule="auto"/>
        <w:jc w:val="both"/>
        <w:rPr>
          <w:rFonts w:cs="Arial"/>
          <w:lang w:val="en-US"/>
        </w:rPr>
      </w:pPr>
      <w:r w:rsidRPr="00FE005C">
        <w:rPr>
          <w:rFonts w:cs="Arial"/>
          <w:lang w:val="en-US"/>
        </w:rPr>
        <w:t>Timing of the Implementation.</w:t>
      </w:r>
    </w:p>
    <w:p w:rsidR="005C0956" w:rsidRDefault="005C0956" w:rsidP="005C0956">
      <w:pPr>
        <w:spacing w:line="276" w:lineRule="auto"/>
        <w:contextualSpacing/>
        <w:jc w:val="both"/>
        <w:rPr>
          <w:rFonts w:cs="Arial"/>
          <w:lang w:val="en-US"/>
        </w:rPr>
      </w:pPr>
    </w:p>
    <w:p w:rsidR="005C0956" w:rsidRDefault="005C0956" w:rsidP="005C0956">
      <w:pPr>
        <w:spacing w:line="276" w:lineRule="auto"/>
        <w:jc w:val="both"/>
        <w:rPr>
          <w:rFonts w:eastAsia="Arial" w:cs="Arial"/>
          <w:bCs/>
          <w:spacing w:val="1"/>
          <w:lang w:val="en-US" w:eastAsia="en-US"/>
        </w:rPr>
      </w:pPr>
      <w:r w:rsidRPr="00141288">
        <w:rPr>
          <w:rFonts w:cs="Arial"/>
          <w:lang w:val="en-US"/>
        </w:rPr>
        <w:t xml:space="preserve">The reports required will be very detailed and would require significant investments in time and resources.  The current envisaged timeframe between the </w:t>
      </w:r>
      <w:proofErr w:type="spellStart"/>
      <w:r w:rsidRPr="00141288">
        <w:rPr>
          <w:rFonts w:cs="Arial"/>
          <w:lang w:val="en-US"/>
        </w:rPr>
        <w:t>finali</w:t>
      </w:r>
      <w:r>
        <w:rPr>
          <w:rFonts w:cs="Arial"/>
          <w:lang w:val="en-US"/>
        </w:rPr>
        <w:t>s</w:t>
      </w:r>
      <w:r w:rsidRPr="00141288">
        <w:rPr>
          <w:rFonts w:cs="Arial"/>
          <w:lang w:val="en-US"/>
        </w:rPr>
        <w:t>ation</w:t>
      </w:r>
      <w:proofErr w:type="spellEnd"/>
      <w:r w:rsidRPr="00141288">
        <w:rPr>
          <w:rFonts w:cs="Arial"/>
          <w:lang w:val="en-US"/>
        </w:rPr>
        <w:t xml:space="preserve"> of requirements and the first report submission won’t be enough to enable system enhancements, report build and tes</w:t>
      </w:r>
      <w:r w:rsidRPr="00141288">
        <w:rPr>
          <w:rFonts w:cs="Arial"/>
          <w:lang w:val="en-US"/>
        </w:rPr>
        <w:t>t</w:t>
      </w:r>
      <w:r w:rsidRPr="00141288">
        <w:rPr>
          <w:rFonts w:cs="Arial"/>
          <w:lang w:val="en-US"/>
        </w:rPr>
        <w:t xml:space="preserve">ing to be ready for the first reporting on time. A phase in period should be considered.  </w:t>
      </w:r>
      <w:r w:rsidRPr="00141288">
        <w:rPr>
          <w:rFonts w:eastAsia="Arial" w:cs="Arial"/>
          <w:bCs/>
          <w:spacing w:val="1"/>
          <w:lang w:val="en-US" w:eastAsia="en-US"/>
        </w:rPr>
        <w:t xml:space="preserve"> </w:t>
      </w:r>
    </w:p>
    <w:p w:rsidR="00124278" w:rsidRDefault="00124278" w:rsidP="00124278"/>
    <w:permEnd w:id="32"/>
    <w:p w:rsidR="00F05A8C" w:rsidRDefault="00D12AFD" w:rsidP="00CE149D">
      <w:r>
        <w:t>&lt;ESMA_QUESTION_TS_CSDR_3</w:t>
      </w:r>
      <w:r w:rsidR="00252063">
        <w:t>2</w:t>
      </w:r>
      <w:r>
        <w:t>&gt;</w:t>
      </w:r>
    </w:p>
    <w:sectPr w:rsidR="00F05A8C"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D09" w:rsidRDefault="00C43D09">
      <w:r>
        <w:separator/>
      </w:r>
    </w:p>
    <w:p w:rsidR="00C43D09" w:rsidRDefault="00C43D09"/>
  </w:endnote>
  <w:endnote w:type="continuationSeparator" w:id="0">
    <w:p w:rsidR="00C43D09" w:rsidRDefault="00C43D09">
      <w:r>
        <w:continuationSeparator/>
      </w:r>
    </w:p>
    <w:p w:rsidR="00C43D09" w:rsidRDefault="00C43D09"/>
  </w:endnote>
  <w:endnote w:type="continuationNotice" w:id="1">
    <w:p w:rsidR="00C43D09" w:rsidRDefault="00C43D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C43D09" w:rsidRPr="00315E96" w:rsidTr="00315E96">
      <w:trPr>
        <w:trHeight w:val="284"/>
      </w:trPr>
      <w:tc>
        <w:tcPr>
          <w:tcW w:w="8460" w:type="dxa"/>
        </w:tcPr>
        <w:p w:rsidR="00C43D09" w:rsidRPr="00315E96" w:rsidRDefault="00C43D09" w:rsidP="00315E96">
          <w:pPr>
            <w:pStyle w:val="00Footer"/>
            <w:rPr>
              <w:lang w:val="fr-FR"/>
            </w:rPr>
          </w:pPr>
        </w:p>
      </w:tc>
      <w:tc>
        <w:tcPr>
          <w:tcW w:w="952" w:type="dxa"/>
        </w:tcPr>
        <w:p w:rsidR="00C43D09" w:rsidRPr="002C5B2D" w:rsidRDefault="00C43D09" w:rsidP="002C5B2D">
          <w:pPr>
            <w:pStyle w:val="00aPagenumber"/>
          </w:pPr>
          <w:fldSimple w:instr=" PAGE ">
            <w:r w:rsidR="00D971DE">
              <w:rPr>
                <w:noProof/>
              </w:rPr>
              <w:t>29</w:t>
            </w:r>
          </w:fldSimple>
        </w:p>
      </w:tc>
    </w:tr>
  </w:tbl>
  <w:p w:rsidR="00C43D09" w:rsidRDefault="00C43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09" w:rsidRDefault="00C43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D09" w:rsidRDefault="00C43D09">
      <w:r>
        <w:separator/>
      </w:r>
    </w:p>
    <w:p w:rsidR="00C43D09" w:rsidRDefault="00C43D09"/>
  </w:footnote>
  <w:footnote w:type="continuationSeparator" w:id="0">
    <w:p w:rsidR="00C43D09" w:rsidRDefault="00C43D09">
      <w:r>
        <w:continuationSeparator/>
      </w:r>
    </w:p>
    <w:p w:rsidR="00C43D09" w:rsidRDefault="00C43D09"/>
  </w:footnote>
  <w:footnote w:type="continuationNotice" w:id="1">
    <w:p w:rsidR="00C43D09" w:rsidRDefault="00C43D0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09" w:rsidRDefault="00C43D09">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Pr="00887349">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09" w:rsidRDefault="00C43D09"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09" w:rsidRDefault="00C43D0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C43D09" w:rsidRPr="002F4496" w:rsidTr="000C06C9">
      <w:trPr>
        <w:trHeight w:val="284"/>
      </w:trPr>
      <w:tc>
        <w:tcPr>
          <w:tcW w:w="8460" w:type="dxa"/>
        </w:tcPr>
        <w:p w:rsidR="00C43D09" w:rsidRPr="000C3B6D" w:rsidRDefault="00C43D09" w:rsidP="000C06C9">
          <w:pPr>
            <w:pStyle w:val="00Footer"/>
            <w:rPr>
              <w:lang w:val="fr-FR"/>
            </w:rPr>
          </w:pPr>
        </w:p>
      </w:tc>
      <w:tc>
        <w:tcPr>
          <w:tcW w:w="952" w:type="dxa"/>
        </w:tcPr>
        <w:p w:rsidR="00C43D09" w:rsidRPr="00146B34" w:rsidRDefault="00C43D09" w:rsidP="000C06C9">
          <w:pPr>
            <w:pStyle w:val="00aPagenumber"/>
            <w:rPr>
              <w:lang w:val="fr-FR"/>
            </w:rPr>
          </w:pPr>
        </w:p>
      </w:tc>
    </w:tr>
  </w:tbl>
  <w:p w:rsidR="00C43D09" w:rsidRPr="00DB46C3" w:rsidRDefault="00C43D09">
    <w:pPr>
      <w:rPr>
        <w:lang w:val="fr-FR"/>
      </w:rPr>
    </w:pPr>
  </w:p>
  <w:p w:rsidR="00C43D09" w:rsidRPr="002F4496" w:rsidRDefault="00C43D09">
    <w:pPr>
      <w:pStyle w:val="Header"/>
      <w:rPr>
        <w:lang w:val="fr-FR"/>
      </w:rPr>
    </w:pPr>
  </w:p>
  <w:p w:rsidR="00C43D09" w:rsidRPr="002F4496" w:rsidRDefault="00C43D09" w:rsidP="000C06C9">
    <w:pPr>
      <w:pStyle w:val="Header"/>
      <w:tabs>
        <w:tab w:val="clear" w:pos="4536"/>
        <w:tab w:val="clear" w:pos="9072"/>
        <w:tab w:val="left" w:pos="8227"/>
      </w:tabs>
      <w:rPr>
        <w:lang w:val="fr-FR"/>
      </w:rPr>
    </w:pPr>
  </w:p>
  <w:p w:rsidR="00C43D09" w:rsidRPr="002F4496" w:rsidRDefault="00C43D09" w:rsidP="000C06C9">
    <w:pPr>
      <w:pStyle w:val="Header"/>
      <w:tabs>
        <w:tab w:val="clear" w:pos="4536"/>
        <w:tab w:val="clear" w:pos="9072"/>
        <w:tab w:val="left" w:pos="8227"/>
      </w:tabs>
      <w:rPr>
        <w:lang w:val="fr-FR"/>
      </w:rPr>
    </w:pPr>
  </w:p>
  <w:p w:rsidR="00C43D09" w:rsidRPr="002F4496" w:rsidRDefault="00C43D09">
    <w:pPr>
      <w:pStyle w:val="Header"/>
      <w:rPr>
        <w:lang w:val="fr-FR"/>
      </w:rPr>
    </w:pPr>
  </w:p>
  <w:p w:rsidR="00C43D09" w:rsidRPr="002F4496" w:rsidRDefault="00C43D09">
    <w:pPr>
      <w:pStyle w:val="Header"/>
      <w:rPr>
        <w:lang w:val="fr-FR"/>
      </w:rPr>
    </w:pPr>
  </w:p>
  <w:p w:rsidR="00C43D09" w:rsidRPr="002F4496" w:rsidRDefault="00C43D09">
    <w:pPr>
      <w:pStyle w:val="Header"/>
      <w:rPr>
        <w:lang w:val="fr-FR"/>
      </w:rPr>
    </w:pPr>
  </w:p>
  <w:p w:rsidR="00C43D09" w:rsidRPr="002F4496" w:rsidRDefault="00C43D09">
    <w:pPr>
      <w:pStyle w:val="Header"/>
      <w:rPr>
        <w:lang w:val="fr-FR"/>
      </w:rPr>
    </w:pPr>
  </w:p>
  <w:p w:rsidR="00C43D09" w:rsidRPr="002F4496" w:rsidRDefault="00C43D09">
    <w:pPr>
      <w:pStyle w:val="Header"/>
      <w:rPr>
        <w:highlight w:val="yellow"/>
        <w:lang w:val="fr-FR"/>
      </w:rPr>
    </w:pPr>
  </w:p>
  <w:p w:rsidR="00C43D09" w:rsidRDefault="00C43D09">
    <w:pPr>
      <w:pStyle w:val="Header"/>
    </w:pPr>
    <w:r w:rsidRPr="00887349">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04D9"/>
    <w:multiLevelType w:val="hybridMultilevel"/>
    <w:tmpl w:val="F9EC55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1C1892"/>
    <w:multiLevelType w:val="hybridMultilevel"/>
    <w:tmpl w:val="B6F8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384E"/>
    <w:multiLevelType w:val="hybridMultilevel"/>
    <w:tmpl w:val="A388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2ED67D0"/>
    <w:multiLevelType w:val="hybridMultilevel"/>
    <w:tmpl w:val="A16AE482"/>
    <w:lvl w:ilvl="0" w:tplc="00C4B2CA">
      <w:start w:val="6"/>
      <w:numFmt w:val="bullet"/>
      <w:lvlText w:val="•"/>
      <w:lvlJc w:val="left"/>
      <w:pPr>
        <w:ind w:left="720" w:hanging="360"/>
      </w:pPr>
      <w:rPr>
        <w:rFonts w:ascii="Calibri" w:eastAsia="Calibri" w:hAnsi="Calibri" w:cs="Calibri" w:hint="default"/>
        <w:lang w:val="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0BC29D7"/>
    <w:multiLevelType w:val="hybridMultilevel"/>
    <w:tmpl w:val="5B82E35E"/>
    <w:lvl w:ilvl="0" w:tplc="0409000F">
      <w:start w:val="1"/>
      <w:numFmt w:val="decimal"/>
      <w:lvlText w:val="%1."/>
      <w:lvlJc w:val="left"/>
      <w:pPr>
        <w:ind w:left="360" w:hanging="360"/>
      </w:pPr>
    </w:lvl>
    <w:lvl w:ilvl="1" w:tplc="04070003">
      <w:start w:val="1"/>
      <w:numFmt w:val="bullet"/>
      <w:lvlText w:val="o"/>
      <w:lvlJc w:val="left"/>
      <w:pPr>
        <w:ind w:left="108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2">
    <w:nsid w:val="41AB7EB5"/>
    <w:multiLevelType w:val="hybridMultilevel"/>
    <w:tmpl w:val="886AE162"/>
    <w:lvl w:ilvl="0" w:tplc="0409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nsid w:val="451D3725"/>
    <w:multiLevelType w:val="hybridMultilevel"/>
    <w:tmpl w:val="504016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4C842549"/>
    <w:multiLevelType w:val="hybridMultilevel"/>
    <w:tmpl w:val="F74CBF88"/>
    <w:lvl w:ilvl="0" w:tplc="AB78B9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B1C8D"/>
    <w:multiLevelType w:val="hybridMultilevel"/>
    <w:tmpl w:val="11241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3AA78EF"/>
    <w:multiLevelType w:val="hybridMultilevel"/>
    <w:tmpl w:val="5ACA8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nsid w:val="605735B9"/>
    <w:multiLevelType w:val="hybridMultilevel"/>
    <w:tmpl w:val="FE2226F2"/>
    <w:lvl w:ilvl="0" w:tplc="659EE572">
      <w:start w:val="1"/>
      <w:numFmt w:val="decimal"/>
      <w:pStyle w:val="Heading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5C0751"/>
    <w:multiLevelType w:val="hybridMultilevel"/>
    <w:tmpl w:val="A998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nsid w:val="664F4046"/>
    <w:multiLevelType w:val="hybridMultilevel"/>
    <w:tmpl w:val="7FA8F1BC"/>
    <w:lvl w:ilvl="0" w:tplc="086A41E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A1C4B17"/>
    <w:multiLevelType w:val="hybridMultilevel"/>
    <w:tmpl w:val="7446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3"/>
  </w:num>
  <w:num w:numId="3">
    <w:abstractNumId w:val="15"/>
  </w:num>
  <w:num w:numId="4">
    <w:abstractNumId w:val="30"/>
  </w:num>
  <w:num w:numId="5">
    <w:abstractNumId w:val="4"/>
  </w:num>
  <w:num w:numId="6">
    <w:abstractNumId w:val="33"/>
  </w:num>
  <w:num w:numId="7">
    <w:abstractNumId w:val="0"/>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8"/>
  </w:num>
  <w:num w:numId="15">
    <w:abstractNumId w:val="27"/>
  </w:num>
  <w:num w:numId="16">
    <w:abstractNumId w:val="13"/>
  </w:num>
  <w:num w:numId="17">
    <w:abstractNumId w:val="1"/>
  </w:num>
  <w:num w:numId="18">
    <w:abstractNumId w:val="17"/>
  </w:num>
  <w:num w:numId="19">
    <w:abstractNumId w:val="18"/>
  </w:num>
  <w:num w:numId="20">
    <w:abstractNumId w:val="20"/>
  </w:num>
  <w:num w:numId="21">
    <w:abstractNumId w:val="34"/>
  </w:num>
  <w:num w:numId="22">
    <w:abstractNumId w:val="43"/>
  </w:num>
  <w:num w:numId="23">
    <w:abstractNumId w:val="32"/>
  </w:num>
  <w:num w:numId="24">
    <w:abstractNumId w:val="12"/>
  </w:num>
  <w:num w:numId="25">
    <w:abstractNumId w:val="37"/>
  </w:num>
  <w:num w:numId="26">
    <w:abstractNumId w:val="36"/>
  </w:num>
  <w:num w:numId="27">
    <w:abstractNumId w:val="25"/>
  </w:num>
  <w:num w:numId="28">
    <w:abstractNumId w:val="42"/>
  </w:num>
  <w:num w:numId="29">
    <w:abstractNumId w:val="46"/>
  </w:num>
  <w:num w:numId="30">
    <w:abstractNumId w:val="10"/>
  </w:num>
  <w:num w:numId="31">
    <w:abstractNumId w:val="6"/>
  </w:num>
  <w:num w:numId="32">
    <w:abstractNumId w:val="26"/>
  </w:num>
  <w:num w:numId="33">
    <w:abstractNumId w:val="2"/>
  </w:num>
  <w:num w:numId="34">
    <w:abstractNumId w:val="45"/>
  </w:num>
  <w:num w:numId="35">
    <w:abstractNumId w:val="5"/>
  </w:num>
  <w:num w:numId="36">
    <w:abstractNumId w:val="41"/>
  </w:num>
  <w:num w:numId="37">
    <w:abstractNumId w:val="39"/>
  </w:num>
  <w:num w:numId="38">
    <w:abstractNumId w:val="14"/>
  </w:num>
  <w:num w:numId="39">
    <w:abstractNumId w:val="29"/>
  </w:num>
  <w:num w:numId="40">
    <w:abstractNumId w:val="21"/>
  </w:num>
  <w:num w:numId="41">
    <w:abstractNumId w:val="7"/>
  </w:num>
  <w:num w:numId="42">
    <w:abstractNumId w:val="31"/>
  </w:num>
  <w:num w:numId="43">
    <w:abstractNumId w:val="28"/>
  </w:num>
  <w:num w:numId="44">
    <w:abstractNumId w:val="22"/>
  </w:num>
  <w:num w:numId="45">
    <w:abstractNumId w:val="24"/>
  </w:num>
  <w:num w:numId="46">
    <w:abstractNumId w:val="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6bfjm/iXYcseCfNqFFexqQAtOxQ=" w:salt="TR/MU8Bj+9PToco2KdLWwQ=="/>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6C7E"/>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956"/>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FD7"/>
    <w:rsid w:val="00820623"/>
    <w:rsid w:val="008213DA"/>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349"/>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5F6E"/>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09"/>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71D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 w:val="22"/>
      <w:szCs w:val="22"/>
      <w:lang w:eastAsia="de-DE"/>
    </w:rPr>
  </w:style>
  <w:style w:type="character" w:customStyle="1" w:styleId="Heading8Char">
    <w:name w:val="Heading 8 Char"/>
    <w:link w:val="Heading8"/>
    <w:rsid w:val="002D6E1A"/>
    <w:rPr>
      <w:i/>
      <w:iCs/>
      <w:sz w:val="22"/>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rPr>
  </w:style>
  <w:style w:type="character" w:customStyle="1" w:styleId="aStyle1Char">
    <w:name w:val="a. Style1 Char"/>
    <w:link w:val="aStyle1"/>
    <w:rsid w:val="000D2D0B"/>
    <w:rPr>
      <w:rFonts w:ascii="Arial" w:hAnsi="Arial"/>
      <w:lang w:eastAsia="de-D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 w:type="paragraph" w:styleId="NoSpacing">
    <w:name w:val="No Spacing"/>
    <w:link w:val="NoSpacingChar"/>
    <w:uiPriority w:val="1"/>
    <w:qFormat/>
    <w:rsid w:val="00300F54"/>
    <w:rPr>
      <w:rFonts w:asciiTheme="minorHAnsi" w:eastAsiaTheme="minorEastAsia" w:hAnsiTheme="minorHAnsi" w:cstheme="minorBidi"/>
      <w:sz w:val="22"/>
      <w:szCs w:val="22"/>
      <w:lang w:val="de-DE" w:eastAsia="de-DE"/>
    </w:rPr>
  </w:style>
  <w:style w:type="character" w:customStyle="1" w:styleId="NoSpacingChar">
    <w:name w:val="No Spacing Char"/>
    <w:basedOn w:val="DefaultParagraphFont"/>
    <w:link w:val="NoSpacing"/>
    <w:uiPriority w:val="1"/>
    <w:rsid w:val="00300F54"/>
    <w:rPr>
      <w:rFonts w:asciiTheme="minorHAnsi" w:eastAsiaTheme="minorEastAsia" w:hAnsiTheme="minorHAnsi" w:cstheme="minorBidi"/>
      <w:sz w:val="22"/>
      <w:szCs w:val="22"/>
      <w:lang w:val="de-DE" w:eastAsia="de-DE"/>
    </w:rPr>
  </w:style>
  <w:style w:type="paragraph" w:customStyle="1" w:styleId="copytext">
    <w:name w:val="copy text"/>
    <w:basedOn w:val="Normal"/>
    <w:qFormat/>
    <w:rsid w:val="00300F54"/>
    <w:pPr>
      <w:autoSpaceDE w:val="0"/>
      <w:autoSpaceDN w:val="0"/>
      <w:adjustRightInd w:val="0"/>
    </w:pPr>
    <w:rPr>
      <w:rFonts w:cs="Arial"/>
      <w:color w:val="000000"/>
      <w:spacing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B03"/>
    <w:rPr>
      <w:rFonts w:ascii="Arial" w:hAnsi="Arial"/>
      <w:sz w:val="22"/>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 w:val="20"/>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 w:val="20"/>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 w:val="20"/>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 w:val="20"/>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 w:val="22"/>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 w:val="20"/>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l"/>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iso20022.org/standardsrepository/public/wqt/Description/mx/dico/codesets/_aFGlxdp-Ed-ak6NoX_4Aeg_-870507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E85BD11FA34C35ABE725446C5BAEC5"/>
        <w:category>
          <w:name w:val="General"/>
          <w:gallery w:val="placeholder"/>
        </w:category>
        <w:types>
          <w:type w:val="bbPlcHdr"/>
        </w:types>
        <w:behaviors>
          <w:behavior w:val="content"/>
        </w:behaviors>
        <w:guid w:val="{58B88D84-326A-40AF-A15B-47C410EA3821}"/>
      </w:docPartPr>
      <w:docPartBody>
        <w:p w:rsidR="008917E2" w:rsidRDefault="006A5A0A" w:rsidP="006A5A0A">
          <w:pPr>
            <w:pStyle w:val="65E85BD11FA34C35ABE725446C5BAEC5"/>
          </w:pPr>
          <w:r w:rsidRPr="000E3791">
            <w:rPr>
              <w:rStyle w:val="PlaceholderText"/>
            </w:rPr>
            <w:t>Choose an item.</w:t>
          </w:r>
        </w:p>
      </w:docPartBody>
    </w:docPart>
    <w:docPart>
      <w:docPartPr>
        <w:name w:val="98048A7DD8DF4A6B8C6CF00D9B1940F8"/>
        <w:category>
          <w:name w:val="General"/>
          <w:gallery w:val="placeholder"/>
        </w:category>
        <w:types>
          <w:type w:val="bbPlcHdr"/>
        </w:types>
        <w:behaviors>
          <w:behavior w:val="content"/>
        </w:behaviors>
        <w:guid w:val="{61EC2123-8C0C-4584-B757-952EBCA8739B}"/>
      </w:docPartPr>
      <w:docPartBody>
        <w:p w:rsidR="008917E2" w:rsidRDefault="006A5A0A" w:rsidP="006A5A0A">
          <w:pPr>
            <w:pStyle w:val="98048A7DD8DF4A6B8C6CF00D9B1940F8"/>
          </w:pPr>
          <w:r w:rsidRPr="000E3791">
            <w:rPr>
              <w:rStyle w:val="PlaceholderText"/>
            </w:rPr>
            <w:t>Choose an item.</w:t>
          </w:r>
        </w:p>
      </w:docPartBody>
    </w:docPart>
    <w:docPart>
      <w:docPartPr>
        <w:name w:val="5EAC301EA3224F67909AA00721C3F8B7"/>
        <w:category>
          <w:name w:val="General"/>
          <w:gallery w:val="placeholder"/>
        </w:category>
        <w:types>
          <w:type w:val="bbPlcHdr"/>
        </w:types>
        <w:behaviors>
          <w:behavior w:val="content"/>
        </w:behaviors>
        <w:guid w:val="{46FF2BF0-777C-4B97-B3E4-17DE1AA19E86}"/>
      </w:docPartPr>
      <w:docPartBody>
        <w:p w:rsidR="008917E2" w:rsidRDefault="006A5A0A" w:rsidP="006A5A0A">
          <w:pPr>
            <w:pStyle w:val="5EAC301EA3224F67909AA00721C3F8B7"/>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B4208E"/>
    <w:rsid w:val="00115F64"/>
    <w:rsid w:val="001B77DE"/>
    <w:rsid w:val="004B2C78"/>
    <w:rsid w:val="006A5A0A"/>
    <w:rsid w:val="008437E4"/>
    <w:rsid w:val="008917E2"/>
    <w:rsid w:val="00953A5F"/>
    <w:rsid w:val="00AF2479"/>
    <w:rsid w:val="00B4208E"/>
    <w:rsid w:val="00E368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D6C5-0D75-4AD6-8395-658A03B0CDA5}">
  <ds:schemaRefs>
    <ds:schemaRef ds:uri="http://schemas.openxmlformats.org/officeDocument/2006/bibliography"/>
  </ds:schemaRefs>
</ds:datastoreItem>
</file>

<file path=customXml/itemProps2.xml><?xml version="1.0" encoding="utf-8"?>
<ds:datastoreItem xmlns:ds="http://schemas.openxmlformats.org/officeDocument/2006/customXml" ds:itemID="{E81BFC7B-C441-4925-8805-692EDAD5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11330</Words>
  <Characters>61732</Characters>
  <Application>Microsoft Office Word</Application>
  <DocSecurity>8</DocSecurity>
  <Lines>1234</Lines>
  <Paragraphs>327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72735</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Aravind Menon</cp:lastModifiedBy>
  <cp:revision>3</cp:revision>
  <cp:lastPrinted>2014-05-08T16:06:00Z</cp:lastPrinted>
  <dcterms:created xsi:type="dcterms:W3CDTF">2015-02-19T16:57:00Z</dcterms:created>
  <dcterms:modified xsi:type="dcterms:W3CDTF">2015-02-19T17:09:00Z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00b3de46-08b2-498e-816c-40a1c437f0fe</vt:lpwstr>
  </property>
</Properties>
</file>