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1260DB" w:rsidP="004D3364">
            <w:pPr>
              <w:pStyle w:val="00bDBInfo"/>
            </w:pPr>
            <w:r>
              <w:t>1</w:t>
            </w:r>
            <w:r w:rsidR="004D3364">
              <w:t>8</w:t>
            </w:r>
            <w:r>
              <w:t xml:space="preserve"> December</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Pr="00BD3046" w:rsidRDefault="00AE627C" w:rsidP="00C000A5">
            <w:pPr>
              <w:pStyle w:val="01aDBTitle"/>
              <w:rPr>
                <w:sz w:val="36"/>
                <w:szCs w:val="36"/>
              </w:rPr>
            </w:pPr>
            <w:r w:rsidRPr="00BD3046">
              <w:rPr>
                <w:sz w:val="36"/>
                <w:szCs w:val="36"/>
              </w:rPr>
              <w:t>Reply form</w:t>
            </w:r>
            <w:r w:rsidR="00B835D5" w:rsidRPr="00BD3046">
              <w:rPr>
                <w:sz w:val="36"/>
                <w:szCs w:val="36"/>
              </w:rPr>
              <w:t xml:space="preserve"> </w:t>
            </w:r>
            <w:r w:rsidR="0043173B" w:rsidRPr="00BD3046">
              <w:rPr>
                <w:sz w:val="36"/>
                <w:szCs w:val="36"/>
              </w:rPr>
              <w:t>for</w:t>
            </w:r>
            <w:r w:rsidR="00027ECF" w:rsidRPr="00BD3046">
              <w:rPr>
                <w:sz w:val="36"/>
                <w:szCs w:val="36"/>
              </w:rPr>
              <w:t xml:space="preserve"> the </w:t>
            </w:r>
          </w:p>
          <w:p w:rsidR="00791EB4" w:rsidRPr="00E679BA" w:rsidRDefault="00BD3046" w:rsidP="00C000A5">
            <w:pPr>
              <w:pStyle w:val="01aDBTitle"/>
            </w:pPr>
            <w:r w:rsidRPr="00BD3046">
              <w:rPr>
                <w:sz w:val="36"/>
                <w:szCs w:val="36"/>
              </w:rPr>
              <w:t>Technical Standards under the CSD Regulation</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1260DB" w:rsidRDefault="00620D7C" w:rsidP="001260DB">
            <w:pPr>
              <w:pStyle w:val="02Date"/>
            </w:pPr>
            <w:r w:rsidRPr="001260DB">
              <w:lastRenderedPageBreak/>
              <w:t xml:space="preserve">Date: </w:t>
            </w:r>
            <w:r w:rsidR="004D3364">
              <w:t>18</w:t>
            </w:r>
            <w:r w:rsidR="001260DB">
              <w:t xml:space="preserve"> December</w:t>
            </w:r>
            <w:r w:rsidR="002B354F" w:rsidRPr="001260DB">
              <w:t xml:space="preserve"> </w:t>
            </w:r>
            <w:r w:rsidR="00486C17" w:rsidRPr="001260DB">
              <w:t>201</w:t>
            </w:r>
            <w:r w:rsidR="006F57F2" w:rsidRPr="001260DB">
              <w:t>4</w:t>
            </w:r>
          </w:p>
        </w:tc>
      </w:tr>
    </w:tbl>
    <w:p w:rsidR="0088244C" w:rsidRDefault="0088244C" w:rsidP="00F574D0">
      <w:pPr>
        <w:pStyle w:val="05HeadlinenoIndex"/>
      </w:pPr>
      <w:bookmarkStart w:id="0" w:name="_Toc280628648"/>
    </w:p>
    <w:p w:rsidR="00F574D0" w:rsidRPr="00295156" w:rsidRDefault="0088244C" w:rsidP="00F574D0">
      <w:pPr>
        <w:pStyle w:val="05HeadlinenoIndex"/>
        <w:rPr>
          <w:sz w:val="20"/>
          <w:szCs w:val="20"/>
        </w:rPr>
      </w:pPr>
      <w:r w:rsidRPr="00295156">
        <w:rPr>
          <w:sz w:val="20"/>
          <w:szCs w:val="20"/>
        </w:rPr>
        <w:br w:type="page"/>
      </w:r>
      <w:r w:rsidR="00F574D0" w:rsidRPr="00295156">
        <w:rPr>
          <w:sz w:val="20"/>
          <w:szCs w:val="20"/>
        </w:rPr>
        <w:lastRenderedPageBreak/>
        <w:t xml:space="preserve">Responding to this paper </w:t>
      </w:r>
    </w:p>
    <w:p w:rsidR="00F574D0" w:rsidRPr="00295156" w:rsidRDefault="00F574D0" w:rsidP="00F574D0">
      <w:pPr>
        <w:pStyle w:val="04BodyText"/>
        <w:spacing w:before="120" w:after="120"/>
        <w:rPr>
          <w:szCs w:val="20"/>
        </w:rPr>
      </w:pPr>
      <w:r w:rsidRPr="00295156">
        <w:rPr>
          <w:szCs w:val="20"/>
        </w:rPr>
        <w:t xml:space="preserve">The European Securities and Markets Authority (ESMA) invites responses to the specific questions listed in the ESMA </w:t>
      </w:r>
      <w:r w:rsidR="0060674A" w:rsidRPr="00295156">
        <w:rPr>
          <w:szCs w:val="20"/>
        </w:rPr>
        <w:t xml:space="preserve">Consultation Paper - </w:t>
      </w:r>
      <w:r w:rsidR="00390F5E" w:rsidRPr="00295156">
        <w:rPr>
          <w:szCs w:val="20"/>
        </w:rPr>
        <w:t>Technical Standards under the CSD Regulation</w:t>
      </w:r>
      <w:r w:rsidR="00015B5E" w:rsidRPr="00295156">
        <w:rPr>
          <w:szCs w:val="20"/>
        </w:rPr>
        <w:t>, published on the ESMA website</w:t>
      </w:r>
      <w:r w:rsidR="00330386">
        <w:rPr>
          <w:szCs w:val="20"/>
        </w:rPr>
        <w:t>.</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r w:rsidRPr="00295156">
        <w:rPr>
          <w:rFonts w:cs="Georgia"/>
          <w:b/>
          <w:bCs/>
          <w:i/>
          <w:color w:val="000000"/>
          <w:sz w:val="20"/>
          <w:szCs w:val="20"/>
          <w:lang w:eastAsia="en-GB"/>
        </w:rPr>
        <w:t>Instructions</w:t>
      </w:r>
    </w:p>
    <w:p w:rsidR="00F574D0" w:rsidRPr="00295156" w:rsidRDefault="00D75FEE" w:rsidP="00F574D0">
      <w:pPr>
        <w:pStyle w:val="04BodyText"/>
        <w:spacing w:before="120" w:after="120"/>
        <w:rPr>
          <w:szCs w:val="20"/>
        </w:rPr>
      </w:pPr>
      <w:r w:rsidRPr="00295156">
        <w:rPr>
          <w:szCs w:val="20"/>
        </w:rPr>
        <w:t>Please note that, in order to facilitate the analysis of the large number of responses expected, you are requested to use this file to send your response to ESMA so as to allow us to process it properly. Ther</w:t>
      </w:r>
      <w:r w:rsidRPr="00295156">
        <w:rPr>
          <w:szCs w:val="20"/>
        </w:rPr>
        <w:t>e</w:t>
      </w:r>
      <w:r w:rsidRPr="00295156">
        <w:rPr>
          <w:szCs w:val="20"/>
        </w:rPr>
        <w:t>fore, please follow the instructions described below</w:t>
      </w:r>
      <w:r w:rsidR="00F574D0" w:rsidRPr="00295156">
        <w:rPr>
          <w:szCs w:val="20"/>
        </w:rPr>
        <w:t>:</w:t>
      </w:r>
    </w:p>
    <w:p w:rsidR="00F574D0" w:rsidRPr="00295156" w:rsidRDefault="00F574D0" w:rsidP="00F574D0">
      <w:pPr>
        <w:pStyle w:val="04bList"/>
        <w:numPr>
          <w:ilvl w:val="0"/>
          <w:numId w:val="5"/>
        </w:numPr>
        <w:spacing w:before="120" w:after="120"/>
        <w:ind w:left="720"/>
        <w:rPr>
          <w:szCs w:val="20"/>
        </w:rPr>
      </w:pPr>
      <w:r w:rsidRPr="00295156">
        <w:rPr>
          <w:szCs w:val="20"/>
        </w:rPr>
        <w:t xml:space="preserve">use this </w:t>
      </w:r>
      <w:r w:rsidR="003F5C06" w:rsidRPr="00295156">
        <w:rPr>
          <w:szCs w:val="20"/>
        </w:rPr>
        <w:t>form</w:t>
      </w:r>
      <w:r w:rsidRPr="00295156">
        <w:rPr>
          <w:szCs w:val="20"/>
        </w:rPr>
        <w:t xml:space="preserve"> and send </w:t>
      </w:r>
      <w:r w:rsidR="00D75FEE" w:rsidRPr="00295156">
        <w:rPr>
          <w:szCs w:val="20"/>
        </w:rPr>
        <w:t>your</w:t>
      </w:r>
      <w:r w:rsidRPr="00295156">
        <w:rPr>
          <w:szCs w:val="20"/>
        </w:rPr>
        <w:t xml:space="preserve"> responses in </w:t>
      </w:r>
      <w:r w:rsidRPr="00295156">
        <w:rPr>
          <w:b/>
          <w:szCs w:val="20"/>
        </w:rPr>
        <w:t>Word format</w:t>
      </w:r>
      <w:r w:rsidRPr="00295156">
        <w:rPr>
          <w:szCs w:val="20"/>
        </w:rPr>
        <w:t>;</w:t>
      </w:r>
    </w:p>
    <w:p w:rsidR="00F574D0" w:rsidRPr="00295156" w:rsidRDefault="00D75FEE" w:rsidP="00F574D0">
      <w:pPr>
        <w:pStyle w:val="04bList"/>
        <w:numPr>
          <w:ilvl w:val="0"/>
          <w:numId w:val="5"/>
        </w:numPr>
        <w:spacing w:before="120" w:after="120"/>
        <w:ind w:left="720"/>
        <w:rPr>
          <w:szCs w:val="20"/>
        </w:rPr>
      </w:pPr>
      <w:r w:rsidRPr="00295156">
        <w:rPr>
          <w:szCs w:val="20"/>
        </w:rPr>
        <w:t xml:space="preserve">do </w:t>
      </w:r>
      <w:r w:rsidR="00F574D0" w:rsidRPr="00295156">
        <w:rPr>
          <w:szCs w:val="20"/>
        </w:rPr>
        <w:t>not remove the tags of type &lt;ESMA_QUESTION_</w:t>
      </w:r>
      <w:r w:rsidR="00C8677B" w:rsidRPr="00295156">
        <w:rPr>
          <w:szCs w:val="20"/>
        </w:rPr>
        <w:t>T</w:t>
      </w:r>
      <w:r w:rsidR="00390F5E" w:rsidRPr="00295156">
        <w:rPr>
          <w:szCs w:val="20"/>
        </w:rPr>
        <w:t>S</w:t>
      </w:r>
      <w:r w:rsidR="00A35728" w:rsidRPr="00295156">
        <w:rPr>
          <w:szCs w:val="20"/>
        </w:rPr>
        <w:t>_CSDR</w:t>
      </w:r>
      <w:r w:rsidR="00E9344E" w:rsidRPr="00295156">
        <w:rPr>
          <w:szCs w:val="20"/>
        </w:rPr>
        <w:t>_</w:t>
      </w:r>
      <w:r w:rsidR="00F574D0" w:rsidRPr="00295156">
        <w:rPr>
          <w:szCs w:val="20"/>
        </w:rPr>
        <w:t>1&gt; - i.e. the response to one question has to be framed by the 2 tags corresponding to the question; and</w:t>
      </w:r>
    </w:p>
    <w:p w:rsidR="00F574D0" w:rsidRPr="00295156" w:rsidRDefault="00F574D0" w:rsidP="00F574D0">
      <w:pPr>
        <w:pStyle w:val="04bList"/>
        <w:numPr>
          <w:ilvl w:val="0"/>
          <w:numId w:val="5"/>
        </w:numPr>
        <w:spacing w:before="120" w:after="120"/>
        <w:ind w:left="720"/>
        <w:rPr>
          <w:szCs w:val="20"/>
        </w:rPr>
      </w:pPr>
      <w:r w:rsidRPr="00295156">
        <w:rPr>
          <w:szCs w:val="20"/>
        </w:rPr>
        <w:t xml:space="preserve">if </w:t>
      </w:r>
      <w:r w:rsidR="00D75FEE" w:rsidRPr="00295156">
        <w:rPr>
          <w:szCs w:val="20"/>
        </w:rPr>
        <w:t>you do not have a</w:t>
      </w:r>
      <w:r w:rsidRPr="00295156">
        <w:rPr>
          <w:szCs w:val="20"/>
        </w:rPr>
        <w:t xml:space="preserve"> response to a question, </w:t>
      </w:r>
      <w:r w:rsidR="00D75FEE" w:rsidRPr="00295156">
        <w:rPr>
          <w:szCs w:val="20"/>
        </w:rPr>
        <w:t xml:space="preserve">do </w:t>
      </w:r>
      <w:r w:rsidRPr="00295156">
        <w:rPr>
          <w:szCs w:val="20"/>
        </w:rPr>
        <w:t>not delete it and leave the text “TYPE YOUR TEXT HERE” between the tags.</w:t>
      </w:r>
    </w:p>
    <w:p w:rsidR="00F574D0" w:rsidRPr="00295156" w:rsidRDefault="00F574D0" w:rsidP="00F574D0">
      <w:pPr>
        <w:pStyle w:val="04bList"/>
        <w:numPr>
          <w:ilvl w:val="0"/>
          <w:numId w:val="0"/>
        </w:numPr>
        <w:spacing w:before="120" w:after="120"/>
        <w:rPr>
          <w:szCs w:val="20"/>
        </w:rPr>
      </w:pPr>
      <w:r w:rsidRPr="00295156">
        <w:rPr>
          <w:szCs w:val="20"/>
        </w:rPr>
        <w:t>Responses are most helpful:</w:t>
      </w:r>
    </w:p>
    <w:p w:rsidR="00F574D0" w:rsidRPr="00295156" w:rsidRDefault="00F574D0" w:rsidP="002067BA">
      <w:pPr>
        <w:pStyle w:val="04bList"/>
        <w:numPr>
          <w:ilvl w:val="0"/>
          <w:numId w:val="33"/>
        </w:numPr>
        <w:spacing w:before="120" w:after="120"/>
        <w:rPr>
          <w:szCs w:val="20"/>
        </w:rPr>
      </w:pPr>
      <w:r w:rsidRPr="00295156">
        <w:rPr>
          <w:szCs w:val="20"/>
        </w:rPr>
        <w:t>if they respond to the question stated;</w:t>
      </w:r>
    </w:p>
    <w:p w:rsidR="00F574D0" w:rsidRPr="00295156" w:rsidRDefault="00F574D0" w:rsidP="002067BA">
      <w:pPr>
        <w:pStyle w:val="04bList"/>
        <w:numPr>
          <w:ilvl w:val="0"/>
          <w:numId w:val="33"/>
        </w:numPr>
        <w:spacing w:before="120" w:after="120"/>
        <w:rPr>
          <w:szCs w:val="20"/>
        </w:rPr>
      </w:pPr>
      <w:r w:rsidRPr="00295156">
        <w:rPr>
          <w:szCs w:val="20"/>
        </w:rPr>
        <w:t>contain a clear rationale, including on any related costs and benefits; and</w:t>
      </w:r>
    </w:p>
    <w:p w:rsidR="00A35728" w:rsidRPr="00295156" w:rsidRDefault="00F574D0" w:rsidP="000D17AA">
      <w:pPr>
        <w:pStyle w:val="04bList"/>
        <w:numPr>
          <w:ilvl w:val="0"/>
          <w:numId w:val="33"/>
        </w:numPr>
        <w:spacing w:before="120" w:after="120"/>
        <w:rPr>
          <w:szCs w:val="20"/>
        </w:rPr>
      </w:pPr>
      <w:r w:rsidRPr="00295156">
        <w:rPr>
          <w:szCs w:val="20"/>
        </w:rPr>
        <w:t>describe any alternatives that ESMA should consider</w:t>
      </w:r>
    </w:p>
    <w:p w:rsidR="000D17AA" w:rsidRPr="00295156" w:rsidRDefault="000D17AA" w:rsidP="000D17AA">
      <w:pPr>
        <w:pStyle w:val="04BodyText"/>
        <w:spacing w:before="120" w:after="120"/>
        <w:jc w:val="left"/>
        <w:rPr>
          <w:b/>
          <w:szCs w:val="20"/>
        </w:rPr>
      </w:pPr>
      <w:r w:rsidRPr="00295156">
        <w:rPr>
          <w:b/>
          <w:szCs w:val="20"/>
        </w:rPr>
        <w:t>Naming protocol:</w:t>
      </w:r>
    </w:p>
    <w:p w:rsidR="000D17AA" w:rsidRPr="00295156" w:rsidRDefault="000D17AA" w:rsidP="000D17AA">
      <w:pPr>
        <w:pStyle w:val="04BodyText"/>
        <w:spacing w:before="120" w:after="120"/>
        <w:jc w:val="left"/>
        <w:rPr>
          <w:szCs w:val="20"/>
        </w:rPr>
      </w:pPr>
      <w:r w:rsidRPr="00295156">
        <w:rPr>
          <w:szCs w:val="20"/>
        </w:rPr>
        <w:t>In order to facilitate the handling of stakeholders responses please save your document using the follo</w:t>
      </w:r>
      <w:r w:rsidRPr="00295156">
        <w:rPr>
          <w:szCs w:val="20"/>
        </w:rPr>
        <w:t>w</w:t>
      </w:r>
      <w:r w:rsidRPr="00295156">
        <w:rPr>
          <w:szCs w:val="20"/>
        </w:rPr>
        <w:t>ing format:</w:t>
      </w:r>
    </w:p>
    <w:p w:rsidR="000D17AA" w:rsidRPr="00295156" w:rsidRDefault="000D17AA" w:rsidP="000D17AA">
      <w:pPr>
        <w:pStyle w:val="04BodyText"/>
        <w:spacing w:before="120" w:after="120"/>
        <w:jc w:val="left"/>
        <w:rPr>
          <w:szCs w:val="20"/>
        </w:rPr>
      </w:pPr>
      <w:r w:rsidRPr="00295156">
        <w:rPr>
          <w:szCs w:val="20"/>
        </w:rPr>
        <w:t>ESMA_ TA_CSDR _NAMEOFCOMPANY_NAMEOFDOCUMENT.</w:t>
      </w:r>
    </w:p>
    <w:p w:rsidR="000D17AA" w:rsidRPr="00295156" w:rsidRDefault="000D17AA" w:rsidP="000D17AA">
      <w:pPr>
        <w:pStyle w:val="04BodyText"/>
        <w:spacing w:before="120" w:after="120"/>
        <w:jc w:val="left"/>
        <w:rPr>
          <w:szCs w:val="20"/>
        </w:rPr>
      </w:pPr>
      <w:r w:rsidRPr="00295156">
        <w:rPr>
          <w:szCs w:val="20"/>
        </w:rPr>
        <w:t>E.g. if the respondent were ESMA, the name of the reply form would be E</w:t>
      </w:r>
      <w:r w:rsidRPr="00295156">
        <w:rPr>
          <w:szCs w:val="20"/>
        </w:rPr>
        <w:t>S</w:t>
      </w:r>
      <w:r w:rsidRPr="00295156">
        <w:rPr>
          <w:szCs w:val="20"/>
        </w:rPr>
        <w:t>MA_T</w:t>
      </w:r>
      <w:r w:rsidR="00390F5E" w:rsidRPr="00295156">
        <w:rPr>
          <w:szCs w:val="20"/>
        </w:rPr>
        <w:t>S</w:t>
      </w:r>
      <w:r w:rsidRPr="00295156">
        <w:rPr>
          <w:szCs w:val="20"/>
        </w:rPr>
        <w:t>_CSDR</w:t>
      </w:r>
      <w:r w:rsidR="00390F5E" w:rsidRPr="00295156">
        <w:rPr>
          <w:szCs w:val="20"/>
        </w:rPr>
        <w:t>_AIXX</w:t>
      </w:r>
      <w:r w:rsidRPr="00295156">
        <w:rPr>
          <w:szCs w:val="20"/>
        </w:rPr>
        <w:t>_REPLYFORM or ESMA_</w:t>
      </w:r>
      <w:r w:rsidR="00390F5E" w:rsidRPr="00295156">
        <w:rPr>
          <w:szCs w:val="20"/>
        </w:rPr>
        <w:t>CE_TS_CSDR_AIXX</w:t>
      </w:r>
      <w:r w:rsidRPr="00295156">
        <w:rPr>
          <w:szCs w:val="20"/>
        </w:rPr>
        <w:t>_ANNEX1</w:t>
      </w:r>
    </w:p>
    <w:p w:rsidR="00F574D0" w:rsidRPr="00295156" w:rsidRDefault="00F574D0" w:rsidP="00F574D0">
      <w:pPr>
        <w:pStyle w:val="04BodyText"/>
        <w:spacing w:before="120" w:after="120"/>
        <w:rPr>
          <w:szCs w:val="20"/>
        </w:rPr>
      </w:pPr>
      <w:r w:rsidRPr="00295156">
        <w:rPr>
          <w:szCs w:val="20"/>
        </w:rPr>
        <w:t xml:space="preserve">Responses must reach us </w:t>
      </w:r>
      <w:r w:rsidRPr="007F4106">
        <w:rPr>
          <w:szCs w:val="20"/>
        </w:rPr>
        <w:t xml:space="preserve">by </w:t>
      </w:r>
      <w:r w:rsidR="007F4106" w:rsidRPr="007F4106">
        <w:rPr>
          <w:b/>
          <w:szCs w:val="20"/>
        </w:rPr>
        <w:t>19</w:t>
      </w:r>
      <w:r w:rsidR="00D43F14" w:rsidRPr="007F4106">
        <w:rPr>
          <w:b/>
          <w:szCs w:val="20"/>
        </w:rPr>
        <w:t xml:space="preserve"> </w:t>
      </w:r>
      <w:r w:rsidR="007F4106" w:rsidRPr="007F4106">
        <w:rPr>
          <w:b/>
          <w:szCs w:val="20"/>
        </w:rPr>
        <w:t>February</w:t>
      </w:r>
      <w:r w:rsidR="00D43F14" w:rsidRPr="007F4106">
        <w:rPr>
          <w:b/>
          <w:szCs w:val="20"/>
        </w:rPr>
        <w:t xml:space="preserve"> </w:t>
      </w:r>
      <w:r w:rsidRPr="007F4106">
        <w:rPr>
          <w:b/>
          <w:szCs w:val="20"/>
        </w:rPr>
        <w:t>201</w:t>
      </w:r>
      <w:r w:rsidR="007F4106" w:rsidRPr="007F4106">
        <w:rPr>
          <w:b/>
          <w:szCs w:val="20"/>
        </w:rPr>
        <w:t>5</w:t>
      </w:r>
      <w:r w:rsidRPr="007F4106">
        <w:rPr>
          <w:szCs w:val="20"/>
        </w:rPr>
        <w:t>.</w:t>
      </w:r>
      <w:r w:rsidRPr="00295156">
        <w:rPr>
          <w:szCs w:val="20"/>
        </w:rPr>
        <w:t xml:space="preserve"> </w:t>
      </w:r>
    </w:p>
    <w:p w:rsidR="00F574D0" w:rsidRPr="00295156" w:rsidRDefault="00F574D0" w:rsidP="00F574D0">
      <w:pPr>
        <w:pStyle w:val="04BodyText"/>
        <w:spacing w:before="120" w:after="120"/>
        <w:rPr>
          <w:szCs w:val="20"/>
        </w:rPr>
      </w:pPr>
      <w:r w:rsidRPr="00295156">
        <w:rPr>
          <w:szCs w:val="20"/>
        </w:rPr>
        <w:t xml:space="preserve">All contributions should be submitted online at </w:t>
      </w:r>
      <w:hyperlink r:id="rId13" w:history="1">
        <w:r w:rsidRPr="00295156">
          <w:rPr>
            <w:rStyle w:val="Hyperlink"/>
            <w:szCs w:val="20"/>
          </w:rPr>
          <w:t>www.esma.europa.eu</w:t>
        </w:r>
      </w:hyperlink>
      <w:r w:rsidRPr="00295156">
        <w:rPr>
          <w:szCs w:val="20"/>
        </w:rPr>
        <w:t xml:space="preserve"> under the heading ‘Your i</w:t>
      </w:r>
      <w:r w:rsidRPr="00295156">
        <w:rPr>
          <w:szCs w:val="20"/>
        </w:rPr>
        <w:t>n</w:t>
      </w:r>
      <w:r w:rsidRPr="00295156">
        <w:rPr>
          <w:szCs w:val="20"/>
        </w:rPr>
        <w:t xml:space="preserve">put/Consultations’. </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bookmarkStart w:id="1" w:name="_Toc335141334"/>
      <w:r w:rsidRPr="00295156">
        <w:rPr>
          <w:rFonts w:cs="Georgia"/>
          <w:b/>
          <w:bCs/>
          <w:i/>
          <w:color w:val="000000"/>
          <w:sz w:val="20"/>
          <w:szCs w:val="20"/>
          <w:lang w:eastAsia="en-GB"/>
        </w:rPr>
        <w:t>Publication of responses</w:t>
      </w:r>
      <w:bookmarkEnd w:id="1"/>
    </w:p>
    <w:p w:rsidR="00F574D0" w:rsidRPr="00295156" w:rsidRDefault="00F574D0" w:rsidP="00F574D0">
      <w:pPr>
        <w:pStyle w:val="04BodyText"/>
        <w:spacing w:before="120" w:after="120"/>
        <w:rPr>
          <w:szCs w:val="20"/>
        </w:rPr>
      </w:pPr>
      <w:r w:rsidRPr="00295156">
        <w:rPr>
          <w:szCs w:val="20"/>
        </w:rPr>
        <w:t xml:space="preserve">All contributions received will be published following the end of the consultation period, unless otherwise requested. </w:t>
      </w:r>
      <w:r w:rsidRPr="00295156">
        <w:rPr>
          <w:b/>
          <w:szCs w:val="20"/>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295156">
        <w:rPr>
          <w:szCs w:val="20"/>
        </w:rPr>
        <w:t xml:space="preserve"> Note also that a confidential response may be requested from us in accordance with ESMA’s rules on access to doc</w:t>
      </w:r>
      <w:r w:rsidRPr="00295156">
        <w:rPr>
          <w:szCs w:val="20"/>
        </w:rPr>
        <w:t>u</w:t>
      </w:r>
      <w:r w:rsidRPr="00295156">
        <w:rPr>
          <w:szCs w:val="20"/>
        </w:rPr>
        <w:t>ments. We may consult you if we receive such a request. Any decision we make is reviewable by ESMA’s Board of Appeal and the European Ombudsman.</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bookmarkStart w:id="2" w:name="_Toc335141335"/>
      <w:r w:rsidRPr="00295156">
        <w:rPr>
          <w:rFonts w:cs="Georgia"/>
          <w:b/>
          <w:bCs/>
          <w:i/>
          <w:color w:val="000000"/>
          <w:sz w:val="20"/>
          <w:szCs w:val="20"/>
          <w:lang w:eastAsia="en-GB"/>
        </w:rPr>
        <w:t>Data protection</w:t>
      </w:r>
      <w:bookmarkEnd w:id="2"/>
    </w:p>
    <w:p w:rsidR="00F574D0" w:rsidRPr="00295156" w:rsidRDefault="00F574D0" w:rsidP="00F574D0">
      <w:pPr>
        <w:autoSpaceDE w:val="0"/>
        <w:autoSpaceDN w:val="0"/>
        <w:adjustRightInd w:val="0"/>
        <w:spacing w:before="120" w:after="120" w:line="276" w:lineRule="auto"/>
        <w:jc w:val="both"/>
        <w:rPr>
          <w:sz w:val="20"/>
          <w:szCs w:val="20"/>
        </w:rPr>
      </w:pPr>
      <w:r w:rsidRPr="00295156">
        <w:rPr>
          <w:sz w:val="20"/>
          <w:szCs w:val="20"/>
        </w:rPr>
        <w:t xml:space="preserve">Information on data protection can be found at </w:t>
      </w:r>
      <w:hyperlink r:id="rId14" w:history="1">
        <w:r w:rsidRPr="00295156">
          <w:rPr>
            <w:rStyle w:val="Hyperlink"/>
            <w:sz w:val="20"/>
            <w:szCs w:val="20"/>
          </w:rPr>
          <w:t>www.esma.europa.eu</w:t>
        </w:r>
      </w:hyperlink>
      <w:r w:rsidRPr="00295156">
        <w:rPr>
          <w:sz w:val="20"/>
          <w:szCs w:val="20"/>
        </w:rPr>
        <w:t xml:space="preserve"> under the heading ‘Disclaimer’.</w:t>
      </w:r>
    </w:p>
    <w:bookmarkEnd w:id="0"/>
    <w:p w:rsidR="00473916" w:rsidRDefault="00473916" w:rsidP="00473916"/>
    <w:p w:rsidR="00473916" w:rsidRPr="00473916" w:rsidRDefault="00473916" w:rsidP="00473916"/>
    <w:p w:rsidR="00473916" w:rsidRPr="0026621B" w:rsidRDefault="00473916" w:rsidP="00473916">
      <w:pPr>
        <w:pStyle w:val="Heading1"/>
        <w:numPr>
          <w:ilvl w:val="0"/>
          <w:numId w:val="0"/>
        </w:numPr>
        <w:rPr>
          <w:sz w:val="22"/>
          <w:szCs w:val="22"/>
        </w:rPr>
      </w:pPr>
      <w:r w:rsidRPr="0026621B">
        <w:rPr>
          <w:sz w:val="22"/>
          <w:szCs w:val="22"/>
        </w:rPr>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473916" w:rsidRPr="0026621B" w:rsidTr="008127AB">
        <w:tc>
          <w:tcPr>
            <w:tcW w:w="3510" w:type="dxa"/>
          </w:tcPr>
          <w:p w:rsidR="00473916" w:rsidRPr="0026621B" w:rsidRDefault="00473916" w:rsidP="008127AB">
            <w:pPr>
              <w:rPr>
                <w:rFonts w:cs="Arial"/>
                <w:szCs w:val="22"/>
              </w:rPr>
            </w:pPr>
            <w:r w:rsidRPr="0026621B">
              <w:rPr>
                <w:rFonts w:cs="Arial"/>
                <w:szCs w:val="22"/>
              </w:rPr>
              <w:t>Are you representing an associ</w:t>
            </w:r>
            <w:r w:rsidRPr="0026621B">
              <w:rPr>
                <w:rFonts w:cs="Arial"/>
                <w:szCs w:val="22"/>
              </w:rPr>
              <w:t>a</w:t>
            </w:r>
            <w:r w:rsidRPr="0026621B">
              <w:rPr>
                <w:rFonts w:cs="Arial"/>
                <w:szCs w:val="22"/>
              </w:rPr>
              <w:t>tion?</w:t>
            </w:r>
          </w:p>
        </w:tc>
        <w:tc>
          <w:tcPr>
            <w:tcW w:w="6118" w:type="dxa"/>
          </w:tcPr>
          <w:p w:rsidR="00473916" w:rsidRPr="0026621B" w:rsidRDefault="00D41FC9" w:rsidP="008127AB">
            <w:pPr>
              <w:rPr>
                <w:rFonts w:cs="Arial"/>
                <w:szCs w:val="22"/>
              </w:rPr>
            </w:pPr>
            <w:sdt>
              <w:sdtPr>
                <w:rPr>
                  <w:rFonts w:cs="Arial"/>
                  <w:szCs w:val="22"/>
                </w:rPr>
                <w:alias w:val="Association"/>
                <w:tag w:val="Association"/>
                <w:id w:val="-1769143793"/>
                <w:placeholder>
                  <w:docPart w:val="65E85BD11FA34C35ABE725446C5BAEC5"/>
                </w:placeholder>
                <w:comboBox>
                  <w:listItem w:displayText="Yes" w:value="Yes"/>
                  <w:listItem w:displayText="No" w:value="No"/>
                </w:comboBox>
              </w:sdtPr>
              <w:sdtEndPr/>
              <w:sdtContent>
                <w:permStart w:id="1951551535" w:edGrp="everyone"/>
                <w:r w:rsidR="0087754C">
                  <w:rPr>
                    <w:rFonts w:cs="Arial"/>
                    <w:szCs w:val="22"/>
                  </w:rPr>
                  <w:t>Yes</w:t>
                </w:r>
                <w:permEnd w:id="1951551535"/>
              </w:sdtContent>
            </w:sdt>
          </w:p>
        </w:tc>
      </w:tr>
      <w:tr w:rsidR="00473916" w:rsidRPr="0026621B" w:rsidTr="008127AB">
        <w:tc>
          <w:tcPr>
            <w:tcW w:w="3510" w:type="dxa"/>
          </w:tcPr>
          <w:p w:rsidR="00473916" w:rsidRPr="0026621B" w:rsidRDefault="00473916" w:rsidP="008127AB">
            <w:pPr>
              <w:rPr>
                <w:rFonts w:cs="Arial"/>
                <w:szCs w:val="22"/>
              </w:rPr>
            </w:pPr>
            <w:r w:rsidRPr="0026621B">
              <w:rPr>
                <w:rFonts w:cs="Arial"/>
                <w:szCs w:val="22"/>
              </w:rPr>
              <w:t>Activity:</w:t>
            </w:r>
          </w:p>
        </w:tc>
        <w:tc>
          <w:tcPr>
            <w:tcW w:w="6118" w:type="dxa"/>
          </w:tcPr>
          <w:p w:rsidR="00473916" w:rsidRPr="0026621B" w:rsidRDefault="00D41FC9" w:rsidP="008127AB">
            <w:pPr>
              <w:rPr>
                <w:rFonts w:cs="Arial"/>
                <w:szCs w:val="22"/>
              </w:rPr>
            </w:pPr>
            <w:sdt>
              <w:sdtPr>
                <w:rPr>
                  <w:rFonts w:cs="Arial"/>
                  <w:szCs w:val="22"/>
                </w:rPr>
                <w:alias w:val="Activity"/>
                <w:tag w:val="Activity"/>
                <w:id w:val="1654095920"/>
                <w:placeholder>
                  <w:docPart w:val="98048A7DD8DF4A6B8C6CF00D9B1940F8"/>
                </w:placeholder>
                <w:comboBox>
                  <w:listItem w:value="Choose an item."/>
                  <w:listItem w:displayText="Central Securities Depository" w:value="Central Securities Depository"/>
                  <w:listItem w:displayText="Central Counterparty" w:value="Central Counterparty"/>
                  <w:listItem w:displayText="Government, Regulatory and Enforcement" w:value="Government, Regulatory and Enforcement"/>
                  <w:listItem w:displayText="Investment Firm" w:value="Investment Firm"/>
                  <w:listItem w:displayText="Credit Institution" w:value="Credit Institution"/>
                  <w:listItem w:displayText="Fund/Investment Company" w:value="Fund/Investment Company"/>
                  <w:listItem w:displayText="Trading Venue" w:value="Trading Venue"/>
                  <w:listItem w:displayText="Service Provider" w:value="Service Provider"/>
                  <w:listItem w:displayText="Issuer" w:value="Issuer"/>
                  <w:listItem w:displayText="Professional Advisor" w:value="Professional Advisor"/>
                  <w:listItem w:displayText="Other" w:value="Other"/>
                </w:comboBox>
              </w:sdtPr>
              <w:sdtEndPr/>
              <w:sdtContent>
                <w:permStart w:id="2055219889" w:edGrp="everyone"/>
                <w:r w:rsidR="0087754C">
                  <w:rPr>
                    <w:rFonts w:cs="Arial"/>
                    <w:szCs w:val="22"/>
                  </w:rPr>
                  <w:t>Issuer</w:t>
                </w:r>
                <w:permEnd w:id="2055219889"/>
              </w:sdtContent>
            </w:sdt>
          </w:p>
        </w:tc>
      </w:tr>
      <w:tr w:rsidR="00473916" w:rsidRPr="0026621B" w:rsidTr="008127AB">
        <w:tc>
          <w:tcPr>
            <w:tcW w:w="3510" w:type="dxa"/>
          </w:tcPr>
          <w:p w:rsidR="00473916" w:rsidRPr="0026621B" w:rsidRDefault="00473916" w:rsidP="008127AB">
            <w:pPr>
              <w:rPr>
                <w:rFonts w:cs="Arial"/>
                <w:szCs w:val="22"/>
              </w:rPr>
            </w:pPr>
            <w:r w:rsidRPr="0026621B">
              <w:rPr>
                <w:rFonts w:cs="Arial"/>
                <w:szCs w:val="22"/>
              </w:rPr>
              <w:t>Country/Region</w:t>
            </w:r>
          </w:p>
        </w:tc>
        <w:sdt>
          <w:sdtPr>
            <w:rPr>
              <w:rFonts w:cs="Arial"/>
              <w:szCs w:val="22"/>
            </w:rPr>
            <w:alias w:val="Country"/>
            <w:tag w:val="Country"/>
            <w:id w:val="-1549134410"/>
            <w:placeholder>
              <w:docPart w:val="5EAC301EA3224F67909AA00721C3F8B7"/>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360019298" w:edGrp="everyone" w:displacedByCustomXml="prev"/>
            <w:tc>
              <w:tcPr>
                <w:tcW w:w="6118" w:type="dxa"/>
              </w:tcPr>
              <w:p w:rsidR="00473916" w:rsidRPr="0026621B" w:rsidRDefault="0087754C" w:rsidP="008127AB">
                <w:pPr>
                  <w:rPr>
                    <w:rFonts w:cs="Arial"/>
                    <w:szCs w:val="22"/>
                  </w:rPr>
                </w:pPr>
                <w:r>
                  <w:rPr>
                    <w:rFonts w:cs="Arial"/>
                    <w:szCs w:val="22"/>
                  </w:rPr>
                  <w:t>UK</w:t>
                </w:r>
              </w:p>
            </w:tc>
            <w:permEnd w:id="1360019298" w:displacedByCustomXml="next"/>
          </w:sdtContent>
        </w:sdt>
      </w:tr>
    </w:tbl>
    <w:p w:rsidR="007F4106" w:rsidRDefault="007F4106">
      <w:pPr>
        <w:rPr>
          <w:b/>
        </w:rPr>
      </w:pPr>
      <w:r>
        <w:br w:type="page"/>
      </w:r>
    </w:p>
    <w:p w:rsidR="00D12AFD" w:rsidRDefault="00D12AFD" w:rsidP="00965B03">
      <w:pPr>
        <w:pStyle w:val="Heading5"/>
        <w:ind w:left="567" w:hanging="567"/>
      </w:pPr>
      <w:r w:rsidRPr="002C4F00">
        <w:lastRenderedPageBreak/>
        <w:t>Do you think the proposed timeframes for allocations and confirmations under Article 2 of the RTS on Settlement Discipline are adequate?</w:t>
      </w:r>
    </w:p>
    <w:p w:rsidR="00D12AFD" w:rsidRPr="002C4F00" w:rsidRDefault="00D12AFD" w:rsidP="00BA1DEE">
      <w:pPr>
        <w:pStyle w:val="Heading5"/>
        <w:numPr>
          <w:ilvl w:val="0"/>
          <w:numId w:val="0"/>
        </w:numPr>
        <w:ind w:left="567"/>
      </w:pPr>
      <w:r w:rsidRPr="002C4F00">
        <w:t>If not, what would be feasible timeframes in your opinion?</w:t>
      </w:r>
    </w:p>
    <w:p w:rsidR="00D12AFD" w:rsidRDefault="00D12AFD" w:rsidP="00BA1DEE">
      <w:pPr>
        <w:ind w:left="567"/>
      </w:pPr>
    </w:p>
    <w:p w:rsidR="00D12AFD" w:rsidRPr="002C4F00" w:rsidRDefault="00D12AFD" w:rsidP="00BA1DEE">
      <w:pPr>
        <w:pStyle w:val="Heading5"/>
        <w:numPr>
          <w:ilvl w:val="0"/>
          <w:numId w:val="0"/>
        </w:numPr>
        <w:ind w:left="567"/>
      </w:pPr>
      <w:r w:rsidRPr="002C4F00">
        <w:t>Please provide details and arguments in case you envisage any technical difficulties in complying with the proposed timeframes.</w:t>
      </w:r>
    </w:p>
    <w:p w:rsidR="00D12AFD" w:rsidRDefault="00D12AFD" w:rsidP="00D12AFD"/>
    <w:p w:rsidR="00D12AFD" w:rsidRDefault="00D12AFD" w:rsidP="00D12AFD">
      <w:r>
        <w:t>&lt;ESMA_QUESTION_TS_CSDR_1&gt;</w:t>
      </w:r>
    </w:p>
    <w:p w:rsidR="00D12AFD" w:rsidRDefault="00D12AFD" w:rsidP="00D12AFD">
      <w:permStart w:id="1380348573" w:edGrp="everyone"/>
      <w:r>
        <w:t>TYPE YOUR TEXT HERE</w:t>
      </w:r>
    </w:p>
    <w:permEnd w:id="1380348573"/>
    <w:p w:rsidR="00D12AFD" w:rsidRDefault="00D12AFD" w:rsidP="00D12AFD">
      <w:r>
        <w:t>&lt;ESMA_QUESTION_TS_CSDR_1&gt;</w:t>
      </w:r>
    </w:p>
    <w:p w:rsidR="00D12AFD" w:rsidRDefault="00D12AFD" w:rsidP="00B874B2">
      <w:pPr>
        <w:pStyle w:val="Heading5"/>
        <w:ind w:left="567" w:hanging="567"/>
        <w:rPr>
          <w:color w:val="000000"/>
          <w:lang w:eastAsia="en-GB"/>
        </w:rPr>
      </w:pPr>
      <w:r w:rsidRPr="002C4F00">
        <w:rPr>
          <w:color w:val="000000"/>
          <w:lang w:eastAsia="en-GB"/>
        </w:rPr>
        <w:t>Do you agree with the cases when matching would not be necessary, as specified under Article 3(2) of the draft RTS?</w:t>
      </w:r>
    </w:p>
    <w:p w:rsidR="00D12AFD" w:rsidRPr="00D12AFD" w:rsidRDefault="00D12AFD" w:rsidP="00BA1DEE">
      <w:pPr>
        <w:pStyle w:val="Heading5"/>
        <w:numPr>
          <w:ilvl w:val="0"/>
          <w:numId w:val="0"/>
        </w:numPr>
        <w:ind w:left="567"/>
        <w:rPr>
          <w:color w:val="000000"/>
          <w:lang w:eastAsia="en-GB"/>
        </w:rPr>
      </w:pPr>
      <w:r w:rsidRPr="00D12AFD">
        <w:rPr>
          <w:color w:val="000000"/>
          <w:lang w:eastAsia="en-GB"/>
        </w:rPr>
        <w:t>Should other cases be included? Please provide details and evidence for any pr</w:t>
      </w:r>
      <w:r w:rsidRPr="00D12AFD">
        <w:rPr>
          <w:color w:val="000000"/>
          <w:lang w:eastAsia="en-GB"/>
        </w:rPr>
        <w:t>o</w:t>
      </w:r>
      <w:r w:rsidRPr="00D12AFD">
        <w:rPr>
          <w:color w:val="000000"/>
          <w:lang w:eastAsia="en-GB"/>
        </w:rPr>
        <w:t>posed case.</w:t>
      </w:r>
    </w:p>
    <w:p w:rsidR="00D12AFD" w:rsidRDefault="00D12AFD" w:rsidP="00D12AFD"/>
    <w:p w:rsidR="00D12AFD" w:rsidRDefault="00D12AFD" w:rsidP="00D12AFD">
      <w:r>
        <w:t>&lt;ESMA_QUESTION_TS_CSDR_2&gt;</w:t>
      </w:r>
    </w:p>
    <w:p w:rsidR="00124278" w:rsidRDefault="00124278" w:rsidP="00124278">
      <w:permStart w:id="1728578969" w:edGrp="everyone"/>
      <w:r>
        <w:t>TYPE YOUR TEXT HERE</w:t>
      </w:r>
    </w:p>
    <w:permEnd w:id="1728578969"/>
    <w:p w:rsidR="00D12AFD" w:rsidRDefault="00D12AFD" w:rsidP="00D12AFD">
      <w:r>
        <w:t>&lt;ESMA_QUESTION_TS_CSDR_2&gt;</w:t>
      </w:r>
    </w:p>
    <w:p w:rsidR="00D12AFD" w:rsidRDefault="00D12AFD" w:rsidP="00965B03">
      <w:pPr>
        <w:pStyle w:val="Heading5"/>
        <w:ind w:left="567" w:hanging="567"/>
      </w:pPr>
      <w:r w:rsidRPr="002C4F00">
        <w:t xml:space="preserve">What are your views on the proposed approach under Article 3(11) of the draft RTS included in Chapter II of Annex I? </w:t>
      </w:r>
    </w:p>
    <w:p w:rsidR="00D12AFD" w:rsidRDefault="00D12AFD" w:rsidP="00BA1DEE">
      <w:pPr>
        <w:pStyle w:val="Heading5"/>
        <w:numPr>
          <w:ilvl w:val="0"/>
          <w:numId w:val="0"/>
        </w:numPr>
        <w:ind w:left="567"/>
      </w:pPr>
      <w:r w:rsidRPr="002C4F00">
        <w:t>Do you think that the 0.5% settlement fails threshold (i.e. 99.5% settlement efficiency rate) is adequate? If not, what would be an adequate threshold? Please provide d</w:t>
      </w:r>
      <w:r w:rsidRPr="002C4F00">
        <w:t>e</w:t>
      </w:r>
      <w:r w:rsidRPr="002C4F00">
        <w:t>tails and arguments.</w:t>
      </w:r>
    </w:p>
    <w:p w:rsidR="00D12AFD" w:rsidRPr="002C4F00" w:rsidRDefault="00D12AFD" w:rsidP="00BA1DEE">
      <w:pPr>
        <w:pStyle w:val="Heading5"/>
        <w:numPr>
          <w:ilvl w:val="0"/>
          <w:numId w:val="0"/>
        </w:numPr>
        <w:ind w:left="567"/>
      </w:pPr>
      <w:r w:rsidRPr="002C4F00">
        <w:t xml:space="preserve">Do you think that the 2,5 billion EUR/year in terms of the value of settlement </w:t>
      </w:r>
      <w:r w:rsidR="00851A83">
        <w:rPr>
          <w:rFonts w:cstheme="minorHAnsi"/>
          <w:szCs w:val="22"/>
        </w:rPr>
        <w:t>fails for a</w:t>
      </w:r>
      <w:r w:rsidR="00851A83" w:rsidRPr="00567AB7">
        <w:rPr>
          <w:rFonts w:cstheme="minorHAnsi"/>
          <w:szCs w:val="22"/>
        </w:rPr>
        <w:t xml:space="preserve"> securities settlement system operated</w:t>
      </w:r>
      <w:r w:rsidRPr="002C4F00">
        <w:t xml:space="preserve"> by a CSD is adequate? If not, what would be an adequate threshold? Please provide details and arguments.</w:t>
      </w:r>
    </w:p>
    <w:p w:rsidR="00D12AFD" w:rsidRDefault="00D12AFD" w:rsidP="00D12AFD"/>
    <w:p w:rsidR="00D12AFD" w:rsidRDefault="00D12AFD" w:rsidP="00D12AFD">
      <w:r>
        <w:t>&lt;ESMA_QUESTION_TS_CSDR_3&gt;</w:t>
      </w:r>
    </w:p>
    <w:p w:rsidR="00124278" w:rsidRDefault="00124278" w:rsidP="00124278">
      <w:permStart w:id="1272272923" w:edGrp="everyone"/>
      <w:r>
        <w:t>TYPE YOUR TEXT HERE</w:t>
      </w:r>
    </w:p>
    <w:permEnd w:id="1272272923"/>
    <w:p w:rsidR="00D12AFD" w:rsidRDefault="00D12AFD" w:rsidP="00D12AFD">
      <w:r>
        <w:t>&lt;ESMA_QUESTION_TS_CSDR_3&gt;</w:t>
      </w:r>
    </w:p>
    <w:p w:rsidR="00D12AFD" w:rsidRPr="002C4F00" w:rsidRDefault="00D12AFD" w:rsidP="00965B03">
      <w:pPr>
        <w:pStyle w:val="Heading5"/>
        <w:ind w:left="567" w:hanging="567"/>
      </w:pPr>
      <w:r w:rsidRPr="002C4F00">
        <w:t>What are your views on the proposed draft RTS included in Chapter II of Annex I?</w:t>
      </w:r>
    </w:p>
    <w:p w:rsidR="00D12AFD" w:rsidRDefault="00D12AFD" w:rsidP="00D12AFD"/>
    <w:p w:rsidR="00D12AFD" w:rsidRDefault="00D12AFD" w:rsidP="00D12AFD">
      <w:r>
        <w:t>&lt;ESMA_QUESTION_TS_CSDR_4&gt;</w:t>
      </w:r>
    </w:p>
    <w:p w:rsidR="00124278" w:rsidRDefault="00124278" w:rsidP="00124278">
      <w:permStart w:id="71328334" w:edGrp="everyone"/>
      <w:r>
        <w:t>TYPE YOUR TEXT HERE</w:t>
      </w:r>
    </w:p>
    <w:permEnd w:id="71328334"/>
    <w:p w:rsidR="00D12AFD" w:rsidRDefault="00D12AFD" w:rsidP="00D12AFD">
      <w:r>
        <w:t>&lt;ESMA_QUESTION_TS_CSDR_4&gt;</w:t>
      </w:r>
    </w:p>
    <w:p w:rsidR="00D12AFD" w:rsidRPr="002C4F00" w:rsidRDefault="00D12AFD" w:rsidP="00965B03">
      <w:pPr>
        <w:pStyle w:val="Heading5"/>
        <w:ind w:left="567" w:hanging="567"/>
      </w:pPr>
      <w:r>
        <w:t xml:space="preserve"> </w:t>
      </w:r>
      <w:r w:rsidRPr="00030F8D">
        <w:t>What are your views on the proposed draft RTS on the monitoring of settlement fails as included in Section 1 of Chapter III of Annex I?</w:t>
      </w:r>
    </w:p>
    <w:p w:rsidR="00D12AFD" w:rsidRDefault="00D12AFD" w:rsidP="00D12AFD"/>
    <w:p w:rsidR="00D12AFD" w:rsidRDefault="00D12AFD" w:rsidP="00D12AFD">
      <w:r>
        <w:t>&lt;ESMA_QUESTION_TS_CSDR_5&gt;</w:t>
      </w:r>
    </w:p>
    <w:p w:rsidR="00124278" w:rsidRDefault="00124278" w:rsidP="00124278">
      <w:permStart w:id="1544699873" w:edGrp="everyone"/>
      <w:r>
        <w:t>TYPE YOUR TEXT HERE</w:t>
      </w:r>
    </w:p>
    <w:permEnd w:id="1544699873"/>
    <w:p w:rsidR="00D12AFD" w:rsidRDefault="00D12AFD" w:rsidP="00D12AFD">
      <w:r>
        <w:t>&lt;ESMA_QUESTION_TS_CSDR_5&gt;</w:t>
      </w:r>
    </w:p>
    <w:p w:rsidR="00D12AFD" w:rsidRPr="002C4F00" w:rsidRDefault="00D12AFD" w:rsidP="00965B03">
      <w:pPr>
        <w:pStyle w:val="Heading5"/>
        <w:ind w:left="567" w:hanging="567"/>
      </w:pPr>
      <w:r w:rsidRPr="002C4F00">
        <w:lastRenderedPageBreak/>
        <w:t>What are your views on the proposed draft RTS related to the penalty mechanism? Do you agree that when CSDs use a common settlement infrastructure, the proc</w:t>
      </w:r>
      <w:r w:rsidRPr="002C4F00">
        <w:t>e</w:t>
      </w:r>
      <w:r w:rsidRPr="002C4F00">
        <w:t>dures for cash penalties should be jointly managed?</w:t>
      </w:r>
    </w:p>
    <w:p w:rsidR="00D12AFD" w:rsidRDefault="00D12AFD" w:rsidP="00D12AFD"/>
    <w:p w:rsidR="00D12AFD" w:rsidRDefault="00D12AFD" w:rsidP="00D12AFD">
      <w:r>
        <w:t>&lt;ESMA_QUESTION_TS_CSDR_6&gt;</w:t>
      </w:r>
    </w:p>
    <w:p w:rsidR="0087754C" w:rsidRDefault="0087754C" w:rsidP="0087754C">
      <w:pPr>
        <w:tabs>
          <w:tab w:val="right" w:pos="8931"/>
        </w:tabs>
        <w:jc w:val="both"/>
        <w:rPr>
          <w:rFonts w:cstheme="minorHAnsi"/>
          <w:szCs w:val="22"/>
        </w:rPr>
      </w:pPr>
      <w:permStart w:id="1518295338" w:edGrp="everyone"/>
      <w:r>
        <w:rPr>
          <w:rFonts w:cstheme="minorHAnsi"/>
          <w:szCs w:val="22"/>
        </w:rPr>
        <w:t xml:space="preserve">The AIC </w:t>
      </w:r>
      <w:r w:rsidRPr="00F56D4C">
        <w:rPr>
          <w:rFonts w:cstheme="minorHAnsi"/>
          <w:b/>
          <w:szCs w:val="22"/>
          <w:u w:val="single"/>
        </w:rPr>
        <w:t>recommends</w:t>
      </w:r>
      <w:r>
        <w:rPr>
          <w:rFonts w:cstheme="minorHAnsi"/>
          <w:szCs w:val="22"/>
        </w:rPr>
        <w:t xml:space="preserve"> that the penalty system should take account of the liquidity of the instr</w:t>
      </w:r>
      <w:r>
        <w:rPr>
          <w:rFonts w:cstheme="minorHAnsi"/>
          <w:szCs w:val="22"/>
        </w:rPr>
        <w:t>u</w:t>
      </w:r>
      <w:r>
        <w:rPr>
          <w:rFonts w:cstheme="minorHAnsi"/>
          <w:szCs w:val="22"/>
        </w:rPr>
        <w:t xml:space="preserve">ment concerned.  </w:t>
      </w:r>
    </w:p>
    <w:p w:rsidR="0087754C" w:rsidRDefault="0087754C" w:rsidP="0087754C">
      <w:pPr>
        <w:tabs>
          <w:tab w:val="right" w:pos="8931"/>
        </w:tabs>
        <w:jc w:val="both"/>
        <w:rPr>
          <w:rFonts w:cstheme="minorHAnsi"/>
          <w:szCs w:val="22"/>
        </w:rPr>
      </w:pPr>
    </w:p>
    <w:p w:rsidR="0087754C" w:rsidRDefault="0087754C" w:rsidP="0087754C">
      <w:pPr>
        <w:tabs>
          <w:tab w:val="right" w:pos="8931"/>
        </w:tabs>
        <w:jc w:val="both"/>
        <w:rPr>
          <w:rFonts w:cstheme="minorHAnsi"/>
          <w:szCs w:val="22"/>
        </w:rPr>
      </w:pPr>
      <w:r w:rsidRPr="00001F9D">
        <w:rPr>
          <w:rFonts w:cstheme="minorHAnsi"/>
          <w:szCs w:val="22"/>
        </w:rPr>
        <w:t xml:space="preserve">The </w:t>
      </w:r>
      <w:r>
        <w:rPr>
          <w:rFonts w:cstheme="minorHAnsi"/>
          <w:szCs w:val="22"/>
        </w:rPr>
        <w:t xml:space="preserve">AIC </w:t>
      </w:r>
      <w:r w:rsidRPr="00001F9D">
        <w:rPr>
          <w:rFonts w:cstheme="minorHAnsi"/>
          <w:szCs w:val="22"/>
        </w:rPr>
        <w:t xml:space="preserve">represents approximately 340 closed-ended investment companies with assets under management of </w:t>
      </w:r>
      <w:r>
        <w:rPr>
          <w:rFonts w:cstheme="minorHAnsi"/>
          <w:szCs w:val="22"/>
        </w:rPr>
        <w:t>over</w:t>
      </w:r>
      <w:r w:rsidRPr="00001F9D">
        <w:rPr>
          <w:rFonts w:cstheme="minorHAnsi"/>
          <w:szCs w:val="22"/>
        </w:rPr>
        <w:t xml:space="preserve"> £110 billion. The AIC’s members include investment trusts, Venture Capital Trusts</w:t>
      </w:r>
      <w:r>
        <w:rPr>
          <w:rFonts w:cstheme="minorHAnsi"/>
          <w:szCs w:val="22"/>
        </w:rPr>
        <w:t xml:space="preserve"> (VCT)</w:t>
      </w:r>
      <w:r w:rsidRPr="00001F9D">
        <w:rPr>
          <w:rFonts w:cstheme="minorHAnsi"/>
          <w:szCs w:val="22"/>
        </w:rPr>
        <w:t xml:space="preserve"> and non-EU investment companies, primarily Channel Islands companies</w:t>
      </w:r>
      <w:r>
        <w:rPr>
          <w:rFonts w:cstheme="minorHAnsi"/>
          <w:szCs w:val="22"/>
        </w:rPr>
        <w:t>.  All AIC members have their shares admitted to trading on public stock markets</w:t>
      </w:r>
      <w:r w:rsidRPr="00001F9D">
        <w:rPr>
          <w:rFonts w:cstheme="minorHAnsi"/>
          <w:szCs w:val="22"/>
        </w:rPr>
        <w:t xml:space="preserve">, predominantly </w:t>
      </w:r>
      <w:r>
        <w:rPr>
          <w:rFonts w:cstheme="minorHAnsi"/>
          <w:szCs w:val="22"/>
        </w:rPr>
        <w:t xml:space="preserve">listed </w:t>
      </w:r>
      <w:r w:rsidRPr="00001F9D">
        <w:rPr>
          <w:rFonts w:cstheme="minorHAnsi"/>
          <w:szCs w:val="22"/>
        </w:rPr>
        <w:t>on the London Stock Exchange.</w:t>
      </w:r>
    </w:p>
    <w:p w:rsidR="0087754C" w:rsidRDefault="0087754C" w:rsidP="0087754C">
      <w:pPr>
        <w:tabs>
          <w:tab w:val="right" w:pos="8931"/>
        </w:tabs>
        <w:jc w:val="both"/>
        <w:rPr>
          <w:rFonts w:cstheme="minorHAnsi"/>
          <w:szCs w:val="22"/>
        </w:rPr>
      </w:pPr>
    </w:p>
    <w:p w:rsidR="0087754C" w:rsidRPr="00124E4A" w:rsidRDefault="0087754C" w:rsidP="0087754C">
      <w:pPr>
        <w:tabs>
          <w:tab w:val="right" w:pos="8931"/>
        </w:tabs>
        <w:jc w:val="both"/>
        <w:rPr>
          <w:rFonts w:cstheme="minorHAnsi"/>
          <w:szCs w:val="22"/>
        </w:rPr>
      </w:pPr>
      <w:r>
        <w:rPr>
          <w:bCs/>
          <w:color w:val="000000"/>
        </w:rPr>
        <w:t>The liquidity of i</w:t>
      </w:r>
      <w:r w:rsidRPr="00FF3409">
        <w:rPr>
          <w:bCs/>
          <w:color w:val="000000"/>
        </w:rPr>
        <w:t xml:space="preserve">nvestment company </w:t>
      </w:r>
      <w:r>
        <w:rPr>
          <w:bCs/>
          <w:color w:val="000000"/>
        </w:rPr>
        <w:t>shares varies enormously</w:t>
      </w:r>
      <w:r w:rsidRPr="00FF3409">
        <w:rPr>
          <w:bCs/>
          <w:color w:val="000000"/>
        </w:rPr>
        <w:t>.  Some large investment trusts and offshore investment companie</w:t>
      </w:r>
      <w:r>
        <w:rPr>
          <w:bCs/>
          <w:color w:val="000000"/>
        </w:rPr>
        <w:t>s are highly liquid; smaller investment trusts and some non-UK investment companies can be much less liquid, even where they are admitted to clearing.</w:t>
      </w:r>
      <w:r>
        <w:rPr>
          <w:rFonts w:cstheme="minorHAnsi"/>
          <w:szCs w:val="22"/>
        </w:rPr>
        <w:t xml:space="preserve"> Some observers suggest that companies outside the FTSE 350 may be regarded as illiquid.  The AIC has 230 members (excluding VCTs) that are outside the FTSE 350. </w:t>
      </w:r>
      <w:r>
        <w:rPr>
          <w:bCs/>
          <w:color w:val="000000"/>
        </w:rPr>
        <w:t xml:space="preserve">These less liquid companies rely on the market maker’s ability to maintain continuous buy and sell prices throughout the day.  </w:t>
      </w:r>
    </w:p>
    <w:p w:rsidR="0087754C" w:rsidRDefault="0087754C" w:rsidP="0087754C">
      <w:pPr>
        <w:tabs>
          <w:tab w:val="right" w:pos="8931"/>
        </w:tabs>
        <w:jc w:val="both"/>
        <w:rPr>
          <w:rFonts w:cstheme="minorHAnsi"/>
          <w:szCs w:val="22"/>
        </w:rPr>
      </w:pPr>
    </w:p>
    <w:p w:rsidR="0087754C" w:rsidRDefault="0087754C" w:rsidP="0087754C">
      <w:pPr>
        <w:tabs>
          <w:tab w:val="right" w:pos="8931"/>
        </w:tabs>
        <w:jc w:val="both"/>
        <w:rPr>
          <w:rFonts w:cstheme="minorHAnsi"/>
          <w:szCs w:val="22"/>
        </w:rPr>
      </w:pPr>
      <w:r>
        <w:rPr>
          <w:rFonts w:cstheme="minorHAnsi"/>
          <w:szCs w:val="22"/>
        </w:rPr>
        <w:t>The AIC has 69 VCT members with assets under management of nearly £3 billion.  VCT shares may be particularly illiquid.  VCTs have tax-favoured status in the UK.  One of the tax benefits available to investors in VCTs shares is income tax relief on subscription for the shares.  Ho</w:t>
      </w:r>
      <w:r>
        <w:rPr>
          <w:rFonts w:cstheme="minorHAnsi"/>
          <w:szCs w:val="22"/>
        </w:rPr>
        <w:t>w</w:t>
      </w:r>
      <w:r>
        <w:rPr>
          <w:rFonts w:cstheme="minorHAnsi"/>
          <w:szCs w:val="22"/>
        </w:rPr>
        <w:t>ever, the availability of this relief depends on the investor holding the VCT shares for a minimum of 5 years.  This means that secondary market trading in VCT shares can be very limited.  A</w:t>
      </w:r>
      <w:r>
        <w:rPr>
          <w:rFonts w:cstheme="minorHAnsi"/>
          <w:szCs w:val="22"/>
        </w:rPr>
        <w:t>p</w:t>
      </w:r>
      <w:r>
        <w:rPr>
          <w:rFonts w:cstheme="minorHAnsi"/>
          <w:szCs w:val="22"/>
        </w:rPr>
        <w:t>proximately 20% of VCT shares are held by nominees, primarily private client wealth managers, so that these shares are not available to be borrowed. Market makers customarily provide i</w:t>
      </w:r>
      <w:r>
        <w:rPr>
          <w:rFonts w:cstheme="minorHAnsi"/>
          <w:szCs w:val="22"/>
        </w:rPr>
        <w:t>m</w:t>
      </w:r>
      <w:r>
        <w:rPr>
          <w:rFonts w:cstheme="minorHAnsi"/>
          <w:szCs w:val="22"/>
        </w:rPr>
        <w:t xml:space="preserve">mediate liquidity and the VCTs themselves often purchase shares to provide a “backstop” exit for investors who wish to sell their shares.  </w:t>
      </w:r>
    </w:p>
    <w:p w:rsidR="0087754C" w:rsidRDefault="0087754C" w:rsidP="0087754C">
      <w:pPr>
        <w:tabs>
          <w:tab w:val="right" w:pos="8931"/>
        </w:tabs>
        <w:jc w:val="both"/>
        <w:rPr>
          <w:rFonts w:cstheme="minorHAnsi"/>
          <w:szCs w:val="22"/>
        </w:rPr>
      </w:pPr>
    </w:p>
    <w:p w:rsidR="0087754C" w:rsidRDefault="0087754C" w:rsidP="0087754C">
      <w:pPr>
        <w:tabs>
          <w:tab w:val="right" w:pos="8931"/>
        </w:tabs>
        <w:jc w:val="both"/>
        <w:rPr>
          <w:rFonts w:cstheme="minorHAnsi"/>
          <w:szCs w:val="22"/>
        </w:rPr>
      </w:pPr>
      <w:r>
        <w:rPr>
          <w:rFonts w:cstheme="minorHAnsi"/>
          <w:szCs w:val="22"/>
        </w:rPr>
        <w:t>Ensuring the regime does not inadvertently reduce liquidity within the sector, or create other issues, for example, wider spreads or the withdrawal of market makers is a priority for the AIC.</w:t>
      </w:r>
    </w:p>
    <w:p w:rsidR="0087754C" w:rsidRDefault="0087754C" w:rsidP="0087754C">
      <w:pPr>
        <w:tabs>
          <w:tab w:val="right" w:pos="8931"/>
        </w:tabs>
        <w:jc w:val="both"/>
        <w:rPr>
          <w:rFonts w:cstheme="minorHAnsi"/>
          <w:szCs w:val="22"/>
        </w:rPr>
      </w:pPr>
    </w:p>
    <w:p w:rsidR="0087754C" w:rsidRDefault="0087754C" w:rsidP="0087754C">
      <w:pPr>
        <w:tabs>
          <w:tab w:val="right" w:pos="8931"/>
        </w:tabs>
        <w:jc w:val="both"/>
        <w:rPr>
          <w:rFonts w:cstheme="minorHAnsi"/>
          <w:szCs w:val="22"/>
        </w:rPr>
      </w:pPr>
    </w:p>
    <w:p w:rsidR="0087754C" w:rsidRDefault="0087754C" w:rsidP="0087754C">
      <w:pPr>
        <w:tabs>
          <w:tab w:val="right" w:pos="8931"/>
        </w:tabs>
        <w:jc w:val="both"/>
        <w:rPr>
          <w:rFonts w:cstheme="minorHAnsi"/>
          <w:szCs w:val="22"/>
        </w:rPr>
      </w:pPr>
      <w:r>
        <w:rPr>
          <w:rFonts w:cstheme="minorHAnsi"/>
          <w:szCs w:val="22"/>
        </w:rPr>
        <w:t>In the ESMA consultation paper on the draft technical advice on the CSD Regulation, the penalty varies according to the following type of financial instrument involved:-</w:t>
      </w:r>
    </w:p>
    <w:p w:rsidR="0087754C" w:rsidRDefault="0087754C" w:rsidP="0087754C">
      <w:pPr>
        <w:pStyle w:val="ListParagraph"/>
        <w:numPr>
          <w:ilvl w:val="0"/>
          <w:numId w:val="42"/>
        </w:numPr>
        <w:tabs>
          <w:tab w:val="left" w:pos="284"/>
          <w:tab w:val="right" w:pos="8931"/>
        </w:tabs>
        <w:spacing w:afterLines="100" w:after="240"/>
        <w:jc w:val="both"/>
        <w:rPr>
          <w:rFonts w:cstheme="minorHAnsi"/>
          <w:szCs w:val="22"/>
        </w:rPr>
      </w:pPr>
      <w:r w:rsidRPr="002F314A">
        <w:rPr>
          <w:rFonts w:cstheme="minorHAnsi"/>
          <w:szCs w:val="22"/>
        </w:rPr>
        <w:t xml:space="preserve">equities </w:t>
      </w:r>
      <w:r>
        <w:rPr>
          <w:rFonts w:cstheme="minorHAnsi"/>
          <w:szCs w:val="22"/>
        </w:rPr>
        <w:t>and others,</w:t>
      </w:r>
    </w:p>
    <w:p w:rsidR="0087754C" w:rsidRDefault="0087754C" w:rsidP="0087754C">
      <w:pPr>
        <w:pStyle w:val="ListParagraph"/>
        <w:numPr>
          <w:ilvl w:val="0"/>
          <w:numId w:val="42"/>
        </w:numPr>
        <w:tabs>
          <w:tab w:val="left" w:pos="284"/>
          <w:tab w:val="right" w:pos="8931"/>
        </w:tabs>
        <w:spacing w:afterLines="100" w:after="240"/>
        <w:jc w:val="both"/>
        <w:rPr>
          <w:rFonts w:cstheme="minorHAnsi"/>
          <w:szCs w:val="22"/>
        </w:rPr>
      </w:pPr>
      <w:r>
        <w:rPr>
          <w:rFonts w:cstheme="minorHAnsi"/>
          <w:szCs w:val="22"/>
        </w:rPr>
        <w:t>Government bonds,</w:t>
      </w:r>
    </w:p>
    <w:p w:rsidR="0087754C" w:rsidRDefault="0087754C" w:rsidP="0087754C">
      <w:pPr>
        <w:pStyle w:val="ListParagraph"/>
        <w:numPr>
          <w:ilvl w:val="0"/>
          <w:numId w:val="42"/>
        </w:numPr>
        <w:tabs>
          <w:tab w:val="left" w:pos="284"/>
          <w:tab w:val="right" w:pos="8931"/>
        </w:tabs>
        <w:spacing w:afterLines="100" w:after="240"/>
        <w:jc w:val="both"/>
        <w:rPr>
          <w:rFonts w:cstheme="minorHAnsi"/>
          <w:szCs w:val="22"/>
        </w:rPr>
      </w:pPr>
      <w:r>
        <w:rPr>
          <w:rFonts w:cstheme="minorHAnsi"/>
          <w:szCs w:val="22"/>
        </w:rPr>
        <w:t xml:space="preserve">Corporate bonds and </w:t>
      </w:r>
    </w:p>
    <w:p w:rsidR="0087754C" w:rsidRDefault="0087754C" w:rsidP="0087754C">
      <w:pPr>
        <w:pStyle w:val="ListParagraph"/>
        <w:numPr>
          <w:ilvl w:val="0"/>
          <w:numId w:val="42"/>
        </w:numPr>
        <w:tabs>
          <w:tab w:val="left" w:pos="284"/>
          <w:tab w:val="right" w:pos="8931"/>
        </w:tabs>
        <w:spacing w:afterLines="100" w:after="240"/>
        <w:jc w:val="both"/>
        <w:rPr>
          <w:rFonts w:cstheme="minorHAnsi"/>
          <w:szCs w:val="22"/>
        </w:rPr>
      </w:pPr>
      <w:r>
        <w:rPr>
          <w:rFonts w:cstheme="minorHAnsi"/>
          <w:szCs w:val="22"/>
        </w:rPr>
        <w:t>Cash.</w:t>
      </w:r>
    </w:p>
    <w:p w:rsidR="0087754C" w:rsidRDefault="0087754C" w:rsidP="0087754C">
      <w:pPr>
        <w:tabs>
          <w:tab w:val="right" w:pos="8931"/>
        </w:tabs>
        <w:spacing w:after="240"/>
        <w:jc w:val="both"/>
        <w:rPr>
          <w:rFonts w:cstheme="minorHAnsi"/>
          <w:szCs w:val="22"/>
        </w:rPr>
      </w:pPr>
      <w:r>
        <w:rPr>
          <w:rFonts w:cstheme="minorHAnsi"/>
          <w:szCs w:val="22"/>
        </w:rPr>
        <w:t xml:space="preserve">ESMA acknowledges that the cash penalty should be proportionate and take into consideration the specificities of the different asset types, the liquidity and category of transactions.  Indeed, ESMA continues that the less liquid an instrument is, the more difficult it will be to source it and the more expensive it will be to borrow it.  ESMA concludes that it is therefore an important element for consideration in order to set the penalty rate.  </w:t>
      </w:r>
    </w:p>
    <w:p w:rsidR="0087754C" w:rsidRDefault="0087754C" w:rsidP="0087754C">
      <w:pPr>
        <w:tabs>
          <w:tab w:val="right" w:pos="8931"/>
        </w:tabs>
        <w:spacing w:after="240"/>
        <w:jc w:val="both"/>
        <w:rPr>
          <w:rFonts w:cstheme="minorHAnsi"/>
          <w:szCs w:val="22"/>
        </w:rPr>
      </w:pPr>
      <w:r>
        <w:rPr>
          <w:rFonts w:cstheme="minorHAnsi"/>
          <w:szCs w:val="22"/>
        </w:rPr>
        <w:t xml:space="preserve">Given this principle, the AIC </w:t>
      </w:r>
      <w:r w:rsidRPr="00FB7EF8">
        <w:rPr>
          <w:rFonts w:cstheme="minorHAnsi"/>
          <w:b/>
          <w:szCs w:val="22"/>
          <w:u w:val="single"/>
        </w:rPr>
        <w:t>recommends</w:t>
      </w:r>
      <w:r>
        <w:rPr>
          <w:rFonts w:cstheme="minorHAnsi"/>
          <w:szCs w:val="22"/>
        </w:rPr>
        <w:t xml:space="preserve"> that the proposed penalty rate should distinguish between liquid and illiquid equities.  The proposed penalty imposed for “equities and other a</w:t>
      </w:r>
      <w:r>
        <w:rPr>
          <w:rFonts w:cstheme="minorHAnsi"/>
          <w:szCs w:val="22"/>
        </w:rPr>
        <w:t>s</w:t>
      </w:r>
      <w:r>
        <w:rPr>
          <w:rFonts w:cstheme="minorHAnsi"/>
          <w:szCs w:val="22"/>
        </w:rPr>
        <w:lastRenderedPageBreak/>
        <w:t>sets” is 1.00bp daily rate.  Even for liquid equities this rate is high.  However, for illiquid secur</w:t>
      </w:r>
      <w:r>
        <w:rPr>
          <w:rFonts w:cstheme="minorHAnsi"/>
          <w:szCs w:val="22"/>
        </w:rPr>
        <w:t>i</w:t>
      </w:r>
      <w:r>
        <w:rPr>
          <w:rFonts w:cstheme="minorHAnsi"/>
          <w:szCs w:val="22"/>
        </w:rPr>
        <w:t xml:space="preserve">ties where cash compensation is paid (as the buy-in is not possible as the securities cannot be borrowed) then this rate would accrue for potentially 22 days from the intended settlement date.  </w:t>
      </w:r>
    </w:p>
    <w:p w:rsidR="0087754C" w:rsidRDefault="0087754C" w:rsidP="0087754C">
      <w:pPr>
        <w:tabs>
          <w:tab w:val="right" w:pos="8931"/>
        </w:tabs>
        <w:spacing w:after="240"/>
        <w:jc w:val="both"/>
        <w:rPr>
          <w:rFonts w:cstheme="minorHAnsi"/>
          <w:szCs w:val="22"/>
        </w:rPr>
      </w:pPr>
      <w:r>
        <w:rPr>
          <w:rFonts w:cstheme="minorHAnsi"/>
          <w:szCs w:val="22"/>
        </w:rPr>
        <w:t xml:space="preserve">ESMA proposes that in the limited circumstances where settlement cannot be performed for reasons that are independent from any of the participants or the CSD, the penalty would not be charged.  The AIC </w:t>
      </w:r>
      <w:r w:rsidRPr="00FB7EF8">
        <w:rPr>
          <w:rFonts w:cstheme="minorHAnsi"/>
          <w:b/>
          <w:szCs w:val="22"/>
          <w:u w:val="single"/>
        </w:rPr>
        <w:t>recommends</w:t>
      </w:r>
      <w:r>
        <w:rPr>
          <w:rFonts w:cstheme="minorHAnsi"/>
          <w:szCs w:val="22"/>
        </w:rPr>
        <w:t xml:space="preserve"> this proposal be adopted.  The consultation on the draft tec</w:t>
      </w:r>
      <w:r>
        <w:rPr>
          <w:rFonts w:cstheme="minorHAnsi"/>
          <w:szCs w:val="22"/>
        </w:rPr>
        <w:t>h</w:t>
      </w:r>
      <w:r>
        <w:rPr>
          <w:rFonts w:cstheme="minorHAnsi"/>
          <w:szCs w:val="22"/>
        </w:rPr>
        <w:t xml:space="preserve">nical advice continues that in order to achieve that exception, it should be possible to reduce the amount of the penalty to zero and the AIC </w:t>
      </w:r>
      <w:r w:rsidRPr="00124E4A">
        <w:rPr>
          <w:rFonts w:cstheme="minorHAnsi"/>
          <w:b/>
          <w:szCs w:val="22"/>
          <w:u w:val="single"/>
        </w:rPr>
        <w:t>recommends</w:t>
      </w:r>
      <w:r>
        <w:rPr>
          <w:rFonts w:cstheme="minorHAnsi"/>
          <w:szCs w:val="22"/>
        </w:rPr>
        <w:t xml:space="preserve"> that this is adopted.  Examples of these occurrences given by ESMA are a suspension of the instrument from trading and settlement due to reconciliation issues, specific corporate actions which imply the instrument no longer exists, or technical impossibilities at the CSD level.  The consultation paper continues that in order to prevent abuse, these exemptions should be approved by the Competent Authority, either through approval of the CSD procedures detailing which specific penalties do not apply, or on a case by case basis.  The AIC </w:t>
      </w:r>
      <w:r w:rsidRPr="00124E4A">
        <w:rPr>
          <w:rFonts w:cstheme="minorHAnsi"/>
          <w:b/>
          <w:szCs w:val="22"/>
          <w:u w:val="single"/>
        </w:rPr>
        <w:t>recommends</w:t>
      </w:r>
      <w:r>
        <w:rPr>
          <w:rFonts w:cstheme="minorHAnsi"/>
          <w:szCs w:val="22"/>
        </w:rPr>
        <w:t xml:space="preserve"> that the Competent Authority is given the ability to define categories when a penalty should not be applied and also given the authority to waive penalties on a case by case basis. The AIC </w:t>
      </w:r>
      <w:r w:rsidRPr="00F56D4C">
        <w:rPr>
          <w:rFonts w:cstheme="minorHAnsi"/>
          <w:b/>
          <w:szCs w:val="22"/>
          <w:u w:val="single"/>
        </w:rPr>
        <w:t>recommends</w:t>
      </w:r>
      <w:r>
        <w:rPr>
          <w:rFonts w:cstheme="minorHAnsi"/>
          <w:szCs w:val="22"/>
        </w:rPr>
        <w:t xml:space="preserve"> that the prevailing illiquidity of the equity should be a category which eliminates the penalty or, failing that, substantially reduce the penalty.  </w:t>
      </w:r>
    </w:p>
    <w:p w:rsidR="0087754C" w:rsidRDefault="0087754C" w:rsidP="0087754C">
      <w:pPr>
        <w:tabs>
          <w:tab w:val="right" w:pos="8931"/>
        </w:tabs>
        <w:spacing w:after="240"/>
        <w:jc w:val="both"/>
        <w:rPr>
          <w:rFonts w:cstheme="minorHAnsi"/>
          <w:szCs w:val="22"/>
        </w:rPr>
      </w:pPr>
      <w:r>
        <w:rPr>
          <w:rFonts w:cstheme="minorHAnsi"/>
          <w:szCs w:val="22"/>
        </w:rPr>
        <w:t xml:space="preserve">The AIC also </w:t>
      </w:r>
      <w:r w:rsidRPr="000E3857">
        <w:rPr>
          <w:rFonts w:cstheme="minorHAnsi"/>
          <w:b/>
          <w:szCs w:val="22"/>
          <w:u w:val="single"/>
        </w:rPr>
        <w:t>recommends</w:t>
      </w:r>
      <w:r>
        <w:rPr>
          <w:rFonts w:cstheme="minorHAnsi"/>
          <w:szCs w:val="22"/>
        </w:rPr>
        <w:t xml:space="preserve"> there should be an exemption for market makers from the daily penalties in much the same way that the Short Selling Regulations EU 236/2012 contained an exemption for market makers as it was recognised that market makers often need to take short positions to perform their role of providing liquidity.   The importance of market makers in provi</w:t>
      </w:r>
      <w:r>
        <w:rPr>
          <w:rFonts w:cstheme="minorHAnsi"/>
          <w:szCs w:val="22"/>
        </w:rPr>
        <w:t>d</w:t>
      </w:r>
      <w:r>
        <w:rPr>
          <w:rFonts w:cstheme="minorHAnsi"/>
          <w:szCs w:val="22"/>
        </w:rPr>
        <w:t>ing liquidity to the market should not be underestimated.  The application of the penalty regime to market makers could lead to market makers ceasing to provide a market in relation to illiquid securities. In contrast, the disapplication of the penalty regime to market makers could reduce the risk of ramped up share prices discussed in the response to Question 7 below.</w:t>
      </w:r>
    </w:p>
    <w:p w:rsidR="0087754C" w:rsidRPr="002F314A" w:rsidRDefault="0087754C" w:rsidP="0087754C">
      <w:pPr>
        <w:tabs>
          <w:tab w:val="right" w:pos="8931"/>
        </w:tabs>
        <w:spacing w:after="240"/>
        <w:jc w:val="both"/>
        <w:rPr>
          <w:rFonts w:cstheme="minorHAnsi"/>
          <w:szCs w:val="22"/>
        </w:rPr>
      </w:pPr>
      <w:r>
        <w:rPr>
          <w:rFonts w:cstheme="minorHAnsi"/>
          <w:szCs w:val="22"/>
        </w:rPr>
        <w:t xml:space="preserve">Where illiquid securities are concerned and it is known that they cannot be delivered within the buy-in period, the AIC also </w:t>
      </w:r>
      <w:r w:rsidRPr="0017590D">
        <w:rPr>
          <w:rFonts w:cstheme="minorHAnsi"/>
          <w:b/>
          <w:szCs w:val="22"/>
          <w:u w:val="single"/>
        </w:rPr>
        <w:t>recommends</w:t>
      </w:r>
      <w:r>
        <w:rPr>
          <w:rFonts w:cstheme="minorHAnsi"/>
          <w:szCs w:val="22"/>
        </w:rPr>
        <w:t xml:space="preserve"> that the “failing participant” should have the ability to trigger the cash compensation earlier rather than waiting for the buy-in period to expire and the penalties to continue to accrue during that period.</w:t>
      </w:r>
    </w:p>
    <w:permEnd w:id="1518295338"/>
    <w:p w:rsidR="00D12AFD" w:rsidRDefault="00D12AFD" w:rsidP="00D12AFD">
      <w:r>
        <w:t>&lt;ESMA_QUESTION_TS_CSDR_6&gt;</w:t>
      </w:r>
    </w:p>
    <w:p w:rsidR="00D12AFD" w:rsidRDefault="00D12AFD" w:rsidP="00965B03">
      <w:pPr>
        <w:pStyle w:val="Heading5"/>
        <w:ind w:left="567" w:hanging="567"/>
      </w:pPr>
      <w:r w:rsidRPr="002C4F00">
        <w:t>What are your views on the proposed draft RTS related to the buy-in process?</w:t>
      </w:r>
    </w:p>
    <w:p w:rsidR="00D12AFD" w:rsidRDefault="00D12AFD" w:rsidP="00BA1DEE">
      <w:pPr>
        <w:pStyle w:val="Heading5"/>
        <w:numPr>
          <w:ilvl w:val="0"/>
          <w:numId w:val="0"/>
        </w:numPr>
        <w:ind w:left="567"/>
        <w:rPr>
          <w:b w:val="0"/>
        </w:rPr>
      </w:pPr>
      <w:r w:rsidRPr="002C4F00">
        <w:t>In particular, what are your views on applying partial settlement at the end of the e</w:t>
      </w:r>
      <w:r w:rsidRPr="002C4F00">
        <w:t>x</w:t>
      </w:r>
      <w:r w:rsidRPr="002C4F00">
        <w:t>tension period? Do you consider that the partialling of the settlement instruction would impact the rights and obligations of the participants?</w:t>
      </w:r>
    </w:p>
    <w:p w:rsidR="00D12AFD" w:rsidRPr="002C4F00" w:rsidRDefault="00D12AFD" w:rsidP="00BA1DEE">
      <w:pPr>
        <w:pStyle w:val="Heading5"/>
        <w:numPr>
          <w:ilvl w:val="0"/>
          <w:numId w:val="0"/>
        </w:numPr>
        <w:ind w:left="567"/>
      </w:pPr>
      <w:r w:rsidRPr="002C4F00">
        <w:t xml:space="preserve"> What do you think about the proposed approach for limiting multiple buy-in and the timing for the participant to provide the information to the CSD?</w:t>
      </w:r>
    </w:p>
    <w:p w:rsidR="00D12AFD" w:rsidRDefault="00D12AFD" w:rsidP="00D12AFD"/>
    <w:p w:rsidR="00D12AFD" w:rsidRDefault="00D12AFD" w:rsidP="00D12AFD">
      <w:r>
        <w:t>&lt;ESMA_QUESTION_TS_CSDR_7&gt;</w:t>
      </w:r>
    </w:p>
    <w:p w:rsidR="0087754C" w:rsidRPr="0087754C" w:rsidRDefault="0087754C" w:rsidP="0087754C">
      <w:pPr>
        <w:pStyle w:val="Default"/>
        <w:jc w:val="both"/>
        <w:rPr>
          <w:rFonts w:ascii="Arial" w:hAnsi="Arial" w:cs="Arial"/>
          <w:bCs/>
          <w:sz w:val="22"/>
          <w:szCs w:val="22"/>
        </w:rPr>
      </w:pPr>
      <w:permStart w:id="441585234" w:edGrp="everyone"/>
      <w:r w:rsidRPr="0087754C">
        <w:rPr>
          <w:rFonts w:ascii="Arial" w:hAnsi="Arial" w:cs="Arial"/>
          <w:bCs/>
          <w:sz w:val="22"/>
          <w:szCs w:val="22"/>
        </w:rPr>
        <w:t>Mandatory buy-ins could lead to potential market abuse in relation to illiquid securities.  Where a buyer aggressively buys a less liquid security from a market maker, the market maker would have to increase their bid price to identify prospective sellers rather than face the threat of fina</w:t>
      </w:r>
      <w:r w:rsidRPr="0087754C">
        <w:rPr>
          <w:rFonts w:ascii="Arial" w:hAnsi="Arial" w:cs="Arial"/>
          <w:bCs/>
          <w:sz w:val="22"/>
          <w:szCs w:val="22"/>
        </w:rPr>
        <w:t>n</w:t>
      </w:r>
      <w:r w:rsidRPr="0087754C">
        <w:rPr>
          <w:rFonts w:ascii="Arial" w:hAnsi="Arial" w:cs="Arial"/>
          <w:bCs/>
          <w:sz w:val="22"/>
          <w:szCs w:val="22"/>
        </w:rPr>
        <w:t>cial penalty of a failed settlement.  Where no sellers are available, the share price would cont</w:t>
      </w:r>
      <w:r w:rsidRPr="0087754C">
        <w:rPr>
          <w:rFonts w:ascii="Arial" w:hAnsi="Arial" w:cs="Arial"/>
          <w:bCs/>
          <w:sz w:val="22"/>
          <w:szCs w:val="22"/>
        </w:rPr>
        <w:t>i</w:t>
      </w:r>
      <w:r w:rsidRPr="0087754C">
        <w:rPr>
          <w:rFonts w:ascii="Arial" w:hAnsi="Arial" w:cs="Arial"/>
          <w:bCs/>
          <w:sz w:val="22"/>
          <w:szCs w:val="22"/>
        </w:rPr>
        <w:t>nue to rise.  The buy-in would fail if the security is inherently illiquid.  This would allow the buyer to opt for cash compensation under Article 7(7) of the Regulations, which would reflect the ra</w:t>
      </w:r>
      <w:r w:rsidRPr="0087754C">
        <w:rPr>
          <w:rFonts w:ascii="Arial" w:hAnsi="Arial" w:cs="Arial"/>
          <w:bCs/>
          <w:sz w:val="22"/>
          <w:szCs w:val="22"/>
        </w:rPr>
        <w:t>m</w:t>
      </w:r>
      <w:r w:rsidRPr="0087754C">
        <w:rPr>
          <w:rFonts w:ascii="Arial" w:hAnsi="Arial" w:cs="Arial"/>
          <w:bCs/>
          <w:sz w:val="22"/>
          <w:szCs w:val="22"/>
        </w:rPr>
        <w:lastRenderedPageBreak/>
        <w:t>ped up value.  Whilst such behaviour would be abusive, prevention of such behaviour is pref</w:t>
      </w:r>
      <w:r w:rsidRPr="0087754C">
        <w:rPr>
          <w:rFonts w:ascii="Arial" w:hAnsi="Arial" w:cs="Arial"/>
          <w:bCs/>
          <w:sz w:val="22"/>
          <w:szCs w:val="22"/>
        </w:rPr>
        <w:t>e</w:t>
      </w:r>
      <w:r w:rsidRPr="0087754C">
        <w:rPr>
          <w:rFonts w:ascii="Arial" w:hAnsi="Arial" w:cs="Arial"/>
          <w:bCs/>
          <w:sz w:val="22"/>
          <w:szCs w:val="22"/>
        </w:rPr>
        <w:t xml:space="preserve">rable to subsequent detection.  A mandatory buy-in of an illiquid security could, in the least, lead to a disorderly market. </w:t>
      </w:r>
    </w:p>
    <w:p w:rsidR="0087754C" w:rsidRDefault="0087754C" w:rsidP="0087754C">
      <w:pPr>
        <w:tabs>
          <w:tab w:val="right" w:pos="8931"/>
        </w:tabs>
        <w:jc w:val="both"/>
        <w:rPr>
          <w:rFonts w:cstheme="minorHAnsi"/>
          <w:szCs w:val="22"/>
        </w:rPr>
      </w:pPr>
    </w:p>
    <w:p w:rsidR="0087754C" w:rsidRDefault="0087754C" w:rsidP="0087754C">
      <w:pPr>
        <w:tabs>
          <w:tab w:val="right" w:pos="8931"/>
        </w:tabs>
        <w:jc w:val="both"/>
        <w:rPr>
          <w:rFonts w:cstheme="minorHAnsi"/>
          <w:szCs w:val="22"/>
        </w:rPr>
      </w:pPr>
      <w:r>
        <w:rPr>
          <w:rFonts w:cstheme="minorHAnsi"/>
          <w:szCs w:val="22"/>
        </w:rPr>
        <w:t>The mandatory buy-in provisions could lead to increased bid-offer spreads for illiquid securities. An increased bid-offer spread could result in a buyer of securities paying more for illiquid secur</w:t>
      </w:r>
      <w:r>
        <w:rPr>
          <w:rFonts w:cstheme="minorHAnsi"/>
          <w:szCs w:val="22"/>
        </w:rPr>
        <w:t>i</w:t>
      </w:r>
      <w:r>
        <w:rPr>
          <w:rFonts w:cstheme="minorHAnsi"/>
          <w:szCs w:val="22"/>
        </w:rPr>
        <w:t>ties than their true value or a seller receiving less for their securities than their true value. This will affect the integrity of the financial markets.  It could impact on investors’ confidence to invest in publicly traded closed-ended investment companies and lead investors to buying securities in open-ended collective investment funds instead.</w:t>
      </w:r>
    </w:p>
    <w:p w:rsidR="0087754C" w:rsidRDefault="0087754C" w:rsidP="0087754C">
      <w:pPr>
        <w:tabs>
          <w:tab w:val="right" w:pos="8931"/>
        </w:tabs>
        <w:jc w:val="both"/>
        <w:rPr>
          <w:rFonts w:cstheme="minorHAnsi"/>
          <w:szCs w:val="22"/>
        </w:rPr>
      </w:pPr>
    </w:p>
    <w:p w:rsidR="0087754C" w:rsidRDefault="0087754C" w:rsidP="0087754C">
      <w:pPr>
        <w:tabs>
          <w:tab w:val="right" w:pos="8931"/>
        </w:tabs>
        <w:jc w:val="both"/>
        <w:rPr>
          <w:rFonts w:cstheme="minorHAnsi"/>
          <w:szCs w:val="22"/>
        </w:rPr>
      </w:pPr>
      <w:r>
        <w:rPr>
          <w:rFonts w:cstheme="minorHAnsi"/>
          <w:szCs w:val="22"/>
        </w:rPr>
        <w:t>Mandatory buy-ins could also lead to increased volatility for investors which will be another deterrent for investors in publicly traded investment companies.</w:t>
      </w:r>
    </w:p>
    <w:p w:rsidR="0087754C" w:rsidRDefault="0087754C" w:rsidP="0087754C">
      <w:pPr>
        <w:tabs>
          <w:tab w:val="right" w:pos="8931"/>
        </w:tabs>
        <w:jc w:val="both"/>
        <w:rPr>
          <w:rFonts w:cstheme="minorHAnsi"/>
          <w:szCs w:val="22"/>
        </w:rPr>
      </w:pPr>
    </w:p>
    <w:p w:rsidR="0087754C" w:rsidRDefault="0087754C" w:rsidP="0087754C">
      <w:pPr>
        <w:tabs>
          <w:tab w:val="right" w:pos="8931"/>
        </w:tabs>
        <w:jc w:val="both"/>
        <w:rPr>
          <w:rFonts w:cstheme="minorHAnsi"/>
          <w:szCs w:val="22"/>
        </w:rPr>
      </w:pPr>
      <w:r>
        <w:rPr>
          <w:rFonts w:cstheme="minorHAnsi"/>
          <w:szCs w:val="22"/>
        </w:rPr>
        <w:t>For some illiquid securities, there is only one market maker making a market in the securities and the mandatory buy-in provisions could lead to the market maker ceasing to make a market in those illiquid securities.  This would further reduce the liquidity of those shares and affect shareholders in those companies and deter potential investors from investing in those comp</w:t>
      </w:r>
      <w:r>
        <w:rPr>
          <w:rFonts w:cstheme="minorHAnsi"/>
          <w:szCs w:val="22"/>
        </w:rPr>
        <w:t>a</w:t>
      </w:r>
      <w:r>
        <w:rPr>
          <w:rFonts w:cstheme="minorHAnsi"/>
          <w:szCs w:val="22"/>
        </w:rPr>
        <w:t>nies.</w:t>
      </w:r>
    </w:p>
    <w:permEnd w:id="441585234"/>
    <w:p w:rsidR="00D12AFD" w:rsidRDefault="00D12AFD" w:rsidP="00D12AFD">
      <w:r>
        <w:t>&lt;ESMA_QUESTION_TS_CSDR_7&gt;</w:t>
      </w:r>
    </w:p>
    <w:p w:rsidR="00D12AFD" w:rsidRPr="002C4F00" w:rsidRDefault="00D12AFD" w:rsidP="00965B03">
      <w:pPr>
        <w:pStyle w:val="Heading5"/>
        <w:ind w:left="567" w:hanging="567"/>
      </w:pPr>
      <w:r w:rsidRPr="002C4F00">
        <w:t>What are your views on the proposed draft RTS related to the buy-in timeframe and extension period?</w:t>
      </w:r>
    </w:p>
    <w:p w:rsidR="00D12AFD" w:rsidRDefault="00D12AFD" w:rsidP="00D12AFD"/>
    <w:p w:rsidR="00D12AFD" w:rsidRDefault="00D12AFD" w:rsidP="00D12AFD">
      <w:r>
        <w:t>&lt;ESMA_QUESTION_TS_CSDR_8&gt;</w:t>
      </w:r>
    </w:p>
    <w:p w:rsidR="0087754C" w:rsidRDefault="0087754C" w:rsidP="0087754C">
      <w:pPr>
        <w:tabs>
          <w:tab w:val="left" w:pos="567"/>
          <w:tab w:val="right" w:pos="8931"/>
        </w:tabs>
        <w:jc w:val="both"/>
        <w:rPr>
          <w:rFonts w:cstheme="minorHAnsi"/>
          <w:szCs w:val="22"/>
        </w:rPr>
      </w:pPr>
      <w:permStart w:id="164789936" w:edGrp="everyone"/>
      <w:r>
        <w:rPr>
          <w:rFonts w:cstheme="minorHAnsi"/>
          <w:szCs w:val="22"/>
        </w:rPr>
        <w:t xml:space="preserve">Some investment trust and non-UK company shares are illiquid even where they are admitted to clearing. The AIC acknowledges that the Level 1 text prevents a prolongation of the extension period for cleared securities.  However, the AIC </w:t>
      </w:r>
      <w:r w:rsidRPr="00030776">
        <w:rPr>
          <w:rFonts w:cstheme="minorHAnsi"/>
          <w:b/>
          <w:szCs w:val="22"/>
          <w:u w:val="single"/>
        </w:rPr>
        <w:t>recommends</w:t>
      </w:r>
      <w:r>
        <w:rPr>
          <w:rFonts w:cstheme="minorHAnsi"/>
          <w:szCs w:val="22"/>
        </w:rPr>
        <w:t xml:space="preserve"> that the fact that illiquid securities are admitted for clearing should not affect allowing any reductions in penalties for illiquid secur</w:t>
      </w:r>
      <w:r>
        <w:rPr>
          <w:rFonts w:cstheme="minorHAnsi"/>
          <w:szCs w:val="22"/>
        </w:rPr>
        <w:t>i</w:t>
      </w:r>
      <w:r>
        <w:rPr>
          <w:rFonts w:cstheme="minorHAnsi"/>
          <w:szCs w:val="22"/>
        </w:rPr>
        <w:t xml:space="preserve">ties.  </w:t>
      </w:r>
    </w:p>
    <w:p w:rsidR="0087754C" w:rsidRPr="000E3857" w:rsidRDefault="0087754C" w:rsidP="0087754C">
      <w:pPr>
        <w:autoSpaceDE w:val="0"/>
        <w:autoSpaceDN w:val="0"/>
        <w:adjustRightInd w:val="0"/>
        <w:rPr>
          <w:rFonts w:cstheme="minorHAnsi"/>
          <w:color w:val="000000"/>
          <w:sz w:val="24"/>
        </w:rPr>
      </w:pPr>
    </w:p>
    <w:p w:rsidR="0087754C" w:rsidRPr="000E3857" w:rsidRDefault="0087754C" w:rsidP="0087754C">
      <w:pPr>
        <w:autoSpaceDE w:val="0"/>
        <w:autoSpaceDN w:val="0"/>
        <w:adjustRightInd w:val="0"/>
        <w:rPr>
          <w:rFonts w:cstheme="minorHAnsi"/>
          <w:color w:val="000000"/>
          <w:szCs w:val="22"/>
        </w:rPr>
      </w:pPr>
      <w:r>
        <w:rPr>
          <w:rFonts w:cstheme="minorHAnsi"/>
          <w:color w:val="000000"/>
          <w:szCs w:val="22"/>
        </w:rPr>
        <w:t xml:space="preserve">The ESMA consultation paper states that ETFs </w:t>
      </w:r>
      <w:r w:rsidRPr="000E3857">
        <w:rPr>
          <w:rFonts w:cstheme="minorHAnsi"/>
          <w:color w:val="000000"/>
          <w:szCs w:val="22"/>
        </w:rPr>
        <w:t xml:space="preserve">have a specific nature that involve that more time is needed in order for the buy-in to be performed. As a result, </w:t>
      </w:r>
      <w:r>
        <w:rPr>
          <w:rFonts w:cstheme="minorHAnsi"/>
          <w:color w:val="000000"/>
          <w:szCs w:val="22"/>
        </w:rPr>
        <w:t xml:space="preserve">ESMA concludes </w:t>
      </w:r>
      <w:r w:rsidRPr="000E3857">
        <w:rPr>
          <w:rFonts w:cstheme="minorHAnsi"/>
          <w:color w:val="000000"/>
          <w:szCs w:val="22"/>
        </w:rPr>
        <w:t xml:space="preserve">it is not necessary to refer to their liquidity in order to </w:t>
      </w:r>
      <w:r w:rsidRPr="000E3857">
        <w:rPr>
          <w:rFonts w:cs="Arial"/>
          <w:szCs w:val="22"/>
        </w:rPr>
        <w:t>set the timeframe for their delivery to the receiving participant</w:t>
      </w:r>
      <w:r>
        <w:rPr>
          <w:rFonts w:cs="Arial"/>
          <w:szCs w:val="22"/>
        </w:rPr>
        <w:t xml:space="preserve"> and they</w:t>
      </w:r>
      <w:r w:rsidRPr="000E3857">
        <w:rPr>
          <w:rFonts w:cs="Arial"/>
          <w:szCs w:val="22"/>
        </w:rPr>
        <w:t xml:space="preserve"> should all be subject to the same timeframe of 7 business days. </w:t>
      </w:r>
      <w:r>
        <w:rPr>
          <w:rFonts w:cs="Arial"/>
          <w:szCs w:val="22"/>
        </w:rPr>
        <w:t>This a</w:t>
      </w:r>
      <w:r>
        <w:rPr>
          <w:rFonts w:cs="Arial"/>
          <w:szCs w:val="22"/>
        </w:rPr>
        <w:t>p</w:t>
      </w:r>
      <w:r>
        <w:rPr>
          <w:rFonts w:cs="Arial"/>
          <w:szCs w:val="22"/>
        </w:rPr>
        <w:t xml:space="preserve">pears to the AIC to be an inconsistent approach as many ETFs are highly liquid and capable of being borrowed to meet an order.  ETFs should not be given advantages not afforded to other structures and the AIC recommends that ETFs should be treated in the same way as equities. </w:t>
      </w:r>
    </w:p>
    <w:permEnd w:id="164789936"/>
    <w:p w:rsidR="00D12AFD" w:rsidRDefault="00D12AFD" w:rsidP="00D12AFD">
      <w:r>
        <w:t>&lt;ESMA_QUESTION_TS_CSDR_8&gt;</w:t>
      </w:r>
    </w:p>
    <w:p w:rsidR="00D12AFD" w:rsidRPr="002C4F00" w:rsidRDefault="00D12AFD" w:rsidP="00965B03">
      <w:pPr>
        <w:pStyle w:val="Heading5"/>
        <w:ind w:left="567" w:hanging="567"/>
      </w:pPr>
      <w:r w:rsidRPr="002C4F00">
        <w:t>What are your views on the proposed draft RTS related to the type of operations and their timeframe that render buy-in ineffective?</w:t>
      </w:r>
    </w:p>
    <w:p w:rsidR="00D12AFD" w:rsidRDefault="00D12AFD" w:rsidP="00D12AFD"/>
    <w:p w:rsidR="00D12AFD" w:rsidRDefault="00D12AFD" w:rsidP="00D12AFD">
      <w:r>
        <w:t>&lt;ESMA_QUESTION_TS_CSDR_9&gt;</w:t>
      </w:r>
    </w:p>
    <w:p w:rsidR="00D12AFD" w:rsidRDefault="0087754C" w:rsidP="00D12AFD">
      <w:permStart w:id="1747085798" w:edGrp="everyone"/>
      <w:r>
        <w:rPr>
          <w:rFonts w:cstheme="minorHAnsi"/>
          <w:szCs w:val="22"/>
        </w:rPr>
        <w:t>The AIC considers that the RTS is too restrictive in its determination of when a buy-in is ineffe</w:t>
      </w:r>
      <w:r>
        <w:rPr>
          <w:rFonts w:cstheme="minorHAnsi"/>
          <w:szCs w:val="22"/>
        </w:rPr>
        <w:t>c</w:t>
      </w:r>
      <w:r>
        <w:rPr>
          <w:rFonts w:cstheme="minorHAnsi"/>
          <w:szCs w:val="22"/>
        </w:rPr>
        <w:t xml:space="preserve">tive.  The AIC </w:t>
      </w:r>
      <w:r w:rsidRPr="008123ED">
        <w:rPr>
          <w:rFonts w:cstheme="minorHAnsi"/>
          <w:b/>
          <w:szCs w:val="22"/>
          <w:u w:val="single"/>
        </w:rPr>
        <w:t>recommends</w:t>
      </w:r>
      <w:r>
        <w:rPr>
          <w:rFonts w:cstheme="minorHAnsi"/>
          <w:szCs w:val="22"/>
        </w:rPr>
        <w:t xml:space="preserve"> that the scope of the RTS should be expanded beyond securities lending and repo transactions to include a lack of liquidity of the equities.  ESMA notes that it would be difficult to link the possibility to process a buy-in to a measure of the liquidity of a fina</w:t>
      </w:r>
      <w:r>
        <w:rPr>
          <w:rFonts w:cstheme="minorHAnsi"/>
          <w:szCs w:val="22"/>
        </w:rPr>
        <w:t>n</w:t>
      </w:r>
      <w:r>
        <w:rPr>
          <w:rFonts w:cstheme="minorHAnsi"/>
          <w:szCs w:val="22"/>
        </w:rPr>
        <w:t xml:space="preserve">cial instrument as this measure could be very volatile and render the buy-in process difficult to perform. ESMA also notes that the fact that a financial instrument does not have a liquid market does not always prevent a buy-in being successfully processed. However, </w:t>
      </w:r>
      <w:r>
        <w:rPr>
          <w:rFonts w:cstheme="minorHAnsi"/>
          <w:bCs/>
          <w:szCs w:val="22"/>
        </w:rPr>
        <w:t>as described in the response to Q7 above, m</w:t>
      </w:r>
      <w:r w:rsidRPr="00F56D4C">
        <w:rPr>
          <w:rFonts w:cstheme="minorHAnsi"/>
          <w:bCs/>
          <w:szCs w:val="22"/>
        </w:rPr>
        <w:t xml:space="preserve">andatory buy-ins in relation to illiquid securities could lead to </w:t>
      </w:r>
      <w:r>
        <w:rPr>
          <w:rFonts w:cstheme="minorHAnsi"/>
          <w:bCs/>
          <w:szCs w:val="22"/>
        </w:rPr>
        <w:t xml:space="preserve">potential </w:t>
      </w:r>
      <w:r>
        <w:rPr>
          <w:rFonts w:cstheme="minorHAnsi"/>
          <w:bCs/>
          <w:szCs w:val="22"/>
        </w:rPr>
        <w:lastRenderedPageBreak/>
        <w:t>market abuse</w:t>
      </w:r>
      <w:r w:rsidRPr="00F56D4C">
        <w:rPr>
          <w:rFonts w:cstheme="minorHAnsi"/>
          <w:bCs/>
          <w:szCs w:val="22"/>
        </w:rPr>
        <w:t>.</w:t>
      </w:r>
      <w:r>
        <w:rPr>
          <w:rFonts w:cstheme="minorHAnsi"/>
          <w:bCs/>
          <w:szCs w:val="22"/>
        </w:rPr>
        <w:t xml:space="preserve">  The AIC also </w:t>
      </w:r>
      <w:r w:rsidRPr="00522664">
        <w:rPr>
          <w:rFonts w:cstheme="minorHAnsi"/>
          <w:b/>
          <w:bCs/>
          <w:szCs w:val="22"/>
          <w:u w:val="single"/>
        </w:rPr>
        <w:t>recommends</w:t>
      </w:r>
      <w:r>
        <w:rPr>
          <w:rFonts w:cstheme="minorHAnsi"/>
          <w:bCs/>
          <w:szCs w:val="22"/>
        </w:rPr>
        <w:t xml:space="preserve"> that the MiFIR criteria used to determine the buy-in timeframe should also be used to determine whether a buy-in is be ineffective.  </w:t>
      </w:r>
      <w:permEnd w:id="1747085798"/>
      <w:r w:rsidR="00D12AFD">
        <w:t>&lt;E</w:t>
      </w:r>
      <w:r w:rsidR="00D12AFD">
        <w:t>S</w:t>
      </w:r>
      <w:r w:rsidR="00D12AFD">
        <w:t>MA_QUESTION_TS_CSDR_9&gt;</w:t>
      </w:r>
    </w:p>
    <w:p w:rsidR="00D12AFD" w:rsidRPr="002C4F00" w:rsidRDefault="00D12AFD" w:rsidP="00965B03">
      <w:pPr>
        <w:pStyle w:val="Heading5"/>
        <w:ind w:left="567" w:hanging="567"/>
      </w:pPr>
      <w:r w:rsidRPr="002C4F00">
        <w:t>What are your views on the proposed draft RTS related to the calculation of the cash compensation?</w:t>
      </w:r>
    </w:p>
    <w:p w:rsidR="00D12AFD" w:rsidRDefault="00D12AFD" w:rsidP="00D12AFD"/>
    <w:p w:rsidR="00D12AFD" w:rsidRDefault="00D12AFD" w:rsidP="00D12AFD">
      <w:r>
        <w:t>&lt;ESMA_QUESTION_TS_CSDR_10&gt;</w:t>
      </w:r>
    </w:p>
    <w:p w:rsidR="0087754C" w:rsidRPr="0087754C" w:rsidRDefault="0087754C" w:rsidP="0087754C">
      <w:pPr>
        <w:pStyle w:val="Default"/>
        <w:jc w:val="both"/>
        <w:rPr>
          <w:rFonts w:ascii="Arial" w:hAnsi="Arial" w:cs="Arial"/>
          <w:szCs w:val="22"/>
        </w:rPr>
      </w:pPr>
      <w:permStart w:id="136387395" w:edGrp="everyone"/>
      <w:r w:rsidRPr="0087754C">
        <w:rPr>
          <w:rFonts w:ascii="Arial" w:hAnsi="Arial" w:cs="Arial"/>
          <w:bCs/>
          <w:sz w:val="22"/>
          <w:szCs w:val="22"/>
        </w:rPr>
        <w:t>As discussed above in our response to Question 7, mandatory buy-ins could lead to potential market abuse in relation to illiquid securities. Where the buy-in fails as the security is so illiquid and the buyer opts for cash compensation, the amount of the cash compensation would reflect the ramped up value. T</w:t>
      </w:r>
      <w:r w:rsidRPr="0087754C">
        <w:rPr>
          <w:rFonts w:ascii="Arial" w:hAnsi="Arial" w:cs="Arial"/>
          <w:sz w:val="22"/>
          <w:szCs w:val="22"/>
        </w:rPr>
        <w:t xml:space="preserve">he compensation system could be open to abuse by participants who have ramped up the value of the securities and the AIC </w:t>
      </w:r>
      <w:r w:rsidRPr="0087754C">
        <w:rPr>
          <w:rFonts w:ascii="Arial" w:hAnsi="Arial" w:cs="Arial"/>
          <w:b/>
          <w:sz w:val="22"/>
          <w:szCs w:val="22"/>
          <w:u w:val="single"/>
        </w:rPr>
        <w:t>recommends</w:t>
      </w:r>
      <w:r w:rsidRPr="0087754C">
        <w:rPr>
          <w:rFonts w:ascii="Arial" w:hAnsi="Arial" w:cs="Arial"/>
          <w:sz w:val="22"/>
          <w:szCs w:val="22"/>
        </w:rPr>
        <w:t xml:space="preserve"> that the compensation system should guard against this possibility.   </w:t>
      </w:r>
    </w:p>
    <w:permEnd w:id="136387395"/>
    <w:p w:rsidR="00D12AFD" w:rsidRDefault="00D12AFD" w:rsidP="00D12AFD">
      <w:r>
        <w:t>&lt;ESMA_QUESTION_TS_CSDR_10&gt;</w:t>
      </w:r>
    </w:p>
    <w:p w:rsidR="00D12AFD" w:rsidRPr="002C4F00" w:rsidRDefault="00D12AFD" w:rsidP="00965B03">
      <w:pPr>
        <w:pStyle w:val="Heading5"/>
        <w:ind w:left="567" w:hanging="567"/>
      </w:pPr>
      <w:r w:rsidRPr="002C4F00">
        <w:t>What are your views on the proposed draft RTS related to the conditions for a pa</w:t>
      </w:r>
      <w:r w:rsidRPr="002C4F00">
        <w:t>r</w:t>
      </w:r>
      <w:r w:rsidRPr="002C4F00">
        <w:t>ticipant to consistently and systematically fail?</w:t>
      </w:r>
    </w:p>
    <w:p w:rsidR="00D12AFD" w:rsidRDefault="00D12AFD" w:rsidP="00D12AFD"/>
    <w:p w:rsidR="00D12AFD" w:rsidRDefault="00D12AFD" w:rsidP="00D12AFD">
      <w:r>
        <w:t>&lt;ESMA_QUESTION_TS_CSDR_11&gt;</w:t>
      </w:r>
    </w:p>
    <w:p w:rsidR="00124278" w:rsidRDefault="00124278" w:rsidP="00124278">
      <w:permStart w:id="2025659306" w:edGrp="everyone"/>
      <w:r>
        <w:t>TYPE YOUR TEXT HERE</w:t>
      </w:r>
    </w:p>
    <w:permEnd w:id="2025659306"/>
    <w:p w:rsidR="00D12AFD" w:rsidRDefault="00D12AFD" w:rsidP="00D12AFD">
      <w:r>
        <w:t>&lt;ESMA_QUESTION_TS_CSDR_11&gt;</w:t>
      </w:r>
    </w:p>
    <w:p w:rsidR="00D12AFD" w:rsidRPr="002C4F00" w:rsidRDefault="00D12AFD" w:rsidP="00965B03">
      <w:pPr>
        <w:pStyle w:val="Heading5"/>
        <w:ind w:left="567" w:hanging="567"/>
      </w:pPr>
      <w:r w:rsidRPr="002C4F00">
        <w:t>What are your views on the proposed draft RTS related to the settlement information for CCPs and trading venues?</w:t>
      </w:r>
    </w:p>
    <w:p w:rsidR="00D12AFD" w:rsidRDefault="00D12AFD" w:rsidP="00D12AFD"/>
    <w:p w:rsidR="00D12AFD" w:rsidRDefault="00D12AFD" w:rsidP="00D12AFD">
      <w:r>
        <w:t>&lt;ESMA_QUESTION_TS_CSDR_12&gt;</w:t>
      </w:r>
    </w:p>
    <w:p w:rsidR="00124278" w:rsidRDefault="00124278" w:rsidP="00124278">
      <w:permStart w:id="229127881" w:edGrp="everyone"/>
      <w:r>
        <w:t>TYPE YOUR TEXT HERE</w:t>
      </w:r>
    </w:p>
    <w:permEnd w:id="229127881"/>
    <w:p w:rsidR="00D12AFD" w:rsidRDefault="00D12AFD" w:rsidP="00D12AFD">
      <w:r>
        <w:t>&lt;ESMA_QUESTION_TS_CSDR_12&gt;</w:t>
      </w:r>
    </w:p>
    <w:p w:rsidR="00D12AFD" w:rsidRPr="002C4F00" w:rsidRDefault="00D12AFD" w:rsidP="00965B03">
      <w:pPr>
        <w:pStyle w:val="Heading5"/>
        <w:ind w:left="567" w:hanging="567"/>
      </w:pPr>
      <w:r w:rsidRPr="002C4F00">
        <w:t>What are your views on the proposed draft RTS related to anti-avoidance rules for cash penalties and buy-in?</w:t>
      </w:r>
    </w:p>
    <w:p w:rsidR="00D12AFD" w:rsidRDefault="00D12AFD" w:rsidP="00D12AFD"/>
    <w:p w:rsidR="00D12AFD" w:rsidRDefault="00D12AFD" w:rsidP="00D12AFD">
      <w:r>
        <w:t>&lt;ESMA_QUESTION_TS_CSDR_13&gt;</w:t>
      </w:r>
    </w:p>
    <w:p w:rsidR="00124278" w:rsidRDefault="00124278" w:rsidP="00124278">
      <w:permStart w:id="1847072037" w:edGrp="everyone"/>
      <w:r>
        <w:t>TYPE YOUR TEXT HERE</w:t>
      </w:r>
    </w:p>
    <w:permEnd w:id="1847072037"/>
    <w:p w:rsidR="00D12AFD" w:rsidRDefault="00D12AFD" w:rsidP="00D12AFD">
      <w:r>
        <w:t>&lt;ESMA_QUESTION_TS_CSDR_13&gt;</w:t>
      </w:r>
    </w:p>
    <w:p w:rsidR="00D12AFD" w:rsidRPr="002C4F00" w:rsidRDefault="00D12AFD" w:rsidP="00965B03">
      <w:pPr>
        <w:pStyle w:val="Heading5"/>
        <w:ind w:left="567" w:hanging="567"/>
      </w:pPr>
      <w:r w:rsidRPr="002C4F00">
        <w:t>Do you agree that 1</w:t>
      </w:r>
      <w:r w:rsidR="00775F04">
        <w:t>8</w:t>
      </w:r>
      <w:r w:rsidRPr="002C4F00">
        <w:t xml:space="preserve"> months would be an appropriate timeframe for the implement</w:t>
      </w:r>
      <w:r w:rsidRPr="002C4F00">
        <w:t>a</w:t>
      </w:r>
      <w:r w:rsidRPr="002C4F00">
        <w:t>tion of the settlement discipline regime under CSDR? If not, what would be an a</w:t>
      </w:r>
      <w:r w:rsidRPr="002C4F00">
        <w:t>p</w:t>
      </w:r>
      <w:r w:rsidRPr="002C4F00">
        <w:t>propriate timeframe in your opinion? Please provide concrete data and evidence justifying a phase-in for the settlement discipline measures and supporting your proposals.</w:t>
      </w:r>
    </w:p>
    <w:p w:rsidR="00D12AFD" w:rsidRDefault="00D12AFD" w:rsidP="00D12AFD"/>
    <w:p w:rsidR="00D12AFD" w:rsidRDefault="00D12AFD" w:rsidP="00D12AFD">
      <w:r>
        <w:t>&lt;ESMA_QUESTION_TS_CSDR_14&gt;</w:t>
      </w:r>
    </w:p>
    <w:p w:rsidR="0087754C" w:rsidRPr="00001F9D" w:rsidRDefault="0087754C" w:rsidP="0087754C">
      <w:pPr>
        <w:tabs>
          <w:tab w:val="right" w:pos="8931"/>
        </w:tabs>
        <w:jc w:val="both"/>
        <w:rPr>
          <w:rFonts w:cstheme="minorHAnsi"/>
          <w:szCs w:val="22"/>
        </w:rPr>
      </w:pPr>
      <w:permStart w:id="468278071" w:edGrp="everyone"/>
      <w:r>
        <w:rPr>
          <w:rFonts w:cstheme="minorHAnsi"/>
          <w:szCs w:val="22"/>
        </w:rPr>
        <w:t xml:space="preserve">Whilst the AIC welcomes a delay to the introduction of the settlement discipline regime, the AIC considers that the proposed 18 months following publication of the RTS is not long enough.  The AIC </w:t>
      </w:r>
      <w:r w:rsidRPr="00726787">
        <w:rPr>
          <w:rFonts w:cstheme="minorHAnsi"/>
          <w:b/>
          <w:szCs w:val="22"/>
          <w:u w:val="single"/>
        </w:rPr>
        <w:t>recommends</w:t>
      </w:r>
      <w:r>
        <w:rPr>
          <w:rFonts w:cstheme="minorHAnsi"/>
          <w:szCs w:val="22"/>
        </w:rPr>
        <w:t xml:space="preserve"> that the settlement discipline regime should take effect 2 years from the date of publication of the RTS to give CSDs, CCPs and participants sufficient time to prepare for the required changes.  Further, allowing a longer period w</w:t>
      </w:r>
      <w:bookmarkStart w:id="3" w:name="_GoBack"/>
      <w:bookmarkEnd w:id="3"/>
      <w:r>
        <w:rPr>
          <w:rFonts w:cstheme="minorHAnsi"/>
          <w:szCs w:val="22"/>
        </w:rPr>
        <w:t>ould allow time to ensure consistency with the provisions of MiFID 2 and EMIR.</w:t>
      </w:r>
    </w:p>
    <w:permEnd w:id="468278071"/>
    <w:p w:rsidR="00D12AFD" w:rsidRDefault="00D12AFD" w:rsidP="00D12AFD">
      <w:r>
        <w:t>&lt;ESMA_QUESTION_TS_CSDR_14&gt;</w:t>
      </w:r>
    </w:p>
    <w:p w:rsidR="00D12AFD" w:rsidRPr="002C4F00" w:rsidRDefault="00D12AFD" w:rsidP="00965B03">
      <w:pPr>
        <w:pStyle w:val="Heading5"/>
        <w:ind w:left="567" w:hanging="567"/>
      </w:pPr>
      <w:r w:rsidRPr="002C4F00">
        <w:lastRenderedPageBreak/>
        <w:t>What are your views on the proposed draft RTS</w:t>
      </w:r>
      <w:r>
        <w:t xml:space="preserve"> on CSD authorisation</w:t>
      </w:r>
      <w:r w:rsidRPr="002C4F00">
        <w:t xml:space="preserve"> (Chapter II of Annex II) and draft ITS </w:t>
      </w:r>
      <w:r>
        <w:t xml:space="preserve">on CSD authorisation </w:t>
      </w:r>
      <w:r w:rsidRPr="002C4F00">
        <w:t>(Chapter I of Annex VI)?</w:t>
      </w:r>
    </w:p>
    <w:p w:rsidR="00D12AFD" w:rsidRDefault="00D12AFD" w:rsidP="00D12AFD"/>
    <w:p w:rsidR="00D12AFD" w:rsidRDefault="00D12AFD" w:rsidP="00D12AFD">
      <w:r>
        <w:t>&lt;ESMA_QUESTION_TS_CSDR_15&gt;</w:t>
      </w:r>
    </w:p>
    <w:p w:rsidR="00124278" w:rsidRDefault="00124278" w:rsidP="00124278">
      <w:permStart w:id="231827472" w:edGrp="everyone"/>
      <w:r>
        <w:t>TYPE YOUR TEXT HERE</w:t>
      </w:r>
    </w:p>
    <w:permEnd w:id="231827472"/>
    <w:p w:rsidR="00D12AFD" w:rsidRDefault="00D12AFD" w:rsidP="00D12AFD">
      <w:r>
        <w:t>&lt;ESMA_QUESTION_TS_CSDR_15&gt;</w:t>
      </w:r>
    </w:p>
    <w:p w:rsidR="00D12AFD" w:rsidRPr="002C4F00" w:rsidRDefault="00D12AFD" w:rsidP="00965B03">
      <w:pPr>
        <w:pStyle w:val="Heading5"/>
        <w:ind w:left="567" w:hanging="567"/>
      </w:pPr>
      <w:r w:rsidRPr="00C8467F">
        <w:t>What are your views on the proposed draft RTS on CSD review and evaluation (Chapter III of Annex II) and draft ITS (Chapter II of Annex VI)?</w:t>
      </w:r>
    </w:p>
    <w:p w:rsidR="00D12AFD" w:rsidRDefault="00D12AFD" w:rsidP="00D12AFD"/>
    <w:p w:rsidR="00D12AFD" w:rsidRDefault="00D12AFD" w:rsidP="00D12AFD">
      <w:r>
        <w:t>&lt;ESMA_QUESTION_TS_CSDR_16&gt;</w:t>
      </w:r>
    </w:p>
    <w:p w:rsidR="00124278" w:rsidRDefault="00124278" w:rsidP="00124278">
      <w:permStart w:id="1031159536" w:edGrp="everyone"/>
      <w:r>
        <w:t>TYPE YOUR TEXT HERE</w:t>
      </w:r>
    </w:p>
    <w:permEnd w:id="1031159536"/>
    <w:p w:rsidR="00D12AFD" w:rsidRDefault="00D12AFD" w:rsidP="00D12AFD">
      <w:r>
        <w:t>&lt;ESMA_QUESTION_TS_CSDR_16&gt;</w:t>
      </w:r>
    </w:p>
    <w:p w:rsidR="00D12AFD" w:rsidRPr="002C4F00" w:rsidRDefault="00D12AFD" w:rsidP="00965B03">
      <w:pPr>
        <w:pStyle w:val="Heading5"/>
        <w:ind w:left="567" w:hanging="567"/>
      </w:pPr>
      <w:r w:rsidRPr="002C4F00">
        <w:t xml:space="preserve">What are your views on the proposed draft ITS </w:t>
      </w:r>
      <w:r>
        <w:t xml:space="preserve">on cooperation arrangements </w:t>
      </w:r>
      <w:r w:rsidRPr="002C4F00">
        <w:t>as in</w:t>
      </w:r>
      <w:r>
        <w:t xml:space="preserve">cluded in Chapter III of Annex </w:t>
      </w:r>
      <w:r w:rsidRPr="002C4F00">
        <w:t>VI?</w:t>
      </w:r>
    </w:p>
    <w:p w:rsidR="00D12AFD" w:rsidRDefault="00D12AFD" w:rsidP="00D12AFD"/>
    <w:p w:rsidR="00D12AFD" w:rsidRDefault="00D12AFD" w:rsidP="00D12AFD">
      <w:r>
        <w:t>&lt;ESMA_QUESTION_TS_CSDR_17&gt;</w:t>
      </w:r>
    </w:p>
    <w:p w:rsidR="00124278" w:rsidRDefault="00124278" w:rsidP="00124278">
      <w:permStart w:id="625287440" w:edGrp="everyone"/>
      <w:r>
        <w:t>TYPE YOUR TEXT HERE</w:t>
      </w:r>
    </w:p>
    <w:permEnd w:id="625287440"/>
    <w:p w:rsidR="00D12AFD" w:rsidRDefault="00D12AFD" w:rsidP="00D12AFD">
      <w:r>
        <w:t>&lt;ESMA_QUESTION_TS_CSDR_17&gt;</w:t>
      </w:r>
    </w:p>
    <w:p w:rsidR="00D12AFD" w:rsidRPr="002C4F00" w:rsidRDefault="00D12AFD" w:rsidP="00965B03">
      <w:pPr>
        <w:pStyle w:val="Heading5"/>
        <w:ind w:left="567" w:hanging="567"/>
      </w:pPr>
      <w:r w:rsidRPr="002C4F00">
        <w:t>What are your views on the proposed draft RTS</w:t>
      </w:r>
      <w:r>
        <w:t xml:space="preserve"> on CSD recognition (Chapter IV of Annex II)</w:t>
      </w:r>
      <w:r w:rsidRPr="002C4F00">
        <w:t>?</w:t>
      </w:r>
    </w:p>
    <w:p w:rsidR="00D12AFD" w:rsidRDefault="00D12AFD" w:rsidP="00D12AFD"/>
    <w:p w:rsidR="00D12AFD" w:rsidRDefault="00D12AFD" w:rsidP="00D12AFD">
      <w:r>
        <w:t>&lt;ESMA_QUESTION_TS_CSDR_18&gt;</w:t>
      </w:r>
    </w:p>
    <w:p w:rsidR="00D12AFD" w:rsidRDefault="00D12AFD" w:rsidP="00D12AFD">
      <w:permStart w:id="924320031" w:edGrp="everyone"/>
      <w:r>
        <w:t>TYPE YOUR TEXT HERE</w:t>
      </w:r>
    </w:p>
    <w:permEnd w:id="924320031"/>
    <w:p w:rsidR="00D12AFD" w:rsidRDefault="00D12AFD" w:rsidP="00D12AFD">
      <w:r>
        <w:t>&lt;ESMA_QUESTION_TS_CSDR_18&gt;</w:t>
      </w:r>
    </w:p>
    <w:p w:rsidR="00D12AFD" w:rsidRPr="002C4F00" w:rsidRDefault="00D12AFD" w:rsidP="00965B03">
      <w:pPr>
        <w:pStyle w:val="Heading5"/>
        <w:ind w:left="567" w:hanging="567"/>
      </w:pPr>
      <w:r w:rsidRPr="002C4F00">
        <w:t>What are your views on the proposed approach regarding the determination of the most relevant currencies?</w:t>
      </w:r>
    </w:p>
    <w:p w:rsidR="00D12AFD" w:rsidRDefault="00D12AFD" w:rsidP="00D12AFD"/>
    <w:p w:rsidR="00D12AFD" w:rsidRDefault="00D12AFD" w:rsidP="00D12AFD">
      <w:r>
        <w:t>&lt;ESMA_QUESTION_TS_CSDR_19&gt;</w:t>
      </w:r>
    </w:p>
    <w:p w:rsidR="00124278" w:rsidRDefault="00124278" w:rsidP="00124278">
      <w:permStart w:id="1923109762" w:edGrp="everyone"/>
      <w:r>
        <w:t>TYPE YOUR TEXT HERE</w:t>
      </w:r>
    </w:p>
    <w:permEnd w:id="1923109762"/>
    <w:p w:rsidR="00D12AFD" w:rsidRDefault="00D12AFD" w:rsidP="00D12AFD">
      <w:r>
        <w:t>&lt;ESMA_QUESTION_TS_CSDR_19&gt;</w:t>
      </w:r>
    </w:p>
    <w:p w:rsidR="00D12AFD" w:rsidRPr="002C4F00" w:rsidRDefault="00D12AFD" w:rsidP="00965B03">
      <w:pPr>
        <w:pStyle w:val="Heading5"/>
        <w:ind w:left="567" w:hanging="567"/>
      </w:pPr>
      <w:r w:rsidRPr="002C4F00">
        <w:t xml:space="preserve">What are your views on the proposed draft RTS </w:t>
      </w:r>
      <w:r>
        <w:t>on banking type of ancillary se</w:t>
      </w:r>
      <w:r>
        <w:t>r</w:t>
      </w:r>
      <w:r>
        <w:t xml:space="preserve">vices </w:t>
      </w:r>
      <w:r w:rsidRPr="002C4F00">
        <w:t xml:space="preserve">(Chapter VI of Annex II) and draft ITS </w:t>
      </w:r>
      <w:r>
        <w:t xml:space="preserve">on banking type of ancillary services </w:t>
      </w:r>
      <w:r w:rsidRPr="002C4F00">
        <w:t>(Chapter IV of Annex VI)?</w:t>
      </w:r>
    </w:p>
    <w:p w:rsidR="00D12AFD" w:rsidRDefault="00D12AFD" w:rsidP="00D12AFD"/>
    <w:p w:rsidR="00D12AFD" w:rsidRDefault="00D12AFD" w:rsidP="00D12AFD">
      <w:r>
        <w:t>&lt;ESMA_QUESTION_TS_CSDR_20&gt;</w:t>
      </w:r>
    </w:p>
    <w:p w:rsidR="00124278" w:rsidRDefault="00124278" w:rsidP="00124278">
      <w:permStart w:id="1241522576" w:edGrp="everyone"/>
      <w:r>
        <w:t>TYPE YOUR TEXT HERE</w:t>
      </w:r>
    </w:p>
    <w:permEnd w:id="1241522576"/>
    <w:p w:rsidR="00D12AFD" w:rsidRDefault="00D12AFD" w:rsidP="00D12AFD">
      <w:r>
        <w:t>&lt;ESMA_QUESTION_TS_CSDR_20&gt;</w:t>
      </w:r>
    </w:p>
    <w:p w:rsidR="00D12AFD" w:rsidRPr="002C4F00" w:rsidRDefault="00D12AFD" w:rsidP="00965B03">
      <w:pPr>
        <w:pStyle w:val="Heading5"/>
        <w:ind w:left="567" w:hanging="567"/>
      </w:pPr>
      <w:r w:rsidRPr="002C4F00">
        <w:t>What are your views on the proposed draft RTS</w:t>
      </w:r>
      <w:r>
        <w:t xml:space="preserve"> on CSD participations</w:t>
      </w:r>
      <w:r w:rsidRPr="002C4F00">
        <w:t xml:space="preserve"> (Chapter II of Annex III)?</w:t>
      </w:r>
    </w:p>
    <w:p w:rsidR="00D12AFD" w:rsidRDefault="00D12AFD" w:rsidP="00D12AFD"/>
    <w:p w:rsidR="00D12AFD" w:rsidRDefault="00D12AFD" w:rsidP="00D12AFD">
      <w:r>
        <w:t>&lt;ESMA_QUESTION_TS_CSDR_21&gt;</w:t>
      </w:r>
    </w:p>
    <w:p w:rsidR="00124278" w:rsidRDefault="00124278" w:rsidP="00124278">
      <w:permStart w:id="1511925497" w:edGrp="everyone"/>
      <w:r>
        <w:t>TYPE YOUR TEXT HERE</w:t>
      </w:r>
    </w:p>
    <w:permEnd w:id="1511925497"/>
    <w:p w:rsidR="00D12AFD" w:rsidRDefault="00D12AFD" w:rsidP="00D12AFD">
      <w:r>
        <w:t>&lt;ESMA_QUESTION_TS_CSDR_21&gt;</w:t>
      </w:r>
    </w:p>
    <w:p w:rsidR="00D12AFD" w:rsidRDefault="00D12AFD" w:rsidP="00965B03">
      <w:pPr>
        <w:pStyle w:val="Heading5"/>
        <w:ind w:left="567" w:hanging="567"/>
      </w:pPr>
      <w:r w:rsidRPr="00C8467F">
        <w:t>What are your views on the proposed draft RTS on CSD risk monitoring tools (Cha</w:t>
      </w:r>
      <w:r w:rsidRPr="00C8467F">
        <w:t>p</w:t>
      </w:r>
      <w:r w:rsidRPr="00C8467F">
        <w:t>ter III of Annex III)?</w:t>
      </w:r>
    </w:p>
    <w:p w:rsidR="00D12AFD" w:rsidRDefault="00D12AFD" w:rsidP="00D12AFD"/>
    <w:p w:rsidR="00D12AFD" w:rsidRDefault="00D12AFD" w:rsidP="00D12AFD">
      <w:r>
        <w:lastRenderedPageBreak/>
        <w:t>&lt;ESMA_QUESTION_TS_CSDR_22&gt;</w:t>
      </w:r>
    </w:p>
    <w:p w:rsidR="00D12AFD" w:rsidRDefault="00D12AFD" w:rsidP="00D12AFD">
      <w:permStart w:id="364186321" w:edGrp="everyone"/>
      <w:r>
        <w:t>TYPE YOUR TEXT HERE</w:t>
      </w:r>
    </w:p>
    <w:permEnd w:id="364186321"/>
    <w:p w:rsidR="00D12AFD" w:rsidRDefault="00D12AFD" w:rsidP="00D12AFD">
      <w:r>
        <w:t>&lt;ESMA_QUESTION_TS_CSDR_22&gt;</w:t>
      </w:r>
    </w:p>
    <w:p w:rsidR="00D12AFD" w:rsidRDefault="00D12AFD" w:rsidP="00965B03">
      <w:pPr>
        <w:pStyle w:val="Heading5"/>
        <w:ind w:left="567" w:hanging="567"/>
      </w:pPr>
      <w:r w:rsidRPr="00C8467F">
        <w:t>What are your views on the proposed draft RTS on CSD record keeping (Chapter IV of Annex III) and draft ITS on CSD record keeping (Annex VII)?</w:t>
      </w:r>
    </w:p>
    <w:p w:rsidR="00D12AFD" w:rsidRDefault="00D12AFD" w:rsidP="00D12AFD"/>
    <w:p w:rsidR="00D12AFD" w:rsidRDefault="00D12AFD" w:rsidP="00D12AFD">
      <w:r>
        <w:t>&lt;ESMA_QUESTION_TS_CSDR_23&gt;</w:t>
      </w:r>
    </w:p>
    <w:p w:rsidR="00124278" w:rsidRDefault="00124278" w:rsidP="00124278">
      <w:permStart w:id="1622440243" w:edGrp="everyone"/>
      <w:r>
        <w:t>TYPE YOUR TEXT HERE</w:t>
      </w:r>
    </w:p>
    <w:permEnd w:id="1622440243"/>
    <w:p w:rsidR="00D12AFD" w:rsidRDefault="00D12AFD" w:rsidP="00D12AFD">
      <w:r>
        <w:t>&lt;ESMA_QUESTION_TS_CSDR_23&gt;</w:t>
      </w:r>
    </w:p>
    <w:p w:rsidR="00D12AFD" w:rsidRPr="002C4F00" w:rsidRDefault="00D12AFD" w:rsidP="00965B03">
      <w:pPr>
        <w:pStyle w:val="Heading5"/>
        <w:ind w:left="567" w:hanging="567"/>
      </w:pPr>
      <w:r w:rsidRPr="002C4F00">
        <w:t>What are your views on the types of records to be retained by CSDs in relation to ancillary services as included in the Annex to the draft RTS on CSD Requirements (Annex III)? Please provide examples regarding the formats of the records to be r</w:t>
      </w:r>
      <w:r w:rsidRPr="002C4F00">
        <w:t>e</w:t>
      </w:r>
      <w:r w:rsidRPr="002C4F00">
        <w:t>tained by CSDs in relation to ancillary services.</w:t>
      </w:r>
    </w:p>
    <w:p w:rsidR="00D12AFD" w:rsidRDefault="00D12AFD" w:rsidP="00D12AFD"/>
    <w:p w:rsidR="00D12AFD" w:rsidRDefault="00D12AFD" w:rsidP="00D12AFD">
      <w:r>
        <w:t>&lt;ESMA_QUESTION_TS_CSDR_25&gt;</w:t>
      </w:r>
    </w:p>
    <w:p w:rsidR="00124278" w:rsidRDefault="00124278" w:rsidP="00124278">
      <w:permStart w:id="1031607935" w:edGrp="everyone"/>
      <w:r>
        <w:t>TYPE YOUR TEXT HERE</w:t>
      </w:r>
    </w:p>
    <w:permEnd w:id="1031607935"/>
    <w:p w:rsidR="00D12AFD" w:rsidRDefault="00D12AFD" w:rsidP="00D12AFD">
      <w:r>
        <w:t>&lt;ESMA_QUESTION_TS_CSDR_25&gt;</w:t>
      </w:r>
    </w:p>
    <w:p w:rsidR="00D12AFD" w:rsidRPr="002C4F00" w:rsidRDefault="00D12AFD" w:rsidP="00965B03">
      <w:pPr>
        <w:pStyle w:val="Heading5"/>
        <w:ind w:left="567" w:hanging="567"/>
      </w:pPr>
      <w:r w:rsidRPr="002C4F00">
        <w:t>What are your views on the proposed draft RTS</w:t>
      </w:r>
      <w:r>
        <w:t xml:space="preserve"> on reconciliation measures</w:t>
      </w:r>
      <w:r w:rsidRPr="002C4F00">
        <w:t xml:space="preserve"> included in Chapter V of Annex III?</w:t>
      </w:r>
    </w:p>
    <w:p w:rsidR="00D12AFD" w:rsidRDefault="00D12AFD" w:rsidP="00D12AFD"/>
    <w:p w:rsidR="00D12AFD" w:rsidRDefault="00D12AFD" w:rsidP="00D12AFD">
      <w:r>
        <w:t>&lt;ESMA_QUESTION_TS_CSDR_25&gt;</w:t>
      </w:r>
    </w:p>
    <w:p w:rsidR="00124278" w:rsidRDefault="00124278" w:rsidP="00124278">
      <w:permStart w:id="1636248097" w:edGrp="everyone"/>
      <w:r>
        <w:t>TYPE YOUR TEXT HERE</w:t>
      </w:r>
    </w:p>
    <w:permEnd w:id="1636248097"/>
    <w:p w:rsidR="00D12AFD" w:rsidRDefault="00D12AFD" w:rsidP="00D12AFD">
      <w:r>
        <w:t>&lt;ESMA_QUESTION_TS_CSDR_25&gt;</w:t>
      </w:r>
    </w:p>
    <w:p w:rsidR="00D12AFD" w:rsidRPr="002C4F00" w:rsidRDefault="00D12AFD" w:rsidP="00965B03">
      <w:pPr>
        <w:pStyle w:val="Heading5"/>
        <w:ind w:left="567" w:hanging="567"/>
      </w:pPr>
      <w:r w:rsidRPr="002C4F00">
        <w:t>Do you believe that the proposed reconciliation measures where other entities are involved in the reconciliation process for a certain securities issue within the mea</w:t>
      </w:r>
      <w:r w:rsidRPr="002C4F00">
        <w:t>n</w:t>
      </w:r>
      <w:r w:rsidRPr="002C4F00">
        <w:t>ing of Article 37(2) of CSDR are adequate? Please explain if you think that any of the proposed measures would not be applicable in the case of a specific entity. Please provide examples of any additional measures that would be relevant in the case of specific entities.</w:t>
      </w:r>
    </w:p>
    <w:p w:rsidR="00D12AFD" w:rsidRDefault="00D12AFD" w:rsidP="00D12AFD"/>
    <w:p w:rsidR="00D12AFD" w:rsidRDefault="00D12AFD" w:rsidP="00D12AFD">
      <w:r>
        <w:t>&lt;ESMA_QUESTION_TS_CSDR_26&gt;</w:t>
      </w:r>
    </w:p>
    <w:p w:rsidR="00124278" w:rsidRDefault="00124278" w:rsidP="00124278">
      <w:permStart w:id="677465093" w:edGrp="everyone"/>
      <w:r>
        <w:t>TYPE YOUR TEXT HERE</w:t>
      </w:r>
    </w:p>
    <w:permEnd w:id="677465093"/>
    <w:p w:rsidR="00D12AFD" w:rsidRDefault="00D12AFD" w:rsidP="00D12AFD">
      <w:r>
        <w:t>&lt;ESMA_QUESTION_TS_CSDR_26&gt;</w:t>
      </w:r>
    </w:p>
    <w:p w:rsidR="00F1314C" w:rsidRDefault="00F1314C" w:rsidP="00F1314C">
      <w:pPr>
        <w:pStyle w:val="Heading5"/>
      </w:pPr>
      <w:r w:rsidRPr="00F1314C">
        <w:t>What are your views on the proposed reconciliation measures for corporate a</w:t>
      </w:r>
      <w:r w:rsidRPr="00F1314C">
        <w:t>c</w:t>
      </w:r>
      <w:r w:rsidRPr="00F1314C">
        <w:t>tions under Article 15 of the draft RTS included in Chapter V of Annex III?</w:t>
      </w:r>
    </w:p>
    <w:p w:rsidR="00F1314C" w:rsidRDefault="00F1314C" w:rsidP="00F1314C"/>
    <w:p w:rsidR="00252063" w:rsidRDefault="00252063" w:rsidP="00252063">
      <w:r>
        <w:t>&lt;ESMA_QUESTION_TS_CSDR_27&gt;</w:t>
      </w:r>
    </w:p>
    <w:p w:rsidR="00124278" w:rsidRDefault="00124278" w:rsidP="00124278">
      <w:permStart w:id="1281249520" w:edGrp="everyone"/>
      <w:r>
        <w:t>TYPE YOUR TEXT HERE</w:t>
      </w:r>
    </w:p>
    <w:permEnd w:id="1281249520"/>
    <w:p w:rsidR="00252063" w:rsidRDefault="00252063" w:rsidP="00252063">
      <w:r>
        <w:t>&lt;ESMA_QUESTION_TS_CSDR_27&gt;</w:t>
      </w:r>
    </w:p>
    <w:p w:rsidR="00F1314C" w:rsidRPr="00F1314C" w:rsidRDefault="00F1314C" w:rsidP="00F1314C"/>
    <w:p w:rsidR="00D12AFD" w:rsidRPr="002C4F00" w:rsidRDefault="00D12AFD" w:rsidP="00965B03">
      <w:pPr>
        <w:pStyle w:val="Heading5"/>
        <w:ind w:left="567" w:hanging="567"/>
      </w:pPr>
      <w:r w:rsidRPr="00C8467F">
        <w:t>What are your views on the proposed draft RTS on CSD operational risks included in Chapter VI of Annex III?</w:t>
      </w:r>
    </w:p>
    <w:p w:rsidR="00D12AFD" w:rsidRDefault="00D12AFD" w:rsidP="00D12AFD"/>
    <w:p w:rsidR="00D12AFD" w:rsidRDefault="00D12AFD" w:rsidP="00D12AFD">
      <w:r>
        <w:t>&lt;ESMA_QUESTION_TS_CSDR_2</w:t>
      </w:r>
      <w:r w:rsidR="00252063">
        <w:t>8</w:t>
      </w:r>
      <w:r>
        <w:t>&gt;</w:t>
      </w:r>
    </w:p>
    <w:p w:rsidR="00124278" w:rsidRDefault="00124278" w:rsidP="00124278">
      <w:permStart w:id="2072209217" w:edGrp="everyone"/>
      <w:r>
        <w:t>TYPE YOUR TEXT HERE</w:t>
      </w:r>
    </w:p>
    <w:permEnd w:id="2072209217"/>
    <w:p w:rsidR="00D12AFD" w:rsidRDefault="00D12AFD" w:rsidP="00D12AFD">
      <w:r>
        <w:t>&lt;ESMA_QUESTION_TS_CSDR_2</w:t>
      </w:r>
      <w:r w:rsidR="00252063">
        <w:t>8</w:t>
      </w:r>
      <w:r>
        <w:t>&gt;</w:t>
      </w:r>
    </w:p>
    <w:p w:rsidR="00D12AFD" w:rsidRPr="002C4F00" w:rsidRDefault="00D12AFD" w:rsidP="00965B03">
      <w:pPr>
        <w:pStyle w:val="Heading5"/>
        <w:ind w:left="567" w:hanging="567"/>
      </w:pPr>
      <w:r w:rsidRPr="00C8467F">
        <w:lastRenderedPageBreak/>
        <w:t>What are your views on the proposed draft RTS on CSD investment policy (Chapter VII of Annex III)?</w:t>
      </w:r>
    </w:p>
    <w:p w:rsidR="00D12AFD" w:rsidRDefault="00D12AFD" w:rsidP="00D12AFD"/>
    <w:p w:rsidR="00D12AFD" w:rsidRDefault="00D12AFD" w:rsidP="00D12AFD">
      <w:r>
        <w:t>&lt;ESMA_QUESTION_TS_CSDR_2</w:t>
      </w:r>
      <w:r w:rsidR="00252063">
        <w:t>9</w:t>
      </w:r>
      <w:r>
        <w:t>&gt;</w:t>
      </w:r>
    </w:p>
    <w:p w:rsidR="00124278" w:rsidRDefault="00124278" w:rsidP="00124278">
      <w:permStart w:id="9186633" w:edGrp="everyone"/>
      <w:r>
        <w:t>TYPE YOUR TEXT HERE</w:t>
      </w:r>
    </w:p>
    <w:permEnd w:id="9186633"/>
    <w:p w:rsidR="00D12AFD" w:rsidRDefault="00D12AFD" w:rsidP="00D12AFD">
      <w:r>
        <w:t>&lt;ESMA_QUESTION_TS_CSDR_2</w:t>
      </w:r>
      <w:r w:rsidR="00252063">
        <w:t>9</w:t>
      </w:r>
      <w:r>
        <w:t>&gt;</w:t>
      </w:r>
    </w:p>
    <w:p w:rsidR="00D12AFD" w:rsidRPr="002C4F00" w:rsidRDefault="00D12AFD" w:rsidP="00965B03">
      <w:pPr>
        <w:pStyle w:val="Heading5"/>
        <w:ind w:left="567" w:hanging="567"/>
      </w:pPr>
      <w:r w:rsidRPr="002C4F00">
        <w:t>What are your views on the proposed draft RTS on access (Chapters I-III of Annex IV) and draft ITS on access (Annex VIII)?</w:t>
      </w:r>
    </w:p>
    <w:p w:rsidR="00D12AFD" w:rsidRDefault="00D12AFD" w:rsidP="00D12AFD"/>
    <w:p w:rsidR="00D12AFD" w:rsidRDefault="00D12AFD" w:rsidP="00D12AFD">
      <w:r>
        <w:t>&lt;ESMA_QUESTION_TS_CSDR_</w:t>
      </w:r>
      <w:r w:rsidR="00252063">
        <w:t>30</w:t>
      </w:r>
      <w:r>
        <w:t>&gt;</w:t>
      </w:r>
    </w:p>
    <w:p w:rsidR="00124278" w:rsidRDefault="00124278" w:rsidP="00124278">
      <w:permStart w:id="2095985356" w:edGrp="everyone"/>
      <w:r>
        <w:t>TYPE YOUR TEXT HERE</w:t>
      </w:r>
    </w:p>
    <w:permEnd w:id="2095985356"/>
    <w:p w:rsidR="00D12AFD" w:rsidRDefault="00D12AFD" w:rsidP="00D12AFD">
      <w:r>
        <w:t>&lt;ESMA_QUESTION_TS_CSDR_</w:t>
      </w:r>
      <w:r w:rsidR="00252063">
        <w:t>30</w:t>
      </w:r>
      <w:r>
        <w:t>&gt;</w:t>
      </w:r>
    </w:p>
    <w:p w:rsidR="00D12AFD" w:rsidRPr="002C4F00" w:rsidRDefault="00D12AFD" w:rsidP="00965B03">
      <w:pPr>
        <w:pStyle w:val="Heading5"/>
        <w:ind w:left="567" w:hanging="567"/>
      </w:pPr>
      <w:r w:rsidRPr="002C4F00">
        <w:t>What are your views on the proposed draft RTS on CSD links as included in Chapter IV of Annex IV?</w:t>
      </w:r>
    </w:p>
    <w:p w:rsidR="00D12AFD" w:rsidRDefault="00D12AFD" w:rsidP="00D12AFD"/>
    <w:p w:rsidR="00D12AFD" w:rsidRDefault="00D12AFD" w:rsidP="00D12AFD">
      <w:r>
        <w:t>&lt;ESMA_QUESTION_TS_CSDR_3</w:t>
      </w:r>
      <w:r w:rsidR="00252063">
        <w:t>1</w:t>
      </w:r>
      <w:r>
        <w:t>&gt;</w:t>
      </w:r>
    </w:p>
    <w:p w:rsidR="00124278" w:rsidRDefault="00124278" w:rsidP="00124278">
      <w:permStart w:id="34241000" w:edGrp="everyone"/>
      <w:r>
        <w:t>TYPE YOUR TEXT HERE</w:t>
      </w:r>
    </w:p>
    <w:permEnd w:id="34241000"/>
    <w:p w:rsidR="00D12AFD" w:rsidRPr="002C4F00" w:rsidRDefault="00D12AFD" w:rsidP="00D12AFD">
      <w:r>
        <w:t>&lt;ESMA_QUESTION_TS_CSDR_3</w:t>
      </w:r>
      <w:r w:rsidR="00252063">
        <w:t>1</w:t>
      </w:r>
      <w:r>
        <w:t>&gt;</w:t>
      </w:r>
    </w:p>
    <w:p w:rsidR="00D12AFD" w:rsidRPr="002C4F00" w:rsidRDefault="00D12AFD" w:rsidP="00965B03">
      <w:pPr>
        <w:pStyle w:val="Heading5"/>
        <w:ind w:left="567" w:hanging="567"/>
      </w:pPr>
      <w:r w:rsidRPr="00C8467F">
        <w:t>What are your views on the proposed draft RTS on internalised settlement (Annex V) and draft ITS on internalised settlement (Annex IX)?</w:t>
      </w:r>
    </w:p>
    <w:p w:rsidR="00D12AFD" w:rsidRDefault="00D12AFD" w:rsidP="00D12AFD"/>
    <w:p w:rsidR="00D12AFD" w:rsidRDefault="00D12AFD" w:rsidP="00D12AFD">
      <w:r>
        <w:t>&lt;ESMA_QUESTION_TS_CSDR_3</w:t>
      </w:r>
      <w:r w:rsidR="00252063">
        <w:t>2</w:t>
      </w:r>
      <w:r>
        <w:t>&gt;</w:t>
      </w:r>
    </w:p>
    <w:p w:rsidR="00124278" w:rsidRDefault="00124278" w:rsidP="00124278">
      <w:permStart w:id="1575254563" w:edGrp="everyone"/>
      <w:r>
        <w:t>TYPE YOUR TEXT HERE</w:t>
      </w:r>
    </w:p>
    <w:permEnd w:id="1575254563"/>
    <w:p w:rsidR="00F05A8C" w:rsidRDefault="00D12AFD" w:rsidP="00CE149D">
      <w:r>
        <w:t>&lt;ESMA_QUESTION_TS_CSDR_3</w:t>
      </w:r>
      <w:r w:rsidR="00252063">
        <w:t>2</w:t>
      </w:r>
      <w:r>
        <w:t>&gt;</w:t>
      </w:r>
    </w:p>
    <w:sectPr w:rsidR="00F05A8C" w:rsidSect="000D17AA">
      <w:headerReference w:type="even" r:id="rId15"/>
      <w:headerReference w:type="first" r:id="rId16"/>
      <w:footerReference w:type="first" r:id="rId17"/>
      <w:pgSz w:w="11906" w:h="16838" w:code="9"/>
      <w:pgMar w:top="2552"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DCC" w:rsidRDefault="007A3DCC">
      <w:r>
        <w:separator/>
      </w:r>
    </w:p>
    <w:p w:rsidR="007A3DCC" w:rsidRDefault="007A3DCC"/>
  </w:endnote>
  <w:endnote w:type="continuationSeparator" w:id="0">
    <w:p w:rsidR="007A3DCC" w:rsidRDefault="007A3DCC">
      <w:r>
        <w:continuationSeparator/>
      </w:r>
    </w:p>
    <w:p w:rsidR="007A3DCC" w:rsidRDefault="007A3DCC"/>
  </w:endnote>
  <w:endnote w:type="continuationNotice" w:id="1">
    <w:p w:rsidR="007A3DCC" w:rsidRDefault="007A3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D41FC9">
            <w:rPr>
              <w:noProof/>
            </w:rPr>
            <w:t>8</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DCC" w:rsidRDefault="007A3DCC">
      <w:r>
        <w:separator/>
      </w:r>
    </w:p>
    <w:p w:rsidR="007A3DCC" w:rsidRDefault="007A3DCC"/>
  </w:footnote>
  <w:footnote w:type="continuationSeparator" w:id="0">
    <w:p w:rsidR="007A3DCC" w:rsidRDefault="007A3DCC">
      <w:r>
        <w:continuationSeparator/>
      </w:r>
    </w:p>
    <w:p w:rsidR="007A3DCC" w:rsidRDefault="007A3DCC"/>
  </w:footnote>
  <w:footnote w:type="continuationNotice" w:id="1">
    <w:p w:rsidR="007A3DCC" w:rsidRDefault="007A3D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91EDE">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91EDE"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891EDE">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FE2226F2"/>
    <w:lvl w:ilvl="0" w:tplc="659EE572">
      <w:start w:val="1"/>
      <w:numFmt w:val="decimal"/>
      <w:pStyle w:val="Heading5"/>
      <w:lvlText w:val="Q%1:"/>
      <w:lvlJc w:val="left"/>
      <w:pPr>
        <w:ind w:left="502" w:hanging="360"/>
      </w:pPr>
      <w:rPr>
        <w:rFonts w:ascii="Arial" w:hAnsi="Arial" w:hint="default"/>
        <w:b/>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37528C7"/>
    <w:multiLevelType w:val="hybridMultilevel"/>
    <w:tmpl w:val="3CFC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7"/>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5"/>
  </w:num>
  <w:num w:numId="42">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68IPXscLkNoz6f8cSWrvcDQ2IE8=" w:salt="vJSWgQEkbBNy9ANyilTFk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278"/>
    <w:rsid w:val="001244CD"/>
    <w:rsid w:val="0012566F"/>
    <w:rsid w:val="001260DB"/>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946"/>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64F6"/>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063"/>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4E9B"/>
    <w:rsid w:val="00286064"/>
    <w:rsid w:val="002867B1"/>
    <w:rsid w:val="00287BBB"/>
    <w:rsid w:val="00287E3B"/>
    <w:rsid w:val="00290638"/>
    <w:rsid w:val="00291763"/>
    <w:rsid w:val="00291D80"/>
    <w:rsid w:val="00293156"/>
    <w:rsid w:val="00293BE7"/>
    <w:rsid w:val="002946DC"/>
    <w:rsid w:val="00295156"/>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0386"/>
    <w:rsid w:val="0033194F"/>
    <w:rsid w:val="00332406"/>
    <w:rsid w:val="00332D8D"/>
    <w:rsid w:val="00335027"/>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0F5E"/>
    <w:rsid w:val="003926C1"/>
    <w:rsid w:val="00392900"/>
    <w:rsid w:val="00393357"/>
    <w:rsid w:val="00395E7B"/>
    <w:rsid w:val="00395F4C"/>
    <w:rsid w:val="003A6591"/>
    <w:rsid w:val="003A6E9A"/>
    <w:rsid w:val="003B08C8"/>
    <w:rsid w:val="003B2567"/>
    <w:rsid w:val="003B381A"/>
    <w:rsid w:val="003B4976"/>
    <w:rsid w:val="003B4B3F"/>
    <w:rsid w:val="003B4C4A"/>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916"/>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364"/>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2ED1"/>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179F"/>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F04"/>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DCC"/>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BCC"/>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106"/>
    <w:rsid w:val="007F5066"/>
    <w:rsid w:val="007F621C"/>
    <w:rsid w:val="007F7155"/>
    <w:rsid w:val="00800C28"/>
    <w:rsid w:val="0080245E"/>
    <w:rsid w:val="00803480"/>
    <w:rsid w:val="0080359C"/>
    <w:rsid w:val="008037AE"/>
    <w:rsid w:val="008043F4"/>
    <w:rsid w:val="00804BB4"/>
    <w:rsid w:val="00805D9F"/>
    <w:rsid w:val="00805DF1"/>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1A83"/>
    <w:rsid w:val="008525FF"/>
    <w:rsid w:val="00852C03"/>
    <w:rsid w:val="0085590C"/>
    <w:rsid w:val="008575EB"/>
    <w:rsid w:val="00862DDD"/>
    <w:rsid w:val="0086326D"/>
    <w:rsid w:val="00863CC1"/>
    <w:rsid w:val="00865B01"/>
    <w:rsid w:val="00866D7A"/>
    <w:rsid w:val="00866EE3"/>
    <w:rsid w:val="00871F04"/>
    <w:rsid w:val="008746C1"/>
    <w:rsid w:val="0087754C"/>
    <w:rsid w:val="00880224"/>
    <w:rsid w:val="0088244C"/>
    <w:rsid w:val="00883367"/>
    <w:rsid w:val="00884C47"/>
    <w:rsid w:val="00885E6F"/>
    <w:rsid w:val="008861AC"/>
    <w:rsid w:val="008868E4"/>
    <w:rsid w:val="00886A60"/>
    <w:rsid w:val="0088759B"/>
    <w:rsid w:val="008909B4"/>
    <w:rsid w:val="00891EDE"/>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5B03"/>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C1D"/>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4B2"/>
    <w:rsid w:val="00B91B86"/>
    <w:rsid w:val="00B927CA"/>
    <w:rsid w:val="00B928AE"/>
    <w:rsid w:val="00B93CDA"/>
    <w:rsid w:val="00B942E9"/>
    <w:rsid w:val="00B9433A"/>
    <w:rsid w:val="00B948EE"/>
    <w:rsid w:val="00B94BF3"/>
    <w:rsid w:val="00B94F90"/>
    <w:rsid w:val="00B95DC5"/>
    <w:rsid w:val="00B97E34"/>
    <w:rsid w:val="00B97FEF"/>
    <w:rsid w:val="00BA1354"/>
    <w:rsid w:val="00BA1DEE"/>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3046"/>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0D38"/>
    <w:rsid w:val="00C413FC"/>
    <w:rsid w:val="00C43D33"/>
    <w:rsid w:val="00C44407"/>
    <w:rsid w:val="00C456E8"/>
    <w:rsid w:val="00C46630"/>
    <w:rsid w:val="00C47A2F"/>
    <w:rsid w:val="00C50D18"/>
    <w:rsid w:val="00C51179"/>
    <w:rsid w:val="00C5282C"/>
    <w:rsid w:val="00C52FBE"/>
    <w:rsid w:val="00C5355E"/>
    <w:rsid w:val="00C53FC1"/>
    <w:rsid w:val="00C56438"/>
    <w:rsid w:val="00C56C65"/>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6F7"/>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49D"/>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2AF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1FC9"/>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7035"/>
    <w:rsid w:val="00DF12E3"/>
    <w:rsid w:val="00DF3F1D"/>
    <w:rsid w:val="00DF595C"/>
    <w:rsid w:val="00DF7EA7"/>
    <w:rsid w:val="00E02504"/>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5BCC"/>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14C"/>
    <w:rsid w:val="00F13200"/>
    <w:rsid w:val="00F13411"/>
    <w:rsid w:val="00F143BA"/>
    <w:rsid w:val="00F14D98"/>
    <w:rsid w:val="00F16C25"/>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B11"/>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03"/>
    <w:rPr>
      <w:rFonts w:ascii="Arial" w:hAnsi="Arial"/>
      <w:sz w:val="22"/>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rPr>
      <w:sz w:val="20"/>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rPr>
      <w:sz w:val="20"/>
    </w:r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rPr>
      <w:sz w:val="20"/>
    </w:r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 w:val="20"/>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rPr>
      <w:sz w:val="20"/>
    </w:r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0"/>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 w:val="20"/>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 w:val="20"/>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 w:val="20"/>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 w:val="20"/>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 w:val="20"/>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 w:val="22"/>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sz w:val="20"/>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 w:val="20"/>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 w:val="2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 w:val="2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 w:val="20"/>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 w:val="20"/>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 w:val="20"/>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 w:val="20"/>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 w:val="20"/>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 w:val="2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 w:val="20"/>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 w:val="20"/>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sz w:val="20"/>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 w:val="20"/>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QST">
    <w:name w:val="QST"/>
    <w:basedOn w:val="Normal"/>
    <w:link w:val="QSTChar"/>
    <w:qFormat/>
    <w:rsid w:val="00335027"/>
    <w:pPr>
      <w:spacing w:after="250" w:line="276" w:lineRule="auto"/>
      <w:jc w:val="both"/>
    </w:pPr>
    <w:rPr>
      <w:rFonts w:ascii="Calibri" w:hAnsi="Calibri"/>
      <w:szCs w:val="20"/>
      <w:lang w:eastAsia="en-US"/>
    </w:rPr>
  </w:style>
  <w:style w:type="character" w:customStyle="1" w:styleId="QSTChar">
    <w:name w:val="QST Char"/>
    <w:link w:val="QST"/>
    <w:rsid w:val="00335027"/>
    <w:rPr>
      <w:rFonts w:ascii="Calibri" w:hAnsi="Calibr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03"/>
    <w:rPr>
      <w:rFonts w:ascii="Arial" w:hAnsi="Arial"/>
      <w:sz w:val="22"/>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rPr>
      <w:sz w:val="20"/>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rPr>
      <w:sz w:val="20"/>
    </w:r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rPr>
      <w:sz w:val="20"/>
    </w:r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 w:val="20"/>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rPr>
      <w:sz w:val="20"/>
    </w:r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0"/>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 w:val="20"/>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 w:val="20"/>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 w:val="20"/>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 w:val="20"/>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 w:val="20"/>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 w:val="22"/>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sz w:val="20"/>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 w:val="20"/>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 w:val="2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 w:val="2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 w:val="20"/>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 w:val="20"/>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 w:val="20"/>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 w:val="20"/>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 w:val="20"/>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 w:val="2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 w:val="20"/>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 w:val="20"/>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sz w:val="20"/>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 w:val="20"/>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QST">
    <w:name w:val="QST"/>
    <w:basedOn w:val="Normal"/>
    <w:link w:val="QSTChar"/>
    <w:qFormat/>
    <w:rsid w:val="00335027"/>
    <w:pPr>
      <w:spacing w:after="250" w:line="276" w:lineRule="auto"/>
      <w:jc w:val="both"/>
    </w:pPr>
    <w:rPr>
      <w:rFonts w:ascii="Calibri" w:hAnsi="Calibri"/>
      <w:szCs w:val="20"/>
      <w:lang w:eastAsia="en-US"/>
    </w:rPr>
  </w:style>
  <w:style w:type="character" w:customStyle="1" w:styleId="QSTChar">
    <w:name w:val="QST Char"/>
    <w:link w:val="QST"/>
    <w:rsid w:val="00335027"/>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E85BD11FA34C35ABE725446C5BAEC5"/>
        <w:category>
          <w:name w:val="General"/>
          <w:gallery w:val="placeholder"/>
        </w:category>
        <w:types>
          <w:type w:val="bbPlcHdr"/>
        </w:types>
        <w:behaviors>
          <w:behavior w:val="content"/>
        </w:behaviors>
        <w:guid w:val="{58B88D84-326A-40AF-A15B-47C410EA3821}"/>
      </w:docPartPr>
      <w:docPartBody>
        <w:p w:rsidR="008917E2" w:rsidRDefault="006A5A0A" w:rsidP="006A5A0A">
          <w:pPr>
            <w:pStyle w:val="65E85BD11FA34C35ABE725446C5BAEC5"/>
          </w:pPr>
          <w:r w:rsidRPr="000E3791">
            <w:rPr>
              <w:rStyle w:val="PlaceholderText"/>
            </w:rPr>
            <w:t>Choose an item.</w:t>
          </w:r>
        </w:p>
      </w:docPartBody>
    </w:docPart>
    <w:docPart>
      <w:docPartPr>
        <w:name w:val="98048A7DD8DF4A6B8C6CF00D9B1940F8"/>
        <w:category>
          <w:name w:val="General"/>
          <w:gallery w:val="placeholder"/>
        </w:category>
        <w:types>
          <w:type w:val="bbPlcHdr"/>
        </w:types>
        <w:behaviors>
          <w:behavior w:val="content"/>
        </w:behaviors>
        <w:guid w:val="{61EC2123-8C0C-4584-B757-952EBCA8739B}"/>
      </w:docPartPr>
      <w:docPartBody>
        <w:p w:rsidR="008917E2" w:rsidRDefault="006A5A0A" w:rsidP="006A5A0A">
          <w:pPr>
            <w:pStyle w:val="98048A7DD8DF4A6B8C6CF00D9B1940F8"/>
          </w:pPr>
          <w:r w:rsidRPr="000E3791">
            <w:rPr>
              <w:rStyle w:val="PlaceholderText"/>
            </w:rPr>
            <w:t>Choose an item.</w:t>
          </w:r>
        </w:p>
      </w:docPartBody>
    </w:docPart>
    <w:docPart>
      <w:docPartPr>
        <w:name w:val="5EAC301EA3224F67909AA00721C3F8B7"/>
        <w:category>
          <w:name w:val="General"/>
          <w:gallery w:val="placeholder"/>
        </w:category>
        <w:types>
          <w:type w:val="bbPlcHdr"/>
        </w:types>
        <w:behaviors>
          <w:behavior w:val="content"/>
        </w:behaviors>
        <w:guid w:val="{46FF2BF0-777C-4B97-B3E4-17DE1AA19E86}"/>
      </w:docPartPr>
      <w:docPartBody>
        <w:p w:rsidR="008917E2" w:rsidRDefault="006A5A0A" w:rsidP="006A5A0A">
          <w:pPr>
            <w:pStyle w:val="5EAC301EA3224F67909AA00721C3F8B7"/>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8E"/>
    <w:rsid w:val="00064A17"/>
    <w:rsid w:val="00115F64"/>
    <w:rsid w:val="004B2C78"/>
    <w:rsid w:val="006A5A0A"/>
    <w:rsid w:val="008437E4"/>
    <w:rsid w:val="008917E2"/>
    <w:rsid w:val="00953A5F"/>
    <w:rsid w:val="00AF2479"/>
    <w:rsid w:val="00B42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A0A"/>
    <w:rPr>
      <w:color w:val="808080"/>
    </w:rPr>
  </w:style>
  <w:style w:type="paragraph" w:customStyle="1" w:styleId="E40A493F144E41ECA62BDE647316E137">
    <w:name w:val="E40A493F144E41ECA62BDE647316E137"/>
    <w:rsid w:val="00B4208E"/>
  </w:style>
  <w:style w:type="paragraph" w:customStyle="1" w:styleId="F2B292245666475AA3044F6299247043">
    <w:name w:val="F2B292245666475AA3044F6299247043"/>
    <w:rsid w:val="00B4208E"/>
  </w:style>
  <w:style w:type="paragraph" w:customStyle="1" w:styleId="5ED4348BFAEF449DB6E13134DA79834C">
    <w:name w:val="5ED4348BFAEF449DB6E13134DA79834C"/>
    <w:rsid w:val="00B4208E"/>
  </w:style>
  <w:style w:type="paragraph" w:customStyle="1" w:styleId="E105B5D91C05477A868B8E1049464E56">
    <w:name w:val="E105B5D91C05477A868B8E1049464E56"/>
    <w:rsid w:val="00B4208E"/>
  </w:style>
  <w:style w:type="paragraph" w:customStyle="1" w:styleId="04BA6A02474A4CB4826A2A1E06A5D98D">
    <w:name w:val="04BA6A02474A4CB4826A2A1E06A5D98D"/>
    <w:rsid w:val="00B4208E"/>
  </w:style>
  <w:style w:type="paragraph" w:customStyle="1" w:styleId="564C2A51B86347C5BEACA9504F673FB9">
    <w:name w:val="564C2A51B86347C5BEACA9504F673FB9"/>
    <w:rsid w:val="00B4208E"/>
  </w:style>
  <w:style w:type="paragraph" w:customStyle="1" w:styleId="65E85BD11FA34C35ABE725446C5BAEC5">
    <w:name w:val="65E85BD11FA34C35ABE725446C5BAEC5"/>
    <w:rsid w:val="006A5A0A"/>
  </w:style>
  <w:style w:type="paragraph" w:customStyle="1" w:styleId="98048A7DD8DF4A6B8C6CF00D9B1940F8">
    <w:name w:val="98048A7DD8DF4A6B8C6CF00D9B1940F8"/>
    <w:rsid w:val="006A5A0A"/>
  </w:style>
  <w:style w:type="paragraph" w:customStyle="1" w:styleId="5EAC301EA3224F67909AA00721C3F8B7">
    <w:name w:val="5EAC301EA3224F67909AA00721C3F8B7"/>
    <w:rsid w:val="006A5A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A0A"/>
    <w:rPr>
      <w:color w:val="808080"/>
    </w:rPr>
  </w:style>
  <w:style w:type="paragraph" w:customStyle="1" w:styleId="E40A493F144E41ECA62BDE647316E137">
    <w:name w:val="E40A493F144E41ECA62BDE647316E137"/>
    <w:rsid w:val="00B4208E"/>
  </w:style>
  <w:style w:type="paragraph" w:customStyle="1" w:styleId="F2B292245666475AA3044F6299247043">
    <w:name w:val="F2B292245666475AA3044F6299247043"/>
    <w:rsid w:val="00B4208E"/>
  </w:style>
  <w:style w:type="paragraph" w:customStyle="1" w:styleId="5ED4348BFAEF449DB6E13134DA79834C">
    <w:name w:val="5ED4348BFAEF449DB6E13134DA79834C"/>
    <w:rsid w:val="00B4208E"/>
  </w:style>
  <w:style w:type="paragraph" w:customStyle="1" w:styleId="E105B5D91C05477A868B8E1049464E56">
    <w:name w:val="E105B5D91C05477A868B8E1049464E56"/>
    <w:rsid w:val="00B4208E"/>
  </w:style>
  <w:style w:type="paragraph" w:customStyle="1" w:styleId="04BA6A02474A4CB4826A2A1E06A5D98D">
    <w:name w:val="04BA6A02474A4CB4826A2A1E06A5D98D"/>
    <w:rsid w:val="00B4208E"/>
  </w:style>
  <w:style w:type="paragraph" w:customStyle="1" w:styleId="564C2A51B86347C5BEACA9504F673FB9">
    <w:name w:val="564C2A51B86347C5BEACA9504F673FB9"/>
    <w:rsid w:val="00B4208E"/>
  </w:style>
  <w:style w:type="paragraph" w:customStyle="1" w:styleId="65E85BD11FA34C35ABE725446C5BAEC5">
    <w:name w:val="65E85BD11FA34C35ABE725446C5BAEC5"/>
    <w:rsid w:val="006A5A0A"/>
  </w:style>
  <w:style w:type="paragraph" w:customStyle="1" w:styleId="98048A7DD8DF4A6B8C6CF00D9B1940F8">
    <w:name w:val="98048A7DD8DF4A6B8C6CF00D9B1940F8"/>
    <w:rsid w:val="006A5A0A"/>
  </w:style>
  <w:style w:type="paragraph" w:customStyle="1" w:styleId="5EAC301EA3224F67909AA00721C3F8B7">
    <w:name w:val="5EAC301EA3224F67909AA00721C3F8B7"/>
    <w:rsid w:val="006A5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BD126-617E-4153-B348-51F99B769980}">
  <ds:schemaRefs>
    <ds:schemaRef ds:uri="http://schemas.openxmlformats.org/officeDocument/2006/bibliography"/>
  </ds:schemaRefs>
</ds:datastoreItem>
</file>

<file path=customXml/itemProps2.xml><?xml version="1.0" encoding="utf-8"?>
<ds:datastoreItem xmlns:ds="http://schemas.openxmlformats.org/officeDocument/2006/customXml" ds:itemID="{8DD15C4E-7C65-42D6-8872-DF6A87C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3238</Words>
  <Characters>17884</Characters>
  <Application>Microsoft Office Word</Application>
  <DocSecurity>8</DocSecurity>
  <Lines>149</Lines>
  <Paragraphs>42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21080</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Janette Sawden</cp:lastModifiedBy>
  <cp:revision>2</cp:revision>
  <cp:lastPrinted>2014-05-08T16:06:00Z</cp:lastPrinted>
  <dcterms:created xsi:type="dcterms:W3CDTF">2015-02-17T15:37:00Z</dcterms:created>
  <dcterms:modified xsi:type="dcterms:W3CDTF">2015-02-17T15:37:00Z</dcterms:modified>
</cp:coreProperties>
</file>