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page" w:tblpX="1248" w:tblpY="15820"/>
        <w:tblOverlap w:val="never"/>
        <w:tblW w:w="9412" w:type="dxa"/>
        <w:tblCellMar>
          <w:left w:w="0" w:type="dxa"/>
          <w:right w:w="0" w:type="dxa"/>
        </w:tblCellMar>
        <w:tblLook w:val="01E0"/>
      </w:tblPr>
      <w:tblGrid>
        <w:gridCol w:w="9412"/>
      </w:tblGrid>
      <w:tr w:rsidR="00C2094B" w:rsidRPr="00E679BA" w:rsidTr="00315E96">
        <w:trPr>
          <w:trHeight w:val="284"/>
        </w:trPr>
        <w:tc>
          <w:tcPr>
            <w:tcW w:w="9412" w:type="dxa"/>
          </w:tcPr>
          <w:p w:rsidR="00C2094B" w:rsidRPr="00376B02" w:rsidRDefault="001260DB" w:rsidP="004D3364">
            <w:pPr>
              <w:pStyle w:val="00bDBInfo"/>
            </w:pPr>
            <w:r>
              <w:t>1</w:t>
            </w:r>
            <w:r w:rsidR="004D3364">
              <w:t>8</w:t>
            </w:r>
            <w:r>
              <w:t xml:space="preserve"> December</w:t>
            </w:r>
            <w:r w:rsidR="00ED351E" w:rsidRPr="00376B02">
              <w:t xml:space="preserve"> </w:t>
            </w:r>
            <w:r w:rsidR="006F4B04" w:rsidRPr="00376B02">
              <w:t>2014</w:t>
            </w:r>
          </w:p>
        </w:tc>
      </w:tr>
    </w:tbl>
    <w:p w:rsidR="00FD7A8D" w:rsidRPr="00640DCD" w:rsidRDefault="00FD7A8D" w:rsidP="00FD7A8D">
      <w:pPr>
        <w:rPr>
          <w:vanish/>
        </w:rPr>
      </w:pPr>
    </w:p>
    <w:tbl>
      <w:tblPr>
        <w:tblpPr w:leftFromText="8505" w:vertAnchor="page" w:horzAnchor="page" w:tblpX="1248" w:tblpY="4401"/>
        <w:tblW w:w="9397" w:type="dxa"/>
        <w:tblLayout w:type="fixed"/>
        <w:tblCellMar>
          <w:left w:w="0" w:type="dxa"/>
          <w:right w:w="0" w:type="dxa"/>
        </w:tblCellMar>
        <w:tblLook w:val="01E0"/>
      </w:tblPr>
      <w:tblGrid>
        <w:gridCol w:w="9397"/>
      </w:tblGrid>
      <w:tr w:rsidR="00060F72" w:rsidRPr="00E679BA" w:rsidTr="00B835D5">
        <w:trPr>
          <w:trHeight w:hRule="exact" w:val="1209"/>
        </w:trPr>
        <w:tc>
          <w:tcPr>
            <w:tcW w:w="9397" w:type="dxa"/>
            <w:vAlign w:val="bottom"/>
          </w:tcPr>
          <w:p w:rsidR="006F4403" w:rsidRPr="00BD3046" w:rsidRDefault="00AE627C" w:rsidP="00C000A5">
            <w:pPr>
              <w:pStyle w:val="01aDBTitle"/>
              <w:rPr>
                <w:sz w:val="36"/>
                <w:szCs w:val="36"/>
              </w:rPr>
            </w:pPr>
            <w:r w:rsidRPr="00BD3046">
              <w:rPr>
                <w:sz w:val="36"/>
                <w:szCs w:val="36"/>
              </w:rPr>
              <w:t>Reply form</w:t>
            </w:r>
            <w:r w:rsidR="00B835D5" w:rsidRPr="00BD3046">
              <w:rPr>
                <w:sz w:val="36"/>
                <w:szCs w:val="36"/>
              </w:rPr>
              <w:t xml:space="preserve"> </w:t>
            </w:r>
            <w:r w:rsidR="0043173B" w:rsidRPr="00BD3046">
              <w:rPr>
                <w:sz w:val="36"/>
                <w:szCs w:val="36"/>
              </w:rPr>
              <w:t>for</w:t>
            </w:r>
            <w:r w:rsidR="00027ECF" w:rsidRPr="00BD3046">
              <w:rPr>
                <w:sz w:val="36"/>
                <w:szCs w:val="36"/>
              </w:rPr>
              <w:t xml:space="preserve"> the </w:t>
            </w:r>
          </w:p>
          <w:p w:rsidR="00791EB4" w:rsidRPr="00E679BA" w:rsidRDefault="00BD3046" w:rsidP="00C000A5">
            <w:pPr>
              <w:pStyle w:val="01aDBTitle"/>
            </w:pPr>
            <w:r w:rsidRPr="00BD3046">
              <w:rPr>
                <w:sz w:val="36"/>
                <w:szCs w:val="36"/>
              </w:rPr>
              <w:t>Technical Standards under the CSD Regulation</w:t>
            </w:r>
          </w:p>
        </w:tc>
      </w:tr>
      <w:tr w:rsidR="00060F72" w:rsidRPr="00E679BA" w:rsidTr="00B835D5">
        <w:trPr>
          <w:trHeight w:hRule="exact" w:val="605"/>
        </w:trPr>
        <w:tc>
          <w:tcPr>
            <w:tcW w:w="9397" w:type="dxa"/>
            <w:tcMar>
              <w:top w:w="142" w:type="dxa"/>
            </w:tcMar>
          </w:tcPr>
          <w:p w:rsidR="00D91010" w:rsidRPr="00E679BA" w:rsidRDefault="00013CCE" w:rsidP="00027ECF">
            <w:pPr>
              <w:pStyle w:val="01bDBSubtitle"/>
            </w:pPr>
            <w:r w:rsidRPr="00E679BA">
              <w:t xml:space="preserve"> </w:t>
            </w:r>
          </w:p>
        </w:tc>
      </w:tr>
    </w:tbl>
    <w:p w:rsidR="00620D7C" w:rsidRPr="00E679BA" w:rsidRDefault="00620D7C" w:rsidP="00C00012">
      <w:pPr>
        <w:pStyle w:val="05HeadlinenoIndex"/>
        <w:sectPr w:rsidR="00620D7C" w:rsidRPr="00E679BA" w:rsidSect="006E3C72">
          <w:headerReference w:type="default" r:id="rId9"/>
          <w:footerReference w:type="default" r:id="rId10"/>
          <w:headerReference w:type="first" r:id="rId11"/>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tblPr>
      <w:tblGrid>
        <w:gridCol w:w="2325"/>
      </w:tblGrid>
      <w:tr w:rsidR="00620D7C" w:rsidRPr="00E679BA" w:rsidTr="00315E96">
        <w:trPr>
          <w:trHeight w:hRule="exact" w:val="964"/>
        </w:trPr>
        <w:tc>
          <w:tcPr>
            <w:tcW w:w="2325" w:type="dxa"/>
          </w:tcPr>
          <w:p w:rsidR="00620D7C" w:rsidRPr="001260DB" w:rsidRDefault="00620D7C" w:rsidP="001260DB">
            <w:pPr>
              <w:pStyle w:val="02Date"/>
            </w:pPr>
            <w:r w:rsidRPr="001260DB">
              <w:lastRenderedPageBreak/>
              <w:t xml:space="preserve">Date: </w:t>
            </w:r>
            <w:r w:rsidR="004D3364">
              <w:t>18</w:t>
            </w:r>
            <w:r w:rsidR="001260DB">
              <w:t xml:space="preserve"> December</w:t>
            </w:r>
            <w:r w:rsidR="002B354F" w:rsidRPr="001260DB">
              <w:t xml:space="preserve"> </w:t>
            </w:r>
            <w:r w:rsidR="00486C17" w:rsidRPr="001260DB">
              <w:t>201</w:t>
            </w:r>
            <w:r w:rsidR="006F57F2" w:rsidRPr="001260DB">
              <w:t>4</w:t>
            </w:r>
          </w:p>
        </w:tc>
      </w:tr>
    </w:tbl>
    <w:p w:rsidR="0088244C" w:rsidRDefault="0088244C" w:rsidP="00F574D0">
      <w:pPr>
        <w:pStyle w:val="05HeadlinenoIndex"/>
      </w:pPr>
      <w:bookmarkStart w:id="0" w:name="_Toc280628648"/>
    </w:p>
    <w:p w:rsidR="00F574D0" w:rsidRPr="00295156" w:rsidRDefault="0088244C" w:rsidP="00F574D0">
      <w:pPr>
        <w:pStyle w:val="05HeadlinenoIndex"/>
        <w:rPr>
          <w:sz w:val="20"/>
          <w:szCs w:val="20"/>
        </w:rPr>
      </w:pPr>
      <w:r w:rsidRPr="00295156">
        <w:rPr>
          <w:sz w:val="20"/>
          <w:szCs w:val="20"/>
        </w:rPr>
        <w:br w:type="page"/>
      </w:r>
      <w:r w:rsidR="00F574D0" w:rsidRPr="00295156">
        <w:rPr>
          <w:sz w:val="20"/>
          <w:szCs w:val="20"/>
        </w:rPr>
        <w:lastRenderedPageBreak/>
        <w:t xml:space="preserve">Responding to this paper </w:t>
      </w:r>
    </w:p>
    <w:p w:rsidR="00F574D0" w:rsidRPr="00295156" w:rsidRDefault="00F574D0" w:rsidP="00F574D0">
      <w:pPr>
        <w:pStyle w:val="04BodyText"/>
        <w:spacing w:before="120" w:after="120"/>
        <w:rPr>
          <w:szCs w:val="20"/>
        </w:rPr>
      </w:pPr>
      <w:r w:rsidRPr="00295156">
        <w:rPr>
          <w:szCs w:val="20"/>
        </w:rPr>
        <w:t xml:space="preserve">The European Securities and Markets Authority (ESMA) invites responses to the specific questions listed in the ESMA </w:t>
      </w:r>
      <w:r w:rsidR="0060674A" w:rsidRPr="00295156">
        <w:rPr>
          <w:szCs w:val="20"/>
        </w:rPr>
        <w:t xml:space="preserve">Consultation Paper - </w:t>
      </w:r>
      <w:r w:rsidR="00390F5E" w:rsidRPr="00295156">
        <w:rPr>
          <w:szCs w:val="20"/>
        </w:rPr>
        <w:t>Technical Standards under the CSD Regulation</w:t>
      </w:r>
      <w:r w:rsidR="00015B5E" w:rsidRPr="00295156">
        <w:rPr>
          <w:szCs w:val="20"/>
        </w:rPr>
        <w:t>, published on the ESMA website</w:t>
      </w:r>
      <w:r w:rsidR="00330386">
        <w:rPr>
          <w:szCs w:val="20"/>
        </w:rPr>
        <w:t>.</w:t>
      </w:r>
    </w:p>
    <w:p w:rsidR="00F574D0" w:rsidRPr="00295156" w:rsidRDefault="00F574D0" w:rsidP="00F574D0">
      <w:pPr>
        <w:autoSpaceDE w:val="0"/>
        <w:autoSpaceDN w:val="0"/>
        <w:adjustRightInd w:val="0"/>
        <w:spacing w:before="120" w:after="120" w:line="276" w:lineRule="auto"/>
        <w:jc w:val="both"/>
        <w:rPr>
          <w:rFonts w:cs="Georgia"/>
          <w:b/>
          <w:bCs/>
          <w:i/>
          <w:color w:val="000000"/>
          <w:sz w:val="20"/>
          <w:szCs w:val="20"/>
          <w:lang w:eastAsia="en-GB"/>
        </w:rPr>
      </w:pPr>
      <w:r w:rsidRPr="00295156">
        <w:rPr>
          <w:rFonts w:cs="Georgia"/>
          <w:b/>
          <w:bCs/>
          <w:i/>
          <w:color w:val="000000"/>
          <w:sz w:val="20"/>
          <w:szCs w:val="20"/>
          <w:lang w:eastAsia="en-GB"/>
        </w:rPr>
        <w:t>Instructions</w:t>
      </w:r>
    </w:p>
    <w:p w:rsidR="00F574D0" w:rsidRPr="00295156" w:rsidRDefault="00D75FEE" w:rsidP="00F574D0">
      <w:pPr>
        <w:pStyle w:val="04BodyText"/>
        <w:spacing w:before="120" w:after="120"/>
        <w:rPr>
          <w:szCs w:val="20"/>
        </w:rPr>
      </w:pPr>
      <w:r w:rsidRPr="00295156">
        <w:rPr>
          <w:szCs w:val="20"/>
        </w:rPr>
        <w:t>Please note that, in order to facilitate the analysis of the large number of responses expected, you are requested to use this file to send your response to ESMA so as to allow us to process it properly. Ther</w:t>
      </w:r>
      <w:r w:rsidRPr="00295156">
        <w:rPr>
          <w:szCs w:val="20"/>
        </w:rPr>
        <w:t>e</w:t>
      </w:r>
      <w:r w:rsidRPr="00295156">
        <w:rPr>
          <w:szCs w:val="20"/>
        </w:rPr>
        <w:t>fore, please follow the instructions described below</w:t>
      </w:r>
      <w:r w:rsidR="00F574D0" w:rsidRPr="00295156">
        <w:rPr>
          <w:szCs w:val="20"/>
        </w:rPr>
        <w:t>:</w:t>
      </w:r>
    </w:p>
    <w:p w:rsidR="00F574D0" w:rsidRPr="00295156" w:rsidRDefault="00F574D0" w:rsidP="00F574D0">
      <w:pPr>
        <w:pStyle w:val="04bList"/>
        <w:numPr>
          <w:ilvl w:val="0"/>
          <w:numId w:val="5"/>
        </w:numPr>
        <w:spacing w:before="120" w:after="120"/>
        <w:ind w:left="720"/>
        <w:rPr>
          <w:szCs w:val="20"/>
        </w:rPr>
      </w:pPr>
      <w:r w:rsidRPr="00295156">
        <w:rPr>
          <w:szCs w:val="20"/>
        </w:rPr>
        <w:t xml:space="preserve">use this </w:t>
      </w:r>
      <w:r w:rsidR="003F5C06" w:rsidRPr="00295156">
        <w:rPr>
          <w:szCs w:val="20"/>
        </w:rPr>
        <w:t>form</w:t>
      </w:r>
      <w:r w:rsidRPr="00295156">
        <w:rPr>
          <w:szCs w:val="20"/>
        </w:rPr>
        <w:t xml:space="preserve"> and send </w:t>
      </w:r>
      <w:r w:rsidR="00D75FEE" w:rsidRPr="00295156">
        <w:rPr>
          <w:szCs w:val="20"/>
        </w:rPr>
        <w:t>your</w:t>
      </w:r>
      <w:r w:rsidRPr="00295156">
        <w:rPr>
          <w:szCs w:val="20"/>
        </w:rPr>
        <w:t xml:space="preserve"> responses in </w:t>
      </w:r>
      <w:r w:rsidRPr="00295156">
        <w:rPr>
          <w:b/>
          <w:szCs w:val="20"/>
        </w:rPr>
        <w:t>Word format</w:t>
      </w:r>
      <w:r w:rsidRPr="00295156">
        <w:rPr>
          <w:szCs w:val="20"/>
        </w:rPr>
        <w:t>;</w:t>
      </w:r>
    </w:p>
    <w:p w:rsidR="00F574D0" w:rsidRPr="00295156" w:rsidRDefault="00D75FEE" w:rsidP="00F574D0">
      <w:pPr>
        <w:pStyle w:val="04bList"/>
        <w:numPr>
          <w:ilvl w:val="0"/>
          <w:numId w:val="5"/>
        </w:numPr>
        <w:spacing w:before="120" w:after="120"/>
        <w:ind w:left="720"/>
        <w:rPr>
          <w:szCs w:val="20"/>
        </w:rPr>
      </w:pPr>
      <w:r w:rsidRPr="00295156">
        <w:rPr>
          <w:szCs w:val="20"/>
        </w:rPr>
        <w:t xml:space="preserve">do </w:t>
      </w:r>
      <w:r w:rsidR="00F574D0" w:rsidRPr="00295156">
        <w:rPr>
          <w:szCs w:val="20"/>
        </w:rPr>
        <w:t>not remove the tags of type &lt;ESMA_QUESTION_</w:t>
      </w:r>
      <w:r w:rsidR="00C8677B" w:rsidRPr="00295156">
        <w:rPr>
          <w:szCs w:val="20"/>
        </w:rPr>
        <w:t>T</w:t>
      </w:r>
      <w:r w:rsidR="00390F5E" w:rsidRPr="00295156">
        <w:rPr>
          <w:szCs w:val="20"/>
        </w:rPr>
        <w:t>S</w:t>
      </w:r>
      <w:r w:rsidR="00A35728" w:rsidRPr="00295156">
        <w:rPr>
          <w:szCs w:val="20"/>
        </w:rPr>
        <w:t>_CSDR</w:t>
      </w:r>
      <w:r w:rsidR="00E9344E" w:rsidRPr="00295156">
        <w:rPr>
          <w:szCs w:val="20"/>
        </w:rPr>
        <w:t>_</w:t>
      </w:r>
      <w:r w:rsidR="00F574D0" w:rsidRPr="00295156">
        <w:rPr>
          <w:szCs w:val="20"/>
        </w:rPr>
        <w:t>1&gt; - i.e. the response to one question has to be framed by the 2 tags corresponding to the question; and</w:t>
      </w:r>
    </w:p>
    <w:p w:rsidR="00F574D0" w:rsidRPr="00295156" w:rsidRDefault="00F574D0" w:rsidP="00F574D0">
      <w:pPr>
        <w:pStyle w:val="04bList"/>
        <w:numPr>
          <w:ilvl w:val="0"/>
          <w:numId w:val="5"/>
        </w:numPr>
        <w:spacing w:before="120" w:after="120"/>
        <w:ind w:left="720"/>
        <w:rPr>
          <w:szCs w:val="20"/>
        </w:rPr>
      </w:pPr>
      <w:r w:rsidRPr="00295156">
        <w:rPr>
          <w:szCs w:val="20"/>
        </w:rPr>
        <w:t xml:space="preserve">if </w:t>
      </w:r>
      <w:r w:rsidR="00D75FEE" w:rsidRPr="00295156">
        <w:rPr>
          <w:szCs w:val="20"/>
        </w:rPr>
        <w:t>you do not have a</w:t>
      </w:r>
      <w:r w:rsidRPr="00295156">
        <w:rPr>
          <w:szCs w:val="20"/>
        </w:rPr>
        <w:t xml:space="preserve"> response to a question, </w:t>
      </w:r>
      <w:r w:rsidR="00D75FEE" w:rsidRPr="00295156">
        <w:rPr>
          <w:szCs w:val="20"/>
        </w:rPr>
        <w:t xml:space="preserve">do </w:t>
      </w:r>
      <w:r w:rsidRPr="00295156">
        <w:rPr>
          <w:szCs w:val="20"/>
        </w:rPr>
        <w:t>not delete it and leave the text “TYPE YOUR TEXT HERE” between the tags.</w:t>
      </w:r>
    </w:p>
    <w:p w:rsidR="00F574D0" w:rsidRPr="00295156" w:rsidRDefault="00F574D0" w:rsidP="00F574D0">
      <w:pPr>
        <w:pStyle w:val="04bList"/>
        <w:numPr>
          <w:ilvl w:val="0"/>
          <w:numId w:val="0"/>
        </w:numPr>
        <w:spacing w:before="120" w:after="120"/>
        <w:rPr>
          <w:szCs w:val="20"/>
        </w:rPr>
      </w:pPr>
      <w:r w:rsidRPr="00295156">
        <w:rPr>
          <w:szCs w:val="20"/>
        </w:rPr>
        <w:t>Responses are most helpful:</w:t>
      </w:r>
    </w:p>
    <w:p w:rsidR="00F574D0" w:rsidRPr="00295156" w:rsidRDefault="00F574D0" w:rsidP="002067BA">
      <w:pPr>
        <w:pStyle w:val="04bList"/>
        <w:numPr>
          <w:ilvl w:val="0"/>
          <w:numId w:val="33"/>
        </w:numPr>
        <w:spacing w:before="120" w:after="120"/>
        <w:rPr>
          <w:szCs w:val="20"/>
        </w:rPr>
      </w:pPr>
      <w:r w:rsidRPr="00295156">
        <w:rPr>
          <w:szCs w:val="20"/>
        </w:rPr>
        <w:t>if they respond to the question stated;</w:t>
      </w:r>
    </w:p>
    <w:p w:rsidR="00F574D0" w:rsidRPr="00295156" w:rsidRDefault="00F574D0" w:rsidP="002067BA">
      <w:pPr>
        <w:pStyle w:val="04bList"/>
        <w:numPr>
          <w:ilvl w:val="0"/>
          <w:numId w:val="33"/>
        </w:numPr>
        <w:spacing w:before="120" w:after="120"/>
        <w:rPr>
          <w:szCs w:val="20"/>
        </w:rPr>
      </w:pPr>
      <w:r w:rsidRPr="00295156">
        <w:rPr>
          <w:szCs w:val="20"/>
        </w:rPr>
        <w:t>contain a clear rationale, including on any related costs and benefits; and</w:t>
      </w:r>
    </w:p>
    <w:p w:rsidR="00A35728" w:rsidRPr="00295156" w:rsidRDefault="00F574D0" w:rsidP="000D17AA">
      <w:pPr>
        <w:pStyle w:val="04bList"/>
        <w:numPr>
          <w:ilvl w:val="0"/>
          <w:numId w:val="33"/>
        </w:numPr>
        <w:spacing w:before="120" w:after="120"/>
        <w:rPr>
          <w:szCs w:val="20"/>
        </w:rPr>
      </w:pPr>
      <w:r w:rsidRPr="00295156">
        <w:rPr>
          <w:szCs w:val="20"/>
        </w:rPr>
        <w:t>describe any alternatives that ESMA should consider</w:t>
      </w:r>
    </w:p>
    <w:p w:rsidR="000D17AA" w:rsidRPr="00295156" w:rsidRDefault="000D17AA" w:rsidP="000D17AA">
      <w:pPr>
        <w:pStyle w:val="04BodyText"/>
        <w:spacing w:before="120" w:after="120"/>
        <w:jc w:val="left"/>
        <w:rPr>
          <w:b/>
          <w:szCs w:val="20"/>
        </w:rPr>
      </w:pPr>
      <w:r w:rsidRPr="00295156">
        <w:rPr>
          <w:b/>
          <w:szCs w:val="20"/>
        </w:rPr>
        <w:t>Naming protocol:</w:t>
      </w:r>
    </w:p>
    <w:p w:rsidR="000D17AA" w:rsidRPr="00295156" w:rsidRDefault="000D17AA" w:rsidP="000D17AA">
      <w:pPr>
        <w:pStyle w:val="04BodyText"/>
        <w:spacing w:before="120" w:after="120"/>
        <w:jc w:val="left"/>
        <w:rPr>
          <w:szCs w:val="20"/>
        </w:rPr>
      </w:pPr>
      <w:r w:rsidRPr="00295156">
        <w:rPr>
          <w:szCs w:val="20"/>
        </w:rPr>
        <w:t>In order to facilitate the handling of stakeholders responses please save your document using the follo</w:t>
      </w:r>
      <w:r w:rsidRPr="00295156">
        <w:rPr>
          <w:szCs w:val="20"/>
        </w:rPr>
        <w:t>w</w:t>
      </w:r>
      <w:r w:rsidRPr="00295156">
        <w:rPr>
          <w:szCs w:val="20"/>
        </w:rPr>
        <w:t>ing format:</w:t>
      </w:r>
    </w:p>
    <w:p w:rsidR="000D17AA" w:rsidRPr="00295156" w:rsidRDefault="000D17AA" w:rsidP="000D17AA">
      <w:pPr>
        <w:pStyle w:val="04BodyText"/>
        <w:spacing w:before="120" w:after="120"/>
        <w:jc w:val="left"/>
        <w:rPr>
          <w:szCs w:val="20"/>
        </w:rPr>
      </w:pPr>
      <w:r w:rsidRPr="00295156">
        <w:rPr>
          <w:szCs w:val="20"/>
        </w:rPr>
        <w:t>ESMA_ TA_CSDR _NAMEOFCOMPANY_NAMEOFDOCUMENT.</w:t>
      </w:r>
    </w:p>
    <w:p w:rsidR="000D17AA" w:rsidRPr="00295156" w:rsidRDefault="000D17AA" w:rsidP="000D17AA">
      <w:pPr>
        <w:pStyle w:val="04BodyText"/>
        <w:spacing w:before="120" w:after="120"/>
        <w:jc w:val="left"/>
        <w:rPr>
          <w:szCs w:val="20"/>
        </w:rPr>
      </w:pPr>
      <w:r w:rsidRPr="00295156">
        <w:rPr>
          <w:szCs w:val="20"/>
        </w:rPr>
        <w:t>E.g. if the respondent were ESMA, the name of the reply form would be ESMA_T</w:t>
      </w:r>
      <w:r w:rsidR="00390F5E" w:rsidRPr="00295156">
        <w:rPr>
          <w:szCs w:val="20"/>
        </w:rPr>
        <w:t>S</w:t>
      </w:r>
      <w:r w:rsidRPr="00295156">
        <w:rPr>
          <w:szCs w:val="20"/>
        </w:rPr>
        <w:t>_CSDR</w:t>
      </w:r>
      <w:r w:rsidR="00390F5E" w:rsidRPr="00295156">
        <w:rPr>
          <w:szCs w:val="20"/>
        </w:rPr>
        <w:t>_AIXX</w:t>
      </w:r>
      <w:r w:rsidRPr="00295156">
        <w:rPr>
          <w:szCs w:val="20"/>
        </w:rPr>
        <w:t>_REPLYFORM or ESMA_</w:t>
      </w:r>
      <w:r w:rsidR="00390F5E" w:rsidRPr="00295156">
        <w:rPr>
          <w:szCs w:val="20"/>
        </w:rPr>
        <w:t>CE_TS_CSDR_AIXX</w:t>
      </w:r>
      <w:r w:rsidRPr="00295156">
        <w:rPr>
          <w:szCs w:val="20"/>
        </w:rPr>
        <w:t>_ANNEX1</w:t>
      </w:r>
    </w:p>
    <w:p w:rsidR="00F574D0" w:rsidRPr="00295156" w:rsidRDefault="00F574D0" w:rsidP="00F574D0">
      <w:pPr>
        <w:pStyle w:val="04BodyText"/>
        <w:spacing w:before="120" w:after="120"/>
        <w:rPr>
          <w:szCs w:val="20"/>
        </w:rPr>
      </w:pPr>
      <w:r w:rsidRPr="00295156">
        <w:rPr>
          <w:szCs w:val="20"/>
        </w:rPr>
        <w:t xml:space="preserve">Responses must reach us </w:t>
      </w:r>
      <w:r w:rsidRPr="007F4106">
        <w:rPr>
          <w:szCs w:val="20"/>
        </w:rPr>
        <w:t xml:space="preserve">by </w:t>
      </w:r>
      <w:r w:rsidR="007F4106" w:rsidRPr="007F4106">
        <w:rPr>
          <w:b/>
          <w:szCs w:val="20"/>
        </w:rPr>
        <w:t>19</w:t>
      </w:r>
      <w:r w:rsidR="00D43F14" w:rsidRPr="007F4106">
        <w:rPr>
          <w:b/>
          <w:szCs w:val="20"/>
        </w:rPr>
        <w:t xml:space="preserve"> </w:t>
      </w:r>
      <w:r w:rsidR="007F4106" w:rsidRPr="007F4106">
        <w:rPr>
          <w:b/>
          <w:szCs w:val="20"/>
        </w:rPr>
        <w:t>February</w:t>
      </w:r>
      <w:r w:rsidR="00D43F14" w:rsidRPr="007F4106">
        <w:rPr>
          <w:b/>
          <w:szCs w:val="20"/>
        </w:rPr>
        <w:t xml:space="preserve"> </w:t>
      </w:r>
      <w:r w:rsidRPr="007F4106">
        <w:rPr>
          <w:b/>
          <w:szCs w:val="20"/>
        </w:rPr>
        <w:t>201</w:t>
      </w:r>
      <w:r w:rsidR="007F4106" w:rsidRPr="007F4106">
        <w:rPr>
          <w:b/>
          <w:szCs w:val="20"/>
        </w:rPr>
        <w:t>5</w:t>
      </w:r>
      <w:r w:rsidRPr="007F4106">
        <w:rPr>
          <w:szCs w:val="20"/>
        </w:rPr>
        <w:t>.</w:t>
      </w:r>
      <w:r w:rsidRPr="00295156">
        <w:rPr>
          <w:szCs w:val="20"/>
        </w:rPr>
        <w:t xml:space="preserve"> </w:t>
      </w:r>
    </w:p>
    <w:p w:rsidR="00F574D0" w:rsidRPr="00295156" w:rsidRDefault="00F574D0" w:rsidP="00F574D0">
      <w:pPr>
        <w:pStyle w:val="04BodyText"/>
        <w:spacing w:before="120" w:after="120"/>
        <w:rPr>
          <w:szCs w:val="20"/>
        </w:rPr>
      </w:pPr>
      <w:r w:rsidRPr="00295156">
        <w:rPr>
          <w:szCs w:val="20"/>
        </w:rPr>
        <w:t xml:space="preserve">All contributions should be submitted online at </w:t>
      </w:r>
      <w:hyperlink r:id="rId12" w:history="1">
        <w:r w:rsidRPr="00295156">
          <w:rPr>
            <w:rStyle w:val="Hyperlink"/>
            <w:szCs w:val="20"/>
          </w:rPr>
          <w:t>www.esma.europa.eu</w:t>
        </w:r>
      </w:hyperlink>
      <w:r w:rsidRPr="00295156">
        <w:rPr>
          <w:szCs w:val="20"/>
        </w:rPr>
        <w:t xml:space="preserve"> under the heading ‘Your i</w:t>
      </w:r>
      <w:r w:rsidRPr="00295156">
        <w:rPr>
          <w:szCs w:val="20"/>
        </w:rPr>
        <w:t>n</w:t>
      </w:r>
      <w:r w:rsidRPr="00295156">
        <w:rPr>
          <w:szCs w:val="20"/>
        </w:rPr>
        <w:t xml:space="preserve">put/Consultations’. </w:t>
      </w:r>
    </w:p>
    <w:p w:rsidR="00F574D0" w:rsidRPr="00295156" w:rsidRDefault="00F574D0" w:rsidP="00F574D0">
      <w:pPr>
        <w:autoSpaceDE w:val="0"/>
        <w:autoSpaceDN w:val="0"/>
        <w:adjustRightInd w:val="0"/>
        <w:spacing w:before="120" w:after="120" w:line="276" w:lineRule="auto"/>
        <w:jc w:val="both"/>
        <w:rPr>
          <w:rFonts w:cs="Georgia"/>
          <w:b/>
          <w:bCs/>
          <w:i/>
          <w:color w:val="000000"/>
          <w:sz w:val="20"/>
          <w:szCs w:val="20"/>
          <w:lang w:eastAsia="en-GB"/>
        </w:rPr>
      </w:pPr>
      <w:bookmarkStart w:id="1" w:name="_Toc335141334"/>
      <w:r w:rsidRPr="00295156">
        <w:rPr>
          <w:rFonts w:cs="Georgia"/>
          <w:b/>
          <w:bCs/>
          <w:i/>
          <w:color w:val="000000"/>
          <w:sz w:val="20"/>
          <w:szCs w:val="20"/>
          <w:lang w:eastAsia="en-GB"/>
        </w:rPr>
        <w:t>Publication of responses</w:t>
      </w:r>
      <w:bookmarkEnd w:id="1"/>
    </w:p>
    <w:p w:rsidR="00F574D0" w:rsidRPr="00295156" w:rsidRDefault="00F574D0" w:rsidP="00F574D0">
      <w:pPr>
        <w:pStyle w:val="04BodyText"/>
        <w:spacing w:before="120" w:after="120"/>
        <w:rPr>
          <w:szCs w:val="20"/>
        </w:rPr>
      </w:pPr>
      <w:r w:rsidRPr="00295156">
        <w:rPr>
          <w:szCs w:val="20"/>
        </w:rPr>
        <w:t xml:space="preserve">All contributions received will be published following the end of the consultation period, unless otherwise requested. </w:t>
      </w:r>
      <w:r w:rsidRPr="00295156">
        <w:rPr>
          <w:b/>
          <w:szCs w:val="20"/>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295156">
        <w:rPr>
          <w:szCs w:val="20"/>
        </w:rPr>
        <w:t xml:space="preserve"> Note also that a confidential response may be requested from us in accordance with ESMA’s rules on access to doc</w:t>
      </w:r>
      <w:r w:rsidRPr="00295156">
        <w:rPr>
          <w:szCs w:val="20"/>
        </w:rPr>
        <w:t>u</w:t>
      </w:r>
      <w:r w:rsidRPr="00295156">
        <w:rPr>
          <w:szCs w:val="20"/>
        </w:rPr>
        <w:t>ments. We may consult you if we receive such a request. Any decision we make is reviewable by ESMA’s Board of Appeal and the European Ombudsman.</w:t>
      </w:r>
    </w:p>
    <w:p w:rsidR="00F574D0" w:rsidRPr="00295156" w:rsidRDefault="00F574D0" w:rsidP="00F574D0">
      <w:pPr>
        <w:autoSpaceDE w:val="0"/>
        <w:autoSpaceDN w:val="0"/>
        <w:adjustRightInd w:val="0"/>
        <w:spacing w:before="120" w:after="120" w:line="276" w:lineRule="auto"/>
        <w:jc w:val="both"/>
        <w:rPr>
          <w:rFonts w:cs="Georgia"/>
          <w:b/>
          <w:bCs/>
          <w:i/>
          <w:color w:val="000000"/>
          <w:sz w:val="20"/>
          <w:szCs w:val="20"/>
          <w:lang w:eastAsia="en-GB"/>
        </w:rPr>
      </w:pPr>
      <w:bookmarkStart w:id="2" w:name="_Toc335141335"/>
      <w:r w:rsidRPr="00295156">
        <w:rPr>
          <w:rFonts w:cs="Georgia"/>
          <w:b/>
          <w:bCs/>
          <w:i/>
          <w:color w:val="000000"/>
          <w:sz w:val="20"/>
          <w:szCs w:val="20"/>
          <w:lang w:eastAsia="en-GB"/>
        </w:rPr>
        <w:t>Data protection</w:t>
      </w:r>
      <w:bookmarkEnd w:id="2"/>
    </w:p>
    <w:p w:rsidR="00F574D0" w:rsidRPr="00295156" w:rsidRDefault="00F574D0" w:rsidP="00F574D0">
      <w:pPr>
        <w:autoSpaceDE w:val="0"/>
        <w:autoSpaceDN w:val="0"/>
        <w:adjustRightInd w:val="0"/>
        <w:spacing w:before="120" w:after="120" w:line="276" w:lineRule="auto"/>
        <w:jc w:val="both"/>
        <w:rPr>
          <w:sz w:val="20"/>
          <w:szCs w:val="20"/>
        </w:rPr>
      </w:pPr>
      <w:r w:rsidRPr="00295156">
        <w:rPr>
          <w:sz w:val="20"/>
          <w:szCs w:val="20"/>
        </w:rPr>
        <w:t xml:space="preserve">Information on data protection can be found at </w:t>
      </w:r>
      <w:hyperlink r:id="rId13" w:history="1">
        <w:r w:rsidRPr="00295156">
          <w:rPr>
            <w:rStyle w:val="Hyperlink"/>
            <w:sz w:val="20"/>
            <w:szCs w:val="20"/>
          </w:rPr>
          <w:t>www.esma.europa.eu</w:t>
        </w:r>
      </w:hyperlink>
      <w:r w:rsidRPr="00295156">
        <w:rPr>
          <w:sz w:val="20"/>
          <w:szCs w:val="20"/>
        </w:rPr>
        <w:t xml:space="preserve"> under the heading ‘Disclaimer’.</w:t>
      </w:r>
    </w:p>
    <w:bookmarkEnd w:id="0"/>
    <w:p w:rsidR="00473916" w:rsidRDefault="00473916" w:rsidP="00473916"/>
    <w:p w:rsidR="00473916" w:rsidRPr="00473916" w:rsidRDefault="00473916" w:rsidP="00473916"/>
    <w:p w:rsidR="00473916" w:rsidRPr="0026621B" w:rsidRDefault="00473916" w:rsidP="00473916">
      <w:pPr>
        <w:pStyle w:val="Heading1"/>
        <w:numPr>
          <w:ilvl w:val="0"/>
          <w:numId w:val="0"/>
        </w:numPr>
        <w:rPr>
          <w:sz w:val="22"/>
          <w:szCs w:val="22"/>
        </w:rPr>
      </w:pPr>
      <w:r w:rsidRPr="0026621B">
        <w:rPr>
          <w:sz w:val="22"/>
          <w:szCs w:val="22"/>
        </w:rPr>
        <w:lastRenderedPageBreak/>
        <w:t>General information about respondent</w:t>
      </w:r>
    </w:p>
    <w:tbl>
      <w:tblPr>
        <w:tblStyle w:val="TableGrid"/>
        <w:tblW w:w="0" w:type="auto"/>
        <w:tblLook w:val="04A0"/>
      </w:tblPr>
      <w:tblGrid>
        <w:gridCol w:w="3510"/>
        <w:gridCol w:w="6118"/>
      </w:tblGrid>
      <w:tr w:rsidR="00473916" w:rsidRPr="0026621B" w:rsidTr="00336CF8">
        <w:tc>
          <w:tcPr>
            <w:tcW w:w="3510" w:type="dxa"/>
          </w:tcPr>
          <w:p w:rsidR="00473916" w:rsidRPr="0026621B" w:rsidRDefault="00473916" w:rsidP="00336CF8">
            <w:pPr>
              <w:rPr>
                <w:rFonts w:cs="Arial"/>
                <w:szCs w:val="22"/>
              </w:rPr>
            </w:pPr>
            <w:r w:rsidRPr="0026621B">
              <w:rPr>
                <w:rFonts w:cs="Arial"/>
                <w:szCs w:val="22"/>
              </w:rPr>
              <w:t>Are you representing an associ</w:t>
            </w:r>
            <w:r w:rsidRPr="0026621B">
              <w:rPr>
                <w:rFonts w:cs="Arial"/>
                <w:szCs w:val="22"/>
              </w:rPr>
              <w:t>a</w:t>
            </w:r>
            <w:r w:rsidRPr="0026621B">
              <w:rPr>
                <w:rFonts w:cs="Arial"/>
                <w:szCs w:val="22"/>
              </w:rPr>
              <w:t>tion?</w:t>
            </w:r>
          </w:p>
        </w:tc>
        <w:tc>
          <w:tcPr>
            <w:tcW w:w="6118" w:type="dxa"/>
          </w:tcPr>
          <w:p w:rsidR="00473916" w:rsidRPr="0026621B" w:rsidRDefault="00EC1027" w:rsidP="00336CF8">
            <w:pPr>
              <w:rPr>
                <w:rFonts w:cs="Arial"/>
                <w:szCs w:val="22"/>
              </w:rPr>
            </w:pPr>
            <w:sdt>
              <w:sdtPr>
                <w:rPr>
                  <w:rFonts w:cs="Arial"/>
                  <w:szCs w:val="22"/>
                </w:rPr>
                <w:alias w:val="Association"/>
                <w:tag w:val="Association"/>
                <w:id w:val="-1769143793"/>
                <w:placeholder>
                  <w:docPart w:val="65E85BD11FA34C35ABE725446C5BAEC5"/>
                </w:placeholder>
                <w:comboBox>
                  <w:listItem w:displayText="Yes" w:value="Yes"/>
                  <w:listItem w:displayText="No" w:value="No"/>
                </w:comboBox>
              </w:sdtPr>
              <w:sdtContent>
                <w:permStart w:id="0" w:edGrp="everyone"/>
                <w:r w:rsidR="00A330A0">
                  <w:rPr>
                    <w:rFonts w:cs="Arial"/>
                    <w:szCs w:val="22"/>
                  </w:rPr>
                  <w:t>Yes</w:t>
                </w:r>
                <w:permEnd w:id="0"/>
              </w:sdtContent>
            </w:sdt>
          </w:p>
        </w:tc>
      </w:tr>
      <w:tr w:rsidR="00473916" w:rsidRPr="0026621B" w:rsidTr="00336CF8">
        <w:tc>
          <w:tcPr>
            <w:tcW w:w="3510" w:type="dxa"/>
          </w:tcPr>
          <w:p w:rsidR="00473916" w:rsidRPr="0026621B" w:rsidRDefault="00473916" w:rsidP="00336CF8">
            <w:pPr>
              <w:rPr>
                <w:rFonts w:cs="Arial"/>
                <w:szCs w:val="22"/>
              </w:rPr>
            </w:pPr>
            <w:r w:rsidRPr="0026621B">
              <w:rPr>
                <w:rFonts w:cs="Arial"/>
                <w:szCs w:val="22"/>
              </w:rPr>
              <w:t>Activity:</w:t>
            </w:r>
          </w:p>
        </w:tc>
        <w:tc>
          <w:tcPr>
            <w:tcW w:w="6118" w:type="dxa"/>
          </w:tcPr>
          <w:p w:rsidR="00473916" w:rsidRPr="0026621B" w:rsidRDefault="00EC1027" w:rsidP="00336CF8">
            <w:pPr>
              <w:rPr>
                <w:rFonts w:cs="Arial"/>
                <w:szCs w:val="22"/>
              </w:rPr>
            </w:pPr>
            <w:sdt>
              <w:sdtPr>
                <w:rPr>
                  <w:rFonts w:cs="Arial"/>
                  <w:szCs w:val="22"/>
                </w:rPr>
                <w:alias w:val="Activity"/>
                <w:tag w:val="Activity"/>
                <w:id w:val="1654095920"/>
                <w:placeholder>
                  <w:docPart w:val="98048A7DD8DF4A6B8C6CF00D9B1940F8"/>
                </w:placeholder>
                <w:comboBox>
                  <w:listItem w:value="Choose an item."/>
                  <w:listItem w:displayText="Central Securities Depository" w:value="Central Securities Depository"/>
                  <w:listItem w:displayText="Central Counterparty" w:value="Central Counterparty"/>
                  <w:listItem w:displayText="Government, Regulatory and Enforcement" w:value="Government, Regulatory and Enforcement"/>
                  <w:listItem w:displayText="Investment Firm" w:value="Investment Firm"/>
                  <w:listItem w:displayText="Credit Institution" w:value="Credit Institution"/>
                  <w:listItem w:displayText="Fund/Investment Company" w:value="Fund/Investment Company"/>
                  <w:listItem w:displayText="Trading Venue" w:value="Trading Venue"/>
                  <w:listItem w:displayText="Service Provider" w:value="Service Provider"/>
                  <w:listItem w:displayText="Issuer" w:value="Issuer"/>
                  <w:listItem w:displayText="Professional Advisor" w:value="Professional Advisor"/>
                  <w:listItem w:displayText="Other" w:value="Other"/>
                </w:comboBox>
              </w:sdtPr>
              <w:sdtContent>
                <w:permStart w:id="1" w:edGrp="everyone"/>
                <w:r w:rsidR="00A330A0">
                  <w:rPr>
                    <w:rFonts w:cs="Arial"/>
                    <w:szCs w:val="22"/>
                  </w:rPr>
                  <w:t>Credit Institution</w:t>
                </w:r>
                <w:permEnd w:id="1"/>
              </w:sdtContent>
            </w:sdt>
          </w:p>
        </w:tc>
      </w:tr>
      <w:tr w:rsidR="00473916" w:rsidRPr="0026621B" w:rsidTr="00336CF8">
        <w:tc>
          <w:tcPr>
            <w:tcW w:w="3510" w:type="dxa"/>
          </w:tcPr>
          <w:p w:rsidR="00473916" w:rsidRPr="0026621B" w:rsidRDefault="00473916" w:rsidP="00336CF8">
            <w:pPr>
              <w:rPr>
                <w:rFonts w:cs="Arial"/>
                <w:szCs w:val="22"/>
              </w:rPr>
            </w:pPr>
            <w:r w:rsidRPr="0026621B">
              <w:rPr>
                <w:rFonts w:cs="Arial"/>
                <w:szCs w:val="22"/>
              </w:rPr>
              <w:t>Country/Region</w:t>
            </w:r>
          </w:p>
        </w:tc>
        <w:sdt>
          <w:sdtPr>
            <w:rPr>
              <w:rFonts w:cs="Arial"/>
              <w:szCs w:val="22"/>
            </w:rPr>
            <w:alias w:val="Country"/>
            <w:tag w:val="Country"/>
            <w:id w:val="-1549134410"/>
            <w:placeholder>
              <w:docPart w:val="5EAC301EA3224F67909AA00721C3F8B7"/>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2" w:edGrp="everyone" w:displacedByCustomXml="prev"/>
            <w:tc>
              <w:tcPr>
                <w:tcW w:w="6118" w:type="dxa"/>
              </w:tcPr>
              <w:p w:rsidR="00473916" w:rsidRPr="0026621B" w:rsidRDefault="00A330A0" w:rsidP="00336CF8">
                <w:pPr>
                  <w:rPr>
                    <w:rFonts w:cs="Arial"/>
                    <w:szCs w:val="22"/>
                  </w:rPr>
                </w:pPr>
                <w:r>
                  <w:rPr>
                    <w:rFonts w:cs="Arial"/>
                    <w:szCs w:val="22"/>
                  </w:rPr>
                  <w:t>Europe</w:t>
                </w:r>
              </w:p>
            </w:tc>
            <w:permEnd w:id="2" w:displacedByCustomXml="next"/>
          </w:sdtContent>
        </w:sdt>
      </w:tr>
    </w:tbl>
    <w:p w:rsidR="007F4106" w:rsidRDefault="007F4106">
      <w:pPr>
        <w:rPr>
          <w:b/>
        </w:rPr>
      </w:pPr>
      <w:r>
        <w:br w:type="page"/>
      </w:r>
    </w:p>
    <w:p w:rsidR="00D12AFD" w:rsidRDefault="00D12AFD" w:rsidP="00965B03">
      <w:pPr>
        <w:pStyle w:val="Heading5"/>
        <w:ind w:left="567" w:hanging="567"/>
      </w:pPr>
      <w:r w:rsidRPr="002C4F00">
        <w:lastRenderedPageBreak/>
        <w:t>Do you think the proposed timeframes for allocations and confirmations under Article 2 of the RTS on Settlement Discipline are adequate?</w:t>
      </w:r>
    </w:p>
    <w:p w:rsidR="00D12AFD" w:rsidRPr="002C4F00" w:rsidRDefault="00D12AFD" w:rsidP="00BA1DEE">
      <w:pPr>
        <w:pStyle w:val="Heading5"/>
        <w:numPr>
          <w:ilvl w:val="0"/>
          <w:numId w:val="0"/>
        </w:numPr>
        <w:ind w:left="567"/>
      </w:pPr>
      <w:r w:rsidRPr="002C4F00">
        <w:t>If not, what would be feasible timeframes in your opinion?</w:t>
      </w:r>
    </w:p>
    <w:p w:rsidR="00D12AFD" w:rsidRDefault="00D12AFD" w:rsidP="00BA1DEE">
      <w:pPr>
        <w:ind w:left="567"/>
      </w:pPr>
    </w:p>
    <w:p w:rsidR="00D12AFD" w:rsidRPr="002C4F00" w:rsidRDefault="00D12AFD" w:rsidP="00BA1DEE">
      <w:pPr>
        <w:pStyle w:val="Heading5"/>
        <w:numPr>
          <w:ilvl w:val="0"/>
          <w:numId w:val="0"/>
        </w:numPr>
        <w:ind w:left="567"/>
      </w:pPr>
      <w:r w:rsidRPr="002C4F00">
        <w:t>Please provide details and arguments in case you envisage any technical difficulties in complying with the proposed timeframes.</w:t>
      </w:r>
    </w:p>
    <w:p w:rsidR="00D12AFD" w:rsidRDefault="00D12AFD" w:rsidP="00D12AFD"/>
    <w:p w:rsidR="00D12AFD" w:rsidRDefault="00D12AFD" w:rsidP="00D12AFD">
      <w:r>
        <w:t>&lt;ESMA_QUESTION_TS_CSDR_1&gt;</w:t>
      </w:r>
    </w:p>
    <w:p w:rsidR="00810A47" w:rsidRPr="00810A47" w:rsidRDefault="00810A47" w:rsidP="00810A47">
      <w:pPr>
        <w:rPr>
          <w:rFonts w:cs="Arial"/>
          <w:szCs w:val="22"/>
          <w:lang w:eastAsia="en-GB"/>
        </w:rPr>
      </w:pPr>
      <w:permStart w:id="3" w:edGrp="everyone"/>
      <w:r w:rsidRPr="00810A47">
        <w:rPr>
          <w:rFonts w:cs="Arial"/>
          <w:szCs w:val="22"/>
          <w:lang w:eastAsia="en-GB"/>
        </w:rPr>
        <w:t>AFME agrees that timely allocation and confirmation will improve settlement performance; ho</w:t>
      </w:r>
      <w:r w:rsidRPr="00810A47">
        <w:rPr>
          <w:rFonts w:cs="Arial"/>
          <w:szCs w:val="22"/>
          <w:lang w:eastAsia="en-GB"/>
        </w:rPr>
        <w:t>w</w:t>
      </w:r>
      <w:r w:rsidRPr="00810A47">
        <w:rPr>
          <w:rFonts w:cs="Arial"/>
          <w:szCs w:val="22"/>
          <w:lang w:eastAsia="en-GB"/>
        </w:rPr>
        <w:t>ever there are considerations to be taken into account before enforcing a same-day (trade date) confirmation process. This is a realistic target, however, investment firms can be restricted by clients and counterparties who still adopt paper based (manual) booking processes which inhe</w:t>
      </w:r>
      <w:r w:rsidRPr="00810A47">
        <w:rPr>
          <w:rFonts w:cs="Arial"/>
          <w:szCs w:val="22"/>
          <w:lang w:eastAsia="en-GB"/>
        </w:rPr>
        <w:t>r</w:t>
      </w:r>
      <w:r w:rsidRPr="00810A47">
        <w:rPr>
          <w:rFonts w:cs="Arial"/>
          <w:szCs w:val="22"/>
          <w:lang w:eastAsia="en-GB"/>
        </w:rPr>
        <w:t>ently delay confirmation and allocation, often until T+1. To make confirmation and allocation mandatory on trade date without the necessary automation will drive increased pressure on operational teams. Member firms are working with manual clients and vendor solutions to aut</w:t>
      </w:r>
      <w:r w:rsidRPr="00810A47">
        <w:rPr>
          <w:rFonts w:cs="Arial"/>
          <w:szCs w:val="22"/>
          <w:lang w:eastAsia="en-GB"/>
        </w:rPr>
        <w:t>o</w:t>
      </w:r>
      <w:r w:rsidRPr="00810A47">
        <w:rPr>
          <w:rFonts w:cs="Arial"/>
          <w:szCs w:val="22"/>
          <w:lang w:eastAsia="en-GB"/>
        </w:rPr>
        <w:t xml:space="preserve">mate allocation/confirmation however this will also be dependent on client investment. </w:t>
      </w:r>
    </w:p>
    <w:p w:rsidR="00810A47" w:rsidRPr="00810A47" w:rsidRDefault="00810A47" w:rsidP="00810A47">
      <w:pPr>
        <w:rPr>
          <w:rFonts w:cs="Arial"/>
          <w:szCs w:val="22"/>
          <w:lang w:eastAsia="en-GB"/>
        </w:rPr>
      </w:pPr>
    </w:p>
    <w:p w:rsidR="00810A47" w:rsidRPr="00810A47" w:rsidRDefault="00810A47" w:rsidP="00810A47">
      <w:pPr>
        <w:rPr>
          <w:rFonts w:cs="Arial"/>
          <w:szCs w:val="22"/>
          <w:lang w:eastAsia="en-GB"/>
        </w:rPr>
      </w:pPr>
      <w:r w:rsidRPr="00810A47">
        <w:rPr>
          <w:rFonts w:cs="Arial"/>
          <w:szCs w:val="22"/>
          <w:lang w:eastAsia="en-GB"/>
        </w:rPr>
        <w:t>It is not clear to us why the term “written” in used in connection with confirmations and alloc</w:t>
      </w:r>
      <w:r w:rsidRPr="00810A47">
        <w:rPr>
          <w:rFonts w:cs="Arial"/>
          <w:szCs w:val="22"/>
          <w:lang w:eastAsia="en-GB"/>
        </w:rPr>
        <w:t>a</w:t>
      </w:r>
      <w:r w:rsidRPr="00810A47">
        <w:rPr>
          <w:rFonts w:cs="Arial"/>
          <w:szCs w:val="22"/>
          <w:lang w:eastAsia="en-GB"/>
        </w:rPr>
        <w:t>tions of transactions. We believe that the spirit of the technical standards is to achieve autom</w:t>
      </w:r>
      <w:r w:rsidRPr="00810A47">
        <w:rPr>
          <w:rFonts w:cs="Arial"/>
          <w:szCs w:val="22"/>
          <w:lang w:eastAsia="en-GB"/>
        </w:rPr>
        <w:t>a</w:t>
      </w:r>
      <w:r w:rsidRPr="00810A47">
        <w:rPr>
          <w:rFonts w:cs="Arial"/>
          <w:szCs w:val="22"/>
          <w:lang w:eastAsia="en-GB"/>
        </w:rPr>
        <w:t xml:space="preserve">tion so that confirmations are executed as quickly as possible. </w:t>
      </w:r>
      <w:r w:rsidR="002F4894">
        <w:rPr>
          <w:rFonts w:cs="Arial"/>
          <w:szCs w:val="22"/>
          <w:lang w:eastAsia="en-GB"/>
        </w:rPr>
        <w:t>“</w:t>
      </w:r>
      <w:r w:rsidRPr="00810A47">
        <w:rPr>
          <w:rFonts w:cs="Arial"/>
          <w:szCs w:val="22"/>
          <w:lang w:eastAsia="en-GB"/>
        </w:rPr>
        <w:t>Written</w:t>
      </w:r>
      <w:r w:rsidR="002F4894">
        <w:rPr>
          <w:rFonts w:cs="Arial"/>
          <w:szCs w:val="22"/>
          <w:lang w:eastAsia="en-GB"/>
        </w:rPr>
        <w:t>”</w:t>
      </w:r>
      <w:r w:rsidRPr="00810A47">
        <w:rPr>
          <w:rFonts w:cs="Arial"/>
          <w:szCs w:val="22"/>
          <w:lang w:eastAsia="en-GB"/>
        </w:rPr>
        <w:t xml:space="preserve"> may portray the impre</w:t>
      </w:r>
      <w:r w:rsidRPr="00810A47">
        <w:rPr>
          <w:rFonts w:cs="Arial"/>
          <w:szCs w:val="22"/>
          <w:lang w:eastAsia="en-GB"/>
        </w:rPr>
        <w:t>s</w:t>
      </w:r>
      <w:r w:rsidRPr="00810A47">
        <w:rPr>
          <w:rFonts w:cs="Arial"/>
          <w:szCs w:val="22"/>
          <w:lang w:eastAsia="en-GB"/>
        </w:rPr>
        <w:t xml:space="preserve">sion that it is acceptable to send manual faxes or email as confirmation of a trade. We would suggest that the term be replaced by “automated” or </w:t>
      </w:r>
      <w:r w:rsidR="002F4894">
        <w:rPr>
          <w:rFonts w:cs="Arial"/>
          <w:szCs w:val="22"/>
          <w:lang w:eastAsia="en-GB"/>
        </w:rPr>
        <w:t>“</w:t>
      </w:r>
      <w:r w:rsidRPr="00810A47">
        <w:rPr>
          <w:rFonts w:cs="Arial"/>
          <w:szCs w:val="22"/>
          <w:lang w:eastAsia="en-GB"/>
        </w:rPr>
        <w:t>machine readable”. We recognise that not all professional clients are currently able to send via an automated method and therefore su</w:t>
      </w:r>
      <w:r w:rsidRPr="00810A47">
        <w:rPr>
          <w:rFonts w:cs="Arial"/>
          <w:szCs w:val="22"/>
          <w:lang w:eastAsia="en-GB"/>
        </w:rPr>
        <w:t>g</w:t>
      </w:r>
      <w:r w:rsidRPr="00810A47">
        <w:rPr>
          <w:rFonts w:cs="Arial"/>
          <w:szCs w:val="22"/>
          <w:lang w:eastAsia="en-GB"/>
        </w:rPr>
        <w:t>gest a phase in period post the Regulation entering into force.</w:t>
      </w:r>
    </w:p>
    <w:p w:rsidR="00810A47" w:rsidRPr="00810A47" w:rsidRDefault="00810A47" w:rsidP="00810A47">
      <w:pPr>
        <w:rPr>
          <w:rFonts w:cs="Arial"/>
          <w:szCs w:val="22"/>
          <w:lang w:eastAsia="en-GB"/>
        </w:rPr>
      </w:pPr>
    </w:p>
    <w:p w:rsidR="00810A47" w:rsidRPr="00810A47" w:rsidRDefault="00810A47" w:rsidP="00810A47">
      <w:pPr>
        <w:rPr>
          <w:rFonts w:cs="Arial"/>
          <w:szCs w:val="22"/>
          <w:lang w:eastAsia="en-GB"/>
        </w:rPr>
      </w:pPr>
    </w:p>
    <w:tbl>
      <w:tblPr>
        <w:tblStyle w:val="TableGrid"/>
        <w:tblW w:w="0" w:type="auto"/>
        <w:tblLook w:val="04A0"/>
      </w:tblPr>
      <w:tblGrid>
        <w:gridCol w:w="8529"/>
      </w:tblGrid>
      <w:tr w:rsidR="00810A47" w:rsidRPr="00810A47" w:rsidTr="003D466C">
        <w:tc>
          <w:tcPr>
            <w:tcW w:w="8529" w:type="dxa"/>
          </w:tcPr>
          <w:p w:rsidR="00810A47" w:rsidRPr="002F4894" w:rsidRDefault="00810A47" w:rsidP="003D466C">
            <w:pPr>
              <w:autoSpaceDE w:val="0"/>
              <w:autoSpaceDN w:val="0"/>
              <w:adjustRightInd w:val="0"/>
              <w:rPr>
                <w:rFonts w:eastAsiaTheme="minorHAnsi" w:cs="Arial"/>
                <w:szCs w:val="22"/>
                <w:u w:val="single"/>
                <w:lang w:eastAsia="en-US"/>
              </w:rPr>
            </w:pPr>
            <w:r w:rsidRPr="002F4894">
              <w:rPr>
                <w:rFonts w:eastAsiaTheme="minorHAnsi" w:cs="Arial"/>
                <w:szCs w:val="22"/>
                <w:u w:val="single"/>
                <w:lang w:eastAsia="en-US"/>
              </w:rPr>
              <w:t xml:space="preserve">Proposed re-drafting </w:t>
            </w:r>
            <w:r w:rsidR="002F4894">
              <w:rPr>
                <w:rFonts w:eastAsiaTheme="minorHAnsi" w:cs="Arial"/>
                <w:szCs w:val="22"/>
                <w:u w:val="single"/>
                <w:lang w:eastAsia="en-US"/>
              </w:rPr>
              <w:t>Article 2(1)</w:t>
            </w:r>
          </w:p>
          <w:p w:rsidR="00810A47" w:rsidRPr="00810A47" w:rsidRDefault="00810A47" w:rsidP="003D466C">
            <w:pPr>
              <w:autoSpaceDE w:val="0"/>
              <w:autoSpaceDN w:val="0"/>
              <w:adjustRightInd w:val="0"/>
              <w:rPr>
                <w:rFonts w:eastAsiaTheme="minorHAnsi" w:cs="Arial"/>
                <w:szCs w:val="22"/>
                <w:lang w:eastAsia="en-US"/>
              </w:rPr>
            </w:pPr>
            <w:r w:rsidRPr="00810A47">
              <w:rPr>
                <w:rFonts w:eastAsiaTheme="minorHAnsi" w:cs="Arial"/>
                <w:szCs w:val="22"/>
                <w:lang w:eastAsia="en-US"/>
              </w:rPr>
              <w:t xml:space="preserve">2.1. Investment firms shall in their agreements with professional clients, enter an obligation for these clients to send the investment firm </w:t>
            </w:r>
            <w:r w:rsidRPr="00810A47">
              <w:rPr>
                <w:rFonts w:eastAsiaTheme="minorHAnsi" w:cs="Arial"/>
                <w:strike/>
                <w:szCs w:val="22"/>
                <w:lang w:eastAsia="en-US"/>
              </w:rPr>
              <w:t>written</w:t>
            </w:r>
            <w:r w:rsidRPr="00810A47">
              <w:rPr>
                <w:rFonts w:eastAsiaTheme="minorHAnsi" w:cs="Arial"/>
                <w:szCs w:val="22"/>
                <w:lang w:eastAsia="en-US"/>
              </w:rPr>
              <w:t xml:space="preserve"> </w:t>
            </w:r>
            <w:r w:rsidRPr="00810A47">
              <w:rPr>
                <w:rFonts w:eastAsiaTheme="minorHAnsi" w:cs="Arial"/>
                <w:b/>
                <w:szCs w:val="22"/>
                <w:lang w:eastAsia="en-US"/>
              </w:rPr>
              <w:t>automated</w:t>
            </w:r>
            <w:r w:rsidRPr="00810A47">
              <w:rPr>
                <w:rFonts w:eastAsiaTheme="minorHAnsi" w:cs="Arial"/>
                <w:szCs w:val="22"/>
                <w:lang w:eastAsia="en-US"/>
              </w:rPr>
              <w:t xml:space="preserve"> allocations of securities or cash to the transactions, as well as a </w:t>
            </w:r>
            <w:r w:rsidRPr="00810A47">
              <w:rPr>
                <w:rFonts w:eastAsiaTheme="minorHAnsi" w:cs="Arial"/>
                <w:strike/>
                <w:szCs w:val="22"/>
                <w:lang w:eastAsia="en-US"/>
              </w:rPr>
              <w:t>written</w:t>
            </w:r>
            <w:r w:rsidRPr="00810A47">
              <w:rPr>
                <w:rFonts w:eastAsiaTheme="minorHAnsi" w:cs="Arial"/>
                <w:szCs w:val="22"/>
                <w:lang w:eastAsia="en-US"/>
              </w:rPr>
              <w:t xml:space="preserve"> </w:t>
            </w:r>
            <w:r w:rsidRPr="00810A47">
              <w:rPr>
                <w:rFonts w:eastAsiaTheme="minorHAnsi" w:cs="Arial"/>
                <w:b/>
                <w:szCs w:val="22"/>
                <w:lang w:eastAsia="en-US"/>
              </w:rPr>
              <w:t>automated</w:t>
            </w:r>
            <w:r w:rsidRPr="00810A47">
              <w:rPr>
                <w:rFonts w:eastAsiaTheme="minorHAnsi" w:cs="Arial"/>
                <w:szCs w:val="22"/>
                <w:lang w:eastAsia="en-US"/>
              </w:rPr>
              <w:t xml:space="preserve"> confirmation of acceptance or rejection of the terms of the transaction, unless the professional client holds the relevant securities and cash at the investment firm. </w:t>
            </w:r>
          </w:p>
          <w:p w:rsidR="00810A47" w:rsidRPr="00810A47" w:rsidRDefault="00810A47" w:rsidP="003D466C">
            <w:pPr>
              <w:rPr>
                <w:rFonts w:eastAsiaTheme="minorHAnsi" w:cs="Arial"/>
                <w:szCs w:val="22"/>
                <w:lang w:eastAsia="en-US"/>
              </w:rPr>
            </w:pPr>
            <w:r w:rsidRPr="00810A47">
              <w:rPr>
                <w:rFonts w:eastAsiaTheme="minorHAnsi" w:cs="Arial"/>
                <w:szCs w:val="22"/>
                <w:lang w:eastAsia="en-US"/>
              </w:rPr>
              <w:t xml:space="preserve">The </w:t>
            </w:r>
            <w:r w:rsidRPr="00810A47">
              <w:rPr>
                <w:rFonts w:eastAsiaTheme="minorHAnsi" w:cs="Arial"/>
                <w:strike/>
                <w:szCs w:val="22"/>
                <w:lang w:eastAsia="en-US"/>
              </w:rPr>
              <w:t>written</w:t>
            </w:r>
            <w:r w:rsidRPr="00810A47">
              <w:rPr>
                <w:rFonts w:eastAsiaTheme="minorHAnsi" w:cs="Arial"/>
                <w:szCs w:val="22"/>
                <w:lang w:eastAsia="en-US"/>
              </w:rPr>
              <w:t xml:space="preserve"> </w:t>
            </w:r>
            <w:r w:rsidRPr="00810A47">
              <w:rPr>
                <w:rFonts w:eastAsiaTheme="minorHAnsi" w:cs="Arial"/>
                <w:b/>
                <w:szCs w:val="22"/>
                <w:lang w:eastAsia="en-US"/>
              </w:rPr>
              <w:t>automated</w:t>
            </w:r>
            <w:r w:rsidRPr="00810A47">
              <w:rPr>
                <w:rFonts w:eastAsiaTheme="minorHAnsi" w:cs="Arial"/>
                <w:szCs w:val="22"/>
                <w:lang w:eastAsia="en-US"/>
              </w:rPr>
              <w:t xml:space="preserve"> acceptance of the terms of the transaction shall be sent as soon as possible after receipt of the confirmation of execution of orders by the i</w:t>
            </w:r>
            <w:r w:rsidRPr="00810A47">
              <w:rPr>
                <w:rFonts w:eastAsiaTheme="minorHAnsi" w:cs="Arial"/>
                <w:szCs w:val="22"/>
                <w:lang w:eastAsia="en-US"/>
              </w:rPr>
              <w:t>n</w:t>
            </w:r>
            <w:r w:rsidRPr="00810A47">
              <w:rPr>
                <w:rFonts w:eastAsiaTheme="minorHAnsi" w:cs="Arial"/>
                <w:szCs w:val="22"/>
                <w:lang w:eastAsia="en-US"/>
              </w:rPr>
              <w:t xml:space="preserve">vestment firm to the professional client, and within the timeframes set in paragraph </w:t>
            </w:r>
          </w:p>
          <w:p w:rsidR="00810A47" w:rsidRPr="00810A47" w:rsidRDefault="00810A47" w:rsidP="003D466C">
            <w:pPr>
              <w:rPr>
                <w:rFonts w:eastAsiaTheme="minorHAnsi" w:cs="Arial"/>
                <w:szCs w:val="22"/>
                <w:lang w:eastAsia="en-US"/>
              </w:rPr>
            </w:pPr>
            <w:r w:rsidRPr="00810A47">
              <w:rPr>
                <w:rFonts w:eastAsiaTheme="minorHAnsi" w:cs="Arial"/>
                <w:szCs w:val="22"/>
                <w:lang w:eastAsia="en-US"/>
              </w:rPr>
              <w:t xml:space="preserve">The </w:t>
            </w:r>
            <w:r w:rsidRPr="00810A47">
              <w:rPr>
                <w:rFonts w:eastAsiaTheme="minorHAnsi" w:cs="Arial"/>
                <w:strike/>
                <w:szCs w:val="22"/>
                <w:lang w:eastAsia="en-US"/>
              </w:rPr>
              <w:t>written</w:t>
            </w:r>
            <w:r w:rsidRPr="00810A47">
              <w:rPr>
                <w:rFonts w:eastAsiaTheme="minorHAnsi" w:cs="Arial"/>
                <w:szCs w:val="22"/>
                <w:lang w:eastAsia="en-US"/>
              </w:rPr>
              <w:t xml:space="preserve"> </w:t>
            </w:r>
            <w:r w:rsidRPr="00810A47">
              <w:rPr>
                <w:rFonts w:eastAsiaTheme="minorHAnsi" w:cs="Arial"/>
                <w:b/>
                <w:szCs w:val="22"/>
                <w:lang w:eastAsia="en-US"/>
              </w:rPr>
              <w:t>automated</w:t>
            </w:r>
            <w:r w:rsidRPr="00810A47">
              <w:rPr>
                <w:rFonts w:eastAsiaTheme="minorHAnsi" w:cs="Arial"/>
                <w:szCs w:val="22"/>
                <w:lang w:eastAsia="en-US"/>
              </w:rPr>
              <w:t xml:space="preserve"> acceptance of the terms of the transaction may be included in the allocation.</w:t>
            </w:r>
          </w:p>
          <w:p w:rsidR="00810A47" w:rsidRPr="00810A47" w:rsidRDefault="00810A47" w:rsidP="003D466C">
            <w:pPr>
              <w:rPr>
                <w:rFonts w:cs="Arial"/>
                <w:szCs w:val="22"/>
                <w:lang w:eastAsia="en-GB"/>
              </w:rPr>
            </w:pPr>
            <w:r w:rsidRPr="00810A47">
              <w:rPr>
                <w:rFonts w:eastAsiaTheme="minorHAnsi" w:cs="Arial"/>
                <w:b/>
                <w:szCs w:val="22"/>
                <w:lang w:eastAsia="en-US"/>
              </w:rPr>
              <w:t>New:</w:t>
            </w:r>
            <w:r w:rsidRPr="00810A47">
              <w:rPr>
                <w:rFonts w:eastAsiaTheme="minorHAnsi" w:cs="Arial"/>
                <w:szCs w:val="22"/>
                <w:lang w:eastAsia="en-US"/>
              </w:rPr>
              <w:t xml:space="preserve"> The process of automation should be undertaken within one year of this Reg</w:t>
            </w:r>
            <w:r w:rsidRPr="00810A47">
              <w:rPr>
                <w:rFonts w:eastAsiaTheme="minorHAnsi" w:cs="Arial"/>
                <w:szCs w:val="22"/>
                <w:lang w:eastAsia="en-US"/>
              </w:rPr>
              <w:t>u</w:t>
            </w:r>
            <w:r w:rsidRPr="00810A47">
              <w:rPr>
                <w:rFonts w:eastAsiaTheme="minorHAnsi" w:cs="Arial"/>
                <w:szCs w:val="22"/>
                <w:lang w:eastAsia="en-US"/>
              </w:rPr>
              <w:t>lation entering into force.</w:t>
            </w:r>
          </w:p>
          <w:p w:rsidR="00810A47" w:rsidRPr="00810A47" w:rsidRDefault="00810A47" w:rsidP="003D466C">
            <w:pPr>
              <w:autoSpaceDE w:val="0"/>
              <w:autoSpaceDN w:val="0"/>
              <w:adjustRightInd w:val="0"/>
              <w:rPr>
                <w:rFonts w:eastAsiaTheme="minorHAnsi" w:cs="Arial"/>
                <w:szCs w:val="22"/>
                <w:lang w:eastAsia="en-US"/>
              </w:rPr>
            </w:pPr>
          </w:p>
        </w:tc>
      </w:tr>
    </w:tbl>
    <w:p w:rsidR="00810A47" w:rsidRPr="00810A47" w:rsidRDefault="00810A47" w:rsidP="00810A47">
      <w:pPr>
        <w:autoSpaceDE w:val="0"/>
        <w:autoSpaceDN w:val="0"/>
        <w:adjustRightInd w:val="0"/>
        <w:rPr>
          <w:rFonts w:eastAsiaTheme="minorHAnsi" w:cs="Arial"/>
          <w:szCs w:val="22"/>
          <w:lang w:eastAsia="en-US"/>
        </w:rPr>
      </w:pPr>
    </w:p>
    <w:p w:rsidR="00810A47" w:rsidRPr="00810A47" w:rsidRDefault="00810A47" w:rsidP="00810A47">
      <w:pPr>
        <w:rPr>
          <w:rFonts w:cs="Arial"/>
          <w:szCs w:val="22"/>
          <w:lang w:eastAsia="en-GB"/>
        </w:rPr>
      </w:pPr>
    </w:p>
    <w:p w:rsidR="00810A47" w:rsidRPr="00810A47" w:rsidRDefault="00810A47" w:rsidP="00810A47">
      <w:pPr>
        <w:rPr>
          <w:rFonts w:cs="Arial"/>
          <w:szCs w:val="22"/>
          <w:lang w:eastAsia="en-GB"/>
        </w:rPr>
      </w:pPr>
      <w:r w:rsidRPr="00810A47">
        <w:rPr>
          <w:rFonts w:cs="Arial"/>
          <w:szCs w:val="22"/>
          <w:lang w:eastAsia="en-GB"/>
        </w:rPr>
        <w:t>For the sake of clarity AFME would like to add the time zone:</w:t>
      </w:r>
    </w:p>
    <w:p w:rsidR="00810A47" w:rsidRPr="00810A47" w:rsidRDefault="00810A47" w:rsidP="00810A47">
      <w:pPr>
        <w:rPr>
          <w:rFonts w:cs="Arial"/>
          <w:szCs w:val="22"/>
          <w:lang w:eastAsia="en-GB"/>
        </w:rPr>
      </w:pPr>
    </w:p>
    <w:tbl>
      <w:tblPr>
        <w:tblStyle w:val="TableGrid"/>
        <w:tblW w:w="0" w:type="auto"/>
        <w:tblLook w:val="04A0"/>
      </w:tblPr>
      <w:tblGrid>
        <w:gridCol w:w="8529"/>
      </w:tblGrid>
      <w:tr w:rsidR="00810A47" w:rsidRPr="00810A47" w:rsidTr="003D466C">
        <w:tc>
          <w:tcPr>
            <w:tcW w:w="8529" w:type="dxa"/>
          </w:tcPr>
          <w:p w:rsidR="00810A47" w:rsidRPr="002F4894" w:rsidRDefault="00810A47" w:rsidP="003D466C">
            <w:pPr>
              <w:autoSpaceDE w:val="0"/>
              <w:autoSpaceDN w:val="0"/>
              <w:adjustRightInd w:val="0"/>
              <w:rPr>
                <w:rFonts w:eastAsiaTheme="minorHAnsi" w:cs="Arial"/>
                <w:szCs w:val="22"/>
                <w:u w:val="single"/>
                <w:lang w:eastAsia="en-US"/>
              </w:rPr>
            </w:pPr>
            <w:r w:rsidRPr="002F4894">
              <w:rPr>
                <w:rFonts w:eastAsiaTheme="minorHAnsi" w:cs="Arial"/>
                <w:szCs w:val="22"/>
                <w:u w:val="single"/>
                <w:lang w:eastAsia="en-US"/>
              </w:rPr>
              <w:t xml:space="preserve">Proposed re-drafting </w:t>
            </w:r>
            <w:r w:rsidR="002F4894" w:rsidRPr="002F4894">
              <w:rPr>
                <w:rFonts w:eastAsiaTheme="minorHAnsi" w:cs="Arial"/>
                <w:szCs w:val="22"/>
                <w:u w:val="single"/>
                <w:lang w:eastAsia="en-US"/>
              </w:rPr>
              <w:t>Article 2 (2)</w:t>
            </w:r>
          </w:p>
          <w:p w:rsidR="00810A47" w:rsidRPr="00810A47" w:rsidRDefault="00810A47" w:rsidP="003D466C">
            <w:pPr>
              <w:autoSpaceDE w:val="0"/>
              <w:autoSpaceDN w:val="0"/>
              <w:adjustRightInd w:val="0"/>
              <w:rPr>
                <w:rFonts w:eastAsiaTheme="minorHAnsi" w:cs="Arial"/>
                <w:szCs w:val="22"/>
                <w:lang w:eastAsia="en-US"/>
              </w:rPr>
            </w:pPr>
            <w:r w:rsidRPr="00810A47">
              <w:rPr>
                <w:rFonts w:eastAsiaTheme="minorHAnsi" w:cs="Arial"/>
                <w:szCs w:val="22"/>
                <w:lang w:eastAsia="en-US"/>
              </w:rPr>
              <w:t xml:space="preserve">2.2 The allocations and confirmations under paragraph 1 shall reach the investment firm, in the time zone of the investment firm: </w:t>
            </w:r>
          </w:p>
          <w:p w:rsidR="00810A47" w:rsidRPr="00810A47" w:rsidRDefault="00810A47" w:rsidP="003D466C">
            <w:pPr>
              <w:autoSpaceDE w:val="0"/>
              <w:autoSpaceDN w:val="0"/>
              <w:adjustRightInd w:val="0"/>
              <w:rPr>
                <w:rFonts w:eastAsiaTheme="minorHAnsi" w:cs="Arial"/>
                <w:szCs w:val="22"/>
                <w:lang w:eastAsia="en-US"/>
              </w:rPr>
            </w:pPr>
            <w:r w:rsidRPr="00810A47">
              <w:rPr>
                <w:rFonts w:eastAsiaTheme="minorHAnsi" w:cs="Arial"/>
                <w:szCs w:val="22"/>
                <w:lang w:eastAsia="en-US"/>
              </w:rPr>
              <w:t xml:space="preserve">(a) on the business day in which the transaction takes place; or, </w:t>
            </w:r>
          </w:p>
          <w:p w:rsidR="00810A47" w:rsidRPr="00810A47" w:rsidRDefault="00810A47" w:rsidP="003D466C">
            <w:pPr>
              <w:rPr>
                <w:rFonts w:cs="Arial"/>
                <w:szCs w:val="22"/>
                <w:lang w:eastAsia="en-GB"/>
              </w:rPr>
            </w:pPr>
            <w:r w:rsidRPr="00810A47">
              <w:rPr>
                <w:rFonts w:eastAsiaTheme="minorHAnsi" w:cs="Arial"/>
                <w:szCs w:val="22"/>
                <w:lang w:eastAsia="en-US"/>
              </w:rPr>
              <w:t xml:space="preserve">(b) at the latest, </w:t>
            </w:r>
            <w:r w:rsidR="00D939AF" w:rsidRPr="00810A47">
              <w:rPr>
                <w:rFonts w:eastAsiaTheme="minorHAnsi" w:cs="Arial"/>
                <w:szCs w:val="22"/>
                <w:lang w:eastAsia="en-US"/>
              </w:rPr>
              <w:t xml:space="preserve">by </w:t>
            </w:r>
            <w:r w:rsidR="00D939AF" w:rsidRPr="00810A47">
              <w:rPr>
                <w:rFonts w:eastAsiaTheme="minorHAnsi" w:cs="Arial"/>
                <w:b/>
                <w:szCs w:val="22"/>
                <w:lang w:eastAsia="en-US"/>
              </w:rPr>
              <w:t>Noon</w:t>
            </w:r>
            <w:r w:rsidRPr="00810A47">
              <w:rPr>
                <w:rFonts w:eastAsiaTheme="minorHAnsi" w:cs="Arial"/>
                <w:b/>
                <w:szCs w:val="22"/>
                <w:lang w:eastAsia="en-US"/>
              </w:rPr>
              <w:t xml:space="preserve"> (CET)</w:t>
            </w:r>
            <w:r w:rsidRPr="00810A47">
              <w:rPr>
                <w:rFonts w:eastAsiaTheme="minorHAnsi" w:cs="Arial"/>
                <w:szCs w:val="22"/>
                <w:lang w:eastAsia="en-US"/>
              </w:rPr>
              <w:t xml:space="preserve"> on the business day following the business day in which the transaction takes place, in the case of time zone differences greater than 2 </w:t>
            </w:r>
            <w:r w:rsidRPr="00810A47">
              <w:rPr>
                <w:rFonts w:eastAsiaTheme="minorHAnsi" w:cs="Arial"/>
                <w:szCs w:val="22"/>
                <w:lang w:eastAsia="en-US"/>
              </w:rPr>
              <w:lastRenderedPageBreak/>
              <w:t>hours or in the case of orders executed after 4 pm in the time zone of the investment firm.</w:t>
            </w:r>
          </w:p>
          <w:p w:rsidR="00810A47" w:rsidRPr="00810A47" w:rsidRDefault="00810A47" w:rsidP="003D466C">
            <w:pPr>
              <w:rPr>
                <w:rFonts w:cs="Arial"/>
                <w:szCs w:val="22"/>
                <w:lang w:eastAsia="en-GB"/>
              </w:rPr>
            </w:pPr>
          </w:p>
        </w:tc>
      </w:tr>
    </w:tbl>
    <w:p w:rsidR="00810A47" w:rsidRPr="00810A47" w:rsidRDefault="00810A47" w:rsidP="00810A47">
      <w:pPr>
        <w:rPr>
          <w:rFonts w:cs="Arial"/>
          <w:szCs w:val="22"/>
          <w:lang w:eastAsia="en-GB"/>
        </w:rPr>
      </w:pPr>
    </w:p>
    <w:p w:rsidR="00810A47" w:rsidRPr="00810A47" w:rsidRDefault="00810A47" w:rsidP="00810A47">
      <w:pPr>
        <w:rPr>
          <w:rFonts w:cs="Arial"/>
          <w:szCs w:val="22"/>
          <w:lang w:eastAsia="en-GB"/>
        </w:rPr>
      </w:pPr>
      <w:r w:rsidRPr="00810A47">
        <w:rPr>
          <w:rFonts w:cs="Arial"/>
          <w:szCs w:val="22"/>
          <w:lang w:eastAsia="en-GB"/>
        </w:rPr>
        <w:t>AFME notes that the responsibility is placed on the investment firm to potentially re-paper their clients to include details of these proposed timeframes which will be an onerous activity. Ho</w:t>
      </w:r>
      <w:r w:rsidRPr="00810A47">
        <w:rPr>
          <w:rFonts w:cs="Arial"/>
          <w:szCs w:val="22"/>
          <w:lang w:eastAsia="en-GB"/>
        </w:rPr>
        <w:t>w</w:t>
      </w:r>
      <w:r w:rsidRPr="00810A47">
        <w:rPr>
          <w:rFonts w:cs="Arial"/>
          <w:szCs w:val="22"/>
          <w:lang w:eastAsia="en-GB"/>
        </w:rPr>
        <w:t>ever, there do not appear to be any clauses which ensure the client adheres to these timelines, nor any mention of clients having to affirm transactions (electronically), a necessity in order to reduce risk. The level 1 text states that measures to prevent fails shall “at least consist of a</w:t>
      </w:r>
      <w:r w:rsidRPr="00810A47">
        <w:rPr>
          <w:rFonts w:cs="Arial"/>
          <w:szCs w:val="22"/>
          <w:lang w:eastAsia="en-GB"/>
        </w:rPr>
        <w:t>r</w:t>
      </w:r>
      <w:r w:rsidRPr="00810A47">
        <w:rPr>
          <w:rFonts w:cs="Arial"/>
          <w:szCs w:val="22"/>
          <w:lang w:eastAsia="en-GB"/>
        </w:rPr>
        <w:t>rangements between the investment firm and its clients to ensure the prompt communic</w:t>
      </w:r>
      <w:r w:rsidRPr="00810A47">
        <w:rPr>
          <w:rFonts w:cs="Arial"/>
          <w:szCs w:val="22"/>
          <w:lang w:eastAsia="en-GB"/>
        </w:rPr>
        <w:t>a</w:t>
      </w:r>
      <w:r w:rsidRPr="00810A47">
        <w:rPr>
          <w:rFonts w:cs="Arial"/>
          <w:szCs w:val="22"/>
          <w:lang w:eastAsia="en-GB"/>
        </w:rPr>
        <w:t>tion....of the transaction”.  We would suggest that the client should bear some responsibility for their part of the process</w:t>
      </w:r>
      <w:r w:rsidR="002F4894">
        <w:rPr>
          <w:rFonts w:cs="Arial"/>
          <w:szCs w:val="22"/>
          <w:lang w:eastAsia="en-GB"/>
        </w:rPr>
        <w:t>.</w:t>
      </w:r>
    </w:p>
    <w:p w:rsidR="00810A47" w:rsidRPr="00810A47" w:rsidRDefault="00810A47" w:rsidP="00810A47">
      <w:pPr>
        <w:rPr>
          <w:rFonts w:cs="Arial"/>
          <w:szCs w:val="22"/>
          <w:lang w:eastAsia="en-GB"/>
        </w:rPr>
      </w:pPr>
    </w:p>
    <w:tbl>
      <w:tblPr>
        <w:tblStyle w:val="TableGrid"/>
        <w:tblW w:w="0" w:type="auto"/>
        <w:tblLook w:val="04A0"/>
      </w:tblPr>
      <w:tblGrid>
        <w:gridCol w:w="8529"/>
      </w:tblGrid>
      <w:tr w:rsidR="00810A47" w:rsidRPr="00810A47" w:rsidTr="003D466C">
        <w:tc>
          <w:tcPr>
            <w:tcW w:w="8529" w:type="dxa"/>
          </w:tcPr>
          <w:p w:rsidR="00810A47" w:rsidRPr="00810A47" w:rsidRDefault="00810A47" w:rsidP="003D466C">
            <w:pPr>
              <w:autoSpaceDE w:val="0"/>
              <w:autoSpaceDN w:val="0"/>
              <w:adjustRightInd w:val="0"/>
              <w:rPr>
                <w:rFonts w:eastAsiaTheme="minorHAnsi" w:cs="Arial"/>
                <w:szCs w:val="22"/>
                <w:u w:val="single"/>
                <w:lang w:eastAsia="en-US"/>
              </w:rPr>
            </w:pPr>
            <w:r w:rsidRPr="00810A47">
              <w:rPr>
                <w:rFonts w:eastAsiaTheme="minorHAnsi" w:cs="Arial"/>
                <w:szCs w:val="22"/>
                <w:u w:val="single"/>
                <w:lang w:eastAsia="en-US"/>
              </w:rPr>
              <w:t xml:space="preserve">Proposed re-drafting </w:t>
            </w:r>
            <w:r w:rsidR="002F4894">
              <w:rPr>
                <w:rFonts w:eastAsiaTheme="minorHAnsi" w:cs="Arial"/>
                <w:szCs w:val="22"/>
                <w:u w:val="single"/>
                <w:lang w:eastAsia="en-US"/>
              </w:rPr>
              <w:t>Article 3</w:t>
            </w:r>
          </w:p>
          <w:p w:rsidR="00810A47" w:rsidRPr="00810A47" w:rsidRDefault="00810A47" w:rsidP="003D466C">
            <w:pPr>
              <w:autoSpaceDE w:val="0"/>
              <w:autoSpaceDN w:val="0"/>
              <w:adjustRightInd w:val="0"/>
              <w:rPr>
                <w:rFonts w:cs="Arial"/>
                <w:szCs w:val="22"/>
                <w:lang w:eastAsia="en-GB"/>
              </w:rPr>
            </w:pPr>
            <w:r w:rsidRPr="00810A47">
              <w:rPr>
                <w:rFonts w:eastAsiaTheme="minorHAnsi" w:cs="Arial"/>
                <w:szCs w:val="22"/>
                <w:lang w:eastAsia="en-US"/>
              </w:rPr>
              <w:t>3. Investment firms shall offer their professional clients the possibility to send confi</w:t>
            </w:r>
            <w:r w:rsidRPr="00810A47">
              <w:rPr>
                <w:rFonts w:eastAsiaTheme="minorHAnsi" w:cs="Arial"/>
                <w:szCs w:val="22"/>
                <w:lang w:eastAsia="en-US"/>
              </w:rPr>
              <w:t>r</w:t>
            </w:r>
            <w:r w:rsidRPr="00810A47">
              <w:rPr>
                <w:rFonts w:eastAsiaTheme="minorHAnsi" w:cs="Arial"/>
                <w:szCs w:val="22"/>
                <w:lang w:eastAsia="en-US"/>
              </w:rPr>
              <w:t>mations and allocation details under paragraphs 1 and 2 electronically, by the use of international open communication procedures and standards for messaging and reference data. The investment firms may use third party systems for confirmation and allocation.</w:t>
            </w:r>
            <w:r w:rsidRPr="00810A47">
              <w:rPr>
                <w:rFonts w:eastAsiaTheme="minorHAnsi" w:cs="Arial"/>
                <w:b/>
                <w:szCs w:val="22"/>
                <w:lang w:eastAsia="en-US"/>
              </w:rPr>
              <w:t xml:space="preserve"> Where the professional clients agree to such electronic systems, they should affirm the allocation within 2 hours. </w:t>
            </w:r>
          </w:p>
        </w:tc>
      </w:tr>
    </w:tbl>
    <w:p w:rsidR="00810A47" w:rsidRPr="00810A47" w:rsidRDefault="00810A47" w:rsidP="00810A47">
      <w:pPr>
        <w:rPr>
          <w:rFonts w:cs="Arial"/>
          <w:szCs w:val="22"/>
          <w:lang w:eastAsia="en-GB"/>
        </w:rPr>
      </w:pPr>
    </w:p>
    <w:p w:rsidR="00810A47" w:rsidRPr="00810A47" w:rsidRDefault="00810A47" w:rsidP="00810A47">
      <w:pPr>
        <w:rPr>
          <w:rFonts w:cs="Arial"/>
          <w:szCs w:val="22"/>
          <w:lang w:eastAsia="en-GB"/>
        </w:rPr>
      </w:pPr>
      <w:r w:rsidRPr="00810A47">
        <w:rPr>
          <w:rFonts w:cs="Arial"/>
          <w:szCs w:val="22"/>
          <w:lang w:eastAsia="en-GB"/>
        </w:rPr>
        <w:t xml:space="preserve">Also, for clients that do not use an electronic confirmation service (manual clients), for which a confirmation is </w:t>
      </w:r>
      <w:r w:rsidR="00AA5B47" w:rsidRPr="00810A47">
        <w:rPr>
          <w:rFonts w:cs="Arial"/>
          <w:szCs w:val="22"/>
          <w:lang w:eastAsia="en-GB"/>
        </w:rPr>
        <w:t>issued but</w:t>
      </w:r>
      <w:r w:rsidRPr="00810A47">
        <w:rPr>
          <w:rFonts w:cs="Arial"/>
          <w:szCs w:val="22"/>
          <w:lang w:eastAsia="en-GB"/>
        </w:rPr>
        <w:t xml:space="preserve"> where no positive affirmation is received from the professional client, investments firms will be unaware of any potential settlement issues until the pre-settlement matching steps take place. </w:t>
      </w:r>
    </w:p>
    <w:p w:rsidR="00810A47" w:rsidRPr="00810A47" w:rsidRDefault="00810A47" w:rsidP="00810A47">
      <w:pPr>
        <w:rPr>
          <w:rFonts w:cs="Arial"/>
          <w:szCs w:val="22"/>
          <w:lang w:eastAsia="en-GB"/>
        </w:rPr>
      </w:pPr>
    </w:p>
    <w:p w:rsidR="00810A47" w:rsidRPr="00810A47" w:rsidRDefault="00810A47" w:rsidP="00810A47">
      <w:pPr>
        <w:rPr>
          <w:rFonts w:cs="Arial"/>
          <w:szCs w:val="22"/>
          <w:lang w:eastAsia="en-GB"/>
        </w:rPr>
      </w:pPr>
      <w:r w:rsidRPr="00810A47">
        <w:rPr>
          <w:rFonts w:cs="Arial"/>
          <w:szCs w:val="22"/>
          <w:lang w:eastAsia="en-GB"/>
        </w:rPr>
        <w:t>Not all counterparties subscribe to a Standing Settlement Instruction (SSI) database. In these cases AFME members will seek the SSI from the client directly although we would urge ESMA to propose a greater use of electronic SSI databases. Professional clients (or their outsource partner) should review the database on a frequent basis to ensure the accuracy of their SSI.</w:t>
      </w:r>
    </w:p>
    <w:p w:rsidR="00810A47" w:rsidRPr="00810A47" w:rsidRDefault="00810A47" w:rsidP="00810A47">
      <w:pPr>
        <w:rPr>
          <w:rFonts w:cs="Arial"/>
          <w:szCs w:val="22"/>
          <w:lang w:eastAsia="en-GB"/>
        </w:rPr>
      </w:pPr>
    </w:p>
    <w:p w:rsidR="00810A47" w:rsidRPr="00810A47" w:rsidRDefault="00810A47" w:rsidP="00810A47">
      <w:pPr>
        <w:rPr>
          <w:rFonts w:cs="Arial"/>
          <w:szCs w:val="22"/>
          <w:lang w:eastAsia="en-GB"/>
        </w:rPr>
      </w:pPr>
      <w:r w:rsidRPr="00810A47">
        <w:rPr>
          <w:rFonts w:cs="Arial"/>
          <w:szCs w:val="22"/>
          <w:lang w:eastAsia="en-GB"/>
        </w:rPr>
        <w:t xml:space="preserve">A settlement instruction should be closely aligned to affirmation: where possible, instructions should be sent to CSDs as close to T as possible to allow for investigation into exceptions, such as SSI mismatches until ISD. </w:t>
      </w:r>
    </w:p>
    <w:p w:rsidR="00810A47" w:rsidRPr="00810A47" w:rsidRDefault="00810A47" w:rsidP="00810A47">
      <w:pPr>
        <w:rPr>
          <w:rFonts w:cs="Arial"/>
          <w:szCs w:val="22"/>
          <w:lang w:eastAsia="en-GB"/>
        </w:rPr>
      </w:pPr>
    </w:p>
    <w:p w:rsidR="00810A47" w:rsidRPr="00810A47" w:rsidRDefault="00810A47" w:rsidP="00810A47">
      <w:pPr>
        <w:rPr>
          <w:rFonts w:cs="Arial"/>
          <w:szCs w:val="22"/>
          <w:lang w:eastAsia="en-GB"/>
        </w:rPr>
      </w:pPr>
      <w:r w:rsidRPr="00810A47">
        <w:rPr>
          <w:rFonts w:cs="Arial"/>
          <w:szCs w:val="22"/>
          <w:lang w:eastAsia="en-GB"/>
        </w:rPr>
        <w:t xml:space="preserve">Finally, we believe that a clear definition of confirmation/allocation should be made and agreed by all stakeholders to </w:t>
      </w:r>
      <w:r w:rsidR="00641FD7">
        <w:rPr>
          <w:rFonts w:cs="Arial"/>
          <w:szCs w:val="22"/>
          <w:lang w:eastAsia="en-GB"/>
        </w:rPr>
        <w:t>ensure</w:t>
      </w:r>
      <w:r w:rsidRPr="00810A47">
        <w:rPr>
          <w:rFonts w:cs="Arial"/>
          <w:szCs w:val="22"/>
          <w:lang w:eastAsia="en-GB"/>
        </w:rPr>
        <w:t xml:space="preserve"> the process </w:t>
      </w:r>
      <w:r w:rsidR="00641FD7">
        <w:rPr>
          <w:rFonts w:cs="Arial"/>
          <w:szCs w:val="22"/>
          <w:lang w:eastAsia="en-GB"/>
        </w:rPr>
        <w:t xml:space="preserve">becomes </w:t>
      </w:r>
      <w:r w:rsidRPr="00810A47">
        <w:rPr>
          <w:rFonts w:cs="Arial"/>
          <w:szCs w:val="22"/>
          <w:lang w:eastAsia="en-GB"/>
        </w:rPr>
        <w:t>more efficient. Indeed</w:t>
      </w:r>
      <w:r w:rsidR="002F4894">
        <w:rPr>
          <w:rFonts w:cs="Arial"/>
          <w:szCs w:val="22"/>
          <w:lang w:eastAsia="en-GB"/>
        </w:rPr>
        <w:t>,</w:t>
      </w:r>
      <w:r w:rsidRPr="00810A47">
        <w:rPr>
          <w:rFonts w:cs="Arial"/>
          <w:szCs w:val="22"/>
          <w:lang w:eastAsia="en-GB"/>
        </w:rPr>
        <w:t xml:space="preserve"> it is envisaged in the draft RTS that “For orders where the investment firm has received the necessary settlement information in advance of the transaction, the investment firm and the professional client may agree in writing that confirmations and allocations as specified under subparagraphs 1-3 are not to be sent” (draft RTS, Chapter II, Article 2). This is not consistent with our definition of a confi</w:t>
      </w:r>
      <w:r w:rsidRPr="00810A47">
        <w:rPr>
          <w:rFonts w:cs="Arial"/>
          <w:szCs w:val="22"/>
          <w:lang w:eastAsia="en-GB"/>
        </w:rPr>
        <w:t>r</w:t>
      </w:r>
      <w:r w:rsidRPr="00810A47">
        <w:rPr>
          <w:rFonts w:cs="Arial"/>
          <w:szCs w:val="22"/>
          <w:lang w:eastAsia="en-GB"/>
        </w:rPr>
        <w:t>mation and of an allocation since they both relate to the agreement of the transaction itself rather than on specific settlement information.</w:t>
      </w:r>
    </w:p>
    <w:permEnd w:id="3"/>
    <w:p w:rsidR="00D12AFD" w:rsidRDefault="00D12AFD" w:rsidP="00D12AFD">
      <w:r>
        <w:t>&lt;ESMA_QUESTION_TS_CSDR_1&gt;</w:t>
      </w:r>
    </w:p>
    <w:p w:rsidR="00D12AFD" w:rsidRDefault="00D12AFD" w:rsidP="00B874B2">
      <w:pPr>
        <w:pStyle w:val="Heading5"/>
        <w:ind w:left="567" w:hanging="567"/>
        <w:rPr>
          <w:color w:val="000000"/>
          <w:lang w:eastAsia="en-GB"/>
        </w:rPr>
      </w:pPr>
      <w:r w:rsidRPr="002C4F00">
        <w:rPr>
          <w:color w:val="000000"/>
          <w:lang w:eastAsia="en-GB"/>
        </w:rPr>
        <w:t>Do you agree with the cases when matching would not be necessary, as specified under Article 3(2) of the draft RTS?</w:t>
      </w:r>
    </w:p>
    <w:p w:rsidR="00D12AFD" w:rsidRPr="00D12AFD" w:rsidRDefault="00D12AFD" w:rsidP="00BA1DEE">
      <w:pPr>
        <w:pStyle w:val="Heading5"/>
        <w:numPr>
          <w:ilvl w:val="0"/>
          <w:numId w:val="0"/>
        </w:numPr>
        <w:ind w:left="567"/>
        <w:rPr>
          <w:color w:val="000000"/>
          <w:lang w:eastAsia="en-GB"/>
        </w:rPr>
      </w:pPr>
      <w:r w:rsidRPr="00D12AFD">
        <w:rPr>
          <w:color w:val="000000"/>
          <w:lang w:eastAsia="en-GB"/>
        </w:rPr>
        <w:t>Should other cases be included? Please provide details and evidence for any pr</w:t>
      </w:r>
      <w:r w:rsidRPr="00D12AFD">
        <w:rPr>
          <w:color w:val="000000"/>
          <w:lang w:eastAsia="en-GB"/>
        </w:rPr>
        <w:t>o</w:t>
      </w:r>
      <w:r w:rsidRPr="00D12AFD">
        <w:rPr>
          <w:color w:val="000000"/>
          <w:lang w:eastAsia="en-GB"/>
        </w:rPr>
        <w:t>posed case.</w:t>
      </w:r>
    </w:p>
    <w:p w:rsidR="00D12AFD" w:rsidRDefault="00D12AFD" w:rsidP="00D12AFD"/>
    <w:p w:rsidR="00D12AFD" w:rsidRDefault="00D12AFD" w:rsidP="00D12AFD">
      <w:r>
        <w:t>&lt;ESMA_QUESTION_TS_CSDR_2&gt;</w:t>
      </w:r>
    </w:p>
    <w:p w:rsidR="00810A47" w:rsidRDefault="00810A47" w:rsidP="00810A47">
      <w:pPr>
        <w:rPr>
          <w:rFonts w:cs="Arial"/>
          <w:szCs w:val="22"/>
          <w:lang w:eastAsia="en-GB"/>
        </w:rPr>
      </w:pPr>
      <w:permStart w:id="4" w:edGrp="everyone"/>
      <w:r w:rsidRPr="00810A47">
        <w:rPr>
          <w:rFonts w:cs="Arial"/>
          <w:szCs w:val="22"/>
          <w:lang w:eastAsia="en-GB"/>
        </w:rPr>
        <w:lastRenderedPageBreak/>
        <w:t xml:space="preserve">AFME is strongly in favour of Straight </w:t>
      </w:r>
      <w:proofErr w:type="gramStart"/>
      <w:r w:rsidR="00D939AF">
        <w:rPr>
          <w:rFonts w:cs="Arial"/>
          <w:szCs w:val="22"/>
          <w:lang w:eastAsia="en-GB"/>
        </w:rPr>
        <w:t>T</w:t>
      </w:r>
      <w:r w:rsidR="00D939AF" w:rsidRPr="00810A47">
        <w:rPr>
          <w:rFonts w:cs="Arial"/>
          <w:szCs w:val="22"/>
          <w:lang w:eastAsia="en-GB"/>
        </w:rPr>
        <w:t>hrough</w:t>
      </w:r>
      <w:proofErr w:type="gramEnd"/>
      <w:r w:rsidRPr="00810A47">
        <w:rPr>
          <w:rFonts w:cs="Arial"/>
          <w:szCs w:val="22"/>
          <w:lang w:eastAsia="en-GB"/>
        </w:rPr>
        <w:t xml:space="preserve"> </w:t>
      </w:r>
      <w:r w:rsidR="00D939AF" w:rsidRPr="00810A47">
        <w:rPr>
          <w:rFonts w:cs="Arial"/>
          <w:szCs w:val="22"/>
          <w:lang w:eastAsia="en-GB"/>
        </w:rPr>
        <w:t>Processing</w:t>
      </w:r>
      <w:r w:rsidRPr="00810A47">
        <w:rPr>
          <w:rFonts w:cs="Arial"/>
          <w:szCs w:val="22"/>
          <w:lang w:eastAsia="en-GB"/>
        </w:rPr>
        <w:t xml:space="preserve"> (STP), wherever possible</w:t>
      </w:r>
      <w:r w:rsidR="00641FD7">
        <w:rPr>
          <w:rFonts w:cs="Arial"/>
          <w:szCs w:val="22"/>
          <w:lang w:eastAsia="en-GB"/>
        </w:rPr>
        <w:t>,</w:t>
      </w:r>
      <w:r w:rsidRPr="00810A47">
        <w:rPr>
          <w:rFonts w:cs="Arial"/>
          <w:szCs w:val="22"/>
          <w:lang w:eastAsia="en-GB"/>
        </w:rPr>
        <w:t xml:space="preserve"> which we understand to be</w:t>
      </w:r>
      <w:r w:rsidR="00641FD7">
        <w:rPr>
          <w:rFonts w:cs="Arial"/>
          <w:szCs w:val="22"/>
          <w:lang w:eastAsia="en-GB"/>
        </w:rPr>
        <w:t xml:space="preserve"> processing with</w:t>
      </w:r>
      <w:r w:rsidRPr="00810A47">
        <w:rPr>
          <w:rFonts w:cs="Arial"/>
          <w:szCs w:val="22"/>
          <w:lang w:eastAsia="en-GB"/>
        </w:rPr>
        <w:t xml:space="preserve"> a lack of manual intervention</w:t>
      </w:r>
      <w:r w:rsidR="00D939AF" w:rsidRPr="00810A47">
        <w:rPr>
          <w:rFonts w:cs="Arial"/>
          <w:szCs w:val="22"/>
          <w:lang w:eastAsia="en-GB"/>
        </w:rPr>
        <w:t>.</w:t>
      </w:r>
      <w:r w:rsidRPr="00810A47">
        <w:rPr>
          <w:rFonts w:cs="Arial"/>
          <w:szCs w:val="22"/>
          <w:lang w:eastAsia="en-GB"/>
        </w:rPr>
        <w:t xml:space="preserve"> AFME agrees that the matching fields described in the draft RTS are </w:t>
      </w:r>
      <w:r w:rsidR="00641FD7" w:rsidRPr="00810A47">
        <w:rPr>
          <w:rFonts w:cs="Arial"/>
          <w:szCs w:val="22"/>
          <w:lang w:eastAsia="en-GB"/>
        </w:rPr>
        <w:t>appropriate</w:t>
      </w:r>
      <w:r w:rsidR="00641FD7">
        <w:rPr>
          <w:rFonts w:cs="Arial"/>
          <w:szCs w:val="22"/>
          <w:lang w:eastAsia="en-GB"/>
        </w:rPr>
        <w:t>.</w:t>
      </w:r>
      <w:r w:rsidR="00641FD7" w:rsidRPr="00810A47">
        <w:rPr>
          <w:rFonts w:cs="Arial"/>
          <w:szCs w:val="22"/>
          <w:lang w:eastAsia="en-GB"/>
        </w:rPr>
        <w:t xml:space="preserve"> However</w:t>
      </w:r>
      <w:r w:rsidRPr="00810A47">
        <w:rPr>
          <w:rFonts w:cs="Arial"/>
          <w:szCs w:val="22"/>
          <w:lang w:eastAsia="en-GB"/>
        </w:rPr>
        <w:t xml:space="preserve"> we would like to highlight that the “already matched” status is a pure T2S technical concept and should</w:t>
      </w:r>
      <w:r w:rsidR="000345A1">
        <w:rPr>
          <w:rFonts w:cs="Arial"/>
          <w:szCs w:val="22"/>
          <w:lang w:eastAsia="en-GB"/>
        </w:rPr>
        <w:t xml:space="preserve"> it be used in a regulation </w:t>
      </w:r>
      <w:r w:rsidR="00641FD7">
        <w:rPr>
          <w:rFonts w:cs="Arial"/>
          <w:szCs w:val="22"/>
          <w:lang w:eastAsia="en-GB"/>
        </w:rPr>
        <w:t>we would support</w:t>
      </w:r>
      <w:r w:rsidRPr="00810A47">
        <w:rPr>
          <w:rFonts w:cs="Arial"/>
          <w:szCs w:val="22"/>
          <w:lang w:eastAsia="en-GB"/>
        </w:rPr>
        <w:t xml:space="preserve"> a</w:t>
      </w:r>
      <w:r w:rsidR="000345A1">
        <w:rPr>
          <w:rFonts w:cs="Arial"/>
          <w:szCs w:val="22"/>
          <w:lang w:eastAsia="en-GB"/>
        </w:rPr>
        <w:t xml:space="preserve"> harmonised</w:t>
      </w:r>
      <w:r w:rsidRPr="00810A47">
        <w:rPr>
          <w:rFonts w:cs="Arial"/>
          <w:szCs w:val="22"/>
          <w:lang w:eastAsia="en-GB"/>
        </w:rPr>
        <w:t xml:space="preserve"> European definition. </w:t>
      </w:r>
    </w:p>
    <w:p w:rsidR="003D466C" w:rsidRPr="00810A47" w:rsidRDefault="003D466C" w:rsidP="00810A47">
      <w:pPr>
        <w:rPr>
          <w:rFonts w:cs="Arial"/>
          <w:szCs w:val="22"/>
          <w:lang w:eastAsia="en-GB"/>
        </w:rPr>
      </w:pPr>
    </w:p>
    <w:p w:rsidR="00810A47" w:rsidRPr="00810A47" w:rsidRDefault="00810A47" w:rsidP="003D466C">
      <w:pPr>
        <w:widowControl w:val="0"/>
        <w:spacing w:line="277" w:lineRule="auto"/>
        <w:ind w:right="61"/>
        <w:rPr>
          <w:rFonts w:cs="Arial"/>
          <w:szCs w:val="22"/>
          <w:lang w:eastAsia="en-GB"/>
        </w:rPr>
      </w:pPr>
      <w:r w:rsidRPr="00810A47">
        <w:rPr>
          <w:rFonts w:cs="Arial"/>
          <w:szCs w:val="22"/>
          <w:lang w:eastAsia="en-GB"/>
        </w:rPr>
        <w:t>AFME supports the tolerance levels which are already in use today in many markets and strongly suggests that tolerance levels are harmonized across all CSDs. Ideally AFME would suggest that rather than having tolerances based on Euros, tolerances for each currency should be provided to avoid confusion. For example matching between two domestic instructions in DKK or SEK where the counter value in Euros is irrelevant.</w:t>
      </w:r>
    </w:p>
    <w:p w:rsidR="006766B6" w:rsidRPr="00810A47" w:rsidRDefault="006766B6" w:rsidP="006766B6">
      <w:pPr>
        <w:rPr>
          <w:rFonts w:cs="Arial"/>
          <w:szCs w:val="22"/>
          <w:lang w:eastAsia="en-GB"/>
        </w:rPr>
      </w:pPr>
    </w:p>
    <w:p w:rsidR="00810A47" w:rsidRDefault="00810A47" w:rsidP="00810A47">
      <w:pPr>
        <w:rPr>
          <w:rFonts w:cs="Arial"/>
          <w:szCs w:val="22"/>
          <w:lang w:eastAsia="en-GB"/>
        </w:rPr>
      </w:pPr>
      <w:r w:rsidRPr="00810A47">
        <w:rPr>
          <w:rFonts w:cs="Arial"/>
          <w:szCs w:val="22"/>
          <w:lang w:eastAsia="en-GB"/>
        </w:rPr>
        <w:t>We believe that in Art 3 (3) a, the reference to 4(2)h is not valid and should be (g).</w:t>
      </w:r>
    </w:p>
    <w:p w:rsidR="00E27924" w:rsidRPr="00810A47" w:rsidRDefault="00E27924" w:rsidP="00810A47">
      <w:pPr>
        <w:rPr>
          <w:rFonts w:cs="Arial"/>
          <w:szCs w:val="22"/>
          <w:lang w:eastAsia="en-GB"/>
        </w:rPr>
      </w:pPr>
    </w:p>
    <w:p w:rsidR="00810A47" w:rsidRPr="00810A47" w:rsidRDefault="00810A47" w:rsidP="00810A47">
      <w:pPr>
        <w:rPr>
          <w:rFonts w:cs="Arial"/>
          <w:szCs w:val="22"/>
          <w:lang w:eastAsia="en-GB"/>
        </w:rPr>
      </w:pPr>
      <w:r w:rsidRPr="00810A47">
        <w:rPr>
          <w:rFonts w:cs="Arial"/>
          <w:szCs w:val="22"/>
          <w:lang w:eastAsia="en-GB"/>
        </w:rPr>
        <w:t xml:space="preserve">Similarly, we think that Art 3 (3) d – reference to 4(2)f – is also invalid and should relate to (e). </w:t>
      </w:r>
    </w:p>
    <w:p w:rsidR="00810A47" w:rsidRPr="00810A47" w:rsidRDefault="00810A47" w:rsidP="00810A47">
      <w:pPr>
        <w:rPr>
          <w:rFonts w:cs="Arial"/>
          <w:szCs w:val="22"/>
          <w:lang w:eastAsia="en-GB"/>
        </w:rPr>
      </w:pPr>
    </w:p>
    <w:p w:rsidR="00810A47" w:rsidRPr="00810A47" w:rsidRDefault="00810A47" w:rsidP="00810A47">
      <w:pPr>
        <w:rPr>
          <w:rFonts w:cs="Arial"/>
          <w:szCs w:val="22"/>
          <w:lang w:eastAsia="en-GB"/>
        </w:rPr>
      </w:pPr>
      <w:r w:rsidRPr="00810A47">
        <w:rPr>
          <w:rFonts w:cs="Arial"/>
          <w:szCs w:val="22"/>
          <w:lang w:eastAsia="en-GB"/>
        </w:rPr>
        <w:t>We would urge ESMA to consider a phase</w:t>
      </w:r>
      <w:r w:rsidR="003B6EED">
        <w:rPr>
          <w:rFonts w:cs="Arial"/>
          <w:szCs w:val="22"/>
          <w:lang w:eastAsia="en-GB"/>
        </w:rPr>
        <w:t>-</w:t>
      </w:r>
      <w:r w:rsidRPr="00810A47">
        <w:rPr>
          <w:rFonts w:cs="Arial"/>
          <w:szCs w:val="22"/>
          <w:lang w:eastAsia="en-GB"/>
        </w:rPr>
        <w:t>in period for the i</w:t>
      </w:r>
      <w:r w:rsidR="00E27924">
        <w:rPr>
          <w:rFonts w:cs="Arial"/>
          <w:szCs w:val="22"/>
          <w:lang w:eastAsia="en-GB"/>
        </w:rPr>
        <w:t>ntroduction of “transaction type”</w:t>
      </w:r>
      <w:r w:rsidRPr="00810A47">
        <w:rPr>
          <w:rFonts w:cs="Arial"/>
          <w:szCs w:val="22"/>
          <w:lang w:eastAsia="en-GB"/>
        </w:rPr>
        <w:t xml:space="preserve"> field in the settlement instructions and become a pre-requisite to the introduction of the settlement penalties and buy-in regime. This field is not commonly used by markets today and will require technology enhancements. In addition, new codes may need to be applied for</w:t>
      </w:r>
      <w:r w:rsidR="003B6EED" w:rsidRPr="00810A47">
        <w:rPr>
          <w:rFonts w:cs="Arial"/>
          <w:szCs w:val="22"/>
          <w:lang w:eastAsia="en-GB"/>
        </w:rPr>
        <w:t>.</w:t>
      </w:r>
      <w:r w:rsidR="003B6EED">
        <w:rPr>
          <w:rFonts w:cs="Arial"/>
          <w:szCs w:val="22"/>
          <w:lang w:eastAsia="en-GB"/>
        </w:rPr>
        <w:t xml:space="preserve"> “</w:t>
      </w:r>
      <w:r w:rsidRPr="00810A47">
        <w:rPr>
          <w:rFonts w:cs="Arial"/>
          <w:szCs w:val="22"/>
          <w:lang w:eastAsia="en-GB"/>
        </w:rPr>
        <w:t>Transaction types</w:t>
      </w:r>
      <w:r w:rsidR="00E27924">
        <w:rPr>
          <w:rFonts w:cs="Arial"/>
          <w:szCs w:val="22"/>
          <w:lang w:eastAsia="en-GB"/>
        </w:rPr>
        <w:t>” however,</w:t>
      </w:r>
      <w:r w:rsidRPr="00810A47">
        <w:rPr>
          <w:rFonts w:cs="Arial"/>
          <w:szCs w:val="22"/>
          <w:lang w:eastAsia="en-GB"/>
        </w:rPr>
        <w:t xml:space="preserve"> should be a pre-requisite to the introduction of the settlement penalties and buy-in regime. The phased approach would need to be closely aligned to the settlement penalties and buy-in regime as </w:t>
      </w:r>
      <w:r w:rsidR="00E27924">
        <w:rPr>
          <w:rFonts w:cs="Arial"/>
          <w:szCs w:val="22"/>
          <w:lang w:eastAsia="en-GB"/>
        </w:rPr>
        <w:t>“</w:t>
      </w:r>
      <w:r w:rsidRPr="00810A47">
        <w:rPr>
          <w:rFonts w:cs="Arial"/>
          <w:szCs w:val="22"/>
          <w:lang w:eastAsia="en-GB"/>
        </w:rPr>
        <w:t>transaction type</w:t>
      </w:r>
      <w:r w:rsidR="00E27924">
        <w:rPr>
          <w:rFonts w:cs="Arial"/>
          <w:szCs w:val="22"/>
          <w:lang w:eastAsia="en-GB"/>
        </w:rPr>
        <w:t>”</w:t>
      </w:r>
      <w:r w:rsidRPr="00810A47">
        <w:rPr>
          <w:rFonts w:cs="Arial"/>
          <w:szCs w:val="22"/>
          <w:lang w:eastAsia="en-GB"/>
        </w:rPr>
        <w:t xml:space="preserve"> is the only way that the CSDs can identify in-scope transactions for both settlement penalties and buy-ins</w:t>
      </w:r>
    </w:p>
    <w:p w:rsidR="00810A47" w:rsidRPr="00810A47" w:rsidRDefault="00810A47" w:rsidP="00810A47">
      <w:pPr>
        <w:widowControl w:val="0"/>
        <w:spacing w:line="277" w:lineRule="auto"/>
        <w:ind w:right="61"/>
        <w:jc w:val="both"/>
        <w:rPr>
          <w:rFonts w:eastAsia="Arial" w:cs="Arial"/>
          <w:bCs/>
          <w:szCs w:val="22"/>
          <w:lang w:val="en-US" w:eastAsia="en-US"/>
        </w:rPr>
      </w:pPr>
    </w:p>
    <w:p w:rsidR="00E27924" w:rsidRPr="00E27924" w:rsidRDefault="00E27924" w:rsidP="00E27924">
      <w:pPr>
        <w:rPr>
          <w:rFonts w:cs="Arial"/>
          <w:szCs w:val="22"/>
          <w:lang w:eastAsia="en-GB"/>
        </w:rPr>
      </w:pPr>
      <w:r w:rsidRPr="00E27924">
        <w:rPr>
          <w:rFonts w:cs="Arial"/>
          <w:szCs w:val="22"/>
          <w:lang w:eastAsia="en-GB"/>
        </w:rPr>
        <w:t>With respect to Free of Payment (FoP) transfers we would encourage ESMA to clarify that matching should also be possible between two securities accounts of the same CSD participant. As an explanation, agent banks may operate multiple accounts under their own name but for different underlying clients. If the underlying parties have provided instructions to transfer secur</w:t>
      </w:r>
      <w:r w:rsidRPr="00E27924">
        <w:rPr>
          <w:rFonts w:cs="Arial"/>
          <w:szCs w:val="22"/>
          <w:lang w:eastAsia="en-GB"/>
        </w:rPr>
        <w:t>i</w:t>
      </w:r>
      <w:r w:rsidRPr="00E27924">
        <w:rPr>
          <w:rFonts w:cs="Arial"/>
          <w:szCs w:val="22"/>
          <w:lang w:eastAsia="en-GB"/>
        </w:rPr>
        <w:t>ties FoP between two accounts they should be matched in order to ensure that the underlying details of the instructions match. Alternatively agent banks would have to build an in-house matching mechanism to perform that check and make additional investments to hold back the receipt instruction, which may not be desired</w:t>
      </w:r>
      <w:r w:rsidR="00D939AF">
        <w:rPr>
          <w:rFonts w:cs="Arial"/>
          <w:szCs w:val="22"/>
          <w:lang w:eastAsia="en-GB"/>
        </w:rPr>
        <w:t xml:space="preserve">. </w:t>
      </w:r>
      <w:r w:rsidRPr="00E27924">
        <w:rPr>
          <w:rFonts w:cs="Arial"/>
          <w:szCs w:val="22"/>
          <w:lang w:eastAsia="en-GB"/>
        </w:rPr>
        <w:t>No exception should be made for Corporate Action processing or Depositary Receipt agents</w:t>
      </w:r>
      <w:r>
        <w:rPr>
          <w:rFonts w:cs="Arial"/>
          <w:szCs w:val="22"/>
          <w:lang w:eastAsia="en-GB"/>
        </w:rPr>
        <w:t>.</w:t>
      </w:r>
    </w:p>
    <w:p w:rsidR="00810A47" w:rsidRPr="00E27924" w:rsidRDefault="00810A47" w:rsidP="00E27924">
      <w:pPr>
        <w:rPr>
          <w:rFonts w:cs="Arial"/>
          <w:szCs w:val="22"/>
          <w:lang w:eastAsia="en-GB"/>
        </w:rPr>
      </w:pPr>
    </w:p>
    <w:p w:rsidR="00810A47" w:rsidRPr="00810A47" w:rsidRDefault="00810A47" w:rsidP="00810A47">
      <w:pPr>
        <w:widowControl w:val="0"/>
        <w:spacing w:line="277" w:lineRule="auto"/>
        <w:ind w:right="61"/>
        <w:jc w:val="both"/>
        <w:rPr>
          <w:rFonts w:eastAsia="Arial" w:cs="Arial"/>
          <w:bCs/>
          <w:szCs w:val="22"/>
          <w:lang w:val="en-US" w:eastAsia="en-US"/>
        </w:rPr>
      </w:pPr>
    </w:p>
    <w:tbl>
      <w:tblPr>
        <w:tblStyle w:val="TableGrid"/>
        <w:tblW w:w="0" w:type="auto"/>
        <w:tblLook w:val="04A0"/>
      </w:tblPr>
      <w:tblGrid>
        <w:gridCol w:w="8529"/>
      </w:tblGrid>
      <w:tr w:rsidR="00810A47" w:rsidRPr="00810A47" w:rsidTr="003D466C">
        <w:tc>
          <w:tcPr>
            <w:tcW w:w="8529" w:type="dxa"/>
          </w:tcPr>
          <w:p w:rsidR="00810A47" w:rsidRPr="00810A47" w:rsidRDefault="00E27924" w:rsidP="003D466C">
            <w:pPr>
              <w:widowControl w:val="0"/>
              <w:spacing w:line="277" w:lineRule="auto"/>
              <w:ind w:right="61"/>
              <w:jc w:val="both"/>
              <w:rPr>
                <w:rFonts w:eastAsia="Arial" w:cs="Arial"/>
                <w:bCs/>
                <w:szCs w:val="22"/>
                <w:u w:val="single"/>
                <w:lang w:val="en-US" w:eastAsia="en-US"/>
              </w:rPr>
            </w:pPr>
            <w:r>
              <w:rPr>
                <w:rFonts w:eastAsia="Arial" w:cs="Arial"/>
                <w:bCs/>
                <w:szCs w:val="22"/>
                <w:u w:val="single"/>
                <w:lang w:val="en-US" w:eastAsia="en-US"/>
              </w:rPr>
              <w:t>Proposed r</w:t>
            </w:r>
            <w:r w:rsidR="00810A47" w:rsidRPr="00810A47">
              <w:rPr>
                <w:rFonts w:eastAsia="Arial" w:cs="Arial"/>
                <w:bCs/>
                <w:szCs w:val="22"/>
                <w:u w:val="single"/>
                <w:lang w:val="en-US" w:eastAsia="en-US"/>
              </w:rPr>
              <w:t>e</w:t>
            </w:r>
            <w:r>
              <w:rPr>
                <w:rFonts w:eastAsia="Arial" w:cs="Arial"/>
                <w:bCs/>
                <w:szCs w:val="22"/>
                <w:u w:val="single"/>
                <w:lang w:val="en-US" w:eastAsia="en-US"/>
              </w:rPr>
              <w:t>-</w:t>
            </w:r>
            <w:r w:rsidR="00810A47" w:rsidRPr="00810A47">
              <w:rPr>
                <w:rFonts w:eastAsia="Arial" w:cs="Arial"/>
                <w:bCs/>
                <w:szCs w:val="22"/>
                <w:u w:val="single"/>
                <w:lang w:val="en-US" w:eastAsia="en-US"/>
              </w:rPr>
              <w:t>drafting Article 3.2</w:t>
            </w:r>
          </w:p>
          <w:p w:rsidR="00810A47" w:rsidRPr="00810A47" w:rsidRDefault="00810A47" w:rsidP="003D466C">
            <w:pPr>
              <w:widowControl w:val="0"/>
              <w:spacing w:line="277" w:lineRule="auto"/>
              <w:ind w:right="61"/>
              <w:jc w:val="both"/>
              <w:rPr>
                <w:rFonts w:eastAsia="Arial" w:cs="Arial"/>
                <w:bCs/>
                <w:szCs w:val="22"/>
                <w:lang w:val="en-US" w:eastAsia="en-US"/>
              </w:rPr>
            </w:pPr>
            <w:r w:rsidRPr="00810A47">
              <w:rPr>
                <w:rFonts w:eastAsia="Arial" w:cs="Arial"/>
                <w:bCs/>
                <w:szCs w:val="22"/>
                <w:lang w:val="en-US" w:eastAsia="en-US"/>
              </w:rPr>
              <w:t>A CSD shall match settlement instructions prior to settlement, based on the instru</w:t>
            </w:r>
            <w:r w:rsidRPr="00810A47">
              <w:rPr>
                <w:rFonts w:eastAsia="Arial" w:cs="Arial"/>
                <w:bCs/>
                <w:szCs w:val="22"/>
                <w:lang w:val="en-US" w:eastAsia="en-US"/>
              </w:rPr>
              <w:t>c</w:t>
            </w:r>
            <w:r w:rsidRPr="00810A47">
              <w:rPr>
                <w:rFonts w:eastAsia="Arial" w:cs="Arial"/>
                <w:bCs/>
                <w:szCs w:val="22"/>
                <w:lang w:val="en-US" w:eastAsia="en-US"/>
              </w:rPr>
              <w:t>tions sent by participants, except in the following circumstances:</w:t>
            </w:r>
          </w:p>
          <w:p w:rsidR="00810A47" w:rsidRPr="00810A47" w:rsidRDefault="00810A47" w:rsidP="003D466C">
            <w:pPr>
              <w:widowControl w:val="0"/>
              <w:spacing w:line="277" w:lineRule="auto"/>
              <w:ind w:right="61"/>
              <w:jc w:val="both"/>
              <w:rPr>
                <w:rFonts w:eastAsia="Arial" w:cs="Arial"/>
                <w:bCs/>
                <w:szCs w:val="22"/>
                <w:lang w:val="en-US" w:eastAsia="en-US"/>
              </w:rPr>
            </w:pPr>
            <w:r w:rsidRPr="00810A47">
              <w:rPr>
                <w:rFonts w:eastAsia="Arial" w:cs="Arial"/>
                <w:bCs/>
                <w:szCs w:val="22"/>
                <w:lang w:val="en-US" w:eastAsia="en-US"/>
              </w:rPr>
              <w:t>(a) the settlement instructions received by the CSD are already matched by trading venues or other entities such as CCPs;</w:t>
            </w:r>
          </w:p>
          <w:p w:rsidR="00810A47" w:rsidRPr="00810A47" w:rsidRDefault="00810A47" w:rsidP="003D466C">
            <w:pPr>
              <w:widowControl w:val="0"/>
              <w:spacing w:line="277" w:lineRule="auto"/>
              <w:ind w:right="61"/>
              <w:jc w:val="both"/>
              <w:rPr>
                <w:rFonts w:eastAsia="Arial" w:cs="Arial"/>
                <w:bCs/>
                <w:strike/>
                <w:szCs w:val="22"/>
                <w:lang w:val="en-US" w:eastAsia="en-US"/>
              </w:rPr>
            </w:pPr>
            <w:r w:rsidRPr="00810A47">
              <w:rPr>
                <w:rFonts w:eastAsia="Arial" w:cs="Arial"/>
                <w:bCs/>
                <w:strike/>
                <w:szCs w:val="22"/>
                <w:lang w:val="en-US" w:eastAsia="en-US"/>
              </w:rPr>
              <w:t>(b) FoP instructions which consist of transfers or financial instruments between different accounts opened in the name of the same participant.</w:t>
            </w:r>
          </w:p>
        </w:tc>
      </w:tr>
    </w:tbl>
    <w:p w:rsidR="00EB2542" w:rsidRPr="00810A47" w:rsidRDefault="00EB2542" w:rsidP="00EB2542">
      <w:pPr>
        <w:pStyle w:val="ListParagraph"/>
        <w:rPr>
          <w:rFonts w:cs="Arial"/>
          <w:szCs w:val="22"/>
          <w:lang w:eastAsia="en-GB"/>
        </w:rPr>
      </w:pPr>
    </w:p>
    <w:permEnd w:id="4"/>
    <w:p w:rsidR="00D12AFD" w:rsidRDefault="00D12AFD" w:rsidP="00D12AFD">
      <w:r>
        <w:t>&lt;ESMA_QUESTION_TS_CSDR_2&gt;</w:t>
      </w:r>
    </w:p>
    <w:p w:rsidR="00D12AFD" w:rsidRDefault="00D12AFD" w:rsidP="00965B03">
      <w:pPr>
        <w:pStyle w:val="Heading5"/>
        <w:ind w:left="567" w:hanging="567"/>
      </w:pPr>
      <w:r w:rsidRPr="002C4F00">
        <w:lastRenderedPageBreak/>
        <w:t xml:space="preserve">What are your views on the proposed approach under Article 3(11) of the draft RTS included in Chapter II of Annex I? </w:t>
      </w:r>
    </w:p>
    <w:p w:rsidR="00D12AFD" w:rsidRDefault="00D12AFD" w:rsidP="00BA1DEE">
      <w:pPr>
        <w:pStyle w:val="Heading5"/>
        <w:numPr>
          <w:ilvl w:val="0"/>
          <w:numId w:val="0"/>
        </w:numPr>
        <w:ind w:left="567"/>
      </w:pPr>
      <w:r w:rsidRPr="002C4F00">
        <w:t>Do you think that the 0.5% settlement fails threshold (i.e. 99.5% settlement efficiency rate) is adequate? If not, what would be an adequate threshold? Please provide d</w:t>
      </w:r>
      <w:r w:rsidRPr="002C4F00">
        <w:t>e</w:t>
      </w:r>
      <w:r w:rsidRPr="002C4F00">
        <w:t>tails and arguments.</w:t>
      </w:r>
    </w:p>
    <w:p w:rsidR="00D12AFD" w:rsidRPr="002C4F00" w:rsidRDefault="00D12AFD" w:rsidP="00BA1DEE">
      <w:pPr>
        <w:pStyle w:val="Heading5"/>
        <w:numPr>
          <w:ilvl w:val="0"/>
          <w:numId w:val="0"/>
        </w:numPr>
        <w:ind w:left="567"/>
      </w:pPr>
      <w:r w:rsidRPr="002C4F00">
        <w:t xml:space="preserve">Do you think that the 2,5 billion EUR/year in terms of the value of settlement </w:t>
      </w:r>
      <w:r w:rsidR="00851A83">
        <w:rPr>
          <w:rFonts w:cstheme="minorHAnsi"/>
          <w:szCs w:val="22"/>
        </w:rPr>
        <w:t>fails for a</w:t>
      </w:r>
      <w:r w:rsidR="00851A83" w:rsidRPr="00567AB7">
        <w:rPr>
          <w:rFonts w:cstheme="minorHAnsi"/>
          <w:szCs w:val="22"/>
        </w:rPr>
        <w:t xml:space="preserve"> securities settlement system operated</w:t>
      </w:r>
      <w:r w:rsidRPr="002C4F00">
        <w:t xml:space="preserve"> by a CSD is adequate? If not, what would be an adequate threshold? Please provide details and arguments.</w:t>
      </w:r>
    </w:p>
    <w:p w:rsidR="00D12AFD" w:rsidRDefault="00D12AFD" w:rsidP="00D12AFD"/>
    <w:p w:rsidR="00D12AFD" w:rsidRDefault="00D12AFD" w:rsidP="00D12AFD">
      <w:r>
        <w:t>&lt;ESMA_QUESTION_TS_CSDR_3&gt;</w:t>
      </w:r>
    </w:p>
    <w:p w:rsidR="00810A47" w:rsidRPr="00810A47" w:rsidRDefault="00810A47" w:rsidP="00810A47">
      <w:pPr>
        <w:spacing w:line="276" w:lineRule="auto"/>
        <w:ind w:right="61"/>
        <w:jc w:val="both"/>
        <w:rPr>
          <w:rFonts w:cs="Arial"/>
          <w:szCs w:val="22"/>
          <w:lang w:val="en-US"/>
        </w:rPr>
      </w:pPr>
      <w:permStart w:id="5" w:edGrp="everyone"/>
      <w:r w:rsidRPr="00810A47">
        <w:rPr>
          <w:rFonts w:cs="Arial"/>
          <w:szCs w:val="22"/>
          <w:lang w:val="en-US"/>
        </w:rPr>
        <w:t xml:space="preserve">AFME </w:t>
      </w:r>
      <w:r w:rsidR="00F66EA5">
        <w:rPr>
          <w:rFonts w:cs="Arial"/>
          <w:szCs w:val="22"/>
          <w:lang w:val="en-US"/>
        </w:rPr>
        <w:t>is</w:t>
      </w:r>
      <w:r w:rsidRPr="00810A47">
        <w:rPr>
          <w:rFonts w:cs="Arial"/>
          <w:szCs w:val="22"/>
          <w:lang w:val="en-US"/>
        </w:rPr>
        <w:t xml:space="preserve"> of the view that</w:t>
      </w:r>
      <w:r w:rsidRPr="00810A47">
        <w:rPr>
          <w:rFonts w:cs="Arial"/>
          <w:szCs w:val="22"/>
        </w:rPr>
        <w:t xml:space="preserve"> </w:t>
      </w:r>
      <w:r w:rsidR="00F66EA5">
        <w:rPr>
          <w:rFonts w:cs="Arial"/>
          <w:szCs w:val="22"/>
          <w:lang w:val="en-US"/>
        </w:rPr>
        <w:t xml:space="preserve">all CSDs, whether in or </w:t>
      </w:r>
      <w:r w:rsidRPr="00810A47">
        <w:rPr>
          <w:rFonts w:cs="Arial"/>
          <w:szCs w:val="22"/>
          <w:lang w:val="en-US"/>
        </w:rPr>
        <w:t>out of Target 2 Securities, should look to adopt harmonized basic services and the use of the Hold &amp; Release, Recycling and Partials functio</w:t>
      </w:r>
      <w:r w:rsidRPr="00810A47">
        <w:rPr>
          <w:rFonts w:cs="Arial"/>
          <w:szCs w:val="22"/>
          <w:lang w:val="en-US"/>
        </w:rPr>
        <w:t>n</w:t>
      </w:r>
      <w:r w:rsidRPr="00810A47">
        <w:rPr>
          <w:rFonts w:cs="Arial"/>
          <w:szCs w:val="22"/>
          <w:lang w:val="en-US"/>
        </w:rPr>
        <w:t xml:space="preserve">ality. </w:t>
      </w:r>
      <w:r w:rsidR="00502720">
        <w:rPr>
          <w:rFonts w:cs="Arial"/>
          <w:szCs w:val="22"/>
          <w:lang w:val="en-US"/>
        </w:rPr>
        <w:t>AFME believe</w:t>
      </w:r>
      <w:r w:rsidR="00F66EA5">
        <w:rPr>
          <w:rFonts w:cs="Arial"/>
          <w:szCs w:val="22"/>
          <w:lang w:val="en-US"/>
        </w:rPr>
        <w:t>s</w:t>
      </w:r>
      <w:r w:rsidR="00502720">
        <w:rPr>
          <w:rFonts w:cs="Arial"/>
          <w:szCs w:val="22"/>
          <w:lang w:val="en-US"/>
        </w:rPr>
        <w:t xml:space="preserve"> that </w:t>
      </w:r>
      <w:r w:rsidRPr="00810A47">
        <w:rPr>
          <w:rFonts w:cs="Arial"/>
          <w:szCs w:val="22"/>
          <w:lang w:val="en-US"/>
        </w:rPr>
        <w:t>CSDs should offer these same basic services to their clients and do not agree with the suggested exemptions or the respective thresholds. T2S will provide this functionality and participating CSDs are encouraged to utilize this.</w:t>
      </w:r>
    </w:p>
    <w:p w:rsidR="00810A47" w:rsidRPr="00810A47" w:rsidRDefault="00810A47" w:rsidP="00810A47">
      <w:pPr>
        <w:spacing w:line="276" w:lineRule="auto"/>
        <w:ind w:right="61"/>
        <w:jc w:val="both"/>
        <w:rPr>
          <w:rFonts w:cs="Arial"/>
          <w:szCs w:val="22"/>
          <w:lang w:val="en-US"/>
        </w:rPr>
      </w:pPr>
    </w:p>
    <w:p w:rsidR="00810A47" w:rsidRPr="00810A47" w:rsidRDefault="00810A47" w:rsidP="00810A47">
      <w:pPr>
        <w:spacing w:line="276" w:lineRule="auto"/>
        <w:ind w:right="61"/>
        <w:jc w:val="both"/>
        <w:rPr>
          <w:rFonts w:cs="Arial"/>
          <w:szCs w:val="22"/>
          <w:lang w:val="en-US"/>
        </w:rPr>
      </w:pPr>
      <w:r w:rsidRPr="00810A47">
        <w:rPr>
          <w:rFonts w:cs="Arial"/>
          <w:szCs w:val="22"/>
          <w:lang w:val="en-US"/>
        </w:rPr>
        <w:t>Moreover such exceptions would go against the harmonization efforts that the market is curren</w:t>
      </w:r>
      <w:r w:rsidRPr="00810A47">
        <w:rPr>
          <w:rFonts w:cs="Arial"/>
          <w:szCs w:val="22"/>
          <w:lang w:val="en-US"/>
        </w:rPr>
        <w:t>t</w:t>
      </w:r>
      <w:r w:rsidRPr="00810A47">
        <w:rPr>
          <w:rFonts w:cs="Arial"/>
          <w:szCs w:val="22"/>
          <w:lang w:val="en-US"/>
        </w:rPr>
        <w:t>ly undertaking. We note that such rules could be seen</w:t>
      </w:r>
      <w:r w:rsidR="00F66EA5">
        <w:rPr>
          <w:rFonts w:cs="Arial"/>
          <w:szCs w:val="22"/>
          <w:lang w:val="en-US"/>
        </w:rPr>
        <w:t xml:space="preserve"> as</w:t>
      </w:r>
      <w:r w:rsidRPr="00810A47">
        <w:rPr>
          <w:rFonts w:cs="Arial"/>
          <w:szCs w:val="22"/>
          <w:lang w:val="en-US"/>
        </w:rPr>
        <w:t xml:space="preserve"> beneficial for some CSDs. However, from a participant perspective with multiple market access points, having to build different se</w:t>
      </w:r>
      <w:r w:rsidRPr="00810A47">
        <w:rPr>
          <w:rFonts w:cs="Arial"/>
          <w:szCs w:val="22"/>
          <w:lang w:val="en-US"/>
        </w:rPr>
        <w:t>t</w:t>
      </w:r>
      <w:r w:rsidRPr="00810A47">
        <w:rPr>
          <w:rFonts w:cs="Arial"/>
          <w:szCs w:val="22"/>
          <w:lang w:val="en-US"/>
        </w:rPr>
        <w:t xml:space="preserve">tlement processes for certain markets is not desirable. </w:t>
      </w:r>
    </w:p>
    <w:p w:rsidR="00810A47" w:rsidRPr="00810A47" w:rsidRDefault="00810A47" w:rsidP="00810A47">
      <w:pPr>
        <w:spacing w:line="276" w:lineRule="auto"/>
        <w:ind w:right="61"/>
        <w:jc w:val="both"/>
        <w:rPr>
          <w:rFonts w:cs="Arial"/>
          <w:szCs w:val="22"/>
          <w:lang w:val="en-US"/>
        </w:rPr>
      </w:pPr>
    </w:p>
    <w:p w:rsidR="00810A47" w:rsidRPr="00810A47" w:rsidRDefault="00810A47" w:rsidP="00810A47">
      <w:pPr>
        <w:spacing w:line="276" w:lineRule="auto"/>
        <w:ind w:right="61"/>
        <w:jc w:val="both"/>
        <w:rPr>
          <w:rFonts w:cs="Arial"/>
          <w:szCs w:val="22"/>
          <w:lang w:val="en-US"/>
        </w:rPr>
      </w:pPr>
      <w:r w:rsidRPr="00810A47">
        <w:rPr>
          <w:rFonts w:cs="Arial"/>
          <w:szCs w:val="22"/>
          <w:lang w:val="en-US"/>
        </w:rPr>
        <w:t xml:space="preserve">Mandating an exception from the recycling of instructions </w:t>
      </w:r>
      <w:r w:rsidRPr="00810A47">
        <w:rPr>
          <w:rFonts w:cs="Arial"/>
          <w:szCs w:val="22"/>
        </w:rPr>
        <w:t>when referring to interoperable links or CSDs that use a common settlement infrastructure</w:t>
      </w:r>
      <w:r w:rsidRPr="00810A47">
        <w:rPr>
          <w:rFonts w:cs="Arial"/>
          <w:szCs w:val="22"/>
          <w:lang w:val="en-US"/>
        </w:rPr>
        <w:t xml:space="preserve"> would mean that in </w:t>
      </w:r>
      <w:r w:rsidR="00F66EA5">
        <w:rPr>
          <w:rFonts w:cs="Arial"/>
          <w:szCs w:val="22"/>
          <w:lang w:val="en-US"/>
        </w:rPr>
        <w:t>proactive manner</w:t>
      </w:r>
      <w:r w:rsidRPr="00810A47">
        <w:rPr>
          <w:rFonts w:cs="Arial"/>
          <w:szCs w:val="22"/>
          <w:lang w:val="en-US"/>
        </w:rPr>
        <w:t xml:space="preserve"> at the end of the day CSDs would cancel instructions which a participant deems to be valid. This requires additional controls to capture CSD cancelled instructions and regenerate new instru</w:t>
      </w:r>
      <w:r w:rsidRPr="00810A47">
        <w:rPr>
          <w:rFonts w:cs="Arial"/>
          <w:szCs w:val="22"/>
          <w:lang w:val="en-US"/>
        </w:rPr>
        <w:t>c</w:t>
      </w:r>
      <w:r w:rsidRPr="00810A47">
        <w:rPr>
          <w:rFonts w:cs="Arial"/>
          <w:szCs w:val="22"/>
          <w:lang w:val="en-US"/>
        </w:rPr>
        <w:t>tions creating additional unnecessary operational overheads and costs and potentially introdu</w:t>
      </w:r>
      <w:r w:rsidRPr="00810A47">
        <w:rPr>
          <w:rFonts w:cs="Arial"/>
          <w:szCs w:val="22"/>
          <w:lang w:val="en-US"/>
        </w:rPr>
        <w:t>c</w:t>
      </w:r>
      <w:r w:rsidRPr="00810A47">
        <w:rPr>
          <w:rFonts w:cs="Arial"/>
          <w:szCs w:val="22"/>
          <w:lang w:val="en-US"/>
        </w:rPr>
        <w:t>ing settlement risk if a single transaction is, or group of transactions</w:t>
      </w:r>
      <w:r w:rsidR="00F66EA5">
        <w:rPr>
          <w:rFonts w:cs="Arial"/>
          <w:szCs w:val="22"/>
          <w:lang w:val="en-US"/>
        </w:rPr>
        <w:t>,</w:t>
      </w:r>
      <w:r w:rsidRPr="00810A47">
        <w:rPr>
          <w:rFonts w:cs="Arial"/>
          <w:szCs w:val="22"/>
          <w:lang w:val="en-US"/>
        </w:rPr>
        <w:t xml:space="preserve"> are missed. Not allowing recycling could also be problematic in a corporate action scenario to allow for market claims on pending transactions. </w:t>
      </w:r>
    </w:p>
    <w:p w:rsidR="00810A47" w:rsidRPr="00810A47" w:rsidRDefault="00810A47" w:rsidP="00810A47">
      <w:pPr>
        <w:spacing w:line="276" w:lineRule="auto"/>
        <w:ind w:right="61"/>
        <w:jc w:val="both"/>
        <w:rPr>
          <w:rFonts w:cs="Arial"/>
          <w:szCs w:val="22"/>
          <w:lang w:val="en-US"/>
        </w:rPr>
      </w:pPr>
    </w:p>
    <w:p w:rsidR="00810A47" w:rsidRPr="00810A47" w:rsidRDefault="00810A47" w:rsidP="00810A47">
      <w:pPr>
        <w:spacing w:line="276" w:lineRule="auto"/>
        <w:ind w:right="61"/>
        <w:jc w:val="both"/>
        <w:rPr>
          <w:rFonts w:cs="Arial"/>
          <w:szCs w:val="22"/>
          <w:lang w:val="en-US"/>
        </w:rPr>
      </w:pPr>
      <w:r w:rsidRPr="00810A47">
        <w:rPr>
          <w:rFonts w:cs="Arial"/>
          <w:szCs w:val="22"/>
          <w:lang w:val="en-US"/>
        </w:rPr>
        <w:t xml:space="preserve">AFME </w:t>
      </w:r>
      <w:r w:rsidR="00F66EA5">
        <w:rPr>
          <w:rFonts w:cs="Arial"/>
          <w:szCs w:val="22"/>
          <w:lang w:val="en-US"/>
        </w:rPr>
        <w:t>is</w:t>
      </w:r>
      <w:r w:rsidRPr="00810A47">
        <w:rPr>
          <w:rFonts w:cs="Arial"/>
          <w:szCs w:val="22"/>
          <w:lang w:val="en-US"/>
        </w:rPr>
        <w:t xml:space="preserve"> of the opinion that both “hold &amp; release” as well as the “partial” functionality are critical to the objective of achieving high settlement efficiency as well as improving settlement behavior in other segments of the market such as Securities Borrowing and Lending (where settlement instructions are often transmitted late where lenders are awaiting receipt of collateral)</w:t>
      </w:r>
      <w:r w:rsidR="001F0212">
        <w:rPr>
          <w:rFonts w:cs="Arial"/>
          <w:szCs w:val="22"/>
          <w:lang w:val="en-US"/>
        </w:rPr>
        <w:t>.</w:t>
      </w:r>
      <w:r w:rsidR="00F66EA5">
        <w:rPr>
          <w:rFonts w:cs="Arial"/>
          <w:szCs w:val="22"/>
          <w:lang w:val="en-US"/>
        </w:rPr>
        <w:t xml:space="preserve"> In an Omnibus </w:t>
      </w:r>
      <w:r w:rsidRPr="00810A47">
        <w:rPr>
          <w:rFonts w:cs="Arial"/>
          <w:szCs w:val="22"/>
          <w:lang w:val="en-US"/>
        </w:rPr>
        <w:t>Account set up without “hold and release” functionality in place, CSD participants, in order to protect their ot</w:t>
      </w:r>
      <w:r w:rsidR="00F66EA5">
        <w:rPr>
          <w:rFonts w:cs="Arial"/>
          <w:szCs w:val="22"/>
          <w:lang w:val="en-US"/>
        </w:rPr>
        <w:t>her client</w:t>
      </w:r>
      <w:r w:rsidR="001F0212">
        <w:rPr>
          <w:rFonts w:cs="Arial"/>
          <w:szCs w:val="22"/>
          <w:lang w:val="en-US"/>
        </w:rPr>
        <w:t>s</w:t>
      </w:r>
      <w:r w:rsidR="00F66EA5">
        <w:rPr>
          <w:rFonts w:cs="Arial"/>
          <w:szCs w:val="22"/>
          <w:lang w:val="en-US"/>
        </w:rPr>
        <w:t>’</w:t>
      </w:r>
      <w:r w:rsidR="001F0212">
        <w:rPr>
          <w:rFonts w:cs="Arial"/>
          <w:szCs w:val="22"/>
          <w:lang w:val="en-US"/>
        </w:rPr>
        <w:t xml:space="preserve"> assets, would not </w:t>
      </w:r>
      <w:r w:rsidRPr="00810A47">
        <w:rPr>
          <w:rFonts w:cs="Arial"/>
          <w:szCs w:val="22"/>
          <w:lang w:val="en-US"/>
        </w:rPr>
        <w:t>send instructions to the market without first knowing that their clients had the necessary resources to settle their transactions. As a result such participants would have to resort to a telephone pre-matching process, which is time co</w:t>
      </w:r>
      <w:r w:rsidRPr="00810A47">
        <w:rPr>
          <w:rFonts w:cs="Arial"/>
          <w:szCs w:val="22"/>
          <w:lang w:val="en-US"/>
        </w:rPr>
        <w:t>n</w:t>
      </w:r>
      <w:r w:rsidRPr="00810A47">
        <w:rPr>
          <w:rFonts w:cs="Arial"/>
          <w:szCs w:val="22"/>
          <w:lang w:val="en-US"/>
        </w:rPr>
        <w:t>suming and manual. Use of the “Hold and Release” mechanism should not delay the issue of settlement instructions for pre-matching purposes. It should only prevent settlement from occu</w:t>
      </w:r>
      <w:r w:rsidRPr="00810A47">
        <w:rPr>
          <w:rFonts w:cs="Arial"/>
          <w:szCs w:val="22"/>
          <w:lang w:val="en-US"/>
        </w:rPr>
        <w:t>r</w:t>
      </w:r>
      <w:r w:rsidRPr="00810A47">
        <w:rPr>
          <w:rFonts w:cs="Arial"/>
          <w:szCs w:val="22"/>
          <w:lang w:val="en-US"/>
        </w:rPr>
        <w:t>ring until the participant changes the “hold” status to “release”.</w:t>
      </w:r>
    </w:p>
    <w:p w:rsidR="00810A47" w:rsidRPr="00810A47" w:rsidRDefault="00810A47" w:rsidP="00810A47">
      <w:pPr>
        <w:spacing w:line="276" w:lineRule="auto"/>
        <w:ind w:right="61"/>
        <w:jc w:val="both"/>
        <w:rPr>
          <w:rFonts w:cs="Arial"/>
          <w:szCs w:val="22"/>
          <w:lang w:val="en-US"/>
        </w:rPr>
      </w:pPr>
    </w:p>
    <w:p w:rsidR="00810A47" w:rsidRPr="00810A47" w:rsidRDefault="00810A47" w:rsidP="00810A47">
      <w:pPr>
        <w:spacing w:line="276" w:lineRule="auto"/>
        <w:ind w:right="61"/>
        <w:jc w:val="both"/>
        <w:rPr>
          <w:rFonts w:cs="Arial"/>
          <w:szCs w:val="22"/>
          <w:lang w:val="en-US"/>
        </w:rPr>
      </w:pPr>
      <w:r w:rsidRPr="00810A47">
        <w:rPr>
          <w:rFonts w:cs="Arial"/>
          <w:szCs w:val="22"/>
          <w:lang w:val="en-US"/>
        </w:rPr>
        <w:t>Without</w:t>
      </w:r>
      <w:r w:rsidR="00653FDD">
        <w:rPr>
          <w:rFonts w:cs="Arial"/>
          <w:szCs w:val="22"/>
          <w:lang w:val="en-US"/>
        </w:rPr>
        <w:t xml:space="preserve"> </w:t>
      </w:r>
      <w:r w:rsidR="00653FDD" w:rsidRPr="00810A47">
        <w:rPr>
          <w:rFonts w:cs="Arial"/>
          <w:szCs w:val="22"/>
          <w:lang w:val="en-US"/>
        </w:rPr>
        <w:t>“</w:t>
      </w:r>
      <w:r w:rsidR="00653FDD">
        <w:rPr>
          <w:rFonts w:cs="Arial"/>
          <w:szCs w:val="22"/>
          <w:lang w:val="en-US"/>
        </w:rPr>
        <w:t>partial</w:t>
      </w:r>
      <w:r w:rsidRPr="00810A47">
        <w:rPr>
          <w:rFonts w:cs="Arial"/>
          <w:szCs w:val="22"/>
          <w:lang w:val="en-US"/>
        </w:rPr>
        <w:t xml:space="preserve"> settlement” functionality the market is missing a key element to increase settl</w:t>
      </w:r>
      <w:r w:rsidRPr="00810A47">
        <w:rPr>
          <w:rFonts w:cs="Arial"/>
          <w:szCs w:val="22"/>
          <w:lang w:val="en-US"/>
        </w:rPr>
        <w:t>e</w:t>
      </w:r>
      <w:r w:rsidRPr="00810A47">
        <w:rPr>
          <w:rFonts w:cs="Arial"/>
          <w:szCs w:val="22"/>
          <w:lang w:val="en-US"/>
        </w:rPr>
        <w:t>ment efficiency, as in some cases even a small additional amount of liquidity injected into the settlement process could help settling further transactions in the same security.</w:t>
      </w:r>
    </w:p>
    <w:p w:rsidR="00810A47" w:rsidRPr="00810A47" w:rsidRDefault="00810A47" w:rsidP="00810A47">
      <w:pPr>
        <w:spacing w:line="276" w:lineRule="auto"/>
        <w:ind w:right="61"/>
        <w:jc w:val="both"/>
        <w:rPr>
          <w:rFonts w:cs="Arial"/>
          <w:szCs w:val="22"/>
          <w:lang w:val="en-US"/>
        </w:rPr>
      </w:pPr>
    </w:p>
    <w:p w:rsidR="00810A47" w:rsidRDefault="00810A47" w:rsidP="00810A47">
      <w:pPr>
        <w:widowControl w:val="0"/>
        <w:spacing w:line="277" w:lineRule="auto"/>
        <w:ind w:right="61"/>
        <w:jc w:val="both"/>
        <w:rPr>
          <w:rFonts w:cs="Arial"/>
          <w:szCs w:val="22"/>
          <w:lang w:val="en-US"/>
        </w:rPr>
      </w:pPr>
      <w:r w:rsidRPr="00810A47">
        <w:rPr>
          <w:rFonts w:cs="Arial"/>
          <w:szCs w:val="22"/>
          <w:lang w:val="en-US"/>
        </w:rPr>
        <w:t xml:space="preserve">Should ESMA consider retaining its original proposal to exclude mandating ‘Hold and Release’ and ‘Partialling’ settlement functionalities for CSDs who qualify under RTS article 3(11), then the 3 month timeframe for CSDs and their participants to implement such  functionalities </w:t>
      </w:r>
      <w:r w:rsidR="00F57AA0">
        <w:rPr>
          <w:rFonts w:cs="Arial"/>
          <w:szCs w:val="22"/>
          <w:lang w:val="en-US"/>
        </w:rPr>
        <w:t>appears</w:t>
      </w:r>
      <w:r w:rsidRPr="00810A47">
        <w:rPr>
          <w:rFonts w:cs="Arial"/>
          <w:szCs w:val="22"/>
          <w:lang w:val="en-US"/>
        </w:rPr>
        <w:t xml:space="preserve"> rather short. In such a scenario we would not consider 3 months to be sufficient for CSDs to undergo such significant market change. In our view, an adequate period would be one year to allow the CSD, its participants and other parties in the settlement chain to implement the r</w:t>
      </w:r>
      <w:r w:rsidRPr="00810A47">
        <w:rPr>
          <w:rFonts w:cs="Arial"/>
          <w:szCs w:val="22"/>
          <w:lang w:val="en-US"/>
        </w:rPr>
        <w:t>e</w:t>
      </w:r>
      <w:r w:rsidRPr="00810A47">
        <w:rPr>
          <w:rFonts w:cs="Arial"/>
          <w:szCs w:val="22"/>
          <w:lang w:val="en-US"/>
        </w:rPr>
        <w:t xml:space="preserve">quired changes. </w:t>
      </w:r>
    </w:p>
    <w:p w:rsidR="001F0212" w:rsidRPr="00810A47" w:rsidRDefault="001F0212" w:rsidP="00810A47">
      <w:pPr>
        <w:widowControl w:val="0"/>
        <w:spacing w:line="277" w:lineRule="auto"/>
        <w:ind w:right="61"/>
        <w:jc w:val="both"/>
        <w:rPr>
          <w:rFonts w:cs="Arial"/>
          <w:szCs w:val="22"/>
          <w:lang w:val="en-US"/>
        </w:rPr>
      </w:pPr>
    </w:p>
    <w:p w:rsidR="006766B6" w:rsidRPr="00810A47" w:rsidRDefault="00810A47" w:rsidP="00810A47">
      <w:pPr>
        <w:spacing w:line="276" w:lineRule="auto"/>
        <w:ind w:right="61"/>
        <w:jc w:val="both"/>
        <w:rPr>
          <w:rFonts w:cs="Arial"/>
          <w:szCs w:val="22"/>
          <w:lang w:val="en-US"/>
        </w:rPr>
      </w:pPr>
      <w:r w:rsidRPr="00810A47">
        <w:rPr>
          <w:rFonts w:cs="Arial"/>
          <w:szCs w:val="22"/>
          <w:lang w:val="en-US"/>
        </w:rPr>
        <w:t>The al</w:t>
      </w:r>
      <w:r w:rsidR="00F57AA0">
        <w:rPr>
          <w:rFonts w:cs="Arial"/>
          <w:szCs w:val="22"/>
          <w:lang w:val="en-US"/>
        </w:rPr>
        <w:t>ternative is to mandate all CSD</w:t>
      </w:r>
      <w:r w:rsidRPr="00810A47">
        <w:rPr>
          <w:rFonts w:cs="Arial"/>
          <w:szCs w:val="22"/>
          <w:lang w:val="en-US"/>
        </w:rPr>
        <w:t>s to implement all settlement functions but those who qualify for exemption under RTS Article 3(11) to ‘switch off’ the ‘Hold and Release’ and ‘Partialling’ functionality until such times as it is needed. The key concern is that this may result in redundant inv</w:t>
      </w:r>
      <w:r w:rsidR="00F57AA0">
        <w:rPr>
          <w:rFonts w:cs="Arial"/>
          <w:szCs w:val="22"/>
          <w:lang w:val="en-US"/>
        </w:rPr>
        <w:t>estment and effort for some CSD</w:t>
      </w:r>
      <w:r w:rsidRPr="00810A47">
        <w:rPr>
          <w:rFonts w:cs="Arial"/>
          <w:szCs w:val="22"/>
          <w:lang w:val="en-US"/>
        </w:rPr>
        <w:t>s and their participants.</w:t>
      </w:r>
    </w:p>
    <w:p w:rsidR="00810A47" w:rsidRPr="00810A47" w:rsidRDefault="00810A47" w:rsidP="00810A47">
      <w:pPr>
        <w:spacing w:line="276" w:lineRule="auto"/>
        <w:ind w:right="61"/>
        <w:jc w:val="both"/>
        <w:rPr>
          <w:rFonts w:cs="Arial"/>
          <w:szCs w:val="22"/>
          <w:lang w:val="en-US"/>
        </w:rPr>
      </w:pPr>
    </w:p>
    <w:p w:rsidR="00810A47" w:rsidRPr="00810A47" w:rsidRDefault="00810A47" w:rsidP="00810A47">
      <w:pPr>
        <w:spacing w:line="276" w:lineRule="auto"/>
        <w:ind w:right="61"/>
        <w:jc w:val="both"/>
        <w:rPr>
          <w:rFonts w:cs="Arial"/>
          <w:szCs w:val="22"/>
          <w:lang w:val="en-US"/>
        </w:rPr>
      </w:pPr>
      <w:r w:rsidRPr="00810A47">
        <w:rPr>
          <w:rFonts w:cs="Arial"/>
          <w:szCs w:val="22"/>
          <w:lang w:val="en-US"/>
        </w:rPr>
        <w:t xml:space="preserve">AFME </w:t>
      </w:r>
      <w:r w:rsidR="00F57AA0">
        <w:rPr>
          <w:rFonts w:cs="Arial"/>
          <w:szCs w:val="22"/>
          <w:lang w:val="en-US"/>
        </w:rPr>
        <w:t>is</w:t>
      </w:r>
      <w:r w:rsidRPr="00810A47">
        <w:rPr>
          <w:rFonts w:cs="Arial"/>
          <w:szCs w:val="22"/>
          <w:lang w:val="en-US"/>
        </w:rPr>
        <w:t xml:space="preserve"> strongly opposed to this Article for the reasons outlined in our response to Q3 above. All CSDs should offer the same basic services to their clients. We would not agree with the suggested exemptions or the respective thresholds.</w:t>
      </w:r>
      <w:r w:rsidR="00F57AA0">
        <w:rPr>
          <w:rFonts w:cs="Arial"/>
          <w:szCs w:val="22"/>
          <w:lang w:val="en-US"/>
        </w:rPr>
        <w:t xml:space="preserve"> In particular,</w:t>
      </w:r>
      <w:r w:rsidRPr="00810A47">
        <w:rPr>
          <w:rFonts w:cs="Arial"/>
          <w:szCs w:val="22"/>
          <w:lang w:val="en-US"/>
        </w:rPr>
        <w:t xml:space="preserve"> T2S will provide this functio</w:t>
      </w:r>
      <w:r w:rsidRPr="00810A47">
        <w:rPr>
          <w:rFonts w:cs="Arial"/>
          <w:szCs w:val="22"/>
          <w:lang w:val="en-US"/>
        </w:rPr>
        <w:t>n</w:t>
      </w:r>
      <w:r w:rsidRPr="00810A47">
        <w:rPr>
          <w:rFonts w:cs="Arial"/>
          <w:szCs w:val="22"/>
          <w:lang w:val="en-US"/>
        </w:rPr>
        <w:t xml:space="preserve">ality and participating CSDs are encouraged to utilize this. </w:t>
      </w:r>
    </w:p>
    <w:p w:rsidR="00810A47" w:rsidRPr="00810A47" w:rsidRDefault="00810A47" w:rsidP="00810A47">
      <w:pPr>
        <w:rPr>
          <w:rFonts w:eastAsia="Arial" w:cs="Arial"/>
          <w:bCs/>
          <w:szCs w:val="22"/>
          <w:lang w:val="en-US" w:eastAsia="en-US"/>
        </w:rPr>
      </w:pPr>
    </w:p>
    <w:p w:rsidR="00810A47" w:rsidRPr="00810A47" w:rsidRDefault="00810A47" w:rsidP="00810A47">
      <w:pPr>
        <w:rPr>
          <w:rFonts w:eastAsia="Arial" w:cs="Arial"/>
          <w:b/>
          <w:bCs/>
          <w:szCs w:val="22"/>
          <w:lang w:val="en-US" w:eastAsia="en-US"/>
        </w:rPr>
      </w:pPr>
      <w:r w:rsidRPr="00810A47">
        <w:rPr>
          <w:rFonts w:eastAsia="Arial" w:cs="Arial"/>
          <w:b/>
          <w:bCs/>
          <w:szCs w:val="22"/>
          <w:lang w:val="en-US" w:eastAsia="en-US"/>
        </w:rPr>
        <w:t>Therefore we propose that Article 3.11 and 3.12 be deleted.</w:t>
      </w:r>
    </w:p>
    <w:p w:rsidR="00D12AFD" w:rsidRDefault="006766B6" w:rsidP="00D12AFD">
      <w:r>
        <w:t xml:space="preserve"> </w:t>
      </w:r>
      <w:permEnd w:id="5"/>
      <w:r w:rsidR="00D12AFD">
        <w:t>&lt;ESMA_QUESTION_TS_CSDR_3&gt;</w:t>
      </w:r>
    </w:p>
    <w:p w:rsidR="00D12AFD" w:rsidRPr="002C4F00" w:rsidRDefault="00D12AFD" w:rsidP="00965B03">
      <w:pPr>
        <w:pStyle w:val="Heading5"/>
        <w:ind w:left="567" w:hanging="567"/>
      </w:pPr>
      <w:r w:rsidRPr="002C4F00">
        <w:t>What are your views on the proposed draft RTS included in Chapter II of Annex I?</w:t>
      </w:r>
    </w:p>
    <w:p w:rsidR="00D12AFD" w:rsidRDefault="00D12AFD" w:rsidP="00D12AFD"/>
    <w:p w:rsidR="00D12AFD" w:rsidRDefault="00D12AFD" w:rsidP="00D12AFD">
      <w:r>
        <w:t>&lt;ESMA_QUESTION_TS_CSDR_4&gt;</w:t>
      </w:r>
    </w:p>
    <w:p w:rsidR="00810A47" w:rsidRPr="00F45130" w:rsidRDefault="00810A47" w:rsidP="00810A47">
      <w:pPr>
        <w:widowControl w:val="0"/>
        <w:spacing w:line="277" w:lineRule="auto"/>
        <w:ind w:right="61"/>
        <w:jc w:val="both"/>
        <w:rPr>
          <w:rFonts w:eastAsia="Arial" w:cs="Arial"/>
          <w:bCs/>
          <w:szCs w:val="22"/>
          <w:lang w:val="en-US" w:eastAsia="en-US"/>
        </w:rPr>
      </w:pPr>
      <w:permStart w:id="6" w:edGrp="everyone"/>
      <w:r w:rsidRPr="00F45130">
        <w:rPr>
          <w:rFonts w:eastAsia="Arial" w:cs="Arial"/>
          <w:bCs/>
          <w:szCs w:val="22"/>
          <w:lang w:val="en-US" w:eastAsia="en-US"/>
        </w:rPr>
        <w:t xml:space="preserve">AFME </w:t>
      </w:r>
      <w:r w:rsidR="0092026F">
        <w:rPr>
          <w:rFonts w:eastAsia="Arial" w:cs="Arial"/>
          <w:bCs/>
          <w:szCs w:val="22"/>
          <w:lang w:val="en-US" w:eastAsia="en-US"/>
        </w:rPr>
        <w:t>is</w:t>
      </w:r>
      <w:r w:rsidRPr="00F45130">
        <w:rPr>
          <w:rFonts w:eastAsia="Arial" w:cs="Arial"/>
          <w:bCs/>
          <w:szCs w:val="22"/>
          <w:lang w:val="en-US" w:eastAsia="en-US"/>
        </w:rPr>
        <w:t xml:space="preserve"> broadly supportive of the proposed standards, but would like to raise the following comments: </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AFME believes that a matching field “Transaction Type” introduced in Article 3.3 is currently not widely used in the European securities settlement systems. Settlement platforms only utilize the field as “mandatory” but not a matching field (i.e. a settlement instruction would be rejected should the message not contain a value). Such an approach could be sufficient if ESMA co</w:t>
      </w:r>
      <w:r w:rsidRPr="00F45130">
        <w:rPr>
          <w:rFonts w:eastAsia="Arial" w:cs="Arial"/>
          <w:bCs/>
          <w:szCs w:val="22"/>
          <w:lang w:val="en-US" w:eastAsia="en-US"/>
        </w:rPr>
        <w:t>n</w:t>
      </w:r>
      <w:r w:rsidRPr="00F45130">
        <w:rPr>
          <w:rFonts w:eastAsia="Arial" w:cs="Arial"/>
          <w:bCs/>
          <w:szCs w:val="22"/>
          <w:lang w:val="en-US" w:eastAsia="en-US"/>
        </w:rPr>
        <w:t xml:space="preserve">siders this for the CSD’s record keeping requirement. </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870C8B" w:rsidRDefault="00810A47" w:rsidP="00810A47">
      <w:pPr>
        <w:widowControl w:val="0"/>
        <w:tabs>
          <w:tab w:val="left" w:pos="1890"/>
        </w:tabs>
        <w:spacing w:line="277" w:lineRule="auto"/>
        <w:ind w:right="61"/>
        <w:jc w:val="both"/>
        <w:rPr>
          <w:rFonts w:eastAsia="Arial" w:cs="Arial"/>
          <w:bCs/>
          <w:szCs w:val="22"/>
          <w:lang w:val="en-US" w:eastAsia="en-US"/>
        </w:rPr>
      </w:pPr>
      <w:r w:rsidRPr="00870C8B">
        <w:rPr>
          <w:rFonts w:cs="Arial"/>
          <w:szCs w:val="22"/>
          <w:lang w:eastAsia="en-GB"/>
        </w:rPr>
        <w:t>Adding a new mandatory matching criterion will lead to important IT developments at every stage (from the transacting parties to the CSD and T2S) and may impede matching efficiency. Therefore such change needs to have a clear rationale. At the moment we do not see the pu</w:t>
      </w:r>
      <w:r w:rsidRPr="00870C8B">
        <w:rPr>
          <w:rFonts w:cs="Arial"/>
          <w:szCs w:val="22"/>
          <w:lang w:eastAsia="en-GB"/>
        </w:rPr>
        <w:t>r</w:t>
      </w:r>
      <w:r w:rsidRPr="00870C8B">
        <w:rPr>
          <w:rFonts w:cs="Arial"/>
          <w:szCs w:val="22"/>
          <w:lang w:eastAsia="en-GB"/>
        </w:rPr>
        <w:t>pose (beyond the reporting) of this requirement.</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If ESMA considers making the “Transaction Type” field a matching field, an agreement between all market participants is required. This would ultimately require several changes in the ISO standards which will take at least 12 months to be implemented.</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As a general note, AFME consider</w:t>
      </w:r>
      <w:r w:rsidR="0092026F">
        <w:rPr>
          <w:rFonts w:eastAsia="Arial" w:cs="Arial"/>
          <w:bCs/>
          <w:szCs w:val="22"/>
          <w:lang w:val="en-US" w:eastAsia="en-US"/>
        </w:rPr>
        <w:t>s</w:t>
      </w:r>
      <w:r w:rsidRPr="00F45130">
        <w:rPr>
          <w:rFonts w:eastAsia="Arial" w:cs="Arial"/>
          <w:bCs/>
          <w:szCs w:val="22"/>
          <w:lang w:val="en-US" w:eastAsia="en-US"/>
        </w:rPr>
        <w:t xml:space="preserve"> a harmonized use of the field transaction type in the repor</w:t>
      </w:r>
      <w:r w:rsidRPr="00F45130">
        <w:rPr>
          <w:rFonts w:eastAsia="Arial" w:cs="Arial"/>
          <w:bCs/>
          <w:szCs w:val="22"/>
          <w:lang w:val="en-US" w:eastAsia="en-US"/>
        </w:rPr>
        <w:t>t</w:t>
      </w:r>
      <w:r w:rsidRPr="00F45130">
        <w:rPr>
          <w:rFonts w:eastAsia="Arial" w:cs="Arial"/>
          <w:bCs/>
          <w:szCs w:val="22"/>
          <w:lang w:val="en-US" w:eastAsia="en-US"/>
        </w:rPr>
        <w:t xml:space="preserve">ing would be desirable, which would require a market practice agreement on which ISO code to use for which transaction. </w:t>
      </w:r>
    </w:p>
    <w:p w:rsidR="00870C8B" w:rsidRPr="00F45130" w:rsidRDefault="00870C8B"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Investment firms would also need to seek assurance from third parties (such as CCPs), who are often responsible for issuance of instructions to agents and/or CSDs on their behalf, that the correct values are being utilized.</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 xml:space="preserve">In Article 3 (7) we recognize that participants have been given the ability to opt out of partialling, but consider that a failing participant who has sufficient inventory to make a partial delivery but chooses not to, should be penalized on the full amount. However, if a participant has opted into partialling, only the unavailable balance should be penalized. </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eastAsia="en-US"/>
        </w:rPr>
      </w:pPr>
      <w:r w:rsidRPr="00F45130">
        <w:rPr>
          <w:rFonts w:eastAsia="Arial" w:cs="Arial"/>
          <w:bCs/>
          <w:szCs w:val="22"/>
          <w:lang w:eastAsia="en-US"/>
        </w:rPr>
        <w:t xml:space="preserve">AFME </w:t>
      </w:r>
      <w:r w:rsidR="0092026F" w:rsidRPr="00F45130">
        <w:rPr>
          <w:rFonts w:eastAsia="Arial" w:cs="Arial"/>
          <w:bCs/>
          <w:szCs w:val="22"/>
          <w:lang w:eastAsia="en-US"/>
        </w:rPr>
        <w:t xml:space="preserve">is </w:t>
      </w:r>
      <w:r w:rsidRPr="00F45130">
        <w:rPr>
          <w:rFonts w:eastAsia="Arial" w:cs="Arial"/>
          <w:bCs/>
          <w:szCs w:val="22"/>
          <w:lang w:eastAsia="en-US"/>
        </w:rPr>
        <w:t xml:space="preserve">also of the view that the proposed Art. 3(8) should cater for those CSD participants not relying on allegement messages in order to support their processing/services. </w:t>
      </w:r>
    </w:p>
    <w:p w:rsidR="00810A47" w:rsidRPr="00F45130" w:rsidRDefault="00810A47" w:rsidP="00810A47">
      <w:pPr>
        <w:widowControl w:val="0"/>
        <w:spacing w:line="277" w:lineRule="auto"/>
        <w:ind w:right="61"/>
        <w:jc w:val="both"/>
        <w:rPr>
          <w:rFonts w:eastAsia="Arial" w:cs="Arial"/>
          <w:bCs/>
          <w:szCs w:val="22"/>
          <w:lang w:eastAsia="en-US"/>
        </w:rPr>
      </w:pPr>
    </w:p>
    <w:p w:rsidR="00810A47" w:rsidRPr="00F45130" w:rsidRDefault="00810A47" w:rsidP="00810A47">
      <w:pPr>
        <w:widowControl w:val="0"/>
        <w:spacing w:line="277" w:lineRule="auto"/>
        <w:ind w:right="61"/>
        <w:jc w:val="both"/>
        <w:rPr>
          <w:rFonts w:eastAsia="Arial" w:cs="Arial"/>
          <w:bCs/>
          <w:szCs w:val="22"/>
          <w:lang w:eastAsia="en-US"/>
        </w:rPr>
      </w:pPr>
      <w:r w:rsidRPr="00F45130">
        <w:rPr>
          <w:rFonts w:eastAsia="Arial" w:cs="Arial"/>
          <w:bCs/>
          <w:szCs w:val="22"/>
          <w:lang w:eastAsia="en-US"/>
        </w:rPr>
        <w:t>Within T2S the allegement services are considered optional and not mandatory. Such optional requirement would prevent CSD participants from receiving too many allegment messages thereby loosing focus on the identification of the “real” pending / failing transactions.</w:t>
      </w:r>
    </w:p>
    <w:p w:rsidR="00810A47" w:rsidRPr="00F45130" w:rsidRDefault="00810A47" w:rsidP="00810A47">
      <w:pPr>
        <w:widowControl w:val="0"/>
        <w:spacing w:line="277" w:lineRule="auto"/>
        <w:ind w:right="61"/>
        <w:jc w:val="both"/>
        <w:rPr>
          <w:rFonts w:eastAsia="Arial" w:cs="Arial"/>
          <w:bCs/>
          <w:szCs w:val="22"/>
          <w:lang w:eastAsia="en-US"/>
        </w:rPr>
      </w:pPr>
    </w:p>
    <w:p w:rsidR="00810A47" w:rsidRPr="00F45130" w:rsidRDefault="00810A47" w:rsidP="00810A47">
      <w:pPr>
        <w:widowControl w:val="0"/>
        <w:spacing w:line="277" w:lineRule="auto"/>
        <w:ind w:right="61"/>
        <w:jc w:val="both"/>
        <w:rPr>
          <w:rFonts w:eastAsia="Arial" w:cs="Arial"/>
          <w:bCs/>
          <w:szCs w:val="22"/>
          <w:lang w:eastAsia="en-US"/>
        </w:rPr>
      </w:pPr>
      <w:r w:rsidRPr="00F45130">
        <w:rPr>
          <w:rFonts w:eastAsia="Arial" w:cs="Arial"/>
          <w:bCs/>
          <w:szCs w:val="22"/>
          <w:lang w:eastAsia="en-US"/>
        </w:rPr>
        <w:t xml:space="preserve">T2S functionality may be an alternative to ESMA’s proposal, e.g. Participants (upon signup to this service) are notified immediately after the first unsuccessful matching attempt. A second allegement notice may not be required as participants diligently process and act on allegement notices. </w:t>
      </w:r>
    </w:p>
    <w:p w:rsidR="00810A47" w:rsidRPr="00F45130" w:rsidRDefault="00810A47" w:rsidP="00810A47">
      <w:pPr>
        <w:widowControl w:val="0"/>
        <w:spacing w:line="277" w:lineRule="auto"/>
        <w:ind w:right="61"/>
        <w:jc w:val="both"/>
        <w:rPr>
          <w:rFonts w:eastAsia="Arial" w:cs="Arial"/>
          <w:bCs/>
          <w:szCs w:val="22"/>
          <w:lang w:eastAsia="en-US"/>
        </w:rPr>
      </w:pPr>
    </w:p>
    <w:tbl>
      <w:tblPr>
        <w:tblStyle w:val="TableGrid"/>
        <w:tblW w:w="0" w:type="auto"/>
        <w:tblLook w:val="04A0"/>
      </w:tblPr>
      <w:tblGrid>
        <w:gridCol w:w="8529"/>
      </w:tblGrid>
      <w:tr w:rsidR="00810A47" w:rsidRPr="00F45130" w:rsidTr="003D466C">
        <w:tc>
          <w:tcPr>
            <w:tcW w:w="8529" w:type="dxa"/>
          </w:tcPr>
          <w:p w:rsidR="00870C8B" w:rsidRDefault="00870C8B" w:rsidP="003D466C">
            <w:pPr>
              <w:widowControl w:val="0"/>
              <w:spacing w:line="277" w:lineRule="auto"/>
              <w:ind w:right="61"/>
              <w:jc w:val="both"/>
              <w:rPr>
                <w:rFonts w:eastAsia="Arial" w:cs="Arial"/>
                <w:bCs/>
                <w:szCs w:val="22"/>
                <w:lang w:eastAsia="en-US"/>
              </w:rPr>
            </w:pPr>
            <w:r>
              <w:rPr>
                <w:rFonts w:eastAsia="Arial" w:cs="Arial"/>
                <w:bCs/>
                <w:szCs w:val="22"/>
                <w:lang w:eastAsia="en-US"/>
              </w:rPr>
              <w:t>Proposal re-drafting Article 3 (8)</w:t>
            </w:r>
          </w:p>
          <w:p w:rsidR="00810A47" w:rsidRPr="00F45130" w:rsidRDefault="00810A47" w:rsidP="003D466C">
            <w:pPr>
              <w:widowControl w:val="0"/>
              <w:spacing w:line="277" w:lineRule="auto"/>
              <w:ind w:right="61"/>
              <w:jc w:val="both"/>
              <w:rPr>
                <w:rFonts w:eastAsia="Arial" w:cs="Arial"/>
                <w:bCs/>
                <w:szCs w:val="22"/>
                <w:lang w:eastAsia="en-US"/>
              </w:rPr>
            </w:pPr>
            <w:r w:rsidRPr="00F45130">
              <w:rPr>
                <w:rFonts w:eastAsia="Arial" w:cs="Arial"/>
                <w:bCs/>
                <w:szCs w:val="22"/>
                <w:lang w:eastAsia="en-US"/>
              </w:rPr>
              <w:t>3.8 A CSD shall offer the possibility to inform its participants about pending settl</w:t>
            </w:r>
            <w:r w:rsidRPr="00F45130">
              <w:rPr>
                <w:rFonts w:eastAsia="Arial" w:cs="Arial"/>
                <w:bCs/>
                <w:szCs w:val="22"/>
                <w:lang w:eastAsia="en-US"/>
              </w:rPr>
              <w:t>e</w:t>
            </w:r>
            <w:r w:rsidRPr="00F45130">
              <w:rPr>
                <w:rFonts w:eastAsia="Arial" w:cs="Arial"/>
                <w:bCs/>
                <w:szCs w:val="22"/>
                <w:lang w:eastAsia="en-US"/>
              </w:rPr>
              <w:t xml:space="preserve">ment instructions of counterparties within 1 hour after the first unsuccessful attempt to match the instructions or immediately if the first unsuccessful attempt to match happens in the 5 hours period before the cut-off of the intended settlement date </w:t>
            </w:r>
            <w:r w:rsidRPr="00F45130">
              <w:rPr>
                <w:rFonts w:eastAsia="Arial" w:cs="Arial"/>
                <w:bCs/>
                <w:strike/>
                <w:szCs w:val="22"/>
                <w:lang w:eastAsia="en-US"/>
              </w:rPr>
              <w:t>and 1 hour from the beginning of the intended settlement date</w:t>
            </w:r>
            <w:r w:rsidRPr="00F45130">
              <w:rPr>
                <w:rFonts w:eastAsia="Arial" w:cs="Arial"/>
                <w:bCs/>
                <w:szCs w:val="22"/>
                <w:lang w:eastAsia="en-US"/>
              </w:rPr>
              <w:t>..</w:t>
            </w:r>
          </w:p>
        </w:tc>
      </w:tr>
    </w:tbl>
    <w:p w:rsidR="00810A47" w:rsidRPr="00F45130" w:rsidRDefault="00810A47" w:rsidP="00810A47">
      <w:pPr>
        <w:widowControl w:val="0"/>
        <w:spacing w:line="277" w:lineRule="auto"/>
        <w:ind w:right="61"/>
        <w:jc w:val="both"/>
        <w:rPr>
          <w:rFonts w:eastAsia="Arial" w:cs="Arial"/>
          <w:bCs/>
          <w:szCs w:val="22"/>
          <w:lang w:eastAsia="en-US"/>
        </w:rPr>
      </w:pPr>
    </w:p>
    <w:p w:rsidR="00810A47" w:rsidRPr="00F45130" w:rsidRDefault="00810A47" w:rsidP="00810A47">
      <w:pPr>
        <w:rPr>
          <w:rFonts w:eastAsia="Arial" w:cs="Arial"/>
          <w:bCs/>
          <w:szCs w:val="22"/>
          <w:lang w:eastAsia="en-US"/>
        </w:rPr>
      </w:pPr>
      <w:r w:rsidRPr="00F45130">
        <w:rPr>
          <w:rFonts w:eastAsia="Arial" w:cs="Arial"/>
          <w:bCs/>
          <w:szCs w:val="22"/>
          <w:lang w:eastAsia="en-US"/>
        </w:rPr>
        <w:t>The latter would guarantee earlier submission of allegements on the ISD, allowing for both tra</w:t>
      </w:r>
      <w:r w:rsidRPr="00F45130">
        <w:rPr>
          <w:rFonts w:eastAsia="Arial" w:cs="Arial"/>
          <w:bCs/>
          <w:szCs w:val="22"/>
          <w:lang w:eastAsia="en-US"/>
        </w:rPr>
        <w:t>d</w:t>
      </w:r>
      <w:r w:rsidRPr="00F45130">
        <w:rPr>
          <w:rFonts w:eastAsia="Arial" w:cs="Arial"/>
          <w:bCs/>
          <w:szCs w:val="22"/>
          <w:lang w:eastAsia="en-US"/>
        </w:rPr>
        <w:t xml:space="preserve">ing participants to send their instructions to the CSD in time. </w:t>
      </w:r>
    </w:p>
    <w:p w:rsidR="00810A47" w:rsidRPr="00F45130" w:rsidRDefault="00810A47" w:rsidP="00810A47">
      <w:pPr>
        <w:rPr>
          <w:rFonts w:cs="Arial"/>
        </w:rPr>
      </w:pPr>
    </w:p>
    <w:p w:rsidR="00810A47" w:rsidRPr="00F45130" w:rsidRDefault="00810A47" w:rsidP="00810A47">
      <w:pPr>
        <w:rPr>
          <w:rFonts w:cs="Arial"/>
        </w:rPr>
      </w:pPr>
      <w:r w:rsidRPr="00F45130">
        <w:rPr>
          <w:rFonts w:cs="Arial"/>
        </w:rPr>
        <w:t xml:space="preserve">AFME believes that points (i) to (vi) of Article 3(9) should be deleted. This is because, as set out in the answer to question 7, AFME believes that buy-ins should take place at the trading level, and that it is in practice impossible for CSDs to maintain buy-in related information.  </w:t>
      </w:r>
    </w:p>
    <w:p w:rsidR="00D12AFD" w:rsidRDefault="006766B6" w:rsidP="00D12AFD">
      <w:r w:rsidRPr="003F58B7">
        <w:rPr>
          <w:color w:val="FF0000"/>
        </w:rPr>
        <w:t>.</w:t>
      </w:r>
      <w:permEnd w:id="6"/>
      <w:r w:rsidR="00D12AFD">
        <w:t>&lt;ESMA_QUESTION_TS_CSDR_4&gt;</w:t>
      </w:r>
    </w:p>
    <w:p w:rsidR="00D12AFD" w:rsidRPr="002C4F00" w:rsidRDefault="00D12AFD" w:rsidP="00965B03">
      <w:pPr>
        <w:pStyle w:val="Heading5"/>
        <w:ind w:left="567" w:hanging="567"/>
      </w:pPr>
      <w:r>
        <w:t xml:space="preserve"> </w:t>
      </w:r>
      <w:r w:rsidRPr="00030F8D">
        <w:t>What are your views on the proposed draft RTS on the monitoring of settlement fails as included in Section 1 of Chapter III of Annex I?</w:t>
      </w:r>
    </w:p>
    <w:p w:rsidR="00D12AFD" w:rsidRDefault="00D12AFD" w:rsidP="00D12AFD"/>
    <w:p w:rsidR="00D12AFD" w:rsidRDefault="00D12AFD" w:rsidP="00D12AFD">
      <w:r>
        <w:t>&lt;ESMA_QUESTION_TS_CSDR_5&gt;</w:t>
      </w:r>
    </w:p>
    <w:p w:rsidR="00810A47" w:rsidRPr="00F45130" w:rsidRDefault="00810A47" w:rsidP="00810A47">
      <w:pPr>
        <w:widowControl w:val="0"/>
        <w:spacing w:line="277" w:lineRule="auto"/>
        <w:ind w:right="61"/>
        <w:jc w:val="both"/>
        <w:rPr>
          <w:rFonts w:eastAsia="Arial" w:cs="Arial"/>
          <w:bCs/>
          <w:szCs w:val="22"/>
          <w:lang w:val="en-US" w:eastAsia="en-US"/>
        </w:rPr>
      </w:pPr>
      <w:permStart w:id="7" w:edGrp="everyone"/>
      <w:r w:rsidRPr="00F45130">
        <w:rPr>
          <w:rFonts w:eastAsia="Arial" w:cs="Arial"/>
          <w:bCs/>
          <w:szCs w:val="22"/>
          <w:lang w:val="en-US" w:eastAsia="en-US"/>
        </w:rPr>
        <w:t xml:space="preserve">AFME argues that in general the information required in Article 4(1) could be used by CSDs to monitor settlement fails accordingly; however a number of points could be clarified to make the reporting by CSDs more effective. As a matter of principle AFME believes that reporting on recycled transactions is redundant as such transactions would likely reappear in the reporting part under Article 4(1) a and e. </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To make better use of existing logic and reports</w:t>
      </w:r>
      <w:r w:rsidR="00316023">
        <w:rPr>
          <w:rFonts w:eastAsia="Arial" w:cs="Arial"/>
          <w:bCs/>
          <w:szCs w:val="22"/>
          <w:lang w:val="en-US" w:eastAsia="en-US"/>
        </w:rPr>
        <w:t>,</w:t>
      </w:r>
      <w:r w:rsidRPr="00F45130">
        <w:rPr>
          <w:rFonts w:eastAsia="Arial" w:cs="Arial"/>
          <w:bCs/>
          <w:szCs w:val="22"/>
          <w:lang w:val="en-US" w:eastAsia="en-US"/>
        </w:rPr>
        <w:t xml:space="preserve"> AFME would like to propose the following differentiation of settlement instructions under 4(1):</w:t>
      </w:r>
    </w:p>
    <w:p w:rsidR="00810A47" w:rsidRPr="00F45130" w:rsidRDefault="00810A47" w:rsidP="00810A47">
      <w:pPr>
        <w:widowControl w:val="0"/>
        <w:spacing w:line="277" w:lineRule="auto"/>
        <w:ind w:right="61"/>
        <w:jc w:val="both"/>
        <w:rPr>
          <w:rFonts w:eastAsia="Arial" w:cs="Arial"/>
          <w:bCs/>
          <w:szCs w:val="22"/>
          <w:lang w:val="en-US" w:eastAsia="en-US"/>
        </w:rPr>
      </w:pPr>
    </w:p>
    <w:tbl>
      <w:tblPr>
        <w:tblStyle w:val="TableGrid"/>
        <w:tblW w:w="0" w:type="auto"/>
        <w:tblLook w:val="04A0"/>
      </w:tblPr>
      <w:tblGrid>
        <w:gridCol w:w="8529"/>
      </w:tblGrid>
      <w:tr w:rsidR="00810A47" w:rsidRPr="00F45130" w:rsidTr="003D466C">
        <w:tc>
          <w:tcPr>
            <w:tcW w:w="8529" w:type="dxa"/>
          </w:tcPr>
          <w:p w:rsidR="00316023" w:rsidRPr="00316023" w:rsidRDefault="00316023" w:rsidP="003D466C">
            <w:pPr>
              <w:pStyle w:val="Default"/>
              <w:rPr>
                <w:rFonts w:ascii="Arial" w:eastAsia="Arial" w:hAnsi="Arial" w:cs="Arial"/>
                <w:bCs/>
                <w:color w:val="auto"/>
                <w:sz w:val="22"/>
                <w:szCs w:val="22"/>
                <w:u w:val="single"/>
                <w:lang w:val="en-US" w:eastAsia="en-US"/>
              </w:rPr>
            </w:pPr>
            <w:r w:rsidRPr="00316023">
              <w:rPr>
                <w:rFonts w:ascii="Arial" w:eastAsia="Arial" w:hAnsi="Arial" w:cs="Arial"/>
                <w:bCs/>
                <w:color w:val="auto"/>
                <w:sz w:val="22"/>
                <w:szCs w:val="22"/>
                <w:u w:val="single"/>
                <w:lang w:val="en-US" w:eastAsia="en-US"/>
              </w:rPr>
              <w:t>Proposed re-drafting Article 4 (1)</w:t>
            </w:r>
          </w:p>
          <w:p w:rsidR="00810A47" w:rsidRPr="00316023" w:rsidRDefault="00810A47" w:rsidP="003D466C">
            <w:pPr>
              <w:pStyle w:val="Default"/>
              <w:rPr>
                <w:rFonts w:ascii="Arial" w:eastAsiaTheme="minorHAnsi" w:hAnsi="Arial" w:cs="Arial"/>
                <w:color w:val="auto"/>
                <w:sz w:val="22"/>
                <w:szCs w:val="22"/>
                <w:lang w:val="en-US" w:eastAsia="en-US"/>
              </w:rPr>
            </w:pPr>
            <w:r w:rsidRPr="00316023">
              <w:rPr>
                <w:rFonts w:ascii="Arial" w:eastAsia="Arial" w:hAnsi="Arial" w:cs="Arial"/>
                <w:bCs/>
                <w:color w:val="auto"/>
                <w:sz w:val="22"/>
                <w:szCs w:val="22"/>
                <w:lang w:val="en-US" w:eastAsia="en-US"/>
              </w:rPr>
              <w:t xml:space="preserve">4.1 </w:t>
            </w:r>
            <w:r w:rsidRPr="00316023">
              <w:rPr>
                <w:rFonts w:ascii="Arial" w:eastAsiaTheme="minorHAnsi" w:hAnsi="Arial" w:cs="Arial"/>
                <w:color w:val="auto"/>
                <w:sz w:val="22"/>
                <w:szCs w:val="22"/>
                <w:lang w:val="en-US" w:eastAsia="en-US"/>
              </w:rPr>
              <w:t xml:space="preserve"> A system monitoring settlement fails shall enable a CSD to identify and to keep a record of information about the intended settlement date and the status of settlement instructions entered into the securities settlement system that it operates, covering at least the following </w:t>
            </w:r>
            <w:r w:rsidR="00316023">
              <w:rPr>
                <w:rFonts w:ascii="Arial" w:eastAsiaTheme="minorHAnsi" w:hAnsi="Arial" w:cs="Arial"/>
                <w:color w:val="auto"/>
                <w:sz w:val="22"/>
                <w:szCs w:val="22"/>
                <w:lang w:val="en-US" w:eastAsia="en-US"/>
              </w:rPr>
              <w:t>transaction information</w:t>
            </w:r>
            <w:r w:rsidRPr="00316023">
              <w:rPr>
                <w:rFonts w:ascii="Arial" w:eastAsiaTheme="minorHAnsi" w:hAnsi="Arial" w:cs="Arial"/>
                <w:color w:val="auto"/>
                <w:sz w:val="22"/>
                <w:szCs w:val="22"/>
                <w:lang w:val="en-US" w:eastAsia="en-US"/>
              </w:rPr>
              <w:t xml:space="preserve"> per intended settlement date: </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 xml:space="preserve">a) pending instructions (which can still settle on ISD); </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b) failed settlement instructions (which can no longer  on ISD), including i</w:t>
            </w:r>
            <w:r w:rsidRPr="00316023">
              <w:rPr>
                <w:rFonts w:eastAsia="Arial" w:cs="Arial"/>
                <w:b/>
                <w:bCs/>
                <w:szCs w:val="22"/>
                <w:lang w:val="en-US" w:eastAsia="en-US"/>
              </w:rPr>
              <w:t>n</w:t>
            </w:r>
            <w:r w:rsidRPr="00316023">
              <w:rPr>
                <w:rFonts w:eastAsia="Arial" w:cs="Arial"/>
                <w:b/>
                <w:bCs/>
                <w:szCs w:val="22"/>
                <w:lang w:val="en-US" w:eastAsia="en-US"/>
              </w:rPr>
              <w:t>formation on:</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 xml:space="preserve">                i) initiation of buy-in;</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 xml:space="preserve">               ii) extension period;</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 xml:space="preserve">               iii) deferral period;</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 xml:space="preserve">               iv) buy-in period;</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 xml:space="preserve">               v) outcome of buy-in process;</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 xml:space="preserve">               vi) payment of cash compensation or settlement of the buy-in tran</w:t>
            </w:r>
            <w:r w:rsidRPr="00316023">
              <w:rPr>
                <w:rFonts w:eastAsia="Arial" w:cs="Arial"/>
                <w:b/>
                <w:bCs/>
                <w:szCs w:val="22"/>
                <w:lang w:val="en-US" w:eastAsia="en-US"/>
              </w:rPr>
              <w:t>s</w:t>
            </w:r>
            <w:r w:rsidRPr="00316023">
              <w:rPr>
                <w:rFonts w:eastAsia="Arial" w:cs="Arial"/>
                <w:b/>
                <w:bCs/>
                <w:szCs w:val="22"/>
                <w:lang w:val="en-US" w:eastAsia="en-US"/>
              </w:rPr>
              <w:t>action;</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 xml:space="preserve">               vii) Penalties referred to in Article 7(2) of Regulation (EU) No 909/2014.</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c) fully settled settlement instructions;</w:t>
            </w:r>
          </w:p>
          <w:p w:rsidR="00810A47" w:rsidRPr="00316023" w:rsidRDefault="00810A47" w:rsidP="003D466C">
            <w:pPr>
              <w:widowControl w:val="0"/>
              <w:spacing w:line="277" w:lineRule="auto"/>
              <w:ind w:right="61"/>
              <w:jc w:val="both"/>
              <w:rPr>
                <w:rFonts w:eastAsia="Arial" w:cs="Arial"/>
                <w:b/>
                <w:bCs/>
                <w:szCs w:val="22"/>
                <w:lang w:val="en-US" w:eastAsia="en-US"/>
              </w:rPr>
            </w:pPr>
            <w:r w:rsidRPr="00316023">
              <w:rPr>
                <w:rFonts w:eastAsia="Arial" w:cs="Arial"/>
                <w:b/>
                <w:bCs/>
                <w:szCs w:val="22"/>
                <w:lang w:val="en-US" w:eastAsia="en-US"/>
              </w:rPr>
              <w:t>d) partially settled settlement instructions, including the settled part and the missing part of either securities or cash;</w:t>
            </w:r>
          </w:p>
          <w:p w:rsidR="00810A47" w:rsidRPr="00316023" w:rsidRDefault="00810A47" w:rsidP="003D466C">
            <w:pPr>
              <w:widowControl w:val="0"/>
              <w:spacing w:line="277" w:lineRule="auto"/>
              <w:ind w:right="61"/>
              <w:jc w:val="both"/>
              <w:rPr>
                <w:rFonts w:eastAsia="Arial" w:cs="Arial"/>
                <w:bCs/>
                <w:szCs w:val="22"/>
                <w:lang w:val="en-US" w:eastAsia="en-US"/>
              </w:rPr>
            </w:pPr>
            <w:r w:rsidRPr="00316023">
              <w:rPr>
                <w:rFonts w:eastAsia="Arial" w:cs="Arial"/>
                <w:b/>
                <w:bCs/>
                <w:szCs w:val="22"/>
                <w:lang w:val="en-US" w:eastAsia="en-US"/>
              </w:rPr>
              <w:t>e) Cancelled settlement instructions, including information whether it is ca</w:t>
            </w:r>
            <w:r w:rsidRPr="00316023">
              <w:rPr>
                <w:rFonts w:eastAsia="Arial" w:cs="Arial"/>
                <w:b/>
                <w:bCs/>
                <w:szCs w:val="22"/>
                <w:lang w:val="en-US" w:eastAsia="en-US"/>
              </w:rPr>
              <w:t>n</w:t>
            </w:r>
            <w:r w:rsidRPr="00316023">
              <w:rPr>
                <w:rFonts w:eastAsia="Arial" w:cs="Arial"/>
                <w:b/>
                <w:bCs/>
                <w:szCs w:val="22"/>
                <w:lang w:val="en-US" w:eastAsia="en-US"/>
              </w:rPr>
              <w:t>celled by the system or by the participant.</w:t>
            </w:r>
          </w:p>
          <w:p w:rsidR="00810A47" w:rsidRPr="00316023" w:rsidRDefault="00810A47" w:rsidP="003D466C">
            <w:pPr>
              <w:pStyle w:val="Default"/>
              <w:rPr>
                <w:rFonts w:ascii="Arial" w:eastAsiaTheme="minorHAnsi" w:hAnsi="Arial" w:cs="Arial"/>
                <w:color w:val="auto"/>
                <w:sz w:val="22"/>
                <w:szCs w:val="22"/>
                <w:lang w:val="en-US" w:eastAsia="en-US"/>
              </w:rPr>
            </w:pPr>
          </w:p>
          <w:p w:rsidR="00810A47" w:rsidRPr="00316023" w:rsidRDefault="00810A47" w:rsidP="003D466C">
            <w:pPr>
              <w:autoSpaceDE w:val="0"/>
              <w:autoSpaceDN w:val="0"/>
              <w:adjustRightInd w:val="0"/>
              <w:spacing w:after="147"/>
              <w:rPr>
                <w:rFonts w:eastAsiaTheme="minorHAnsi" w:cs="Arial"/>
                <w:strike/>
                <w:szCs w:val="22"/>
                <w:lang w:val="en-US" w:eastAsia="en-US"/>
              </w:rPr>
            </w:pPr>
            <w:r w:rsidRPr="00316023">
              <w:rPr>
                <w:rFonts w:eastAsiaTheme="minorHAnsi" w:cs="Arial"/>
                <w:strike/>
                <w:szCs w:val="22"/>
                <w:lang w:val="en-US" w:eastAsia="en-US"/>
              </w:rPr>
              <w:t xml:space="preserve">(a) matched settlement instructions that are not settled; </w:t>
            </w:r>
          </w:p>
          <w:p w:rsidR="00810A47" w:rsidRPr="00316023" w:rsidRDefault="00810A47" w:rsidP="003D466C">
            <w:pPr>
              <w:autoSpaceDE w:val="0"/>
              <w:autoSpaceDN w:val="0"/>
              <w:adjustRightInd w:val="0"/>
              <w:spacing w:after="147"/>
              <w:rPr>
                <w:rFonts w:eastAsiaTheme="minorHAnsi" w:cs="Arial"/>
                <w:strike/>
                <w:szCs w:val="22"/>
                <w:lang w:val="en-US" w:eastAsia="en-US"/>
              </w:rPr>
            </w:pPr>
            <w:r w:rsidRPr="00316023">
              <w:rPr>
                <w:rFonts w:eastAsiaTheme="minorHAnsi" w:cs="Arial"/>
                <w:strike/>
                <w:szCs w:val="22"/>
                <w:lang w:val="en-US" w:eastAsia="en-US"/>
              </w:rPr>
              <w:t xml:space="preserve">(b) settlement instructions that are not matched; </w:t>
            </w:r>
          </w:p>
          <w:p w:rsidR="00810A47" w:rsidRPr="00316023" w:rsidRDefault="00810A47" w:rsidP="003D466C">
            <w:pPr>
              <w:autoSpaceDE w:val="0"/>
              <w:autoSpaceDN w:val="0"/>
              <w:adjustRightInd w:val="0"/>
              <w:spacing w:after="147"/>
              <w:rPr>
                <w:rFonts w:eastAsiaTheme="minorHAnsi" w:cs="Arial"/>
                <w:strike/>
                <w:szCs w:val="22"/>
                <w:lang w:val="en-US" w:eastAsia="en-US"/>
              </w:rPr>
            </w:pPr>
            <w:r w:rsidRPr="00316023">
              <w:rPr>
                <w:rFonts w:eastAsiaTheme="minorHAnsi" w:cs="Arial"/>
                <w:strike/>
                <w:szCs w:val="22"/>
                <w:lang w:val="en-US" w:eastAsia="en-US"/>
              </w:rPr>
              <w:t xml:space="preserve">(c) settlement instructions on hold; </w:t>
            </w:r>
          </w:p>
          <w:p w:rsidR="00810A47" w:rsidRPr="00316023" w:rsidRDefault="00810A47" w:rsidP="003D466C">
            <w:pPr>
              <w:autoSpaceDE w:val="0"/>
              <w:autoSpaceDN w:val="0"/>
              <w:adjustRightInd w:val="0"/>
              <w:spacing w:after="147"/>
              <w:rPr>
                <w:rFonts w:eastAsiaTheme="minorHAnsi" w:cs="Arial"/>
                <w:strike/>
                <w:szCs w:val="22"/>
                <w:lang w:val="en-US" w:eastAsia="en-US"/>
              </w:rPr>
            </w:pPr>
            <w:r w:rsidRPr="00316023">
              <w:rPr>
                <w:rFonts w:eastAsiaTheme="minorHAnsi" w:cs="Arial"/>
                <w:strike/>
                <w:szCs w:val="22"/>
                <w:lang w:val="en-US" w:eastAsia="en-US"/>
              </w:rPr>
              <w:t xml:space="preserve">(d) partially settled settlement instructions, including the settled part and the missing part of either securities or cash; </w:t>
            </w:r>
          </w:p>
          <w:p w:rsidR="00810A47" w:rsidRPr="00316023" w:rsidRDefault="00810A47" w:rsidP="003D466C">
            <w:pPr>
              <w:autoSpaceDE w:val="0"/>
              <w:autoSpaceDN w:val="0"/>
              <w:adjustRightInd w:val="0"/>
              <w:rPr>
                <w:rFonts w:eastAsiaTheme="minorHAnsi" w:cs="Arial"/>
                <w:strike/>
                <w:szCs w:val="22"/>
                <w:lang w:val="en-US" w:eastAsia="en-US"/>
              </w:rPr>
            </w:pPr>
            <w:r w:rsidRPr="00316023">
              <w:rPr>
                <w:rFonts w:eastAsiaTheme="minorHAnsi" w:cs="Arial"/>
                <w:strike/>
                <w:szCs w:val="22"/>
                <w:lang w:val="en-US" w:eastAsia="en-US"/>
              </w:rPr>
              <w:t xml:space="preserve">(e) failed settlement instructions, including information on: </w:t>
            </w:r>
          </w:p>
          <w:p w:rsidR="00810A47" w:rsidRPr="00316023" w:rsidRDefault="00810A47" w:rsidP="003D466C">
            <w:pPr>
              <w:widowControl w:val="0"/>
              <w:spacing w:line="277" w:lineRule="auto"/>
              <w:ind w:right="61"/>
              <w:jc w:val="both"/>
              <w:rPr>
                <w:rFonts w:eastAsia="Arial" w:cs="Arial"/>
                <w:bCs/>
                <w:szCs w:val="22"/>
                <w:lang w:val="en-US" w:eastAsia="en-US"/>
              </w:rPr>
            </w:pPr>
            <w:r w:rsidRPr="00316023">
              <w:rPr>
                <w:rFonts w:eastAsia="Arial" w:cs="Arial"/>
                <w:bCs/>
                <w:szCs w:val="22"/>
                <w:lang w:val="en-US" w:eastAsia="en-US"/>
              </w:rPr>
              <w:t>For each of the categories of settlement instructions above, the following information should be provided:</w:t>
            </w:r>
          </w:p>
          <w:p w:rsidR="00810A47" w:rsidRPr="00316023" w:rsidRDefault="00810A47" w:rsidP="00810A47">
            <w:pPr>
              <w:pStyle w:val="ListParagraph"/>
              <w:widowControl w:val="0"/>
              <w:numPr>
                <w:ilvl w:val="0"/>
                <w:numId w:val="45"/>
              </w:numPr>
              <w:spacing w:line="277" w:lineRule="auto"/>
              <w:ind w:right="61"/>
              <w:jc w:val="both"/>
              <w:rPr>
                <w:rFonts w:eastAsia="Arial" w:cs="Arial"/>
                <w:bCs/>
                <w:szCs w:val="22"/>
                <w:lang w:val="en-US" w:eastAsia="en-US"/>
              </w:rPr>
            </w:pPr>
            <w:r w:rsidRPr="00316023">
              <w:rPr>
                <w:rFonts w:eastAsia="Arial" w:cs="Arial"/>
                <w:bCs/>
                <w:szCs w:val="22"/>
                <w:lang w:val="en-US" w:eastAsia="en-US"/>
              </w:rPr>
              <w:t xml:space="preserve">Matching Status (Matched or </w:t>
            </w:r>
            <w:r w:rsidR="003F357E">
              <w:rPr>
                <w:rFonts w:eastAsia="Arial" w:cs="Arial"/>
                <w:bCs/>
                <w:szCs w:val="22"/>
                <w:lang w:val="en-US" w:eastAsia="en-US"/>
              </w:rPr>
              <w:t>Unmatched</w:t>
            </w:r>
            <w:r w:rsidRPr="00316023">
              <w:rPr>
                <w:rFonts w:eastAsia="Arial" w:cs="Arial"/>
                <w:bCs/>
                <w:szCs w:val="22"/>
                <w:lang w:val="en-US" w:eastAsia="en-US"/>
              </w:rPr>
              <w:t>);</w:t>
            </w:r>
          </w:p>
          <w:p w:rsidR="00810A47" w:rsidRPr="00316023" w:rsidRDefault="00810A47" w:rsidP="00810A47">
            <w:pPr>
              <w:pStyle w:val="ListParagraph"/>
              <w:widowControl w:val="0"/>
              <w:numPr>
                <w:ilvl w:val="0"/>
                <w:numId w:val="45"/>
              </w:numPr>
              <w:spacing w:line="277" w:lineRule="auto"/>
              <w:ind w:right="61"/>
              <w:jc w:val="both"/>
              <w:rPr>
                <w:rFonts w:eastAsia="Arial" w:cs="Arial"/>
                <w:bCs/>
                <w:szCs w:val="22"/>
                <w:lang w:val="en-US" w:eastAsia="en-US"/>
              </w:rPr>
            </w:pPr>
            <w:r w:rsidRPr="00316023">
              <w:rPr>
                <w:rFonts w:eastAsia="Arial" w:cs="Arial"/>
                <w:bCs/>
                <w:szCs w:val="22"/>
                <w:lang w:val="en-US" w:eastAsia="en-US"/>
              </w:rPr>
              <w:t>Partial Settlement indicator (Yes or No)</w:t>
            </w:r>
          </w:p>
          <w:p w:rsidR="00810A47" w:rsidRPr="00316023" w:rsidRDefault="00810A47" w:rsidP="00810A47">
            <w:pPr>
              <w:pStyle w:val="ListParagraph"/>
              <w:widowControl w:val="0"/>
              <w:numPr>
                <w:ilvl w:val="0"/>
                <w:numId w:val="45"/>
              </w:numPr>
              <w:spacing w:line="277" w:lineRule="auto"/>
              <w:ind w:right="61"/>
              <w:jc w:val="both"/>
              <w:rPr>
                <w:rFonts w:eastAsia="Arial" w:cs="Arial"/>
                <w:bCs/>
                <w:szCs w:val="22"/>
                <w:lang w:val="en-US" w:eastAsia="en-US"/>
              </w:rPr>
            </w:pPr>
            <w:r w:rsidRPr="00316023">
              <w:rPr>
                <w:rFonts w:eastAsia="Arial" w:cs="Arial"/>
                <w:bCs/>
                <w:szCs w:val="22"/>
                <w:lang w:val="en-US" w:eastAsia="en-US"/>
              </w:rPr>
              <w:t xml:space="preserve">Hold &amp; Release indicator (On hold) </w:t>
            </w:r>
          </w:p>
          <w:p w:rsidR="00810A47" w:rsidRPr="00316023" w:rsidRDefault="00810A47" w:rsidP="00810A47">
            <w:pPr>
              <w:pStyle w:val="ListParagraph"/>
              <w:widowControl w:val="0"/>
              <w:numPr>
                <w:ilvl w:val="0"/>
                <w:numId w:val="45"/>
              </w:numPr>
              <w:spacing w:line="277" w:lineRule="auto"/>
              <w:ind w:right="61"/>
              <w:jc w:val="both"/>
              <w:rPr>
                <w:rFonts w:eastAsia="Arial" w:cs="Arial"/>
                <w:bCs/>
                <w:szCs w:val="22"/>
                <w:lang w:val="en-US" w:eastAsia="en-US"/>
              </w:rPr>
            </w:pPr>
            <w:r w:rsidRPr="00316023">
              <w:rPr>
                <w:rFonts w:eastAsia="Arial" w:cs="Arial"/>
                <w:bCs/>
                <w:szCs w:val="22"/>
                <w:lang w:val="en-US" w:eastAsia="en-US"/>
              </w:rPr>
              <w:t>Reason code for</w:t>
            </w:r>
            <w:r w:rsidR="003F357E">
              <w:rPr>
                <w:rFonts w:eastAsia="Arial" w:cs="Arial"/>
                <w:bCs/>
                <w:szCs w:val="22"/>
                <w:lang w:val="en-US" w:eastAsia="en-US"/>
              </w:rPr>
              <w:t xml:space="preserve"> pending or failing</w:t>
            </w:r>
            <w:r w:rsidRPr="00316023">
              <w:rPr>
                <w:rFonts w:eastAsia="Arial" w:cs="Arial"/>
                <w:bCs/>
                <w:szCs w:val="22"/>
                <w:lang w:val="en-US" w:eastAsia="en-US"/>
              </w:rPr>
              <w:t xml:space="preserve"> instruction. </w:t>
            </w:r>
          </w:p>
          <w:p w:rsidR="00810A47" w:rsidRPr="00F45130" w:rsidRDefault="00810A47" w:rsidP="003D466C">
            <w:pPr>
              <w:widowControl w:val="0"/>
              <w:spacing w:line="277" w:lineRule="auto"/>
              <w:ind w:right="61"/>
              <w:jc w:val="both"/>
              <w:rPr>
                <w:rFonts w:eastAsia="Arial" w:cs="Arial"/>
                <w:bCs/>
                <w:szCs w:val="22"/>
                <w:lang w:val="en-US" w:eastAsia="en-US"/>
              </w:rPr>
            </w:pPr>
          </w:p>
        </w:tc>
      </w:tr>
    </w:tbl>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 xml:space="preserve">This proposal provides all the information necessary for monitoring settlement fails required by ESMA in its reporting under its original proposal for reporting under article 4(1). </w:t>
      </w:r>
    </w:p>
    <w:p w:rsidR="00810A47" w:rsidRPr="00F45130" w:rsidRDefault="00810A47" w:rsidP="00810A47">
      <w:pPr>
        <w:widowControl w:val="0"/>
        <w:spacing w:before="14" w:line="280" w:lineRule="exact"/>
        <w:rPr>
          <w:rFonts w:eastAsia="Calibri" w:cs="Arial"/>
          <w:sz w:val="28"/>
          <w:szCs w:val="28"/>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With regards to Article 4(2</w:t>
      </w:r>
      <w:proofErr w:type="gramStart"/>
      <w:r w:rsidRPr="00F45130">
        <w:rPr>
          <w:rFonts w:eastAsia="Arial" w:cs="Arial"/>
          <w:bCs/>
          <w:szCs w:val="22"/>
          <w:lang w:val="en-US" w:eastAsia="en-US"/>
        </w:rPr>
        <w:t>)b</w:t>
      </w:r>
      <w:proofErr w:type="gramEnd"/>
      <w:r w:rsidRPr="00F45130">
        <w:rPr>
          <w:rFonts w:eastAsia="Arial" w:cs="Arial"/>
          <w:bCs/>
          <w:szCs w:val="22"/>
          <w:lang w:val="en-US" w:eastAsia="en-US"/>
        </w:rPr>
        <w:t xml:space="preserve"> regarding the reason as to why an instruction is failing AFME would like to point out that in addition to lack of securities or lack of cash, there are other re</w:t>
      </w:r>
      <w:r w:rsidRPr="00F45130">
        <w:rPr>
          <w:rFonts w:eastAsia="Arial" w:cs="Arial"/>
          <w:bCs/>
          <w:szCs w:val="22"/>
          <w:lang w:val="en-US" w:eastAsia="en-US"/>
        </w:rPr>
        <w:t>a</w:t>
      </w:r>
      <w:r w:rsidRPr="00F45130">
        <w:rPr>
          <w:rFonts w:eastAsia="Arial" w:cs="Arial"/>
          <w:bCs/>
          <w:szCs w:val="22"/>
          <w:lang w:val="en-US" w:eastAsia="en-US"/>
        </w:rPr>
        <w:t xml:space="preserve">sons for settlement fails (e.g. temporary restriction for settlements with a certain ISIN) which are captured by ISO codes and should be available in the reports (please refer to the attached report translating reason codes into text). </w:t>
      </w:r>
    </w:p>
    <w:p w:rsidR="00810A47" w:rsidRPr="00F45130" w:rsidRDefault="00EC1027" w:rsidP="00810A47">
      <w:pPr>
        <w:widowControl w:val="0"/>
        <w:spacing w:line="277" w:lineRule="auto"/>
        <w:ind w:right="61"/>
        <w:jc w:val="both"/>
        <w:rPr>
          <w:rFonts w:eastAsia="Arial" w:cs="Arial"/>
          <w:bCs/>
          <w:szCs w:val="22"/>
          <w:lang w:val="en-US" w:eastAsia="en-US"/>
        </w:rPr>
      </w:pPr>
      <w:hyperlink r:id="rId14" w:history="1">
        <w:r w:rsidR="00810A47" w:rsidRPr="00F45130">
          <w:rPr>
            <w:rStyle w:val="Hyperlink"/>
            <w:rFonts w:eastAsia="Arial" w:cs="Arial"/>
            <w:bCs/>
            <w:szCs w:val="22"/>
            <w:lang w:val="en-US" w:eastAsia="en-US"/>
          </w:rPr>
          <w:t>http://www.iso20022.org/standardsrepository/public/wqt/Description/mx/dico/codesets/_aFGlxdp-Ed-ak6NoX_4Aeg_-870507202</w:t>
        </w:r>
      </w:hyperlink>
      <w:r w:rsidR="00810A47" w:rsidRPr="00F45130">
        <w:rPr>
          <w:rFonts w:eastAsia="Arial" w:cs="Arial"/>
          <w:bCs/>
          <w:szCs w:val="22"/>
          <w:lang w:val="en-US" w:eastAsia="en-US"/>
        </w:rPr>
        <w:t xml:space="preserve">) </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The technical standards are not clear as to whether penalties and the buy-in regime would be applicable in all these cases. AFME invites ESMA to clarify that the penalty regime would not be applicable for fail reasons other than lack of securities and/or cash or “on-hold”.</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In addition, AFME would like to underline that in the case of fails due to lack of cash, CSDs do not have access to the information regarding the “missing amount” of cash in the relevant cash accounts of their participants.</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In relation the top ten participants with the highest rates of settlement fails and Article 4(3), AFME suggests that ESMA proceeds with the following redrafting.</w:t>
      </w:r>
    </w:p>
    <w:p w:rsidR="00810A47" w:rsidRPr="00F45130" w:rsidRDefault="00810A47" w:rsidP="00810A47">
      <w:pPr>
        <w:widowControl w:val="0"/>
        <w:spacing w:line="277" w:lineRule="auto"/>
        <w:ind w:right="61"/>
        <w:jc w:val="both"/>
        <w:rPr>
          <w:rFonts w:eastAsia="Arial" w:cs="Arial"/>
          <w:bCs/>
          <w:szCs w:val="22"/>
          <w:lang w:val="en-US" w:eastAsia="en-US"/>
        </w:rPr>
      </w:pPr>
    </w:p>
    <w:tbl>
      <w:tblPr>
        <w:tblStyle w:val="TableGrid"/>
        <w:tblW w:w="0" w:type="auto"/>
        <w:tblLook w:val="04A0"/>
      </w:tblPr>
      <w:tblGrid>
        <w:gridCol w:w="8529"/>
      </w:tblGrid>
      <w:tr w:rsidR="00810A47" w:rsidRPr="003100C5" w:rsidTr="003D466C">
        <w:tc>
          <w:tcPr>
            <w:tcW w:w="8529" w:type="dxa"/>
          </w:tcPr>
          <w:p w:rsidR="003100C5" w:rsidRPr="003100C5" w:rsidRDefault="003100C5" w:rsidP="003D466C">
            <w:pPr>
              <w:pStyle w:val="Default"/>
              <w:rPr>
                <w:rFonts w:ascii="Arial" w:eastAsia="Arial" w:hAnsi="Arial" w:cs="Arial"/>
                <w:bCs/>
                <w:color w:val="auto"/>
                <w:sz w:val="22"/>
                <w:szCs w:val="22"/>
                <w:u w:val="single"/>
                <w:lang w:val="en-US" w:eastAsia="en-US"/>
              </w:rPr>
            </w:pPr>
            <w:r w:rsidRPr="003100C5">
              <w:rPr>
                <w:rFonts w:ascii="Arial" w:eastAsia="Arial" w:hAnsi="Arial" w:cs="Arial"/>
                <w:bCs/>
                <w:color w:val="auto"/>
                <w:sz w:val="22"/>
                <w:szCs w:val="22"/>
                <w:u w:val="single"/>
                <w:lang w:val="en-US" w:eastAsia="en-US"/>
              </w:rPr>
              <w:t>Proposed re-drafting Article 4 (3)</w:t>
            </w:r>
          </w:p>
          <w:p w:rsidR="00810A47" w:rsidRPr="003100C5" w:rsidRDefault="00810A47" w:rsidP="003D466C">
            <w:pPr>
              <w:pStyle w:val="Default"/>
              <w:rPr>
                <w:rFonts w:ascii="Arial" w:eastAsia="Arial" w:hAnsi="Arial" w:cs="Arial"/>
                <w:bCs/>
                <w:color w:val="auto"/>
                <w:sz w:val="22"/>
                <w:szCs w:val="22"/>
                <w:lang w:val="en-US" w:eastAsia="en-US"/>
              </w:rPr>
            </w:pPr>
            <w:r w:rsidRPr="003100C5">
              <w:rPr>
                <w:rFonts w:ascii="Arial" w:eastAsia="Arial" w:hAnsi="Arial" w:cs="Arial"/>
                <w:bCs/>
                <w:color w:val="auto"/>
                <w:sz w:val="22"/>
                <w:szCs w:val="22"/>
                <w:lang w:val="en-US" w:eastAsia="en-US"/>
              </w:rPr>
              <w:t xml:space="preserve">4.3 </w:t>
            </w:r>
            <w:r w:rsidRPr="003100C5">
              <w:rPr>
                <w:rFonts w:ascii="Arial" w:eastAsiaTheme="minorHAnsi" w:hAnsi="Arial" w:cs="Arial"/>
                <w:color w:val="auto"/>
                <w:sz w:val="22"/>
                <w:szCs w:val="22"/>
                <w:lang w:val="en-US" w:eastAsia="en-US"/>
              </w:rPr>
              <w:t xml:space="preserve">A CSD shall set up a working flow with the top ten participants with the highest rates of settlement fails, as well as, if applicable, with relevant CCPs and trading venues, in order to </w:t>
            </w:r>
            <w:r w:rsidRPr="003100C5">
              <w:rPr>
                <w:rFonts w:ascii="Arial" w:eastAsiaTheme="minorHAnsi" w:hAnsi="Arial" w:cs="Arial"/>
                <w:strike/>
                <w:color w:val="auto"/>
                <w:sz w:val="22"/>
                <w:szCs w:val="22"/>
                <w:lang w:val="en-US" w:eastAsia="en-US"/>
              </w:rPr>
              <w:t>identify</w:t>
            </w:r>
            <w:r w:rsidRPr="003100C5">
              <w:rPr>
                <w:rFonts w:ascii="Arial" w:eastAsiaTheme="minorHAnsi" w:hAnsi="Arial" w:cs="Arial"/>
                <w:color w:val="auto"/>
                <w:sz w:val="22"/>
                <w:szCs w:val="22"/>
                <w:lang w:val="en-US" w:eastAsia="en-US"/>
              </w:rPr>
              <w:t xml:space="preserve"> </w:t>
            </w:r>
            <w:r w:rsidRPr="003100C5">
              <w:rPr>
                <w:rFonts w:ascii="Arial" w:eastAsiaTheme="minorHAnsi" w:hAnsi="Arial" w:cs="Arial"/>
                <w:b/>
                <w:color w:val="auto"/>
                <w:sz w:val="22"/>
                <w:szCs w:val="22"/>
                <w:lang w:val="en-US" w:eastAsia="en-US"/>
              </w:rPr>
              <w:t>analyze</w:t>
            </w:r>
            <w:r w:rsidRPr="003100C5">
              <w:rPr>
                <w:rFonts w:ascii="Arial" w:eastAsiaTheme="minorHAnsi" w:hAnsi="Arial" w:cs="Arial"/>
                <w:color w:val="auto"/>
                <w:sz w:val="22"/>
                <w:szCs w:val="22"/>
                <w:lang w:val="en-US" w:eastAsia="en-US"/>
              </w:rPr>
              <w:t xml:space="preserve"> the main reasons for settlement fails and to establish measures to improve settlement efficiency. </w:t>
            </w:r>
          </w:p>
        </w:tc>
      </w:tr>
    </w:tbl>
    <w:p w:rsidR="00810A47" w:rsidRPr="00F45130" w:rsidRDefault="00810A47" w:rsidP="00810A47">
      <w:pPr>
        <w:widowControl w:val="0"/>
        <w:spacing w:line="277" w:lineRule="auto"/>
        <w:ind w:right="61"/>
        <w:jc w:val="both"/>
        <w:rPr>
          <w:rFonts w:eastAsia="Arial" w:cs="Arial"/>
          <w:bCs/>
          <w:szCs w:val="22"/>
          <w:lang w:val="en-US" w:eastAsia="en-US"/>
        </w:rPr>
      </w:pPr>
    </w:p>
    <w:tbl>
      <w:tblPr>
        <w:tblStyle w:val="TableGrid"/>
        <w:tblW w:w="0" w:type="auto"/>
        <w:tblLook w:val="04A0"/>
      </w:tblPr>
      <w:tblGrid>
        <w:gridCol w:w="8529"/>
      </w:tblGrid>
      <w:tr w:rsidR="00810A47" w:rsidRPr="003100C5" w:rsidTr="003D466C">
        <w:tc>
          <w:tcPr>
            <w:tcW w:w="8529" w:type="dxa"/>
          </w:tcPr>
          <w:p w:rsidR="003100C5" w:rsidRPr="003100C5" w:rsidRDefault="003100C5" w:rsidP="003D466C">
            <w:pPr>
              <w:pStyle w:val="Default"/>
              <w:rPr>
                <w:rFonts w:ascii="Arial" w:eastAsia="Arial" w:hAnsi="Arial" w:cs="Arial"/>
                <w:bCs/>
                <w:color w:val="auto"/>
                <w:sz w:val="22"/>
                <w:szCs w:val="22"/>
                <w:u w:val="single"/>
                <w:lang w:val="en-US" w:eastAsia="en-US"/>
              </w:rPr>
            </w:pPr>
            <w:r w:rsidRPr="003100C5">
              <w:rPr>
                <w:rFonts w:ascii="Arial" w:eastAsia="Arial" w:hAnsi="Arial" w:cs="Arial"/>
                <w:bCs/>
                <w:color w:val="auto"/>
                <w:sz w:val="22"/>
                <w:szCs w:val="22"/>
                <w:u w:val="single"/>
                <w:lang w:val="en-US" w:eastAsia="en-US"/>
              </w:rPr>
              <w:t>Proposed</w:t>
            </w:r>
            <w:r>
              <w:rPr>
                <w:rFonts w:ascii="Arial" w:eastAsia="Arial" w:hAnsi="Arial" w:cs="Arial"/>
                <w:bCs/>
                <w:color w:val="auto"/>
                <w:sz w:val="22"/>
                <w:szCs w:val="22"/>
                <w:u w:val="single"/>
                <w:lang w:val="en-US" w:eastAsia="en-US"/>
              </w:rPr>
              <w:t xml:space="preserve"> re-drafting Article 6</w:t>
            </w:r>
            <w:r w:rsidRPr="003100C5">
              <w:rPr>
                <w:rFonts w:ascii="Arial" w:eastAsia="Arial" w:hAnsi="Arial" w:cs="Arial"/>
                <w:bCs/>
                <w:color w:val="auto"/>
                <w:sz w:val="22"/>
                <w:szCs w:val="22"/>
                <w:u w:val="single"/>
                <w:lang w:val="en-US" w:eastAsia="en-US"/>
              </w:rPr>
              <w:t xml:space="preserve"> (</w:t>
            </w:r>
            <w:r>
              <w:rPr>
                <w:rFonts w:ascii="Arial" w:eastAsia="Arial" w:hAnsi="Arial" w:cs="Arial"/>
                <w:bCs/>
                <w:color w:val="auto"/>
                <w:sz w:val="22"/>
                <w:szCs w:val="22"/>
                <w:u w:val="single"/>
                <w:lang w:val="en-US" w:eastAsia="en-US"/>
              </w:rPr>
              <w:t>2</w:t>
            </w:r>
            <w:r w:rsidRPr="003100C5">
              <w:rPr>
                <w:rFonts w:ascii="Arial" w:eastAsia="Arial" w:hAnsi="Arial" w:cs="Arial"/>
                <w:bCs/>
                <w:color w:val="auto"/>
                <w:sz w:val="22"/>
                <w:szCs w:val="22"/>
                <w:u w:val="single"/>
                <w:lang w:val="en-US" w:eastAsia="en-US"/>
              </w:rPr>
              <w:t>)</w:t>
            </w:r>
          </w:p>
          <w:p w:rsidR="00810A47" w:rsidRPr="003100C5" w:rsidRDefault="00810A47" w:rsidP="003D466C">
            <w:pPr>
              <w:pStyle w:val="Default"/>
              <w:rPr>
                <w:rFonts w:ascii="Arial" w:eastAsiaTheme="minorHAnsi" w:hAnsi="Arial" w:cs="Arial"/>
                <w:color w:val="auto"/>
                <w:sz w:val="22"/>
                <w:szCs w:val="22"/>
                <w:lang w:val="en-US" w:eastAsia="en-US"/>
              </w:rPr>
            </w:pPr>
            <w:r w:rsidRPr="003100C5">
              <w:rPr>
                <w:rFonts w:ascii="Arial" w:eastAsia="Arial" w:hAnsi="Arial" w:cs="Arial"/>
                <w:bCs/>
                <w:color w:val="auto"/>
                <w:sz w:val="22"/>
                <w:szCs w:val="22"/>
                <w:lang w:val="en-US" w:eastAsia="en-US"/>
              </w:rPr>
              <w:t xml:space="preserve">6.2 </w:t>
            </w:r>
            <w:r w:rsidRPr="003100C5">
              <w:rPr>
                <w:rFonts w:ascii="Arial" w:eastAsiaTheme="minorHAnsi" w:hAnsi="Arial" w:cs="Arial"/>
                <w:color w:val="auto"/>
                <w:sz w:val="22"/>
                <w:szCs w:val="22"/>
                <w:lang w:val="en-US" w:eastAsia="en-US"/>
              </w:rPr>
              <w:t xml:space="preserve">The information specified under paragraph 1 shall be published on the website of </w:t>
            </w:r>
            <w:r w:rsidRPr="003100C5">
              <w:rPr>
                <w:rFonts w:ascii="Arial" w:eastAsiaTheme="minorHAnsi" w:hAnsi="Arial" w:cs="Arial"/>
                <w:strike/>
                <w:color w:val="auto"/>
                <w:sz w:val="22"/>
                <w:szCs w:val="22"/>
                <w:lang w:val="en-US" w:eastAsia="en-US"/>
              </w:rPr>
              <w:t>a CSD</w:t>
            </w:r>
            <w:r w:rsidRPr="003100C5">
              <w:rPr>
                <w:rFonts w:ascii="Arial" w:eastAsiaTheme="minorHAnsi" w:hAnsi="Arial" w:cs="Arial"/>
                <w:color w:val="auto"/>
                <w:sz w:val="22"/>
                <w:szCs w:val="22"/>
                <w:lang w:val="en-US" w:eastAsia="en-US"/>
              </w:rPr>
              <w:t xml:space="preserve"> </w:t>
            </w:r>
            <w:r w:rsidRPr="003100C5">
              <w:rPr>
                <w:rFonts w:ascii="Arial" w:eastAsiaTheme="minorHAnsi" w:hAnsi="Arial" w:cs="Arial"/>
                <w:b/>
                <w:color w:val="auto"/>
                <w:sz w:val="22"/>
                <w:szCs w:val="22"/>
                <w:lang w:val="en-US" w:eastAsia="en-US"/>
              </w:rPr>
              <w:t>the CSD</w:t>
            </w:r>
            <w:r w:rsidRPr="003100C5">
              <w:rPr>
                <w:rFonts w:ascii="Arial" w:eastAsiaTheme="minorHAnsi" w:hAnsi="Arial" w:cs="Arial"/>
                <w:color w:val="auto"/>
                <w:sz w:val="22"/>
                <w:szCs w:val="22"/>
                <w:lang w:val="en-US" w:eastAsia="en-US"/>
              </w:rPr>
              <w:t xml:space="preserve">. The information shall be available at least in a language customary in the sphere of international finance, and shall be machine readable. </w:t>
            </w:r>
          </w:p>
          <w:p w:rsidR="00810A47" w:rsidRPr="003100C5" w:rsidRDefault="00810A47" w:rsidP="003D466C">
            <w:pPr>
              <w:widowControl w:val="0"/>
              <w:spacing w:line="277" w:lineRule="auto"/>
              <w:ind w:right="61"/>
              <w:jc w:val="both"/>
              <w:rPr>
                <w:rFonts w:eastAsia="Arial" w:cs="Arial"/>
                <w:bCs/>
                <w:szCs w:val="22"/>
                <w:lang w:val="en-US" w:eastAsia="en-US"/>
              </w:rPr>
            </w:pPr>
          </w:p>
        </w:tc>
      </w:tr>
    </w:tbl>
    <w:p w:rsidR="00810A47" w:rsidRPr="00F45130" w:rsidRDefault="00810A47" w:rsidP="00810A47">
      <w:pPr>
        <w:widowControl w:val="0"/>
        <w:spacing w:line="277" w:lineRule="auto"/>
        <w:ind w:right="61"/>
        <w:jc w:val="both"/>
        <w:rPr>
          <w:rFonts w:eastAsia="Arial" w:cs="Arial"/>
          <w:bCs/>
          <w:szCs w:val="22"/>
          <w:lang w:val="en-US" w:eastAsia="en-US"/>
        </w:rPr>
      </w:pPr>
    </w:p>
    <w:p w:rsidR="00810A47"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With respect to Article 16, and in particular the conditions under which a participant is deemed to consistently and systematically fail to deliver the financial instruments, AFME believe</w:t>
      </w:r>
      <w:r w:rsidR="003F357E">
        <w:rPr>
          <w:rFonts w:eastAsia="Arial" w:cs="Arial"/>
          <w:bCs/>
          <w:szCs w:val="22"/>
          <w:lang w:val="en-US" w:eastAsia="en-US"/>
        </w:rPr>
        <w:t>s</w:t>
      </w:r>
      <w:r w:rsidRPr="00F45130">
        <w:rPr>
          <w:rFonts w:eastAsia="Arial" w:cs="Arial"/>
          <w:bCs/>
          <w:szCs w:val="22"/>
          <w:lang w:val="en-US" w:eastAsia="en-US"/>
        </w:rPr>
        <w:t xml:space="preserve"> that there should be a clear methodology established in order to measure the settlement efficiency of CSD’s participant (and potentially their underlying customers). </w:t>
      </w:r>
    </w:p>
    <w:p w:rsidR="003100C5" w:rsidRPr="00F45130" w:rsidRDefault="003100C5"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 xml:space="preserve">AFME </w:t>
      </w:r>
      <w:r w:rsidR="003F357E">
        <w:rPr>
          <w:rFonts w:eastAsia="Arial" w:cs="Arial"/>
          <w:bCs/>
          <w:szCs w:val="22"/>
          <w:lang w:val="en-US" w:eastAsia="en-US"/>
        </w:rPr>
        <w:t>proposes</w:t>
      </w:r>
      <w:r w:rsidRPr="00F45130">
        <w:rPr>
          <w:rFonts w:eastAsia="Arial" w:cs="Arial"/>
          <w:bCs/>
          <w:szCs w:val="22"/>
          <w:lang w:val="en-US" w:eastAsia="en-US"/>
        </w:rPr>
        <w:t xml:space="preserve"> that settlement efficiency is calculated in reference to the percentage of fails which are due to the participant, while excluding fails which are due to counterparties or </w:t>
      </w:r>
      <w:r w:rsidR="003100C5">
        <w:rPr>
          <w:rFonts w:eastAsia="Arial" w:cs="Arial"/>
          <w:bCs/>
          <w:szCs w:val="22"/>
          <w:lang w:val="en-US" w:eastAsia="en-US"/>
        </w:rPr>
        <w:t xml:space="preserve">other external factors such as </w:t>
      </w:r>
      <w:r w:rsidRPr="00F45130">
        <w:rPr>
          <w:rFonts w:eastAsia="Arial" w:cs="Arial"/>
          <w:bCs/>
          <w:szCs w:val="22"/>
          <w:lang w:val="en-US" w:eastAsia="en-US"/>
        </w:rPr>
        <w:t>CSD technical failures.</w:t>
      </w:r>
    </w:p>
    <w:p w:rsidR="00810A47" w:rsidRPr="00F45130" w:rsidRDefault="00810A47" w:rsidP="00810A47">
      <w:pPr>
        <w:widowControl w:val="0"/>
        <w:spacing w:line="277" w:lineRule="auto"/>
        <w:ind w:right="61"/>
        <w:jc w:val="both"/>
        <w:rPr>
          <w:rFonts w:eastAsia="Arial" w:cs="Arial"/>
          <w:bCs/>
          <w:szCs w:val="22"/>
          <w:lang w:val="en-US" w:eastAsia="en-US"/>
        </w:rPr>
      </w:pPr>
    </w:p>
    <w:tbl>
      <w:tblPr>
        <w:tblStyle w:val="TableGrid"/>
        <w:tblW w:w="0" w:type="auto"/>
        <w:tblLook w:val="04A0"/>
      </w:tblPr>
      <w:tblGrid>
        <w:gridCol w:w="8529"/>
      </w:tblGrid>
      <w:tr w:rsidR="00810A47" w:rsidRPr="00F45130" w:rsidTr="003D466C">
        <w:tc>
          <w:tcPr>
            <w:tcW w:w="8529" w:type="dxa"/>
          </w:tcPr>
          <w:p w:rsidR="00810A47" w:rsidRPr="00F45130" w:rsidRDefault="00810A47" w:rsidP="003D466C">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Redrafting Article 16.2</w:t>
            </w:r>
          </w:p>
          <w:p w:rsidR="00810A47" w:rsidRPr="00F45130" w:rsidRDefault="00810A47" w:rsidP="003D466C">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 xml:space="preserve">In calculating the percentage referred to in paragraph 1, both the value and the volume of settlement fails shall be considered </w:t>
            </w:r>
            <w:r w:rsidRPr="00F45130">
              <w:rPr>
                <w:rFonts w:eastAsia="Arial" w:cs="Arial"/>
                <w:b/>
                <w:bCs/>
                <w:szCs w:val="22"/>
                <w:lang w:val="en-US" w:eastAsia="en-US"/>
              </w:rPr>
              <w:t xml:space="preserve">for fails which are caused by the act or omission of the participant, while excluding fails which are caused by </w:t>
            </w:r>
            <w:r w:rsidRPr="00F45130">
              <w:rPr>
                <w:rFonts w:eastAsia="Arial" w:cs="Arial"/>
                <w:b/>
                <w:bCs/>
                <w:szCs w:val="22"/>
                <w:lang w:val="en-US" w:eastAsia="en-US"/>
              </w:rPr>
              <w:lastRenderedPageBreak/>
              <w:t>an act or omission of a counterparty or other external factors.</w:t>
            </w:r>
            <w:r w:rsidRPr="00F45130">
              <w:rPr>
                <w:rFonts w:eastAsia="Arial" w:cs="Arial"/>
                <w:bCs/>
                <w:szCs w:val="22"/>
                <w:lang w:val="en-US" w:eastAsia="en-US"/>
              </w:rPr>
              <w:t xml:space="preserve"> Where either the percentage in volume or in value terms is lower than the one indicated in paragraph 1, the participant shall be deemed to consistently and systematically fail to deliver the financial instruments.</w:t>
            </w:r>
          </w:p>
        </w:tc>
      </w:tr>
    </w:tbl>
    <w:permEnd w:id="7"/>
    <w:p w:rsidR="00D12AFD" w:rsidRDefault="00D12AFD" w:rsidP="00D12AFD">
      <w:r>
        <w:lastRenderedPageBreak/>
        <w:t>&lt;ESMA_QUESTION_TS_CSDR_5&gt;</w:t>
      </w:r>
    </w:p>
    <w:p w:rsidR="00D12AFD" w:rsidRPr="002C4F00" w:rsidRDefault="00D12AFD" w:rsidP="00965B03">
      <w:pPr>
        <w:pStyle w:val="Heading5"/>
        <w:ind w:left="567" w:hanging="567"/>
      </w:pPr>
      <w:r w:rsidRPr="002C4F00">
        <w:t>What are your views on the proposed draft RTS related to the penalty mechanism? Do you agree that when CSDs use a common settlement infrastructure, the proc</w:t>
      </w:r>
      <w:r w:rsidRPr="002C4F00">
        <w:t>e</w:t>
      </w:r>
      <w:r w:rsidRPr="002C4F00">
        <w:t>dures for cash penalties should be jointly managed?</w:t>
      </w:r>
    </w:p>
    <w:p w:rsidR="00D12AFD" w:rsidRDefault="00D12AFD" w:rsidP="00D12AFD"/>
    <w:p w:rsidR="00D12AFD" w:rsidRDefault="00D12AFD" w:rsidP="00D12AFD">
      <w:r>
        <w:t>&lt;ESMA_QUESTION_TS_CSDR_6&gt;</w:t>
      </w:r>
    </w:p>
    <w:p w:rsidR="00810A47" w:rsidRPr="00F45130" w:rsidRDefault="00810A47" w:rsidP="00810A47">
      <w:pPr>
        <w:widowControl w:val="0"/>
        <w:spacing w:line="277" w:lineRule="auto"/>
        <w:ind w:right="61"/>
        <w:jc w:val="both"/>
        <w:rPr>
          <w:rFonts w:eastAsia="Arial" w:cs="Arial"/>
          <w:bCs/>
          <w:szCs w:val="22"/>
          <w:lang w:val="en-US" w:eastAsia="en-US"/>
        </w:rPr>
      </w:pPr>
      <w:permStart w:id="8" w:edGrp="everyone"/>
      <w:r w:rsidRPr="00F45130">
        <w:rPr>
          <w:rFonts w:eastAsia="Arial" w:cs="Arial"/>
          <w:bCs/>
          <w:szCs w:val="22"/>
          <w:lang w:val="en-US" w:eastAsia="en-US"/>
        </w:rPr>
        <w:t>AFME largely supports ESMA’s proposals, but it also would like to raise the following comments and concerns.</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AFME supports ESMA's views expressed in paragraph 59 that it is important to harmonize the penalty mechanism and to apply a single model across the European Union. Moreover, AFME supports the proposal that CSDs pass on relevant information to CCPs so that CCPs can charge, and compensate, their clearing members.</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AFME supports ESMA's conclusion that when CSDs use a common settlement infrastructure the procedures for cash penalties should be jointly managed and that ESMA should ensure that the following information is publicly available so as to allow the penalty system to work in a harmonized way:</w:t>
      </w:r>
    </w:p>
    <w:p w:rsidR="00810A47" w:rsidRPr="00F45130" w:rsidRDefault="00810A47" w:rsidP="00FB266C">
      <w:pPr>
        <w:pStyle w:val="ListParagraph"/>
        <w:widowControl w:val="0"/>
        <w:numPr>
          <w:ilvl w:val="0"/>
          <w:numId w:val="51"/>
        </w:numPr>
        <w:spacing w:line="277" w:lineRule="auto"/>
        <w:ind w:right="61"/>
        <w:jc w:val="both"/>
        <w:rPr>
          <w:rFonts w:eastAsia="Arial" w:cs="Arial"/>
          <w:bCs/>
          <w:szCs w:val="22"/>
          <w:lang w:val="en-US" w:eastAsia="en-US"/>
        </w:rPr>
      </w:pPr>
      <w:r w:rsidRPr="00F45130">
        <w:rPr>
          <w:rFonts w:eastAsia="Arial" w:cs="Arial"/>
          <w:bCs/>
          <w:szCs w:val="22"/>
          <w:lang w:val="en-US" w:eastAsia="en-US"/>
        </w:rPr>
        <w:t>a list of the ISINs of all the securities that are subject to penalty fines;</w:t>
      </w:r>
    </w:p>
    <w:p w:rsidR="00810A47" w:rsidRPr="00F45130" w:rsidRDefault="00810A47" w:rsidP="00FB266C">
      <w:pPr>
        <w:pStyle w:val="ListParagraph"/>
        <w:widowControl w:val="0"/>
        <w:numPr>
          <w:ilvl w:val="0"/>
          <w:numId w:val="51"/>
        </w:numPr>
        <w:spacing w:line="277" w:lineRule="auto"/>
        <w:ind w:right="61"/>
        <w:jc w:val="both"/>
        <w:rPr>
          <w:rFonts w:eastAsia="Arial" w:cs="Arial"/>
          <w:bCs/>
          <w:szCs w:val="22"/>
          <w:lang w:val="en-US" w:eastAsia="en-US"/>
        </w:rPr>
      </w:pPr>
      <w:r w:rsidRPr="00F45130">
        <w:rPr>
          <w:rFonts w:eastAsia="Arial" w:cs="Arial"/>
          <w:bCs/>
          <w:szCs w:val="22"/>
          <w:lang w:val="en-US" w:eastAsia="en-US"/>
        </w:rPr>
        <w:t>for each ISIN, and for each business day, the price to be used for the calculation of penalties; and</w:t>
      </w:r>
    </w:p>
    <w:p w:rsidR="00810A47" w:rsidRPr="00F45130" w:rsidRDefault="00810A47" w:rsidP="00FB266C">
      <w:pPr>
        <w:pStyle w:val="ListParagraph"/>
        <w:widowControl w:val="0"/>
        <w:numPr>
          <w:ilvl w:val="0"/>
          <w:numId w:val="51"/>
        </w:numPr>
        <w:spacing w:line="277" w:lineRule="auto"/>
        <w:ind w:right="61"/>
        <w:jc w:val="both"/>
        <w:rPr>
          <w:rFonts w:eastAsia="Arial" w:cs="Arial"/>
          <w:bCs/>
          <w:szCs w:val="22"/>
          <w:lang w:val="en-US" w:eastAsia="en-US"/>
        </w:rPr>
      </w:pPr>
      <w:r w:rsidRPr="00F45130">
        <w:rPr>
          <w:rFonts w:eastAsia="Arial" w:cs="Arial"/>
          <w:bCs/>
          <w:szCs w:val="22"/>
          <w:lang w:val="en-US" w:eastAsia="en-US"/>
        </w:rPr>
        <w:t>the penalty rate to be applied for a specific ISIN</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The list of ISINs is necessary as without an authoritative list</w:t>
      </w:r>
      <w:r w:rsidR="003F357E">
        <w:rPr>
          <w:rFonts w:eastAsia="Arial" w:cs="Arial"/>
          <w:bCs/>
          <w:szCs w:val="22"/>
          <w:lang w:val="en-US" w:eastAsia="en-US"/>
        </w:rPr>
        <w:t>,</w:t>
      </w:r>
      <w:r w:rsidRPr="00F45130">
        <w:rPr>
          <w:rFonts w:eastAsia="Arial" w:cs="Arial"/>
          <w:bCs/>
          <w:szCs w:val="22"/>
          <w:lang w:val="en-US" w:eastAsia="en-US"/>
        </w:rPr>
        <w:t xml:space="preserve"> each CSD would find it difficult to </w:t>
      </w:r>
      <w:r w:rsidR="003F357E">
        <w:rPr>
          <w:rFonts w:eastAsia="Arial" w:cs="Arial"/>
          <w:bCs/>
          <w:szCs w:val="22"/>
          <w:lang w:val="en-US" w:eastAsia="en-US"/>
        </w:rPr>
        <w:t>obtain</w:t>
      </w:r>
      <w:r w:rsidRPr="00F45130">
        <w:rPr>
          <w:rFonts w:eastAsia="Arial" w:cs="Arial"/>
          <w:bCs/>
          <w:szCs w:val="22"/>
          <w:lang w:val="en-US" w:eastAsia="en-US"/>
        </w:rPr>
        <w:t xml:space="preserve"> the necessary information, and there would be a risk that different CSDs charge based on different lists. The background to this requirement is that not all securities will appear on the list, as CSDR excludes from the penalty charge securities that are not cleared by EU CCP</w:t>
      </w:r>
      <w:r w:rsidR="003F357E">
        <w:rPr>
          <w:rFonts w:eastAsia="Arial" w:cs="Arial"/>
          <w:bCs/>
          <w:szCs w:val="22"/>
          <w:lang w:val="en-US" w:eastAsia="en-US"/>
        </w:rPr>
        <w:t>s</w:t>
      </w:r>
      <w:r w:rsidRPr="00F45130">
        <w:rPr>
          <w:rFonts w:eastAsia="Arial" w:cs="Arial"/>
          <w:bCs/>
          <w:szCs w:val="22"/>
          <w:lang w:val="en-US" w:eastAsia="en-US"/>
        </w:rPr>
        <w:t xml:space="preserve"> and that are not admitted to trading on EU trading venues, as well as securities for which the princ</w:t>
      </w:r>
      <w:r w:rsidRPr="00F45130">
        <w:rPr>
          <w:rFonts w:eastAsia="Arial" w:cs="Arial"/>
          <w:bCs/>
          <w:szCs w:val="22"/>
          <w:lang w:val="en-US" w:eastAsia="en-US"/>
        </w:rPr>
        <w:t>i</w:t>
      </w:r>
      <w:r w:rsidRPr="00F45130">
        <w:rPr>
          <w:rFonts w:eastAsia="Arial" w:cs="Arial"/>
          <w:bCs/>
          <w:szCs w:val="22"/>
          <w:lang w:val="en-US" w:eastAsia="en-US"/>
        </w:rPr>
        <w:t>pal venue for trading is located in a third country.</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Among the concerns of AFME are the following:</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FB266C">
      <w:pPr>
        <w:pStyle w:val="ListParagraph"/>
        <w:widowControl w:val="0"/>
        <w:numPr>
          <w:ilvl w:val="0"/>
          <w:numId w:val="52"/>
        </w:numPr>
        <w:spacing w:line="277" w:lineRule="auto"/>
        <w:ind w:right="61"/>
        <w:jc w:val="both"/>
        <w:rPr>
          <w:rFonts w:eastAsia="Arial" w:cs="Arial"/>
          <w:bCs/>
          <w:szCs w:val="22"/>
          <w:lang w:val="en-US" w:eastAsia="en-US"/>
        </w:rPr>
      </w:pPr>
      <w:r w:rsidRPr="00F45130">
        <w:rPr>
          <w:rFonts w:eastAsia="Arial" w:cs="Arial"/>
          <w:bCs/>
          <w:szCs w:val="22"/>
          <w:lang w:val="en-US" w:eastAsia="en-US"/>
        </w:rPr>
        <w:t>The design of the penalty mechanism may create a need for direct bilateral claims; this would be the case, for example, if the penalty mechanism generated compensation in cases where no compensation was due, so that counterparties had to correct the pena</w:t>
      </w:r>
      <w:r w:rsidRPr="00F45130">
        <w:rPr>
          <w:rFonts w:eastAsia="Arial" w:cs="Arial"/>
          <w:bCs/>
          <w:szCs w:val="22"/>
          <w:lang w:val="en-US" w:eastAsia="en-US"/>
        </w:rPr>
        <w:t>l</w:t>
      </w:r>
      <w:r w:rsidRPr="00F45130">
        <w:rPr>
          <w:rFonts w:eastAsia="Arial" w:cs="Arial"/>
          <w:bCs/>
          <w:szCs w:val="22"/>
          <w:lang w:val="en-US" w:eastAsia="en-US"/>
        </w:rPr>
        <w:t xml:space="preserve">ty flows. </w:t>
      </w:r>
    </w:p>
    <w:p w:rsidR="00810A47" w:rsidRPr="00F45130" w:rsidRDefault="00810A47" w:rsidP="00FB266C">
      <w:pPr>
        <w:pStyle w:val="ListParagraph"/>
        <w:widowControl w:val="0"/>
        <w:numPr>
          <w:ilvl w:val="0"/>
          <w:numId w:val="52"/>
        </w:numPr>
        <w:spacing w:line="277" w:lineRule="auto"/>
        <w:ind w:right="61"/>
        <w:jc w:val="both"/>
        <w:rPr>
          <w:rFonts w:eastAsia="Arial" w:cs="Arial"/>
          <w:bCs/>
          <w:szCs w:val="22"/>
          <w:lang w:val="en-US" w:eastAsia="en-US"/>
        </w:rPr>
      </w:pPr>
      <w:r w:rsidRPr="00F45130">
        <w:rPr>
          <w:rFonts w:eastAsia="Arial" w:cs="Arial"/>
          <w:bCs/>
          <w:szCs w:val="22"/>
          <w:lang w:val="en-US" w:eastAsia="en-US"/>
        </w:rPr>
        <w:t>The potential volume of penalty data will be very high. This will require intermediaries in the custody chain to reconcile the data and charges that they receive from their account provider, and then pass on the data and charges to their clients. Given the volumes a system should [be developed to] cater for an automatic transfer of information.</w:t>
      </w:r>
    </w:p>
    <w:p w:rsidR="00810A47" w:rsidRPr="00F45130" w:rsidRDefault="00810A47" w:rsidP="00FB266C">
      <w:pPr>
        <w:pStyle w:val="ListParagraph"/>
        <w:widowControl w:val="0"/>
        <w:numPr>
          <w:ilvl w:val="0"/>
          <w:numId w:val="52"/>
        </w:numPr>
        <w:spacing w:line="277" w:lineRule="auto"/>
        <w:ind w:right="61"/>
        <w:jc w:val="both"/>
        <w:rPr>
          <w:rFonts w:eastAsia="Arial" w:cs="Arial"/>
          <w:bCs/>
          <w:szCs w:val="22"/>
          <w:lang w:val="en-US" w:eastAsia="en-US"/>
        </w:rPr>
      </w:pPr>
      <w:r w:rsidRPr="00F45130">
        <w:rPr>
          <w:rFonts w:eastAsia="Arial" w:cs="Arial"/>
          <w:bCs/>
          <w:szCs w:val="22"/>
          <w:lang w:val="en-US" w:eastAsia="en-US"/>
        </w:rPr>
        <w:t xml:space="preserve">The current design of the mechanism, as set out in Articles 7 and 8 of the draft RTS on </w:t>
      </w:r>
      <w:r w:rsidRPr="00F45130">
        <w:rPr>
          <w:rFonts w:eastAsia="Arial" w:cs="Arial"/>
          <w:bCs/>
          <w:szCs w:val="22"/>
          <w:lang w:val="en-US" w:eastAsia="en-US"/>
        </w:rPr>
        <w:lastRenderedPageBreak/>
        <w:t>settlement discipline, is insufficiently detailed and precise to ensure an outcome of each CSD in Europe applying the same penalty mechanism.</w:t>
      </w:r>
    </w:p>
    <w:p w:rsidR="00810A47" w:rsidRPr="00F45130" w:rsidRDefault="00810A47" w:rsidP="00FB266C">
      <w:pPr>
        <w:pStyle w:val="ListParagraph"/>
        <w:widowControl w:val="0"/>
        <w:numPr>
          <w:ilvl w:val="0"/>
          <w:numId w:val="52"/>
        </w:numPr>
        <w:spacing w:line="277" w:lineRule="auto"/>
        <w:ind w:right="61"/>
        <w:jc w:val="both"/>
        <w:rPr>
          <w:rFonts w:eastAsia="Arial" w:cs="Arial"/>
          <w:bCs/>
          <w:szCs w:val="22"/>
          <w:lang w:val="en-US" w:eastAsia="en-US"/>
        </w:rPr>
      </w:pPr>
      <w:r w:rsidRPr="00F45130">
        <w:rPr>
          <w:rFonts w:eastAsia="Arial" w:cs="Arial"/>
          <w:bCs/>
          <w:szCs w:val="22"/>
          <w:lang w:val="en-US" w:eastAsia="en-US"/>
        </w:rPr>
        <w:t>There is the risk that under some circumstances the penalty mechanism may have the effect of creating a disincentive to send instructions to the CSD for matching.</w:t>
      </w:r>
    </w:p>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Article 7(1) – technically instructions “on hold” are not considered a fail, as from an operational point of view they have never been presented to the settlement process. However, AFME b</w:t>
      </w:r>
      <w:r w:rsidRPr="00F45130">
        <w:rPr>
          <w:rFonts w:eastAsia="Arial" w:cs="Arial"/>
          <w:bCs/>
          <w:szCs w:val="22"/>
          <w:lang w:val="en-US" w:eastAsia="en-US"/>
        </w:rPr>
        <w:t>e</w:t>
      </w:r>
      <w:r w:rsidRPr="00F45130">
        <w:rPr>
          <w:rFonts w:eastAsia="Arial" w:cs="Arial"/>
          <w:bCs/>
          <w:szCs w:val="22"/>
          <w:lang w:val="en-US" w:eastAsia="en-US"/>
        </w:rPr>
        <w:t>lieve</w:t>
      </w:r>
      <w:r w:rsidR="003F357E">
        <w:rPr>
          <w:rFonts w:eastAsia="Arial" w:cs="Arial"/>
          <w:bCs/>
          <w:szCs w:val="22"/>
          <w:lang w:val="en-US" w:eastAsia="en-US"/>
        </w:rPr>
        <w:t>s</w:t>
      </w:r>
      <w:r w:rsidRPr="00F45130">
        <w:rPr>
          <w:rFonts w:eastAsia="Arial" w:cs="Arial"/>
          <w:bCs/>
          <w:szCs w:val="22"/>
          <w:lang w:val="en-US" w:eastAsia="en-US"/>
        </w:rPr>
        <w:t xml:space="preserve"> that “on hold” instructions should not be exempt from the penalty mechanism and for clarification suggest the following redrafting.</w:t>
      </w:r>
    </w:p>
    <w:p w:rsidR="00810A47" w:rsidRPr="00F45130" w:rsidRDefault="00810A47" w:rsidP="00810A47">
      <w:pPr>
        <w:widowControl w:val="0"/>
        <w:spacing w:line="277" w:lineRule="auto"/>
        <w:ind w:right="61"/>
        <w:jc w:val="both"/>
        <w:rPr>
          <w:rFonts w:eastAsia="Arial" w:cs="Arial"/>
          <w:bCs/>
          <w:szCs w:val="22"/>
          <w:lang w:val="en-US" w:eastAsia="en-US"/>
        </w:rPr>
      </w:pPr>
    </w:p>
    <w:tbl>
      <w:tblPr>
        <w:tblStyle w:val="TableGrid"/>
        <w:tblW w:w="0" w:type="auto"/>
        <w:tblLook w:val="04A0"/>
      </w:tblPr>
      <w:tblGrid>
        <w:gridCol w:w="8529"/>
      </w:tblGrid>
      <w:tr w:rsidR="00810A47" w:rsidRPr="00F45130" w:rsidTr="003D466C">
        <w:tc>
          <w:tcPr>
            <w:tcW w:w="8529" w:type="dxa"/>
          </w:tcPr>
          <w:p w:rsidR="00810A47" w:rsidRPr="00D41ECA" w:rsidRDefault="00D41ECA" w:rsidP="003D466C">
            <w:pPr>
              <w:pStyle w:val="Default"/>
              <w:rPr>
                <w:rFonts w:ascii="Arial" w:eastAsia="Arial" w:hAnsi="Arial" w:cs="Arial"/>
                <w:bCs/>
                <w:color w:val="auto"/>
                <w:sz w:val="22"/>
                <w:szCs w:val="22"/>
                <w:u w:val="single"/>
                <w:lang w:val="en-US" w:eastAsia="en-US"/>
              </w:rPr>
            </w:pPr>
            <w:r w:rsidRPr="00D41ECA">
              <w:rPr>
                <w:rFonts w:ascii="Arial" w:eastAsia="Arial" w:hAnsi="Arial" w:cs="Arial"/>
                <w:bCs/>
                <w:color w:val="auto"/>
                <w:sz w:val="22"/>
                <w:szCs w:val="22"/>
                <w:u w:val="single"/>
                <w:lang w:val="en-US" w:eastAsia="en-US"/>
              </w:rPr>
              <w:t>Proposed re-drafting Article 7 (1)</w:t>
            </w:r>
          </w:p>
          <w:p w:rsidR="00810A47" w:rsidRPr="00D41ECA" w:rsidRDefault="00810A47" w:rsidP="003D466C">
            <w:pPr>
              <w:pStyle w:val="Default"/>
              <w:rPr>
                <w:rFonts w:ascii="Arial" w:eastAsiaTheme="minorHAnsi" w:hAnsi="Arial" w:cs="Arial"/>
                <w:color w:val="auto"/>
                <w:sz w:val="22"/>
                <w:szCs w:val="22"/>
                <w:lang w:val="en-US" w:eastAsia="en-US"/>
              </w:rPr>
            </w:pPr>
            <w:r w:rsidRPr="00D41ECA">
              <w:rPr>
                <w:rFonts w:ascii="Arial" w:eastAsiaTheme="minorHAnsi" w:hAnsi="Arial" w:cs="Arial"/>
                <w:color w:val="auto"/>
                <w:sz w:val="22"/>
                <w:szCs w:val="22"/>
                <w:lang w:val="en-US" w:eastAsia="en-US"/>
              </w:rPr>
              <w:t xml:space="preserve">The CSD shall calculate penalties for each settlement instruction that fails to settle, on the intended settlement date including for settlement instructions that are on hold. Only matched settlement instructions in accordance with Article 3(2) that </w:t>
            </w:r>
            <w:r w:rsidRPr="00D41ECA">
              <w:rPr>
                <w:rFonts w:ascii="Arial" w:eastAsiaTheme="minorHAnsi" w:hAnsi="Arial" w:cs="Arial"/>
                <w:strike/>
                <w:color w:val="auto"/>
                <w:sz w:val="22"/>
                <w:szCs w:val="22"/>
                <w:lang w:val="en-US" w:eastAsia="en-US"/>
              </w:rPr>
              <w:t>fail to settle</w:t>
            </w:r>
            <w:r w:rsidRPr="00D41ECA">
              <w:rPr>
                <w:rFonts w:ascii="Arial" w:eastAsiaTheme="minorHAnsi" w:hAnsi="Arial" w:cs="Arial"/>
                <w:color w:val="auto"/>
                <w:sz w:val="22"/>
                <w:szCs w:val="22"/>
                <w:lang w:val="en-US" w:eastAsia="en-US"/>
              </w:rPr>
              <w:t xml:space="preserve"> </w:t>
            </w:r>
            <w:r w:rsidRPr="00D41ECA">
              <w:rPr>
                <w:rFonts w:ascii="Arial" w:eastAsiaTheme="minorHAnsi" w:hAnsi="Arial" w:cs="Arial"/>
                <w:b/>
                <w:color w:val="auto"/>
                <w:sz w:val="22"/>
                <w:szCs w:val="22"/>
                <w:lang w:val="en-US" w:eastAsia="en-US"/>
              </w:rPr>
              <w:t>that remain unsettled</w:t>
            </w:r>
            <w:r w:rsidRPr="00D41ECA">
              <w:rPr>
                <w:rFonts w:ascii="Arial" w:eastAsiaTheme="minorHAnsi" w:hAnsi="Arial" w:cs="Arial"/>
                <w:color w:val="auto"/>
                <w:sz w:val="22"/>
                <w:szCs w:val="22"/>
                <w:lang w:val="en-US" w:eastAsia="en-US"/>
              </w:rPr>
              <w:t xml:space="preserve"> on the intended settlement date, shall be subject to penalties. </w:t>
            </w:r>
          </w:p>
          <w:p w:rsidR="00810A47" w:rsidRPr="00D41ECA" w:rsidRDefault="00810A47" w:rsidP="003D466C">
            <w:pPr>
              <w:widowControl w:val="0"/>
              <w:spacing w:line="277" w:lineRule="auto"/>
              <w:ind w:right="61"/>
              <w:jc w:val="both"/>
              <w:rPr>
                <w:rFonts w:eastAsia="Arial" w:cs="Arial"/>
                <w:bCs/>
                <w:szCs w:val="22"/>
                <w:lang w:val="en-US" w:eastAsia="en-US"/>
              </w:rPr>
            </w:pPr>
          </w:p>
        </w:tc>
      </w:tr>
    </w:tbl>
    <w:p w:rsidR="00810A47" w:rsidRPr="00F45130" w:rsidRDefault="00810A47" w:rsidP="00810A47">
      <w:pPr>
        <w:widowControl w:val="0"/>
        <w:spacing w:line="277" w:lineRule="auto"/>
        <w:ind w:right="61"/>
        <w:jc w:val="both"/>
        <w:rPr>
          <w:rFonts w:eastAsia="Arial" w:cs="Arial"/>
          <w:bCs/>
          <w:szCs w:val="22"/>
          <w:lang w:val="en-US" w:eastAsia="en-US"/>
        </w:rPr>
      </w:pPr>
    </w:p>
    <w:p w:rsidR="00810A47"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 xml:space="preserve">AFME members would urge ESMA to recognize that there are participants in the middle of the settlement chain that should not be unduly penalized. </w:t>
      </w:r>
    </w:p>
    <w:p w:rsidR="00D41ECA" w:rsidRPr="00F45130" w:rsidRDefault="00D41ECA" w:rsidP="00810A47">
      <w:pPr>
        <w:widowControl w:val="0"/>
        <w:spacing w:line="277" w:lineRule="auto"/>
        <w:ind w:right="61"/>
        <w:jc w:val="both"/>
        <w:rPr>
          <w:rFonts w:eastAsia="Arial" w:cs="Arial"/>
          <w:bCs/>
          <w:szCs w:val="22"/>
          <w:lang w:val="en-US" w:eastAsia="en-US"/>
        </w:rPr>
      </w:pPr>
    </w:p>
    <w:p w:rsidR="00810A47" w:rsidRPr="00F45130" w:rsidRDefault="00810A47" w:rsidP="00810A47">
      <w:pPr>
        <w:rPr>
          <w:rFonts w:eastAsia="Arial" w:cs="Arial"/>
          <w:bCs/>
          <w:szCs w:val="22"/>
          <w:lang w:val="en-US" w:eastAsia="en-US"/>
        </w:rPr>
      </w:pPr>
      <w:r w:rsidRPr="00F45130">
        <w:rPr>
          <w:rFonts w:eastAsia="Arial" w:cs="Arial"/>
          <w:bCs/>
          <w:szCs w:val="22"/>
          <w:lang w:val="en-US" w:eastAsia="en-US"/>
        </w:rPr>
        <w:t>Furthermore with regards to Article 7(3)</w:t>
      </w:r>
      <w:r w:rsidR="00D41ECA">
        <w:rPr>
          <w:rFonts w:eastAsia="Arial" w:cs="Arial"/>
          <w:bCs/>
          <w:szCs w:val="22"/>
          <w:lang w:val="en-US" w:eastAsia="en-US"/>
        </w:rPr>
        <w:t>,</w:t>
      </w:r>
      <w:r w:rsidRPr="00F45130">
        <w:rPr>
          <w:rFonts w:eastAsia="Arial" w:cs="Arial"/>
          <w:bCs/>
          <w:szCs w:val="22"/>
          <w:lang w:val="en-US" w:eastAsia="en-US"/>
        </w:rPr>
        <w:t xml:space="preserve"> AMFE members would like to highlight that the RTS does not address the issue of a “threshold” when partialling takes place. Most CSDs (and it will be the case also in T2S) use a threshold in quantity and / or amount when triggering their partial settlement process. </w:t>
      </w:r>
    </w:p>
    <w:p w:rsidR="00810A47" w:rsidRPr="00F45130" w:rsidRDefault="00810A47" w:rsidP="00810A47">
      <w:pPr>
        <w:rPr>
          <w:rFonts w:eastAsia="Arial" w:cs="Arial"/>
          <w:bCs/>
          <w:szCs w:val="22"/>
          <w:lang w:val="en-US" w:eastAsia="en-US"/>
        </w:rPr>
      </w:pPr>
    </w:p>
    <w:p w:rsidR="00810A47" w:rsidRPr="00F45130" w:rsidRDefault="00810A47" w:rsidP="00810A47">
      <w:pPr>
        <w:rPr>
          <w:rFonts w:eastAsia="Arial" w:cs="Arial"/>
          <w:bCs/>
          <w:szCs w:val="22"/>
          <w:lang w:val="en-US" w:eastAsia="en-US"/>
        </w:rPr>
      </w:pPr>
      <w:r w:rsidRPr="00F45130">
        <w:rPr>
          <w:rFonts w:eastAsia="Arial" w:cs="Arial"/>
          <w:bCs/>
          <w:szCs w:val="22"/>
          <w:lang w:val="en-US" w:eastAsia="en-US"/>
        </w:rPr>
        <w:t>An issue might arise when a participant has available stock on its account but the quantity avai</w:t>
      </w:r>
      <w:r w:rsidRPr="00F45130">
        <w:rPr>
          <w:rFonts w:eastAsia="Arial" w:cs="Arial"/>
          <w:bCs/>
          <w:szCs w:val="22"/>
          <w:lang w:val="en-US" w:eastAsia="en-US"/>
        </w:rPr>
        <w:t>l</w:t>
      </w:r>
      <w:r w:rsidRPr="00F45130">
        <w:rPr>
          <w:rFonts w:eastAsia="Arial" w:cs="Arial"/>
          <w:bCs/>
          <w:szCs w:val="22"/>
          <w:lang w:val="en-US" w:eastAsia="en-US"/>
        </w:rPr>
        <w:t>able is lower than the minimum quantity set by the CSD for a partial settlement process to be triggered. It should be noted that the participant may be a CCP</w:t>
      </w:r>
      <w:r w:rsidR="001F706C">
        <w:rPr>
          <w:rFonts w:eastAsia="Arial" w:cs="Arial"/>
          <w:bCs/>
          <w:szCs w:val="22"/>
          <w:lang w:val="en-US" w:eastAsia="en-US"/>
        </w:rPr>
        <w:t xml:space="preserve"> who should be exempt from </w:t>
      </w:r>
      <w:proofErr w:type="spellStart"/>
      <w:r w:rsidR="001F706C">
        <w:rPr>
          <w:rFonts w:eastAsia="Arial" w:cs="Arial"/>
          <w:bCs/>
          <w:szCs w:val="22"/>
          <w:lang w:val="en-US" w:eastAsia="en-US"/>
        </w:rPr>
        <w:t>partialling</w:t>
      </w:r>
      <w:proofErr w:type="spellEnd"/>
      <w:r w:rsidR="001F706C">
        <w:rPr>
          <w:rFonts w:eastAsia="Arial" w:cs="Arial"/>
          <w:bCs/>
          <w:szCs w:val="22"/>
          <w:lang w:val="en-US" w:eastAsia="en-US"/>
        </w:rPr>
        <w:t xml:space="preserve"> restrictions</w:t>
      </w:r>
      <w:r w:rsidRPr="00F45130">
        <w:rPr>
          <w:rFonts w:eastAsia="Arial" w:cs="Arial"/>
          <w:bCs/>
          <w:szCs w:val="22"/>
          <w:lang w:val="en-US" w:eastAsia="en-US"/>
        </w:rPr>
        <w:t>. This will raise additional issues since CCPs should not bear any financial impact linked to penalties.</w:t>
      </w:r>
    </w:p>
    <w:p w:rsidR="00810A47" w:rsidRPr="00F45130" w:rsidRDefault="00810A47" w:rsidP="00810A47">
      <w:pPr>
        <w:rPr>
          <w:rFonts w:eastAsia="Arial" w:cs="Arial"/>
          <w:bCs/>
          <w:szCs w:val="22"/>
          <w:lang w:val="en-US" w:eastAsia="en-US"/>
        </w:rPr>
      </w:pPr>
    </w:p>
    <w:tbl>
      <w:tblPr>
        <w:tblStyle w:val="TableGrid"/>
        <w:tblW w:w="0" w:type="auto"/>
        <w:tblLook w:val="04A0"/>
      </w:tblPr>
      <w:tblGrid>
        <w:gridCol w:w="8529"/>
      </w:tblGrid>
      <w:tr w:rsidR="00810A47" w:rsidRPr="00F45130" w:rsidTr="003D466C">
        <w:tc>
          <w:tcPr>
            <w:tcW w:w="8529" w:type="dxa"/>
          </w:tcPr>
          <w:p w:rsidR="00810A47" w:rsidRPr="00D41ECA" w:rsidRDefault="00810A47" w:rsidP="003D466C">
            <w:pPr>
              <w:rPr>
                <w:rFonts w:eastAsia="Arial" w:cs="Arial"/>
                <w:bCs/>
                <w:szCs w:val="22"/>
                <w:u w:val="single"/>
                <w:lang w:val="en-US" w:eastAsia="en-US"/>
              </w:rPr>
            </w:pPr>
            <w:r w:rsidRPr="00D41ECA">
              <w:rPr>
                <w:rFonts w:eastAsia="Arial" w:cs="Arial"/>
                <w:bCs/>
                <w:szCs w:val="22"/>
                <w:u w:val="single"/>
                <w:lang w:val="en-US" w:eastAsia="en-US"/>
              </w:rPr>
              <w:t>Example</w:t>
            </w:r>
          </w:p>
          <w:p w:rsidR="00810A47" w:rsidRPr="00F45130" w:rsidRDefault="00810A47" w:rsidP="003D466C">
            <w:pPr>
              <w:rPr>
                <w:rFonts w:eastAsia="Arial" w:cs="Arial"/>
                <w:bCs/>
                <w:szCs w:val="22"/>
                <w:lang w:val="en-US" w:eastAsia="en-US"/>
              </w:rPr>
            </w:pPr>
            <w:r w:rsidRPr="00F45130">
              <w:rPr>
                <w:rFonts w:eastAsia="Arial" w:cs="Arial"/>
                <w:bCs/>
                <w:szCs w:val="22"/>
                <w:lang w:val="en-US" w:eastAsia="en-US"/>
              </w:rPr>
              <w:t xml:space="preserve">Participant C should deliver </w:t>
            </w:r>
            <w:r w:rsidR="005E608E">
              <w:rPr>
                <w:rFonts w:eastAsia="Arial" w:cs="Arial"/>
                <w:bCs/>
                <w:szCs w:val="22"/>
                <w:lang w:val="en-US" w:eastAsia="en-US"/>
              </w:rPr>
              <w:t xml:space="preserve">600 shares to participant D; C </w:t>
            </w:r>
            <w:r w:rsidRPr="00F45130">
              <w:rPr>
                <w:rFonts w:eastAsia="Arial" w:cs="Arial"/>
                <w:bCs/>
                <w:szCs w:val="22"/>
                <w:lang w:val="en-US" w:eastAsia="en-US"/>
              </w:rPr>
              <w:t>receive</w:t>
            </w:r>
            <w:r w:rsidR="005E608E">
              <w:rPr>
                <w:rFonts w:eastAsia="Arial" w:cs="Arial"/>
                <w:bCs/>
                <w:szCs w:val="22"/>
                <w:lang w:val="en-US" w:eastAsia="en-US"/>
              </w:rPr>
              <w:t>s</w:t>
            </w:r>
            <w:r w:rsidRPr="00F45130">
              <w:rPr>
                <w:rFonts w:eastAsia="Arial" w:cs="Arial"/>
                <w:bCs/>
                <w:szCs w:val="22"/>
                <w:lang w:val="en-US" w:eastAsia="en-US"/>
              </w:rPr>
              <w:t xml:space="preserve"> from two different</w:t>
            </w:r>
            <w:r w:rsidR="006F2D5A">
              <w:rPr>
                <w:rFonts w:eastAsia="Arial" w:cs="Arial"/>
                <w:bCs/>
                <w:szCs w:val="22"/>
                <w:lang w:val="en-US" w:eastAsia="en-US"/>
              </w:rPr>
              <w:t xml:space="preserve"> participants</w:t>
            </w:r>
            <w:r w:rsidRPr="00F45130">
              <w:rPr>
                <w:rFonts w:eastAsia="Arial" w:cs="Arial"/>
                <w:bCs/>
                <w:szCs w:val="22"/>
                <w:lang w:val="en-US" w:eastAsia="en-US"/>
              </w:rPr>
              <w:t xml:space="preserve"> (A and B) for 200 and 400</w:t>
            </w:r>
            <w:r w:rsidR="006F2D5A" w:rsidRPr="00F45130">
              <w:rPr>
                <w:rFonts w:eastAsia="Arial" w:cs="Arial"/>
                <w:bCs/>
                <w:szCs w:val="22"/>
                <w:lang w:val="en-US" w:eastAsia="en-US"/>
              </w:rPr>
              <w:t xml:space="preserve"> respectively</w:t>
            </w:r>
            <w:r w:rsidR="006F2D5A">
              <w:rPr>
                <w:rFonts w:eastAsia="Arial" w:cs="Arial"/>
                <w:bCs/>
                <w:szCs w:val="22"/>
                <w:lang w:val="en-US" w:eastAsia="en-US"/>
              </w:rPr>
              <w:t>.</w:t>
            </w:r>
          </w:p>
          <w:p w:rsidR="00810A47" w:rsidRPr="00F45130" w:rsidRDefault="00810A47" w:rsidP="003D466C">
            <w:pPr>
              <w:rPr>
                <w:rFonts w:eastAsia="Arial" w:cs="Arial"/>
                <w:bCs/>
                <w:szCs w:val="22"/>
                <w:lang w:val="en-US" w:eastAsia="en-US"/>
              </w:rPr>
            </w:pPr>
          </w:p>
          <w:p w:rsidR="00810A47" w:rsidRPr="00D41ECA" w:rsidRDefault="00810A47" w:rsidP="003D466C">
            <w:pPr>
              <w:rPr>
                <w:rFonts w:eastAsia="Arial" w:cs="Arial"/>
                <w:bCs/>
                <w:szCs w:val="22"/>
                <w:u w:val="single"/>
                <w:lang w:val="en-US" w:eastAsia="en-US"/>
              </w:rPr>
            </w:pPr>
            <w:r w:rsidRPr="00D41ECA">
              <w:rPr>
                <w:rFonts w:eastAsia="Arial" w:cs="Arial"/>
                <w:bCs/>
                <w:szCs w:val="22"/>
                <w:u w:val="single"/>
                <w:lang w:val="en-US" w:eastAsia="en-US"/>
              </w:rPr>
              <w:t>During the day</w:t>
            </w:r>
          </w:p>
          <w:p w:rsidR="00810A47" w:rsidRPr="00F45130" w:rsidRDefault="00810A47" w:rsidP="003D466C">
            <w:pPr>
              <w:rPr>
                <w:rFonts w:eastAsia="Arial" w:cs="Arial"/>
                <w:bCs/>
                <w:szCs w:val="22"/>
                <w:lang w:val="en-US" w:eastAsia="en-US"/>
              </w:rPr>
            </w:pPr>
            <w:r w:rsidRPr="00F45130">
              <w:rPr>
                <w:rFonts w:eastAsia="Arial" w:cs="Arial"/>
                <w:bCs/>
                <w:szCs w:val="22"/>
                <w:lang w:val="en-US" w:eastAsia="en-US"/>
              </w:rPr>
              <w:t>Since B has the 400 shares on its account, the settlement between B and C occurs for the whole quantity on the morning of ISD.</w:t>
            </w:r>
          </w:p>
          <w:p w:rsidR="00810A47" w:rsidRPr="00F45130" w:rsidRDefault="00810A47" w:rsidP="003D466C">
            <w:pPr>
              <w:rPr>
                <w:rFonts w:eastAsia="Arial" w:cs="Arial"/>
                <w:bCs/>
                <w:szCs w:val="22"/>
                <w:lang w:val="en-US" w:eastAsia="en-US"/>
              </w:rPr>
            </w:pPr>
            <w:r w:rsidRPr="00F45130">
              <w:rPr>
                <w:rFonts w:eastAsia="Arial" w:cs="Arial"/>
                <w:bCs/>
                <w:szCs w:val="22"/>
                <w:lang w:val="en-US" w:eastAsia="en-US"/>
              </w:rPr>
              <w:t>A has no stock, the settlement between A and C fails (same at each run of the rec</w:t>
            </w:r>
            <w:r w:rsidRPr="00F45130">
              <w:rPr>
                <w:rFonts w:eastAsia="Arial" w:cs="Arial"/>
                <w:bCs/>
                <w:szCs w:val="22"/>
                <w:lang w:val="en-US" w:eastAsia="en-US"/>
              </w:rPr>
              <w:t>y</w:t>
            </w:r>
            <w:r w:rsidRPr="00F45130">
              <w:rPr>
                <w:rFonts w:eastAsia="Arial" w:cs="Arial"/>
                <w:bCs/>
                <w:szCs w:val="22"/>
                <w:lang w:val="en-US" w:eastAsia="en-US"/>
              </w:rPr>
              <w:t>cling process)</w:t>
            </w:r>
          </w:p>
          <w:p w:rsidR="00810A47" w:rsidRPr="00F45130" w:rsidRDefault="00810A47" w:rsidP="003D466C">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C does not have the 600 shares on its account so the settlement between C and D fails (same at each run of the recycling process)</w:t>
            </w:r>
          </w:p>
          <w:p w:rsidR="00810A47" w:rsidRPr="00F45130" w:rsidRDefault="00810A47" w:rsidP="003D466C">
            <w:pPr>
              <w:widowControl w:val="0"/>
              <w:spacing w:line="277" w:lineRule="auto"/>
              <w:ind w:right="61"/>
              <w:jc w:val="both"/>
              <w:rPr>
                <w:rFonts w:eastAsia="Arial" w:cs="Arial"/>
                <w:bCs/>
                <w:szCs w:val="22"/>
                <w:lang w:val="en-US" w:eastAsia="en-US"/>
              </w:rPr>
            </w:pPr>
          </w:p>
          <w:p w:rsidR="00810A47" w:rsidRPr="00F45130" w:rsidRDefault="006F2D5A" w:rsidP="003D466C">
            <w:pPr>
              <w:rPr>
                <w:rFonts w:eastAsia="Arial" w:cs="Arial"/>
                <w:bCs/>
                <w:szCs w:val="22"/>
                <w:lang w:val="en-US" w:eastAsia="en-US"/>
              </w:rPr>
            </w:pPr>
            <w:r>
              <w:rPr>
                <w:rFonts w:eastAsia="Arial" w:cs="Arial"/>
                <w:bCs/>
                <w:szCs w:val="22"/>
                <w:lang w:val="en-US" w:eastAsia="en-US"/>
              </w:rPr>
              <w:t xml:space="preserve">The partial settlement process has </w:t>
            </w:r>
            <w:r w:rsidR="00810A47" w:rsidRPr="00F45130">
              <w:rPr>
                <w:rFonts w:eastAsia="Arial" w:cs="Arial"/>
                <w:bCs/>
                <w:szCs w:val="22"/>
                <w:lang w:val="en-US" w:eastAsia="en-US"/>
              </w:rPr>
              <w:t>a thresh</w:t>
            </w:r>
            <w:r>
              <w:rPr>
                <w:rFonts w:eastAsia="Arial" w:cs="Arial"/>
                <w:bCs/>
                <w:szCs w:val="22"/>
                <w:lang w:val="en-US" w:eastAsia="en-US"/>
              </w:rPr>
              <w:t>old of 500.</w:t>
            </w:r>
          </w:p>
          <w:p w:rsidR="00810A47" w:rsidRPr="00F45130" w:rsidRDefault="00810A47" w:rsidP="003D466C">
            <w:pPr>
              <w:rPr>
                <w:rFonts w:eastAsia="Arial" w:cs="Arial"/>
                <w:bCs/>
                <w:szCs w:val="22"/>
                <w:lang w:val="en-US" w:eastAsia="en-US"/>
              </w:rPr>
            </w:pPr>
            <w:r w:rsidRPr="00F45130">
              <w:rPr>
                <w:rFonts w:eastAsia="Arial" w:cs="Arial"/>
                <w:bCs/>
                <w:szCs w:val="22"/>
                <w:lang w:val="en-US" w:eastAsia="en-US"/>
              </w:rPr>
              <w:t xml:space="preserve">Although C has available stock on its account (400) since this quantity is under the partial settlement threshold, </w:t>
            </w:r>
            <w:r w:rsidR="006F2D5A">
              <w:rPr>
                <w:rFonts w:eastAsia="Arial" w:cs="Arial"/>
                <w:bCs/>
                <w:szCs w:val="22"/>
                <w:lang w:val="en-US" w:eastAsia="en-US"/>
              </w:rPr>
              <w:t>no settlement will occur</w:t>
            </w:r>
            <w:r w:rsidRPr="00F45130">
              <w:rPr>
                <w:rFonts w:eastAsia="Arial" w:cs="Arial"/>
                <w:bCs/>
                <w:szCs w:val="22"/>
                <w:lang w:val="en-US" w:eastAsia="en-US"/>
              </w:rPr>
              <w:t xml:space="preserve"> between C and D</w:t>
            </w:r>
          </w:p>
          <w:p w:rsidR="00810A47" w:rsidRPr="00F45130" w:rsidRDefault="00810A47" w:rsidP="003D466C">
            <w:pPr>
              <w:rPr>
                <w:rFonts w:eastAsia="Arial" w:cs="Arial"/>
                <w:bCs/>
                <w:szCs w:val="22"/>
                <w:lang w:val="en-US" w:eastAsia="en-US"/>
              </w:rPr>
            </w:pPr>
          </w:p>
          <w:p w:rsidR="00810A47" w:rsidRPr="00D41ECA" w:rsidRDefault="00810A47" w:rsidP="003D466C">
            <w:pPr>
              <w:rPr>
                <w:rFonts w:eastAsia="Arial" w:cs="Arial"/>
                <w:bCs/>
                <w:szCs w:val="22"/>
                <w:u w:val="single"/>
                <w:lang w:val="en-US" w:eastAsia="en-US"/>
              </w:rPr>
            </w:pPr>
            <w:r w:rsidRPr="00D41ECA">
              <w:rPr>
                <w:rFonts w:eastAsia="Arial" w:cs="Arial"/>
                <w:bCs/>
                <w:szCs w:val="22"/>
                <w:u w:val="single"/>
                <w:lang w:val="en-US" w:eastAsia="en-US"/>
              </w:rPr>
              <w:t>After the close of the settlement day</w:t>
            </w:r>
          </w:p>
          <w:p w:rsidR="00810A47" w:rsidRPr="00F45130" w:rsidRDefault="00810A47" w:rsidP="003D466C">
            <w:pPr>
              <w:rPr>
                <w:rFonts w:eastAsia="Arial" w:cs="Arial"/>
                <w:bCs/>
                <w:szCs w:val="22"/>
                <w:lang w:val="en-US" w:eastAsia="en-US"/>
              </w:rPr>
            </w:pPr>
            <w:r w:rsidRPr="00F45130">
              <w:rPr>
                <w:rFonts w:eastAsia="Arial" w:cs="Arial"/>
                <w:bCs/>
                <w:szCs w:val="22"/>
                <w:lang w:val="en-US" w:eastAsia="en-US"/>
              </w:rPr>
              <w:t>A is failing for 200; A will be charged by the CSD for 200</w:t>
            </w:r>
          </w:p>
          <w:p w:rsidR="00810A47" w:rsidRPr="00F45130" w:rsidRDefault="00810A47" w:rsidP="003D466C">
            <w:pPr>
              <w:rPr>
                <w:rFonts w:eastAsia="Arial" w:cs="Arial"/>
                <w:bCs/>
                <w:szCs w:val="22"/>
                <w:lang w:val="en-US" w:eastAsia="en-US"/>
              </w:rPr>
            </w:pPr>
            <w:r w:rsidRPr="00F45130">
              <w:rPr>
                <w:rFonts w:eastAsia="Arial" w:cs="Arial"/>
                <w:bCs/>
                <w:szCs w:val="22"/>
                <w:lang w:val="en-US" w:eastAsia="en-US"/>
              </w:rPr>
              <w:lastRenderedPageBreak/>
              <w:t>C is the settlement counterparty of A so C will receive A’s penalty</w:t>
            </w:r>
          </w:p>
          <w:p w:rsidR="00810A47" w:rsidRPr="00F45130" w:rsidRDefault="00810A47" w:rsidP="003D466C">
            <w:pPr>
              <w:rPr>
                <w:rFonts w:eastAsia="Arial" w:cs="Arial"/>
                <w:bCs/>
                <w:szCs w:val="22"/>
                <w:lang w:val="en-US" w:eastAsia="en-US"/>
              </w:rPr>
            </w:pPr>
            <w:r w:rsidRPr="00F45130">
              <w:rPr>
                <w:rFonts w:eastAsia="Arial" w:cs="Arial"/>
                <w:bCs/>
                <w:szCs w:val="22"/>
                <w:lang w:val="en-US" w:eastAsia="en-US"/>
              </w:rPr>
              <w:t>C is failing for 600; C will be charged by the CSD for 600</w:t>
            </w:r>
          </w:p>
          <w:p w:rsidR="00810A47" w:rsidRPr="00F45130" w:rsidRDefault="00810A47" w:rsidP="003D466C">
            <w:pPr>
              <w:rPr>
                <w:rFonts w:eastAsia="Arial" w:cs="Arial"/>
                <w:bCs/>
                <w:szCs w:val="22"/>
                <w:lang w:val="en-US" w:eastAsia="en-US"/>
              </w:rPr>
            </w:pPr>
            <w:r w:rsidRPr="00F45130">
              <w:rPr>
                <w:rFonts w:eastAsia="Arial" w:cs="Arial"/>
                <w:bCs/>
                <w:szCs w:val="22"/>
                <w:lang w:val="en-US" w:eastAsia="en-US"/>
              </w:rPr>
              <w:t>Net for C = - 600 + 200 = -400 (as C has also paid the 400 shares)</w:t>
            </w:r>
          </w:p>
        </w:tc>
      </w:tr>
    </w:tbl>
    <w:p w:rsidR="00810A47" w:rsidRPr="00F45130" w:rsidRDefault="00810A47" w:rsidP="00810A47">
      <w:pPr>
        <w:rPr>
          <w:rFonts w:cs="Arial"/>
        </w:rPr>
      </w:pPr>
    </w:p>
    <w:p w:rsidR="00810A47"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Therefore AFME would urge ESMA to consider thresholds that CSDs might be using</w:t>
      </w:r>
      <w:r w:rsidR="006F2D5A">
        <w:rPr>
          <w:rFonts w:eastAsia="Arial" w:cs="Arial"/>
          <w:bCs/>
          <w:szCs w:val="22"/>
          <w:lang w:val="en-US" w:eastAsia="en-US"/>
        </w:rPr>
        <w:t xml:space="preserve"> </w:t>
      </w:r>
      <w:r w:rsidR="006F2D5A" w:rsidRPr="00F45130">
        <w:rPr>
          <w:rFonts w:eastAsia="Arial" w:cs="Arial"/>
          <w:bCs/>
          <w:szCs w:val="22"/>
          <w:lang w:val="en-US" w:eastAsia="en-US"/>
        </w:rPr>
        <w:t>currently</w:t>
      </w:r>
      <w:r w:rsidRPr="00F45130">
        <w:rPr>
          <w:rFonts w:eastAsia="Arial" w:cs="Arial"/>
          <w:bCs/>
          <w:szCs w:val="22"/>
          <w:lang w:val="en-US" w:eastAsia="en-US"/>
        </w:rPr>
        <w:t xml:space="preserve"> to partially settle transactions and to clearly specify in the regulation if such thresholds shall apply in the future.</w:t>
      </w:r>
    </w:p>
    <w:p w:rsidR="00D41ECA" w:rsidRPr="00F45130" w:rsidRDefault="00D41ECA" w:rsidP="00810A47">
      <w:pPr>
        <w:widowControl w:val="0"/>
        <w:spacing w:line="277" w:lineRule="auto"/>
        <w:ind w:right="61"/>
        <w:jc w:val="both"/>
        <w:rPr>
          <w:rFonts w:eastAsia="Arial" w:cs="Arial"/>
          <w:bCs/>
          <w:szCs w:val="22"/>
          <w:lang w:val="en-US" w:eastAsia="en-US"/>
        </w:rPr>
      </w:pPr>
    </w:p>
    <w:tbl>
      <w:tblPr>
        <w:tblStyle w:val="TableGrid"/>
        <w:tblW w:w="0" w:type="auto"/>
        <w:tblLook w:val="04A0"/>
      </w:tblPr>
      <w:tblGrid>
        <w:gridCol w:w="8529"/>
      </w:tblGrid>
      <w:tr w:rsidR="00810A47" w:rsidRPr="00F45130" w:rsidTr="003D466C">
        <w:tc>
          <w:tcPr>
            <w:tcW w:w="8529" w:type="dxa"/>
          </w:tcPr>
          <w:p w:rsidR="00810A47" w:rsidRPr="00D41ECA" w:rsidRDefault="00D41ECA" w:rsidP="003D466C">
            <w:pPr>
              <w:widowControl w:val="0"/>
              <w:spacing w:line="277" w:lineRule="auto"/>
              <w:ind w:right="61"/>
              <w:jc w:val="both"/>
              <w:rPr>
                <w:rFonts w:eastAsia="Arial" w:cs="Arial"/>
                <w:bCs/>
                <w:szCs w:val="22"/>
                <w:u w:val="single"/>
                <w:lang w:val="en-US" w:eastAsia="en-US"/>
              </w:rPr>
            </w:pPr>
            <w:r w:rsidRPr="00D41ECA">
              <w:rPr>
                <w:rFonts w:eastAsia="Arial" w:cs="Arial"/>
                <w:bCs/>
                <w:szCs w:val="22"/>
                <w:u w:val="single"/>
                <w:lang w:val="en-US" w:eastAsia="en-US"/>
              </w:rPr>
              <w:t>Proposed re-</w:t>
            </w:r>
            <w:r w:rsidR="00810A47" w:rsidRPr="00D41ECA">
              <w:rPr>
                <w:rFonts w:eastAsia="Arial" w:cs="Arial"/>
                <w:bCs/>
                <w:szCs w:val="22"/>
                <w:u w:val="single"/>
                <w:lang w:val="en-US" w:eastAsia="en-US"/>
              </w:rPr>
              <w:t>drafting Arti</w:t>
            </w:r>
            <w:r w:rsidRPr="00D41ECA">
              <w:rPr>
                <w:rFonts w:eastAsia="Arial" w:cs="Arial"/>
                <w:bCs/>
                <w:szCs w:val="22"/>
                <w:u w:val="single"/>
                <w:lang w:val="en-US" w:eastAsia="en-US"/>
              </w:rPr>
              <w:t>cle 3 (7)</w:t>
            </w:r>
          </w:p>
          <w:p w:rsidR="00810A47" w:rsidRPr="00F45130" w:rsidRDefault="00810A47" w:rsidP="003D466C">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 xml:space="preserve">A CSD shall offer its participants the possibility to partially settle their settlement instructions, </w:t>
            </w:r>
            <w:r w:rsidRPr="00F45130">
              <w:rPr>
                <w:rFonts w:eastAsia="Arial" w:cs="Arial"/>
                <w:b/>
                <w:bCs/>
                <w:szCs w:val="22"/>
                <w:lang w:val="en-US" w:eastAsia="en-US"/>
              </w:rPr>
              <w:t>without any threshold being applied on securities positions</w:t>
            </w:r>
            <w:r w:rsidRPr="00F45130">
              <w:rPr>
                <w:rFonts w:eastAsia="Arial" w:cs="Arial"/>
                <w:bCs/>
                <w:szCs w:val="22"/>
                <w:lang w:val="en-US" w:eastAsia="en-US"/>
              </w:rPr>
              <w:t>, as well the possibility to opt-out from partial settlement.</w:t>
            </w:r>
          </w:p>
        </w:tc>
      </w:tr>
    </w:tbl>
    <w:p w:rsidR="00810A47" w:rsidRPr="00F45130" w:rsidRDefault="00810A47" w:rsidP="00810A47">
      <w:pPr>
        <w:widowControl w:val="0"/>
        <w:spacing w:line="277" w:lineRule="auto"/>
        <w:ind w:right="61"/>
        <w:jc w:val="both"/>
        <w:rPr>
          <w:rFonts w:eastAsia="Arial" w:cs="Arial"/>
          <w:bCs/>
          <w:szCs w:val="22"/>
          <w:lang w:val="en-US" w:eastAsia="en-US"/>
        </w:rPr>
      </w:pPr>
    </w:p>
    <w:p w:rsidR="00810A47" w:rsidRPr="00F45130" w:rsidRDefault="00810A47" w:rsidP="00810A47">
      <w:pPr>
        <w:widowControl w:val="0"/>
        <w:spacing w:line="277" w:lineRule="auto"/>
        <w:ind w:right="61"/>
        <w:jc w:val="both"/>
        <w:rPr>
          <w:rFonts w:eastAsia="Arial" w:cs="Arial"/>
          <w:bCs/>
          <w:szCs w:val="22"/>
          <w:lang w:val="en-US" w:eastAsia="en-US"/>
        </w:rPr>
      </w:pPr>
      <w:r w:rsidRPr="00F45130">
        <w:rPr>
          <w:rFonts w:eastAsia="Arial" w:cs="Arial"/>
          <w:bCs/>
          <w:szCs w:val="22"/>
          <w:lang w:val="en-US" w:eastAsia="en-US"/>
        </w:rPr>
        <w:t xml:space="preserve">With regards to Article 7(4) AFME members would prefer to receive a daily report outlining the settlement penalties incurred and “compensations” received. We note that CSDs are required to produce these reports already under Article 4. This information could either be produced in a separate report or included in a statement of pending instructions. </w:t>
      </w:r>
    </w:p>
    <w:p w:rsidR="00810A47" w:rsidRPr="00F45130" w:rsidRDefault="00810A47" w:rsidP="00810A47">
      <w:pPr>
        <w:widowControl w:val="0"/>
        <w:spacing w:line="277" w:lineRule="auto"/>
        <w:ind w:right="61"/>
        <w:jc w:val="both"/>
        <w:rPr>
          <w:rFonts w:eastAsia="Arial" w:cs="Arial"/>
          <w:bCs/>
          <w:szCs w:val="22"/>
          <w:lang w:val="en-US" w:eastAsia="en-US"/>
        </w:rPr>
      </w:pPr>
    </w:p>
    <w:tbl>
      <w:tblPr>
        <w:tblStyle w:val="TableGrid"/>
        <w:tblW w:w="0" w:type="auto"/>
        <w:tblLook w:val="04A0"/>
      </w:tblPr>
      <w:tblGrid>
        <w:gridCol w:w="8529"/>
      </w:tblGrid>
      <w:tr w:rsidR="00810A47" w:rsidRPr="00D41ECA" w:rsidTr="003D466C">
        <w:tc>
          <w:tcPr>
            <w:tcW w:w="8529" w:type="dxa"/>
          </w:tcPr>
          <w:p w:rsidR="00810A47" w:rsidRPr="00D41ECA" w:rsidRDefault="00D41ECA" w:rsidP="003D466C">
            <w:pPr>
              <w:pStyle w:val="Default"/>
              <w:rPr>
                <w:rFonts w:ascii="Arial" w:eastAsiaTheme="minorHAnsi" w:hAnsi="Arial" w:cs="Arial"/>
                <w:color w:val="auto"/>
                <w:sz w:val="22"/>
                <w:szCs w:val="22"/>
                <w:u w:val="single"/>
                <w:lang w:val="en-US" w:eastAsia="en-US"/>
              </w:rPr>
            </w:pPr>
            <w:r w:rsidRPr="00D41ECA">
              <w:rPr>
                <w:rFonts w:ascii="Arial" w:eastAsiaTheme="minorHAnsi" w:hAnsi="Arial" w:cs="Arial"/>
                <w:color w:val="auto"/>
                <w:sz w:val="22"/>
                <w:szCs w:val="22"/>
                <w:u w:val="single"/>
                <w:lang w:val="en-US" w:eastAsia="en-US"/>
              </w:rPr>
              <w:t>Proposed re-drafting Arti</w:t>
            </w:r>
            <w:r>
              <w:rPr>
                <w:rFonts w:ascii="Arial" w:eastAsiaTheme="minorHAnsi" w:hAnsi="Arial" w:cs="Arial"/>
                <w:color w:val="auto"/>
                <w:sz w:val="22"/>
                <w:szCs w:val="22"/>
                <w:u w:val="single"/>
                <w:lang w:val="en-US" w:eastAsia="en-US"/>
              </w:rPr>
              <w:t>cle 7</w:t>
            </w:r>
            <w:r w:rsidRPr="00D41ECA">
              <w:rPr>
                <w:rFonts w:ascii="Arial" w:eastAsiaTheme="minorHAnsi" w:hAnsi="Arial" w:cs="Arial"/>
                <w:color w:val="auto"/>
                <w:sz w:val="22"/>
                <w:szCs w:val="22"/>
                <w:u w:val="single"/>
                <w:lang w:val="en-US" w:eastAsia="en-US"/>
              </w:rPr>
              <w:t xml:space="preserve"> (</w:t>
            </w:r>
            <w:r>
              <w:rPr>
                <w:rFonts w:ascii="Arial" w:eastAsiaTheme="minorHAnsi" w:hAnsi="Arial" w:cs="Arial"/>
                <w:color w:val="auto"/>
                <w:sz w:val="22"/>
                <w:szCs w:val="22"/>
                <w:u w:val="single"/>
                <w:lang w:val="en-US" w:eastAsia="en-US"/>
              </w:rPr>
              <w:t>4</w:t>
            </w:r>
            <w:r w:rsidRPr="00D41ECA">
              <w:rPr>
                <w:rFonts w:ascii="Arial" w:eastAsiaTheme="minorHAnsi" w:hAnsi="Arial" w:cs="Arial"/>
                <w:color w:val="auto"/>
                <w:sz w:val="22"/>
                <w:szCs w:val="22"/>
                <w:u w:val="single"/>
                <w:lang w:val="en-US" w:eastAsia="en-US"/>
              </w:rPr>
              <w:t>)</w:t>
            </w:r>
            <w:r w:rsidR="00810A47" w:rsidRPr="00D41ECA">
              <w:rPr>
                <w:rFonts w:ascii="Arial" w:eastAsiaTheme="minorHAnsi" w:hAnsi="Arial" w:cs="Arial"/>
                <w:color w:val="auto"/>
                <w:sz w:val="22"/>
                <w:szCs w:val="22"/>
                <w:u w:val="single"/>
                <w:lang w:val="en-US" w:eastAsia="en-US"/>
              </w:rPr>
              <w:t xml:space="preserve"> </w:t>
            </w:r>
          </w:p>
          <w:p w:rsidR="00810A47" w:rsidRPr="00D41ECA" w:rsidRDefault="00810A47" w:rsidP="003D466C">
            <w:pPr>
              <w:pStyle w:val="Default"/>
              <w:rPr>
                <w:rFonts w:ascii="Arial" w:eastAsiaTheme="minorHAnsi" w:hAnsi="Arial" w:cs="Arial"/>
                <w:color w:val="auto"/>
                <w:sz w:val="22"/>
                <w:szCs w:val="22"/>
                <w:lang w:val="en-US" w:eastAsia="en-US"/>
              </w:rPr>
            </w:pPr>
            <w:r w:rsidRPr="00D41ECA">
              <w:rPr>
                <w:rFonts w:ascii="Arial" w:eastAsiaTheme="minorHAnsi" w:hAnsi="Arial" w:cs="Arial"/>
                <w:color w:val="auto"/>
                <w:sz w:val="22"/>
                <w:szCs w:val="22"/>
                <w:lang w:val="en-US" w:eastAsia="en-US"/>
              </w:rPr>
              <w:t>The CSD shall charge and collect the net amount to be paid by each failing partic</w:t>
            </w:r>
            <w:r w:rsidRPr="00D41ECA">
              <w:rPr>
                <w:rFonts w:ascii="Arial" w:eastAsiaTheme="minorHAnsi" w:hAnsi="Arial" w:cs="Arial"/>
                <w:color w:val="auto"/>
                <w:sz w:val="22"/>
                <w:szCs w:val="22"/>
                <w:lang w:val="en-US" w:eastAsia="en-US"/>
              </w:rPr>
              <w:t>i</w:t>
            </w:r>
            <w:r w:rsidRPr="00D41ECA">
              <w:rPr>
                <w:rFonts w:ascii="Arial" w:eastAsiaTheme="minorHAnsi" w:hAnsi="Arial" w:cs="Arial"/>
                <w:color w:val="auto"/>
                <w:sz w:val="22"/>
                <w:szCs w:val="22"/>
                <w:lang w:val="en-US" w:eastAsia="en-US"/>
              </w:rPr>
              <w:t xml:space="preserve">pant at least on a monthly basis. It shall provide, </w:t>
            </w:r>
            <w:r w:rsidRPr="00D41ECA">
              <w:rPr>
                <w:rFonts w:ascii="Arial" w:eastAsiaTheme="minorHAnsi" w:hAnsi="Arial" w:cs="Arial"/>
                <w:strike/>
                <w:color w:val="auto"/>
                <w:sz w:val="22"/>
                <w:szCs w:val="22"/>
                <w:lang w:val="en-US" w:eastAsia="en-US"/>
              </w:rPr>
              <w:t>at that time</w:t>
            </w:r>
            <w:r w:rsidRPr="00D41ECA">
              <w:rPr>
                <w:rFonts w:ascii="Arial" w:eastAsiaTheme="minorHAnsi" w:hAnsi="Arial" w:cs="Arial"/>
                <w:color w:val="auto"/>
                <w:sz w:val="22"/>
                <w:szCs w:val="22"/>
                <w:lang w:val="en-US" w:eastAsia="en-US"/>
              </w:rPr>
              <w:t xml:space="preserve"> </w:t>
            </w:r>
            <w:r w:rsidRPr="00D41ECA">
              <w:rPr>
                <w:rFonts w:ascii="Arial" w:eastAsiaTheme="minorHAnsi" w:hAnsi="Arial" w:cs="Arial"/>
                <w:b/>
                <w:color w:val="auto"/>
                <w:sz w:val="22"/>
                <w:szCs w:val="22"/>
                <w:lang w:val="en-US" w:eastAsia="en-US"/>
              </w:rPr>
              <w:t>on a daily basis</w:t>
            </w:r>
            <w:r w:rsidRPr="00D41ECA">
              <w:rPr>
                <w:rFonts w:ascii="Arial" w:eastAsiaTheme="minorHAnsi" w:hAnsi="Arial" w:cs="Arial"/>
                <w:color w:val="auto"/>
                <w:sz w:val="22"/>
                <w:szCs w:val="22"/>
                <w:lang w:val="en-US" w:eastAsia="en-US"/>
              </w:rPr>
              <w:t xml:space="preserve">, the details of the calculation of the penalties per account and for each failed settlement instruction. </w:t>
            </w:r>
          </w:p>
          <w:p w:rsidR="00810A47" w:rsidRPr="00D41ECA" w:rsidRDefault="00810A47" w:rsidP="003D466C">
            <w:pPr>
              <w:widowControl w:val="0"/>
              <w:spacing w:line="277" w:lineRule="auto"/>
              <w:ind w:right="61"/>
              <w:jc w:val="both"/>
              <w:rPr>
                <w:rFonts w:eastAsia="Arial" w:cs="Arial"/>
                <w:bCs/>
                <w:szCs w:val="22"/>
                <w:lang w:val="en-US" w:eastAsia="en-US"/>
              </w:rPr>
            </w:pPr>
          </w:p>
        </w:tc>
      </w:tr>
    </w:tbl>
    <w:p w:rsidR="00810A47" w:rsidRPr="00F45130" w:rsidRDefault="00810A47" w:rsidP="00810A47">
      <w:pPr>
        <w:widowControl w:val="0"/>
        <w:spacing w:line="277" w:lineRule="auto"/>
        <w:ind w:right="61"/>
        <w:jc w:val="both"/>
        <w:rPr>
          <w:rFonts w:eastAsia="Calibri" w:cs="Arial"/>
          <w:szCs w:val="22"/>
          <w:u w:val="single"/>
          <w:lang w:val="en-US" w:eastAsia="en-US"/>
        </w:rPr>
      </w:pPr>
    </w:p>
    <w:p w:rsidR="00810A47" w:rsidRPr="00F45130" w:rsidRDefault="00810A47" w:rsidP="00810A47">
      <w:pPr>
        <w:widowControl w:val="0"/>
        <w:spacing w:before="11" w:line="280" w:lineRule="exact"/>
        <w:rPr>
          <w:rFonts w:eastAsia="Calibri" w:cs="Arial"/>
          <w:szCs w:val="22"/>
          <w:lang w:val="en-US" w:eastAsia="en-US"/>
        </w:rPr>
      </w:pPr>
      <w:r w:rsidRPr="00F45130">
        <w:rPr>
          <w:rFonts w:eastAsia="Calibri" w:cs="Arial"/>
          <w:szCs w:val="22"/>
          <w:lang w:val="en-US" w:eastAsia="en-US"/>
        </w:rPr>
        <w:t>AFME is fully supportive of a settlement penalty mechanism being jointly managed. In particular AFME believes that T2S would be ideally placed to work with CSDs to provide a single, harm</w:t>
      </w:r>
      <w:r w:rsidRPr="00F45130">
        <w:rPr>
          <w:rFonts w:eastAsia="Calibri" w:cs="Arial"/>
          <w:szCs w:val="22"/>
          <w:lang w:val="en-US" w:eastAsia="en-US"/>
        </w:rPr>
        <w:t>o</w:t>
      </w:r>
      <w:r w:rsidRPr="00F45130">
        <w:rPr>
          <w:rFonts w:eastAsia="Calibri" w:cs="Arial"/>
          <w:szCs w:val="22"/>
          <w:lang w:val="en-US" w:eastAsia="en-US"/>
        </w:rPr>
        <w:t>nized penalty mechanism that could provide the penalty information to the CSDs for the respe</w:t>
      </w:r>
      <w:r w:rsidRPr="00F45130">
        <w:rPr>
          <w:rFonts w:eastAsia="Calibri" w:cs="Arial"/>
          <w:szCs w:val="22"/>
          <w:lang w:val="en-US" w:eastAsia="en-US"/>
        </w:rPr>
        <w:t>c</w:t>
      </w:r>
      <w:r w:rsidRPr="00F45130">
        <w:rPr>
          <w:rFonts w:eastAsia="Calibri" w:cs="Arial"/>
          <w:szCs w:val="22"/>
          <w:lang w:val="en-US" w:eastAsia="en-US"/>
        </w:rPr>
        <w:t xml:space="preserve">tive collection and distribution. Non T2S markets should </w:t>
      </w:r>
      <w:r w:rsidR="00D41ECA">
        <w:rPr>
          <w:rFonts w:eastAsia="Calibri" w:cs="Arial"/>
          <w:szCs w:val="22"/>
          <w:lang w:val="en-US" w:eastAsia="en-US"/>
        </w:rPr>
        <w:t xml:space="preserve">ideally function in the same manner </w:t>
      </w:r>
      <w:r w:rsidR="006F2D5A">
        <w:rPr>
          <w:rFonts w:eastAsia="Calibri" w:cs="Arial"/>
          <w:szCs w:val="22"/>
          <w:lang w:val="en-US" w:eastAsia="en-US"/>
        </w:rPr>
        <w:t>as</w:t>
      </w:r>
      <w:r w:rsidR="00D41ECA">
        <w:rPr>
          <w:rFonts w:eastAsia="Calibri" w:cs="Arial"/>
          <w:szCs w:val="22"/>
          <w:lang w:val="en-US" w:eastAsia="en-US"/>
        </w:rPr>
        <w:t xml:space="preserve"> T2S markets to support the penalty mechanism on a jointly managed platform</w:t>
      </w:r>
      <w:r w:rsidRPr="00F45130">
        <w:rPr>
          <w:rFonts w:eastAsia="Calibri" w:cs="Arial"/>
          <w:szCs w:val="22"/>
          <w:lang w:val="en-US" w:eastAsia="en-US"/>
        </w:rPr>
        <w:t xml:space="preserve">.  ESMA suggests that a shared platform is to arrange for the collection and distribution of fines. From AFME’s point of view a common platform like T2S should rather concentrate on the following services: </w:t>
      </w:r>
    </w:p>
    <w:p w:rsidR="00810A47" w:rsidRPr="00F45130" w:rsidRDefault="00810A47" w:rsidP="00810A47">
      <w:pPr>
        <w:pStyle w:val="ListParagraph"/>
        <w:widowControl w:val="0"/>
        <w:numPr>
          <w:ilvl w:val="0"/>
          <w:numId w:val="46"/>
        </w:numPr>
        <w:spacing w:before="11" w:line="280" w:lineRule="exact"/>
        <w:rPr>
          <w:rFonts w:eastAsia="Calibri" w:cs="Arial"/>
          <w:szCs w:val="22"/>
          <w:lang w:val="en-US" w:eastAsia="en-US"/>
        </w:rPr>
      </w:pPr>
      <w:r w:rsidRPr="00F45130">
        <w:rPr>
          <w:rFonts w:eastAsia="Calibri" w:cs="Arial"/>
          <w:szCs w:val="22"/>
          <w:lang w:val="en-US" w:eastAsia="en-US"/>
        </w:rPr>
        <w:t>Collect / report information on the failed transactions per CSD</w:t>
      </w:r>
    </w:p>
    <w:p w:rsidR="00810A47" w:rsidRPr="00F45130" w:rsidRDefault="00810A47" w:rsidP="00810A47">
      <w:pPr>
        <w:pStyle w:val="ListParagraph"/>
        <w:widowControl w:val="0"/>
        <w:numPr>
          <w:ilvl w:val="0"/>
          <w:numId w:val="46"/>
        </w:numPr>
        <w:spacing w:before="11" w:line="280" w:lineRule="exact"/>
        <w:rPr>
          <w:rFonts w:eastAsia="Calibri" w:cs="Arial"/>
          <w:szCs w:val="22"/>
          <w:lang w:val="en-US" w:eastAsia="en-US"/>
        </w:rPr>
      </w:pPr>
      <w:r w:rsidRPr="00F45130">
        <w:rPr>
          <w:rFonts w:eastAsia="Calibri" w:cs="Arial"/>
          <w:szCs w:val="22"/>
          <w:lang w:val="en-US" w:eastAsia="en-US"/>
        </w:rPr>
        <w:t>Calculate the penalties as per the RTS requirements</w:t>
      </w:r>
    </w:p>
    <w:p w:rsidR="00810A47" w:rsidRPr="00F45130" w:rsidRDefault="00810A47" w:rsidP="00810A47">
      <w:pPr>
        <w:pStyle w:val="ListParagraph"/>
        <w:widowControl w:val="0"/>
        <w:numPr>
          <w:ilvl w:val="0"/>
          <w:numId w:val="46"/>
        </w:numPr>
        <w:spacing w:before="11" w:line="280" w:lineRule="exact"/>
        <w:rPr>
          <w:rFonts w:eastAsia="Calibri" w:cs="Arial"/>
          <w:szCs w:val="22"/>
          <w:lang w:val="en-US" w:eastAsia="en-US"/>
        </w:rPr>
      </w:pPr>
      <w:r w:rsidRPr="00F45130">
        <w:rPr>
          <w:rFonts w:eastAsia="Calibri" w:cs="Arial"/>
          <w:szCs w:val="22"/>
          <w:lang w:val="en-US" w:eastAsia="en-US"/>
        </w:rPr>
        <w:t>Report the results to the respective CSDs for their own participants</w:t>
      </w:r>
    </w:p>
    <w:p w:rsidR="00810A47" w:rsidRDefault="00810A47" w:rsidP="00810A47">
      <w:pPr>
        <w:pStyle w:val="ListParagraph"/>
        <w:widowControl w:val="0"/>
        <w:numPr>
          <w:ilvl w:val="0"/>
          <w:numId w:val="46"/>
        </w:numPr>
        <w:spacing w:before="11" w:line="280" w:lineRule="exact"/>
        <w:rPr>
          <w:rFonts w:eastAsia="Calibri" w:cs="Arial"/>
          <w:szCs w:val="22"/>
          <w:lang w:val="en-US" w:eastAsia="en-US"/>
        </w:rPr>
      </w:pPr>
      <w:r w:rsidRPr="00F45130">
        <w:rPr>
          <w:rFonts w:eastAsia="Calibri" w:cs="Arial"/>
          <w:szCs w:val="22"/>
          <w:lang w:val="en-US" w:eastAsia="en-US"/>
        </w:rPr>
        <w:t>Issue the respective bills to the CSDs</w:t>
      </w:r>
    </w:p>
    <w:p w:rsidR="00D41ECA" w:rsidRPr="00F45130" w:rsidRDefault="00D41ECA" w:rsidP="00D41ECA">
      <w:pPr>
        <w:pStyle w:val="ListParagraph"/>
        <w:widowControl w:val="0"/>
        <w:spacing w:before="11" w:line="280" w:lineRule="exact"/>
        <w:rPr>
          <w:rFonts w:eastAsia="Calibri" w:cs="Arial"/>
          <w:szCs w:val="22"/>
          <w:lang w:val="en-US" w:eastAsia="en-US"/>
        </w:rPr>
      </w:pPr>
    </w:p>
    <w:p w:rsidR="00810A47" w:rsidRPr="00F45130" w:rsidRDefault="00810A47" w:rsidP="00810A47">
      <w:pPr>
        <w:widowControl w:val="0"/>
        <w:spacing w:before="11" w:line="280" w:lineRule="exact"/>
        <w:rPr>
          <w:rFonts w:eastAsia="Calibri" w:cs="Arial"/>
          <w:szCs w:val="22"/>
          <w:lang w:val="en-US" w:eastAsia="en-US"/>
        </w:rPr>
      </w:pPr>
      <w:r w:rsidRPr="00F45130">
        <w:rPr>
          <w:rFonts w:eastAsia="Calibri" w:cs="Arial"/>
          <w:szCs w:val="22"/>
          <w:lang w:val="en-US" w:eastAsia="en-US"/>
        </w:rPr>
        <w:t xml:space="preserve">The debiting and crediting of the amounts </w:t>
      </w:r>
      <w:r w:rsidR="006F2D5A">
        <w:rPr>
          <w:rFonts w:eastAsia="Calibri" w:cs="Arial"/>
          <w:szCs w:val="22"/>
          <w:lang w:val="en-US" w:eastAsia="en-US"/>
        </w:rPr>
        <w:t>could be performed by the CSDs</w:t>
      </w:r>
      <w:r w:rsidRPr="00F45130">
        <w:rPr>
          <w:rFonts w:eastAsia="Calibri" w:cs="Arial"/>
          <w:szCs w:val="22"/>
          <w:lang w:val="en-US" w:eastAsia="en-US"/>
        </w:rPr>
        <w:t xml:space="preserve"> themselves as part of their billing process. Here it should be noted that CSD participants do not have a contractual relationship with T2S but only with their respective CSD.</w:t>
      </w:r>
    </w:p>
    <w:p w:rsidR="00810A47" w:rsidRPr="00F45130" w:rsidRDefault="00810A47" w:rsidP="00810A47">
      <w:pPr>
        <w:widowControl w:val="0"/>
        <w:spacing w:before="11" w:line="280" w:lineRule="exact"/>
        <w:rPr>
          <w:rFonts w:eastAsia="Calibri" w:cs="Arial"/>
          <w:szCs w:val="22"/>
          <w:lang w:val="en-US" w:eastAsia="en-US"/>
        </w:rPr>
      </w:pPr>
    </w:p>
    <w:p w:rsidR="00810A47" w:rsidRPr="00F45130" w:rsidRDefault="00810A47" w:rsidP="00810A47">
      <w:pPr>
        <w:widowControl w:val="0"/>
        <w:spacing w:before="11" w:line="280" w:lineRule="exact"/>
        <w:rPr>
          <w:rFonts w:eastAsia="Calibri" w:cs="Arial"/>
          <w:szCs w:val="22"/>
          <w:lang w:val="en-US" w:eastAsia="en-US"/>
        </w:rPr>
      </w:pPr>
      <w:r w:rsidRPr="00F45130">
        <w:rPr>
          <w:rFonts w:eastAsia="Calibri" w:cs="Arial"/>
          <w:szCs w:val="22"/>
          <w:lang w:val="en-US" w:eastAsia="en-US"/>
        </w:rPr>
        <w:t>AFME also recognizes that a similar set up would be envisaged for interoperable CSDs; howe</w:t>
      </w:r>
      <w:r w:rsidRPr="00F45130">
        <w:rPr>
          <w:rFonts w:eastAsia="Calibri" w:cs="Arial"/>
          <w:szCs w:val="22"/>
          <w:lang w:val="en-US" w:eastAsia="en-US"/>
        </w:rPr>
        <w:t>v</w:t>
      </w:r>
      <w:r w:rsidRPr="00F45130">
        <w:rPr>
          <w:rFonts w:eastAsia="Calibri" w:cs="Arial"/>
          <w:szCs w:val="22"/>
          <w:lang w:val="en-US" w:eastAsia="en-US"/>
        </w:rPr>
        <w:t>er this seems to misconstrue the functionality of an “interoperable” link. In the T2S scenario CSDs clearly share a processing platform and it would be sensible to use this platform for the settlement discipline regime accordingly. In an “interoperable” link, however CSDs only have detailed agreements</w:t>
      </w:r>
      <w:r w:rsidR="006F2D5A">
        <w:rPr>
          <w:rFonts w:eastAsia="Calibri" w:cs="Arial"/>
          <w:szCs w:val="22"/>
          <w:lang w:val="en-US" w:eastAsia="en-US"/>
        </w:rPr>
        <w:t xml:space="preserve"> on</w:t>
      </w:r>
      <w:r w:rsidRPr="00F45130">
        <w:rPr>
          <w:rFonts w:eastAsia="Calibri" w:cs="Arial"/>
          <w:szCs w:val="22"/>
          <w:lang w:val="en-US" w:eastAsia="en-US"/>
        </w:rPr>
        <w:t xml:space="preserve"> how to cooperate technically whereby keeping a separate settlement </w:t>
      </w:r>
      <w:r w:rsidRPr="00F45130">
        <w:rPr>
          <w:rFonts w:eastAsia="Calibri" w:cs="Arial"/>
          <w:szCs w:val="22"/>
          <w:lang w:val="en-US" w:eastAsia="en-US"/>
        </w:rPr>
        <w:lastRenderedPageBreak/>
        <w:t xml:space="preserve">platform. </w:t>
      </w:r>
    </w:p>
    <w:p w:rsidR="00810A47" w:rsidRPr="00F45130" w:rsidRDefault="00810A47" w:rsidP="00810A47">
      <w:pPr>
        <w:widowControl w:val="0"/>
        <w:spacing w:before="11" w:line="280" w:lineRule="exact"/>
        <w:rPr>
          <w:rFonts w:eastAsia="Calibri" w:cs="Arial"/>
          <w:szCs w:val="22"/>
          <w:lang w:val="en-US" w:eastAsia="en-US"/>
        </w:rPr>
      </w:pPr>
    </w:p>
    <w:p w:rsidR="00810A47" w:rsidRPr="00F45130" w:rsidRDefault="006F2D5A" w:rsidP="00810A47">
      <w:pPr>
        <w:widowControl w:val="0"/>
        <w:spacing w:before="11" w:line="280" w:lineRule="exact"/>
        <w:rPr>
          <w:rFonts w:eastAsia="Calibri" w:cs="Arial"/>
          <w:szCs w:val="22"/>
          <w:lang w:val="en-US" w:eastAsia="en-US"/>
        </w:rPr>
      </w:pPr>
      <w:r>
        <w:rPr>
          <w:rFonts w:eastAsia="Calibri" w:cs="Arial"/>
          <w:szCs w:val="22"/>
          <w:lang w:val="en-US" w:eastAsia="en-US"/>
        </w:rPr>
        <w:t xml:space="preserve">Therefore, </w:t>
      </w:r>
      <w:r w:rsidR="00810A47" w:rsidRPr="00F45130">
        <w:rPr>
          <w:rFonts w:eastAsia="Calibri" w:cs="Arial"/>
          <w:szCs w:val="22"/>
          <w:lang w:val="en-US" w:eastAsia="en-US"/>
        </w:rPr>
        <w:t>AFME would suggest deleting the reference to interoperable CSDs in the technical standard.</w:t>
      </w:r>
    </w:p>
    <w:p w:rsidR="00810A47" w:rsidRPr="00F45130" w:rsidRDefault="00810A47" w:rsidP="00810A47">
      <w:pPr>
        <w:widowControl w:val="0"/>
        <w:spacing w:before="11" w:line="280" w:lineRule="exact"/>
        <w:rPr>
          <w:rFonts w:eastAsia="Calibri" w:cs="Arial"/>
          <w:szCs w:val="22"/>
          <w:lang w:val="en-US" w:eastAsia="en-US"/>
        </w:rPr>
      </w:pPr>
    </w:p>
    <w:p w:rsidR="00810A47" w:rsidRPr="00F45130" w:rsidRDefault="00810A47" w:rsidP="00810A47">
      <w:pPr>
        <w:widowControl w:val="0"/>
        <w:spacing w:before="11" w:line="280" w:lineRule="exact"/>
        <w:rPr>
          <w:rFonts w:eastAsia="Calibri" w:cs="Arial"/>
          <w:szCs w:val="22"/>
          <w:lang w:val="en-US" w:eastAsia="en-US"/>
        </w:rPr>
      </w:pPr>
      <w:r w:rsidRPr="00F45130">
        <w:rPr>
          <w:rFonts w:eastAsia="Calibri" w:cs="Arial"/>
          <w:szCs w:val="22"/>
          <w:lang w:val="en-US" w:eastAsia="en-US"/>
        </w:rPr>
        <w:t xml:space="preserve">List of open questions that </w:t>
      </w:r>
      <w:r w:rsidR="006F2D5A">
        <w:rPr>
          <w:rFonts w:eastAsia="Calibri" w:cs="Arial"/>
          <w:szCs w:val="22"/>
          <w:lang w:val="en-US" w:eastAsia="en-US"/>
        </w:rPr>
        <w:t>require</w:t>
      </w:r>
      <w:r w:rsidRPr="00F45130">
        <w:rPr>
          <w:rFonts w:eastAsia="Calibri" w:cs="Arial"/>
          <w:szCs w:val="22"/>
          <w:lang w:val="en-US" w:eastAsia="en-US"/>
        </w:rPr>
        <w:t xml:space="preserve"> clarification by ESMA </w:t>
      </w:r>
    </w:p>
    <w:p w:rsidR="00810A47" w:rsidRPr="006F2D5A" w:rsidRDefault="00810A47" w:rsidP="006F2D5A">
      <w:pPr>
        <w:pStyle w:val="ListParagraph"/>
        <w:widowControl w:val="0"/>
        <w:numPr>
          <w:ilvl w:val="0"/>
          <w:numId w:val="89"/>
        </w:numPr>
        <w:spacing w:before="11" w:line="280" w:lineRule="exact"/>
        <w:rPr>
          <w:rFonts w:eastAsia="Calibri" w:cs="Arial"/>
          <w:szCs w:val="22"/>
          <w:lang w:eastAsia="en-US"/>
        </w:rPr>
      </w:pPr>
      <w:r w:rsidRPr="006F2D5A">
        <w:rPr>
          <w:rFonts w:eastAsia="Calibri" w:cs="Arial"/>
          <w:szCs w:val="22"/>
          <w:lang w:eastAsia="en-US"/>
        </w:rPr>
        <w:t>Clarification on list of financial instruments in scope of</w:t>
      </w:r>
      <w:r w:rsidR="006F2D5A" w:rsidRPr="006F2D5A">
        <w:rPr>
          <w:rFonts w:eastAsia="Calibri" w:cs="Arial"/>
          <w:szCs w:val="22"/>
          <w:lang w:eastAsia="en-US"/>
        </w:rPr>
        <w:t xml:space="preserve"> the</w:t>
      </w:r>
      <w:r w:rsidRPr="006F2D5A">
        <w:rPr>
          <w:rFonts w:eastAsia="Calibri" w:cs="Arial"/>
          <w:szCs w:val="22"/>
          <w:lang w:eastAsia="en-US"/>
        </w:rPr>
        <w:t xml:space="preserve"> penalt</w:t>
      </w:r>
      <w:r w:rsidR="006F2D5A" w:rsidRPr="006F2D5A">
        <w:rPr>
          <w:rFonts w:eastAsia="Calibri" w:cs="Arial"/>
          <w:szCs w:val="22"/>
          <w:lang w:eastAsia="en-US"/>
        </w:rPr>
        <w:t>y regime.</w:t>
      </w:r>
      <w:r w:rsidRPr="006F2D5A">
        <w:rPr>
          <w:rFonts w:eastAsia="Calibri" w:cs="Arial"/>
          <w:szCs w:val="22"/>
          <w:lang w:eastAsia="en-US"/>
        </w:rPr>
        <w:t xml:space="preserve"> </w:t>
      </w:r>
      <w:r w:rsidR="006F2D5A" w:rsidRPr="006F2D5A">
        <w:rPr>
          <w:rFonts w:eastAsia="Calibri" w:cs="Arial"/>
          <w:szCs w:val="22"/>
          <w:lang w:eastAsia="en-US"/>
        </w:rPr>
        <w:t>I</w:t>
      </w:r>
      <w:r w:rsidRPr="006F2D5A">
        <w:rPr>
          <w:rFonts w:cs="Arial"/>
          <w:szCs w:val="22"/>
        </w:rPr>
        <w:t>deally</w:t>
      </w:r>
      <w:r w:rsidR="006F2D5A" w:rsidRPr="006F2D5A">
        <w:rPr>
          <w:rFonts w:cs="Arial"/>
          <w:szCs w:val="22"/>
        </w:rPr>
        <w:t>,</w:t>
      </w:r>
      <w:r w:rsidRPr="006F2D5A">
        <w:rPr>
          <w:rFonts w:cs="Arial"/>
          <w:szCs w:val="22"/>
        </w:rPr>
        <w:t xml:space="preserve"> ESMA to publish these regularly on its website, similar to those equities with the primary exchange b</w:t>
      </w:r>
      <w:r w:rsidRPr="006F2D5A">
        <w:rPr>
          <w:rFonts w:cs="Arial"/>
          <w:szCs w:val="22"/>
        </w:rPr>
        <w:t>e</w:t>
      </w:r>
      <w:r w:rsidRPr="006F2D5A">
        <w:rPr>
          <w:rFonts w:cs="Arial"/>
          <w:szCs w:val="22"/>
        </w:rPr>
        <w:t>ing non-EU based</w:t>
      </w:r>
      <w:r w:rsidR="0065062D" w:rsidRPr="006F2D5A">
        <w:rPr>
          <w:rFonts w:cs="Arial"/>
          <w:szCs w:val="22"/>
        </w:rPr>
        <w:t>.</w:t>
      </w:r>
    </w:p>
    <w:p w:rsidR="00810A47" w:rsidRPr="006F2D5A" w:rsidRDefault="00810A47" w:rsidP="006F2D5A">
      <w:pPr>
        <w:pStyle w:val="ListParagraph"/>
        <w:widowControl w:val="0"/>
        <w:numPr>
          <w:ilvl w:val="0"/>
          <w:numId w:val="89"/>
        </w:numPr>
        <w:spacing w:before="11" w:line="280" w:lineRule="exact"/>
        <w:rPr>
          <w:rFonts w:eastAsia="Calibri" w:cs="Arial"/>
          <w:sz w:val="28"/>
          <w:szCs w:val="28"/>
          <w:lang w:eastAsia="en-US"/>
        </w:rPr>
      </w:pPr>
      <w:r w:rsidRPr="006F2D5A">
        <w:rPr>
          <w:rFonts w:eastAsia="Calibri" w:cs="Arial"/>
          <w:szCs w:val="22"/>
          <w:lang w:eastAsia="en-US"/>
        </w:rPr>
        <w:t>Who should provide</w:t>
      </w:r>
      <w:r w:rsidR="0065062D" w:rsidRPr="006F2D5A">
        <w:rPr>
          <w:rFonts w:eastAsia="Calibri" w:cs="Arial"/>
          <w:szCs w:val="22"/>
          <w:lang w:eastAsia="en-US"/>
        </w:rPr>
        <w:t xml:space="preserve"> </w:t>
      </w:r>
      <w:r w:rsidRPr="006F2D5A">
        <w:rPr>
          <w:rFonts w:eastAsia="Calibri" w:cs="Arial"/>
          <w:szCs w:val="22"/>
          <w:lang w:eastAsia="en-US"/>
        </w:rPr>
        <w:t xml:space="preserve">the reference price? </w:t>
      </w:r>
      <w:r w:rsidRPr="006F2D5A">
        <w:rPr>
          <w:rFonts w:cs="Arial"/>
          <w:szCs w:val="22"/>
        </w:rPr>
        <w:t xml:space="preserve">The above publication </w:t>
      </w:r>
      <w:r w:rsidR="006F2D5A">
        <w:rPr>
          <w:rFonts w:cs="Arial"/>
          <w:szCs w:val="22"/>
        </w:rPr>
        <w:t>should also contain</w:t>
      </w:r>
      <w:r w:rsidRPr="006F2D5A">
        <w:rPr>
          <w:rFonts w:cs="Arial"/>
          <w:szCs w:val="22"/>
        </w:rPr>
        <w:t xml:space="preserve"> a refe</w:t>
      </w:r>
      <w:r w:rsidRPr="006F2D5A">
        <w:rPr>
          <w:rFonts w:cs="Arial"/>
          <w:szCs w:val="22"/>
        </w:rPr>
        <w:t>r</w:t>
      </w:r>
      <w:r w:rsidRPr="006F2D5A">
        <w:rPr>
          <w:rFonts w:cs="Arial"/>
          <w:szCs w:val="22"/>
        </w:rPr>
        <w:t>ence price which could be utilized for the calculation of the cash penalty</w:t>
      </w:r>
      <w:r w:rsidR="006F2D5A">
        <w:rPr>
          <w:rFonts w:cs="Arial"/>
          <w:szCs w:val="22"/>
        </w:rPr>
        <w:t>.</w:t>
      </w:r>
      <w:r w:rsidRPr="006F2D5A">
        <w:rPr>
          <w:rFonts w:cs="Arial"/>
          <w:szCs w:val="22"/>
        </w:rPr>
        <w:t xml:space="preserve"> </w:t>
      </w:r>
      <w:r w:rsidR="006F2D5A">
        <w:rPr>
          <w:rFonts w:cs="Arial"/>
          <w:szCs w:val="22"/>
        </w:rPr>
        <w:t>A</w:t>
      </w:r>
      <w:r w:rsidRPr="006F2D5A">
        <w:rPr>
          <w:rFonts w:cs="Arial"/>
          <w:szCs w:val="22"/>
        </w:rPr>
        <w:t>s such all CSDs settling any of the securities would be required to use the same reference price. This could be combined with a determination on the liquidity level of the respective instrument to cater for the different level of penalty. With ESMA publishing the above reference prices and the list of in scope instruments on a central website, T2S and non-T2S CSDs would have the same foundation on which to base their penalty calculation. This procedure should be ver</w:t>
      </w:r>
      <w:r w:rsidRPr="006F2D5A">
        <w:rPr>
          <w:rFonts w:cs="Arial"/>
          <w:szCs w:val="22"/>
        </w:rPr>
        <w:t>i</w:t>
      </w:r>
      <w:r w:rsidRPr="006F2D5A">
        <w:rPr>
          <w:rFonts w:cs="Arial"/>
          <w:szCs w:val="22"/>
        </w:rPr>
        <w:t>fied by national competent authorities</w:t>
      </w:r>
      <w:r w:rsidR="0065062D" w:rsidRPr="006F2D5A">
        <w:rPr>
          <w:rFonts w:cs="Arial"/>
          <w:szCs w:val="22"/>
        </w:rPr>
        <w:t>.</w:t>
      </w:r>
    </w:p>
    <w:p w:rsidR="00810A47" w:rsidRPr="006F2D5A" w:rsidRDefault="006F2D5A" w:rsidP="006F2D5A">
      <w:pPr>
        <w:pStyle w:val="ListParagraph"/>
        <w:widowControl w:val="0"/>
        <w:numPr>
          <w:ilvl w:val="0"/>
          <w:numId w:val="89"/>
        </w:numPr>
        <w:spacing w:before="11" w:line="280" w:lineRule="exact"/>
        <w:rPr>
          <w:rFonts w:eastAsia="Calibri" w:cs="Arial"/>
          <w:szCs w:val="22"/>
          <w:lang w:eastAsia="en-US"/>
        </w:rPr>
      </w:pPr>
      <w:r>
        <w:rPr>
          <w:rFonts w:cs="Arial"/>
          <w:szCs w:val="22"/>
        </w:rPr>
        <w:t>T</w:t>
      </w:r>
      <w:r w:rsidR="00810A47" w:rsidRPr="006F2D5A">
        <w:rPr>
          <w:rFonts w:cs="Arial"/>
          <w:szCs w:val="22"/>
        </w:rPr>
        <w:t>his information should also be made available to CSD participants and other settlement chain parties to perform independent calculations and assist with internal allocation and di</w:t>
      </w:r>
      <w:r w:rsidR="00810A47" w:rsidRPr="006F2D5A">
        <w:rPr>
          <w:rFonts w:cs="Arial"/>
          <w:szCs w:val="22"/>
        </w:rPr>
        <w:t>s</w:t>
      </w:r>
      <w:r w:rsidR="00810A47" w:rsidRPr="006F2D5A">
        <w:rPr>
          <w:rFonts w:cs="Arial"/>
          <w:szCs w:val="22"/>
        </w:rPr>
        <w:t xml:space="preserve">tribution processes. </w:t>
      </w:r>
    </w:p>
    <w:p w:rsidR="00810A47" w:rsidRPr="006F2D5A" w:rsidRDefault="00810A47" w:rsidP="006F2D5A">
      <w:pPr>
        <w:pStyle w:val="ListParagraph"/>
        <w:widowControl w:val="0"/>
        <w:numPr>
          <w:ilvl w:val="0"/>
          <w:numId w:val="89"/>
        </w:numPr>
        <w:spacing w:before="11" w:line="280" w:lineRule="exact"/>
        <w:rPr>
          <w:rFonts w:eastAsia="Calibri" w:cs="Arial"/>
          <w:szCs w:val="22"/>
          <w:lang w:eastAsia="en-US"/>
        </w:rPr>
      </w:pPr>
      <w:r w:rsidRPr="006F2D5A">
        <w:rPr>
          <w:rFonts w:eastAsia="Calibri" w:cs="Arial"/>
          <w:szCs w:val="22"/>
          <w:lang w:eastAsia="en-US"/>
        </w:rPr>
        <w:t>Clarity on what is the “value date” of such reference price? Trade or intended settle</w:t>
      </w:r>
      <w:r w:rsidR="006F2D5A">
        <w:rPr>
          <w:rFonts w:eastAsia="Calibri" w:cs="Arial"/>
          <w:szCs w:val="22"/>
          <w:lang w:eastAsia="en-US"/>
        </w:rPr>
        <w:t>ment date</w:t>
      </w:r>
      <w:r w:rsidRPr="006F2D5A">
        <w:rPr>
          <w:rFonts w:eastAsia="Calibri" w:cs="Arial"/>
          <w:szCs w:val="22"/>
          <w:lang w:eastAsia="en-US"/>
        </w:rPr>
        <w:t xml:space="preserve"> of the failed transaction? End of da</w:t>
      </w:r>
      <w:r w:rsidR="006F2D5A">
        <w:rPr>
          <w:rFonts w:eastAsia="Calibri" w:cs="Arial"/>
          <w:szCs w:val="22"/>
          <w:lang w:eastAsia="en-US"/>
        </w:rPr>
        <w:t>y price or intraday average</w:t>
      </w:r>
      <w:r w:rsidRPr="006F2D5A">
        <w:rPr>
          <w:rFonts w:eastAsia="Calibri" w:cs="Arial"/>
          <w:szCs w:val="22"/>
          <w:lang w:eastAsia="en-US"/>
        </w:rPr>
        <w:t xml:space="preserve">? </w:t>
      </w:r>
      <w:r w:rsidRPr="006F2D5A">
        <w:rPr>
          <w:rFonts w:cs="Arial"/>
          <w:szCs w:val="22"/>
        </w:rPr>
        <w:t xml:space="preserve">As some transactions may have different trade dates than others but the same value date, we would suggest using the reference price published by ESMA for </w:t>
      </w:r>
      <w:r w:rsidR="00F339A2">
        <w:rPr>
          <w:rFonts w:cs="Arial"/>
          <w:szCs w:val="22"/>
        </w:rPr>
        <w:t>each</w:t>
      </w:r>
      <w:r w:rsidRPr="006F2D5A">
        <w:rPr>
          <w:rFonts w:cs="Arial"/>
          <w:szCs w:val="22"/>
        </w:rPr>
        <w:t xml:space="preserve"> day a transaction is pending</w:t>
      </w:r>
      <w:r w:rsidRPr="006F2D5A">
        <w:rPr>
          <w:rFonts w:eastAsia="Calibri" w:cs="Arial"/>
          <w:szCs w:val="22"/>
          <w:lang w:eastAsia="en-US"/>
        </w:rPr>
        <w:t>. In addition, AFME members believe that the penalty should be calculated daily based on the daily changing reference price</w:t>
      </w:r>
      <w:r w:rsidR="0065062D" w:rsidRPr="006F2D5A">
        <w:rPr>
          <w:rFonts w:eastAsia="Calibri" w:cs="Arial"/>
          <w:szCs w:val="22"/>
          <w:lang w:eastAsia="en-US"/>
        </w:rPr>
        <w:t>.</w:t>
      </w:r>
    </w:p>
    <w:p w:rsidR="00F339A2" w:rsidRPr="00F339A2" w:rsidRDefault="00810A47" w:rsidP="00810A47">
      <w:pPr>
        <w:pStyle w:val="ListParagraph"/>
        <w:widowControl w:val="0"/>
        <w:numPr>
          <w:ilvl w:val="0"/>
          <w:numId w:val="89"/>
        </w:numPr>
        <w:spacing w:before="11" w:line="280" w:lineRule="exact"/>
        <w:rPr>
          <w:rFonts w:eastAsia="Calibri" w:cs="Arial"/>
          <w:sz w:val="28"/>
          <w:szCs w:val="28"/>
          <w:lang w:val="en-US" w:eastAsia="en-US"/>
        </w:rPr>
      </w:pPr>
      <w:r w:rsidRPr="00F339A2">
        <w:rPr>
          <w:rFonts w:eastAsia="Calibri" w:cs="Arial"/>
          <w:szCs w:val="22"/>
          <w:lang w:eastAsia="en-US"/>
        </w:rPr>
        <w:t>Clarity on the timelines for calculating/collecting the penalties and how frequently? While AFME agree</w:t>
      </w:r>
      <w:r w:rsidR="00F339A2" w:rsidRPr="00F339A2">
        <w:rPr>
          <w:rFonts w:eastAsia="Calibri" w:cs="Arial"/>
          <w:szCs w:val="22"/>
          <w:lang w:eastAsia="en-US"/>
        </w:rPr>
        <w:t>s</w:t>
      </w:r>
      <w:r w:rsidRPr="00F339A2">
        <w:rPr>
          <w:rFonts w:eastAsia="Calibri" w:cs="Arial"/>
          <w:szCs w:val="22"/>
          <w:lang w:eastAsia="en-US"/>
        </w:rPr>
        <w:t xml:space="preserve"> that billing should be </w:t>
      </w:r>
      <w:r w:rsidR="00F339A2" w:rsidRPr="00F339A2">
        <w:rPr>
          <w:rFonts w:eastAsia="Calibri" w:cs="Arial"/>
          <w:szCs w:val="22"/>
          <w:lang w:eastAsia="en-US"/>
        </w:rPr>
        <w:t>undertaken</w:t>
      </w:r>
      <w:r w:rsidRPr="00F339A2">
        <w:rPr>
          <w:rFonts w:eastAsia="Calibri" w:cs="Arial"/>
          <w:szCs w:val="22"/>
          <w:lang w:eastAsia="en-US"/>
        </w:rPr>
        <w:t xml:space="preserve"> on a monthly basis to allow for netting of the penalty sums, members require daily information on the incurred penalties/ compensations. This will help</w:t>
      </w:r>
      <w:r w:rsidR="00F339A2" w:rsidRPr="00F339A2">
        <w:rPr>
          <w:rFonts w:eastAsia="Calibri" w:cs="Arial"/>
          <w:szCs w:val="22"/>
          <w:lang w:eastAsia="en-US"/>
        </w:rPr>
        <w:t xml:space="preserve"> the participants</w:t>
      </w:r>
      <w:r w:rsidRPr="00F339A2">
        <w:rPr>
          <w:rFonts w:eastAsia="Calibri" w:cs="Arial"/>
          <w:szCs w:val="22"/>
          <w:lang w:eastAsia="en-US"/>
        </w:rPr>
        <w:t xml:space="preserve"> making necessary arrangements with the underlying trading desks and clients. </w:t>
      </w:r>
    </w:p>
    <w:p w:rsidR="00810A47" w:rsidRPr="00F339A2" w:rsidRDefault="00810A47" w:rsidP="00810A47">
      <w:pPr>
        <w:pStyle w:val="ListParagraph"/>
        <w:widowControl w:val="0"/>
        <w:numPr>
          <w:ilvl w:val="0"/>
          <w:numId w:val="89"/>
        </w:numPr>
        <w:spacing w:before="11" w:line="280" w:lineRule="exact"/>
        <w:rPr>
          <w:rFonts w:eastAsia="Calibri" w:cs="Arial"/>
          <w:sz w:val="28"/>
          <w:szCs w:val="28"/>
          <w:lang w:val="en-US" w:eastAsia="en-US"/>
        </w:rPr>
      </w:pPr>
      <w:r w:rsidRPr="00F339A2">
        <w:rPr>
          <w:rFonts w:eastAsia="Calibri" w:cs="Arial"/>
          <w:szCs w:val="22"/>
          <w:lang w:eastAsia="en-US"/>
        </w:rPr>
        <w:t xml:space="preserve">How </w:t>
      </w:r>
      <w:r w:rsidR="0065062D" w:rsidRPr="00F339A2">
        <w:rPr>
          <w:rFonts w:eastAsia="Calibri" w:cs="Arial"/>
          <w:szCs w:val="22"/>
          <w:lang w:eastAsia="en-US"/>
        </w:rPr>
        <w:t>should “</w:t>
      </w:r>
      <w:r w:rsidRPr="00F339A2">
        <w:rPr>
          <w:rFonts w:eastAsia="Calibri" w:cs="Arial"/>
          <w:szCs w:val="22"/>
          <w:lang w:eastAsia="en-US"/>
        </w:rPr>
        <w:t xml:space="preserve">backdated” transactions be treated and penalties </w:t>
      </w:r>
      <w:proofErr w:type="gramStart"/>
      <w:r w:rsidRPr="00F339A2">
        <w:rPr>
          <w:rFonts w:eastAsia="Calibri" w:cs="Arial"/>
          <w:szCs w:val="22"/>
          <w:lang w:eastAsia="en-US"/>
        </w:rPr>
        <w:t>be</w:t>
      </w:r>
      <w:proofErr w:type="gramEnd"/>
      <w:r w:rsidRPr="00F339A2">
        <w:rPr>
          <w:rFonts w:eastAsia="Calibri" w:cs="Arial"/>
          <w:szCs w:val="22"/>
          <w:lang w:eastAsia="en-US"/>
        </w:rPr>
        <w:t xml:space="preserve"> calculated? If both parties send their instructions late, which party would be penalised? </w:t>
      </w:r>
      <w:r w:rsidRPr="00F339A2">
        <w:rPr>
          <w:rFonts w:cs="Arial"/>
          <w:szCs w:val="22"/>
        </w:rPr>
        <w:t>We appreciate that ESMA rightly concluded that instructions should be penalised if they are input late into the settl</w:t>
      </w:r>
      <w:r w:rsidRPr="00F339A2">
        <w:rPr>
          <w:rFonts w:cs="Arial"/>
          <w:szCs w:val="22"/>
        </w:rPr>
        <w:t>e</w:t>
      </w:r>
      <w:r w:rsidRPr="00F339A2">
        <w:rPr>
          <w:rFonts w:cs="Arial"/>
          <w:szCs w:val="22"/>
        </w:rPr>
        <w:t>ment system. We would encourage ESMA to further clarify that if both parties send their i</w:t>
      </w:r>
      <w:r w:rsidRPr="00F339A2">
        <w:rPr>
          <w:rFonts w:cs="Arial"/>
          <w:szCs w:val="22"/>
        </w:rPr>
        <w:t>n</w:t>
      </w:r>
      <w:r w:rsidRPr="00F339A2">
        <w:rPr>
          <w:rFonts w:cs="Arial"/>
          <w:szCs w:val="22"/>
        </w:rPr>
        <w:t>structions late it should be the last instructing party if the instruction settles on the same day. Should it however not settle on the instruction day the CSD should determine the fail reason and apply the charge to the failing participant</w:t>
      </w:r>
      <w:r w:rsidR="0065062D" w:rsidRPr="00F339A2">
        <w:rPr>
          <w:rFonts w:cs="Arial"/>
          <w:szCs w:val="22"/>
        </w:rPr>
        <w:t>.</w:t>
      </w:r>
    </w:p>
    <w:p w:rsidR="00810A47" w:rsidRPr="00F45130" w:rsidRDefault="00810A47" w:rsidP="00810A47">
      <w:pPr>
        <w:widowControl w:val="0"/>
        <w:spacing w:before="11" w:line="280" w:lineRule="exact"/>
        <w:rPr>
          <w:rFonts w:eastAsia="Calibri" w:cs="Arial"/>
          <w:szCs w:val="22"/>
          <w:lang w:val="en-US" w:eastAsia="en-US"/>
        </w:rPr>
      </w:pPr>
    </w:p>
    <w:p w:rsidR="006351E5" w:rsidRDefault="00810A47" w:rsidP="00810A47">
      <w:pPr>
        <w:rPr>
          <w:rFonts w:eastAsia="Calibri" w:cs="Arial"/>
          <w:szCs w:val="22"/>
          <w:lang w:val="en-US" w:eastAsia="en-US"/>
        </w:rPr>
      </w:pPr>
      <w:r w:rsidRPr="00F45130">
        <w:rPr>
          <w:rFonts w:eastAsia="Calibri" w:cs="Arial"/>
          <w:szCs w:val="22"/>
          <w:lang w:val="en-US" w:eastAsia="en-US"/>
        </w:rPr>
        <w:t>AFME would also welcome ESMA’s clarification on how the CSDs will consider the ‘party at fault’ in a trade that does not settle on intended settlement date and how a CSD will apportion cash penalty amongst CSD participants and other CSDs in the case of cross CSD settlement (other than interoperable CSDs or T2S CSDs). CSDs will need to work with participants to sy</w:t>
      </w:r>
      <w:r w:rsidRPr="00F45130">
        <w:rPr>
          <w:rFonts w:eastAsia="Calibri" w:cs="Arial"/>
          <w:szCs w:val="22"/>
          <w:lang w:val="en-US" w:eastAsia="en-US"/>
        </w:rPr>
        <w:t>s</w:t>
      </w:r>
      <w:r w:rsidRPr="00F45130">
        <w:rPr>
          <w:rFonts w:eastAsia="Calibri" w:cs="Arial"/>
          <w:szCs w:val="22"/>
          <w:lang w:val="en-US" w:eastAsia="en-US"/>
        </w:rPr>
        <w:t>temically identify and apply penalties to the underlying transaction and account to enable pena</w:t>
      </w:r>
      <w:r w:rsidRPr="00F45130">
        <w:rPr>
          <w:rFonts w:eastAsia="Calibri" w:cs="Arial"/>
          <w:szCs w:val="22"/>
          <w:lang w:val="en-US" w:eastAsia="en-US"/>
        </w:rPr>
        <w:t>l</w:t>
      </w:r>
      <w:r w:rsidRPr="00F45130">
        <w:rPr>
          <w:rFonts w:eastAsia="Calibri" w:cs="Arial"/>
          <w:szCs w:val="22"/>
          <w:lang w:val="en-US" w:eastAsia="en-US"/>
        </w:rPr>
        <w:t>ties to be apportioned appropriately by the CSD participant.</w:t>
      </w:r>
    </w:p>
    <w:permEnd w:id="8"/>
    <w:p w:rsidR="00D12AFD" w:rsidRDefault="00D12AFD" w:rsidP="00D12AFD">
      <w:r>
        <w:t>&lt;ESMA_QUESTION_TS_CSDR_6&gt;</w:t>
      </w:r>
    </w:p>
    <w:p w:rsidR="00D12AFD" w:rsidRDefault="00D12AFD" w:rsidP="00965B03">
      <w:pPr>
        <w:pStyle w:val="Heading5"/>
        <w:ind w:left="567" w:hanging="567"/>
      </w:pPr>
      <w:r w:rsidRPr="002C4F00">
        <w:lastRenderedPageBreak/>
        <w:t>What are your views on the proposed draft RTS related to the buy-in process?</w:t>
      </w:r>
    </w:p>
    <w:p w:rsidR="00D12AFD" w:rsidRDefault="00D12AFD" w:rsidP="00BA1DEE">
      <w:pPr>
        <w:pStyle w:val="Heading5"/>
        <w:numPr>
          <w:ilvl w:val="0"/>
          <w:numId w:val="0"/>
        </w:numPr>
        <w:ind w:left="567"/>
        <w:rPr>
          <w:b w:val="0"/>
        </w:rPr>
      </w:pPr>
      <w:r w:rsidRPr="002C4F00">
        <w:t>In particular, what are your views on applying partial settlement at the end of the e</w:t>
      </w:r>
      <w:r w:rsidRPr="002C4F00">
        <w:t>x</w:t>
      </w:r>
      <w:r w:rsidRPr="002C4F00">
        <w:t>tension period? Do you consider that the partialling of the settlement instruction would impact the rights and obligations of the participants?</w:t>
      </w:r>
    </w:p>
    <w:p w:rsidR="00D12AFD" w:rsidRPr="002C4F00" w:rsidRDefault="00D12AFD" w:rsidP="00BA1DEE">
      <w:pPr>
        <w:pStyle w:val="Heading5"/>
        <w:numPr>
          <w:ilvl w:val="0"/>
          <w:numId w:val="0"/>
        </w:numPr>
        <w:ind w:left="567"/>
      </w:pPr>
      <w:r w:rsidRPr="002C4F00">
        <w:t xml:space="preserve"> What do you think about the proposed approach for limiting multiple buy-in and the timing for the participant to provide the information to the CSD?</w:t>
      </w:r>
    </w:p>
    <w:p w:rsidR="00D12AFD" w:rsidRDefault="00D12AFD" w:rsidP="00D12AFD"/>
    <w:p w:rsidR="00D12AFD" w:rsidRDefault="00D12AFD" w:rsidP="00D12AFD">
      <w:r>
        <w:t>&lt;ESMA_QUESTION_TS_CSDR_7&gt;</w:t>
      </w:r>
    </w:p>
    <w:p w:rsidR="00810A47" w:rsidRDefault="00810A47" w:rsidP="00810A47">
      <w:pPr>
        <w:rPr>
          <w:rFonts w:cs="Arial"/>
          <w:bCs/>
        </w:rPr>
      </w:pPr>
      <w:permStart w:id="9" w:edGrp="everyone"/>
      <w:r w:rsidRPr="00F45130">
        <w:rPr>
          <w:rFonts w:cs="Arial"/>
          <w:bCs/>
        </w:rPr>
        <w:t>AFME support</w:t>
      </w:r>
      <w:r w:rsidR="00F339A2">
        <w:rPr>
          <w:rFonts w:cs="Arial"/>
          <w:bCs/>
        </w:rPr>
        <w:t>s</w:t>
      </w:r>
      <w:r w:rsidRPr="00F45130">
        <w:rPr>
          <w:rFonts w:cs="Arial"/>
          <w:bCs/>
        </w:rPr>
        <w:t xml:space="preserve"> the overall objective to enhance settlement efficiency and reduce the number of outstanding, ageing settlement fails. An adequate and harmonized buy-in regime will help to achieve that objective. </w:t>
      </w:r>
    </w:p>
    <w:p w:rsidR="00341C90" w:rsidRPr="00F45130" w:rsidRDefault="00341C90" w:rsidP="00810A47">
      <w:pPr>
        <w:rPr>
          <w:rFonts w:cs="Arial"/>
          <w:bCs/>
        </w:rPr>
      </w:pPr>
    </w:p>
    <w:p w:rsidR="00341C90" w:rsidRDefault="00810A47" w:rsidP="00810A47">
      <w:pPr>
        <w:rPr>
          <w:rFonts w:cs="Arial"/>
          <w:bCs/>
        </w:rPr>
      </w:pPr>
      <w:r w:rsidRPr="00F45130">
        <w:rPr>
          <w:rFonts w:cs="Arial"/>
          <w:bCs/>
        </w:rPr>
        <w:t xml:space="preserve">When analyzing the ESMA draft proposals in detail, AFME </w:t>
      </w:r>
      <w:r w:rsidR="00F339A2">
        <w:rPr>
          <w:rFonts w:cs="Arial"/>
          <w:bCs/>
        </w:rPr>
        <w:t>has</w:t>
      </w:r>
      <w:r w:rsidRPr="00F45130">
        <w:rPr>
          <w:rFonts w:cs="Arial"/>
          <w:bCs/>
        </w:rPr>
        <w:t xml:space="preserve"> a number of strong concerns around a number of key areas, which will make the implementation of the proposed rules e</w:t>
      </w:r>
      <w:r w:rsidRPr="00F45130">
        <w:rPr>
          <w:rFonts w:cs="Arial"/>
          <w:bCs/>
        </w:rPr>
        <w:t>x</w:t>
      </w:r>
      <w:r w:rsidRPr="00F45130">
        <w:rPr>
          <w:rFonts w:cs="Arial"/>
          <w:bCs/>
        </w:rPr>
        <w:t>tremely difficult and in a number of cases impossible. Most of these concerns stem from the approach taken by ESMA to have buy-ins purely applied at CSD settlement level, and cons</w:t>
      </w:r>
      <w:r w:rsidRPr="00F45130">
        <w:rPr>
          <w:rFonts w:cs="Arial"/>
          <w:bCs/>
        </w:rPr>
        <w:t>e</w:t>
      </w:r>
      <w:r w:rsidRPr="00F45130">
        <w:rPr>
          <w:rFonts w:cs="Arial"/>
          <w:bCs/>
        </w:rPr>
        <w:t xml:space="preserve">quentially the role of CSDs. </w:t>
      </w:r>
    </w:p>
    <w:p w:rsidR="00810A47" w:rsidRPr="00F45130" w:rsidRDefault="00810A47" w:rsidP="00810A47">
      <w:pPr>
        <w:rPr>
          <w:rFonts w:cs="Arial"/>
          <w:bCs/>
        </w:rPr>
      </w:pPr>
      <w:r w:rsidRPr="00F45130">
        <w:rPr>
          <w:rFonts w:cs="Arial"/>
          <w:bCs/>
        </w:rPr>
        <w:br/>
        <w:t xml:space="preserve">AFME believes these concerns can be addressed by an alternative approach outlined below, which is still in line with the Level 1 text. </w:t>
      </w:r>
    </w:p>
    <w:p w:rsidR="00810A47" w:rsidRPr="00F45130" w:rsidRDefault="00810A47" w:rsidP="00810A47">
      <w:pPr>
        <w:rPr>
          <w:rFonts w:cs="Arial"/>
          <w:bCs/>
        </w:rPr>
      </w:pPr>
    </w:p>
    <w:p w:rsidR="00810A47" w:rsidRPr="00F45130" w:rsidRDefault="00810A47" w:rsidP="00810A47">
      <w:pPr>
        <w:rPr>
          <w:rFonts w:cs="Arial"/>
          <w:bCs/>
        </w:rPr>
      </w:pPr>
      <w:r w:rsidRPr="00F45130">
        <w:rPr>
          <w:rFonts w:cs="Arial"/>
          <w:bCs/>
        </w:rPr>
        <w:t>AFME believes that the definition of a transaction to which a buy-in would be applicable would help prevent misunderstandings between counterparties before the buy notice is sent. AFME has provided a suggested definition in section 1.b below.</w:t>
      </w:r>
    </w:p>
    <w:p w:rsidR="00810A47" w:rsidRPr="00F45130" w:rsidRDefault="00810A47" w:rsidP="00810A47">
      <w:pPr>
        <w:rPr>
          <w:rFonts w:cs="Arial"/>
          <w:bCs/>
        </w:rPr>
      </w:pPr>
    </w:p>
    <w:p w:rsidR="00810A47" w:rsidRPr="00F45130" w:rsidRDefault="00810A47" w:rsidP="00810A47">
      <w:pPr>
        <w:pStyle w:val="ListParagraph"/>
        <w:numPr>
          <w:ilvl w:val="0"/>
          <w:numId w:val="34"/>
        </w:numPr>
        <w:rPr>
          <w:rFonts w:cs="Arial"/>
          <w:b/>
          <w:bCs/>
          <w:sz w:val="24"/>
          <w:u w:val="single"/>
        </w:rPr>
      </w:pPr>
      <w:r w:rsidRPr="00F45130">
        <w:rPr>
          <w:rFonts w:cs="Arial"/>
          <w:b/>
          <w:bCs/>
          <w:sz w:val="24"/>
          <w:u w:val="single"/>
        </w:rPr>
        <w:t>Exact scope of the buy-in rules:</w:t>
      </w:r>
    </w:p>
    <w:p w:rsidR="00810A47" w:rsidRPr="00F45130" w:rsidRDefault="00810A47" w:rsidP="00810A47">
      <w:pPr>
        <w:ind w:left="45"/>
        <w:rPr>
          <w:rFonts w:cs="Arial"/>
          <w:bCs/>
        </w:rPr>
      </w:pPr>
      <w:r w:rsidRPr="00F45130">
        <w:rPr>
          <w:rFonts w:cs="Arial"/>
          <w:bCs/>
        </w:rPr>
        <w:t>A buy-in is a very costly process that has a profound impact on relationships, contracts, and the “economic viability” of trades.  As a consequence, any mandatory buy-in provisions need to provide answers to the following questions:</w:t>
      </w:r>
    </w:p>
    <w:p w:rsidR="0051101B" w:rsidRPr="0051101B" w:rsidRDefault="0051101B" w:rsidP="00FB266C">
      <w:pPr>
        <w:pStyle w:val="ListParagraph"/>
        <w:numPr>
          <w:ilvl w:val="0"/>
          <w:numId w:val="80"/>
        </w:numPr>
        <w:rPr>
          <w:rFonts w:cs="Arial"/>
          <w:bCs/>
        </w:rPr>
      </w:pPr>
      <w:r w:rsidRPr="0051101B">
        <w:rPr>
          <w:rFonts w:cs="Arial"/>
          <w:bCs/>
        </w:rPr>
        <w:t>Buy-in definition</w:t>
      </w:r>
      <w:r w:rsidR="00810A47" w:rsidRPr="0051101B">
        <w:rPr>
          <w:rFonts w:cs="Arial"/>
          <w:bCs/>
        </w:rPr>
        <w:t xml:space="preserve"> </w:t>
      </w:r>
    </w:p>
    <w:p w:rsidR="00810A47" w:rsidRPr="0051101B" w:rsidRDefault="00810A47" w:rsidP="00FB266C">
      <w:pPr>
        <w:pStyle w:val="ListParagraph"/>
        <w:numPr>
          <w:ilvl w:val="0"/>
          <w:numId w:val="80"/>
        </w:numPr>
        <w:rPr>
          <w:rFonts w:cs="Arial"/>
          <w:bCs/>
        </w:rPr>
      </w:pPr>
      <w:r w:rsidRPr="0051101B">
        <w:rPr>
          <w:rFonts w:cs="Arial"/>
          <w:bCs/>
        </w:rPr>
        <w:t>Which transactions are in scope?</w:t>
      </w:r>
    </w:p>
    <w:p w:rsidR="00810A47" w:rsidRPr="0051101B" w:rsidRDefault="00810A47" w:rsidP="00FB266C">
      <w:pPr>
        <w:pStyle w:val="ListParagraph"/>
        <w:numPr>
          <w:ilvl w:val="1"/>
          <w:numId w:val="80"/>
        </w:numPr>
        <w:rPr>
          <w:rFonts w:cs="Arial"/>
          <w:bCs/>
        </w:rPr>
      </w:pPr>
      <w:r w:rsidRPr="0051101B">
        <w:rPr>
          <w:rFonts w:cs="Arial"/>
          <w:bCs/>
        </w:rPr>
        <w:t>What is the geographical reach of those provisions?</w:t>
      </w:r>
    </w:p>
    <w:p w:rsidR="00810A47" w:rsidRPr="0051101B" w:rsidRDefault="00810A47" w:rsidP="00FB266C">
      <w:pPr>
        <w:pStyle w:val="ListParagraph"/>
        <w:numPr>
          <w:ilvl w:val="1"/>
          <w:numId w:val="80"/>
        </w:numPr>
        <w:rPr>
          <w:rFonts w:cs="Arial"/>
          <w:bCs/>
        </w:rPr>
      </w:pPr>
      <w:r w:rsidRPr="0051101B">
        <w:rPr>
          <w:rFonts w:cs="Arial"/>
          <w:bCs/>
        </w:rPr>
        <w:t>Which parties are involve/responsible for buy-ins?</w:t>
      </w:r>
      <w:r w:rsidRPr="0051101B">
        <w:rPr>
          <w:rFonts w:cs="Arial"/>
          <w:bCs/>
        </w:rPr>
        <w:br/>
      </w:r>
    </w:p>
    <w:p w:rsidR="00810A47" w:rsidRPr="00F45130" w:rsidRDefault="00810A47" w:rsidP="00810A47">
      <w:pPr>
        <w:ind w:left="45"/>
        <w:rPr>
          <w:rFonts w:cs="Arial"/>
          <w:bCs/>
        </w:rPr>
      </w:pPr>
      <w:r w:rsidRPr="00F45130">
        <w:rPr>
          <w:rFonts w:cs="Arial"/>
          <w:bCs/>
        </w:rPr>
        <w:t>Unfortunately, neither CSDR level 1 nor the RTS provide sufficient clarity on a number of key aspects, which could lead to uncertainty and disputes. Key areas for further clarification are:</w:t>
      </w:r>
    </w:p>
    <w:p w:rsidR="00810A47" w:rsidRPr="00F45130" w:rsidRDefault="00810A47" w:rsidP="00810A47">
      <w:pPr>
        <w:ind w:left="45"/>
        <w:rPr>
          <w:rFonts w:cs="Arial"/>
          <w:bCs/>
        </w:rPr>
      </w:pPr>
    </w:p>
    <w:p w:rsidR="00810A47" w:rsidRPr="00F45130" w:rsidRDefault="00810A47" w:rsidP="00810A47">
      <w:pPr>
        <w:pStyle w:val="ListParagraph"/>
        <w:numPr>
          <w:ilvl w:val="0"/>
          <w:numId w:val="35"/>
        </w:numPr>
        <w:rPr>
          <w:rFonts w:cs="Arial"/>
          <w:bCs/>
          <w:i/>
        </w:rPr>
      </w:pPr>
      <w:r w:rsidRPr="00F45130">
        <w:rPr>
          <w:rFonts w:cs="Arial"/>
          <w:b/>
          <w:bCs/>
          <w:u w:val="single"/>
        </w:rPr>
        <w:t>There is no clear definition/objective of the mandatory buy-in</w:t>
      </w:r>
      <w:r w:rsidRPr="00F45130">
        <w:rPr>
          <w:rFonts w:cs="Arial"/>
          <w:bCs/>
        </w:rPr>
        <w:t xml:space="preserve">: </w:t>
      </w:r>
      <w:r w:rsidRPr="00F45130">
        <w:rPr>
          <w:rFonts w:cs="Arial"/>
          <w:bCs/>
        </w:rPr>
        <w:br/>
        <w:t>With the exception of reference made in the CSDR preamble (15) to the need to “</w:t>
      </w:r>
      <w:r w:rsidRPr="00F45130">
        <w:rPr>
          <w:rFonts w:cs="Arial"/>
          <w:bCs/>
          <w:i/>
        </w:rPr>
        <w:t xml:space="preserve">require failing participants to be subject to a compulsory enforcement of the original agreement”, </w:t>
      </w:r>
      <w:r w:rsidRPr="00F45130">
        <w:rPr>
          <w:rFonts w:cs="Arial"/>
          <w:bCs/>
        </w:rPr>
        <w:t xml:space="preserve">there is no definition of a buy-in in the CSDR or RTS. </w:t>
      </w:r>
      <w:r w:rsidRPr="00F45130">
        <w:rPr>
          <w:rFonts w:cs="Arial"/>
          <w:bCs/>
          <w:i/>
        </w:rPr>
        <w:t>Art 12.3 of the draft RTS does make a reference to “allow the participant to provide the identification of its failing client or unde</w:t>
      </w:r>
      <w:r w:rsidRPr="00F45130">
        <w:rPr>
          <w:rFonts w:cs="Arial"/>
          <w:bCs/>
          <w:i/>
        </w:rPr>
        <w:t>r</w:t>
      </w:r>
      <w:r w:rsidRPr="00F45130">
        <w:rPr>
          <w:rFonts w:cs="Arial"/>
          <w:bCs/>
          <w:i/>
        </w:rPr>
        <w:t>lying client for which the buy-in shall be executed”, seeming to indicate that buy-ins are the enforcement of a contract concluded by the underlying client.</w:t>
      </w:r>
      <w:r w:rsidRPr="00F45130">
        <w:rPr>
          <w:rFonts w:cs="Arial"/>
          <w:bCs/>
          <w:i/>
        </w:rPr>
        <w:br/>
        <w:t>The lack of definition raises a number of fundamental questions and issues, such as:</w:t>
      </w:r>
    </w:p>
    <w:p w:rsidR="00810A47" w:rsidRPr="00F45130" w:rsidRDefault="00810A47" w:rsidP="00810A47">
      <w:pPr>
        <w:pStyle w:val="ListParagraph"/>
        <w:numPr>
          <w:ilvl w:val="1"/>
          <w:numId w:val="35"/>
        </w:numPr>
        <w:rPr>
          <w:rFonts w:cs="Arial"/>
          <w:bCs/>
        </w:rPr>
      </w:pPr>
      <w:r w:rsidRPr="00F45130">
        <w:rPr>
          <w:rFonts w:cs="Arial"/>
          <w:bCs/>
          <w:u w:val="single"/>
        </w:rPr>
        <w:t>Which agreement is to be compulsory enforced/subject to a buy-in</w:t>
      </w:r>
      <w:r w:rsidRPr="00F45130">
        <w:rPr>
          <w:rFonts w:cs="Arial"/>
          <w:bCs/>
        </w:rPr>
        <w:t xml:space="preserve">: </w:t>
      </w:r>
      <w:r w:rsidRPr="00F45130">
        <w:rPr>
          <w:rFonts w:cs="Arial"/>
          <w:bCs/>
        </w:rPr>
        <w:br/>
        <w:t>- is it the trading agreement between trading counterparties</w:t>
      </w:r>
      <w:r w:rsidR="00F339A2">
        <w:rPr>
          <w:rFonts w:cs="Arial"/>
          <w:bCs/>
        </w:rPr>
        <w:t>?</w:t>
      </w:r>
      <w:r w:rsidRPr="00F45130">
        <w:rPr>
          <w:rFonts w:cs="Arial"/>
          <w:bCs/>
        </w:rPr>
        <w:t xml:space="preserve"> </w:t>
      </w:r>
      <w:r w:rsidRPr="00F45130">
        <w:rPr>
          <w:rFonts w:cs="Arial"/>
          <w:bCs/>
        </w:rPr>
        <w:br/>
        <w:t xml:space="preserve">- </w:t>
      </w:r>
      <w:proofErr w:type="gramStart"/>
      <w:r w:rsidRPr="00F45130">
        <w:rPr>
          <w:rFonts w:cs="Arial"/>
          <w:bCs/>
        </w:rPr>
        <w:t>a</w:t>
      </w:r>
      <w:proofErr w:type="gramEnd"/>
      <w:r w:rsidRPr="00F45130">
        <w:rPr>
          <w:rFonts w:cs="Arial"/>
          <w:bCs/>
        </w:rPr>
        <w:t xml:space="preserve"> (non existing) agreement between settlement agents</w:t>
      </w:r>
      <w:r w:rsidR="00F339A2">
        <w:rPr>
          <w:rFonts w:cs="Arial"/>
          <w:bCs/>
        </w:rPr>
        <w:t>?</w:t>
      </w:r>
      <w:r w:rsidRPr="00F45130">
        <w:rPr>
          <w:rFonts w:cs="Arial"/>
          <w:bCs/>
        </w:rPr>
        <w:t xml:space="preserve"> </w:t>
      </w:r>
      <w:r w:rsidRPr="00F45130">
        <w:rPr>
          <w:rFonts w:cs="Arial"/>
          <w:bCs/>
        </w:rPr>
        <w:br/>
        <w:t>- or is it something else?</w:t>
      </w:r>
    </w:p>
    <w:p w:rsidR="00341C90" w:rsidRDefault="00810A47" w:rsidP="00810A47">
      <w:pPr>
        <w:pStyle w:val="ListParagraph"/>
        <w:numPr>
          <w:ilvl w:val="1"/>
          <w:numId w:val="35"/>
        </w:numPr>
        <w:rPr>
          <w:rFonts w:cs="Arial"/>
          <w:bCs/>
        </w:rPr>
      </w:pPr>
      <w:r w:rsidRPr="00F45130">
        <w:rPr>
          <w:rFonts w:cs="Arial"/>
          <w:bCs/>
          <w:u w:val="single"/>
        </w:rPr>
        <w:lastRenderedPageBreak/>
        <w:t>Who are the failing participants:</w:t>
      </w:r>
      <w:r w:rsidRPr="00F45130">
        <w:rPr>
          <w:rFonts w:cs="Arial"/>
          <w:bCs/>
        </w:rPr>
        <w:t xml:space="preserve"> </w:t>
      </w:r>
      <w:r w:rsidRPr="00F45130">
        <w:rPr>
          <w:rFonts w:cs="Arial"/>
          <w:bCs/>
        </w:rPr>
        <w:br/>
        <w:t>CSDR defines failing participants as “p</w:t>
      </w:r>
      <w:r w:rsidRPr="00F45130">
        <w:rPr>
          <w:rFonts w:cs="Arial"/>
          <w:bCs/>
          <w:i/>
        </w:rPr>
        <w:t>articipants that cause settlement fails</w:t>
      </w:r>
      <w:r w:rsidRPr="00F45130">
        <w:rPr>
          <w:rFonts w:cs="Arial"/>
          <w:bCs/>
        </w:rPr>
        <w:t>” (CSDR Art 7.3), and participant as “</w:t>
      </w:r>
      <w:r w:rsidRPr="00F45130">
        <w:rPr>
          <w:rFonts w:cs="Arial"/>
          <w:bCs/>
          <w:i/>
        </w:rPr>
        <w:t>any participant... in a securities</w:t>
      </w:r>
      <w:r w:rsidRPr="00F45130">
        <w:rPr>
          <w:rFonts w:cs="Arial"/>
          <w:bCs/>
        </w:rPr>
        <w:t xml:space="preserve"> settlement sy</w:t>
      </w:r>
      <w:r w:rsidRPr="00F45130">
        <w:rPr>
          <w:rFonts w:cs="Arial"/>
          <w:bCs/>
        </w:rPr>
        <w:t>s</w:t>
      </w:r>
      <w:r w:rsidRPr="00F45130">
        <w:rPr>
          <w:rFonts w:cs="Arial"/>
          <w:bCs/>
        </w:rPr>
        <w:t xml:space="preserve">tem” </w:t>
      </w:r>
    </w:p>
    <w:p w:rsidR="00810A47" w:rsidRPr="00F45130" w:rsidRDefault="00810A47" w:rsidP="00341C90">
      <w:pPr>
        <w:pStyle w:val="ListParagraph"/>
        <w:ind w:left="1230"/>
        <w:rPr>
          <w:rFonts w:cs="Arial"/>
          <w:bCs/>
        </w:rPr>
      </w:pPr>
      <w:r w:rsidRPr="00F45130">
        <w:rPr>
          <w:rFonts w:cs="Arial"/>
          <w:bCs/>
        </w:rPr>
        <w:br/>
        <w:t>For the most part, trading counterparties use one or more levels of intermediaries such as custodians and agent banks to settle securities and cash in the securities settlement system of any particular CSD. These custodians/banks act in the capa</w:t>
      </w:r>
      <w:r w:rsidRPr="00F45130">
        <w:rPr>
          <w:rFonts w:cs="Arial"/>
          <w:bCs/>
        </w:rPr>
        <w:t>c</w:t>
      </w:r>
      <w:r w:rsidRPr="00F45130">
        <w:rPr>
          <w:rFonts w:cs="Arial"/>
          <w:bCs/>
        </w:rPr>
        <w:t>ity of settlement agent</w:t>
      </w:r>
      <w:r w:rsidRPr="00F45130">
        <w:rPr>
          <w:rStyle w:val="FootnoteReference"/>
          <w:rFonts w:cs="Arial"/>
          <w:bCs/>
        </w:rPr>
        <w:footnoteReference w:id="2"/>
      </w:r>
      <w:r w:rsidRPr="00F45130">
        <w:rPr>
          <w:rFonts w:cs="Arial"/>
          <w:bCs/>
        </w:rPr>
        <w:t xml:space="preserve">, and do not assume responsibility for the performance of the trading contract obligations of their clients or their clients’ underlying clients, of which they are often not aware. Moreover, these settlement agents do not have (nor need) any agreements with other settlement agents (hence the reference above to a non-existing agreement) which can be enforced. </w:t>
      </w:r>
    </w:p>
    <w:p w:rsidR="00810A47" w:rsidRPr="00F45130" w:rsidRDefault="00810A47" w:rsidP="00810A47">
      <w:pPr>
        <w:pStyle w:val="ListParagraph"/>
        <w:ind w:left="1230"/>
        <w:rPr>
          <w:rFonts w:cs="Arial"/>
          <w:bCs/>
        </w:rPr>
      </w:pPr>
      <w:r w:rsidRPr="00F45130">
        <w:rPr>
          <w:rFonts w:cs="Arial"/>
          <w:bCs/>
        </w:rPr>
        <w:t>Agents also do not usually ’cause settlement fails’: it is their clients (or underlying clients of their clients) who due to lack of securities (</w:t>
      </w:r>
      <w:r w:rsidR="00F339A2">
        <w:rPr>
          <w:rFonts w:cs="Arial"/>
          <w:bCs/>
        </w:rPr>
        <w:t>or lack of cash</w:t>
      </w:r>
      <w:r w:rsidRPr="00F45130">
        <w:rPr>
          <w:rFonts w:cs="Arial"/>
          <w:bCs/>
        </w:rPr>
        <w:t>) cause their d</w:t>
      </w:r>
      <w:r w:rsidRPr="00F45130">
        <w:rPr>
          <w:rFonts w:cs="Arial"/>
          <w:bCs/>
        </w:rPr>
        <w:t>e</w:t>
      </w:r>
      <w:r w:rsidRPr="00F45130">
        <w:rPr>
          <w:rFonts w:cs="Arial"/>
          <w:bCs/>
        </w:rPr>
        <w:t>livery instructions to fail and they are often subject to a mandatory buy-in under the original trading agreement.</w:t>
      </w:r>
    </w:p>
    <w:p w:rsidR="00810A47" w:rsidRPr="00F45130" w:rsidRDefault="00810A47" w:rsidP="00810A47">
      <w:pPr>
        <w:ind w:left="870"/>
        <w:rPr>
          <w:rFonts w:cs="Arial"/>
          <w:bCs/>
        </w:rPr>
      </w:pPr>
      <w:r w:rsidRPr="00F45130">
        <w:rPr>
          <w:rFonts w:cs="Arial"/>
          <w:bCs/>
        </w:rPr>
        <w:br/>
        <w:t>This creates a fundamental mismatch between:</w:t>
      </w:r>
    </w:p>
    <w:p w:rsidR="00810A47" w:rsidRPr="00F45130" w:rsidRDefault="00810A47" w:rsidP="00810A47">
      <w:pPr>
        <w:ind w:left="1230"/>
        <w:rPr>
          <w:rFonts w:cs="Arial"/>
          <w:bCs/>
        </w:rPr>
      </w:pPr>
      <w:r w:rsidRPr="00F45130">
        <w:rPr>
          <w:rFonts w:cs="Arial"/>
          <w:bCs/>
        </w:rPr>
        <w:t>-  Which contract needs to be enforced</w:t>
      </w:r>
      <w:r w:rsidRPr="00F45130">
        <w:rPr>
          <w:rFonts w:cs="Arial"/>
          <w:bCs/>
          <w:u w:val="single"/>
        </w:rPr>
        <w:t>: trading contract between counterparties or settlement contract arrangements</w:t>
      </w:r>
      <w:r w:rsidR="00341C90">
        <w:rPr>
          <w:rFonts w:cs="Arial"/>
          <w:bCs/>
        </w:rPr>
        <w:t>?</w:t>
      </w:r>
    </w:p>
    <w:p w:rsidR="00341C90" w:rsidRDefault="00810A47" w:rsidP="00810A47">
      <w:pPr>
        <w:ind w:left="1230"/>
        <w:rPr>
          <w:rFonts w:cs="Arial"/>
          <w:bCs/>
        </w:rPr>
      </w:pPr>
      <w:r w:rsidRPr="00F45130">
        <w:rPr>
          <w:rFonts w:cs="Arial"/>
          <w:bCs/>
        </w:rPr>
        <w:t xml:space="preserve">- Who is held responsible for the fail and is charged with the buy-in; </w:t>
      </w:r>
      <w:r w:rsidRPr="00F45130">
        <w:rPr>
          <w:rFonts w:cs="Arial"/>
          <w:bCs/>
          <w:u w:val="single"/>
        </w:rPr>
        <w:t>the settlement agent at CSD level or Settlement’s agent client</w:t>
      </w:r>
      <w:r w:rsidRPr="00F45130">
        <w:rPr>
          <w:rFonts w:cs="Arial"/>
          <w:bCs/>
        </w:rPr>
        <w:t xml:space="preserve"> who has caused the fail; </w:t>
      </w:r>
    </w:p>
    <w:p w:rsidR="00F339A2" w:rsidRPr="00F45130" w:rsidRDefault="00F339A2" w:rsidP="00810A47">
      <w:pPr>
        <w:ind w:left="1230"/>
        <w:rPr>
          <w:rFonts w:cs="Arial"/>
          <w:bCs/>
        </w:rPr>
      </w:pPr>
    </w:p>
    <w:p w:rsidR="00810A47" w:rsidRPr="00F45130" w:rsidRDefault="00810A47" w:rsidP="00810A47">
      <w:pPr>
        <w:ind w:left="709"/>
        <w:rPr>
          <w:rFonts w:cs="Arial"/>
          <w:bCs/>
        </w:rPr>
      </w:pPr>
      <w:r w:rsidRPr="00F45130">
        <w:rPr>
          <w:rFonts w:cs="Arial"/>
          <w:bCs/>
        </w:rPr>
        <w:t xml:space="preserve">If the liability of a buy-in rests with a CSD participant rather than with the relevant trading counterparty who agreed the underlying trade, the consequence is that in many cases, the mandatory buy-in provisions will be applied against CSD participants/intermediaries for the purposes of </w:t>
      </w:r>
      <w:proofErr w:type="gramStart"/>
      <w:r w:rsidRPr="00F45130">
        <w:rPr>
          <w:rFonts w:cs="Arial"/>
          <w:bCs/>
        </w:rPr>
        <w:t>enforcing  an</w:t>
      </w:r>
      <w:proofErr w:type="gramEnd"/>
      <w:r w:rsidRPr="00F45130">
        <w:rPr>
          <w:rFonts w:cs="Arial"/>
          <w:bCs/>
        </w:rPr>
        <w:t xml:space="preserve"> agreement to which they are not a party, of which exact terms they have no knowledge, and to cure a fail caused by someone (an underlying cl</w:t>
      </w:r>
      <w:r w:rsidRPr="00F45130">
        <w:rPr>
          <w:rFonts w:cs="Arial"/>
          <w:bCs/>
        </w:rPr>
        <w:t>i</w:t>
      </w:r>
      <w:r w:rsidRPr="00F45130">
        <w:rPr>
          <w:rFonts w:cs="Arial"/>
          <w:bCs/>
        </w:rPr>
        <w:t>ent) they may not even have a relationship with</w:t>
      </w:r>
      <w:r w:rsidRPr="00F45130">
        <w:rPr>
          <w:rStyle w:val="FootnoteReference"/>
          <w:rFonts w:cs="Arial"/>
          <w:bCs/>
        </w:rPr>
        <w:footnoteReference w:id="3"/>
      </w:r>
      <w:r w:rsidRPr="00F45130">
        <w:rPr>
          <w:rFonts w:cs="Arial"/>
          <w:bCs/>
        </w:rPr>
        <w:t>.</w:t>
      </w:r>
    </w:p>
    <w:p w:rsidR="00810A47" w:rsidRPr="00F45130" w:rsidRDefault="00810A47" w:rsidP="00810A47">
      <w:pPr>
        <w:ind w:left="709"/>
        <w:rPr>
          <w:rFonts w:cs="Arial"/>
          <w:bCs/>
        </w:rPr>
      </w:pPr>
    </w:p>
    <w:p w:rsidR="00810A47" w:rsidRPr="00F45130" w:rsidRDefault="00810A47" w:rsidP="00810A47">
      <w:pPr>
        <w:ind w:left="709"/>
        <w:rPr>
          <w:rFonts w:cs="Arial"/>
          <w:bCs/>
        </w:rPr>
      </w:pPr>
      <w:r w:rsidRPr="00F45130">
        <w:rPr>
          <w:rFonts w:cs="Arial"/>
          <w:bCs/>
        </w:rPr>
        <w:t>Mandatory buy-ins in such cases may not serve their purpose. It will cure the immediate failing trade but will directly penalise CSD participants</w:t>
      </w:r>
      <w:r w:rsidR="00341C90">
        <w:rPr>
          <w:rFonts w:cs="Arial"/>
          <w:bCs/>
        </w:rPr>
        <w:t xml:space="preserve"> </w:t>
      </w:r>
      <w:r w:rsidRPr="00F45130">
        <w:rPr>
          <w:rFonts w:cs="Arial"/>
          <w:bCs/>
        </w:rPr>
        <w:t>/ Intermediaries who are not d</w:t>
      </w:r>
      <w:r w:rsidRPr="00F45130">
        <w:rPr>
          <w:rFonts w:cs="Arial"/>
          <w:bCs/>
        </w:rPr>
        <w:t>i</w:t>
      </w:r>
      <w:r w:rsidRPr="00F45130">
        <w:rPr>
          <w:rFonts w:cs="Arial"/>
          <w:bCs/>
        </w:rPr>
        <w:t xml:space="preserve">rectly involved in the transaction. Intermediaries in such cases may have no knowledge of the details of trades subject to a buy-in or of the underling real failing counterparty. This will mean the intermediaries are forced to underwrite trading risk, and they will in turn need to protect themselves from this risk (through collateralisation or other form of risk mitigant). This </w:t>
      </w:r>
      <w:r w:rsidR="00D939AF" w:rsidRPr="00F45130">
        <w:rPr>
          <w:rFonts w:cs="Arial"/>
          <w:bCs/>
        </w:rPr>
        <w:t>will</w:t>
      </w:r>
      <w:r w:rsidRPr="00F45130">
        <w:rPr>
          <w:rFonts w:cs="Arial"/>
          <w:bCs/>
        </w:rPr>
        <w:t xml:space="preserve"> fundamentally change the risk profile of CSD partic</w:t>
      </w:r>
      <w:r w:rsidRPr="00F45130">
        <w:rPr>
          <w:rFonts w:cs="Arial"/>
          <w:bCs/>
        </w:rPr>
        <w:t>i</w:t>
      </w:r>
      <w:r w:rsidRPr="00F45130">
        <w:rPr>
          <w:rFonts w:cs="Arial"/>
          <w:bCs/>
        </w:rPr>
        <w:t>pants/intermediaries in the market and add a new layer of cost. As this is a new param</w:t>
      </w:r>
      <w:r w:rsidRPr="00F45130">
        <w:rPr>
          <w:rFonts w:cs="Arial"/>
          <w:bCs/>
        </w:rPr>
        <w:t>e</w:t>
      </w:r>
      <w:r w:rsidRPr="00F45130">
        <w:rPr>
          <w:rFonts w:cs="Arial"/>
          <w:bCs/>
        </w:rPr>
        <w:t>ter for intermediaries to deal with, there is no market standard today for dealing with this risk, and it will take time for a model to develop (hence the limited available quantitative data available to determine the true cost).</w:t>
      </w:r>
    </w:p>
    <w:p w:rsidR="00810A47" w:rsidRPr="00F45130" w:rsidRDefault="00810A47" w:rsidP="00810A47">
      <w:pPr>
        <w:ind w:left="709"/>
        <w:rPr>
          <w:rFonts w:cs="Arial"/>
          <w:bCs/>
        </w:rPr>
      </w:pPr>
    </w:p>
    <w:p w:rsidR="00810A47" w:rsidRPr="00F45130" w:rsidRDefault="00810A47" w:rsidP="00810A47">
      <w:pPr>
        <w:ind w:left="709"/>
        <w:rPr>
          <w:rFonts w:cs="Arial"/>
          <w:bCs/>
        </w:rPr>
      </w:pPr>
      <w:r w:rsidRPr="00F45130">
        <w:rPr>
          <w:rFonts w:cs="Arial"/>
          <w:bCs/>
        </w:rPr>
        <w:lastRenderedPageBreak/>
        <w:t>Ultimately, there is a fundamental question as to who needs to bear the costs and risks of a buy-in (and how to claim costs back from the party who caused the fail to the extent</w:t>
      </w:r>
      <w:r w:rsidR="00F339A2">
        <w:rPr>
          <w:rFonts w:cs="Arial"/>
          <w:bCs/>
        </w:rPr>
        <w:t xml:space="preserve"> that</w:t>
      </w:r>
      <w:r w:rsidRPr="00F45130">
        <w:rPr>
          <w:rFonts w:cs="Arial"/>
          <w:bCs/>
        </w:rPr>
        <w:t xml:space="preserve"> an intermediary bears such costs), but it also creates issues for cross border trading and settlement (point b), and for the role of CSDs in enforcing buy-ins against CSD pa</w:t>
      </w:r>
      <w:r w:rsidRPr="00F45130">
        <w:rPr>
          <w:rFonts w:cs="Arial"/>
          <w:bCs/>
        </w:rPr>
        <w:t>r</w:t>
      </w:r>
      <w:r w:rsidRPr="00F45130">
        <w:rPr>
          <w:rFonts w:cs="Arial"/>
          <w:bCs/>
        </w:rPr>
        <w:t>ticipants</w:t>
      </w:r>
      <w:r w:rsidRPr="00F45130">
        <w:rPr>
          <w:rStyle w:val="FootnoteReference"/>
          <w:rFonts w:cs="Arial"/>
          <w:bCs/>
        </w:rPr>
        <w:footnoteReference w:id="4"/>
      </w:r>
      <w:r w:rsidRPr="00F45130">
        <w:rPr>
          <w:rFonts w:cs="Arial"/>
          <w:bCs/>
        </w:rPr>
        <w:t xml:space="preserve">.  </w:t>
      </w:r>
      <w:r w:rsidRPr="00F45130">
        <w:rPr>
          <w:rFonts w:cs="Arial"/>
          <w:bCs/>
        </w:rPr>
        <w:br/>
      </w:r>
    </w:p>
    <w:p w:rsidR="00810A47" w:rsidRPr="0051101B" w:rsidRDefault="00810A47" w:rsidP="0051101B">
      <w:pPr>
        <w:pStyle w:val="ListParagraph"/>
        <w:numPr>
          <w:ilvl w:val="0"/>
          <w:numId w:val="35"/>
        </w:numPr>
        <w:rPr>
          <w:rFonts w:cs="Arial"/>
          <w:bCs/>
        </w:rPr>
      </w:pPr>
      <w:r w:rsidRPr="0051101B">
        <w:rPr>
          <w:rFonts w:cs="Arial"/>
          <w:b/>
          <w:bCs/>
          <w:u w:val="single"/>
        </w:rPr>
        <w:t>The scope of transactions subject to buy-ins is unclear</w:t>
      </w:r>
      <w:r w:rsidRPr="0051101B">
        <w:rPr>
          <w:rFonts w:cs="Arial"/>
          <w:bCs/>
        </w:rPr>
        <w:br/>
      </w:r>
    </w:p>
    <w:p w:rsidR="00810A47" w:rsidRPr="00F45130" w:rsidRDefault="00810A47" w:rsidP="00810A47">
      <w:pPr>
        <w:rPr>
          <w:rFonts w:cs="Arial"/>
          <w:bCs/>
        </w:rPr>
      </w:pPr>
      <w:r w:rsidRPr="00F45130">
        <w:rPr>
          <w:rFonts w:cs="Arial"/>
          <w:bCs/>
        </w:rPr>
        <w:t>The concept of a “transaction” in Article 5(1) CSDR – to which the buy-in requirement in Article 7(3) relates – is not defined.  Accordingly, we suggest that ESMA can provide guidance as to what that term means in this context, and thereby provide guidance as to when a buy-in will be required under CSDR.</w:t>
      </w:r>
    </w:p>
    <w:p w:rsidR="00810A47" w:rsidRPr="00F45130" w:rsidRDefault="00810A47" w:rsidP="00810A47">
      <w:pPr>
        <w:rPr>
          <w:rFonts w:cs="Arial"/>
          <w:bCs/>
        </w:rPr>
      </w:pPr>
    </w:p>
    <w:p w:rsidR="00810A47" w:rsidRPr="00F45130" w:rsidRDefault="00810A47" w:rsidP="00810A47">
      <w:pPr>
        <w:rPr>
          <w:rFonts w:cs="Arial"/>
          <w:bCs/>
        </w:rPr>
      </w:pPr>
      <w:r w:rsidRPr="00F45130">
        <w:rPr>
          <w:rFonts w:cs="Arial"/>
          <w:bCs/>
        </w:rPr>
        <w:t>AFME believes that settlements with no underlying economic value should not be subject to buy-ins under the proposed RTS.</w:t>
      </w:r>
    </w:p>
    <w:p w:rsidR="00810A47" w:rsidRPr="0051101B" w:rsidRDefault="00810A47" w:rsidP="00810A47">
      <w:pPr>
        <w:pStyle w:val="ListParagraph"/>
        <w:numPr>
          <w:ilvl w:val="0"/>
          <w:numId w:val="40"/>
        </w:numPr>
        <w:spacing w:before="120"/>
        <w:rPr>
          <w:rFonts w:cs="Arial"/>
          <w:bCs/>
          <w:u w:val="single"/>
        </w:rPr>
      </w:pPr>
      <w:r w:rsidRPr="00F45130">
        <w:rPr>
          <w:rFonts w:cs="Arial"/>
          <w:bCs/>
          <w:u w:val="single"/>
        </w:rPr>
        <w:t>Scope of transactions subject to a buy-in</w:t>
      </w:r>
      <w:r w:rsidRPr="00F45130">
        <w:rPr>
          <w:rFonts w:cs="Arial"/>
          <w:bCs/>
        </w:rPr>
        <w:br/>
        <w:t>AFME considers that “transaction” for the purposes of the buy-in requirement should be defined as follows: an underlying agreement between two (trading) parties to deliver s</w:t>
      </w:r>
      <w:r w:rsidRPr="00F45130">
        <w:rPr>
          <w:rFonts w:cs="Arial"/>
          <w:bCs/>
        </w:rPr>
        <w:t>e</w:t>
      </w:r>
      <w:r w:rsidRPr="00F45130">
        <w:rPr>
          <w:rFonts w:cs="Arial"/>
          <w:bCs/>
        </w:rPr>
        <w:t xml:space="preserve">curities, whereby a buy-in would achieve/enforce the objective of the original agreement However, in certain cases, a buy-in would not actually achieve any economic purpose, could be ineffective, and could lead to even greater risk. Some examples are listed in the answer to question 9 (portfolio transfers, realignment of assets, margin deliveries etc). Applying mandatory buy-ins in such cases would be meaningless and create even more risk (e.g. buy-ins on margin deliveries), and as such AFME feels strongly </w:t>
      </w:r>
      <w:r w:rsidR="0051101B">
        <w:rPr>
          <w:rFonts w:cs="Arial"/>
          <w:bCs/>
        </w:rPr>
        <w:t>that these should be exempted.</w:t>
      </w:r>
    </w:p>
    <w:p w:rsidR="0051101B" w:rsidRPr="00F45130" w:rsidRDefault="0051101B" w:rsidP="0051101B">
      <w:pPr>
        <w:pStyle w:val="ListParagraph"/>
        <w:spacing w:before="120"/>
        <w:ind w:left="765"/>
        <w:rPr>
          <w:rFonts w:cs="Arial"/>
          <w:bCs/>
          <w:u w:val="single"/>
        </w:rPr>
      </w:pPr>
    </w:p>
    <w:p w:rsidR="00810A47" w:rsidRPr="00F45130" w:rsidRDefault="00810A47" w:rsidP="00810A47">
      <w:pPr>
        <w:pStyle w:val="ListParagraph"/>
        <w:numPr>
          <w:ilvl w:val="0"/>
          <w:numId w:val="40"/>
        </w:numPr>
        <w:spacing w:before="120" w:after="60"/>
        <w:ind w:left="763"/>
        <w:rPr>
          <w:rFonts w:cs="Arial"/>
          <w:bCs/>
        </w:rPr>
      </w:pPr>
      <w:r w:rsidRPr="00F45130">
        <w:rPr>
          <w:rFonts w:cs="Arial"/>
          <w:bCs/>
          <w:u w:val="single"/>
        </w:rPr>
        <w:t>Cross-CSD settlement with a CSD outside the EU (territoriality</w:t>
      </w:r>
      <w:r w:rsidR="00D939AF" w:rsidRPr="00F45130">
        <w:rPr>
          <w:rFonts w:cs="Arial"/>
          <w:bCs/>
          <w:u w:val="single"/>
        </w:rPr>
        <w:t xml:space="preserve">) </w:t>
      </w:r>
      <w:r w:rsidRPr="00F45130">
        <w:rPr>
          <w:rFonts w:cs="Arial"/>
          <w:bCs/>
        </w:rPr>
        <w:br/>
        <w:t>Trading and settlement activity is internationally oriented, with trading, settlement and i</w:t>
      </w:r>
      <w:r w:rsidRPr="00F45130">
        <w:rPr>
          <w:rFonts w:cs="Arial"/>
          <w:bCs/>
        </w:rPr>
        <w:t>s</w:t>
      </w:r>
      <w:r w:rsidRPr="00F45130">
        <w:rPr>
          <w:rFonts w:cs="Arial"/>
          <w:bCs/>
        </w:rPr>
        <w:t>suance often on a cross-border basis.</w:t>
      </w:r>
      <w:r w:rsidR="00F339A2" w:rsidRPr="00F45130">
        <w:rPr>
          <w:rFonts w:cs="Arial"/>
          <w:bCs/>
        </w:rPr>
        <w:t xml:space="preserve"> </w:t>
      </w:r>
      <w:r w:rsidRPr="00F45130">
        <w:rPr>
          <w:rFonts w:cs="Arial"/>
          <w:bCs/>
        </w:rPr>
        <w:t xml:space="preserve">As the scope of the CSDR provisions only applies to settlements in EU CSDs, this raises fundamental questions and issues on the impacts to cross-border settlement and if or how these provisions can be enforced on such cases. </w:t>
      </w:r>
      <w:r w:rsidRPr="00F45130">
        <w:rPr>
          <w:rFonts w:cs="Arial"/>
          <w:bCs/>
        </w:rPr>
        <w:br/>
      </w:r>
    </w:p>
    <w:tbl>
      <w:tblPr>
        <w:tblStyle w:val="TableGrid"/>
        <w:tblW w:w="0" w:type="auto"/>
        <w:tblInd w:w="763" w:type="dxa"/>
        <w:tblLook w:val="04A0"/>
      </w:tblPr>
      <w:tblGrid>
        <w:gridCol w:w="7766"/>
      </w:tblGrid>
      <w:tr w:rsidR="00810A47" w:rsidRPr="00F45130" w:rsidTr="003D466C">
        <w:tc>
          <w:tcPr>
            <w:tcW w:w="7766" w:type="dxa"/>
          </w:tcPr>
          <w:p w:rsidR="00810A47" w:rsidRPr="0051101B" w:rsidRDefault="00810A47" w:rsidP="003D466C">
            <w:pPr>
              <w:spacing w:before="120" w:after="60"/>
              <w:rPr>
                <w:rFonts w:cs="Arial"/>
                <w:bCs/>
                <w:u w:val="single"/>
              </w:rPr>
            </w:pPr>
            <w:r w:rsidRPr="0051101B">
              <w:rPr>
                <w:rFonts w:cs="Arial"/>
                <w:bCs/>
                <w:u w:val="single"/>
              </w:rPr>
              <w:t>Example</w:t>
            </w:r>
          </w:p>
          <w:p w:rsidR="00810A47" w:rsidRPr="00F45130" w:rsidRDefault="00810A47" w:rsidP="003D466C">
            <w:pPr>
              <w:spacing w:before="120" w:after="60"/>
              <w:rPr>
                <w:rFonts w:cs="Arial"/>
                <w:bCs/>
              </w:rPr>
            </w:pPr>
            <w:r w:rsidRPr="00F45130">
              <w:rPr>
                <w:rFonts w:cs="Arial"/>
                <w:bCs/>
              </w:rPr>
              <w:t>Party A in the US (holding securities in a US CSD) sells (US) stock to Party B in a European CSD, who then sells onwards to another Party C in another European CSD.  If Party A fails to deliver to B, B cannot deliver to C, and B will be subject to penalties and buy-ins. However neither Party A nor the US CSD is not subject to CSDR, hence Party B can be bought in by Party C but cannot in turn buy-in Party A.</w:t>
            </w:r>
            <w:r w:rsidRPr="00F45130">
              <w:rPr>
                <w:rFonts w:cs="Arial"/>
                <w:bCs/>
              </w:rPr>
              <w:br/>
              <w:t>Similar issues arise in the reverse situation (If A buys from B who buys from C).</w:t>
            </w:r>
          </w:p>
        </w:tc>
      </w:tr>
    </w:tbl>
    <w:p w:rsidR="00810A47" w:rsidRDefault="00810A47" w:rsidP="00810A47">
      <w:pPr>
        <w:pStyle w:val="ListParagraph"/>
        <w:spacing w:before="120" w:after="60"/>
        <w:ind w:left="763"/>
        <w:rPr>
          <w:rFonts w:cs="Arial"/>
          <w:bCs/>
        </w:rPr>
      </w:pPr>
      <w:r w:rsidRPr="00F45130">
        <w:rPr>
          <w:rFonts w:cs="Arial"/>
          <w:bCs/>
        </w:rPr>
        <w:t>AFME considers that cross-border settlements, such as settlement of the transaction b</w:t>
      </w:r>
      <w:r w:rsidRPr="00F45130">
        <w:rPr>
          <w:rFonts w:cs="Arial"/>
          <w:bCs/>
        </w:rPr>
        <w:t>e</w:t>
      </w:r>
      <w:r w:rsidRPr="00F45130">
        <w:rPr>
          <w:rFonts w:cs="Arial"/>
          <w:bCs/>
        </w:rPr>
        <w:t>tween Party A and Party B in the example above, should fall outside the scope of CSDR, as Article 1(1) provides that CSDR “</w:t>
      </w:r>
      <w:r w:rsidRPr="00F45130">
        <w:rPr>
          <w:rFonts w:cs="Arial"/>
          <w:bCs/>
          <w:i/>
        </w:rPr>
        <w:t xml:space="preserve">lays down uniform requirements for the settlement of </w:t>
      </w:r>
      <w:r w:rsidRPr="00F45130">
        <w:rPr>
          <w:rFonts w:cs="Arial"/>
          <w:bCs/>
          <w:i/>
        </w:rPr>
        <w:lastRenderedPageBreak/>
        <w:t xml:space="preserve">financial instruments </w:t>
      </w:r>
      <w:r w:rsidRPr="00F45130">
        <w:rPr>
          <w:rFonts w:cs="Arial"/>
          <w:b/>
          <w:bCs/>
          <w:i/>
        </w:rPr>
        <w:t>in the Union</w:t>
      </w:r>
      <w:r w:rsidRPr="00F45130">
        <w:rPr>
          <w:rFonts w:cs="Arial"/>
          <w:bCs/>
        </w:rPr>
        <w:t>”. AFME would welcome clarification and confirmation of this point.</w:t>
      </w:r>
      <w:r w:rsidRPr="00F45130">
        <w:rPr>
          <w:rFonts w:cs="Arial"/>
          <w:bCs/>
        </w:rPr>
        <w:br/>
      </w:r>
      <w:r w:rsidRPr="00F45130">
        <w:rPr>
          <w:rFonts w:cs="Arial"/>
          <w:bCs/>
        </w:rPr>
        <w:br/>
        <w:t>Otherwise, the result is likely to be that cross-border trading and settlement between the EU and third countries will become less attractive to EU entities. They will be concerned that it will not be possible to recoup the settlement fines and buy in costs from the third country party. This will make the EU a less attractive place to trade and settle. Furthe</w:t>
      </w:r>
      <w:r w:rsidRPr="00F45130">
        <w:rPr>
          <w:rFonts w:cs="Arial"/>
          <w:bCs/>
        </w:rPr>
        <w:t>r</w:t>
      </w:r>
      <w:r w:rsidRPr="00F45130">
        <w:rPr>
          <w:rFonts w:cs="Arial"/>
          <w:bCs/>
        </w:rPr>
        <w:t xml:space="preserve">more, this will potentially move </w:t>
      </w:r>
      <w:r w:rsidR="00F339A2">
        <w:rPr>
          <w:rFonts w:cs="Arial"/>
          <w:bCs/>
        </w:rPr>
        <w:t>settlement activity to</w:t>
      </w:r>
      <w:r w:rsidRPr="00F45130">
        <w:rPr>
          <w:rFonts w:cs="Arial"/>
          <w:bCs/>
        </w:rPr>
        <w:t xml:space="preserve"> non-European settlement venue a</w:t>
      </w:r>
      <w:r w:rsidRPr="00F45130">
        <w:rPr>
          <w:rFonts w:cs="Arial"/>
          <w:bCs/>
        </w:rPr>
        <w:t>l</w:t>
      </w:r>
      <w:r w:rsidRPr="00F45130">
        <w:rPr>
          <w:rFonts w:cs="Arial"/>
          <w:bCs/>
        </w:rPr>
        <w:t>together e.g. bond settlement in DTCC. Ultimately, this will have downstream impacts on repo markets.</w:t>
      </w:r>
    </w:p>
    <w:p w:rsidR="0051101B" w:rsidRPr="00F45130" w:rsidRDefault="0051101B" w:rsidP="00810A47">
      <w:pPr>
        <w:pStyle w:val="ListParagraph"/>
        <w:spacing w:before="120" w:after="60"/>
        <w:ind w:left="763"/>
        <w:rPr>
          <w:rFonts w:cs="Arial"/>
          <w:bCs/>
        </w:rPr>
      </w:pPr>
    </w:p>
    <w:p w:rsidR="00810A47" w:rsidRPr="00F45130" w:rsidRDefault="00810A47" w:rsidP="00810A47">
      <w:pPr>
        <w:pStyle w:val="ListParagraph"/>
        <w:numPr>
          <w:ilvl w:val="0"/>
          <w:numId w:val="40"/>
        </w:numPr>
        <w:spacing w:before="120"/>
        <w:ind w:left="709"/>
        <w:rPr>
          <w:rFonts w:cs="Arial"/>
          <w:bCs/>
        </w:rPr>
      </w:pPr>
      <w:r w:rsidRPr="00F45130">
        <w:rPr>
          <w:rFonts w:cs="Arial"/>
          <w:bCs/>
        </w:rPr>
        <w:t xml:space="preserve"> </w:t>
      </w:r>
      <w:r w:rsidRPr="00F45130">
        <w:rPr>
          <w:rFonts w:cs="Arial"/>
          <w:bCs/>
          <w:u w:val="single"/>
        </w:rPr>
        <w:t>Principal venue for the trading of shares is located in a third country (Art 7.13 CSDR)</w:t>
      </w:r>
      <w:r w:rsidRPr="00F45130">
        <w:rPr>
          <w:rFonts w:cs="Arial"/>
          <w:bCs/>
          <w:u w:val="single"/>
        </w:rPr>
        <w:br/>
      </w:r>
      <w:r w:rsidRPr="00F45130">
        <w:rPr>
          <w:rFonts w:cs="Arial"/>
          <w:bCs/>
        </w:rPr>
        <w:t>CSDR art 7.13 states that “</w:t>
      </w:r>
      <w:r w:rsidRPr="00F45130">
        <w:rPr>
          <w:rFonts w:cs="Arial"/>
          <w:bCs/>
          <w:i/>
        </w:rPr>
        <w:t>This Article shall not apply where the principal venue for the trading of shares</w:t>
      </w:r>
      <w:r w:rsidRPr="00F45130">
        <w:rPr>
          <w:rStyle w:val="FootnoteReference"/>
          <w:rFonts w:cs="Arial"/>
          <w:bCs/>
          <w:i/>
        </w:rPr>
        <w:footnoteReference w:id="5"/>
      </w:r>
      <w:r w:rsidRPr="00F45130">
        <w:rPr>
          <w:rFonts w:cs="Arial"/>
          <w:bCs/>
          <w:i/>
        </w:rPr>
        <w:t xml:space="preserve"> is located in a third country</w:t>
      </w:r>
      <w:r w:rsidRPr="00F45130">
        <w:rPr>
          <w:rFonts w:cs="Arial"/>
          <w:bCs/>
        </w:rPr>
        <w:t xml:space="preserve">”.  </w:t>
      </w:r>
      <w:r w:rsidRPr="00F45130">
        <w:rPr>
          <w:rFonts w:cs="Arial"/>
          <w:bCs/>
        </w:rPr>
        <w:br/>
        <w:t>When reviewing the draft RTS and ITS, it is unclear whether this exemption has been foreseen, and how it will be applied. AFME and its members agree that such an exem</w:t>
      </w:r>
      <w:r w:rsidRPr="00F45130">
        <w:rPr>
          <w:rFonts w:cs="Arial"/>
          <w:bCs/>
        </w:rPr>
        <w:t>p</w:t>
      </w:r>
      <w:r w:rsidRPr="00F45130">
        <w:rPr>
          <w:rFonts w:cs="Arial"/>
          <w:bCs/>
        </w:rPr>
        <w:t>tion is necessary, and should not only apply to trading in shares, but to any financial i</w:t>
      </w:r>
      <w:r w:rsidRPr="00F45130">
        <w:rPr>
          <w:rFonts w:cs="Arial"/>
          <w:bCs/>
        </w:rPr>
        <w:t>n</w:t>
      </w:r>
      <w:r w:rsidRPr="00F45130">
        <w:rPr>
          <w:rFonts w:cs="Arial"/>
          <w:bCs/>
        </w:rPr>
        <w:t xml:space="preserve">struments </w:t>
      </w:r>
    </w:p>
    <w:p w:rsidR="00810A47" w:rsidRPr="00F45130" w:rsidRDefault="00810A47" w:rsidP="00810A47">
      <w:pPr>
        <w:spacing w:before="120"/>
        <w:rPr>
          <w:rFonts w:cs="Arial"/>
          <w:bCs/>
        </w:rPr>
      </w:pPr>
    </w:p>
    <w:p w:rsidR="00810A47" w:rsidRPr="00F45130" w:rsidRDefault="00810A47" w:rsidP="00810A47">
      <w:pPr>
        <w:rPr>
          <w:rFonts w:cs="Arial"/>
        </w:rPr>
      </w:pPr>
    </w:p>
    <w:p w:rsidR="00810A47" w:rsidRPr="00F45130" w:rsidRDefault="00810A47" w:rsidP="00FB266C">
      <w:pPr>
        <w:pStyle w:val="ListParagraph"/>
        <w:numPr>
          <w:ilvl w:val="0"/>
          <w:numId w:val="82"/>
        </w:numPr>
        <w:rPr>
          <w:rFonts w:cs="Arial"/>
          <w:b/>
          <w:bCs/>
          <w:sz w:val="24"/>
          <w:u w:val="single"/>
        </w:rPr>
      </w:pPr>
      <w:r w:rsidRPr="00F45130">
        <w:rPr>
          <w:rFonts w:cs="Arial"/>
          <w:b/>
          <w:bCs/>
          <w:sz w:val="24"/>
          <w:u w:val="single"/>
        </w:rPr>
        <w:t>Impact of the proposed regulation on trading liquidity and bid-offer spreads</w:t>
      </w:r>
    </w:p>
    <w:p w:rsidR="00810A47" w:rsidRPr="00F45130" w:rsidRDefault="00810A47" w:rsidP="00810A47">
      <w:pPr>
        <w:pStyle w:val="ListParagraph"/>
        <w:ind w:left="405"/>
        <w:rPr>
          <w:rFonts w:cs="Arial"/>
          <w:bCs/>
        </w:rPr>
      </w:pPr>
    </w:p>
    <w:p w:rsidR="00810A47" w:rsidRPr="00F45130" w:rsidRDefault="00D635F5" w:rsidP="00810A47">
      <w:pPr>
        <w:pStyle w:val="ListParagraph"/>
        <w:ind w:left="405"/>
        <w:rPr>
          <w:rFonts w:cs="Arial"/>
          <w:bCs/>
        </w:rPr>
      </w:pPr>
      <w:r>
        <w:rPr>
          <w:rFonts w:cs="Arial"/>
          <w:bCs/>
        </w:rPr>
        <w:t>According to ICMA</w:t>
      </w:r>
      <w:r w:rsidR="00810A47" w:rsidRPr="00F45130">
        <w:rPr>
          <w:rFonts w:cs="Arial"/>
          <w:bCs/>
        </w:rPr>
        <w:t>, we expect the following impacts:</w:t>
      </w:r>
    </w:p>
    <w:p w:rsidR="00810A47" w:rsidRPr="00F45130" w:rsidRDefault="00810A47" w:rsidP="00810A47">
      <w:pPr>
        <w:pStyle w:val="ListParagraph"/>
        <w:ind w:left="405"/>
        <w:rPr>
          <w:rFonts w:cs="Arial"/>
          <w:bCs/>
        </w:rPr>
      </w:pPr>
    </w:p>
    <w:p w:rsidR="00810A47" w:rsidRPr="00F45130" w:rsidRDefault="00810A47" w:rsidP="00FB266C">
      <w:pPr>
        <w:pStyle w:val="ListParagraph"/>
        <w:numPr>
          <w:ilvl w:val="0"/>
          <w:numId w:val="54"/>
        </w:numPr>
        <w:rPr>
          <w:rFonts w:cs="Arial"/>
          <w:bCs/>
        </w:rPr>
      </w:pPr>
      <w:r w:rsidRPr="00F45130">
        <w:rPr>
          <w:rFonts w:cs="Arial"/>
          <w:bCs/>
        </w:rPr>
        <w:t xml:space="preserve"> The risk of mandatory buy-ins will increase bond market offer prices significantly across all fixed income asset classes (sovereign, public, and corporate bonds), including those considered most liquid. Meanwhile, for less liquid bonds, including certain sovereign bonds, many market-makers will retrench from providing offer-side liquidity altogether. Based on current European bond market structure and volumes, this is likely to equate to annual cost to investors and other market users running into several billions of Euros.</w:t>
      </w:r>
    </w:p>
    <w:p w:rsidR="00810A47" w:rsidRPr="00F45130" w:rsidRDefault="00810A47" w:rsidP="00810A47">
      <w:pPr>
        <w:pStyle w:val="ListParagraph"/>
        <w:ind w:left="405"/>
        <w:rPr>
          <w:rFonts w:cs="Arial"/>
          <w:sz w:val="20"/>
          <w:szCs w:val="20"/>
        </w:rPr>
      </w:pPr>
    </w:p>
    <w:p w:rsidR="00810A47" w:rsidRPr="00F45130" w:rsidRDefault="00810A47" w:rsidP="00FB266C">
      <w:pPr>
        <w:pStyle w:val="ListParagraph"/>
        <w:numPr>
          <w:ilvl w:val="0"/>
          <w:numId w:val="54"/>
        </w:numPr>
        <w:rPr>
          <w:rFonts w:cs="Arial"/>
          <w:bCs/>
        </w:rPr>
      </w:pPr>
      <w:r w:rsidRPr="00F45130">
        <w:rPr>
          <w:rFonts w:cs="Arial"/>
          <w:bCs/>
        </w:rPr>
        <w:t>Mandatory buy-ins will impact 45% of the current European repo market, again widening bid-offer spreads for the most liquid securities, and reducing offer-side liquidity for less liquid securities or asset classes. A conservative estimate of the cost to repo market u</w:t>
      </w:r>
      <w:r w:rsidRPr="00F45130">
        <w:rPr>
          <w:rFonts w:cs="Arial"/>
          <w:bCs/>
        </w:rPr>
        <w:t>s</w:t>
      </w:r>
      <w:r w:rsidRPr="00F45130">
        <w:rPr>
          <w:rFonts w:cs="Arial"/>
          <w:bCs/>
        </w:rPr>
        <w:t xml:space="preserve">ers, based on current market size and structure, is in excess of 3.5bn </w:t>
      </w:r>
      <w:r w:rsidR="0051101B" w:rsidRPr="00F45130">
        <w:rPr>
          <w:rFonts w:cs="Arial"/>
          <w:bCs/>
        </w:rPr>
        <w:t>Euros</w:t>
      </w:r>
      <w:r w:rsidRPr="00F45130">
        <w:rPr>
          <w:rFonts w:cs="Arial"/>
          <w:bCs/>
        </w:rPr>
        <w:t xml:space="preserve"> per annum.</w:t>
      </w:r>
    </w:p>
    <w:p w:rsidR="00810A47" w:rsidRPr="00F45130" w:rsidRDefault="00810A47" w:rsidP="00810A47">
      <w:pPr>
        <w:pStyle w:val="ListParagraph"/>
        <w:ind w:left="405"/>
        <w:rPr>
          <w:rFonts w:cs="Arial"/>
          <w:sz w:val="20"/>
          <w:szCs w:val="20"/>
        </w:rPr>
      </w:pPr>
    </w:p>
    <w:p w:rsidR="00810A47" w:rsidRPr="00F45130" w:rsidRDefault="00810A47" w:rsidP="00FB266C">
      <w:pPr>
        <w:pStyle w:val="ListParagraph"/>
        <w:numPr>
          <w:ilvl w:val="0"/>
          <w:numId w:val="54"/>
        </w:numPr>
        <w:rPr>
          <w:rFonts w:cs="Arial"/>
          <w:bCs/>
        </w:rPr>
      </w:pPr>
      <w:r w:rsidRPr="00F45130">
        <w:rPr>
          <w:rFonts w:cs="Arial"/>
          <w:bCs/>
        </w:rPr>
        <w:t>By applying the maximum extension period of seven days to all fixed income products, regardless of a security's MiFID II/R liquidity calibration, should help mitigate some of the liquidity and pricing impact on the European bond markets, in particular for the sovereign bond markets, which in terms of overall impact are set to be most adversely impacted.</w:t>
      </w:r>
    </w:p>
    <w:p w:rsidR="00810A47" w:rsidRPr="00F45130" w:rsidRDefault="00810A47" w:rsidP="00810A47">
      <w:pPr>
        <w:pStyle w:val="ListParagraph"/>
        <w:ind w:left="765"/>
        <w:rPr>
          <w:rFonts w:cs="Arial"/>
          <w:sz w:val="20"/>
          <w:szCs w:val="20"/>
        </w:rPr>
      </w:pPr>
    </w:p>
    <w:p w:rsidR="00810A47" w:rsidRPr="00F45130" w:rsidRDefault="00810A47" w:rsidP="00FB266C">
      <w:pPr>
        <w:pStyle w:val="ListParagraph"/>
        <w:numPr>
          <w:ilvl w:val="0"/>
          <w:numId w:val="54"/>
        </w:numPr>
        <w:rPr>
          <w:rFonts w:cs="Arial"/>
          <w:bCs/>
        </w:rPr>
      </w:pPr>
      <w:r w:rsidRPr="00F45130">
        <w:rPr>
          <w:rFonts w:cs="Arial"/>
          <w:bCs/>
        </w:rPr>
        <w:t xml:space="preserve">Extending the cut-off threshold for SFT exemption to 1 month (30 calendar days), would bring another 25% of the repo market out-of-scope, while reducing the overall annual cost to market users by around 2bn </w:t>
      </w:r>
      <w:r w:rsidR="0051101B" w:rsidRPr="00F45130">
        <w:rPr>
          <w:rFonts w:cs="Arial"/>
          <w:bCs/>
        </w:rPr>
        <w:t>Euros</w:t>
      </w:r>
      <w:r w:rsidRPr="00F45130">
        <w:rPr>
          <w:rFonts w:cs="Arial"/>
          <w:bCs/>
        </w:rPr>
        <w:t>.</w:t>
      </w:r>
    </w:p>
    <w:p w:rsidR="00810A47" w:rsidRPr="00F45130" w:rsidRDefault="00810A47" w:rsidP="00810A47">
      <w:pPr>
        <w:pStyle w:val="ListParagraph"/>
        <w:ind w:left="765"/>
        <w:rPr>
          <w:rFonts w:cs="Arial"/>
          <w:sz w:val="20"/>
          <w:szCs w:val="20"/>
        </w:rPr>
      </w:pPr>
    </w:p>
    <w:p w:rsidR="00810A47" w:rsidRDefault="00810A47" w:rsidP="00FB266C">
      <w:pPr>
        <w:pStyle w:val="ListParagraph"/>
        <w:numPr>
          <w:ilvl w:val="0"/>
          <w:numId w:val="54"/>
        </w:numPr>
        <w:rPr>
          <w:rFonts w:cs="Arial"/>
          <w:bCs/>
        </w:rPr>
      </w:pPr>
      <w:r w:rsidRPr="00F45130">
        <w:rPr>
          <w:rFonts w:cs="Arial"/>
          <w:bCs/>
        </w:rPr>
        <w:t>The analysis suggests that there is a strong case for an independent and rigorous a</w:t>
      </w:r>
      <w:r w:rsidRPr="00F45130">
        <w:rPr>
          <w:rFonts w:cs="Arial"/>
          <w:bCs/>
        </w:rPr>
        <w:t>s</w:t>
      </w:r>
      <w:r w:rsidRPr="00F45130">
        <w:rPr>
          <w:rFonts w:cs="Arial"/>
          <w:bCs/>
        </w:rPr>
        <w:t>sessment of the full market impact of mandatory buy-ins, including a cost-benefit-</w:t>
      </w:r>
      <w:r w:rsidRPr="00F45130">
        <w:rPr>
          <w:rFonts w:cs="Arial"/>
          <w:bCs/>
        </w:rPr>
        <w:lastRenderedPageBreak/>
        <w:t>analysis, before its implementation. Members support such an impact study with full pu</w:t>
      </w:r>
      <w:r w:rsidRPr="00F45130">
        <w:rPr>
          <w:rFonts w:cs="Arial"/>
          <w:bCs/>
        </w:rPr>
        <w:t>b</w:t>
      </w:r>
      <w:r w:rsidRPr="00F45130">
        <w:rPr>
          <w:rFonts w:cs="Arial"/>
          <w:bCs/>
        </w:rPr>
        <w:t>lic disclosure of the findings.</w:t>
      </w:r>
    </w:p>
    <w:p w:rsidR="0051101B" w:rsidRPr="00F45130" w:rsidRDefault="0051101B" w:rsidP="0051101B">
      <w:pPr>
        <w:pStyle w:val="ListParagraph"/>
        <w:ind w:left="765"/>
        <w:rPr>
          <w:rFonts w:cs="Arial"/>
          <w:bCs/>
        </w:rPr>
      </w:pPr>
    </w:p>
    <w:p w:rsidR="00810A47" w:rsidRPr="00F45130" w:rsidRDefault="00810A47" w:rsidP="0051101B">
      <w:pPr>
        <w:rPr>
          <w:rFonts w:cs="Arial"/>
        </w:rPr>
      </w:pPr>
      <w:r w:rsidRPr="00F45130">
        <w:rPr>
          <w:rFonts w:cs="Arial"/>
          <w:noProof/>
          <w:lang w:val="en-US" w:eastAsia="en-US"/>
        </w:rPr>
        <w:drawing>
          <wp:inline distT="0" distB="0" distL="0" distR="0">
            <wp:extent cx="5278755" cy="3101678"/>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278755" cy="3101678"/>
                    </a:xfrm>
                    <a:prstGeom prst="rect">
                      <a:avLst/>
                    </a:prstGeom>
                    <a:noFill/>
                    <a:ln w="9525">
                      <a:noFill/>
                      <a:miter lim="800000"/>
                      <a:headEnd/>
                      <a:tailEnd/>
                    </a:ln>
                  </pic:spPr>
                </pic:pic>
              </a:graphicData>
            </a:graphic>
          </wp:inline>
        </w:drawing>
      </w:r>
    </w:p>
    <w:p w:rsidR="00810A47" w:rsidRPr="00F45130" w:rsidRDefault="00810A47" w:rsidP="00810A47">
      <w:pPr>
        <w:pStyle w:val="Caption"/>
        <w:rPr>
          <w:rFonts w:cs="Arial"/>
        </w:rPr>
      </w:pPr>
      <w:r w:rsidRPr="00F45130">
        <w:rPr>
          <w:rFonts w:cs="Arial"/>
        </w:rPr>
        <w:t xml:space="preserve">Figure </w:t>
      </w:r>
      <w:r w:rsidR="00EC1027" w:rsidRPr="00F45130">
        <w:rPr>
          <w:rFonts w:cs="Arial"/>
        </w:rPr>
        <w:fldChar w:fldCharType="begin"/>
      </w:r>
      <w:r w:rsidRPr="00F45130">
        <w:rPr>
          <w:rFonts w:cs="Arial"/>
        </w:rPr>
        <w:instrText xml:space="preserve"> SEQ Figure \* ARABIC </w:instrText>
      </w:r>
      <w:r w:rsidR="00EC1027" w:rsidRPr="00F45130">
        <w:rPr>
          <w:rFonts w:cs="Arial"/>
        </w:rPr>
        <w:fldChar w:fldCharType="separate"/>
      </w:r>
      <w:r w:rsidR="002F4894">
        <w:rPr>
          <w:rFonts w:cs="Arial"/>
          <w:noProof/>
        </w:rPr>
        <w:t>1</w:t>
      </w:r>
      <w:r w:rsidR="00EC1027" w:rsidRPr="00F45130">
        <w:rPr>
          <w:rFonts w:cs="Arial"/>
        </w:rPr>
        <w:fldChar w:fldCharType="end"/>
      </w:r>
      <w:r w:rsidRPr="00F45130">
        <w:rPr>
          <w:rFonts w:cs="Arial"/>
        </w:rPr>
        <w:t>: ICMA – CSDR Mandatory Buy-ins Impact study results</w:t>
      </w:r>
    </w:p>
    <w:p w:rsidR="00810A47" w:rsidRPr="0051101B" w:rsidRDefault="00810A47" w:rsidP="00FB266C">
      <w:pPr>
        <w:pStyle w:val="ListParagraph"/>
        <w:numPr>
          <w:ilvl w:val="0"/>
          <w:numId w:val="81"/>
        </w:numPr>
        <w:rPr>
          <w:rFonts w:cs="Arial"/>
          <w:b/>
          <w:bCs/>
          <w:sz w:val="24"/>
          <w:u w:val="single"/>
        </w:rPr>
      </w:pPr>
      <w:r w:rsidRPr="0051101B">
        <w:rPr>
          <w:rFonts w:cs="Arial"/>
          <w:b/>
          <w:bCs/>
          <w:sz w:val="24"/>
          <w:u w:val="single"/>
        </w:rPr>
        <w:t>Proposed measures on partialling</w:t>
      </w:r>
    </w:p>
    <w:p w:rsidR="00810A47" w:rsidRPr="00F45130" w:rsidRDefault="00810A47" w:rsidP="00810A47">
      <w:pPr>
        <w:spacing w:before="120"/>
        <w:ind w:left="45"/>
        <w:rPr>
          <w:rFonts w:cs="Arial"/>
          <w:bCs/>
        </w:rPr>
      </w:pPr>
      <w:r w:rsidRPr="00F45130">
        <w:rPr>
          <w:rFonts w:cs="Arial"/>
          <w:bCs/>
        </w:rPr>
        <w:t>We agree with ESMA’s view that mandatory partialling would be beneficial to reduce the amount of buy-ins. However, in order to be most effective, partialling should not take place at the end of the extension period, but one day before, in order to allow interdependent chains of settlement instructions and cross-CSD settlements to benefit optimally from the opportunity to settle. I</w:t>
      </w:r>
      <w:r w:rsidRPr="00F45130">
        <w:rPr>
          <w:rFonts w:cs="Arial"/>
          <w:bCs/>
        </w:rPr>
        <w:t>m</w:t>
      </w:r>
      <w:r w:rsidRPr="00F45130">
        <w:rPr>
          <w:rFonts w:cs="Arial"/>
          <w:bCs/>
        </w:rPr>
        <w:t>posing mandatory partialling at an earlier moment would create too many processing and re</w:t>
      </w:r>
      <w:r w:rsidRPr="00F45130">
        <w:rPr>
          <w:rFonts w:cs="Arial"/>
          <w:bCs/>
        </w:rPr>
        <w:t>c</w:t>
      </w:r>
      <w:r w:rsidRPr="00F45130">
        <w:rPr>
          <w:rFonts w:cs="Arial"/>
          <w:bCs/>
        </w:rPr>
        <w:t>onciliation issues.</w:t>
      </w:r>
    </w:p>
    <w:p w:rsidR="00810A47" w:rsidRPr="00F45130" w:rsidRDefault="00810A47" w:rsidP="00810A47">
      <w:pPr>
        <w:spacing w:before="120"/>
        <w:ind w:left="45"/>
        <w:rPr>
          <w:rFonts w:cs="Arial"/>
          <w:bCs/>
        </w:rPr>
      </w:pPr>
      <w:r w:rsidRPr="00F45130">
        <w:rPr>
          <w:rFonts w:cs="Arial"/>
          <w:bCs/>
        </w:rPr>
        <w:t>AFME would like to highlight to ESMA that imposing a mandatory partial settlement on instru</w:t>
      </w:r>
      <w:r w:rsidRPr="00F45130">
        <w:rPr>
          <w:rFonts w:cs="Arial"/>
          <w:bCs/>
        </w:rPr>
        <w:t>c</w:t>
      </w:r>
      <w:r w:rsidRPr="00F45130">
        <w:rPr>
          <w:rFonts w:cs="Arial"/>
          <w:bCs/>
        </w:rPr>
        <w:t>tions/ transactions which do not show a “technical” partial indicator will require significant techn</w:t>
      </w:r>
      <w:r w:rsidRPr="00F45130">
        <w:rPr>
          <w:rFonts w:cs="Arial"/>
          <w:bCs/>
        </w:rPr>
        <w:t>i</w:t>
      </w:r>
      <w:r w:rsidRPr="00F45130">
        <w:rPr>
          <w:rFonts w:cs="Arial"/>
          <w:bCs/>
        </w:rPr>
        <w:t xml:space="preserve">cal build on the part of the CSD (to force the settlement) and the participants (to process the results). </w:t>
      </w:r>
    </w:p>
    <w:p w:rsidR="00810A47" w:rsidRPr="00F45130" w:rsidRDefault="00810A47" w:rsidP="00810A47">
      <w:pPr>
        <w:spacing w:before="120"/>
        <w:ind w:left="45"/>
        <w:rPr>
          <w:rFonts w:cs="Arial"/>
          <w:bCs/>
        </w:rPr>
      </w:pPr>
      <w:r w:rsidRPr="00F45130">
        <w:rPr>
          <w:rFonts w:cs="Arial"/>
          <w:bCs/>
        </w:rPr>
        <w:t>Furthermore, AFME believe</w:t>
      </w:r>
      <w:r w:rsidR="0023191D">
        <w:rPr>
          <w:rFonts w:cs="Arial"/>
          <w:bCs/>
        </w:rPr>
        <w:t>s</w:t>
      </w:r>
      <w:r w:rsidRPr="00F45130">
        <w:rPr>
          <w:rFonts w:cs="Arial"/>
          <w:bCs/>
        </w:rPr>
        <w:t xml:space="preserve"> that in an Omnibus account structure, any mandatory partial se</w:t>
      </w:r>
      <w:r w:rsidRPr="00F45130">
        <w:rPr>
          <w:rFonts w:cs="Arial"/>
          <w:bCs/>
        </w:rPr>
        <w:t>t</w:t>
      </w:r>
      <w:r w:rsidRPr="00F45130">
        <w:rPr>
          <w:rFonts w:cs="Arial"/>
          <w:bCs/>
        </w:rPr>
        <w:t>tlement of failed deliveries will conflict with client asset rules.</w:t>
      </w:r>
      <w:r w:rsidRPr="00F45130">
        <w:rPr>
          <w:rFonts w:cs="Arial"/>
        </w:rPr>
        <w:t xml:space="preserve"> </w:t>
      </w:r>
      <w:r w:rsidRPr="00F45130">
        <w:rPr>
          <w:rFonts w:cs="Arial"/>
          <w:bCs/>
        </w:rPr>
        <w:t>In omnibus account structures, the CSD participant will hold assets of multiple clients within one CSD account and maintain ad</w:t>
      </w:r>
      <w:r w:rsidRPr="00F45130">
        <w:rPr>
          <w:rFonts w:cs="Arial"/>
          <w:bCs/>
        </w:rPr>
        <w:t>e</w:t>
      </w:r>
      <w:r w:rsidRPr="00F45130">
        <w:rPr>
          <w:rFonts w:cs="Arial"/>
          <w:bCs/>
        </w:rPr>
        <w:t>quate books and records of their underlying client holdings. When instructing delivery transa</w:t>
      </w:r>
      <w:r w:rsidRPr="00F45130">
        <w:rPr>
          <w:rFonts w:cs="Arial"/>
          <w:bCs/>
        </w:rPr>
        <w:t>c</w:t>
      </w:r>
      <w:r w:rsidRPr="00F45130">
        <w:rPr>
          <w:rFonts w:cs="Arial"/>
          <w:bCs/>
        </w:rPr>
        <w:t xml:space="preserve">tions, in order to protect their other client’s assets, CSD participants may ‘opt out’ from partial settlements to protect the assets of other clients within the omnibus pool that are not party to the delivery. </w:t>
      </w:r>
    </w:p>
    <w:p w:rsidR="00810A47" w:rsidRPr="00F45130" w:rsidRDefault="00810A47" w:rsidP="00810A47">
      <w:pPr>
        <w:ind w:left="45"/>
        <w:rPr>
          <w:rFonts w:cs="Arial"/>
          <w:b/>
          <w:bCs/>
          <w:sz w:val="24"/>
          <w:u w:val="single"/>
        </w:rPr>
      </w:pPr>
    </w:p>
    <w:p w:rsidR="00810A47" w:rsidRPr="00F45130" w:rsidRDefault="00810A47" w:rsidP="00810A47">
      <w:pPr>
        <w:ind w:left="45"/>
        <w:rPr>
          <w:rFonts w:cs="Arial"/>
        </w:rPr>
      </w:pPr>
    </w:p>
    <w:p w:rsidR="00810A47" w:rsidRPr="00F45130" w:rsidRDefault="00810A47" w:rsidP="00FB266C">
      <w:pPr>
        <w:pStyle w:val="ListParagraph"/>
        <w:numPr>
          <w:ilvl w:val="0"/>
          <w:numId w:val="83"/>
        </w:numPr>
        <w:rPr>
          <w:rFonts w:cs="Arial"/>
          <w:b/>
          <w:bCs/>
          <w:sz w:val="24"/>
          <w:u w:val="single"/>
        </w:rPr>
      </w:pPr>
      <w:r w:rsidRPr="00F45130">
        <w:rPr>
          <w:rFonts w:cs="Arial"/>
          <w:b/>
          <w:bCs/>
          <w:sz w:val="24"/>
          <w:u w:val="single"/>
        </w:rPr>
        <w:t>Proposed approach to avoid multiple buy-ins</w:t>
      </w:r>
    </w:p>
    <w:p w:rsidR="00810A47" w:rsidRPr="00F45130" w:rsidRDefault="00810A47" w:rsidP="00810A47">
      <w:pPr>
        <w:rPr>
          <w:rFonts w:cs="Arial"/>
          <w:b/>
          <w:bCs/>
          <w:sz w:val="24"/>
          <w:u w:val="single"/>
        </w:rPr>
      </w:pPr>
    </w:p>
    <w:p w:rsidR="00810A47" w:rsidRPr="00F45130" w:rsidRDefault="00810A47" w:rsidP="00810A47">
      <w:pPr>
        <w:ind w:left="45"/>
        <w:rPr>
          <w:rFonts w:cs="Arial"/>
          <w:bCs/>
        </w:rPr>
      </w:pPr>
      <w:r w:rsidRPr="00F45130">
        <w:rPr>
          <w:rFonts w:cs="Arial"/>
          <w:bCs/>
        </w:rPr>
        <w:t xml:space="preserve">We agree with ESMA’s view that multiple buy-ins need to be avoided, as they will unnecessarily </w:t>
      </w:r>
      <w:r w:rsidR="0023191D">
        <w:rPr>
          <w:rFonts w:cs="Arial"/>
          <w:bCs/>
        </w:rPr>
        <w:t>increase</w:t>
      </w:r>
      <w:r w:rsidRPr="00F45130">
        <w:rPr>
          <w:rFonts w:cs="Arial"/>
          <w:bCs/>
        </w:rPr>
        <w:t xml:space="preserve"> costs and be counterproductive. However, with regards to the proposed process, we have a number of concerns:</w:t>
      </w:r>
    </w:p>
    <w:p w:rsidR="00810A47" w:rsidRPr="00F45130" w:rsidRDefault="00810A47" w:rsidP="00810A47">
      <w:pPr>
        <w:ind w:left="45"/>
        <w:rPr>
          <w:rFonts w:cs="Arial"/>
          <w:bCs/>
        </w:rPr>
      </w:pPr>
    </w:p>
    <w:p w:rsidR="00810A47" w:rsidRPr="00F45130" w:rsidRDefault="00810A47" w:rsidP="00810A47">
      <w:pPr>
        <w:pStyle w:val="ListParagraph"/>
        <w:numPr>
          <w:ilvl w:val="0"/>
          <w:numId w:val="47"/>
        </w:numPr>
        <w:rPr>
          <w:rFonts w:cs="Arial"/>
          <w:bCs/>
        </w:rPr>
      </w:pPr>
      <w:r w:rsidRPr="00F45130">
        <w:rPr>
          <w:rFonts w:cs="Arial"/>
          <w:b/>
          <w:bCs/>
          <w:u w:val="single"/>
        </w:rPr>
        <w:lastRenderedPageBreak/>
        <w:t>CSDs should not manage the buy-in process for OTC settlements</w:t>
      </w:r>
      <w:r w:rsidRPr="00F45130">
        <w:rPr>
          <w:rFonts w:cs="Arial"/>
          <w:bCs/>
        </w:rPr>
        <w:t>:</w:t>
      </w:r>
    </w:p>
    <w:p w:rsidR="00810A47" w:rsidRPr="00F45130" w:rsidRDefault="00810A47" w:rsidP="00810A47">
      <w:pPr>
        <w:ind w:left="405"/>
        <w:rPr>
          <w:rFonts w:cs="Arial"/>
          <w:bCs/>
        </w:rPr>
      </w:pPr>
      <w:r w:rsidRPr="00F45130">
        <w:rPr>
          <w:rFonts w:cs="Arial"/>
          <w:bCs/>
        </w:rPr>
        <w:t>While it makes complete sense to have CCPs’ manage buy-ins for CCP cleared transa</w:t>
      </w:r>
      <w:r w:rsidRPr="00F45130">
        <w:rPr>
          <w:rFonts w:cs="Arial"/>
          <w:bCs/>
        </w:rPr>
        <w:t>c</w:t>
      </w:r>
      <w:r w:rsidRPr="00F45130">
        <w:rPr>
          <w:rFonts w:cs="Arial"/>
          <w:bCs/>
        </w:rPr>
        <w:t>tions, given their role as central counterparty (i.e. assuming the role of ‘principal’ to every buyer and seller) at the trading level, the same does not apply to CSDs. This has been ide</w:t>
      </w:r>
      <w:r w:rsidRPr="00F45130">
        <w:rPr>
          <w:rFonts w:cs="Arial"/>
          <w:bCs/>
        </w:rPr>
        <w:t>n</w:t>
      </w:r>
      <w:r w:rsidRPr="00F45130">
        <w:rPr>
          <w:rFonts w:cs="Arial"/>
          <w:bCs/>
        </w:rPr>
        <w:t>tified in the CSDR level 1 text also, where CSDs have only a passive role in the buy-in pro</w:t>
      </w:r>
      <w:r w:rsidRPr="00F45130">
        <w:rPr>
          <w:rFonts w:cs="Arial"/>
          <w:bCs/>
        </w:rPr>
        <w:t>c</w:t>
      </w:r>
      <w:r w:rsidRPr="00F45130">
        <w:rPr>
          <w:rFonts w:cs="Arial"/>
          <w:bCs/>
        </w:rPr>
        <w:t>ess.</w:t>
      </w:r>
    </w:p>
    <w:p w:rsidR="00FB266C" w:rsidRDefault="00810A47" w:rsidP="00810A47">
      <w:pPr>
        <w:ind w:left="405"/>
        <w:rPr>
          <w:rFonts w:cs="Arial"/>
          <w:bCs/>
        </w:rPr>
      </w:pPr>
      <w:r w:rsidRPr="00F45130">
        <w:rPr>
          <w:rFonts w:cs="Arial"/>
          <w:bCs/>
        </w:rPr>
        <w:br/>
        <w:t>As stated above, AFME believes that buy-ins should be enforced at trading level only, as CSDs do not have the means and expertise to manage buy-ins, and in most cases do not have even have a contractual relationship with the trading counterparties. “Passing on” the costs and risks of the buy-ins along the intermediary chain is not the optimal approach as this assumes that the ultimate trading party will accept the costs and risks when CSDR does not oblige them to do so.</w:t>
      </w:r>
    </w:p>
    <w:p w:rsidR="00810A47" w:rsidRPr="00F45130" w:rsidRDefault="00810A47" w:rsidP="00810A47">
      <w:pPr>
        <w:ind w:left="405"/>
        <w:rPr>
          <w:rFonts w:cs="Arial"/>
          <w:bCs/>
        </w:rPr>
      </w:pPr>
      <w:r w:rsidRPr="00F45130">
        <w:rPr>
          <w:rFonts w:cs="Arial"/>
          <w:bCs/>
        </w:rPr>
        <w:br/>
        <w:t>This also applies to identifying settlement fail chains. While CSDs could identify on their own platform which securities will settle on the same intended settlement date across different CSD participant accounts, they have no means to identify:</w:t>
      </w:r>
    </w:p>
    <w:p w:rsidR="00810A47" w:rsidRPr="00F45130" w:rsidRDefault="00810A47" w:rsidP="00810A47">
      <w:pPr>
        <w:pStyle w:val="ListParagraph"/>
        <w:numPr>
          <w:ilvl w:val="0"/>
          <w:numId w:val="48"/>
        </w:numPr>
        <w:rPr>
          <w:rFonts w:cs="Arial"/>
          <w:bCs/>
        </w:rPr>
      </w:pPr>
      <w:r w:rsidRPr="00F45130">
        <w:rPr>
          <w:rFonts w:cs="Arial"/>
          <w:bCs/>
        </w:rPr>
        <w:t>Which settlements represent trades for which a buy-in would be meaningful (see above). This also includes exemptions for short-term repos and trades done on a trading venue outside the EU</w:t>
      </w:r>
    </w:p>
    <w:p w:rsidR="00810A47" w:rsidRPr="00F45130" w:rsidRDefault="00810A47" w:rsidP="00810A47">
      <w:pPr>
        <w:pStyle w:val="ListParagraph"/>
        <w:numPr>
          <w:ilvl w:val="0"/>
          <w:numId w:val="48"/>
        </w:numPr>
        <w:rPr>
          <w:rFonts w:cs="Arial"/>
          <w:bCs/>
        </w:rPr>
      </w:pPr>
      <w:r w:rsidRPr="00F45130">
        <w:rPr>
          <w:rFonts w:cs="Arial"/>
          <w:bCs/>
        </w:rPr>
        <w:t>The trading counterparties responsible for the buy-in (see above)</w:t>
      </w:r>
    </w:p>
    <w:p w:rsidR="00810A47" w:rsidRPr="00F45130" w:rsidRDefault="00810A47" w:rsidP="00810A47">
      <w:pPr>
        <w:pStyle w:val="ListParagraph"/>
        <w:numPr>
          <w:ilvl w:val="0"/>
          <w:numId w:val="48"/>
        </w:numPr>
        <w:rPr>
          <w:rFonts w:cs="Arial"/>
          <w:bCs/>
        </w:rPr>
      </w:pPr>
      <w:r w:rsidRPr="00F45130">
        <w:rPr>
          <w:rFonts w:cs="Arial"/>
          <w:bCs/>
        </w:rPr>
        <w:t>In a cross-border context, CSDs are unable to determine the counterparty in the other CSD</w:t>
      </w:r>
    </w:p>
    <w:p w:rsidR="00810A47" w:rsidRPr="00F45130" w:rsidRDefault="00810A47" w:rsidP="00810A47">
      <w:pPr>
        <w:ind w:left="405"/>
        <w:rPr>
          <w:rFonts w:cs="Arial"/>
          <w:bCs/>
        </w:rPr>
      </w:pPr>
    </w:p>
    <w:p w:rsidR="00810A47" w:rsidRPr="00F45130" w:rsidRDefault="00810A47" w:rsidP="00810A47">
      <w:pPr>
        <w:ind w:left="405"/>
        <w:rPr>
          <w:rFonts w:cs="Arial"/>
          <w:bCs/>
        </w:rPr>
      </w:pPr>
      <w:r w:rsidRPr="00F45130">
        <w:rPr>
          <w:rFonts w:cs="Arial"/>
          <w:bCs/>
        </w:rPr>
        <w:t xml:space="preserve">  </w:t>
      </w:r>
    </w:p>
    <w:p w:rsidR="00810A47" w:rsidRPr="00F45130" w:rsidRDefault="00810A47" w:rsidP="00810A47">
      <w:pPr>
        <w:pStyle w:val="ListParagraph"/>
        <w:numPr>
          <w:ilvl w:val="0"/>
          <w:numId w:val="47"/>
        </w:numPr>
        <w:rPr>
          <w:rFonts w:cs="Arial"/>
          <w:bCs/>
        </w:rPr>
      </w:pPr>
      <w:r w:rsidRPr="00F45130">
        <w:rPr>
          <w:rFonts w:cs="Arial"/>
          <w:b/>
          <w:bCs/>
          <w:u w:val="single"/>
        </w:rPr>
        <w:t>The process to identify fail chains and minimise buy-ins is unclear and may lead to disputes</w:t>
      </w:r>
    </w:p>
    <w:p w:rsidR="00810A47" w:rsidRPr="00F45130" w:rsidRDefault="00810A47" w:rsidP="00810A47">
      <w:pPr>
        <w:pStyle w:val="ListParagraph"/>
        <w:ind w:left="765"/>
        <w:rPr>
          <w:rFonts w:cs="Arial"/>
          <w:bCs/>
        </w:rPr>
      </w:pPr>
    </w:p>
    <w:p w:rsidR="00810A47" w:rsidRPr="00F45130" w:rsidRDefault="00810A47" w:rsidP="00810A47">
      <w:pPr>
        <w:rPr>
          <w:rFonts w:cs="Arial"/>
        </w:rPr>
      </w:pPr>
      <w:r w:rsidRPr="00F45130">
        <w:rPr>
          <w:rFonts w:cs="Arial"/>
        </w:rPr>
        <w:t xml:space="preserve">It is not clear to AFME how the process to minimise buy-ins for fail chains would work. It would introduce a large degree of discretion on the part of the CSD to identify </w:t>
      </w:r>
      <w:r w:rsidR="0023191D">
        <w:rPr>
          <w:rFonts w:cs="Arial"/>
        </w:rPr>
        <w:t>where</w:t>
      </w:r>
      <w:r w:rsidRPr="00F45130">
        <w:rPr>
          <w:rFonts w:cs="Arial"/>
        </w:rPr>
        <w:t xml:space="preserve"> is the best place (and thus impacted parties) to execute a buy-in, which will likely lead to conflicts and disputes. In addition to being inefficient, this process would increase CSDs’ liabilities and have a negative impact on their risk profile. </w:t>
      </w:r>
    </w:p>
    <w:p w:rsidR="00810A47" w:rsidRPr="00F45130" w:rsidRDefault="00810A47" w:rsidP="00810A47">
      <w:pPr>
        <w:rPr>
          <w:rFonts w:cs="Arial"/>
          <w:b/>
          <w:bCs/>
        </w:rPr>
      </w:pPr>
    </w:p>
    <w:p w:rsidR="00810A47" w:rsidRPr="00F45130" w:rsidRDefault="00810A47" w:rsidP="00810A47">
      <w:pPr>
        <w:rPr>
          <w:rFonts w:cs="Arial"/>
          <w:bCs/>
        </w:rPr>
      </w:pPr>
      <w:r w:rsidRPr="00F45130">
        <w:rPr>
          <w:rFonts w:cs="Arial"/>
        </w:rPr>
        <w:t>The last sentence of art.11(5) of the draft RTS in particular should be deleted (“The CSD shall reserve the relevant financial instruments available in the failing participant’s account for the settlement of that instruction.”) Requesting CSDs to reserve securities in their participants’ a</w:t>
      </w:r>
      <w:r w:rsidRPr="00F45130">
        <w:rPr>
          <w:rFonts w:cs="Arial"/>
        </w:rPr>
        <w:t>c</w:t>
      </w:r>
      <w:r w:rsidRPr="00F45130">
        <w:rPr>
          <w:rFonts w:cs="Arial"/>
        </w:rPr>
        <w:t>counts before partial settlement is not only unnecessary, but it will create practical problems and legal disputes. In the case of omnibus accounts in particular, it is impossible for the CSD to know whether securities are truly “available” from the perspective of the participant’s client. The “re</w:t>
      </w:r>
      <w:r w:rsidRPr="00F45130">
        <w:rPr>
          <w:rFonts w:cs="Arial"/>
        </w:rPr>
        <w:t>s</w:t>
      </w:r>
      <w:r w:rsidRPr="00F45130">
        <w:rPr>
          <w:rFonts w:cs="Arial"/>
        </w:rPr>
        <w:t>ervation” process described by ESMA would thus create a risk that investors holding securities in an omnibus account at a CSD would have their holdings reserved and used for the purpose of settling the failed instructions of other investors, creating a liability issue for the CSD and CSD participants managing such omnibus accounts.</w:t>
      </w:r>
    </w:p>
    <w:p w:rsidR="00810A47" w:rsidRPr="00F45130" w:rsidRDefault="00810A47" w:rsidP="00810A47">
      <w:pPr>
        <w:rPr>
          <w:rFonts w:cs="Arial"/>
          <w:bCs/>
        </w:rPr>
      </w:pPr>
      <w:r w:rsidRPr="00F45130">
        <w:rPr>
          <w:rFonts w:cs="Arial"/>
          <w:bCs/>
        </w:rPr>
        <w:t xml:space="preserve"> </w:t>
      </w:r>
    </w:p>
    <w:p w:rsidR="00810A47" w:rsidRPr="00F45130" w:rsidRDefault="00810A47" w:rsidP="00810A47">
      <w:pPr>
        <w:rPr>
          <w:rFonts w:cs="Arial"/>
        </w:rPr>
      </w:pPr>
      <w:r w:rsidRPr="00F45130">
        <w:rPr>
          <w:rFonts w:cs="Arial"/>
        </w:rPr>
        <w:t>It is AFME’s view that it is very difficult</w:t>
      </w:r>
      <w:r w:rsidR="0023191D">
        <w:rPr>
          <w:rFonts w:cs="Arial"/>
        </w:rPr>
        <w:t>,</w:t>
      </w:r>
      <w:r w:rsidRPr="00F45130">
        <w:rPr>
          <w:rFonts w:cs="Arial"/>
        </w:rPr>
        <w:t xml:space="preserve"> if not impossible</w:t>
      </w:r>
      <w:r w:rsidR="0023191D">
        <w:rPr>
          <w:rFonts w:cs="Arial"/>
        </w:rPr>
        <w:t>,</w:t>
      </w:r>
      <w:r w:rsidRPr="00F45130">
        <w:rPr>
          <w:rFonts w:cs="Arial"/>
        </w:rPr>
        <w:t xml:space="preserve"> to identify chains of transactions. Ho</w:t>
      </w:r>
      <w:r w:rsidRPr="00F45130">
        <w:rPr>
          <w:rFonts w:cs="Arial"/>
        </w:rPr>
        <w:t>w</w:t>
      </w:r>
      <w:r w:rsidRPr="00F45130">
        <w:rPr>
          <w:rFonts w:cs="Arial"/>
        </w:rPr>
        <w:t>ever, given the proposed degree of automation of passing on buy-ins at trading level (see alte</w:t>
      </w:r>
      <w:r w:rsidRPr="00F45130">
        <w:rPr>
          <w:rFonts w:cs="Arial"/>
        </w:rPr>
        <w:t>r</w:t>
      </w:r>
      <w:r w:rsidRPr="00F45130">
        <w:rPr>
          <w:rFonts w:cs="Arial"/>
        </w:rPr>
        <w:t>native) we feel that most of these issues can be addressed. This would also avoid multiple buy-ins for transactions chains (see alternative proposal set out in detail at section 9 of the response to this question, below)</w:t>
      </w:r>
    </w:p>
    <w:p w:rsidR="00810A47" w:rsidRPr="00F45130" w:rsidRDefault="00810A47" w:rsidP="00810A47">
      <w:pPr>
        <w:ind w:left="405"/>
        <w:rPr>
          <w:rFonts w:cs="Arial"/>
          <w:bCs/>
        </w:rPr>
      </w:pPr>
    </w:p>
    <w:p w:rsidR="00810A47" w:rsidRPr="00F45130" w:rsidRDefault="00810A47" w:rsidP="00810A47">
      <w:pPr>
        <w:rPr>
          <w:rFonts w:cs="Arial"/>
        </w:rPr>
      </w:pPr>
      <w:r w:rsidRPr="00F45130">
        <w:rPr>
          <w:rFonts w:cs="Arial"/>
        </w:rPr>
        <w:lastRenderedPageBreak/>
        <w:t>Regarding the procedure as described in the RTS art 11.10, AFME has the following concerns:</w:t>
      </w:r>
    </w:p>
    <w:p w:rsidR="00810A47" w:rsidRPr="00F45130" w:rsidRDefault="00810A47" w:rsidP="00810A47">
      <w:pPr>
        <w:pStyle w:val="ListParagraph"/>
        <w:numPr>
          <w:ilvl w:val="0"/>
          <w:numId w:val="49"/>
        </w:numPr>
        <w:rPr>
          <w:rFonts w:cs="Arial"/>
          <w:bCs/>
        </w:rPr>
      </w:pPr>
      <w:r w:rsidRPr="00F45130">
        <w:rPr>
          <w:rFonts w:cs="Arial"/>
          <w:bCs/>
        </w:rPr>
        <w:t>It is not clear why the details of the settlement instructions need to be provided again to the</w:t>
      </w:r>
      <w:r w:rsidR="0023191D">
        <w:rPr>
          <w:rFonts w:cs="Arial"/>
          <w:bCs/>
        </w:rPr>
        <w:t xml:space="preserve"> CSD: for intra-CSD transaction</w:t>
      </w:r>
      <w:r w:rsidRPr="00F45130">
        <w:rPr>
          <w:rFonts w:cs="Arial"/>
          <w:bCs/>
        </w:rPr>
        <w:t xml:space="preserve"> chains (see below for cross-CSD chains), the CSD has already the full overview of the involved financial instruments, age of fail, involved (failing) settlement participants, the identification of the settlement instru</w:t>
      </w:r>
      <w:r w:rsidRPr="00F45130">
        <w:rPr>
          <w:rFonts w:cs="Arial"/>
          <w:bCs/>
        </w:rPr>
        <w:t>c</w:t>
      </w:r>
      <w:r w:rsidRPr="00F45130">
        <w:rPr>
          <w:rFonts w:cs="Arial"/>
          <w:bCs/>
        </w:rPr>
        <w:t xml:space="preserve">tions, including those for CCP transactions. </w:t>
      </w:r>
      <w:r w:rsidRPr="00F45130">
        <w:rPr>
          <w:rFonts w:cs="Arial"/>
          <w:bCs/>
        </w:rPr>
        <w:br/>
        <w:t>In addition to very substantial extra build required at all levels to transmit and pro</w:t>
      </w:r>
      <w:r w:rsidRPr="00F45130">
        <w:rPr>
          <w:rFonts w:cs="Arial"/>
          <w:bCs/>
        </w:rPr>
        <w:t>c</w:t>
      </w:r>
      <w:r w:rsidRPr="00F45130">
        <w:rPr>
          <w:rFonts w:cs="Arial"/>
          <w:bCs/>
        </w:rPr>
        <w:t>ess this information, it is also not clear  how the CSD will benefit from this information (see also below), besides testing the consistency</w:t>
      </w:r>
    </w:p>
    <w:p w:rsidR="00810A47" w:rsidRPr="00F45130" w:rsidRDefault="00810A47" w:rsidP="00810A47">
      <w:pPr>
        <w:pStyle w:val="ListParagraph"/>
        <w:numPr>
          <w:ilvl w:val="0"/>
          <w:numId w:val="49"/>
        </w:numPr>
        <w:rPr>
          <w:rFonts w:cs="Arial"/>
          <w:bCs/>
        </w:rPr>
      </w:pPr>
      <w:r w:rsidRPr="00F45130">
        <w:rPr>
          <w:rFonts w:cs="Arial"/>
          <w:bCs/>
        </w:rPr>
        <w:t>It is not clear what is meant by ‘</w:t>
      </w:r>
      <w:r w:rsidRPr="00F45130">
        <w:rPr>
          <w:rFonts w:cs="Arial"/>
          <w:bCs/>
          <w:i/>
        </w:rPr>
        <w:t>the same date of expiry of the execution period</w:t>
      </w:r>
      <w:r w:rsidRPr="00F45130">
        <w:rPr>
          <w:rFonts w:cs="Arial"/>
          <w:bCs/>
        </w:rPr>
        <w:t>’. Is that the execution of the buy-in process, or is it the extension period?</w:t>
      </w:r>
    </w:p>
    <w:p w:rsidR="00810A47" w:rsidRPr="00F45130" w:rsidRDefault="00810A47" w:rsidP="00810A47">
      <w:pPr>
        <w:pStyle w:val="ListParagraph"/>
        <w:numPr>
          <w:ilvl w:val="0"/>
          <w:numId w:val="49"/>
        </w:numPr>
        <w:rPr>
          <w:rFonts w:cs="Arial"/>
          <w:bCs/>
        </w:rPr>
      </w:pPr>
      <w:r w:rsidRPr="00F45130">
        <w:rPr>
          <w:rFonts w:cs="Arial"/>
          <w:bCs/>
        </w:rPr>
        <w:t>How will ‘</w:t>
      </w:r>
      <w:r w:rsidRPr="00F45130">
        <w:rPr>
          <w:rFonts w:cs="Arial"/>
          <w:bCs/>
          <w:i/>
        </w:rPr>
        <w:t>the same financial instruments’</w:t>
      </w:r>
      <w:r w:rsidRPr="00F45130">
        <w:rPr>
          <w:rFonts w:cs="Arial"/>
          <w:bCs/>
        </w:rPr>
        <w:t>: be identified</w:t>
      </w:r>
      <w:r w:rsidR="00D939AF" w:rsidRPr="00F45130">
        <w:rPr>
          <w:rFonts w:cs="Arial"/>
          <w:bCs/>
        </w:rPr>
        <w:t>?</w:t>
      </w:r>
      <w:r w:rsidRPr="00F45130">
        <w:rPr>
          <w:rFonts w:cs="Arial"/>
          <w:bCs/>
        </w:rPr>
        <w:t xml:space="preserve"> If this relates to the ISIN code, what will be the treatment for securities which have more than one ISIN code (e.g. multi-listed securities)?</w:t>
      </w:r>
    </w:p>
    <w:p w:rsidR="00810A47" w:rsidRDefault="00810A47" w:rsidP="00810A47">
      <w:pPr>
        <w:pStyle w:val="ListParagraph"/>
        <w:numPr>
          <w:ilvl w:val="0"/>
          <w:numId w:val="49"/>
        </w:numPr>
        <w:rPr>
          <w:rFonts w:cs="Arial"/>
          <w:bCs/>
        </w:rPr>
      </w:pPr>
      <w:r w:rsidRPr="00F45130">
        <w:rPr>
          <w:rFonts w:cs="Arial"/>
          <w:bCs/>
        </w:rPr>
        <w:t>It is not clear what is meant by ‘</w:t>
      </w:r>
      <w:r w:rsidRPr="00F45130">
        <w:rPr>
          <w:rFonts w:cs="Arial"/>
          <w:bCs/>
          <w:i/>
        </w:rPr>
        <w:t>that are causing the failure to deliver</w:t>
      </w:r>
      <w:r w:rsidRPr="00F45130">
        <w:rPr>
          <w:rFonts w:cs="Arial"/>
          <w:bCs/>
        </w:rPr>
        <w:t>’. There may be more than one reason why a settlement does not occur, besides lack of security on the part of the delivering party. It could be due to a lack of cash on behalf of the r</w:t>
      </w:r>
      <w:r w:rsidRPr="00F45130">
        <w:rPr>
          <w:rFonts w:cs="Arial"/>
          <w:bCs/>
        </w:rPr>
        <w:t>e</w:t>
      </w:r>
      <w:r w:rsidRPr="00F45130">
        <w:rPr>
          <w:rFonts w:cs="Arial"/>
          <w:bCs/>
        </w:rPr>
        <w:t xml:space="preserve">ceiver too, or another reason. This is particularly relevant for chain fails where there could be different fail causes for each part of the chain, thus making it difficult to identify which trade should be bought in. </w:t>
      </w:r>
    </w:p>
    <w:p w:rsidR="000D60FE" w:rsidRPr="00F45130" w:rsidRDefault="000D60FE" w:rsidP="00D77FF9">
      <w:pPr>
        <w:pStyle w:val="ListParagraph"/>
        <w:ind w:left="1125"/>
        <w:rPr>
          <w:rFonts w:cs="Arial"/>
          <w:bCs/>
        </w:rPr>
      </w:pPr>
    </w:p>
    <w:tbl>
      <w:tblPr>
        <w:tblStyle w:val="TableGrid"/>
        <w:tblW w:w="0" w:type="auto"/>
        <w:tblInd w:w="1125" w:type="dxa"/>
        <w:tblLook w:val="04A0"/>
      </w:tblPr>
      <w:tblGrid>
        <w:gridCol w:w="8503"/>
      </w:tblGrid>
      <w:tr w:rsidR="00810A47" w:rsidRPr="00F45130" w:rsidTr="003D466C">
        <w:tc>
          <w:tcPr>
            <w:tcW w:w="8529" w:type="dxa"/>
          </w:tcPr>
          <w:p w:rsidR="000D60FE" w:rsidRDefault="00810A47" w:rsidP="003D466C">
            <w:pPr>
              <w:pStyle w:val="ListParagraph"/>
              <w:ind w:left="293"/>
              <w:rPr>
                <w:rFonts w:cs="Arial"/>
                <w:bCs/>
                <w:u w:val="single"/>
              </w:rPr>
            </w:pPr>
            <w:r w:rsidRPr="00F45130">
              <w:rPr>
                <w:rFonts w:cs="Arial"/>
                <w:bCs/>
                <w:u w:val="single"/>
              </w:rPr>
              <w:t xml:space="preserve">Example </w:t>
            </w:r>
          </w:p>
          <w:p w:rsidR="00810A47" w:rsidRPr="00F45130" w:rsidRDefault="00810A47" w:rsidP="003D466C">
            <w:pPr>
              <w:pStyle w:val="ListParagraph"/>
              <w:ind w:left="293"/>
              <w:rPr>
                <w:rFonts w:cs="Arial"/>
                <w:bCs/>
              </w:rPr>
            </w:pPr>
            <w:r w:rsidRPr="00F45130">
              <w:rPr>
                <w:rFonts w:cs="Arial"/>
                <w:bCs/>
              </w:rPr>
              <w:t xml:space="preserve">A (through its settlement agent) delivers 100 stock to B (its agent), who delivers 100 to C (its agent), who delivers 100 to D (its agent) (all in same CSD): If B does not have the cash/credit, the entire chain fails. </w:t>
            </w:r>
          </w:p>
          <w:p w:rsidR="00810A47" w:rsidRPr="00F45130" w:rsidRDefault="00810A47" w:rsidP="00810A47">
            <w:pPr>
              <w:pStyle w:val="ListParagraph"/>
              <w:numPr>
                <w:ilvl w:val="1"/>
                <w:numId w:val="49"/>
              </w:numPr>
              <w:ind w:left="293" w:firstLine="0"/>
              <w:rPr>
                <w:rFonts w:cs="Arial"/>
                <w:bCs/>
              </w:rPr>
            </w:pPr>
            <w:r w:rsidRPr="00F45130">
              <w:rPr>
                <w:rFonts w:cs="Arial"/>
                <w:bCs/>
              </w:rPr>
              <w:t>Would the buy-in be executed against B?</w:t>
            </w:r>
          </w:p>
          <w:p w:rsidR="00810A47" w:rsidRPr="00F45130" w:rsidRDefault="00810A47" w:rsidP="00810A47">
            <w:pPr>
              <w:pStyle w:val="ListParagraph"/>
              <w:numPr>
                <w:ilvl w:val="1"/>
                <w:numId w:val="49"/>
              </w:numPr>
              <w:ind w:left="293" w:firstLine="0"/>
              <w:rPr>
                <w:rFonts w:cs="Arial"/>
                <w:bCs/>
              </w:rPr>
            </w:pPr>
            <w:r w:rsidRPr="00F45130">
              <w:rPr>
                <w:rFonts w:cs="Arial"/>
                <w:bCs/>
              </w:rPr>
              <w:t>What if C also does not have the cash</w:t>
            </w:r>
            <w:r w:rsidR="004E514D">
              <w:rPr>
                <w:rFonts w:cs="Arial"/>
                <w:bCs/>
              </w:rPr>
              <w:t>?</w:t>
            </w:r>
            <w:r w:rsidRPr="00F45130">
              <w:rPr>
                <w:rFonts w:cs="Arial"/>
                <w:bCs/>
              </w:rPr>
              <w:t xml:space="preserve"> (</w:t>
            </w:r>
            <w:proofErr w:type="gramStart"/>
            <w:r w:rsidRPr="00F45130">
              <w:rPr>
                <w:rFonts w:cs="Arial"/>
                <w:bCs/>
              </w:rPr>
              <w:t>ie</w:t>
            </w:r>
            <w:proofErr w:type="gramEnd"/>
            <w:r w:rsidRPr="00F45130">
              <w:rPr>
                <w:rFonts w:cs="Arial"/>
                <w:bCs/>
              </w:rPr>
              <w:t xml:space="preserve"> the delivery from B to C fails for lack of securities and lack of cash)</w:t>
            </w:r>
            <w:r w:rsidR="004E514D">
              <w:rPr>
                <w:rFonts w:cs="Arial"/>
                <w:bCs/>
              </w:rPr>
              <w:t>?</w:t>
            </w:r>
            <w:r w:rsidRPr="00F45130">
              <w:rPr>
                <w:rFonts w:cs="Arial"/>
                <w:bCs/>
              </w:rPr>
              <w:t xml:space="preserve"> Would B and C be bought in , or only B, or only C ? </w:t>
            </w:r>
          </w:p>
          <w:p w:rsidR="00810A47" w:rsidRPr="00F45130" w:rsidRDefault="00810A47" w:rsidP="003D466C">
            <w:pPr>
              <w:pStyle w:val="ListParagraph"/>
              <w:ind w:left="0"/>
              <w:rPr>
                <w:rFonts w:cs="Arial"/>
                <w:bCs/>
              </w:rPr>
            </w:pPr>
          </w:p>
        </w:tc>
      </w:tr>
    </w:tbl>
    <w:p w:rsidR="00810A47" w:rsidRPr="00F45130" w:rsidRDefault="00810A47" w:rsidP="00810A47">
      <w:pPr>
        <w:pStyle w:val="ListParagraph"/>
        <w:ind w:left="1125"/>
        <w:rPr>
          <w:rFonts w:cs="Arial"/>
          <w:bCs/>
        </w:rPr>
      </w:pPr>
    </w:p>
    <w:p w:rsidR="00810A47" w:rsidRPr="00F45130" w:rsidRDefault="00810A47" w:rsidP="00810A47">
      <w:pPr>
        <w:ind w:left="1125"/>
        <w:rPr>
          <w:rFonts w:cs="Arial"/>
          <w:bCs/>
        </w:rPr>
      </w:pPr>
      <w:r w:rsidRPr="00F45130">
        <w:rPr>
          <w:rFonts w:cs="Arial"/>
          <w:bCs/>
        </w:rPr>
        <w:t>AFME invite</w:t>
      </w:r>
      <w:r w:rsidR="004E514D">
        <w:rPr>
          <w:rFonts w:cs="Arial"/>
          <w:bCs/>
        </w:rPr>
        <w:t>s</w:t>
      </w:r>
      <w:r w:rsidRPr="00F45130">
        <w:rPr>
          <w:rFonts w:cs="Arial"/>
          <w:bCs/>
        </w:rPr>
        <w:t xml:space="preserve"> ESMA to clarify that a buy-in should only be initiated in case the fail-reason is (LACK) “lack of securities” or “on-hold” by the delivering party. In the case where the buyer does not have sufficient cash available to purchase the securities the delivering counterparty should have the right to “sell-out” the securities in the same timeframe as a “buy-in” would occur. </w:t>
      </w:r>
    </w:p>
    <w:p w:rsidR="00810A47" w:rsidRPr="00F45130" w:rsidRDefault="00810A47" w:rsidP="00810A47">
      <w:pPr>
        <w:pStyle w:val="ListParagraph"/>
        <w:numPr>
          <w:ilvl w:val="0"/>
          <w:numId w:val="49"/>
        </w:numPr>
        <w:rPr>
          <w:rFonts w:cs="Arial"/>
          <w:bCs/>
        </w:rPr>
      </w:pPr>
      <w:r w:rsidRPr="00F45130">
        <w:rPr>
          <w:rFonts w:cs="Arial"/>
          <w:bCs/>
        </w:rPr>
        <w:t>For cross-CSD settlement scenarios, it is not clear to which CSD(s) the information needs to be provided, and how it will be collated. If participants along the chain have accounts in different CSDs, should they each provide tha</w:t>
      </w:r>
      <w:r w:rsidR="00D77FF9">
        <w:rPr>
          <w:rFonts w:cs="Arial"/>
          <w:bCs/>
        </w:rPr>
        <w:t xml:space="preserve">t information to their own CSD? </w:t>
      </w:r>
      <w:r w:rsidRPr="00F45130">
        <w:rPr>
          <w:rFonts w:cs="Arial"/>
          <w:bCs/>
        </w:rPr>
        <w:t>In order to ‘limit the number of buy-ins, CSDs will then have to compare the i</w:t>
      </w:r>
      <w:r w:rsidRPr="00F45130">
        <w:rPr>
          <w:rFonts w:cs="Arial"/>
          <w:bCs/>
        </w:rPr>
        <w:t>n</w:t>
      </w:r>
      <w:r w:rsidRPr="00F45130">
        <w:rPr>
          <w:rFonts w:cs="Arial"/>
          <w:bCs/>
        </w:rPr>
        <w:t>fo</w:t>
      </w:r>
      <w:r w:rsidR="004E514D">
        <w:rPr>
          <w:rFonts w:cs="Arial"/>
          <w:bCs/>
        </w:rPr>
        <w:t>rmation</w:t>
      </w:r>
      <w:r w:rsidRPr="00F45130">
        <w:rPr>
          <w:rFonts w:cs="Arial"/>
          <w:bCs/>
        </w:rPr>
        <w:t xml:space="preserve"> received to try to identify the entire chain. It is not clear which CSD(s) will be responsible or how they should process that information.</w:t>
      </w:r>
    </w:p>
    <w:p w:rsidR="00810A47" w:rsidRPr="00F45130" w:rsidRDefault="00810A47" w:rsidP="00810A47">
      <w:pPr>
        <w:pStyle w:val="ListParagraph"/>
        <w:numPr>
          <w:ilvl w:val="0"/>
          <w:numId w:val="49"/>
        </w:numPr>
        <w:rPr>
          <w:rFonts w:cs="Arial"/>
          <w:bCs/>
        </w:rPr>
      </w:pPr>
      <w:r w:rsidRPr="00F45130">
        <w:rPr>
          <w:rFonts w:cs="Arial"/>
          <w:bCs/>
        </w:rPr>
        <w:t>It is not clear how the CSD(s) will ‘</w:t>
      </w:r>
      <w:r w:rsidRPr="00F45130">
        <w:rPr>
          <w:rFonts w:cs="Arial"/>
          <w:bCs/>
          <w:i/>
        </w:rPr>
        <w:t>process that information in order to limit the nu</w:t>
      </w:r>
      <w:r w:rsidRPr="00F45130">
        <w:rPr>
          <w:rFonts w:cs="Arial"/>
          <w:bCs/>
          <w:i/>
        </w:rPr>
        <w:t>m</w:t>
      </w:r>
      <w:r w:rsidRPr="00F45130">
        <w:rPr>
          <w:rFonts w:cs="Arial"/>
          <w:bCs/>
          <w:i/>
        </w:rPr>
        <w:t>ber of buy-ins to be executed</w:t>
      </w:r>
      <w:r w:rsidRPr="00F45130">
        <w:rPr>
          <w:rFonts w:cs="Arial"/>
          <w:bCs/>
        </w:rPr>
        <w:t xml:space="preserve">’. </w:t>
      </w:r>
    </w:p>
    <w:p w:rsidR="00810A47" w:rsidRPr="00F45130" w:rsidRDefault="00810A47" w:rsidP="00810A47">
      <w:pPr>
        <w:pStyle w:val="ListParagraph"/>
        <w:numPr>
          <w:ilvl w:val="1"/>
          <w:numId w:val="49"/>
        </w:numPr>
        <w:rPr>
          <w:rFonts w:cs="Arial"/>
          <w:bCs/>
        </w:rPr>
      </w:pPr>
      <w:r w:rsidRPr="00F45130">
        <w:rPr>
          <w:rFonts w:cs="Arial"/>
          <w:bCs/>
        </w:rPr>
        <w:t>It is virtually impossible to identify the full settlement chain(s) in all cases, e</w:t>
      </w:r>
      <w:r w:rsidRPr="00F45130">
        <w:rPr>
          <w:rFonts w:cs="Arial"/>
          <w:bCs/>
        </w:rPr>
        <w:t>s</w:t>
      </w:r>
      <w:r w:rsidRPr="00F45130">
        <w:rPr>
          <w:rFonts w:cs="Arial"/>
          <w:bCs/>
        </w:rPr>
        <w:t>pecially if these chain(s) involve settlement in different CSDs,</w:t>
      </w:r>
      <w:r w:rsidR="004E514D">
        <w:rPr>
          <w:rFonts w:cs="Arial"/>
          <w:bCs/>
        </w:rPr>
        <w:t xml:space="preserve"> together with</w:t>
      </w:r>
      <w:r w:rsidRPr="00F45130">
        <w:rPr>
          <w:rFonts w:cs="Arial"/>
          <w:bCs/>
        </w:rPr>
        <w:t xml:space="preserve"> CCP cleared settlements and OTC transactions, as well as interlinked cash and financing transactions (this is not uncommon). Any decision in such cases will have a discretionary nature, and thus could expose the decision maker (i.e. the CSD) to risk. As stated, buy-ins are very disruptive and e</w:t>
      </w:r>
      <w:r w:rsidRPr="00F45130">
        <w:rPr>
          <w:rFonts w:cs="Arial"/>
          <w:bCs/>
        </w:rPr>
        <w:t>x</w:t>
      </w:r>
      <w:r w:rsidRPr="00F45130">
        <w:rPr>
          <w:rFonts w:cs="Arial"/>
          <w:bCs/>
        </w:rPr>
        <w:lastRenderedPageBreak/>
        <w:t>pensive. Any uncertainty or degree of interpretation/discretion is likely to be challenged.</w:t>
      </w:r>
    </w:p>
    <w:p w:rsidR="00810A47" w:rsidRPr="00F45130" w:rsidRDefault="00810A47" w:rsidP="00810A47">
      <w:pPr>
        <w:pStyle w:val="ListParagraph"/>
        <w:numPr>
          <w:ilvl w:val="1"/>
          <w:numId w:val="49"/>
        </w:numPr>
        <w:rPr>
          <w:rFonts w:cs="Arial"/>
          <w:bCs/>
        </w:rPr>
      </w:pPr>
      <w:r w:rsidRPr="00F45130">
        <w:rPr>
          <w:rFonts w:cs="Arial"/>
          <w:bCs/>
        </w:rPr>
        <w:t xml:space="preserve">How will the CSD(s) determine what the best way is to minimise the number of buy-ins and if so, on what basis? </w:t>
      </w:r>
    </w:p>
    <w:p w:rsidR="00810A47" w:rsidRPr="00F45130" w:rsidRDefault="00810A47" w:rsidP="00810A47">
      <w:pPr>
        <w:pStyle w:val="ListParagraph"/>
        <w:numPr>
          <w:ilvl w:val="1"/>
          <w:numId w:val="49"/>
        </w:numPr>
        <w:rPr>
          <w:rFonts w:cs="Arial"/>
          <w:bCs/>
        </w:rPr>
      </w:pPr>
      <w:r w:rsidRPr="00F45130">
        <w:rPr>
          <w:rFonts w:cs="Arial"/>
          <w:bCs/>
        </w:rPr>
        <w:t>AFME believes that this article is impractical and will not allow CSDs to pr</w:t>
      </w:r>
      <w:r w:rsidRPr="00F45130">
        <w:rPr>
          <w:rFonts w:cs="Arial"/>
          <w:bCs/>
        </w:rPr>
        <w:t>e</w:t>
      </w:r>
      <w:r w:rsidRPr="00F45130">
        <w:rPr>
          <w:rFonts w:cs="Arial"/>
          <w:bCs/>
        </w:rPr>
        <w:t>vent multiple buy-ins. We recognise ESMA wishes to avoid unnecessary buy-ins in the context of chains of failed transactions (in line with the level one text), although, given the above questions, art.11(10) is unworkable and will not achieve this aim.</w:t>
      </w:r>
      <w:r w:rsidRPr="00F45130">
        <w:rPr>
          <w:rFonts w:cs="Arial"/>
          <w:sz w:val="20"/>
          <w:szCs w:val="20"/>
          <w:lang w:eastAsia="en-US"/>
        </w:rPr>
        <w:t xml:space="preserve"> </w:t>
      </w:r>
    </w:p>
    <w:p w:rsidR="00810A47" w:rsidRPr="00F45130" w:rsidRDefault="00810A47" w:rsidP="00810A47">
      <w:pPr>
        <w:pStyle w:val="ListParagraph"/>
        <w:numPr>
          <w:ilvl w:val="1"/>
          <w:numId w:val="49"/>
        </w:numPr>
        <w:rPr>
          <w:rFonts w:cs="Arial"/>
          <w:bCs/>
        </w:rPr>
      </w:pPr>
      <w:r w:rsidRPr="00F45130">
        <w:rPr>
          <w:rFonts w:cs="Arial"/>
          <w:bCs/>
        </w:rPr>
        <w:t>AFME therefore recommends deleting art.11(10). As an alternative, ESMA may want to consider replacing art.11(10) by a paragraph that describes a flow where the CSD informs its participants of the failed settlement transa</w:t>
      </w:r>
      <w:r w:rsidRPr="00F45130">
        <w:rPr>
          <w:rFonts w:cs="Arial"/>
          <w:bCs/>
        </w:rPr>
        <w:t>c</w:t>
      </w:r>
      <w:r w:rsidRPr="00F45130">
        <w:rPr>
          <w:rFonts w:cs="Arial"/>
          <w:bCs/>
        </w:rPr>
        <w:t>tions. CSD participants inform their own clients responsible for the failed i</w:t>
      </w:r>
      <w:r w:rsidRPr="00F45130">
        <w:rPr>
          <w:rFonts w:cs="Arial"/>
          <w:bCs/>
        </w:rPr>
        <w:t>n</w:t>
      </w:r>
      <w:r w:rsidRPr="00F45130">
        <w:rPr>
          <w:rFonts w:cs="Arial"/>
          <w:bCs/>
        </w:rPr>
        <w:t>struction and the client instigates the buy in process as proposed in (Add</w:t>
      </w:r>
      <w:r w:rsidRPr="00F45130">
        <w:rPr>
          <w:rFonts w:cs="Arial"/>
          <w:bCs/>
        </w:rPr>
        <w:t>i</w:t>
      </w:r>
      <w:r w:rsidRPr="00F45130">
        <w:rPr>
          <w:rFonts w:cs="Arial"/>
          <w:bCs/>
        </w:rPr>
        <w:t>tional information in section “Alternative Proposal”). We believe that this is likely to limit the number of buy in that should be executed.</w:t>
      </w:r>
    </w:p>
    <w:p w:rsidR="00810A47" w:rsidRPr="00F45130" w:rsidRDefault="00810A47" w:rsidP="00810A47">
      <w:pPr>
        <w:pStyle w:val="ListParagraph"/>
        <w:numPr>
          <w:ilvl w:val="1"/>
          <w:numId w:val="49"/>
        </w:numPr>
        <w:rPr>
          <w:rFonts w:cs="Arial"/>
          <w:bCs/>
        </w:rPr>
      </w:pPr>
      <w:r w:rsidRPr="00F45130">
        <w:rPr>
          <w:rFonts w:cs="Arial"/>
          <w:bCs/>
        </w:rPr>
        <w:t>Real-time transmission of the actual buy-in timing and results is key to avoid creating unintended additional market risks for the delivering parties who need it to close out any open positions (see further below)</w:t>
      </w:r>
    </w:p>
    <w:p w:rsidR="00810A47" w:rsidRPr="00F45130" w:rsidRDefault="00810A47" w:rsidP="00810A47">
      <w:pPr>
        <w:ind w:left="405"/>
        <w:rPr>
          <w:rFonts w:cs="Arial"/>
          <w:bCs/>
        </w:rPr>
      </w:pPr>
    </w:p>
    <w:p w:rsidR="00810A47" w:rsidRPr="00F45130" w:rsidRDefault="00810A47" w:rsidP="00810A47">
      <w:pPr>
        <w:ind w:left="405"/>
        <w:rPr>
          <w:rFonts w:cs="Arial"/>
          <w:bCs/>
        </w:rPr>
      </w:pPr>
    </w:p>
    <w:p w:rsidR="00810A47" w:rsidRPr="00F45130" w:rsidRDefault="00810A47" w:rsidP="00810A47">
      <w:pPr>
        <w:pStyle w:val="ListParagraph"/>
        <w:numPr>
          <w:ilvl w:val="0"/>
          <w:numId w:val="47"/>
        </w:numPr>
        <w:rPr>
          <w:rFonts w:cs="Arial"/>
          <w:bCs/>
        </w:rPr>
      </w:pPr>
      <w:r w:rsidRPr="00F45130">
        <w:rPr>
          <w:rFonts w:cs="Arial"/>
          <w:b/>
          <w:bCs/>
          <w:u w:val="single"/>
        </w:rPr>
        <w:t>The proposed process will not function well in cross-CSD settlement scenarios</w:t>
      </w:r>
    </w:p>
    <w:p w:rsidR="00810A47" w:rsidRPr="00F45130" w:rsidRDefault="00810A47" w:rsidP="00810A47">
      <w:pPr>
        <w:ind w:left="360"/>
        <w:rPr>
          <w:rFonts w:cs="Arial"/>
          <w:bCs/>
        </w:rPr>
      </w:pPr>
    </w:p>
    <w:p w:rsidR="00810A47" w:rsidRPr="00F45130" w:rsidRDefault="00810A47" w:rsidP="00810A47">
      <w:pPr>
        <w:ind w:left="360"/>
        <w:rPr>
          <w:rFonts w:cs="Arial"/>
          <w:bCs/>
        </w:rPr>
      </w:pPr>
      <w:r w:rsidRPr="00F45130">
        <w:rPr>
          <w:rFonts w:cs="Arial"/>
          <w:bCs/>
        </w:rPr>
        <w:t>We have similar concerns for (non-chain) cross border settlements:</w:t>
      </w:r>
    </w:p>
    <w:p w:rsidR="00810A47" w:rsidRPr="00F45130" w:rsidRDefault="00810A47" w:rsidP="00810A47">
      <w:pPr>
        <w:pStyle w:val="ListParagraph"/>
        <w:numPr>
          <w:ilvl w:val="0"/>
          <w:numId w:val="45"/>
        </w:numPr>
        <w:rPr>
          <w:rFonts w:cs="Arial"/>
          <w:bCs/>
        </w:rPr>
      </w:pPr>
      <w:r w:rsidRPr="00F45130">
        <w:rPr>
          <w:rFonts w:cs="Arial"/>
          <w:bCs/>
        </w:rPr>
        <w:t>Due to the account structure that is currently used (omnibus) we believe that in a cross CSD environment the current RTS proposal will be problematic.</w:t>
      </w:r>
    </w:p>
    <w:p w:rsidR="00810A47" w:rsidRPr="00F45130" w:rsidRDefault="00810A47" w:rsidP="00810A47">
      <w:pPr>
        <w:pStyle w:val="ListParagraph"/>
        <w:numPr>
          <w:ilvl w:val="0"/>
          <w:numId w:val="45"/>
        </w:numPr>
        <w:rPr>
          <w:rFonts w:cs="Arial"/>
          <w:bCs/>
        </w:rPr>
      </w:pPr>
      <w:r w:rsidRPr="00F45130">
        <w:rPr>
          <w:rFonts w:cs="Arial"/>
          <w:bCs/>
        </w:rPr>
        <w:t xml:space="preserve">It is not clear if and to whom the buy-in regime would be applied in case of a cross-border settlement between an EU CSD and a non-EU CSD. Would it only be applied if the issuer CSD is an EU CSD, or would it be applied </w:t>
      </w:r>
      <w:r w:rsidR="00606E22">
        <w:rPr>
          <w:rFonts w:cs="Arial"/>
          <w:bCs/>
        </w:rPr>
        <w:t>additionally</w:t>
      </w:r>
      <w:r w:rsidRPr="00F45130">
        <w:rPr>
          <w:rFonts w:cs="Arial"/>
          <w:bCs/>
        </w:rPr>
        <w:t xml:space="preserve"> if the EU CSD is an i</w:t>
      </w:r>
      <w:r w:rsidRPr="00F45130">
        <w:rPr>
          <w:rFonts w:cs="Arial"/>
          <w:bCs/>
        </w:rPr>
        <w:t>n</w:t>
      </w:r>
      <w:r w:rsidRPr="00F45130">
        <w:rPr>
          <w:rFonts w:cs="Arial"/>
          <w:bCs/>
        </w:rPr>
        <w:t xml:space="preserve">vestor CSD? ESMA is kindly asked to clarify this. </w:t>
      </w:r>
      <w:r w:rsidRPr="00F45130">
        <w:rPr>
          <w:rFonts w:cs="Arial"/>
          <w:bCs/>
        </w:rPr>
        <w:br/>
      </w:r>
    </w:p>
    <w:tbl>
      <w:tblPr>
        <w:tblStyle w:val="TableGrid"/>
        <w:tblW w:w="0" w:type="auto"/>
        <w:tblInd w:w="720" w:type="dxa"/>
        <w:tblLook w:val="04A0"/>
      </w:tblPr>
      <w:tblGrid>
        <w:gridCol w:w="8529"/>
      </w:tblGrid>
      <w:tr w:rsidR="00810A47" w:rsidRPr="00F45130" w:rsidTr="003D466C">
        <w:tc>
          <w:tcPr>
            <w:tcW w:w="8529" w:type="dxa"/>
          </w:tcPr>
          <w:p w:rsidR="00810A47" w:rsidRPr="00F45130" w:rsidRDefault="00810A47" w:rsidP="003D466C">
            <w:pPr>
              <w:ind w:left="360"/>
              <w:rPr>
                <w:rFonts w:cs="Arial"/>
                <w:b/>
                <w:bCs/>
                <w:u w:val="single"/>
              </w:rPr>
            </w:pPr>
            <w:r w:rsidRPr="00F45130">
              <w:rPr>
                <w:rFonts w:cs="Arial"/>
                <w:b/>
                <w:bCs/>
                <w:u w:val="single"/>
              </w:rPr>
              <w:t>Example (OTC transactions)</w:t>
            </w:r>
          </w:p>
          <w:p w:rsidR="00810A47" w:rsidRPr="00F45130" w:rsidRDefault="00810A47" w:rsidP="00FB266C">
            <w:pPr>
              <w:pStyle w:val="ListParagraph"/>
              <w:numPr>
                <w:ilvl w:val="0"/>
                <w:numId w:val="53"/>
              </w:numPr>
              <w:rPr>
                <w:rFonts w:cs="Arial"/>
                <w:bCs/>
              </w:rPr>
            </w:pPr>
            <w:r w:rsidRPr="00F45130">
              <w:rPr>
                <w:rFonts w:cs="Arial"/>
                <w:bCs/>
              </w:rPr>
              <w:t>Participant A in DTCC sells securities (</w:t>
            </w:r>
            <w:r w:rsidR="00D939AF" w:rsidRPr="00F45130">
              <w:rPr>
                <w:rFonts w:cs="Arial"/>
                <w:bCs/>
              </w:rPr>
              <w:t>e.g.</w:t>
            </w:r>
            <w:r w:rsidRPr="00F45130">
              <w:rPr>
                <w:rFonts w:cs="Arial"/>
                <w:bCs/>
              </w:rPr>
              <w:t xml:space="preserve"> US Treasuries) to Participant B in Euroclear Bank (‘EB’) </w:t>
            </w:r>
          </w:p>
          <w:p w:rsidR="00810A47" w:rsidRPr="00F45130" w:rsidRDefault="00810A47" w:rsidP="00FB266C">
            <w:pPr>
              <w:pStyle w:val="ListParagraph"/>
              <w:numPr>
                <w:ilvl w:val="0"/>
                <w:numId w:val="53"/>
              </w:numPr>
              <w:rPr>
                <w:rFonts w:cs="Arial"/>
                <w:bCs/>
              </w:rPr>
            </w:pPr>
            <w:r w:rsidRPr="00F45130">
              <w:rPr>
                <w:rFonts w:cs="Arial"/>
                <w:bCs/>
              </w:rPr>
              <w:t xml:space="preserve">Participant B sells these securities onwards to Participant C in Clearstream Bank Luxembourg (‘CBL’) </w:t>
            </w:r>
          </w:p>
          <w:p w:rsidR="00810A47" w:rsidRPr="00F45130" w:rsidRDefault="00810A47" w:rsidP="00FB266C">
            <w:pPr>
              <w:pStyle w:val="ListParagraph"/>
              <w:numPr>
                <w:ilvl w:val="0"/>
                <w:numId w:val="53"/>
              </w:numPr>
              <w:rPr>
                <w:rFonts w:cs="Arial"/>
                <w:bCs/>
              </w:rPr>
            </w:pPr>
            <w:r w:rsidRPr="00F45130">
              <w:rPr>
                <w:rFonts w:cs="Arial"/>
                <w:bCs/>
              </w:rPr>
              <w:t>Participant A does not deliver the securities to B, who as a result cannot d</w:t>
            </w:r>
            <w:r w:rsidRPr="00F45130">
              <w:rPr>
                <w:rFonts w:cs="Arial"/>
                <w:bCs/>
              </w:rPr>
              <w:t>e</w:t>
            </w:r>
            <w:r w:rsidRPr="00F45130">
              <w:rPr>
                <w:rFonts w:cs="Arial"/>
                <w:bCs/>
              </w:rPr>
              <w:t>liver to C. A buy-in is initiated at the level of C</w:t>
            </w:r>
          </w:p>
          <w:p w:rsidR="00810A47" w:rsidRPr="00F45130" w:rsidRDefault="00810A47" w:rsidP="003D466C">
            <w:pPr>
              <w:pStyle w:val="ListParagraph"/>
              <w:ind w:left="0"/>
              <w:rPr>
                <w:rFonts w:cs="Arial"/>
                <w:bCs/>
              </w:rPr>
            </w:pPr>
          </w:p>
        </w:tc>
      </w:tr>
    </w:tbl>
    <w:p w:rsidR="00810A47" w:rsidRPr="00F45130" w:rsidRDefault="00810A47" w:rsidP="00810A47">
      <w:pPr>
        <w:pStyle w:val="ListParagraph"/>
        <w:rPr>
          <w:rFonts w:cs="Arial"/>
          <w:bCs/>
        </w:rPr>
      </w:pPr>
    </w:p>
    <w:p w:rsidR="00810A47" w:rsidRPr="00F45130" w:rsidRDefault="00606E22" w:rsidP="00810A47">
      <w:pPr>
        <w:rPr>
          <w:rFonts w:cs="Arial"/>
          <w:bCs/>
        </w:rPr>
      </w:pPr>
      <w:r>
        <w:rPr>
          <w:rFonts w:cs="Arial"/>
          <w:bCs/>
        </w:rPr>
        <w:t>Open q</w:t>
      </w:r>
      <w:r w:rsidR="00810A47" w:rsidRPr="00F45130">
        <w:rPr>
          <w:rFonts w:cs="Arial"/>
          <w:bCs/>
        </w:rPr>
        <w:t>uestions/issues in relation to the</w:t>
      </w:r>
      <w:r>
        <w:rPr>
          <w:rFonts w:cs="Arial"/>
          <w:bCs/>
        </w:rPr>
        <w:t xml:space="preserve"> above</w:t>
      </w:r>
      <w:r w:rsidR="00810A47" w:rsidRPr="00F45130">
        <w:rPr>
          <w:rFonts w:cs="Arial"/>
          <w:bCs/>
        </w:rPr>
        <w:t xml:space="preserve"> example:</w:t>
      </w:r>
    </w:p>
    <w:p w:rsidR="00810A47" w:rsidRPr="00F45130" w:rsidRDefault="00810A47" w:rsidP="00FB266C">
      <w:pPr>
        <w:pStyle w:val="ListParagraph"/>
        <w:numPr>
          <w:ilvl w:val="0"/>
          <w:numId w:val="53"/>
        </w:numPr>
        <w:rPr>
          <w:rFonts w:cs="Arial"/>
          <w:bCs/>
        </w:rPr>
      </w:pPr>
      <w:r w:rsidRPr="00F45130">
        <w:rPr>
          <w:rFonts w:cs="Arial"/>
          <w:bCs/>
        </w:rPr>
        <w:t>According to art 11.4, the CSD shall send a notice to both the failing and receiving pa</w:t>
      </w:r>
      <w:r w:rsidRPr="00F45130">
        <w:rPr>
          <w:rFonts w:cs="Arial"/>
          <w:bCs/>
        </w:rPr>
        <w:t>r</w:t>
      </w:r>
      <w:r w:rsidRPr="00F45130">
        <w:rPr>
          <w:rFonts w:cs="Arial"/>
          <w:bCs/>
        </w:rPr>
        <w:t xml:space="preserve">ticipants. Which CSD(s) should do this and how: </w:t>
      </w:r>
    </w:p>
    <w:p w:rsidR="00810A47" w:rsidRPr="00F45130" w:rsidRDefault="00810A47" w:rsidP="00FB266C">
      <w:pPr>
        <w:pStyle w:val="ListParagraph"/>
        <w:numPr>
          <w:ilvl w:val="0"/>
          <w:numId w:val="53"/>
        </w:numPr>
        <w:rPr>
          <w:rFonts w:cs="Arial"/>
          <w:bCs/>
        </w:rPr>
      </w:pPr>
      <w:r w:rsidRPr="00F45130">
        <w:rPr>
          <w:rFonts w:cs="Arial"/>
          <w:bCs/>
          <w:u w:val="single"/>
        </w:rPr>
        <w:t>For the delivery between B and C:</w:t>
      </w:r>
      <w:r w:rsidRPr="00F45130">
        <w:rPr>
          <w:rFonts w:cs="Arial"/>
          <w:bCs/>
        </w:rPr>
        <w:t xml:space="preserve"> is it CBL which send the notification to just C, or will it send it to both B and C? </w:t>
      </w:r>
      <w:r w:rsidRPr="00F45130">
        <w:rPr>
          <w:rFonts w:cs="Arial"/>
          <w:bCs/>
        </w:rPr>
        <w:br/>
        <w:t>If the former, will EB then send a notification to B (and on which basis?)</w:t>
      </w:r>
      <w:r w:rsidR="0051688C">
        <w:rPr>
          <w:rFonts w:cs="Arial"/>
          <w:bCs/>
        </w:rPr>
        <w:t>?</w:t>
      </w:r>
      <w:r w:rsidRPr="00F45130">
        <w:rPr>
          <w:rFonts w:cs="Arial"/>
          <w:bCs/>
        </w:rPr>
        <w:br/>
        <w:t xml:space="preserve">If the latter, where will CBL send the notification as it has no contractual relationship with B (who is an EB client)? Does it send the notification to EB, who then needs to forward it to B? </w:t>
      </w:r>
      <w:r w:rsidRPr="00F45130">
        <w:rPr>
          <w:rFonts w:cs="Arial"/>
          <w:bCs/>
        </w:rPr>
        <w:br/>
        <w:t xml:space="preserve">Is EB considered a ‘failing participant’ responsible for the buy-in on behalf of its client B? </w:t>
      </w:r>
      <w:r w:rsidRPr="00F45130">
        <w:rPr>
          <w:rFonts w:cs="Arial"/>
          <w:bCs/>
        </w:rPr>
        <w:lastRenderedPageBreak/>
        <w:t>If so, that appears to be contrary to art 11.2 of the RTS, which provides that a buy-in shall not imply any unnecessary risk taking by a CSD.</w:t>
      </w:r>
    </w:p>
    <w:p w:rsidR="00810A47" w:rsidRPr="00F45130" w:rsidRDefault="00810A47" w:rsidP="00FB266C">
      <w:pPr>
        <w:pStyle w:val="ListParagraph"/>
        <w:numPr>
          <w:ilvl w:val="0"/>
          <w:numId w:val="53"/>
        </w:numPr>
        <w:rPr>
          <w:rFonts w:cs="Arial"/>
          <w:bCs/>
        </w:rPr>
      </w:pPr>
      <w:r w:rsidRPr="00F45130">
        <w:rPr>
          <w:rFonts w:cs="Arial"/>
          <w:bCs/>
          <w:u w:val="single"/>
        </w:rPr>
        <w:t>For the delivery between A and B,</w:t>
      </w:r>
      <w:r w:rsidRPr="00F45130">
        <w:rPr>
          <w:rFonts w:cs="Arial"/>
          <w:bCs/>
        </w:rPr>
        <w:t xml:space="preserve"> the same issues arise, compounded by the fact that A is a participant of a non-EU CSD:</w:t>
      </w:r>
      <w:r w:rsidRPr="00F45130">
        <w:rPr>
          <w:rFonts w:cs="Arial"/>
          <w:bCs/>
        </w:rPr>
        <w:br/>
        <w:t>Does DTCC have to comply with this regulation?</w:t>
      </w:r>
      <w:r w:rsidRPr="00F45130">
        <w:rPr>
          <w:rFonts w:cs="Arial"/>
          <w:bCs/>
        </w:rPr>
        <w:br/>
        <w:t>Will A be bought in, and if so, how and on what legal basis? As a non-EU CSD, DTCC is not bound by the rules in CSDR.</w:t>
      </w:r>
      <w:r w:rsidR="00606E22">
        <w:rPr>
          <w:rFonts w:cs="Arial"/>
          <w:bCs/>
        </w:rPr>
        <w:t xml:space="preserve"> The</w:t>
      </w:r>
      <w:r w:rsidRPr="00F45130">
        <w:rPr>
          <w:rFonts w:cs="Arial"/>
          <w:bCs/>
        </w:rPr>
        <w:t xml:space="preserve"> </w:t>
      </w:r>
      <w:proofErr w:type="gramStart"/>
      <w:r w:rsidRPr="00F45130">
        <w:rPr>
          <w:rFonts w:cs="Arial"/>
          <w:bCs/>
        </w:rPr>
        <w:t>Same</w:t>
      </w:r>
      <w:proofErr w:type="gramEnd"/>
      <w:r w:rsidRPr="00F45130">
        <w:rPr>
          <w:rFonts w:cs="Arial"/>
          <w:bCs/>
        </w:rPr>
        <w:t xml:space="preserve"> applies to A.</w:t>
      </w:r>
    </w:p>
    <w:p w:rsidR="00810A47" w:rsidRPr="00606E22" w:rsidRDefault="00810A47" w:rsidP="00810A47">
      <w:pPr>
        <w:pStyle w:val="ListParagraph"/>
        <w:numPr>
          <w:ilvl w:val="0"/>
          <w:numId w:val="45"/>
        </w:numPr>
        <w:rPr>
          <w:rFonts w:cs="Arial"/>
          <w:bCs/>
        </w:rPr>
      </w:pPr>
      <w:r w:rsidRPr="00F45130">
        <w:rPr>
          <w:rFonts w:cs="Arial"/>
          <w:bCs/>
        </w:rPr>
        <w:t>The net result is that B will be bought in by C, but is not able to buy in A (though the cause of the non delivery is due to A), and will be left with all costs.</w:t>
      </w:r>
      <w:r w:rsidRPr="00F45130" w:rsidDel="003171FC">
        <w:rPr>
          <w:rFonts w:cs="Arial"/>
          <w:bCs/>
        </w:rPr>
        <w:t xml:space="preserve"> </w:t>
      </w:r>
      <w:r w:rsidRPr="00F45130">
        <w:rPr>
          <w:rFonts w:cs="Arial"/>
          <w:bCs/>
        </w:rPr>
        <w:br/>
      </w:r>
      <w:r w:rsidRPr="00606E22">
        <w:rPr>
          <w:rFonts w:cs="Arial"/>
          <w:bCs/>
        </w:rPr>
        <w:t xml:space="preserve">The likely outcome of this is that EU buy-in rules will have a very detrimental effect on cross-border activity, especially between EU and non-EU CSDs: that activity is major and will </w:t>
      </w:r>
      <w:r w:rsidR="00606E22">
        <w:rPr>
          <w:rFonts w:cs="Arial"/>
          <w:bCs/>
        </w:rPr>
        <w:t xml:space="preserve">make </w:t>
      </w:r>
      <w:r w:rsidRPr="00606E22">
        <w:rPr>
          <w:rFonts w:cs="Arial"/>
          <w:bCs/>
        </w:rPr>
        <w:t xml:space="preserve">Europe </w:t>
      </w:r>
      <w:r w:rsidR="00606E22">
        <w:rPr>
          <w:rFonts w:cs="Arial"/>
          <w:bCs/>
        </w:rPr>
        <w:t xml:space="preserve">less attractive </w:t>
      </w:r>
      <w:r w:rsidRPr="00606E22">
        <w:rPr>
          <w:rFonts w:cs="Arial"/>
          <w:bCs/>
        </w:rPr>
        <w:t>as a trading and settlement location to international i</w:t>
      </w:r>
      <w:r w:rsidRPr="00606E22">
        <w:rPr>
          <w:rFonts w:cs="Arial"/>
          <w:bCs/>
        </w:rPr>
        <w:t>n</w:t>
      </w:r>
      <w:r w:rsidRPr="00606E22">
        <w:rPr>
          <w:rFonts w:cs="Arial"/>
          <w:bCs/>
        </w:rPr>
        <w:t>vestors</w:t>
      </w:r>
    </w:p>
    <w:p w:rsidR="00810A47" w:rsidRPr="00F45130" w:rsidRDefault="00810A47" w:rsidP="00810A47">
      <w:pPr>
        <w:rPr>
          <w:rFonts w:cs="Arial"/>
        </w:rPr>
      </w:pPr>
    </w:p>
    <w:p w:rsidR="00810A47" w:rsidRPr="00F45130" w:rsidRDefault="00810A47" w:rsidP="00FB266C">
      <w:pPr>
        <w:pStyle w:val="ListParagraph"/>
        <w:numPr>
          <w:ilvl w:val="0"/>
          <w:numId w:val="83"/>
        </w:numPr>
        <w:rPr>
          <w:rFonts w:cs="Arial"/>
          <w:b/>
          <w:bCs/>
          <w:sz w:val="24"/>
          <w:u w:val="single"/>
        </w:rPr>
      </w:pPr>
      <w:r w:rsidRPr="00F45130">
        <w:rPr>
          <w:rFonts w:cs="Arial"/>
          <w:b/>
          <w:bCs/>
          <w:sz w:val="24"/>
          <w:u w:val="single"/>
        </w:rPr>
        <w:t>Alternative proposal: Buy-ins at trading level with reporting back to CSD level</w:t>
      </w:r>
    </w:p>
    <w:p w:rsidR="00810A47" w:rsidRPr="00F45130" w:rsidRDefault="00810A47" w:rsidP="00810A47">
      <w:pPr>
        <w:rPr>
          <w:rFonts w:cs="Arial"/>
          <w:b/>
          <w:bCs/>
          <w:sz w:val="24"/>
          <w:u w:val="single"/>
        </w:rPr>
      </w:pPr>
    </w:p>
    <w:p w:rsidR="00810A47" w:rsidRPr="00F45130" w:rsidRDefault="00810A47" w:rsidP="00810A47">
      <w:pPr>
        <w:ind w:left="405"/>
        <w:rPr>
          <w:rFonts w:cs="Arial"/>
          <w:bCs/>
        </w:rPr>
      </w:pPr>
      <w:r w:rsidRPr="00F45130">
        <w:rPr>
          <w:rFonts w:cs="Arial"/>
          <w:bCs/>
        </w:rPr>
        <w:t>The following use case illustrates AFME’s alternative</w:t>
      </w:r>
      <w:r w:rsidR="0051688C">
        <w:rPr>
          <w:rFonts w:cs="Arial"/>
          <w:bCs/>
        </w:rPr>
        <w:t xml:space="preserve"> high level</w:t>
      </w:r>
      <w:r w:rsidRPr="00F45130">
        <w:rPr>
          <w:rFonts w:cs="Arial"/>
          <w:bCs/>
        </w:rPr>
        <w:t xml:space="preserve"> buy-in proposal where the buy-in is handled at a trading level rather than CSD level.</w:t>
      </w:r>
    </w:p>
    <w:p w:rsidR="00810A47" w:rsidRPr="00F45130" w:rsidRDefault="00810A47" w:rsidP="00810A47">
      <w:pPr>
        <w:ind w:left="405"/>
        <w:rPr>
          <w:rFonts w:cs="Arial"/>
          <w:bCs/>
        </w:rPr>
      </w:pPr>
      <w:r w:rsidRPr="0051688C">
        <w:rPr>
          <w:rFonts w:cs="Arial"/>
          <w:bCs/>
          <w:u w:val="single"/>
        </w:rPr>
        <w:t>Assumptions</w:t>
      </w:r>
      <w:r w:rsidRPr="00F45130">
        <w:rPr>
          <w:rFonts w:cs="Arial"/>
          <w:bCs/>
        </w:rPr>
        <w:t>:</w:t>
      </w:r>
    </w:p>
    <w:p w:rsidR="00810A47" w:rsidRPr="00F45130" w:rsidRDefault="00810A47" w:rsidP="00FB266C">
      <w:pPr>
        <w:pStyle w:val="ListParagraph"/>
        <w:numPr>
          <w:ilvl w:val="0"/>
          <w:numId w:val="55"/>
        </w:numPr>
        <w:rPr>
          <w:rFonts w:cs="Arial"/>
          <w:bCs/>
        </w:rPr>
      </w:pPr>
      <w:r w:rsidRPr="00F45130">
        <w:rPr>
          <w:rFonts w:cs="Arial"/>
          <w:bCs/>
        </w:rPr>
        <w:t>Trading Participant A and B are not direct CSD participants</w:t>
      </w:r>
    </w:p>
    <w:p w:rsidR="00810A47" w:rsidRPr="00F45130" w:rsidRDefault="00810A47" w:rsidP="00FB266C">
      <w:pPr>
        <w:pStyle w:val="ListParagraph"/>
        <w:numPr>
          <w:ilvl w:val="0"/>
          <w:numId w:val="55"/>
        </w:numPr>
        <w:rPr>
          <w:rFonts w:cs="Arial"/>
          <w:bCs/>
        </w:rPr>
      </w:pPr>
      <w:r w:rsidRPr="00F45130">
        <w:rPr>
          <w:rFonts w:cs="Arial"/>
          <w:bCs/>
        </w:rPr>
        <w:t>Trading Participant A fails to deliver to Trading Participant B</w:t>
      </w:r>
    </w:p>
    <w:p w:rsidR="00810A47" w:rsidRPr="00F45130" w:rsidRDefault="00810A47" w:rsidP="00FB266C">
      <w:pPr>
        <w:pStyle w:val="ListParagraph"/>
        <w:numPr>
          <w:ilvl w:val="0"/>
          <w:numId w:val="55"/>
        </w:numPr>
        <w:rPr>
          <w:rFonts w:cs="Arial"/>
          <w:bCs/>
        </w:rPr>
      </w:pPr>
      <w:r w:rsidRPr="00F45130">
        <w:rPr>
          <w:rFonts w:cs="Arial"/>
          <w:bCs/>
        </w:rPr>
        <w:t>A buy-in agent is performing the buy-in</w:t>
      </w:r>
    </w:p>
    <w:p w:rsidR="00810A47" w:rsidRPr="00F45130" w:rsidRDefault="00810A47" w:rsidP="00FB266C">
      <w:pPr>
        <w:pStyle w:val="ListParagraph"/>
        <w:numPr>
          <w:ilvl w:val="0"/>
          <w:numId w:val="55"/>
        </w:numPr>
        <w:rPr>
          <w:rFonts w:cs="Arial"/>
          <w:bCs/>
        </w:rPr>
      </w:pPr>
      <w:r w:rsidRPr="00F45130">
        <w:rPr>
          <w:rFonts w:cs="Arial"/>
          <w:bCs/>
        </w:rPr>
        <w:t>Reporting of initiation of buy-in and result of the buy-in auction is reported to the CSD</w:t>
      </w:r>
    </w:p>
    <w:p w:rsidR="00810A47" w:rsidRPr="00F45130" w:rsidRDefault="00810A47" w:rsidP="00810A47">
      <w:pPr>
        <w:ind w:left="405"/>
        <w:rPr>
          <w:rFonts w:cs="Arial"/>
          <w:b/>
          <w:bCs/>
          <w:sz w:val="24"/>
          <w:u w:val="single"/>
        </w:rPr>
      </w:pPr>
    </w:p>
    <w:p w:rsidR="00810A47" w:rsidRPr="00F45130" w:rsidRDefault="00810A47" w:rsidP="00810A47">
      <w:pPr>
        <w:pStyle w:val="ListParagraph"/>
        <w:ind w:left="360"/>
        <w:rPr>
          <w:rFonts w:cs="Arial"/>
          <w:b/>
          <w:bCs/>
        </w:rPr>
      </w:pPr>
      <w:r w:rsidRPr="00F45130">
        <w:rPr>
          <w:rFonts w:cs="Arial"/>
          <w:noProof/>
          <w:lang w:val="en-US" w:eastAsia="en-US"/>
        </w:rPr>
        <w:drawing>
          <wp:inline distT="0" distB="0" distL="0" distR="0">
            <wp:extent cx="5953125" cy="343349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57017" cy="3435735"/>
                    </a:xfrm>
                    <a:prstGeom prst="rect">
                      <a:avLst/>
                    </a:prstGeom>
                    <a:noFill/>
                    <a:ln w="9525">
                      <a:noFill/>
                      <a:miter lim="800000"/>
                      <a:headEnd/>
                      <a:tailEnd/>
                    </a:ln>
                  </pic:spPr>
                </pic:pic>
              </a:graphicData>
            </a:graphic>
          </wp:inline>
        </w:drawing>
      </w:r>
      <w:r w:rsidRPr="00F45130" w:rsidDel="00415521">
        <w:rPr>
          <w:rFonts w:cs="Arial"/>
        </w:rPr>
        <w:t xml:space="preserve"> </w:t>
      </w:r>
    </w:p>
    <w:p w:rsidR="00810A47" w:rsidRPr="00F45130" w:rsidRDefault="00810A47" w:rsidP="00810A47">
      <w:pPr>
        <w:pStyle w:val="Caption"/>
        <w:rPr>
          <w:rFonts w:cs="Arial"/>
          <w:b w:val="0"/>
          <w:bCs w:val="0"/>
        </w:rPr>
      </w:pPr>
      <w:r w:rsidRPr="00F45130">
        <w:rPr>
          <w:rFonts w:cs="Arial"/>
        </w:rPr>
        <w:t xml:space="preserve">Figure </w:t>
      </w:r>
      <w:r w:rsidR="00EC1027" w:rsidRPr="00F45130">
        <w:rPr>
          <w:rFonts w:cs="Arial"/>
        </w:rPr>
        <w:fldChar w:fldCharType="begin"/>
      </w:r>
      <w:r w:rsidRPr="00F45130">
        <w:rPr>
          <w:rFonts w:cs="Arial"/>
        </w:rPr>
        <w:instrText xml:space="preserve"> SEQ Figure \* ARABIC </w:instrText>
      </w:r>
      <w:r w:rsidR="00EC1027" w:rsidRPr="00F45130">
        <w:rPr>
          <w:rFonts w:cs="Arial"/>
        </w:rPr>
        <w:fldChar w:fldCharType="separate"/>
      </w:r>
      <w:r w:rsidR="002F4894">
        <w:rPr>
          <w:rFonts w:cs="Arial"/>
          <w:noProof/>
        </w:rPr>
        <w:t>2</w:t>
      </w:r>
      <w:r w:rsidR="00EC1027" w:rsidRPr="00F45130">
        <w:rPr>
          <w:rFonts w:cs="Arial"/>
        </w:rPr>
        <w:fldChar w:fldCharType="end"/>
      </w:r>
      <w:r w:rsidRPr="00F45130">
        <w:rPr>
          <w:rFonts w:cs="Arial"/>
        </w:rPr>
        <w:t>: Buy-in process – Alternative proposal</w:t>
      </w:r>
    </w:p>
    <w:p w:rsidR="00810A47" w:rsidRPr="00F45130" w:rsidRDefault="00606E22" w:rsidP="00810A47">
      <w:pPr>
        <w:pStyle w:val="ListParagraph"/>
        <w:ind w:left="360"/>
        <w:rPr>
          <w:rFonts w:cs="Arial"/>
          <w:bCs/>
        </w:rPr>
      </w:pPr>
      <w:r w:rsidRPr="00606E22">
        <w:rPr>
          <w:noProof/>
          <w:lang w:val="en-US" w:eastAsia="en-US"/>
        </w:rPr>
        <w:lastRenderedPageBreak/>
        <w:drawing>
          <wp:inline distT="0" distB="0" distL="0" distR="0">
            <wp:extent cx="5976620" cy="555998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76620" cy="5559988"/>
                    </a:xfrm>
                    <a:prstGeom prst="rect">
                      <a:avLst/>
                    </a:prstGeom>
                    <a:noFill/>
                    <a:ln w="9525">
                      <a:noFill/>
                      <a:miter lim="800000"/>
                      <a:headEnd/>
                      <a:tailEnd/>
                    </a:ln>
                  </pic:spPr>
                </pic:pic>
              </a:graphicData>
            </a:graphic>
          </wp:inline>
        </w:drawing>
      </w:r>
      <w:r w:rsidR="00810A47" w:rsidRPr="00F45130" w:rsidDel="00415521">
        <w:rPr>
          <w:rFonts w:cs="Arial"/>
        </w:rPr>
        <w:t xml:space="preserve"> </w:t>
      </w:r>
    </w:p>
    <w:p w:rsidR="00810A47" w:rsidRPr="00F45130" w:rsidRDefault="00810A47" w:rsidP="00810A47">
      <w:pPr>
        <w:pStyle w:val="Caption"/>
        <w:rPr>
          <w:rFonts w:cs="Arial"/>
          <w:bCs w:val="0"/>
        </w:rPr>
      </w:pPr>
      <w:r w:rsidRPr="00F45130">
        <w:rPr>
          <w:rFonts w:cs="Arial"/>
        </w:rPr>
        <w:t xml:space="preserve">Table </w:t>
      </w:r>
      <w:r w:rsidR="00EC1027" w:rsidRPr="00F45130">
        <w:rPr>
          <w:rFonts w:cs="Arial"/>
        </w:rPr>
        <w:fldChar w:fldCharType="begin"/>
      </w:r>
      <w:r w:rsidRPr="00F45130">
        <w:rPr>
          <w:rFonts w:cs="Arial"/>
        </w:rPr>
        <w:instrText xml:space="preserve"> SEQ Table \* ARABIC </w:instrText>
      </w:r>
      <w:r w:rsidR="00EC1027" w:rsidRPr="00F45130">
        <w:rPr>
          <w:rFonts w:cs="Arial"/>
        </w:rPr>
        <w:fldChar w:fldCharType="separate"/>
      </w:r>
      <w:r w:rsidR="002F4894">
        <w:rPr>
          <w:rFonts w:cs="Arial"/>
          <w:noProof/>
        </w:rPr>
        <w:t>1</w:t>
      </w:r>
      <w:r w:rsidR="00EC1027" w:rsidRPr="00F45130">
        <w:rPr>
          <w:rFonts w:cs="Arial"/>
        </w:rPr>
        <w:fldChar w:fldCharType="end"/>
      </w:r>
      <w:r w:rsidRPr="00F45130">
        <w:rPr>
          <w:rFonts w:cs="Arial"/>
        </w:rPr>
        <w:t xml:space="preserve">: Buy-in process – Alternative proposal </w:t>
      </w:r>
    </w:p>
    <w:p w:rsidR="00810A47" w:rsidRPr="00F45130" w:rsidRDefault="00810A47" w:rsidP="00810A47">
      <w:pPr>
        <w:rPr>
          <w:rFonts w:cs="Arial"/>
          <w:bCs/>
        </w:rPr>
      </w:pPr>
    </w:p>
    <w:p w:rsidR="00810A47" w:rsidRPr="00F45130" w:rsidRDefault="00810A47" w:rsidP="00810A47">
      <w:pPr>
        <w:pStyle w:val="ListParagraph"/>
        <w:numPr>
          <w:ilvl w:val="0"/>
          <w:numId w:val="50"/>
        </w:numPr>
        <w:rPr>
          <w:rFonts w:cs="Arial"/>
          <w:bCs/>
        </w:rPr>
      </w:pPr>
      <w:r w:rsidRPr="00F45130">
        <w:rPr>
          <w:rFonts w:cs="Arial"/>
          <w:b/>
          <w:bCs/>
        </w:rPr>
        <w:t xml:space="preserve">CSDs should take no active role in the Buy-In process; </w:t>
      </w:r>
      <w:r w:rsidRPr="00F45130">
        <w:rPr>
          <w:rFonts w:cs="Arial"/>
          <w:bCs/>
        </w:rPr>
        <w:t xml:space="preserve">their role should be limited to providing the required information to trigger the buy-in, and to monitor and report back the results of  the buy-ins. This is in line with Level 1 text, which only requires </w:t>
      </w:r>
      <w:r w:rsidR="00606E22">
        <w:rPr>
          <w:rFonts w:cs="Arial"/>
          <w:bCs/>
        </w:rPr>
        <w:t>CSDs</w:t>
      </w:r>
      <w:r w:rsidRPr="00F45130">
        <w:rPr>
          <w:rFonts w:cs="Arial"/>
          <w:bCs/>
        </w:rPr>
        <w:t xml:space="preserve"> to have rules associated with buy ins.</w:t>
      </w:r>
      <w:r w:rsidRPr="00F45130">
        <w:rPr>
          <w:rFonts w:cs="Arial"/>
          <w:bCs/>
        </w:rPr>
        <w:br/>
      </w:r>
    </w:p>
    <w:p w:rsidR="00810A47" w:rsidRPr="00F45130" w:rsidRDefault="00810A47" w:rsidP="00810A47">
      <w:pPr>
        <w:pStyle w:val="ListParagraph"/>
        <w:numPr>
          <w:ilvl w:val="0"/>
          <w:numId w:val="50"/>
        </w:numPr>
        <w:rPr>
          <w:rFonts w:cs="Arial"/>
          <w:bCs/>
        </w:rPr>
      </w:pPr>
      <w:r w:rsidRPr="00F45130">
        <w:rPr>
          <w:rFonts w:cs="Arial"/>
          <w:b/>
          <w:bCs/>
        </w:rPr>
        <w:t xml:space="preserve">Buy-ins should be </w:t>
      </w:r>
      <w:r w:rsidRPr="00F45130">
        <w:rPr>
          <w:rFonts w:cs="Arial"/>
          <w:bCs/>
        </w:rPr>
        <w:t>enforced at trading level between counterparties to the trade. Their agreements/standard industry rules will need to be enhanced to refer to the mandatory obl</w:t>
      </w:r>
      <w:r w:rsidRPr="00F45130">
        <w:rPr>
          <w:rFonts w:cs="Arial"/>
          <w:bCs/>
        </w:rPr>
        <w:t>i</w:t>
      </w:r>
      <w:r w:rsidRPr="00F45130">
        <w:rPr>
          <w:rFonts w:cs="Arial"/>
          <w:bCs/>
        </w:rPr>
        <w:t xml:space="preserve">gations imposed by CSDR level 1 text and the RTS. </w:t>
      </w:r>
      <w:r w:rsidRPr="00F45130">
        <w:rPr>
          <w:rFonts w:cs="Arial"/>
          <w:bCs/>
        </w:rPr>
        <w:br/>
        <w:t>In addition, CSDs and trading venues will include in their internal rules an obligation for their members to apply the relevant rules (Art 7(10) CSDR).</w:t>
      </w:r>
      <w:r w:rsidRPr="00F45130">
        <w:rPr>
          <w:rFonts w:cs="Arial"/>
          <w:bCs/>
        </w:rPr>
        <w:br/>
        <w:t xml:space="preserve">With respect to trading venue members, this will effectively mean that such members will be liable for buy-in costs themselves (which </w:t>
      </w:r>
      <w:r w:rsidR="00606E22">
        <w:rPr>
          <w:rFonts w:cs="Arial"/>
          <w:bCs/>
        </w:rPr>
        <w:t>appears sensible</w:t>
      </w:r>
      <w:r w:rsidRPr="00F45130">
        <w:rPr>
          <w:rFonts w:cs="Arial"/>
          <w:bCs/>
        </w:rPr>
        <w:t>, given they are the trading cou</w:t>
      </w:r>
      <w:r w:rsidRPr="00F45130">
        <w:rPr>
          <w:rFonts w:cs="Arial"/>
          <w:bCs/>
        </w:rPr>
        <w:t>n</w:t>
      </w:r>
      <w:r w:rsidRPr="00F45130">
        <w:rPr>
          <w:rFonts w:cs="Arial"/>
          <w:bCs/>
        </w:rPr>
        <w:t>terparties to any relevant failed trades). With respect to CSD participants, they</w:t>
      </w:r>
      <w:r w:rsidR="00606E22">
        <w:rPr>
          <w:rFonts w:cs="Arial"/>
          <w:bCs/>
        </w:rPr>
        <w:t xml:space="preserve"> should be </w:t>
      </w:r>
      <w:r w:rsidRPr="00F45130">
        <w:rPr>
          <w:rFonts w:cs="Arial"/>
          <w:bCs/>
        </w:rPr>
        <w:lastRenderedPageBreak/>
        <w:t>subject to an obligation (via the relevant CSD’s rule book) to include in their own client agreements a requirement that their clients adhere to the CSDR buy-in regime</w:t>
      </w:r>
      <w:r w:rsidR="00606E22">
        <w:rPr>
          <w:rFonts w:cs="Arial"/>
          <w:bCs/>
        </w:rPr>
        <w:t>.</w:t>
      </w:r>
      <w:r w:rsidRPr="00F45130">
        <w:rPr>
          <w:rFonts w:cs="Arial"/>
          <w:bCs/>
        </w:rPr>
        <w:t xml:space="preserve"> </w:t>
      </w:r>
      <w:r w:rsidR="00606E22">
        <w:rPr>
          <w:rFonts w:cs="Arial"/>
          <w:bCs/>
        </w:rPr>
        <w:t xml:space="preserve">This </w:t>
      </w:r>
      <w:r w:rsidRPr="00F45130">
        <w:rPr>
          <w:rFonts w:cs="Arial"/>
          <w:bCs/>
        </w:rPr>
        <w:t>r</w:t>
      </w:r>
      <w:r w:rsidRPr="00F45130">
        <w:rPr>
          <w:rFonts w:cs="Arial"/>
          <w:bCs/>
        </w:rPr>
        <w:t>e</w:t>
      </w:r>
      <w:r w:rsidRPr="00F45130">
        <w:rPr>
          <w:rFonts w:cs="Arial"/>
          <w:bCs/>
        </w:rPr>
        <w:t>quirement should</w:t>
      </w:r>
      <w:r w:rsidR="00606E22">
        <w:rPr>
          <w:rFonts w:cs="Arial"/>
          <w:bCs/>
        </w:rPr>
        <w:t>,</w:t>
      </w:r>
      <w:r w:rsidRPr="00F45130">
        <w:rPr>
          <w:rFonts w:cs="Arial"/>
          <w:bCs/>
        </w:rPr>
        <w:t xml:space="preserve"> include an obligation</w:t>
      </w:r>
      <w:r w:rsidR="00606E22">
        <w:rPr>
          <w:rFonts w:cs="Arial"/>
          <w:bCs/>
        </w:rPr>
        <w:t>,</w:t>
      </w:r>
      <w:r w:rsidRPr="00F45130">
        <w:rPr>
          <w:rFonts w:cs="Arial"/>
          <w:bCs/>
        </w:rPr>
        <w:t xml:space="preserve"> </w:t>
      </w:r>
      <w:r w:rsidR="00606E22">
        <w:rPr>
          <w:rFonts w:cs="Arial"/>
          <w:bCs/>
        </w:rPr>
        <w:t>for clients to document a similar requirement in their own client agreements (where relevant) to adhere with CSDR.</w:t>
      </w:r>
      <w:r w:rsidRPr="00F45130">
        <w:rPr>
          <w:rFonts w:cs="Arial"/>
          <w:bCs/>
        </w:rPr>
        <w:t xml:space="preserve"> </w:t>
      </w:r>
    </w:p>
    <w:p w:rsidR="00810A47" w:rsidRPr="00F45130" w:rsidRDefault="00810A47" w:rsidP="00810A47">
      <w:pPr>
        <w:pStyle w:val="ListParagraph"/>
        <w:ind w:left="360"/>
        <w:rPr>
          <w:rFonts w:cs="Arial"/>
          <w:bCs/>
        </w:rPr>
      </w:pPr>
    </w:p>
    <w:p w:rsidR="00810A47" w:rsidRPr="00F45130" w:rsidRDefault="00810A47" w:rsidP="00810A47">
      <w:pPr>
        <w:pStyle w:val="ListParagraph"/>
        <w:numPr>
          <w:ilvl w:val="0"/>
          <w:numId w:val="50"/>
        </w:numPr>
        <w:rPr>
          <w:rFonts w:cs="Arial"/>
          <w:bCs/>
        </w:rPr>
      </w:pPr>
      <w:r w:rsidRPr="00F45130">
        <w:rPr>
          <w:rFonts w:cs="Arial"/>
          <w:b/>
          <w:bCs/>
        </w:rPr>
        <w:t>Who will execute the buy-in</w:t>
      </w:r>
      <w:r w:rsidRPr="00F45130">
        <w:rPr>
          <w:rFonts w:cs="Arial"/>
          <w:bCs/>
        </w:rPr>
        <w:t xml:space="preserve">: Where a CCP becomes the counterparty to the </w:t>
      </w:r>
      <w:r w:rsidR="00D939AF" w:rsidRPr="00F45130">
        <w:rPr>
          <w:rFonts w:cs="Arial"/>
          <w:bCs/>
        </w:rPr>
        <w:t>trade;</w:t>
      </w:r>
      <w:r w:rsidRPr="00F45130">
        <w:rPr>
          <w:rFonts w:cs="Arial"/>
          <w:bCs/>
        </w:rPr>
        <w:t xml:space="preserve"> the CCP will execute the buy-in. This is current market practice. Where no CCP is involved, it should be the prejudiced receiver/buyer who is required to initiate the buy-in (unless it caused the fail). Notices of the relevant parties and modalities (extension period, deferral, quantity and timing etc) will be passed by the trading counterparties through the chain of se</w:t>
      </w:r>
      <w:r w:rsidRPr="00F45130">
        <w:rPr>
          <w:rFonts w:cs="Arial"/>
          <w:bCs/>
        </w:rPr>
        <w:t>t</w:t>
      </w:r>
      <w:r w:rsidRPr="00F45130">
        <w:rPr>
          <w:rFonts w:cs="Arial"/>
          <w:bCs/>
        </w:rPr>
        <w:t xml:space="preserve">tlement intermediaries back to the CSD for reporting and monitoring purposes </w:t>
      </w:r>
    </w:p>
    <w:p w:rsidR="00810A47" w:rsidRPr="00F45130" w:rsidRDefault="00810A47" w:rsidP="00810A47">
      <w:pPr>
        <w:pStyle w:val="ListParagraph"/>
        <w:ind w:left="360"/>
        <w:rPr>
          <w:rFonts w:cs="Arial"/>
          <w:b/>
          <w:bCs/>
        </w:rPr>
      </w:pPr>
    </w:p>
    <w:p w:rsidR="00810A47" w:rsidRPr="00F45130" w:rsidRDefault="00810A47" w:rsidP="00810A47">
      <w:pPr>
        <w:pStyle w:val="ListParagraph"/>
        <w:numPr>
          <w:ilvl w:val="0"/>
          <w:numId w:val="50"/>
        </w:numPr>
        <w:rPr>
          <w:rFonts w:cs="Arial"/>
          <w:bCs/>
        </w:rPr>
      </w:pPr>
      <w:r w:rsidRPr="00F45130">
        <w:rPr>
          <w:rFonts w:cs="Arial"/>
          <w:b/>
          <w:bCs/>
        </w:rPr>
        <w:t>Procedure</w:t>
      </w:r>
      <w:r w:rsidRPr="00F45130">
        <w:rPr>
          <w:rFonts w:cs="Arial"/>
          <w:bCs/>
        </w:rPr>
        <w:t>: If a mandatory buy-in is to be initiated between trading counterparties according to the timeframes and modalities of CSDR, the steps to be taken could be as follows:</w:t>
      </w:r>
      <w:r w:rsidRPr="00F45130">
        <w:rPr>
          <w:rFonts w:cs="Arial"/>
          <w:bCs/>
        </w:rPr>
        <w:br/>
      </w:r>
    </w:p>
    <w:p w:rsidR="00810A47" w:rsidRPr="00F45130" w:rsidRDefault="00810A47" w:rsidP="00810A47">
      <w:pPr>
        <w:pStyle w:val="ListParagraph"/>
        <w:numPr>
          <w:ilvl w:val="1"/>
          <w:numId w:val="50"/>
        </w:numPr>
        <w:ind w:left="648"/>
        <w:rPr>
          <w:rFonts w:cs="Arial"/>
          <w:bCs/>
        </w:rPr>
      </w:pPr>
      <w:r w:rsidRPr="00F45130">
        <w:rPr>
          <w:rFonts w:cs="Arial"/>
          <w:bCs/>
          <w:u w:val="single"/>
        </w:rPr>
        <w:t>Initiate buy-ins/end buy-in notification</w:t>
      </w:r>
      <w:r w:rsidRPr="00F45130">
        <w:rPr>
          <w:rFonts w:cs="Arial"/>
          <w:bCs/>
        </w:rPr>
        <w:t xml:space="preserve">; </w:t>
      </w:r>
      <w:r w:rsidR="00D939AF" w:rsidRPr="00F45130">
        <w:rPr>
          <w:rFonts w:cs="Arial"/>
          <w:bCs/>
        </w:rPr>
        <w:t>the</w:t>
      </w:r>
      <w:r w:rsidRPr="00F45130">
        <w:rPr>
          <w:rFonts w:cs="Arial"/>
          <w:bCs/>
        </w:rPr>
        <w:t xml:space="preserve"> prejudiced buyer (‘C’) sends a buy-in notific</w:t>
      </w:r>
      <w:r w:rsidRPr="00F45130">
        <w:rPr>
          <w:rFonts w:cs="Arial"/>
          <w:bCs/>
        </w:rPr>
        <w:t>a</w:t>
      </w:r>
      <w:r w:rsidRPr="00F45130">
        <w:rPr>
          <w:rFonts w:cs="Arial"/>
          <w:bCs/>
        </w:rPr>
        <w:t>tion to the seller (‘B’) at the end of the extension period. That notification process already exists in certain markets (bonds) but will need to be converted into an STP format to cope with high volumes/speedy and secure transmission. A copy of that notification could be sent to the settlement agent and /or CSD  so all involved parties are fully informed</w:t>
      </w:r>
    </w:p>
    <w:p w:rsidR="00810A47" w:rsidRPr="00F45130" w:rsidRDefault="00810A47" w:rsidP="00810A47">
      <w:pPr>
        <w:pStyle w:val="ListParagraph"/>
        <w:numPr>
          <w:ilvl w:val="1"/>
          <w:numId w:val="50"/>
        </w:numPr>
        <w:ind w:left="648"/>
        <w:rPr>
          <w:rFonts w:cs="Arial"/>
          <w:bCs/>
        </w:rPr>
      </w:pPr>
      <w:r w:rsidRPr="00F45130">
        <w:rPr>
          <w:rFonts w:cs="Arial"/>
          <w:bCs/>
          <w:u w:val="single"/>
        </w:rPr>
        <w:t>Receive buy-in notification/checks</w:t>
      </w:r>
      <w:r w:rsidRPr="00F45130">
        <w:rPr>
          <w:rFonts w:cs="Arial"/>
          <w:bCs/>
        </w:rPr>
        <w:t>: the delivering party (B) will receive the notification, and take the following essential steps (as today):</w:t>
      </w:r>
    </w:p>
    <w:p w:rsidR="00810A47" w:rsidRPr="00F45130" w:rsidRDefault="00810A47" w:rsidP="00810A47">
      <w:pPr>
        <w:pStyle w:val="ListParagraph"/>
        <w:numPr>
          <w:ilvl w:val="2"/>
          <w:numId w:val="50"/>
        </w:numPr>
        <w:ind w:left="936"/>
        <w:rPr>
          <w:rFonts w:cs="Arial"/>
          <w:bCs/>
        </w:rPr>
      </w:pPr>
      <w:r w:rsidRPr="00F45130">
        <w:rPr>
          <w:rFonts w:cs="Arial"/>
          <w:bCs/>
        </w:rPr>
        <w:t>Verify whether the buy-in is valid under CSDR rules: that step is essential to avoid executing erroneous buy-ins on trades which both parties have not agreed upon</w:t>
      </w:r>
      <w:r w:rsidRPr="00F45130">
        <w:rPr>
          <w:rStyle w:val="FootnoteReference"/>
          <w:rFonts w:cs="Arial"/>
          <w:bCs/>
        </w:rPr>
        <w:footnoteReference w:id="6"/>
      </w:r>
      <w:r w:rsidRPr="00F45130">
        <w:rPr>
          <w:rFonts w:cs="Arial"/>
          <w:bCs/>
        </w:rPr>
        <w:t xml:space="preserve"> or do not fall under the scope of CSDR. It will also enable elimination of buy-in notifications on settlements for which a buy-in is not useful (e.g. corporate actions, margin delive</w:t>
      </w:r>
      <w:r w:rsidRPr="00F45130">
        <w:rPr>
          <w:rFonts w:cs="Arial"/>
          <w:bCs/>
        </w:rPr>
        <w:t>r</w:t>
      </w:r>
      <w:r w:rsidRPr="00F45130">
        <w:rPr>
          <w:rFonts w:cs="Arial"/>
          <w:bCs/>
        </w:rPr>
        <w:t>ies etc). In both cases, the seller/deliverer is required to revert immediately to the buyer to challenge the notification if it thinks that the buy-in is not warranted.</w:t>
      </w:r>
    </w:p>
    <w:p w:rsidR="00810A47" w:rsidRPr="00F45130" w:rsidRDefault="00810A47" w:rsidP="00810A47">
      <w:pPr>
        <w:pStyle w:val="ListParagraph"/>
        <w:numPr>
          <w:ilvl w:val="2"/>
          <w:numId w:val="50"/>
        </w:numPr>
        <w:ind w:left="936"/>
        <w:rPr>
          <w:rFonts w:cs="Arial"/>
          <w:bCs/>
        </w:rPr>
      </w:pPr>
      <w:r w:rsidRPr="00F45130">
        <w:rPr>
          <w:rFonts w:cs="Arial"/>
          <w:bCs/>
        </w:rPr>
        <w:t xml:space="preserve">Verify </w:t>
      </w:r>
      <w:r w:rsidRPr="00F45130">
        <w:rPr>
          <w:rFonts w:cs="Arial"/>
          <w:b/>
          <w:bCs/>
        </w:rPr>
        <w:t>what caused the failure</w:t>
      </w:r>
      <w:r w:rsidRPr="00F45130">
        <w:rPr>
          <w:rFonts w:cs="Arial"/>
          <w:bCs/>
        </w:rPr>
        <w:t xml:space="preserve"> to deliver the securities to the receiver (C). If the failure is due to the receiver (C) (e</w:t>
      </w:r>
      <w:r w:rsidR="0009311A">
        <w:rPr>
          <w:rFonts w:cs="Arial"/>
          <w:bCs/>
        </w:rPr>
        <w:t>.</w:t>
      </w:r>
      <w:r w:rsidRPr="00F45130">
        <w:rPr>
          <w:rFonts w:cs="Arial"/>
          <w:bCs/>
        </w:rPr>
        <w:t>g</w:t>
      </w:r>
      <w:r w:rsidR="0009311A">
        <w:rPr>
          <w:rFonts w:cs="Arial"/>
          <w:bCs/>
        </w:rPr>
        <w:t>.</w:t>
      </w:r>
      <w:r w:rsidRPr="00F45130">
        <w:rPr>
          <w:rFonts w:cs="Arial"/>
          <w:bCs/>
        </w:rPr>
        <w:t xml:space="preserve"> lack of cash), the deliverer (B) can revert to the receiver to challenge the notification. If the failure is due to the deliverer (B), he has two options:</w:t>
      </w:r>
    </w:p>
    <w:p w:rsidR="00810A47" w:rsidRPr="00F45130" w:rsidRDefault="00810A47" w:rsidP="00810A47">
      <w:pPr>
        <w:pStyle w:val="ListParagraph"/>
        <w:numPr>
          <w:ilvl w:val="3"/>
          <w:numId w:val="50"/>
        </w:numPr>
        <w:ind w:left="1224"/>
        <w:rPr>
          <w:rFonts w:cs="Arial"/>
          <w:bCs/>
        </w:rPr>
      </w:pPr>
      <w:r w:rsidRPr="00F45130">
        <w:rPr>
          <w:rFonts w:cs="Arial"/>
          <w:bCs/>
        </w:rPr>
        <w:t xml:space="preserve">If the fail is </w:t>
      </w:r>
      <w:r w:rsidRPr="00F45130">
        <w:rPr>
          <w:rFonts w:cs="Arial"/>
          <w:bCs/>
          <w:u w:val="single"/>
        </w:rPr>
        <w:t xml:space="preserve">not </w:t>
      </w:r>
      <w:r w:rsidRPr="00F45130">
        <w:rPr>
          <w:rFonts w:cs="Arial"/>
          <w:bCs/>
        </w:rPr>
        <w:t>caused by an incoming receipt (</w:t>
      </w:r>
      <w:r w:rsidR="00D939AF" w:rsidRPr="00F45130">
        <w:rPr>
          <w:rFonts w:cs="Arial"/>
          <w:bCs/>
        </w:rPr>
        <w:t>i.e.</w:t>
      </w:r>
      <w:r w:rsidRPr="00F45130">
        <w:rPr>
          <w:rFonts w:cs="Arial"/>
          <w:bCs/>
        </w:rPr>
        <w:t xml:space="preserve"> the deliverer (B) is ‘at the start of the fail chain’), he can simply acknowledge receipt and validity of the buy-in notific</w:t>
      </w:r>
      <w:r w:rsidRPr="00F45130">
        <w:rPr>
          <w:rFonts w:cs="Arial"/>
          <w:bCs/>
        </w:rPr>
        <w:t>a</w:t>
      </w:r>
      <w:r w:rsidRPr="00F45130">
        <w:rPr>
          <w:rFonts w:cs="Arial"/>
          <w:bCs/>
        </w:rPr>
        <w:t xml:space="preserve">tion, and await the execution of the buy-in </w:t>
      </w:r>
    </w:p>
    <w:p w:rsidR="00810A47" w:rsidRPr="00F45130" w:rsidRDefault="00810A47" w:rsidP="00810A47">
      <w:pPr>
        <w:pStyle w:val="ListParagraph"/>
        <w:numPr>
          <w:ilvl w:val="3"/>
          <w:numId w:val="50"/>
        </w:numPr>
        <w:ind w:left="1224"/>
        <w:rPr>
          <w:rFonts w:cs="Arial"/>
          <w:bCs/>
        </w:rPr>
      </w:pPr>
      <w:r w:rsidRPr="00F45130">
        <w:rPr>
          <w:rFonts w:cs="Arial"/>
          <w:bCs/>
        </w:rPr>
        <w:t xml:space="preserve">If the fail is </w:t>
      </w:r>
      <w:r w:rsidRPr="00F45130">
        <w:rPr>
          <w:rFonts w:cs="Arial"/>
          <w:bCs/>
          <w:u w:val="single"/>
        </w:rPr>
        <w:t>caused by a failing incoming receipt</w:t>
      </w:r>
      <w:r w:rsidRPr="00F45130">
        <w:rPr>
          <w:rFonts w:cs="Arial"/>
          <w:bCs/>
        </w:rPr>
        <w:t xml:space="preserve"> (</w:t>
      </w:r>
      <w:r w:rsidR="00D939AF" w:rsidRPr="00F45130">
        <w:rPr>
          <w:rFonts w:cs="Arial"/>
          <w:bCs/>
        </w:rPr>
        <w:t>i.e.</w:t>
      </w:r>
      <w:r w:rsidRPr="00F45130">
        <w:rPr>
          <w:rFonts w:cs="Arial"/>
          <w:bCs/>
        </w:rPr>
        <w:t xml:space="preserve"> the deliverer (B) is ‘in the mi</w:t>
      </w:r>
      <w:r w:rsidRPr="00F45130">
        <w:rPr>
          <w:rFonts w:cs="Arial"/>
          <w:bCs/>
        </w:rPr>
        <w:t>d</w:t>
      </w:r>
      <w:r w:rsidRPr="00F45130">
        <w:rPr>
          <w:rFonts w:cs="Arial"/>
          <w:bCs/>
        </w:rPr>
        <w:t>dle of a fail chain’), he should issue a buy-in notification to the party (‘A’) who failed to deliver into him, and advise the prejudiced buyer (C) that he acknowledges the buy-in notification, but that the failure is due to another party, and that he has “passed o</w:t>
      </w:r>
      <w:r w:rsidR="0094564B">
        <w:rPr>
          <w:rFonts w:cs="Arial"/>
          <w:bCs/>
        </w:rPr>
        <w:t>n</w:t>
      </w:r>
      <w:r w:rsidRPr="00F45130">
        <w:rPr>
          <w:rFonts w:cs="Arial"/>
          <w:bCs/>
        </w:rPr>
        <w:t xml:space="preserve">” the buy-in notification to that party. In turn, that deliverer A earlier in the chain will go through the above steps, and can also ‘pass on’ the buy-in if he is in the middle of a fail chain to someone else. </w:t>
      </w:r>
      <w:r w:rsidRPr="00F45130">
        <w:rPr>
          <w:rFonts w:cs="Arial"/>
          <w:bCs/>
        </w:rPr>
        <w:br/>
        <w:t>This step in the process avoids multiple buy-in</w:t>
      </w:r>
      <w:r w:rsidR="002C0ED6">
        <w:rPr>
          <w:rFonts w:cs="Arial"/>
          <w:bCs/>
        </w:rPr>
        <w:t xml:space="preserve"> execution</w:t>
      </w:r>
      <w:r w:rsidRPr="00F45130">
        <w:rPr>
          <w:rFonts w:cs="Arial"/>
          <w:bCs/>
        </w:rPr>
        <w:t xml:space="preserve"> for fails transactions, and avoids the pitfalls listed above re the current procedure (discretion of CSD jud</w:t>
      </w:r>
      <w:r w:rsidRPr="00F45130">
        <w:rPr>
          <w:rFonts w:cs="Arial"/>
          <w:bCs/>
        </w:rPr>
        <w:t>g</w:t>
      </w:r>
      <w:r w:rsidRPr="00F45130">
        <w:rPr>
          <w:rFonts w:cs="Arial"/>
          <w:bCs/>
        </w:rPr>
        <w:t xml:space="preserve">ment, issues with </w:t>
      </w:r>
      <w:r w:rsidR="002C0ED6">
        <w:rPr>
          <w:rFonts w:cs="Arial"/>
          <w:bCs/>
        </w:rPr>
        <w:t>cross-CSD settlements etc). The</w:t>
      </w:r>
      <w:r w:rsidRPr="00F45130">
        <w:rPr>
          <w:rFonts w:cs="Arial"/>
          <w:bCs/>
        </w:rPr>
        <w:t xml:space="preserve"> ‘pass on’ process exists today, but needs to be enhanced to permit end to end STP and reporting back to the CSD for monitoring purposes.</w:t>
      </w:r>
    </w:p>
    <w:p w:rsidR="00810A47" w:rsidRPr="00F45130" w:rsidRDefault="00810A47" w:rsidP="00810A47">
      <w:pPr>
        <w:pStyle w:val="ListParagraph"/>
        <w:numPr>
          <w:ilvl w:val="1"/>
          <w:numId w:val="50"/>
        </w:numPr>
        <w:ind w:left="648"/>
        <w:rPr>
          <w:rFonts w:cs="Arial"/>
          <w:bCs/>
        </w:rPr>
      </w:pPr>
      <w:r w:rsidRPr="00F45130">
        <w:rPr>
          <w:rFonts w:cs="Arial"/>
          <w:bCs/>
          <w:u w:val="single"/>
        </w:rPr>
        <w:lastRenderedPageBreak/>
        <w:t>Transaction chains</w:t>
      </w:r>
      <w:r w:rsidRPr="00F45130">
        <w:rPr>
          <w:rFonts w:cs="Arial"/>
          <w:bCs/>
        </w:rPr>
        <w:t>: the above process ensures that the buy-in process is triggered along transaction chains, up to the point where the deliverer ‘at the start of the chain’ (A) r</w:t>
      </w:r>
      <w:r w:rsidRPr="00F45130">
        <w:rPr>
          <w:rFonts w:cs="Arial"/>
          <w:bCs/>
        </w:rPr>
        <w:t>e</w:t>
      </w:r>
      <w:r w:rsidRPr="00F45130">
        <w:rPr>
          <w:rFonts w:cs="Arial"/>
          <w:bCs/>
        </w:rPr>
        <w:t>ceives the notification. As A is unable to ‘pass on’ the notification, A knows that he will bear the costs of the buy-in triggered on behalf of the buyer at the end of the chain (C). The other parties in the middle (B) will simply pass on the costs of the buy-in up the first deliverer on the back of the original notifications. The pass-on process allows a buy-in to be executed at the end of the chain and the securities being immediately delivered to the final buyer, with relevant costs being passed back to the start of the chain.</w:t>
      </w:r>
    </w:p>
    <w:p w:rsidR="00810A47" w:rsidRPr="00F45130" w:rsidRDefault="00810A47" w:rsidP="00810A47">
      <w:pPr>
        <w:pStyle w:val="ListParagraph"/>
        <w:numPr>
          <w:ilvl w:val="1"/>
          <w:numId w:val="50"/>
        </w:numPr>
        <w:ind w:left="648"/>
        <w:rPr>
          <w:rFonts w:cs="Arial"/>
          <w:bCs/>
        </w:rPr>
      </w:pPr>
      <w:r w:rsidRPr="00F45130">
        <w:rPr>
          <w:rFonts w:cs="Arial"/>
          <w:bCs/>
          <w:u w:val="single"/>
        </w:rPr>
        <w:t>CCP involvement</w:t>
      </w:r>
      <w:r w:rsidRPr="00F45130">
        <w:rPr>
          <w:rFonts w:cs="Arial"/>
          <w:bCs/>
        </w:rPr>
        <w:t>: A different process applies when a CCP is involved. In this case, the above notification chain will at some point reach a CCP. As required under its rules/CSDR, the CCP will execute the buy-in (i.e. will not be able to pass on the notific</w:t>
      </w:r>
      <w:r w:rsidRPr="00F45130">
        <w:rPr>
          <w:rFonts w:cs="Arial"/>
          <w:bCs/>
        </w:rPr>
        <w:t>a</w:t>
      </w:r>
      <w:r w:rsidRPr="00F45130">
        <w:rPr>
          <w:rFonts w:cs="Arial"/>
          <w:bCs/>
        </w:rPr>
        <w:t>tion). In this case, the party in the chain who is due to receive from the CCP (e</w:t>
      </w:r>
      <w:r w:rsidR="0094564B">
        <w:rPr>
          <w:rFonts w:cs="Arial"/>
          <w:bCs/>
        </w:rPr>
        <w:t>.</w:t>
      </w:r>
      <w:r w:rsidRPr="00F45130">
        <w:rPr>
          <w:rFonts w:cs="Arial"/>
          <w:bCs/>
        </w:rPr>
        <w:t>g</w:t>
      </w:r>
      <w:r w:rsidR="0094564B">
        <w:rPr>
          <w:rFonts w:cs="Arial"/>
          <w:bCs/>
        </w:rPr>
        <w:t>.</w:t>
      </w:r>
      <w:r w:rsidRPr="00F45130">
        <w:rPr>
          <w:rFonts w:cs="Arial"/>
          <w:bCs/>
        </w:rPr>
        <w:t xml:space="preserve"> B) should notify the CCP that he has received a buy-in notification, and require the CCP to confirm that the CCP will perform the buy-in, and the conditions/timing thereof. That CCP confirmation can be passed down the chain to the final buyer (C), who knows that he will not have to execute the buy-in, but can wait for the CCP to perform the buy-in (which will trigger the subsequent deliveries to the end buyer). The CCP will charge the cost of the buy-in to the party or parties who failed to deliver into the CCP (A). </w:t>
      </w:r>
    </w:p>
    <w:p w:rsidR="00810A47" w:rsidRPr="00F45130" w:rsidRDefault="00810A47" w:rsidP="00810A47">
      <w:pPr>
        <w:pStyle w:val="ListParagraph"/>
        <w:numPr>
          <w:ilvl w:val="1"/>
          <w:numId w:val="50"/>
        </w:numPr>
        <w:ind w:left="648"/>
        <w:rPr>
          <w:rFonts w:cs="Arial"/>
          <w:bCs/>
        </w:rPr>
      </w:pPr>
      <w:r w:rsidRPr="00F45130">
        <w:rPr>
          <w:rFonts w:cs="Arial"/>
          <w:bCs/>
          <w:u w:val="single"/>
        </w:rPr>
        <w:t>Timelines</w:t>
      </w:r>
      <w:r w:rsidRPr="00F45130">
        <w:rPr>
          <w:rFonts w:cs="Arial"/>
          <w:bCs/>
        </w:rPr>
        <w:t>: As stated above, it is essential that buy-in notification and execution inform</w:t>
      </w:r>
      <w:r w:rsidRPr="00F45130">
        <w:rPr>
          <w:rFonts w:cs="Arial"/>
          <w:bCs/>
        </w:rPr>
        <w:t>a</w:t>
      </w:r>
      <w:r w:rsidRPr="00F45130">
        <w:rPr>
          <w:rFonts w:cs="Arial"/>
          <w:bCs/>
        </w:rPr>
        <w:t>tion is passed on quickly and efficiently along the entire buy-in chain at trading level, in order to avoid multiple buy-ins, but also to avoid that trading parties are exposed to undue market risk. That risk arises primarily if there is a delay in the timing of confirming the a</w:t>
      </w:r>
      <w:r w:rsidRPr="00F45130">
        <w:rPr>
          <w:rFonts w:cs="Arial"/>
          <w:bCs/>
        </w:rPr>
        <w:t>c</w:t>
      </w:r>
      <w:r w:rsidRPr="00F45130">
        <w:rPr>
          <w:rFonts w:cs="Arial"/>
          <w:bCs/>
        </w:rPr>
        <w:t xml:space="preserve">tual execution of the buy-in back to the original seller. </w:t>
      </w:r>
      <w:r w:rsidRPr="00F45130">
        <w:rPr>
          <w:rFonts w:cs="Arial"/>
          <w:bCs/>
        </w:rPr>
        <w:br/>
        <w:t>As a result of the buy-in execution, the seller has a redundant open sale position</w:t>
      </w:r>
      <w:r w:rsidRPr="00F45130">
        <w:rPr>
          <w:rStyle w:val="FootnoteReference"/>
          <w:rFonts w:cs="Arial"/>
          <w:bCs/>
        </w:rPr>
        <w:footnoteReference w:id="7"/>
      </w:r>
      <w:r w:rsidRPr="00F45130">
        <w:rPr>
          <w:rFonts w:cs="Arial"/>
          <w:bCs/>
        </w:rPr>
        <w:t>, which it needs to close immediately, to avoid market risk as a result of market price fluctuations. Unless there is an efficient real-time mechanism to transmit the buy-in execution inform</w:t>
      </w:r>
      <w:r w:rsidRPr="00F45130">
        <w:rPr>
          <w:rFonts w:cs="Arial"/>
          <w:bCs/>
        </w:rPr>
        <w:t>a</w:t>
      </w:r>
      <w:r w:rsidRPr="00F45130">
        <w:rPr>
          <w:rFonts w:cs="Arial"/>
          <w:bCs/>
        </w:rPr>
        <w:t>tion to the original seller (which would also arise if CSDs perform buy-ins), the entire process will create substantial additional market risk</w:t>
      </w:r>
      <w:r w:rsidRPr="00F45130">
        <w:rPr>
          <w:rStyle w:val="FootnoteReference"/>
          <w:rFonts w:cs="Arial"/>
          <w:bCs/>
        </w:rPr>
        <w:footnoteReference w:id="8"/>
      </w:r>
      <w:r w:rsidRPr="00F45130">
        <w:rPr>
          <w:rFonts w:cs="Arial"/>
          <w:bCs/>
        </w:rPr>
        <w:t xml:space="preserve"> </w:t>
      </w:r>
    </w:p>
    <w:p w:rsidR="00810A47" w:rsidRPr="00F45130" w:rsidRDefault="00810A47" w:rsidP="00810A47">
      <w:pPr>
        <w:pStyle w:val="ListParagraph"/>
        <w:numPr>
          <w:ilvl w:val="1"/>
          <w:numId w:val="50"/>
        </w:numPr>
        <w:ind w:left="648"/>
        <w:rPr>
          <w:rFonts w:cs="Arial"/>
          <w:bCs/>
        </w:rPr>
      </w:pPr>
      <w:r w:rsidRPr="00F45130">
        <w:rPr>
          <w:rFonts w:cs="Arial"/>
          <w:bCs/>
          <w:u w:val="single"/>
        </w:rPr>
        <w:t>Deferral</w:t>
      </w:r>
      <w:r w:rsidRPr="00F45130">
        <w:rPr>
          <w:rFonts w:cs="Arial"/>
          <w:bCs/>
        </w:rPr>
        <w:t>: If the buy-in is unsuccessful, the buy-in agent advises the party who initiated the buy-in (usually the end buyer), who either has the choice to defer the buy-in once, or pr</w:t>
      </w:r>
      <w:r w:rsidRPr="00F45130">
        <w:rPr>
          <w:rFonts w:cs="Arial"/>
          <w:bCs/>
        </w:rPr>
        <w:t>o</w:t>
      </w:r>
      <w:r w:rsidRPr="00F45130">
        <w:rPr>
          <w:rFonts w:cs="Arial"/>
          <w:bCs/>
        </w:rPr>
        <w:t xml:space="preserve">ceed to cash compensation. </w:t>
      </w:r>
      <w:r w:rsidRPr="00F45130">
        <w:rPr>
          <w:rFonts w:cs="Arial"/>
          <w:bCs/>
        </w:rPr>
        <w:br/>
        <w:t>If the former, the initiator must send a deferral message to his seller (identifying the re</w:t>
      </w:r>
      <w:r w:rsidRPr="00F45130">
        <w:rPr>
          <w:rFonts w:cs="Arial"/>
          <w:bCs/>
        </w:rPr>
        <w:t>a</w:t>
      </w:r>
      <w:r w:rsidRPr="00F45130">
        <w:rPr>
          <w:rFonts w:cs="Arial"/>
          <w:bCs/>
        </w:rPr>
        <w:t xml:space="preserve">son of deferral, new deferral period and end date). In </w:t>
      </w:r>
      <w:r w:rsidR="00AF01C5" w:rsidRPr="00F45130">
        <w:rPr>
          <w:rFonts w:cs="Arial"/>
          <w:bCs/>
        </w:rPr>
        <w:t>a chain</w:t>
      </w:r>
      <w:r w:rsidRPr="00F45130">
        <w:rPr>
          <w:rFonts w:cs="Arial"/>
          <w:bCs/>
        </w:rPr>
        <w:t xml:space="preserve"> transaction, the seller needs to pass this on along the chain to the first seller. A copy of that deferral message also needs to be sent to the settlement agent/CSD for control purposes</w:t>
      </w:r>
    </w:p>
    <w:p w:rsidR="00810A47" w:rsidRPr="00F45130" w:rsidRDefault="00810A47" w:rsidP="00810A47">
      <w:pPr>
        <w:pStyle w:val="ListParagraph"/>
        <w:numPr>
          <w:ilvl w:val="1"/>
          <w:numId w:val="50"/>
        </w:numPr>
        <w:ind w:left="648"/>
        <w:rPr>
          <w:rFonts w:cs="Arial"/>
          <w:bCs/>
        </w:rPr>
      </w:pPr>
      <w:r w:rsidRPr="00F45130">
        <w:rPr>
          <w:rFonts w:cs="Arial"/>
          <w:bCs/>
          <w:u w:val="single"/>
        </w:rPr>
        <w:t>Cash compensation</w:t>
      </w:r>
      <w:r w:rsidRPr="00F45130">
        <w:rPr>
          <w:rFonts w:cs="Arial"/>
          <w:bCs/>
        </w:rPr>
        <w:t>: If the end buyer (C) wants to proceed to cash compensation, it needs to send a message to its deliverer (B), identifying this action, the amount, and the methodology used to calculate it</w:t>
      </w:r>
      <w:r w:rsidRPr="00F45130">
        <w:rPr>
          <w:rStyle w:val="FootnoteReference"/>
          <w:rFonts w:cs="Arial"/>
          <w:bCs/>
        </w:rPr>
        <w:footnoteReference w:id="9"/>
      </w:r>
      <w:r w:rsidRPr="00F45130">
        <w:rPr>
          <w:rFonts w:cs="Arial"/>
          <w:bCs/>
        </w:rPr>
        <w:t>. (B) verifies it, and can revert if it disagrees with (C). In the case of chain transactions, it can pass on the compensation to the earlier party in the chain, which is (A).</w:t>
      </w:r>
      <w:r w:rsidRPr="00F45130">
        <w:rPr>
          <w:rFonts w:cs="Arial"/>
          <w:bCs/>
        </w:rPr>
        <w:br/>
      </w:r>
      <w:r w:rsidRPr="00F45130">
        <w:rPr>
          <w:rFonts w:cs="Arial"/>
          <w:bCs/>
        </w:rPr>
        <w:lastRenderedPageBreak/>
        <w:t>The only exception is again if a CCP is involved in the chain: if this is the case, it should be the CCP who determines the compensation amount in line with what is written above under buy-ins</w:t>
      </w:r>
      <w:r w:rsidRPr="00F45130">
        <w:rPr>
          <w:rStyle w:val="FootnoteReference"/>
          <w:rFonts w:cs="Arial"/>
          <w:bCs/>
        </w:rPr>
        <w:footnoteReference w:id="10"/>
      </w:r>
      <w:r w:rsidRPr="00F45130">
        <w:rPr>
          <w:rFonts w:cs="Arial"/>
          <w:bCs/>
        </w:rPr>
        <w:t>. Harmonisation of CCP cash compensation is required to allow participants to agree a bilateral cash compensation</w:t>
      </w:r>
    </w:p>
    <w:p w:rsidR="00810A47" w:rsidRPr="00F45130" w:rsidRDefault="00810A47" w:rsidP="00810A47">
      <w:pPr>
        <w:pStyle w:val="ListParagraph"/>
        <w:numPr>
          <w:ilvl w:val="1"/>
          <w:numId w:val="50"/>
        </w:numPr>
        <w:ind w:left="648"/>
        <w:rPr>
          <w:rFonts w:cs="Arial"/>
          <w:bCs/>
        </w:rPr>
      </w:pPr>
      <w:r w:rsidRPr="00F45130">
        <w:rPr>
          <w:rFonts w:cs="Arial"/>
          <w:bCs/>
          <w:u w:val="single"/>
        </w:rPr>
        <w:t>Cancellation of outstanding settlements</w:t>
      </w:r>
      <w:r w:rsidRPr="00F45130">
        <w:rPr>
          <w:rFonts w:cs="Arial"/>
          <w:bCs/>
        </w:rPr>
        <w:t>: As soon as the buy-in or cash compensation is executed, the parties should be informed and instruct the cancellation of the outstanding failing settlement instructions through their agents. This also provides the CSD with a final confirmation that the buy-in process is completed</w:t>
      </w:r>
      <w:r w:rsidRPr="00F45130">
        <w:rPr>
          <w:rStyle w:val="FootnoteReference"/>
          <w:rFonts w:cs="Arial"/>
          <w:bCs/>
        </w:rPr>
        <w:footnoteReference w:id="11"/>
      </w:r>
      <w:r w:rsidRPr="00F45130">
        <w:rPr>
          <w:rFonts w:cs="Arial"/>
          <w:bCs/>
        </w:rPr>
        <w:t xml:space="preserve"> </w:t>
      </w:r>
    </w:p>
    <w:p w:rsidR="00810A47" w:rsidRPr="00F45130" w:rsidRDefault="00810A47" w:rsidP="00810A47">
      <w:pPr>
        <w:rPr>
          <w:rFonts w:cs="Arial"/>
          <w:bCs/>
          <w:i/>
          <w:u w:val="single"/>
        </w:rPr>
      </w:pPr>
    </w:p>
    <w:p w:rsidR="00810A47" w:rsidRPr="00151F05" w:rsidRDefault="00810A47" w:rsidP="00810A47">
      <w:pPr>
        <w:rPr>
          <w:rFonts w:cs="Arial"/>
          <w:bCs/>
        </w:rPr>
      </w:pPr>
      <w:r w:rsidRPr="00151F05">
        <w:rPr>
          <w:rFonts w:cs="Arial"/>
          <w:bCs/>
        </w:rPr>
        <w:t>AFME would like to highlight that whilst the above solution has its merits, the proposed solution will have an immediate impact on:</w:t>
      </w:r>
    </w:p>
    <w:p w:rsidR="00810A47" w:rsidRPr="00151F05" w:rsidRDefault="00810A47" w:rsidP="00FB266C">
      <w:pPr>
        <w:pStyle w:val="ListParagraph"/>
        <w:numPr>
          <w:ilvl w:val="0"/>
          <w:numId w:val="77"/>
        </w:numPr>
        <w:rPr>
          <w:rFonts w:cs="Arial"/>
          <w:bCs/>
        </w:rPr>
      </w:pPr>
      <w:r w:rsidRPr="00151F05">
        <w:rPr>
          <w:rFonts w:cs="Arial"/>
          <w:bCs/>
        </w:rPr>
        <w:t>The obligation from trading parties and all other intermediaries in the custody chain to provide buy-in information</w:t>
      </w:r>
    </w:p>
    <w:p w:rsidR="00810A47" w:rsidRPr="00151F05" w:rsidRDefault="00810A47" w:rsidP="00FB266C">
      <w:pPr>
        <w:pStyle w:val="ListParagraph"/>
        <w:numPr>
          <w:ilvl w:val="0"/>
          <w:numId w:val="77"/>
        </w:numPr>
        <w:rPr>
          <w:rFonts w:cs="Arial"/>
          <w:bCs/>
        </w:rPr>
      </w:pPr>
      <w:r w:rsidRPr="00151F05">
        <w:rPr>
          <w:rFonts w:cs="Arial"/>
          <w:bCs/>
        </w:rPr>
        <w:t>Any ISO transaction code will not be sufficient. There will need to be additional mand</w:t>
      </w:r>
      <w:r w:rsidRPr="00151F05">
        <w:rPr>
          <w:rFonts w:cs="Arial"/>
          <w:bCs/>
        </w:rPr>
        <w:t>a</w:t>
      </w:r>
      <w:r w:rsidRPr="00151F05">
        <w:rPr>
          <w:rFonts w:cs="Arial"/>
          <w:bCs/>
        </w:rPr>
        <w:t xml:space="preserve">tory matching fields/reason codes on requests for cancellation   </w:t>
      </w:r>
    </w:p>
    <w:p w:rsidR="00810A47" w:rsidRPr="00F45130" w:rsidRDefault="00810A47" w:rsidP="00810A47">
      <w:pPr>
        <w:rPr>
          <w:rFonts w:cs="Arial"/>
          <w:bCs/>
          <w:i/>
          <w:u w:val="single"/>
        </w:rPr>
      </w:pPr>
    </w:p>
    <w:p w:rsidR="00810A47" w:rsidRPr="00F45130" w:rsidRDefault="00810A47" w:rsidP="00810A47">
      <w:pPr>
        <w:spacing w:after="200" w:line="276" w:lineRule="auto"/>
        <w:rPr>
          <w:rFonts w:cs="Arial"/>
          <w:b/>
        </w:rPr>
      </w:pPr>
      <w:r w:rsidRPr="00F45130">
        <w:rPr>
          <w:rFonts w:cs="Arial"/>
          <w:b/>
        </w:rPr>
        <w:t xml:space="preserve">Recommended Redrafting of RTS </w:t>
      </w:r>
    </w:p>
    <w:tbl>
      <w:tblPr>
        <w:tblStyle w:val="TableGrid"/>
        <w:tblW w:w="0" w:type="auto"/>
        <w:tblLook w:val="04A0"/>
      </w:tblPr>
      <w:tblGrid>
        <w:gridCol w:w="8529"/>
      </w:tblGrid>
      <w:tr w:rsidR="00810A47" w:rsidRPr="00F45130" w:rsidTr="003D466C">
        <w:tc>
          <w:tcPr>
            <w:tcW w:w="8529" w:type="dxa"/>
          </w:tcPr>
          <w:p w:rsidR="00810A47" w:rsidRPr="00F45130" w:rsidRDefault="00810A47" w:rsidP="003D466C">
            <w:pPr>
              <w:spacing w:after="200" w:line="276" w:lineRule="auto"/>
              <w:rPr>
                <w:rFonts w:cs="Arial"/>
              </w:rPr>
            </w:pPr>
            <w:r w:rsidRPr="00F45130">
              <w:rPr>
                <w:rFonts w:cs="Arial"/>
              </w:rPr>
              <w:t>Redrafting of Article 11 (1)</w:t>
            </w:r>
          </w:p>
          <w:p w:rsidR="00810A47" w:rsidRPr="00F45130" w:rsidRDefault="00810A47" w:rsidP="003D466C">
            <w:pPr>
              <w:spacing w:after="200" w:line="276" w:lineRule="auto"/>
              <w:rPr>
                <w:rFonts w:cs="Arial"/>
              </w:rPr>
            </w:pPr>
            <w:r w:rsidRPr="00F45130">
              <w:rPr>
                <w:rFonts w:cs="Arial"/>
              </w:rPr>
              <w:t xml:space="preserve">1. </w:t>
            </w:r>
            <w:r w:rsidRPr="00F45130">
              <w:rPr>
                <w:rFonts w:cs="Arial"/>
                <w:strike/>
              </w:rPr>
              <w:t>The Buy-in process shall be set in the contractual documentation applicable to each participant of the CSD, CCP and trading venue.</w:t>
            </w:r>
            <w:r w:rsidRPr="00F45130">
              <w:rPr>
                <w:rFonts w:cs="Arial"/>
              </w:rPr>
              <w:t xml:space="preserve"> CSDs, CCPs, and trading venues shall include in their rules that participants will be subject to buy-in rules under CSD Regulation. Their rules should also state who is responsible for appoin</w:t>
            </w:r>
            <w:r w:rsidRPr="00F45130">
              <w:rPr>
                <w:rFonts w:cs="Arial"/>
              </w:rPr>
              <w:t>t</w:t>
            </w:r>
            <w:r w:rsidRPr="00F45130">
              <w:rPr>
                <w:rFonts w:cs="Arial"/>
              </w:rPr>
              <w:t xml:space="preserve">ing a buy-in agent or executing a buy-in auction </w:t>
            </w:r>
          </w:p>
        </w:tc>
      </w:tr>
    </w:tbl>
    <w:p w:rsidR="00810A47" w:rsidRPr="00F45130" w:rsidRDefault="00810A47" w:rsidP="00810A47">
      <w:pPr>
        <w:spacing w:after="200" w:line="276" w:lineRule="auto"/>
        <w:rPr>
          <w:rFonts w:cs="Arial"/>
          <w:b/>
        </w:rPr>
      </w:pPr>
    </w:p>
    <w:tbl>
      <w:tblPr>
        <w:tblStyle w:val="TableGrid"/>
        <w:tblW w:w="0" w:type="auto"/>
        <w:tblLook w:val="04A0"/>
      </w:tblPr>
      <w:tblGrid>
        <w:gridCol w:w="8529"/>
      </w:tblGrid>
      <w:tr w:rsidR="00810A47" w:rsidRPr="00F45130" w:rsidTr="003D466C">
        <w:tc>
          <w:tcPr>
            <w:tcW w:w="8529" w:type="dxa"/>
          </w:tcPr>
          <w:p w:rsidR="00810A47" w:rsidRPr="00F45130" w:rsidRDefault="00810A47" w:rsidP="003D466C">
            <w:pPr>
              <w:spacing w:after="200" w:line="276" w:lineRule="auto"/>
              <w:rPr>
                <w:rFonts w:cs="Arial"/>
              </w:rPr>
            </w:pPr>
            <w:r w:rsidRPr="00F45130">
              <w:rPr>
                <w:rFonts w:cs="Arial"/>
              </w:rPr>
              <w:t>Redrafting of Article 11 (3)</w:t>
            </w:r>
          </w:p>
          <w:p w:rsidR="00810A47" w:rsidRPr="00F45130" w:rsidRDefault="00810A47" w:rsidP="003D466C">
            <w:pPr>
              <w:spacing w:after="200" w:line="276" w:lineRule="auto"/>
              <w:rPr>
                <w:rFonts w:cs="Arial"/>
              </w:rPr>
            </w:pPr>
            <w:r w:rsidRPr="00F45130">
              <w:rPr>
                <w:rFonts w:cs="Arial"/>
              </w:rPr>
              <w:t xml:space="preserve">3. </w:t>
            </w:r>
            <w:r w:rsidRPr="00F45130">
              <w:rPr>
                <w:rFonts w:cs="Arial"/>
                <w:u w:val="single"/>
              </w:rPr>
              <w:t>As stipulated in the rules of the CSD, CCP or trading venue</w:t>
            </w:r>
            <w:r w:rsidRPr="00F45130">
              <w:rPr>
                <w:rFonts w:cs="Arial"/>
              </w:rPr>
              <w:t xml:space="preserve">, </w:t>
            </w:r>
            <w:r w:rsidRPr="00F45130">
              <w:rPr>
                <w:rFonts w:cs="Arial"/>
                <w:strike/>
              </w:rPr>
              <w:t>Tt</w:t>
            </w:r>
            <w:r w:rsidRPr="00F45130">
              <w:rPr>
                <w:rFonts w:cs="Arial"/>
              </w:rPr>
              <w:t>he CSD, CCP, trading venue or the receiving participant shall appoint a buy-in agent or execute the buy-in by auction. The buy-in agent shall not have any conflict of interest in the ex</w:t>
            </w:r>
            <w:r w:rsidRPr="00F45130">
              <w:rPr>
                <w:rFonts w:cs="Arial"/>
              </w:rPr>
              <w:t>e</w:t>
            </w:r>
            <w:r w:rsidRPr="00F45130">
              <w:rPr>
                <w:rFonts w:cs="Arial"/>
              </w:rPr>
              <w:t xml:space="preserve">cution of the buy-in. The CSD and the trading venue shall allow the participant to provide the identification of its failing client or underlying client for which the buy-in shall be executed. Securities shall be delivered to the receiving participant and the related settlement instruction shall be deemed executed. </w:t>
            </w:r>
            <w:r w:rsidRPr="00F45130">
              <w:rPr>
                <w:rFonts w:cs="Arial"/>
                <w:u w:val="single"/>
              </w:rPr>
              <w:t>Upon confirmation of the failing participant, pending delivery instruction will be cancelled by the CSD</w:t>
            </w:r>
            <w:r w:rsidRPr="00F45130">
              <w:rPr>
                <w:rFonts w:cs="Arial"/>
              </w:rPr>
              <w:t>.</w:t>
            </w:r>
          </w:p>
        </w:tc>
      </w:tr>
    </w:tbl>
    <w:p w:rsidR="00810A47" w:rsidRPr="00F45130" w:rsidRDefault="00810A47" w:rsidP="00810A47">
      <w:pPr>
        <w:spacing w:after="200" w:line="276" w:lineRule="auto"/>
        <w:rPr>
          <w:rFonts w:cs="Arial"/>
          <w:b/>
        </w:rPr>
      </w:pPr>
    </w:p>
    <w:tbl>
      <w:tblPr>
        <w:tblStyle w:val="TableGrid"/>
        <w:tblW w:w="0" w:type="auto"/>
        <w:tblLook w:val="04A0"/>
      </w:tblPr>
      <w:tblGrid>
        <w:gridCol w:w="8529"/>
      </w:tblGrid>
      <w:tr w:rsidR="00810A47" w:rsidRPr="00F45130" w:rsidTr="003D466C">
        <w:tc>
          <w:tcPr>
            <w:tcW w:w="8529" w:type="dxa"/>
          </w:tcPr>
          <w:p w:rsidR="00810A47" w:rsidRPr="00F45130" w:rsidRDefault="00810A47" w:rsidP="003D466C">
            <w:pPr>
              <w:spacing w:after="200" w:line="276" w:lineRule="auto"/>
              <w:rPr>
                <w:rFonts w:cs="Arial"/>
              </w:rPr>
            </w:pPr>
            <w:r w:rsidRPr="00F45130">
              <w:rPr>
                <w:rFonts w:cs="Arial"/>
              </w:rPr>
              <w:t>Redrafting Article 11(4)</w:t>
            </w:r>
          </w:p>
          <w:p w:rsidR="00810A47" w:rsidRPr="00F45130" w:rsidRDefault="00810A47" w:rsidP="003D466C">
            <w:pPr>
              <w:spacing w:after="200" w:line="276" w:lineRule="auto"/>
              <w:rPr>
                <w:rFonts w:cs="Arial"/>
                <w:strike/>
              </w:rPr>
            </w:pPr>
            <w:r w:rsidRPr="00F45130">
              <w:rPr>
                <w:rFonts w:cs="Arial"/>
                <w:strike/>
              </w:rPr>
              <w:t xml:space="preserve">4. The CSD, CCP or trading venue, as applicable in accordance with Article 7(10) of </w:t>
            </w:r>
            <w:r w:rsidRPr="00F45130">
              <w:rPr>
                <w:rFonts w:cs="Arial"/>
                <w:strike/>
              </w:rPr>
              <w:lastRenderedPageBreak/>
              <w:t>Regulation(EU) No 909/2014, shall send a notice to both the failing and the receiving participants:</w:t>
            </w:r>
          </w:p>
          <w:p w:rsidR="00810A47" w:rsidRPr="00F45130" w:rsidRDefault="00810A47" w:rsidP="003D466C">
            <w:pPr>
              <w:spacing w:after="200" w:line="276" w:lineRule="auto"/>
              <w:rPr>
                <w:rFonts w:cs="Arial"/>
                <w:strike/>
              </w:rPr>
            </w:pPr>
            <w:r w:rsidRPr="00F45130">
              <w:rPr>
                <w:rFonts w:cs="Arial"/>
                <w:strike/>
              </w:rPr>
              <w:t>(a) at the end of the business day when the extension period elapse informing them that the buy-in will be initiated the following business day;</w:t>
            </w:r>
          </w:p>
          <w:p w:rsidR="00810A47" w:rsidRPr="00F45130" w:rsidRDefault="00810A47" w:rsidP="003D466C">
            <w:pPr>
              <w:spacing w:after="200" w:line="276" w:lineRule="auto"/>
              <w:rPr>
                <w:rFonts w:cs="Arial"/>
                <w:strike/>
              </w:rPr>
            </w:pPr>
            <w:r w:rsidRPr="00F45130">
              <w:rPr>
                <w:rFonts w:cs="Arial"/>
                <w:strike/>
              </w:rPr>
              <w:t>(b) on the last business day of the buy-in period at the latest, informing them of the results of the buy-in or that the buy-in is not possible.</w:t>
            </w:r>
          </w:p>
          <w:p w:rsidR="00810A47" w:rsidRPr="00F45130" w:rsidRDefault="00810A47" w:rsidP="003D466C">
            <w:pPr>
              <w:spacing w:after="200" w:line="276" w:lineRule="auto"/>
              <w:rPr>
                <w:rFonts w:cs="Arial"/>
              </w:rPr>
            </w:pPr>
            <w:r w:rsidRPr="00F45130">
              <w:rPr>
                <w:rFonts w:cs="Arial"/>
              </w:rPr>
              <w:t>Where the receiving participant has appointed the buy-in agent, the receiving partic</w:t>
            </w:r>
            <w:r w:rsidRPr="00F45130">
              <w:rPr>
                <w:rFonts w:cs="Arial"/>
              </w:rPr>
              <w:t>i</w:t>
            </w:r>
            <w:r w:rsidRPr="00F45130">
              <w:rPr>
                <w:rFonts w:cs="Arial"/>
              </w:rPr>
              <w:t>pant in accordance with Article 7(1) of Regulation(EU) No 909/2014, shall send a buy-in notice to the failing participant and the buy-in agent:</w:t>
            </w:r>
          </w:p>
          <w:p w:rsidR="00810A47" w:rsidRPr="00F45130" w:rsidRDefault="00810A47" w:rsidP="003D466C">
            <w:pPr>
              <w:spacing w:after="200" w:line="276" w:lineRule="auto"/>
              <w:rPr>
                <w:rFonts w:cs="Arial"/>
              </w:rPr>
            </w:pPr>
            <w:r w:rsidRPr="00F45130">
              <w:rPr>
                <w:rFonts w:cs="Arial"/>
              </w:rPr>
              <w:t>(a) at the end of the business day when the extension period elapses informing them that the buy-in will be executed the following business day</w:t>
            </w:r>
          </w:p>
          <w:p w:rsidR="00810A47" w:rsidRPr="00F45130" w:rsidRDefault="00810A47" w:rsidP="003D466C">
            <w:pPr>
              <w:spacing w:after="200" w:line="276" w:lineRule="auto"/>
              <w:rPr>
                <w:rFonts w:cs="Arial"/>
              </w:rPr>
            </w:pPr>
            <w:r w:rsidRPr="00F45130">
              <w:rPr>
                <w:rFonts w:cs="Arial"/>
              </w:rPr>
              <w:t>(b) immediately following the execution, or attempted execution, of the buy-in, infor</w:t>
            </w:r>
            <w:r w:rsidRPr="00F45130">
              <w:rPr>
                <w:rFonts w:cs="Arial"/>
              </w:rPr>
              <w:t>m</w:t>
            </w:r>
            <w:r w:rsidRPr="00F45130">
              <w:rPr>
                <w:rFonts w:cs="Arial"/>
              </w:rPr>
              <w:t>ing them of the results of the buy-in or that the buy-in is not possible</w:t>
            </w:r>
          </w:p>
        </w:tc>
      </w:tr>
    </w:tbl>
    <w:p w:rsidR="00810A47" w:rsidRPr="00F45130" w:rsidRDefault="00810A47" w:rsidP="00810A47">
      <w:pPr>
        <w:spacing w:after="200" w:line="276" w:lineRule="auto"/>
        <w:rPr>
          <w:rFonts w:cs="Arial"/>
          <w:b/>
        </w:rPr>
      </w:pPr>
    </w:p>
    <w:tbl>
      <w:tblPr>
        <w:tblStyle w:val="TableGrid"/>
        <w:tblW w:w="0" w:type="auto"/>
        <w:tblLook w:val="04A0"/>
      </w:tblPr>
      <w:tblGrid>
        <w:gridCol w:w="8529"/>
      </w:tblGrid>
      <w:tr w:rsidR="00810A47" w:rsidRPr="00F45130" w:rsidTr="003D466C">
        <w:tc>
          <w:tcPr>
            <w:tcW w:w="8529" w:type="dxa"/>
          </w:tcPr>
          <w:p w:rsidR="00810A47" w:rsidRPr="00F45130" w:rsidRDefault="00810A47" w:rsidP="003D466C">
            <w:pPr>
              <w:spacing w:after="200" w:line="276" w:lineRule="auto"/>
              <w:rPr>
                <w:rFonts w:cs="Arial"/>
              </w:rPr>
            </w:pPr>
            <w:r w:rsidRPr="00F45130">
              <w:rPr>
                <w:rFonts w:cs="Arial"/>
              </w:rPr>
              <w:t>Redrafting Article 11(6)</w:t>
            </w:r>
          </w:p>
          <w:p w:rsidR="00810A47" w:rsidRPr="00F45130" w:rsidRDefault="00810A47" w:rsidP="003D466C">
            <w:pPr>
              <w:spacing w:after="200" w:line="276" w:lineRule="auto"/>
              <w:rPr>
                <w:rFonts w:cs="Arial"/>
              </w:rPr>
            </w:pPr>
            <w:r w:rsidRPr="00F45130">
              <w:rPr>
                <w:rFonts w:cs="Arial"/>
              </w:rPr>
              <w:t xml:space="preserve">6. The partialling functionality offered by the CSD, referred to under Article 3(7) shall be applied </w:t>
            </w:r>
            <w:r w:rsidRPr="00F45130">
              <w:rPr>
                <w:rFonts w:cs="Arial"/>
                <w:strike/>
              </w:rPr>
              <w:t>on the last</w:t>
            </w:r>
            <w:r w:rsidRPr="00F45130">
              <w:rPr>
                <w:rFonts w:cs="Arial"/>
              </w:rPr>
              <w:t xml:space="preserve"> </w:t>
            </w:r>
            <w:r w:rsidRPr="00F45130">
              <w:rPr>
                <w:rFonts w:cs="Arial"/>
                <w:u w:val="single"/>
              </w:rPr>
              <w:t>no later than the day</w:t>
            </w:r>
            <w:r w:rsidRPr="00F45130">
              <w:rPr>
                <w:rFonts w:cs="Arial"/>
              </w:rPr>
              <w:t xml:space="preserve"> </w:t>
            </w:r>
            <w:r w:rsidRPr="00F45130">
              <w:rPr>
                <w:rFonts w:cs="Arial"/>
                <w:u w:val="single"/>
              </w:rPr>
              <w:t>prior to the final day</w:t>
            </w:r>
            <w:r w:rsidRPr="00F45130">
              <w:rPr>
                <w:rFonts w:cs="Arial"/>
              </w:rPr>
              <w:t xml:space="preserve"> of the extension period when the financial instruments are available in the account of the delivering participant irrespective of any opt out elected by the receiving participant. The partia</w:t>
            </w:r>
            <w:r w:rsidRPr="00F45130">
              <w:rPr>
                <w:rFonts w:cs="Arial"/>
              </w:rPr>
              <w:t>l</w:t>
            </w:r>
            <w:r w:rsidRPr="00F45130">
              <w:rPr>
                <w:rFonts w:cs="Arial"/>
              </w:rPr>
              <w:t>ling functionality shall not be mandatory for omnibus account structures when clients’ ownership of assets cannot be guaranteed.</w:t>
            </w:r>
          </w:p>
        </w:tc>
      </w:tr>
    </w:tbl>
    <w:p w:rsidR="00810A47" w:rsidRPr="00F45130" w:rsidRDefault="00810A47" w:rsidP="00810A47">
      <w:pPr>
        <w:spacing w:after="200" w:line="276" w:lineRule="auto"/>
        <w:rPr>
          <w:rFonts w:cs="Arial"/>
          <w:b/>
        </w:rPr>
      </w:pPr>
    </w:p>
    <w:tbl>
      <w:tblPr>
        <w:tblStyle w:val="TableGrid"/>
        <w:tblW w:w="0" w:type="auto"/>
        <w:tblLook w:val="04A0"/>
      </w:tblPr>
      <w:tblGrid>
        <w:gridCol w:w="8529"/>
      </w:tblGrid>
      <w:tr w:rsidR="00810A47" w:rsidRPr="00F45130" w:rsidTr="003D466C">
        <w:tc>
          <w:tcPr>
            <w:tcW w:w="8529" w:type="dxa"/>
          </w:tcPr>
          <w:p w:rsidR="00810A47" w:rsidRPr="00F45130" w:rsidRDefault="00810A47" w:rsidP="003D466C">
            <w:pPr>
              <w:spacing w:after="200" w:line="276" w:lineRule="auto"/>
              <w:rPr>
                <w:rFonts w:cs="Arial"/>
              </w:rPr>
            </w:pPr>
            <w:r w:rsidRPr="00F45130">
              <w:rPr>
                <w:rFonts w:cs="Arial"/>
              </w:rPr>
              <w:t>Redrafting Article 11(10)</w:t>
            </w:r>
          </w:p>
          <w:p w:rsidR="00810A47" w:rsidRPr="00F45130" w:rsidRDefault="00810A47" w:rsidP="003D466C">
            <w:pPr>
              <w:spacing w:after="200" w:line="276" w:lineRule="auto"/>
              <w:rPr>
                <w:rFonts w:cs="Arial"/>
                <w:strike/>
              </w:rPr>
            </w:pPr>
            <w:r w:rsidRPr="00F45130">
              <w:rPr>
                <w:rFonts w:cs="Arial"/>
                <w:strike/>
              </w:rPr>
              <w:t>10. For Transactions not cleared by a CCP, the failing participants or the trading venue shall provide to the CSD, by the day preceding the expiration of the extension period, the details of the settlement instructions on the same financial instruments and with the same date of expiry of the execution period that are causing the failure to deliver. The details shall contain the identification of the failing participants in the chain, the identification of the settlement instructions.</w:t>
            </w:r>
          </w:p>
          <w:p w:rsidR="00810A47" w:rsidRPr="00F45130" w:rsidRDefault="00810A47" w:rsidP="003D466C">
            <w:pPr>
              <w:spacing w:after="200" w:line="276" w:lineRule="auto"/>
              <w:rPr>
                <w:rFonts w:cs="Arial"/>
                <w:strike/>
              </w:rPr>
            </w:pPr>
            <w:r w:rsidRPr="00F45130">
              <w:rPr>
                <w:rFonts w:cs="Arial"/>
                <w:strike/>
              </w:rPr>
              <w:t>The CSD shall test consistency of this information with pending receipt settlement instructions in the account of the participant and process that information in order to limit the number of buy-ins to be executed.</w:t>
            </w:r>
          </w:p>
          <w:p w:rsidR="00810A47" w:rsidRPr="00F45130" w:rsidRDefault="00810A47" w:rsidP="003D466C">
            <w:pPr>
              <w:spacing w:after="200" w:line="276" w:lineRule="auto"/>
              <w:rPr>
                <w:rFonts w:cs="Arial"/>
              </w:rPr>
            </w:pPr>
            <w:r w:rsidRPr="00F45130">
              <w:rPr>
                <w:rFonts w:cs="Arial"/>
              </w:rPr>
              <w:t>10. For transactions not cleared by a CCP, where the failing participant is failing as the result of a failing receipt of securities, on receipt of a buy-in notification the pa</w:t>
            </w:r>
            <w:r w:rsidRPr="00F45130">
              <w:rPr>
                <w:rFonts w:cs="Arial"/>
              </w:rPr>
              <w:t>r</w:t>
            </w:r>
            <w:r w:rsidRPr="00F45130">
              <w:rPr>
                <w:rFonts w:cs="Arial"/>
              </w:rPr>
              <w:t>ticipant shall pass-on the notification to the participant causing the fail, where a buy-in is possible in accordance with Article 7 of Regulation(EU) No909/2014. The pa</w:t>
            </w:r>
            <w:r w:rsidRPr="00F45130">
              <w:rPr>
                <w:rFonts w:cs="Arial"/>
              </w:rPr>
              <w:t>r</w:t>
            </w:r>
            <w:r w:rsidRPr="00F45130">
              <w:rPr>
                <w:rFonts w:cs="Arial"/>
              </w:rPr>
              <w:lastRenderedPageBreak/>
              <w:t xml:space="preserve">ticipant instructing the ‘pass-on’ shall notify the CSD that it has passed-on the buy in and the identification of the participant in receipt of the pass-on. </w:t>
            </w:r>
          </w:p>
          <w:p w:rsidR="00810A47" w:rsidRPr="00F45130" w:rsidRDefault="00810A47" w:rsidP="003D466C">
            <w:pPr>
              <w:spacing w:after="200" w:line="276" w:lineRule="auto"/>
              <w:rPr>
                <w:rFonts w:cs="Arial"/>
              </w:rPr>
            </w:pPr>
            <w:r w:rsidRPr="00F45130">
              <w:rPr>
                <w:rFonts w:cs="Arial"/>
              </w:rPr>
              <w:t>Where a participant passes-on a buy-in, they will be responsible for notifying both the participant who issued them with the buy-in or pass-on, and the CSD, of the buy-in execution and results, in accordance with Article 6(4) of this Regulation.</w:t>
            </w:r>
          </w:p>
        </w:tc>
      </w:tr>
    </w:tbl>
    <w:p w:rsidR="00A330A0" w:rsidRPr="00A330A0" w:rsidRDefault="00A330A0" w:rsidP="007920E9">
      <w:pPr>
        <w:rPr>
          <w:color w:val="0070C0"/>
        </w:rPr>
      </w:pPr>
    </w:p>
    <w:permEnd w:id="9"/>
    <w:p w:rsidR="00D12AFD" w:rsidRDefault="00D12AFD" w:rsidP="00D12AFD">
      <w:r>
        <w:t>&lt;ESMA_QUESTION_TS_CSDR_7&gt;</w:t>
      </w:r>
    </w:p>
    <w:p w:rsidR="00D12AFD" w:rsidRPr="002C4F00" w:rsidRDefault="00D12AFD" w:rsidP="00965B03">
      <w:pPr>
        <w:pStyle w:val="Heading5"/>
        <w:ind w:left="567" w:hanging="567"/>
      </w:pPr>
      <w:r w:rsidRPr="002C4F00">
        <w:t>What are your views on the proposed draft RTS related to the buy-in timeframe and extension period?</w:t>
      </w:r>
    </w:p>
    <w:p w:rsidR="00D12AFD" w:rsidRDefault="00D12AFD" w:rsidP="00D12AFD"/>
    <w:p w:rsidR="00D12AFD" w:rsidRDefault="00D12AFD" w:rsidP="00D12AFD">
      <w:r>
        <w:t>&lt;ESMA_QUESTION_TS_CSDR_8&gt;</w:t>
      </w:r>
    </w:p>
    <w:p w:rsidR="00810A47" w:rsidRPr="00F45130" w:rsidRDefault="00810A47" w:rsidP="00810A47">
      <w:pPr>
        <w:rPr>
          <w:rFonts w:cs="Arial"/>
          <w:bCs/>
        </w:rPr>
      </w:pPr>
      <w:permStart w:id="10" w:edGrp="everyone"/>
      <w:r w:rsidRPr="00F45130">
        <w:rPr>
          <w:rFonts w:cs="Arial"/>
          <w:bCs/>
        </w:rPr>
        <w:t>AFME appreciate</w:t>
      </w:r>
      <w:r w:rsidR="002C0ED6">
        <w:rPr>
          <w:rFonts w:cs="Arial"/>
          <w:bCs/>
        </w:rPr>
        <w:t>s</w:t>
      </w:r>
      <w:r w:rsidRPr="00F45130">
        <w:rPr>
          <w:rFonts w:cs="Arial"/>
          <w:bCs/>
        </w:rPr>
        <w:t xml:space="preserve"> that the CSDR Level1 text offers limited room for flexibility in defining the extension period. We advocate that the extension period should be linked to both the asset type and liquidity of the instrument, as stated in the CSDR and in the earlier ESMA Consultation Paper.</w:t>
      </w:r>
    </w:p>
    <w:p w:rsidR="00810A47" w:rsidRPr="00F45130" w:rsidRDefault="00810A47" w:rsidP="00810A47">
      <w:pPr>
        <w:rPr>
          <w:rFonts w:cs="Arial"/>
          <w:bCs/>
        </w:rPr>
      </w:pPr>
    </w:p>
    <w:p w:rsidR="00810A47" w:rsidRPr="00F45130" w:rsidRDefault="00810A47" w:rsidP="00810A47">
      <w:pPr>
        <w:rPr>
          <w:rFonts w:cs="Arial"/>
          <w:bCs/>
        </w:rPr>
      </w:pPr>
      <w:r w:rsidRPr="00F45130">
        <w:rPr>
          <w:rFonts w:cs="Arial"/>
          <w:bCs/>
        </w:rPr>
        <w:t>To avoid issues and discrepancies, it is crucial that extension and delivery periods are harm</w:t>
      </w:r>
      <w:r w:rsidRPr="00F45130">
        <w:rPr>
          <w:rFonts w:cs="Arial"/>
          <w:bCs/>
        </w:rPr>
        <w:t>o</w:t>
      </w:r>
      <w:r w:rsidRPr="00F45130">
        <w:rPr>
          <w:rFonts w:cs="Arial"/>
          <w:bCs/>
        </w:rPr>
        <w:t>nised wherever possible, not just between markets, but also between different types of activity and irrespective of whether trades are settled via a CCP or OTC. This is particularly relevant due to the interconnectivity of markets and types of activity. Discrepancies would create major i</w:t>
      </w:r>
      <w:r w:rsidRPr="00F45130">
        <w:rPr>
          <w:rFonts w:cs="Arial"/>
          <w:bCs/>
        </w:rPr>
        <w:t>s</w:t>
      </w:r>
      <w:r w:rsidRPr="00F45130">
        <w:rPr>
          <w:rFonts w:cs="Arial"/>
          <w:bCs/>
        </w:rPr>
        <w:t>sues.</w:t>
      </w:r>
    </w:p>
    <w:p w:rsidR="00810A47" w:rsidRPr="00F45130" w:rsidRDefault="00810A47" w:rsidP="00810A47">
      <w:pPr>
        <w:rPr>
          <w:rFonts w:cs="Arial"/>
          <w:bCs/>
        </w:rPr>
      </w:pPr>
      <w:r w:rsidRPr="00F45130">
        <w:rPr>
          <w:rFonts w:cs="Arial"/>
          <w:bCs/>
        </w:rPr>
        <w:t>In this respect, we would like to highlight the following issues with the current draft RTS:</w:t>
      </w:r>
    </w:p>
    <w:p w:rsidR="00810A47" w:rsidRPr="00F45130" w:rsidRDefault="00810A47" w:rsidP="00810A47">
      <w:pPr>
        <w:rPr>
          <w:rFonts w:cs="Arial"/>
          <w:bCs/>
        </w:rPr>
      </w:pPr>
    </w:p>
    <w:p w:rsidR="00810A47" w:rsidRPr="00F45130" w:rsidRDefault="00810A47" w:rsidP="00FB266C">
      <w:pPr>
        <w:pStyle w:val="ListParagraph"/>
        <w:numPr>
          <w:ilvl w:val="0"/>
          <w:numId w:val="56"/>
        </w:numPr>
        <w:rPr>
          <w:rFonts w:cs="Arial"/>
          <w:bCs/>
        </w:rPr>
      </w:pPr>
      <w:r w:rsidRPr="00F45130">
        <w:rPr>
          <w:rFonts w:cs="Arial"/>
          <w:b/>
          <w:bCs/>
          <w:u w:val="single"/>
        </w:rPr>
        <w:t>It is not defined when buy-ins are to be executed</w:t>
      </w:r>
    </w:p>
    <w:p w:rsidR="00810A47" w:rsidRPr="00F45130" w:rsidRDefault="00810A47" w:rsidP="00810A47">
      <w:pPr>
        <w:rPr>
          <w:rFonts w:cs="Arial"/>
          <w:bCs/>
        </w:rPr>
      </w:pPr>
      <w:r w:rsidRPr="00F45130">
        <w:rPr>
          <w:rFonts w:cs="Arial"/>
          <w:bCs/>
        </w:rPr>
        <w:t>Art 12 states that the delivery should occur 4 or 7 days after the end of the extension period, but does not indicate when the buy-in should actually be executed. Art 7.3 of CSDR only mentions that a buy-in “shall be initiated” after the end of the extension period, and the CP mentions it should “happen in a reasonable timeframe”.</w:t>
      </w:r>
      <w:r w:rsidRPr="00F45130">
        <w:rPr>
          <w:rFonts w:cs="Arial"/>
          <w:bCs/>
        </w:rPr>
        <w:br/>
      </w:r>
    </w:p>
    <w:p w:rsidR="00810A47" w:rsidRPr="00F45130" w:rsidRDefault="00810A47" w:rsidP="00810A47">
      <w:pPr>
        <w:rPr>
          <w:rFonts w:cs="Arial"/>
          <w:bCs/>
        </w:rPr>
      </w:pPr>
      <w:r w:rsidRPr="00F45130">
        <w:rPr>
          <w:rFonts w:cs="Arial"/>
          <w:bCs/>
        </w:rPr>
        <w:t xml:space="preserve">As indicated above, the timing of the execution is crucial to avoid creating market risk in closing off positions, so ESMA is kindly requested to define this in the RTS. </w:t>
      </w:r>
    </w:p>
    <w:p w:rsidR="00810A47" w:rsidRPr="00F45130" w:rsidRDefault="00810A47" w:rsidP="00810A47">
      <w:pPr>
        <w:rPr>
          <w:rFonts w:cs="Arial"/>
          <w:bCs/>
        </w:rPr>
      </w:pPr>
    </w:p>
    <w:p w:rsidR="00810A47" w:rsidRPr="00F45130" w:rsidRDefault="00810A47" w:rsidP="00810A47">
      <w:pPr>
        <w:rPr>
          <w:rFonts w:cs="Arial"/>
          <w:bCs/>
        </w:rPr>
      </w:pPr>
      <w:r w:rsidRPr="00F45130">
        <w:rPr>
          <w:rFonts w:cs="Arial"/>
          <w:bCs/>
        </w:rPr>
        <w:t>It is also required to avoid disputes in situations where the failing deliverer is able to deliver the securities after the end of the extension period but ahead of the execution of the buy-in (execu</w:t>
      </w:r>
      <w:r w:rsidRPr="00F45130">
        <w:rPr>
          <w:rFonts w:cs="Arial"/>
          <w:bCs/>
        </w:rPr>
        <w:t>t</w:t>
      </w:r>
      <w:r w:rsidRPr="00F45130">
        <w:rPr>
          <w:rFonts w:cs="Arial"/>
          <w:bCs/>
        </w:rPr>
        <w:t xml:space="preserve">ing a buy-in in such scenarios would generate a double amount of securities).  </w:t>
      </w:r>
    </w:p>
    <w:p w:rsidR="00810A47" w:rsidRPr="00F45130" w:rsidRDefault="00810A47" w:rsidP="00810A47">
      <w:pPr>
        <w:rPr>
          <w:rFonts w:cs="Arial"/>
          <w:bCs/>
        </w:rPr>
      </w:pPr>
      <w:r w:rsidRPr="00F45130">
        <w:rPr>
          <w:rFonts w:cs="Arial"/>
          <w:bCs/>
        </w:rPr>
        <w:t>The above also seems to assume that a buy-in can be readily executed after the end of the extension period, which is not realistic in many cases (</w:t>
      </w:r>
      <w:r w:rsidR="002C0ED6">
        <w:rPr>
          <w:rFonts w:cs="Arial"/>
          <w:bCs/>
        </w:rPr>
        <w:t>we refer to ISLA’s response in relation to SME Growth Markets</w:t>
      </w:r>
      <w:r w:rsidRPr="00F45130">
        <w:rPr>
          <w:rFonts w:cs="Arial"/>
          <w:bCs/>
        </w:rPr>
        <w:t xml:space="preserve">): </w:t>
      </w:r>
    </w:p>
    <w:p w:rsidR="00810A47" w:rsidRPr="00F45130" w:rsidRDefault="00810A47" w:rsidP="00FB266C">
      <w:pPr>
        <w:pStyle w:val="ListParagraph"/>
        <w:numPr>
          <w:ilvl w:val="0"/>
          <w:numId w:val="59"/>
        </w:numPr>
        <w:rPr>
          <w:rFonts w:cs="Arial"/>
          <w:bCs/>
        </w:rPr>
      </w:pPr>
      <w:r w:rsidRPr="00F45130">
        <w:rPr>
          <w:rFonts w:cs="Arial"/>
          <w:bCs/>
        </w:rPr>
        <w:t>the search and appointment of a buy-in agent is not always straightforward. Some ca</w:t>
      </w:r>
      <w:r w:rsidRPr="00F45130">
        <w:rPr>
          <w:rFonts w:cs="Arial"/>
          <w:bCs/>
        </w:rPr>
        <w:t>n</w:t>
      </w:r>
      <w:r w:rsidRPr="00F45130">
        <w:rPr>
          <w:rFonts w:cs="Arial"/>
          <w:bCs/>
        </w:rPr>
        <w:t xml:space="preserve">didates such as market makers may be conflicted as part of the delivery chain </w:t>
      </w:r>
    </w:p>
    <w:p w:rsidR="00810A47" w:rsidRPr="00F45130" w:rsidRDefault="00810A47" w:rsidP="00FB266C">
      <w:pPr>
        <w:pStyle w:val="ListParagraph"/>
        <w:numPr>
          <w:ilvl w:val="0"/>
          <w:numId w:val="59"/>
        </w:numPr>
        <w:rPr>
          <w:rFonts w:cs="Arial"/>
          <w:bCs/>
        </w:rPr>
      </w:pPr>
      <w:r w:rsidRPr="00F45130">
        <w:rPr>
          <w:rFonts w:cs="Arial"/>
          <w:bCs/>
        </w:rPr>
        <w:t>to avoid multiple buy-ins for transaction chains, a determination needs to be made who will initiate the buy-in and for which amounts, which will take time</w:t>
      </w:r>
    </w:p>
    <w:p w:rsidR="00810A47" w:rsidRDefault="00810A47" w:rsidP="00FB266C">
      <w:pPr>
        <w:pStyle w:val="ListParagraph"/>
        <w:numPr>
          <w:ilvl w:val="0"/>
          <w:numId w:val="59"/>
        </w:numPr>
        <w:rPr>
          <w:rFonts w:cs="Arial"/>
          <w:bCs/>
        </w:rPr>
      </w:pPr>
      <w:r w:rsidRPr="00F45130">
        <w:rPr>
          <w:rFonts w:cs="Arial"/>
          <w:bCs/>
        </w:rPr>
        <w:t xml:space="preserve">The buy-in agent may not be able to </w:t>
      </w:r>
      <w:r w:rsidR="00801659">
        <w:rPr>
          <w:rFonts w:cs="Arial"/>
          <w:bCs/>
        </w:rPr>
        <w:t>immediately execute the buy-in</w:t>
      </w:r>
    </w:p>
    <w:p w:rsidR="00801659" w:rsidRPr="00F45130" w:rsidRDefault="00801659" w:rsidP="00801659">
      <w:pPr>
        <w:pStyle w:val="ListParagraph"/>
        <w:ind w:left="760"/>
        <w:rPr>
          <w:rFonts w:cs="Arial"/>
          <w:bCs/>
        </w:rPr>
      </w:pPr>
    </w:p>
    <w:p w:rsidR="00810A47" w:rsidRPr="00F45130" w:rsidRDefault="00810A47" w:rsidP="00810A47">
      <w:pPr>
        <w:rPr>
          <w:rFonts w:cs="Arial"/>
          <w:bCs/>
        </w:rPr>
      </w:pPr>
      <w:r w:rsidRPr="00F45130">
        <w:rPr>
          <w:rFonts w:cs="Arial"/>
          <w:bCs/>
        </w:rPr>
        <w:t>AFME propose</w:t>
      </w:r>
      <w:r w:rsidR="002C0ED6">
        <w:rPr>
          <w:rFonts w:cs="Arial"/>
          <w:bCs/>
        </w:rPr>
        <w:t>s</w:t>
      </w:r>
      <w:r w:rsidRPr="00F45130">
        <w:rPr>
          <w:rFonts w:cs="Arial"/>
          <w:bCs/>
        </w:rPr>
        <w:t xml:space="preserve"> defining the delivery period relative to the execution of the buy-in, and to have a public announcement of when the buy-ins are being executed (see alternative proposal on buy-ins above) </w:t>
      </w:r>
    </w:p>
    <w:p w:rsidR="00810A47" w:rsidRPr="00F45130" w:rsidRDefault="00810A47" w:rsidP="00810A47">
      <w:pPr>
        <w:rPr>
          <w:rFonts w:cs="Arial"/>
          <w:bCs/>
        </w:rPr>
      </w:pPr>
      <w:r w:rsidRPr="00F45130">
        <w:rPr>
          <w:rFonts w:cs="Arial"/>
          <w:bCs/>
        </w:rPr>
        <w:t xml:space="preserve">   </w:t>
      </w:r>
    </w:p>
    <w:p w:rsidR="00810A47" w:rsidRPr="00F45130" w:rsidRDefault="00810A47" w:rsidP="00810A47">
      <w:pPr>
        <w:rPr>
          <w:rFonts w:cs="Arial"/>
          <w:bCs/>
        </w:rPr>
      </w:pPr>
    </w:p>
    <w:p w:rsidR="00810A47" w:rsidRPr="00F45130" w:rsidRDefault="00810A47" w:rsidP="00FB266C">
      <w:pPr>
        <w:pStyle w:val="ListParagraph"/>
        <w:numPr>
          <w:ilvl w:val="0"/>
          <w:numId w:val="56"/>
        </w:numPr>
        <w:rPr>
          <w:rFonts w:cs="Arial"/>
          <w:b/>
          <w:bCs/>
          <w:u w:val="single"/>
        </w:rPr>
      </w:pPr>
      <w:r w:rsidRPr="00F45130">
        <w:rPr>
          <w:rFonts w:cs="Arial"/>
          <w:b/>
          <w:bCs/>
          <w:u w:val="single"/>
        </w:rPr>
        <w:t>There are different extension periods depending on whether transactions settle OTC or via a CCP</w:t>
      </w:r>
    </w:p>
    <w:p w:rsidR="00810A47" w:rsidRPr="00F45130" w:rsidRDefault="00810A47" w:rsidP="00810A47">
      <w:pPr>
        <w:pStyle w:val="ListParagraph"/>
        <w:ind w:left="360"/>
        <w:rPr>
          <w:rFonts w:cs="Arial"/>
          <w:bCs/>
        </w:rPr>
      </w:pPr>
      <w:r w:rsidRPr="00F45130">
        <w:rPr>
          <w:rFonts w:cs="Arial"/>
          <w:bCs/>
        </w:rPr>
        <w:t>Art 13 of the RTS seems to indicate that there are three types of extension periods, which also depend on whether the transaction is CCP cleared or not:</w:t>
      </w:r>
    </w:p>
    <w:p w:rsidR="00810A47" w:rsidRPr="00F45130" w:rsidRDefault="00810A47" w:rsidP="00FB266C">
      <w:pPr>
        <w:pStyle w:val="ListParagraph"/>
        <w:numPr>
          <w:ilvl w:val="0"/>
          <w:numId w:val="57"/>
        </w:numPr>
        <w:rPr>
          <w:rFonts w:cs="Arial"/>
          <w:bCs/>
        </w:rPr>
      </w:pPr>
      <w:r w:rsidRPr="00F45130">
        <w:rPr>
          <w:rFonts w:cs="Arial"/>
          <w:bCs/>
        </w:rPr>
        <w:t>4 days for liquid bonds and shares</w:t>
      </w:r>
    </w:p>
    <w:p w:rsidR="00810A47" w:rsidRPr="00F45130" w:rsidRDefault="00810A47" w:rsidP="00FB266C">
      <w:pPr>
        <w:pStyle w:val="ListParagraph"/>
        <w:numPr>
          <w:ilvl w:val="0"/>
          <w:numId w:val="57"/>
        </w:numPr>
        <w:rPr>
          <w:rFonts w:cs="Arial"/>
          <w:bCs/>
        </w:rPr>
      </w:pPr>
      <w:r w:rsidRPr="00F45130">
        <w:rPr>
          <w:rFonts w:cs="Arial"/>
          <w:bCs/>
        </w:rPr>
        <w:t>7 days for illiquid bonds and shares</w:t>
      </w:r>
    </w:p>
    <w:p w:rsidR="00810A47" w:rsidRPr="00F45130" w:rsidRDefault="00810A47" w:rsidP="00FB266C">
      <w:pPr>
        <w:pStyle w:val="ListParagraph"/>
        <w:numPr>
          <w:ilvl w:val="0"/>
          <w:numId w:val="57"/>
        </w:numPr>
        <w:rPr>
          <w:rFonts w:cs="Arial"/>
          <w:bCs/>
        </w:rPr>
      </w:pPr>
      <w:r w:rsidRPr="00F45130">
        <w:rPr>
          <w:rFonts w:cs="Arial"/>
          <w:bCs/>
        </w:rPr>
        <w:t>15  days for financial instruments traded on SME growth markets</w:t>
      </w:r>
    </w:p>
    <w:p w:rsidR="00810A47" w:rsidRPr="00F45130" w:rsidRDefault="00810A47" w:rsidP="00810A47">
      <w:pPr>
        <w:ind w:left="419"/>
        <w:rPr>
          <w:rFonts w:cs="Arial"/>
          <w:bCs/>
        </w:rPr>
      </w:pPr>
      <w:r w:rsidRPr="00F45130">
        <w:rPr>
          <w:rFonts w:cs="Arial"/>
          <w:bCs/>
        </w:rPr>
        <w:t>However, if shares are cleared by a CCP, there is no lengthening of the extension period, and thus it remains 4 days.</w:t>
      </w:r>
    </w:p>
    <w:p w:rsidR="00810A47" w:rsidRPr="00F45130" w:rsidRDefault="00810A47" w:rsidP="00810A47">
      <w:pPr>
        <w:ind w:left="419"/>
        <w:rPr>
          <w:rFonts w:cs="Arial"/>
          <w:bCs/>
        </w:rPr>
      </w:pPr>
      <w:r w:rsidRPr="00F45130">
        <w:rPr>
          <w:rFonts w:cs="Arial"/>
          <w:bCs/>
        </w:rPr>
        <w:br/>
        <w:t>We therefore seek clarity from ESMA on the following points:</w:t>
      </w:r>
    </w:p>
    <w:p w:rsidR="00810A47" w:rsidRPr="00F45130" w:rsidRDefault="00810A47" w:rsidP="00FB266C">
      <w:pPr>
        <w:pStyle w:val="ListParagraph"/>
        <w:numPr>
          <w:ilvl w:val="0"/>
          <w:numId w:val="58"/>
        </w:numPr>
        <w:rPr>
          <w:rFonts w:cs="Arial"/>
          <w:bCs/>
        </w:rPr>
      </w:pPr>
      <w:r w:rsidRPr="00F45130">
        <w:rPr>
          <w:rFonts w:cs="Arial"/>
          <w:bCs/>
        </w:rPr>
        <w:t xml:space="preserve">What is the extension period for bonds which are CCP cleared: our reading (and our </w:t>
      </w:r>
      <w:r w:rsidR="00801659" w:rsidRPr="00F45130">
        <w:rPr>
          <w:rFonts w:cs="Arial"/>
          <w:bCs/>
        </w:rPr>
        <w:t>preference)</w:t>
      </w:r>
      <w:r w:rsidRPr="00F45130">
        <w:rPr>
          <w:rFonts w:cs="Arial"/>
          <w:bCs/>
        </w:rPr>
        <w:t xml:space="preserve"> is that the general rule applies: </w:t>
      </w:r>
      <w:r w:rsidR="00D939AF" w:rsidRPr="00F45130">
        <w:rPr>
          <w:rFonts w:cs="Arial"/>
          <w:bCs/>
        </w:rPr>
        <w:t>i.e.</w:t>
      </w:r>
      <w:r w:rsidRPr="00F45130">
        <w:rPr>
          <w:rFonts w:cs="Arial"/>
          <w:bCs/>
        </w:rPr>
        <w:t xml:space="preserve"> 4 days for liquid bonds and 7 days for illiquid bonds. From a Securities Financing perspective this discrepancy creates a</w:t>
      </w:r>
      <w:r w:rsidRPr="00F45130">
        <w:rPr>
          <w:rFonts w:cs="Arial"/>
          <w:bCs/>
        </w:rPr>
        <w:t>d</w:t>
      </w:r>
      <w:r w:rsidRPr="00F45130">
        <w:rPr>
          <w:rFonts w:cs="Arial"/>
          <w:bCs/>
        </w:rPr>
        <w:t>ditional issues for collateral swaps where liquid securities are exchanged against i</w:t>
      </w:r>
      <w:r w:rsidRPr="00F45130">
        <w:rPr>
          <w:rFonts w:cs="Arial"/>
          <w:bCs/>
        </w:rPr>
        <w:t>l</w:t>
      </w:r>
      <w:r w:rsidRPr="00F45130">
        <w:rPr>
          <w:rFonts w:cs="Arial"/>
          <w:bCs/>
        </w:rPr>
        <w:t>liquid securities. This creates a further disconnect and potentially introduces further market risk. Ideally, AFME would strongly recommend that all bonds (liquid or illi</w:t>
      </w:r>
      <w:r w:rsidRPr="00F45130">
        <w:rPr>
          <w:rFonts w:cs="Arial"/>
          <w:bCs/>
        </w:rPr>
        <w:t>q</w:t>
      </w:r>
      <w:r w:rsidRPr="00F45130">
        <w:rPr>
          <w:rFonts w:cs="Arial"/>
          <w:bCs/>
        </w:rPr>
        <w:t xml:space="preserve">uid) to be subject to the same maximum allowable extension period under Level 1 (i.e. 7 business days) to minimize negative effects and possible market disruption. </w:t>
      </w:r>
    </w:p>
    <w:p w:rsidR="00810A47" w:rsidRPr="00F45130" w:rsidRDefault="00810A47" w:rsidP="00FB266C">
      <w:pPr>
        <w:pStyle w:val="ListParagraph"/>
        <w:numPr>
          <w:ilvl w:val="0"/>
          <w:numId w:val="58"/>
        </w:numPr>
        <w:rPr>
          <w:rFonts w:cs="Arial"/>
          <w:bCs/>
        </w:rPr>
      </w:pPr>
      <w:r w:rsidRPr="00F45130">
        <w:rPr>
          <w:rFonts w:cs="Arial"/>
          <w:bCs/>
        </w:rPr>
        <w:t>What is the extension period for SME growth market shares which are CCP cleared: our reading is that it is 15 days</w:t>
      </w:r>
    </w:p>
    <w:p w:rsidR="00810A47" w:rsidRPr="00F45130" w:rsidRDefault="00810A47" w:rsidP="00FB266C">
      <w:pPr>
        <w:pStyle w:val="ListParagraph"/>
        <w:numPr>
          <w:ilvl w:val="0"/>
          <w:numId w:val="58"/>
        </w:numPr>
        <w:rPr>
          <w:rFonts w:cs="Arial"/>
          <w:bCs/>
        </w:rPr>
      </w:pPr>
      <w:r w:rsidRPr="00F45130">
        <w:rPr>
          <w:rFonts w:cs="Arial"/>
          <w:bCs/>
        </w:rPr>
        <w:t xml:space="preserve">There is a discrepancy in extension period for illiquid shares which are cleared via CCP (where it is 4 days), and which settle OTC (where it is 7 days). </w:t>
      </w:r>
      <w:r w:rsidRPr="00F45130">
        <w:rPr>
          <w:rFonts w:cs="Arial"/>
          <w:bCs/>
        </w:rPr>
        <w:br/>
        <w:t xml:space="preserve">A party, who buys such shares from </w:t>
      </w:r>
      <w:r w:rsidR="00C42D21" w:rsidRPr="00F45130">
        <w:rPr>
          <w:rFonts w:cs="Arial"/>
          <w:bCs/>
        </w:rPr>
        <w:t>OTC</w:t>
      </w:r>
      <w:r w:rsidRPr="00F45130">
        <w:rPr>
          <w:rFonts w:cs="Arial"/>
          <w:bCs/>
        </w:rPr>
        <w:t xml:space="preserve"> counterparty, but sells them on e</w:t>
      </w:r>
      <w:r w:rsidRPr="00F45130">
        <w:rPr>
          <w:rFonts w:cs="Arial"/>
          <w:bCs/>
        </w:rPr>
        <w:t>x</w:t>
      </w:r>
      <w:r w:rsidRPr="00F45130">
        <w:rPr>
          <w:rFonts w:cs="Arial"/>
          <w:bCs/>
        </w:rPr>
        <w:t>change/via a CCP, could face a buy-in from a CCP while it cannot buy-in its own OTC counterparty. That will create fundamental issues for brokers as they will face a buy-in from the CCP before they can buy-in their client.</w:t>
      </w:r>
    </w:p>
    <w:p w:rsidR="00810A47" w:rsidRPr="00F45130" w:rsidRDefault="00810A47" w:rsidP="00FB266C">
      <w:pPr>
        <w:pStyle w:val="ListParagraph"/>
        <w:numPr>
          <w:ilvl w:val="0"/>
          <w:numId w:val="58"/>
        </w:numPr>
        <w:rPr>
          <w:rFonts w:cs="Arial"/>
          <w:bCs/>
        </w:rPr>
      </w:pPr>
      <w:r w:rsidRPr="00F45130">
        <w:rPr>
          <w:rFonts w:cs="Arial"/>
          <w:bCs/>
        </w:rPr>
        <w:t>There is no delivery period defined for depository receipts, ETF’s, certificates and other financial instruments not captured above, while the timeframe for the delivery period has been defined (see below)</w:t>
      </w:r>
      <w:r w:rsidR="002C0ED6">
        <w:rPr>
          <w:rFonts w:cs="Arial"/>
          <w:bCs/>
        </w:rPr>
        <w:t>.</w:t>
      </w:r>
    </w:p>
    <w:p w:rsidR="00810A47" w:rsidRPr="00F45130" w:rsidRDefault="00810A47" w:rsidP="00810A47">
      <w:pPr>
        <w:pStyle w:val="ListParagraph"/>
        <w:ind w:left="360"/>
        <w:rPr>
          <w:rFonts w:cs="Arial"/>
          <w:bCs/>
        </w:rPr>
      </w:pPr>
    </w:p>
    <w:p w:rsidR="00810A47" w:rsidRPr="00F45130" w:rsidRDefault="00810A47" w:rsidP="00FB266C">
      <w:pPr>
        <w:pStyle w:val="ListParagraph"/>
        <w:numPr>
          <w:ilvl w:val="0"/>
          <w:numId w:val="56"/>
        </w:numPr>
        <w:rPr>
          <w:rFonts w:cs="Arial"/>
          <w:b/>
          <w:bCs/>
          <w:u w:val="single"/>
        </w:rPr>
      </w:pPr>
      <w:r w:rsidRPr="00F45130">
        <w:rPr>
          <w:rFonts w:cs="Arial"/>
          <w:b/>
          <w:bCs/>
          <w:u w:val="single"/>
        </w:rPr>
        <w:t>Delivery of financial instruments and extension periods are not aligned</w:t>
      </w:r>
    </w:p>
    <w:p w:rsidR="00810A47" w:rsidRPr="00F45130" w:rsidRDefault="00810A47" w:rsidP="00810A47">
      <w:pPr>
        <w:rPr>
          <w:rFonts w:cs="Arial"/>
          <w:bCs/>
        </w:rPr>
      </w:pPr>
      <w:r w:rsidRPr="00F45130">
        <w:rPr>
          <w:rFonts w:cs="Arial"/>
          <w:bCs/>
        </w:rPr>
        <w:t>The ESMA CP (92) states that the timeframe for the delivery (4 or 7 days) should apply “irr</w:t>
      </w:r>
      <w:r w:rsidRPr="00F45130">
        <w:rPr>
          <w:rFonts w:cs="Arial"/>
          <w:bCs/>
        </w:rPr>
        <w:t>e</w:t>
      </w:r>
      <w:r w:rsidRPr="00F45130">
        <w:rPr>
          <w:rFonts w:cs="Arial"/>
          <w:bCs/>
        </w:rPr>
        <w:t>spective of whether the shares are cleared or whether the shares or bonds are SME growth market instruments”. Art 12 of the draft RTS stipulates that the delivery timeframe is:</w:t>
      </w:r>
    </w:p>
    <w:p w:rsidR="00810A47" w:rsidRPr="00F45130" w:rsidRDefault="00810A47" w:rsidP="00FB266C">
      <w:pPr>
        <w:pStyle w:val="ListParagraph"/>
        <w:numPr>
          <w:ilvl w:val="0"/>
          <w:numId w:val="57"/>
        </w:numPr>
        <w:rPr>
          <w:rFonts w:cs="Arial"/>
          <w:bCs/>
        </w:rPr>
      </w:pPr>
      <w:r w:rsidRPr="00F45130">
        <w:rPr>
          <w:rFonts w:cs="Arial"/>
          <w:bCs/>
        </w:rPr>
        <w:t>4 business days for liquid bonds and shares</w:t>
      </w:r>
    </w:p>
    <w:p w:rsidR="00810A47" w:rsidRPr="00F45130" w:rsidRDefault="00810A47" w:rsidP="00FB266C">
      <w:pPr>
        <w:pStyle w:val="ListParagraph"/>
        <w:numPr>
          <w:ilvl w:val="0"/>
          <w:numId w:val="57"/>
        </w:numPr>
        <w:rPr>
          <w:rFonts w:cs="Arial"/>
          <w:bCs/>
        </w:rPr>
      </w:pPr>
      <w:r w:rsidRPr="00F45130">
        <w:rPr>
          <w:rFonts w:cs="Arial"/>
          <w:bCs/>
        </w:rPr>
        <w:t xml:space="preserve">7 business days for illiquid bonds and shares </w:t>
      </w:r>
    </w:p>
    <w:p w:rsidR="00810A47" w:rsidRPr="00F45130" w:rsidRDefault="00810A47" w:rsidP="00FB266C">
      <w:pPr>
        <w:pStyle w:val="ListParagraph"/>
        <w:numPr>
          <w:ilvl w:val="0"/>
          <w:numId w:val="57"/>
        </w:numPr>
        <w:rPr>
          <w:rFonts w:cs="Arial"/>
          <w:b/>
          <w:bCs/>
          <w:u w:val="single"/>
        </w:rPr>
      </w:pPr>
      <w:r w:rsidRPr="00F45130">
        <w:rPr>
          <w:rFonts w:cs="Arial"/>
          <w:bCs/>
        </w:rPr>
        <w:t>7 business days for depository receipts, ETF’s, certificates and other financial i</w:t>
      </w:r>
      <w:r w:rsidRPr="00F45130">
        <w:rPr>
          <w:rFonts w:cs="Arial"/>
          <w:bCs/>
        </w:rPr>
        <w:t>n</w:t>
      </w:r>
      <w:r w:rsidRPr="00F45130">
        <w:rPr>
          <w:rFonts w:cs="Arial"/>
          <w:bCs/>
        </w:rPr>
        <w:t>struments not captured above</w:t>
      </w:r>
    </w:p>
    <w:p w:rsidR="00810A47" w:rsidRPr="00F45130" w:rsidRDefault="00810A47" w:rsidP="00810A47">
      <w:pPr>
        <w:pStyle w:val="ListParagraph"/>
        <w:ind w:left="360"/>
        <w:rPr>
          <w:rFonts w:cs="Arial"/>
          <w:bCs/>
        </w:rPr>
      </w:pPr>
    </w:p>
    <w:p w:rsidR="00810A47" w:rsidRPr="00F45130" w:rsidRDefault="00810A47" w:rsidP="00810A47">
      <w:pPr>
        <w:pStyle w:val="ListParagraph"/>
        <w:ind w:left="0"/>
        <w:rPr>
          <w:rFonts w:cs="Arial"/>
          <w:bCs/>
        </w:rPr>
      </w:pPr>
      <w:r w:rsidRPr="00F45130">
        <w:rPr>
          <w:rFonts w:cs="Arial"/>
          <w:bCs/>
        </w:rPr>
        <w:t xml:space="preserve">When comparing this with the timing of the extension period (see above), this creates </w:t>
      </w:r>
    </w:p>
    <w:p w:rsidR="00810A47" w:rsidRPr="00F45130" w:rsidRDefault="00810A47" w:rsidP="00810A47">
      <w:pPr>
        <w:pStyle w:val="ListParagraph"/>
        <w:ind w:left="0"/>
        <w:rPr>
          <w:rFonts w:cs="Arial"/>
          <w:bCs/>
        </w:rPr>
      </w:pPr>
      <w:r w:rsidRPr="00F45130">
        <w:rPr>
          <w:rFonts w:cs="Arial"/>
          <w:bCs/>
        </w:rPr>
        <w:t xml:space="preserve">a number of discrepancies, which will very likely lead to confusion among FMI’s and market participants </w:t>
      </w:r>
    </w:p>
    <w:p w:rsidR="00810A47" w:rsidRDefault="00C42D21" w:rsidP="00810A47">
      <w:pPr>
        <w:pStyle w:val="ListParagraph"/>
        <w:ind w:left="0"/>
        <w:rPr>
          <w:rFonts w:cs="Arial"/>
          <w:bCs/>
        </w:rPr>
      </w:pPr>
      <w:r w:rsidRPr="00C42D21">
        <w:rPr>
          <w:noProof/>
          <w:lang w:val="en-US" w:eastAsia="en-US"/>
        </w:rPr>
        <w:lastRenderedPageBreak/>
        <w:drawing>
          <wp:inline distT="0" distB="0" distL="0" distR="0">
            <wp:extent cx="5976620" cy="2988606"/>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76620" cy="2988606"/>
                    </a:xfrm>
                    <a:prstGeom prst="rect">
                      <a:avLst/>
                    </a:prstGeom>
                    <a:noFill/>
                    <a:ln w="9525">
                      <a:noFill/>
                      <a:miter lim="800000"/>
                      <a:headEnd/>
                      <a:tailEnd/>
                    </a:ln>
                  </pic:spPr>
                </pic:pic>
              </a:graphicData>
            </a:graphic>
          </wp:inline>
        </w:drawing>
      </w:r>
    </w:p>
    <w:p w:rsidR="00C42D21" w:rsidRPr="00F45130" w:rsidRDefault="00C42D21" w:rsidP="00810A47">
      <w:pPr>
        <w:pStyle w:val="ListParagraph"/>
        <w:ind w:left="0"/>
        <w:rPr>
          <w:rFonts w:cs="Arial"/>
          <w:bCs/>
        </w:rPr>
      </w:pPr>
    </w:p>
    <w:p w:rsidR="00810A47" w:rsidRPr="00F45130" w:rsidRDefault="00810A47" w:rsidP="00FB266C">
      <w:pPr>
        <w:pStyle w:val="ListParagraph"/>
        <w:numPr>
          <w:ilvl w:val="0"/>
          <w:numId w:val="53"/>
        </w:numPr>
        <w:rPr>
          <w:rFonts w:cs="Arial"/>
          <w:bCs/>
        </w:rPr>
      </w:pPr>
      <w:r w:rsidRPr="00F45130">
        <w:rPr>
          <w:rFonts w:cs="Arial"/>
          <w:bCs/>
        </w:rPr>
        <w:t>For illiquid bonds cleared by  CCP’s, the extension period is assumed to be 7 days, but the delivery period is 4  days</w:t>
      </w:r>
    </w:p>
    <w:p w:rsidR="00810A47" w:rsidRPr="00F45130" w:rsidRDefault="00810A47" w:rsidP="00FB266C">
      <w:pPr>
        <w:pStyle w:val="ListParagraph"/>
        <w:numPr>
          <w:ilvl w:val="0"/>
          <w:numId w:val="53"/>
        </w:numPr>
        <w:rPr>
          <w:rFonts w:cs="Arial"/>
          <w:bCs/>
        </w:rPr>
      </w:pPr>
      <w:r w:rsidRPr="00F45130">
        <w:rPr>
          <w:rFonts w:cs="Arial"/>
          <w:bCs/>
        </w:rPr>
        <w:t>For SME growth market instruments, the extension period is assumed to be 15 days, but the delivery period is 4 days (for liquid instruments) and 7 days (for illiquid instruments)</w:t>
      </w:r>
    </w:p>
    <w:p w:rsidR="00810A47" w:rsidRDefault="00810A47" w:rsidP="00FB266C">
      <w:pPr>
        <w:pStyle w:val="ListParagraph"/>
        <w:numPr>
          <w:ilvl w:val="0"/>
          <w:numId w:val="53"/>
        </w:numPr>
        <w:rPr>
          <w:rFonts w:cs="Arial"/>
          <w:bCs/>
        </w:rPr>
      </w:pPr>
      <w:r w:rsidRPr="00F45130">
        <w:rPr>
          <w:rFonts w:cs="Arial"/>
          <w:bCs/>
        </w:rPr>
        <w:t>For DR’s, ETF’s, certificates and other financial instruments, the delivery period is d</w:t>
      </w:r>
      <w:r w:rsidRPr="00F45130">
        <w:rPr>
          <w:rFonts w:cs="Arial"/>
          <w:bCs/>
        </w:rPr>
        <w:t>e</w:t>
      </w:r>
      <w:r w:rsidRPr="00F45130">
        <w:rPr>
          <w:rFonts w:cs="Arial"/>
          <w:bCs/>
        </w:rPr>
        <w:t>fined (7 days), but the extension periods are not aligned</w:t>
      </w:r>
      <w:r w:rsidR="00EC0740">
        <w:rPr>
          <w:rFonts w:cs="Arial"/>
          <w:bCs/>
        </w:rPr>
        <w:t>.</w:t>
      </w:r>
      <w:r w:rsidRPr="00F45130">
        <w:rPr>
          <w:rFonts w:cs="Arial"/>
          <w:bCs/>
        </w:rPr>
        <w:t xml:space="preserve"> </w:t>
      </w:r>
    </w:p>
    <w:p w:rsidR="00303C0C" w:rsidRPr="00F45130" w:rsidRDefault="00303C0C" w:rsidP="00303C0C">
      <w:pPr>
        <w:pStyle w:val="ListParagraph"/>
        <w:ind w:left="760"/>
        <w:rPr>
          <w:rFonts w:cs="Arial"/>
          <w:bCs/>
        </w:rPr>
      </w:pPr>
    </w:p>
    <w:p w:rsidR="00810A47" w:rsidRPr="00F45130" w:rsidRDefault="00810A47" w:rsidP="00810A47">
      <w:pPr>
        <w:rPr>
          <w:rFonts w:cs="Arial"/>
          <w:b/>
          <w:bCs/>
          <w:u w:val="single"/>
        </w:rPr>
      </w:pPr>
      <w:r w:rsidRPr="00F45130">
        <w:rPr>
          <w:rFonts w:cs="Arial"/>
          <w:bCs/>
        </w:rPr>
        <w:t>To avoid confusion and additional complexity, AFME would recommend full alignment of the delivery periods to the extension periods.</w:t>
      </w:r>
    </w:p>
    <w:p w:rsidR="00810A47" w:rsidRPr="00F45130" w:rsidRDefault="00810A47" w:rsidP="00810A47">
      <w:pPr>
        <w:rPr>
          <w:rFonts w:cs="Arial"/>
          <w:bCs/>
        </w:rPr>
      </w:pPr>
    </w:p>
    <w:p w:rsidR="00810A47" w:rsidRPr="00F45130" w:rsidRDefault="00810A47" w:rsidP="00FB266C">
      <w:pPr>
        <w:pStyle w:val="ListParagraph"/>
        <w:numPr>
          <w:ilvl w:val="0"/>
          <w:numId w:val="56"/>
        </w:numPr>
        <w:rPr>
          <w:rFonts w:cs="Arial"/>
          <w:bCs/>
        </w:rPr>
      </w:pPr>
      <w:r w:rsidRPr="00F45130">
        <w:rPr>
          <w:rFonts w:cs="Arial"/>
          <w:b/>
          <w:bCs/>
          <w:u w:val="single"/>
        </w:rPr>
        <w:t>The MiFID definition of liquid markets includes many non liquid instruments, impac</w:t>
      </w:r>
      <w:r w:rsidRPr="00F45130">
        <w:rPr>
          <w:rFonts w:cs="Arial"/>
          <w:b/>
          <w:bCs/>
          <w:u w:val="single"/>
        </w:rPr>
        <w:t>t</w:t>
      </w:r>
      <w:r w:rsidRPr="00F45130">
        <w:rPr>
          <w:rFonts w:cs="Arial"/>
          <w:b/>
          <w:bCs/>
          <w:u w:val="single"/>
        </w:rPr>
        <w:t>ing the extension periods under CSDR</w:t>
      </w:r>
    </w:p>
    <w:p w:rsidR="00810A47" w:rsidRPr="00F45130" w:rsidRDefault="00810A47" w:rsidP="00810A47">
      <w:pPr>
        <w:rPr>
          <w:rFonts w:cs="Arial"/>
          <w:bCs/>
        </w:rPr>
      </w:pPr>
    </w:p>
    <w:p w:rsidR="00810A47" w:rsidRPr="00F45130" w:rsidRDefault="00810A47" w:rsidP="00810A47">
      <w:pPr>
        <w:rPr>
          <w:rFonts w:cs="Arial"/>
        </w:rPr>
      </w:pPr>
      <w:r w:rsidRPr="00F45130">
        <w:rPr>
          <w:rFonts w:cs="Arial"/>
        </w:rPr>
        <w:t>As highlighted in the separate AFME submission to the proposed MiFID RTS, AFME and its members have a number of concerns, including on the definition of a large universe of fixed income products as ‘liquid’ when they are by most measures clearly ‘illiquid’ (i.e. ‘false positives’)</w:t>
      </w:r>
    </w:p>
    <w:p w:rsidR="00810A47" w:rsidRDefault="00810A47" w:rsidP="00810A47">
      <w:pPr>
        <w:rPr>
          <w:rFonts w:cs="Arial"/>
        </w:rPr>
      </w:pPr>
      <w:r w:rsidRPr="00F45130">
        <w:rPr>
          <w:rFonts w:cs="Arial"/>
        </w:rPr>
        <w:t>While we are in favour of aligning definitions of liquidity across MiFID and CSDR, if the ESMA MiFID liquidity definition remains as is, it will have impacts on reducing the extension period for large categories of non liquid bonds to 4 days.</w:t>
      </w:r>
    </w:p>
    <w:p w:rsidR="00303C0C" w:rsidRPr="00F45130" w:rsidRDefault="00303C0C" w:rsidP="00810A47">
      <w:pPr>
        <w:rPr>
          <w:rFonts w:cs="Arial"/>
          <w:bCs/>
        </w:rPr>
      </w:pPr>
    </w:p>
    <w:p w:rsidR="00810A47" w:rsidRDefault="00810A47" w:rsidP="00810A47">
      <w:pPr>
        <w:rPr>
          <w:rFonts w:cs="Arial"/>
        </w:rPr>
      </w:pPr>
      <w:r w:rsidRPr="00F45130">
        <w:rPr>
          <w:rFonts w:cs="Arial"/>
        </w:rPr>
        <w:t xml:space="preserve">AFME would therefore </w:t>
      </w:r>
      <w:r w:rsidR="00955C7C">
        <w:rPr>
          <w:rFonts w:cs="Arial"/>
        </w:rPr>
        <w:t>request</w:t>
      </w:r>
      <w:r w:rsidRPr="00F45130">
        <w:rPr>
          <w:rFonts w:cs="Arial"/>
        </w:rPr>
        <w:t xml:space="preserve"> further amendments to the MiFID liquidity calibrations to remedy this, absent which we would favour having a standard extension period of 7 days for all bonds in CSDR, irrespective of MiFID liquidity definitions</w:t>
      </w:r>
    </w:p>
    <w:p w:rsidR="00325B60" w:rsidRDefault="00325B60" w:rsidP="00810A47">
      <w:pPr>
        <w:rPr>
          <w:rFonts w:cs="Arial"/>
        </w:rPr>
      </w:pPr>
    </w:p>
    <w:p w:rsidR="00325B60" w:rsidRDefault="00325B60" w:rsidP="00810A47">
      <w:pPr>
        <w:rPr>
          <w:rFonts w:cs="Arial"/>
        </w:rPr>
      </w:pPr>
      <w:r w:rsidRPr="00325B60">
        <w:rPr>
          <w:rFonts w:cs="Arial"/>
        </w:rPr>
        <w:t>ECSDA recently conducted a survey of their members to gauge the impact of the current ma</w:t>
      </w:r>
      <w:r w:rsidRPr="00325B60">
        <w:rPr>
          <w:rFonts w:cs="Arial"/>
        </w:rPr>
        <w:t>n</w:t>
      </w:r>
      <w:r w:rsidRPr="00325B60">
        <w:rPr>
          <w:rFonts w:cs="Arial"/>
        </w:rPr>
        <w:t xml:space="preserve">datory buy in proposals on current failing trades and to estimate </w:t>
      </w:r>
      <w:r>
        <w:rPr>
          <w:rFonts w:cs="Arial"/>
        </w:rPr>
        <w:t>the overall impact. At this stage its worthwhile mentioning the following important findings:</w:t>
      </w:r>
    </w:p>
    <w:p w:rsidR="00325B60" w:rsidRPr="00325B60" w:rsidRDefault="00325B60" w:rsidP="00325B60">
      <w:pPr>
        <w:pStyle w:val="ListParagraph"/>
        <w:numPr>
          <w:ilvl w:val="0"/>
          <w:numId w:val="88"/>
        </w:numPr>
        <w:rPr>
          <w:rFonts w:cs="Arial"/>
        </w:rPr>
      </w:pPr>
      <w:r w:rsidRPr="00325B60">
        <w:rPr>
          <w:rFonts w:cs="Arial"/>
        </w:rPr>
        <w:t>Figures based on data from 11 CSDs for November 2014. Not possible to take into a</w:t>
      </w:r>
      <w:r w:rsidRPr="00325B60">
        <w:rPr>
          <w:rFonts w:cs="Arial"/>
        </w:rPr>
        <w:t>c</w:t>
      </w:r>
      <w:r w:rsidRPr="00325B60">
        <w:rPr>
          <w:rFonts w:cs="Arial"/>
        </w:rPr>
        <w:t>count exemptions or differences in the extension period as proposed by ESMA</w:t>
      </w:r>
    </w:p>
    <w:p w:rsidR="00325B60" w:rsidRPr="00325B60" w:rsidRDefault="00325B60" w:rsidP="00325B60">
      <w:pPr>
        <w:pStyle w:val="ListParagraph"/>
        <w:numPr>
          <w:ilvl w:val="0"/>
          <w:numId w:val="88"/>
        </w:numPr>
        <w:rPr>
          <w:rFonts w:cs="Arial"/>
        </w:rPr>
      </w:pPr>
      <w:r w:rsidRPr="00325B60">
        <w:rPr>
          <w:rFonts w:cs="Arial"/>
        </w:rPr>
        <w:t xml:space="preserve">Based on the default buy-in process (buy-in initiated after ISD+4) </w:t>
      </w:r>
    </w:p>
    <w:p w:rsidR="00325B60" w:rsidRPr="00325B60" w:rsidRDefault="00325B60" w:rsidP="00325B60">
      <w:pPr>
        <w:pStyle w:val="ListParagraph"/>
        <w:numPr>
          <w:ilvl w:val="0"/>
          <w:numId w:val="88"/>
        </w:numPr>
        <w:rPr>
          <w:rFonts w:cs="Arial"/>
        </w:rPr>
      </w:pPr>
      <w:r w:rsidRPr="00325B60">
        <w:rPr>
          <w:rFonts w:cs="Arial"/>
        </w:rPr>
        <w:t xml:space="preserve">151,443 buy-ins would have been for a total value of c.EUR 214 billion. </w:t>
      </w:r>
    </w:p>
    <w:p w:rsidR="00325B60" w:rsidRPr="00325B60" w:rsidRDefault="00325B60" w:rsidP="00325B60">
      <w:pPr>
        <w:pStyle w:val="ListParagraph"/>
        <w:numPr>
          <w:ilvl w:val="0"/>
          <w:numId w:val="88"/>
        </w:numPr>
        <w:rPr>
          <w:rFonts w:cs="Arial"/>
        </w:rPr>
      </w:pPr>
      <w:r w:rsidRPr="00325B60">
        <w:rPr>
          <w:rFonts w:cs="Arial"/>
        </w:rPr>
        <w:t>Equates to 7,572 buy-ins per day vs. EUR 10.7 billion</w:t>
      </w:r>
    </w:p>
    <w:p w:rsidR="00325B60" w:rsidRPr="00325B60" w:rsidRDefault="00325B60" w:rsidP="00325B60">
      <w:pPr>
        <w:pStyle w:val="ListParagraph"/>
        <w:numPr>
          <w:ilvl w:val="0"/>
          <w:numId w:val="88"/>
        </w:numPr>
        <w:rPr>
          <w:rFonts w:cs="Arial"/>
        </w:rPr>
      </w:pPr>
      <w:r w:rsidRPr="00325B60">
        <w:rPr>
          <w:rFonts w:cs="Arial"/>
        </w:rPr>
        <w:lastRenderedPageBreak/>
        <w:t xml:space="preserve">Assuming November 2014 is broadly representative, the total number of buy-ins per year would equate to 1.8 million, with a total value of more than EUR 2.5 trillion.  </w:t>
      </w:r>
    </w:p>
    <w:p w:rsidR="00325B60" w:rsidRPr="00325B60" w:rsidRDefault="00325B60" w:rsidP="00325B60">
      <w:pPr>
        <w:pStyle w:val="ListParagraph"/>
        <w:numPr>
          <w:ilvl w:val="0"/>
          <w:numId w:val="88"/>
        </w:numPr>
        <w:rPr>
          <w:rFonts w:cs="Arial"/>
        </w:rPr>
      </w:pPr>
      <w:r w:rsidRPr="00325B60">
        <w:rPr>
          <w:rFonts w:cs="Arial"/>
        </w:rPr>
        <w:t>As anticipated, two ICSDs accounted for the approx 85% of the fails still pending on ISD+4</w:t>
      </w:r>
    </w:p>
    <w:p w:rsidR="00325B60" w:rsidRPr="00325B60" w:rsidRDefault="00325B60" w:rsidP="00325B60">
      <w:pPr>
        <w:pStyle w:val="ListParagraph"/>
        <w:numPr>
          <w:ilvl w:val="0"/>
          <w:numId w:val="88"/>
        </w:numPr>
        <w:rPr>
          <w:rFonts w:cs="Arial"/>
        </w:rPr>
      </w:pPr>
      <w:r w:rsidRPr="00325B60">
        <w:rPr>
          <w:rFonts w:cs="Arial"/>
        </w:rPr>
        <w:t>Remaining 9 CSDs equated to 20,000 buy-ins, with 4 markets counting more than 1,000 buy-ins (highest 7,500).</w:t>
      </w:r>
    </w:p>
    <w:p w:rsidR="00171D78" w:rsidRPr="00EB2542" w:rsidRDefault="00171D78" w:rsidP="00EB2542">
      <w:pPr>
        <w:rPr>
          <w:rFonts w:cs="Arial"/>
          <w:bCs/>
          <w:i/>
          <w:color w:val="00B0F0"/>
        </w:rPr>
      </w:pPr>
    </w:p>
    <w:permEnd w:id="10"/>
    <w:p w:rsidR="00D12AFD" w:rsidRDefault="00D12AFD" w:rsidP="00D12AFD">
      <w:r>
        <w:t>&lt;ESMA_QUESTION_TS_CSDR_8&gt;</w:t>
      </w:r>
    </w:p>
    <w:p w:rsidR="00D12AFD" w:rsidRPr="002C4F00" w:rsidRDefault="00D12AFD" w:rsidP="00965B03">
      <w:pPr>
        <w:pStyle w:val="Heading5"/>
        <w:ind w:left="567" w:hanging="567"/>
      </w:pPr>
      <w:r w:rsidRPr="002C4F00">
        <w:t>What are your views on the proposed draft RTS related to the type of operations and their timeframe that render buy-in ineffective?</w:t>
      </w:r>
    </w:p>
    <w:p w:rsidR="00D12AFD" w:rsidRDefault="00D12AFD" w:rsidP="00D12AFD"/>
    <w:p w:rsidR="00D12AFD" w:rsidRDefault="00D12AFD" w:rsidP="00D12AFD">
      <w:r>
        <w:t>&lt;ESMA_QUESTION_TS_CSDR_9&gt;</w:t>
      </w:r>
    </w:p>
    <w:p w:rsidR="007922D4" w:rsidRPr="007922D4" w:rsidRDefault="007922D4" w:rsidP="007922D4">
      <w:pPr>
        <w:rPr>
          <w:rFonts w:cs="Arial"/>
          <w:b/>
          <w:bCs/>
          <w:u w:val="single"/>
        </w:rPr>
      </w:pPr>
      <w:permStart w:id="11" w:edGrp="everyone"/>
    </w:p>
    <w:p w:rsidR="00810A47" w:rsidRPr="00F45130" w:rsidRDefault="00810A47" w:rsidP="00FB266C">
      <w:pPr>
        <w:pStyle w:val="ListParagraph"/>
        <w:numPr>
          <w:ilvl w:val="0"/>
          <w:numId w:val="60"/>
        </w:numPr>
        <w:ind w:left="360"/>
        <w:rPr>
          <w:rFonts w:cs="Arial"/>
          <w:b/>
          <w:bCs/>
          <w:u w:val="single"/>
        </w:rPr>
      </w:pPr>
      <w:r w:rsidRPr="00F45130">
        <w:rPr>
          <w:rFonts w:cs="Arial"/>
          <w:b/>
          <w:bCs/>
          <w:u w:val="single"/>
        </w:rPr>
        <w:t>In circumstances where a buy-in is ineffective</w:t>
      </w:r>
    </w:p>
    <w:p w:rsidR="00810A47" w:rsidRDefault="00810A47" w:rsidP="003D466C">
      <w:pPr>
        <w:rPr>
          <w:rFonts w:cs="Arial"/>
          <w:bCs/>
        </w:rPr>
      </w:pPr>
      <w:r w:rsidRPr="00F45130">
        <w:rPr>
          <w:rFonts w:cs="Arial"/>
          <w:bCs/>
        </w:rPr>
        <w:t>AFME agrees with ESMA that there are circumstances where buy-ins are impossible or ineffe</w:t>
      </w:r>
      <w:r w:rsidRPr="00F45130">
        <w:rPr>
          <w:rFonts w:cs="Arial"/>
          <w:bCs/>
        </w:rPr>
        <w:t>c</w:t>
      </w:r>
      <w:r w:rsidRPr="00F45130">
        <w:rPr>
          <w:rFonts w:cs="Arial"/>
          <w:bCs/>
        </w:rPr>
        <w:t xml:space="preserve">tive and that these individual cases need to be considered as out of scope. We understand ineffective to mean that although it is possible to execute a buy-in, the buy-in would serve no economic purpose to either party. </w:t>
      </w:r>
    </w:p>
    <w:p w:rsidR="007922D4" w:rsidRPr="00F45130" w:rsidRDefault="007922D4" w:rsidP="003D466C">
      <w:pPr>
        <w:rPr>
          <w:rFonts w:cs="Arial"/>
          <w:bCs/>
        </w:rPr>
      </w:pPr>
    </w:p>
    <w:p w:rsidR="00810A47" w:rsidRPr="00F45130" w:rsidRDefault="00810A47" w:rsidP="003D466C">
      <w:pPr>
        <w:rPr>
          <w:rFonts w:cs="Arial"/>
          <w:bCs/>
        </w:rPr>
      </w:pPr>
      <w:r w:rsidRPr="00F45130">
        <w:rPr>
          <w:rFonts w:cs="Arial"/>
          <w:bCs/>
        </w:rPr>
        <w:t>However, the circumstances are more broad than the case of short-term financing transactions, mentioned in art 7.4 (b) of CSDR. As stated in our response to question 7, there are numerous cases where a settlement does not represent an underlying contractual agreement between a buyer and a seller to satisfy a purchase against an agreed price, and where a buy-in, though technically possible would not serve any economic purposes</w:t>
      </w:r>
      <w:r w:rsidRPr="00F45130">
        <w:rPr>
          <w:rFonts w:cs="Arial"/>
          <w:bCs/>
        </w:rPr>
        <w:br/>
      </w:r>
    </w:p>
    <w:p w:rsidR="00810A47" w:rsidRPr="00F45130" w:rsidRDefault="00810A47" w:rsidP="003D466C">
      <w:pPr>
        <w:rPr>
          <w:rFonts w:cs="Arial"/>
          <w:b/>
          <w:bCs/>
          <w:u w:val="single"/>
        </w:rPr>
      </w:pPr>
      <w:r w:rsidRPr="00F45130">
        <w:rPr>
          <w:rFonts w:cs="Arial"/>
          <w:b/>
          <w:bCs/>
          <w:u w:val="single"/>
        </w:rPr>
        <w:t>Alternative proposal</w:t>
      </w:r>
    </w:p>
    <w:p w:rsidR="00810A47" w:rsidRPr="00F45130" w:rsidRDefault="00810A47" w:rsidP="003D466C">
      <w:pPr>
        <w:rPr>
          <w:rFonts w:cs="Arial"/>
          <w:bCs/>
        </w:rPr>
      </w:pPr>
      <w:r w:rsidRPr="00F45130">
        <w:rPr>
          <w:rFonts w:cs="Arial"/>
          <w:bCs/>
        </w:rPr>
        <w:t>To ensure adequate control and reporting of such exemptions, the list of transaction types listed under the ITS on CSD record keeping (Table 1) can be further enhanced, using available sta</w:t>
      </w:r>
      <w:r w:rsidRPr="00F45130">
        <w:rPr>
          <w:rFonts w:cs="Arial"/>
          <w:bCs/>
        </w:rPr>
        <w:t>n</w:t>
      </w:r>
      <w:r w:rsidRPr="00F45130">
        <w:rPr>
          <w:rFonts w:cs="Arial"/>
          <w:bCs/>
        </w:rPr>
        <w:t>dard ISO codes to be mapped to such circumstances (see above for some suggestions)</w:t>
      </w:r>
    </w:p>
    <w:p w:rsidR="00810A47" w:rsidRPr="00F45130" w:rsidRDefault="00810A47" w:rsidP="003D466C">
      <w:pPr>
        <w:rPr>
          <w:rFonts w:cs="Arial"/>
          <w:bCs/>
        </w:rPr>
      </w:pPr>
      <w:r w:rsidRPr="00F45130">
        <w:rPr>
          <w:rFonts w:cs="Arial"/>
          <w:bCs/>
        </w:rPr>
        <w:t>AFME would suggest that ESMA includes these additional circumstances in art 11 of the RTS as part of its remit under art 7.15 (e) CSDR Level 1 in a non-exhaustive list to be added to RTS art 11, so as to exclude them from the application scope of buy-ins, or otherwise specify that the following types of transfers do not constitute a “transaction” for the purpose of Article 5(1) CSDR, and therefore are not in scope of the mandatory buy-in regime under Article 7(3):</w:t>
      </w:r>
    </w:p>
    <w:p w:rsidR="00810A47" w:rsidRPr="00F45130" w:rsidRDefault="00810A47" w:rsidP="00FB266C">
      <w:pPr>
        <w:pStyle w:val="ListParagraph"/>
        <w:numPr>
          <w:ilvl w:val="0"/>
          <w:numId w:val="61"/>
        </w:numPr>
        <w:rPr>
          <w:rFonts w:cs="Arial"/>
          <w:bCs/>
        </w:rPr>
      </w:pPr>
      <w:r w:rsidRPr="00F45130">
        <w:rPr>
          <w:rFonts w:cs="Arial"/>
          <w:bCs/>
        </w:rPr>
        <w:t>Portfolio transfers between accounts of the same client at different custodians (ISO code: PORT).</w:t>
      </w:r>
    </w:p>
    <w:p w:rsidR="00810A47" w:rsidRPr="00F45130" w:rsidRDefault="00810A47" w:rsidP="00810A47">
      <w:pPr>
        <w:pStyle w:val="ListParagraph"/>
        <w:numPr>
          <w:ilvl w:val="0"/>
          <w:numId w:val="36"/>
        </w:numPr>
        <w:contextualSpacing w:val="0"/>
        <w:rPr>
          <w:rFonts w:cs="Arial"/>
          <w:bCs/>
        </w:rPr>
      </w:pPr>
      <w:r w:rsidRPr="00F45130">
        <w:rPr>
          <w:rFonts w:cs="Arial"/>
          <w:bCs/>
        </w:rPr>
        <w:t>Realignment of assets between securities accounts held at the same CSD or different CSD’s (depot transfers) (ISO code OWNE/OWNI)</w:t>
      </w:r>
    </w:p>
    <w:p w:rsidR="00810A47" w:rsidRPr="00F45130" w:rsidRDefault="00810A47" w:rsidP="00810A47">
      <w:pPr>
        <w:pStyle w:val="ListParagraph"/>
        <w:numPr>
          <w:ilvl w:val="0"/>
          <w:numId w:val="36"/>
        </w:numPr>
        <w:contextualSpacing w:val="0"/>
        <w:rPr>
          <w:rFonts w:cs="Arial"/>
          <w:bCs/>
        </w:rPr>
      </w:pPr>
      <w:r w:rsidRPr="00F45130">
        <w:rPr>
          <w:rFonts w:cs="Arial"/>
          <w:bCs/>
        </w:rPr>
        <w:t>Allocation of assets across different funds, or in different tax pooling accounts.</w:t>
      </w:r>
    </w:p>
    <w:p w:rsidR="00810A47" w:rsidRPr="00F45130" w:rsidRDefault="00810A47" w:rsidP="00810A47">
      <w:pPr>
        <w:pStyle w:val="ListParagraph"/>
        <w:numPr>
          <w:ilvl w:val="0"/>
          <w:numId w:val="36"/>
        </w:numPr>
        <w:contextualSpacing w:val="0"/>
        <w:rPr>
          <w:rFonts w:cs="Arial"/>
          <w:bCs/>
        </w:rPr>
      </w:pPr>
      <w:r w:rsidRPr="00F45130">
        <w:rPr>
          <w:rFonts w:cs="Arial"/>
          <w:bCs/>
        </w:rPr>
        <w:t>Collateral movements and margin deliveries/reimbursements (ISO Code COLI/COLO/CNCB/AUTO).</w:t>
      </w:r>
    </w:p>
    <w:p w:rsidR="00810A47" w:rsidRPr="00F45130" w:rsidRDefault="00810A47" w:rsidP="00810A47">
      <w:pPr>
        <w:pStyle w:val="ListParagraph"/>
        <w:numPr>
          <w:ilvl w:val="0"/>
          <w:numId w:val="36"/>
        </w:numPr>
        <w:contextualSpacing w:val="0"/>
        <w:rPr>
          <w:rFonts w:cs="Arial"/>
          <w:bCs/>
          <w:lang w:val="fr-FR"/>
        </w:rPr>
      </w:pPr>
      <w:r w:rsidRPr="00F45130">
        <w:rPr>
          <w:rFonts w:cs="Arial"/>
          <w:bCs/>
        </w:rPr>
        <w:t xml:space="preserve">Settlement as a result of a corporate action etc. </w:t>
      </w:r>
      <w:r w:rsidRPr="00F45130">
        <w:rPr>
          <w:rFonts w:cs="Arial"/>
          <w:bCs/>
          <w:lang w:val="fr-FR"/>
        </w:rPr>
        <w:t>(ISO code: CORP, CONV, CLAI, PLAC etc)</w:t>
      </w:r>
    </w:p>
    <w:p w:rsidR="00810A47" w:rsidRPr="004C55F8" w:rsidRDefault="00810A47" w:rsidP="00810A47">
      <w:pPr>
        <w:pStyle w:val="ListParagraph"/>
        <w:numPr>
          <w:ilvl w:val="0"/>
          <w:numId w:val="36"/>
        </w:numPr>
        <w:rPr>
          <w:rFonts w:cs="Arial"/>
          <w:bCs/>
        </w:rPr>
      </w:pPr>
      <w:r w:rsidRPr="004C55F8">
        <w:rPr>
          <w:rFonts w:cs="Arial"/>
          <w:bCs/>
        </w:rPr>
        <w:t>For Mandatory Cor</w:t>
      </w:r>
      <w:r w:rsidR="004C55F8">
        <w:rPr>
          <w:rFonts w:cs="Arial"/>
          <w:bCs/>
        </w:rPr>
        <w:t>porate Actions with Options (ISO</w:t>
      </w:r>
      <w:r w:rsidR="00F65B40">
        <w:rPr>
          <w:rFonts w:cs="Arial"/>
          <w:bCs/>
        </w:rPr>
        <w:t xml:space="preserve"> </w:t>
      </w:r>
      <w:proofErr w:type="spellStart"/>
      <w:r w:rsidR="00F65B40">
        <w:rPr>
          <w:rFonts w:cs="Arial"/>
          <w:bCs/>
        </w:rPr>
        <w:t>code</w:t>
      </w:r>
      <w:proofErr w:type="gramStart"/>
      <w:r w:rsidR="00F65B40">
        <w:rPr>
          <w:rFonts w:cs="Arial"/>
          <w:bCs/>
        </w:rPr>
        <w:t>:</w:t>
      </w:r>
      <w:r w:rsidRPr="004C55F8">
        <w:rPr>
          <w:rFonts w:cs="Arial"/>
          <w:bCs/>
        </w:rPr>
        <w:t>CHOS</w:t>
      </w:r>
      <w:proofErr w:type="spellEnd"/>
      <w:proofErr w:type="gramEnd"/>
      <w:r w:rsidRPr="004C55F8">
        <w:rPr>
          <w:rFonts w:cs="Arial"/>
          <w:bCs/>
        </w:rPr>
        <w:t xml:space="preserve">) no buy-in should be </w:t>
      </w:r>
      <w:r w:rsidR="004C55F8" w:rsidRPr="004C55F8">
        <w:rPr>
          <w:rFonts w:cs="Arial"/>
          <w:bCs/>
        </w:rPr>
        <w:t>in</w:t>
      </w:r>
      <w:r w:rsidR="004C55F8" w:rsidRPr="004C55F8">
        <w:rPr>
          <w:rFonts w:cs="Arial"/>
          <w:bCs/>
        </w:rPr>
        <w:t>i</w:t>
      </w:r>
      <w:r w:rsidR="004C55F8" w:rsidRPr="004C55F8">
        <w:rPr>
          <w:rFonts w:cs="Arial"/>
          <w:bCs/>
        </w:rPr>
        <w:t>tiated</w:t>
      </w:r>
      <w:r w:rsidRPr="004C55F8">
        <w:rPr>
          <w:rFonts w:cs="Arial"/>
          <w:bCs/>
        </w:rPr>
        <w:t>, as the underlying security has a limited existence period and buyer protection would ensure that the buyer’s rights can be executed.</w:t>
      </w:r>
    </w:p>
    <w:p w:rsidR="00810A47" w:rsidRDefault="00810A47" w:rsidP="003D466C">
      <w:pPr>
        <w:pStyle w:val="ListParagraph"/>
        <w:numPr>
          <w:ilvl w:val="0"/>
          <w:numId w:val="36"/>
        </w:numPr>
        <w:contextualSpacing w:val="0"/>
        <w:rPr>
          <w:rFonts w:cs="Arial"/>
          <w:bCs/>
        </w:rPr>
      </w:pPr>
      <w:r w:rsidRPr="00F65B40">
        <w:rPr>
          <w:rFonts w:cs="Arial"/>
          <w:bCs/>
        </w:rPr>
        <w:t>In the event of a Voluntary Corporate Acti</w:t>
      </w:r>
      <w:r w:rsidR="004C55F8" w:rsidRPr="00F65B40">
        <w:rPr>
          <w:rFonts w:cs="Arial"/>
          <w:bCs/>
        </w:rPr>
        <w:t>ons (ISO</w:t>
      </w:r>
      <w:r w:rsidRPr="00F65B40">
        <w:rPr>
          <w:rFonts w:cs="Arial"/>
          <w:bCs/>
        </w:rPr>
        <w:t xml:space="preserve"> </w:t>
      </w:r>
      <w:r w:rsidR="004C55F8" w:rsidRPr="00F65B40">
        <w:rPr>
          <w:rFonts w:cs="Arial"/>
          <w:bCs/>
        </w:rPr>
        <w:t>Code:</w:t>
      </w:r>
      <w:r w:rsidRPr="00F65B40">
        <w:rPr>
          <w:rFonts w:cs="Arial"/>
          <w:bCs/>
        </w:rPr>
        <w:t xml:space="preserve"> VOLU) no buy-in should be executed. Here the concept of Buyer-Protection would ensure that the buyer receives the anticipated outcome</w:t>
      </w:r>
    </w:p>
    <w:p w:rsidR="00F65B40" w:rsidRPr="00F65B40" w:rsidRDefault="00F65B40" w:rsidP="00F65B40">
      <w:pPr>
        <w:pStyle w:val="ListParagraph"/>
        <w:contextualSpacing w:val="0"/>
        <w:rPr>
          <w:rFonts w:cs="Arial"/>
          <w:bCs/>
        </w:rPr>
      </w:pPr>
    </w:p>
    <w:p w:rsidR="00810A47" w:rsidRPr="00F45130" w:rsidRDefault="00810A47" w:rsidP="00FB266C">
      <w:pPr>
        <w:pStyle w:val="ListParagraph"/>
        <w:numPr>
          <w:ilvl w:val="0"/>
          <w:numId w:val="62"/>
        </w:numPr>
        <w:rPr>
          <w:rFonts w:cs="Arial"/>
          <w:b/>
          <w:bCs/>
          <w:vanish/>
          <w:u w:val="single"/>
        </w:rPr>
      </w:pPr>
    </w:p>
    <w:p w:rsidR="00810A47" w:rsidRPr="00F45130" w:rsidRDefault="00810A47" w:rsidP="00FB266C">
      <w:pPr>
        <w:pStyle w:val="ListParagraph"/>
        <w:numPr>
          <w:ilvl w:val="0"/>
          <w:numId w:val="62"/>
        </w:numPr>
        <w:rPr>
          <w:rFonts w:cs="Arial"/>
          <w:bCs/>
        </w:rPr>
      </w:pPr>
      <w:r w:rsidRPr="00F45130">
        <w:rPr>
          <w:rFonts w:cs="Arial"/>
          <w:b/>
          <w:bCs/>
          <w:u w:val="single"/>
        </w:rPr>
        <w:t xml:space="preserve">On the exemption for short-term Securities Financing Transactions (SFT) </w:t>
      </w:r>
    </w:p>
    <w:p w:rsidR="00C65CF2" w:rsidRDefault="00810A47" w:rsidP="003D466C">
      <w:pPr>
        <w:rPr>
          <w:rFonts w:cs="Arial"/>
          <w:bCs/>
        </w:rPr>
      </w:pPr>
      <w:r w:rsidRPr="00F45130">
        <w:rPr>
          <w:rFonts w:cs="Arial"/>
          <w:bCs/>
        </w:rPr>
        <w:t>AFME and its members believe that the current exemption for short-term financing transactions as contained in art 7.4(b) is highly inflexible, and will lead to a severe distortion of bond markets (whether cash, lending or repo).</w:t>
      </w:r>
    </w:p>
    <w:p w:rsidR="00810A47" w:rsidRPr="00F45130" w:rsidRDefault="00810A47" w:rsidP="003D466C">
      <w:pPr>
        <w:rPr>
          <w:rFonts w:cs="Arial"/>
          <w:bCs/>
        </w:rPr>
      </w:pPr>
      <w:r w:rsidRPr="00F45130">
        <w:rPr>
          <w:rFonts w:cs="Arial"/>
          <w:bCs/>
        </w:rPr>
        <w:t xml:space="preserve"> </w:t>
      </w:r>
    </w:p>
    <w:p w:rsidR="00810A47" w:rsidRDefault="00810A47" w:rsidP="003D466C">
      <w:pPr>
        <w:rPr>
          <w:rFonts w:cs="Arial"/>
          <w:bCs/>
        </w:rPr>
      </w:pPr>
      <w:r w:rsidRPr="00F45130">
        <w:rPr>
          <w:rFonts w:cs="Arial"/>
          <w:bCs/>
        </w:rPr>
        <w:t xml:space="preserve">Mandatory buy-ins will substantially increase the costs of market makers and investors active in institutional lending and repo </w:t>
      </w:r>
      <w:r w:rsidR="00C65CF2" w:rsidRPr="00F45130">
        <w:rPr>
          <w:rFonts w:cs="Arial"/>
          <w:bCs/>
        </w:rPr>
        <w:t>markets</w:t>
      </w:r>
      <w:r w:rsidRPr="00F45130">
        <w:rPr>
          <w:rFonts w:cs="Arial"/>
          <w:bCs/>
        </w:rPr>
        <w:t xml:space="preserve"> reduce market liquidity and supply of inventory for lending (which in turn will also impact the ability to cure fails).</w:t>
      </w:r>
    </w:p>
    <w:p w:rsidR="00C65CF2" w:rsidRPr="00F45130" w:rsidRDefault="00C65CF2" w:rsidP="003D466C">
      <w:pPr>
        <w:rPr>
          <w:rFonts w:cs="Arial"/>
          <w:bCs/>
        </w:rPr>
      </w:pPr>
    </w:p>
    <w:p w:rsidR="00810A47" w:rsidRPr="00F45130" w:rsidRDefault="00810A47" w:rsidP="003D466C">
      <w:pPr>
        <w:rPr>
          <w:rFonts w:cs="Arial"/>
          <w:bCs/>
        </w:rPr>
      </w:pPr>
      <w:r w:rsidRPr="00F45130">
        <w:rPr>
          <w:rFonts w:cs="Arial"/>
          <w:bCs/>
        </w:rPr>
        <w:t>From the perspective of a lender or SFT intermediary, the potential cost of a buy-in, even if afforded very low probability, will far outweigh any potential income from engaging in SFT acti</w:t>
      </w:r>
      <w:r w:rsidRPr="00F45130">
        <w:rPr>
          <w:rFonts w:cs="Arial"/>
          <w:bCs/>
        </w:rPr>
        <w:t>v</w:t>
      </w:r>
      <w:r w:rsidRPr="00F45130">
        <w:rPr>
          <w:rFonts w:cs="Arial"/>
          <w:bCs/>
        </w:rPr>
        <w:t>ity.</w:t>
      </w:r>
    </w:p>
    <w:p w:rsidR="00810A47" w:rsidRDefault="00810A47" w:rsidP="003D466C">
      <w:pPr>
        <w:rPr>
          <w:rFonts w:cs="Arial"/>
          <w:bCs/>
        </w:rPr>
      </w:pPr>
      <w:r w:rsidRPr="00F45130">
        <w:rPr>
          <w:rFonts w:cs="Arial"/>
          <w:bCs/>
        </w:rPr>
        <w:t xml:space="preserve"> </w:t>
      </w:r>
      <w:r w:rsidRPr="00F45130">
        <w:rPr>
          <w:rFonts w:cs="Arial"/>
          <w:bCs/>
        </w:rPr>
        <w:br/>
        <w:t xml:space="preserve">These </w:t>
      </w:r>
      <w:r w:rsidR="00C65CF2" w:rsidRPr="00F45130">
        <w:rPr>
          <w:rFonts w:cs="Arial"/>
          <w:bCs/>
        </w:rPr>
        <w:t>markets play</w:t>
      </w:r>
      <w:r w:rsidRPr="00F45130">
        <w:rPr>
          <w:rFonts w:cs="Arial"/>
          <w:bCs/>
        </w:rPr>
        <w:t xml:space="preserve"> a vital role in supplying market liquidity and supplying settlement efficiency. They are low margin, and therefore extremely sensitive to cost increases (which buy-ins will impose). </w:t>
      </w:r>
    </w:p>
    <w:p w:rsidR="00C65CF2" w:rsidRPr="00F45130" w:rsidRDefault="00C65CF2" w:rsidP="003D466C">
      <w:pPr>
        <w:rPr>
          <w:rFonts w:cs="Arial"/>
          <w:bCs/>
        </w:rPr>
      </w:pPr>
    </w:p>
    <w:p w:rsidR="00810A47" w:rsidRPr="00F45130" w:rsidRDefault="00810A47" w:rsidP="003D466C">
      <w:pPr>
        <w:rPr>
          <w:rFonts w:cs="Arial"/>
          <w:bCs/>
        </w:rPr>
      </w:pPr>
      <w:r w:rsidRPr="00F45130">
        <w:rPr>
          <w:rFonts w:cs="Arial"/>
          <w:bCs/>
        </w:rPr>
        <w:t xml:space="preserve">In this respect, we support the positions and arguments made in the ICMA </w:t>
      </w:r>
      <w:r w:rsidR="00C65CF2">
        <w:rPr>
          <w:rFonts w:cs="Arial"/>
          <w:bCs/>
        </w:rPr>
        <w:t>submission</w:t>
      </w:r>
      <w:r w:rsidRPr="00F45130">
        <w:rPr>
          <w:rFonts w:cs="Arial"/>
          <w:bCs/>
        </w:rPr>
        <w:t>. Without repeating them, in our view the major impacts are:</w:t>
      </w:r>
    </w:p>
    <w:p w:rsidR="00810A47" w:rsidRPr="00F45130" w:rsidRDefault="00810A47" w:rsidP="00FB266C">
      <w:pPr>
        <w:pStyle w:val="ListParagraph"/>
        <w:numPr>
          <w:ilvl w:val="0"/>
          <w:numId w:val="63"/>
        </w:numPr>
        <w:rPr>
          <w:rFonts w:cs="Arial"/>
          <w:bCs/>
        </w:rPr>
      </w:pPr>
      <w:r w:rsidRPr="00F45130">
        <w:rPr>
          <w:rFonts w:cs="Arial"/>
          <w:bCs/>
        </w:rPr>
        <w:t>An overall reduction in trading and liquidity in bond markets, especially in less liquid i</w:t>
      </w:r>
      <w:r w:rsidRPr="00F45130">
        <w:rPr>
          <w:rFonts w:cs="Arial"/>
          <w:bCs/>
        </w:rPr>
        <w:t>n</w:t>
      </w:r>
      <w:r w:rsidRPr="00F45130">
        <w:rPr>
          <w:rFonts w:cs="Arial"/>
          <w:bCs/>
        </w:rPr>
        <w:t xml:space="preserve">struments and long dated financing transactions, as lenders and market makers may withdraw wholly or partially from transactions which have a higher risk of buy-ins. </w:t>
      </w:r>
    </w:p>
    <w:p w:rsidR="00810A47" w:rsidRPr="00F45130" w:rsidRDefault="00810A47" w:rsidP="00FB266C">
      <w:pPr>
        <w:pStyle w:val="ListParagraph"/>
        <w:numPr>
          <w:ilvl w:val="0"/>
          <w:numId w:val="63"/>
        </w:numPr>
        <w:rPr>
          <w:rFonts w:cs="Arial"/>
          <w:bCs/>
        </w:rPr>
      </w:pPr>
      <w:r w:rsidRPr="00F45130">
        <w:rPr>
          <w:rFonts w:cs="Arial"/>
          <w:bCs/>
        </w:rPr>
        <w:t>A substantial increase in bid-offer spreads, to cover the potential costs of buy-ins for i</w:t>
      </w:r>
      <w:r w:rsidRPr="00F45130">
        <w:rPr>
          <w:rFonts w:cs="Arial"/>
          <w:bCs/>
        </w:rPr>
        <w:t>n</w:t>
      </w:r>
      <w:r w:rsidRPr="00F45130">
        <w:rPr>
          <w:rFonts w:cs="Arial"/>
          <w:bCs/>
        </w:rPr>
        <w:t>termediaries making markets. This will impact investors as well. Please refer to the ICMA market survey for quantification of impacts.</w:t>
      </w:r>
    </w:p>
    <w:p w:rsidR="00810A47" w:rsidRPr="00F45130" w:rsidRDefault="00810A47" w:rsidP="00FB266C">
      <w:pPr>
        <w:pStyle w:val="ListParagraph"/>
        <w:numPr>
          <w:ilvl w:val="0"/>
          <w:numId w:val="63"/>
        </w:numPr>
        <w:rPr>
          <w:rFonts w:cs="Arial"/>
        </w:rPr>
      </w:pPr>
      <w:r w:rsidRPr="00F45130">
        <w:rPr>
          <w:rFonts w:cs="Arial"/>
          <w:bCs/>
        </w:rPr>
        <w:t>The creation of a two tier/financing market, where participants will be driven to short-dated financing as a result of the exemption. This also seems to contradict the efforts of the Basel III Net Stable Funding Ratio, which seeks to reduce financial institutions’ rel</w:t>
      </w:r>
      <w:r w:rsidRPr="00F45130">
        <w:rPr>
          <w:rFonts w:cs="Arial"/>
          <w:bCs/>
        </w:rPr>
        <w:t>i</w:t>
      </w:r>
      <w:r w:rsidRPr="00F45130">
        <w:rPr>
          <w:rFonts w:cs="Arial"/>
          <w:bCs/>
        </w:rPr>
        <w:t>ance on short-term funding and to encourage the use of longer term sources of finance (such as term repos).</w:t>
      </w:r>
      <w:r w:rsidRPr="00F45130">
        <w:rPr>
          <w:rFonts w:cs="Arial"/>
        </w:rPr>
        <w:t xml:space="preserve">  </w:t>
      </w:r>
    </w:p>
    <w:p w:rsidR="00C65CF2" w:rsidRPr="00C65CF2" w:rsidRDefault="00810A47" w:rsidP="00FB266C">
      <w:pPr>
        <w:pStyle w:val="ListParagraph"/>
        <w:numPr>
          <w:ilvl w:val="0"/>
          <w:numId w:val="63"/>
        </w:numPr>
        <w:rPr>
          <w:rFonts w:cs="Arial"/>
          <w:bCs/>
        </w:rPr>
      </w:pPr>
      <w:r w:rsidRPr="00F45130">
        <w:rPr>
          <w:rFonts w:cs="Arial"/>
          <w:bCs/>
        </w:rPr>
        <w:t xml:space="preserve">The negative impact on cash markets, and discrepancies between related financing and cash transactions as a result of the exemption for short-term financing transactions. Cash bond markets and securities financing markets are very much interlinked, and any –even partial- exemption on SFT’s side which does not have an equivalent on the cash side, will lead to serious distortions. </w:t>
      </w:r>
      <w:r w:rsidRPr="00F45130">
        <w:rPr>
          <w:rFonts w:cs="Arial"/>
          <w:bCs/>
        </w:rPr>
        <w:br/>
      </w:r>
    </w:p>
    <w:tbl>
      <w:tblPr>
        <w:tblStyle w:val="TableGrid"/>
        <w:tblW w:w="0" w:type="auto"/>
        <w:tblInd w:w="720" w:type="dxa"/>
        <w:tblLook w:val="04A0"/>
      </w:tblPr>
      <w:tblGrid>
        <w:gridCol w:w="8908"/>
      </w:tblGrid>
      <w:tr w:rsidR="00C65CF2" w:rsidTr="00C65CF2">
        <w:tc>
          <w:tcPr>
            <w:tcW w:w="9628" w:type="dxa"/>
          </w:tcPr>
          <w:p w:rsidR="00C65CF2" w:rsidRDefault="00C65CF2" w:rsidP="00C65CF2">
            <w:pPr>
              <w:pStyle w:val="ListParagraph"/>
              <w:ind w:left="0"/>
              <w:rPr>
                <w:rFonts w:cs="Arial"/>
                <w:bCs/>
                <w:u w:val="single"/>
              </w:rPr>
            </w:pPr>
            <w:r w:rsidRPr="00C65CF2">
              <w:rPr>
                <w:rFonts w:cs="Arial"/>
                <w:bCs/>
                <w:u w:val="single"/>
              </w:rPr>
              <w:t>Example:</w:t>
            </w:r>
          </w:p>
          <w:p w:rsidR="00C65CF2" w:rsidRPr="00F45130" w:rsidRDefault="00C65CF2" w:rsidP="00C65CF2">
            <w:pPr>
              <w:pStyle w:val="ListParagraph"/>
              <w:rPr>
                <w:rFonts w:cs="Arial"/>
                <w:bCs/>
              </w:rPr>
            </w:pPr>
            <w:r w:rsidRPr="00F45130">
              <w:rPr>
                <w:rFonts w:cs="Arial"/>
                <w:bCs/>
              </w:rPr>
              <w:t>- B is a market maker in bonds, offering two way prices. He has limited inventory, but cannot predict whether clients buy or sell beforehand, and counts on his abi</w:t>
            </w:r>
            <w:r w:rsidRPr="00F45130">
              <w:rPr>
                <w:rFonts w:cs="Arial"/>
                <w:bCs/>
              </w:rPr>
              <w:t>l</w:t>
            </w:r>
            <w:r w:rsidRPr="00F45130">
              <w:rPr>
                <w:rFonts w:cs="Arial"/>
                <w:bCs/>
              </w:rPr>
              <w:t>ity to source securities in the SFT markets.</w:t>
            </w:r>
            <w:r w:rsidRPr="00F45130">
              <w:rPr>
                <w:rFonts w:cs="Arial"/>
                <w:bCs/>
              </w:rPr>
              <w:br/>
              <w:t>- Client C buys a substantial quantity of bonds from B (cash transaction)</w:t>
            </w:r>
            <w:r w:rsidRPr="00F45130">
              <w:rPr>
                <w:rFonts w:cs="Arial"/>
                <w:bCs/>
              </w:rPr>
              <w:br/>
              <w:t>- B has insufficient inventory and sources the bonds through a short-term repo or stock loan from another counterparty A</w:t>
            </w:r>
            <w:r w:rsidRPr="00F45130">
              <w:rPr>
                <w:rFonts w:cs="Arial"/>
                <w:bCs/>
              </w:rPr>
              <w:br/>
              <w:t>-  A fails to deliver the bonds to B, as a result of which B cannot deliver to C</w:t>
            </w:r>
            <w:r w:rsidRPr="00F45130">
              <w:rPr>
                <w:rFonts w:cs="Arial"/>
                <w:bCs/>
              </w:rPr>
              <w:br/>
              <w:t>-  If B cannot find the bonds elsewhere, C will buy in B after 4(7) days</w:t>
            </w:r>
            <w:r w:rsidRPr="00F45130">
              <w:rPr>
                <w:rFonts w:cs="Arial"/>
                <w:bCs/>
              </w:rPr>
              <w:br/>
              <w:t>- B cannot buy in A, as the short-term repo between A and B benefits from the exemption under CSDR</w:t>
            </w:r>
            <w:r w:rsidRPr="00F45130">
              <w:rPr>
                <w:rFonts w:cs="Arial"/>
                <w:bCs/>
              </w:rPr>
              <w:br/>
              <w:t xml:space="preserve">- B suffers a substantial loss as a result of the buy-in, even though he was not the cause of the fail Going forward, B will either widen bid offers spread substantially or even withdraw completely from making two way prices </w:t>
            </w:r>
            <w:r w:rsidRPr="00F45130">
              <w:rPr>
                <w:rFonts w:cs="Arial"/>
                <w:bCs/>
              </w:rPr>
              <w:br/>
              <w:t>It is to be noted that the above type of activity is very prevalent in bond (and e</w:t>
            </w:r>
            <w:r w:rsidRPr="00F45130">
              <w:rPr>
                <w:rFonts w:cs="Arial"/>
                <w:bCs/>
              </w:rPr>
              <w:t>q</w:t>
            </w:r>
            <w:r w:rsidRPr="00F45130">
              <w:rPr>
                <w:rFonts w:cs="Arial"/>
                <w:bCs/>
              </w:rPr>
              <w:lastRenderedPageBreak/>
              <w:t>uity) markets</w:t>
            </w:r>
          </w:p>
          <w:p w:rsidR="00C65CF2" w:rsidRPr="00C65CF2" w:rsidRDefault="00C65CF2" w:rsidP="00C65CF2">
            <w:pPr>
              <w:pStyle w:val="ListParagraph"/>
              <w:ind w:left="0"/>
              <w:rPr>
                <w:rFonts w:cs="Arial"/>
                <w:bCs/>
              </w:rPr>
            </w:pPr>
          </w:p>
        </w:tc>
      </w:tr>
    </w:tbl>
    <w:p w:rsidR="00810A47" w:rsidRPr="00F45130" w:rsidRDefault="00810A47" w:rsidP="003D466C">
      <w:pPr>
        <w:ind w:left="360"/>
        <w:rPr>
          <w:rFonts w:cs="Arial"/>
          <w:bCs/>
        </w:rPr>
      </w:pPr>
    </w:p>
    <w:p w:rsidR="00810A47" w:rsidRPr="00F45130" w:rsidRDefault="00810A47" w:rsidP="00C65CF2">
      <w:pPr>
        <w:rPr>
          <w:rFonts w:cs="Arial"/>
          <w:b/>
          <w:bCs/>
          <w:u w:val="single"/>
        </w:rPr>
      </w:pPr>
      <w:r w:rsidRPr="00F45130">
        <w:rPr>
          <w:rFonts w:cs="Arial"/>
          <w:b/>
          <w:bCs/>
          <w:u w:val="single"/>
        </w:rPr>
        <w:t>Alternative proposal</w:t>
      </w:r>
    </w:p>
    <w:p w:rsidR="00810A47" w:rsidRPr="00F45130" w:rsidRDefault="00810A47" w:rsidP="00C65CF2">
      <w:pPr>
        <w:rPr>
          <w:rFonts w:cs="Arial"/>
          <w:bCs/>
        </w:rPr>
      </w:pPr>
      <w:r w:rsidRPr="00F45130">
        <w:rPr>
          <w:rFonts w:cs="Arial"/>
          <w:bCs/>
        </w:rPr>
        <w:t>AFME advocates that the current exemption for short-term repos should be extended to cover longer dated transactions up to 30 business days. In addition, and though CSDR level 1 imposes limitations, the exemption should apply to all bond transactions, not just SFT’s to avoid the issue highlighted in the above example</w:t>
      </w:r>
    </w:p>
    <w:p w:rsidR="00810A47" w:rsidRPr="00F45130" w:rsidRDefault="00810A47" w:rsidP="003D466C">
      <w:pPr>
        <w:rPr>
          <w:rFonts w:cs="Arial"/>
          <w:u w:val="single"/>
        </w:rPr>
      </w:pPr>
    </w:p>
    <w:p w:rsidR="00810A47" w:rsidRPr="00F45130" w:rsidRDefault="00810A47" w:rsidP="00C65CF2">
      <w:pPr>
        <w:pStyle w:val="ListParagraph"/>
        <w:numPr>
          <w:ilvl w:val="0"/>
          <w:numId w:val="85"/>
        </w:numPr>
        <w:rPr>
          <w:rFonts w:cs="Arial"/>
          <w:u w:val="single"/>
        </w:rPr>
      </w:pPr>
      <w:r w:rsidRPr="00F45130">
        <w:rPr>
          <w:rFonts w:cs="Arial"/>
          <w:b/>
          <w:bCs/>
          <w:u w:val="single"/>
        </w:rPr>
        <w:t>Treatment of open ended SFT’s</w:t>
      </w:r>
    </w:p>
    <w:p w:rsidR="00810A47" w:rsidRPr="00F45130" w:rsidRDefault="00810A47" w:rsidP="003D466C">
      <w:pPr>
        <w:rPr>
          <w:rFonts w:cs="Arial"/>
          <w:bCs/>
        </w:rPr>
      </w:pPr>
      <w:r w:rsidRPr="00F45130">
        <w:rPr>
          <w:rFonts w:cs="Arial"/>
          <w:bCs/>
        </w:rPr>
        <w:t xml:space="preserve">Art 14.3 of the RTS excludes open-ended repos or stock loans. In these cases both parties have not agreed an end (return) date for the transaction, and often determine this later in the lifecycle of the trade. Until the open ended repo/loan is recalled, both parties are comfortable in extending the transaction, and do not see the need to enforce settlement. </w:t>
      </w:r>
    </w:p>
    <w:p w:rsidR="00810A47" w:rsidRPr="00F45130" w:rsidRDefault="00810A47" w:rsidP="003D466C">
      <w:pPr>
        <w:rPr>
          <w:rFonts w:cs="Arial"/>
          <w:bCs/>
        </w:rPr>
      </w:pPr>
      <w:r w:rsidRPr="00F45130">
        <w:rPr>
          <w:rFonts w:cs="Arial"/>
          <w:bCs/>
        </w:rPr>
        <w:t>As both parties can close the transaction at any time, which may be within the extension period, we advocate that the art 14.3 of the RTS deletes the phrase “</w:t>
      </w:r>
      <w:r w:rsidRPr="00F45130">
        <w:rPr>
          <w:rFonts w:cs="Arial"/>
          <w:bCs/>
          <w:i/>
        </w:rPr>
        <w:t>where no intended settlement date is set for the second transaction of the operation</w:t>
      </w:r>
      <w:r w:rsidRPr="00F45130">
        <w:rPr>
          <w:rFonts w:cs="Arial"/>
          <w:bCs/>
        </w:rPr>
        <w:t>”.</w:t>
      </w:r>
    </w:p>
    <w:p w:rsidR="00810A47" w:rsidRPr="00F45130" w:rsidRDefault="00810A47" w:rsidP="003D466C">
      <w:pPr>
        <w:rPr>
          <w:rFonts w:cs="Arial"/>
          <w:u w:val="single"/>
        </w:rPr>
      </w:pPr>
    </w:p>
    <w:p w:rsidR="00810A47" w:rsidRPr="00F45130" w:rsidRDefault="00810A47" w:rsidP="000B7A37">
      <w:pPr>
        <w:pStyle w:val="ListParagraph"/>
        <w:numPr>
          <w:ilvl w:val="0"/>
          <w:numId w:val="86"/>
        </w:numPr>
        <w:rPr>
          <w:rFonts w:cs="Arial"/>
          <w:b/>
          <w:bCs/>
          <w:u w:val="single"/>
        </w:rPr>
      </w:pPr>
      <w:r w:rsidRPr="00F45130">
        <w:rPr>
          <w:rFonts w:cs="Arial"/>
          <w:b/>
          <w:bCs/>
          <w:u w:val="single"/>
        </w:rPr>
        <w:t>Price compensation for price decrease</w:t>
      </w:r>
      <w:r w:rsidRPr="00F45130">
        <w:rPr>
          <w:rFonts w:cs="Arial"/>
          <w:b/>
          <w:bCs/>
          <w:u w:val="single"/>
        </w:rPr>
        <w:br/>
      </w:r>
      <w:r w:rsidRPr="00F45130">
        <w:rPr>
          <w:rFonts w:cs="Arial"/>
          <w:bCs/>
        </w:rPr>
        <w:t xml:space="preserve">Art 7.6 CSDR provides that the failing participant needs to pay the receiving participant the difference between the agreed price of the shares and the buy-in execution price where the agreed price of the shares is higher than the buy-in execution price. </w:t>
      </w:r>
    </w:p>
    <w:p w:rsidR="00810A47" w:rsidRPr="00F45130" w:rsidRDefault="00810A47" w:rsidP="003D466C">
      <w:pPr>
        <w:pStyle w:val="ListParagraph"/>
        <w:ind w:left="360"/>
        <w:rPr>
          <w:rFonts w:cs="Arial"/>
          <w:b/>
          <w:bCs/>
          <w:u w:val="single"/>
        </w:rPr>
      </w:pPr>
    </w:p>
    <w:p w:rsidR="00810A47" w:rsidRPr="00F45130" w:rsidRDefault="00810A47" w:rsidP="003D466C">
      <w:pPr>
        <w:ind w:left="360"/>
        <w:rPr>
          <w:rFonts w:cs="Arial"/>
          <w:bCs/>
        </w:rPr>
      </w:pPr>
      <w:r w:rsidRPr="00F45130">
        <w:rPr>
          <w:rFonts w:cs="Arial"/>
          <w:bCs/>
        </w:rPr>
        <w:t xml:space="preserve">We note that current market practice is as follows, taking </w:t>
      </w:r>
      <w:r w:rsidR="00C65CF2" w:rsidRPr="00F45130">
        <w:rPr>
          <w:rFonts w:cs="Arial"/>
          <w:bCs/>
        </w:rPr>
        <w:t>simple</w:t>
      </w:r>
      <w:r w:rsidRPr="00F45130">
        <w:rPr>
          <w:rFonts w:cs="Arial"/>
          <w:bCs/>
        </w:rPr>
        <w:t xml:space="preserve"> cash trade as an example: </w:t>
      </w:r>
    </w:p>
    <w:p w:rsidR="00810A47" w:rsidRPr="00F45130" w:rsidRDefault="00810A47" w:rsidP="00FB266C">
      <w:pPr>
        <w:pStyle w:val="ListParagraph"/>
        <w:numPr>
          <w:ilvl w:val="0"/>
          <w:numId w:val="78"/>
        </w:numPr>
        <w:rPr>
          <w:rFonts w:cs="Arial"/>
          <w:bCs/>
        </w:rPr>
      </w:pPr>
      <w:r w:rsidRPr="00F45130">
        <w:rPr>
          <w:rFonts w:cs="Arial"/>
          <w:bCs/>
        </w:rPr>
        <w:t>Party A agrees to sell shares to Party B for €100 but Party A fails to deliver those shares. Party B buys in equivalent shares from a third party.</w:t>
      </w:r>
    </w:p>
    <w:p w:rsidR="00810A47" w:rsidRPr="00F45130" w:rsidRDefault="00810A47" w:rsidP="00FB266C">
      <w:pPr>
        <w:pStyle w:val="ListParagraph"/>
        <w:numPr>
          <w:ilvl w:val="0"/>
          <w:numId w:val="78"/>
        </w:numPr>
        <w:rPr>
          <w:rFonts w:cs="Arial"/>
          <w:bCs/>
        </w:rPr>
      </w:pPr>
      <w:r w:rsidRPr="00F45130">
        <w:rPr>
          <w:rFonts w:cs="Arial"/>
          <w:bCs/>
        </w:rPr>
        <w:t>Since the original transaction is on a DvP basis, Party B does not pay Party A the original purchase price for the shares, as Party A never delivered the shares to Party B. The original transaction is effectively cancelled.</w:t>
      </w:r>
    </w:p>
    <w:p w:rsidR="00810A47" w:rsidRPr="00F45130" w:rsidRDefault="00810A47" w:rsidP="00FB266C">
      <w:pPr>
        <w:pStyle w:val="ListParagraph"/>
        <w:numPr>
          <w:ilvl w:val="0"/>
          <w:numId w:val="78"/>
        </w:numPr>
        <w:rPr>
          <w:rFonts w:cs="Arial"/>
          <w:bCs/>
        </w:rPr>
      </w:pPr>
      <w:r w:rsidRPr="00F45130">
        <w:rPr>
          <w:rFonts w:cs="Arial"/>
          <w:bCs/>
        </w:rPr>
        <w:t>If the buy-in execution price paid by Party B is €80 (i.e. the agreed price of the shares is higher than the buy-in execution price) under Article 7.6 CSDR, Party A as the fai</w:t>
      </w:r>
      <w:r w:rsidRPr="00F45130">
        <w:rPr>
          <w:rFonts w:cs="Arial"/>
          <w:bCs/>
        </w:rPr>
        <w:t>l</w:t>
      </w:r>
      <w:r w:rsidRPr="00F45130">
        <w:rPr>
          <w:rFonts w:cs="Arial"/>
          <w:bCs/>
        </w:rPr>
        <w:t xml:space="preserve">ing party is required to pay the difference of €20 to Party B. </w:t>
      </w:r>
      <w:r w:rsidR="006D623D">
        <w:rPr>
          <w:rFonts w:cs="Arial"/>
          <w:bCs/>
        </w:rPr>
        <w:t>The effect is</w:t>
      </w:r>
      <w:r w:rsidRPr="00F45130">
        <w:rPr>
          <w:rFonts w:cs="Arial"/>
          <w:bCs/>
        </w:rPr>
        <w:t xml:space="preserve"> that Party B </w:t>
      </w:r>
      <w:r w:rsidR="006D623D">
        <w:rPr>
          <w:rFonts w:cs="Arial"/>
          <w:bCs/>
        </w:rPr>
        <w:t>receives</w:t>
      </w:r>
      <w:r w:rsidRPr="00F45130">
        <w:rPr>
          <w:rFonts w:cs="Arial"/>
          <w:bCs/>
        </w:rPr>
        <w:t xml:space="preserve"> the benefit of the lower buy-in price twice – once because it only had to pay €80, not €100, to buy in the shares and again when Party A is required to pay the di</w:t>
      </w:r>
      <w:r w:rsidRPr="00F45130">
        <w:rPr>
          <w:rFonts w:cs="Arial"/>
          <w:bCs/>
        </w:rPr>
        <w:t>f</w:t>
      </w:r>
      <w:r w:rsidRPr="00F45130">
        <w:rPr>
          <w:rFonts w:cs="Arial"/>
          <w:bCs/>
        </w:rPr>
        <w:t>ference under Article 7.6. It is not clear to us what Article 7.6 is therefore intended to achieve. Is it intended to compensate Party B for lost opportunity cost where the ma</w:t>
      </w:r>
      <w:r w:rsidRPr="00F45130">
        <w:rPr>
          <w:rFonts w:cs="Arial"/>
          <w:bCs/>
        </w:rPr>
        <w:t>r</w:t>
      </w:r>
      <w:r w:rsidRPr="00F45130">
        <w:rPr>
          <w:rFonts w:cs="Arial"/>
          <w:bCs/>
        </w:rPr>
        <w:t>ket price of the shares has fallen between the intended settlement date and the buy-in date?</w:t>
      </w:r>
    </w:p>
    <w:p w:rsidR="00810A47" w:rsidRPr="00F45130" w:rsidRDefault="00810A47" w:rsidP="00FB266C">
      <w:pPr>
        <w:pStyle w:val="ListParagraph"/>
        <w:numPr>
          <w:ilvl w:val="0"/>
          <w:numId w:val="78"/>
        </w:numPr>
        <w:rPr>
          <w:rFonts w:cs="Arial"/>
          <w:bCs/>
        </w:rPr>
      </w:pPr>
      <w:r w:rsidRPr="00F45130">
        <w:rPr>
          <w:rFonts w:cs="Arial"/>
          <w:bCs/>
        </w:rPr>
        <w:t xml:space="preserve">On the other hand, if the buy-in execution price paid by Party B is €120, Article 7.6 CSDR does not apply. Nevertheless, Party B would look to Party A to reimburse it for the €20 difference between the buy-in price and the agreed price under the original transaction. </w:t>
      </w:r>
    </w:p>
    <w:p w:rsidR="00D12AFD" w:rsidRDefault="00810A47" w:rsidP="00D12AFD">
      <w:r w:rsidRPr="00F45130">
        <w:rPr>
          <w:rFonts w:cs="Arial"/>
          <w:bCs/>
        </w:rPr>
        <w:t xml:space="preserve">Though we are aware that this is already set in Level 1, and is only mentioned in par 103 of the RTS explanations we strongly disagree with Article 7.6 CSDR (which is also mirrored in the price compensation mechanism below), as it only favours the buyer, without being exposed if prices go up. This will create the potential for abuse of buy-ins, which the seller cannot </w:t>
      </w:r>
      <w:r w:rsidR="00652A51">
        <w:rPr>
          <w:rFonts w:cs="Arial"/>
          <w:bCs/>
        </w:rPr>
        <w:t>protect himself from</w:t>
      </w:r>
      <w:r w:rsidRPr="00F45130">
        <w:rPr>
          <w:rFonts w:cs="Arial"/>
          <w:bCs/>
        </w:rPr>
        <w:t>.</w:t>
      </w:r>
      <w:r w:rsidRPr="00F45130">
        <w:rPr>
          <w:rFonts w:cs="Arial"/>
          <w:bCs/>
        </w:rPr>
        <w:br/>
      </w:r>
      <w:permEnd w:id="11"/>
      <w:r w:rsidR="00D12AFD">
        <w:t>&lt;ESMA_QUESTION_TS_CSDR_9&gt;</w:t>
      </w:r>
    </w:p>
    <w:p w:rsidR="00D12AFD" w:rsidRPr="002C4F00" w:rsidRDefault="00D12AFD" w:rsidP="00965B03">
      <w:pPr>
        <w:pStyle w:val="Heading5"/>
        <w:ind w:left="567" w:hanging="567"/>
      </w:pPr>
      <w:r w:rsidRPr="002C4F00">
        <w:lastRenderedPageBreak/>
        <w:t>What are your views on the proposed draft RTS related to the calculation of the cash compensation?</w:t>
      </w:r>
    </w:p>
    <w:p w:rsidR="00D12AFD" w:rsidRDefault="00D12AFD" w:rsidP="00D12AFD"/>
    <w:p w:rsidR="00D12AFD" w:rsidRDefault="00D12AFD" w:rsidP="00D12AFD">
      <w:r>
        <w:t>&lt;ESMA_QUESTION_TS_CSDR_10&gt;</w:t>
      </w:r>
    </w:p>
    <w:p w:rsidR="005631D8" w:rsidRDefault="00810A47" w:rsidP="003D466C">
      <w:pPr>
        <w:rPr>
          <w:rFonts w:cs="Arial"/>
        </w:rPr>
      </w:pPr>
      <w:permStart w:id="12" w:edGrp="everyone"/>
      <w:r w:rsidRPr="00F45130">
        <w:rPr>
          <w:rFonts w:cs="Arial"/>
        </w:rPr>
        <w:t>AFME members agree with ESMA that there is a need for cash compensation in case of a failed  buy-in. AFME also agrees that participants can pre-agree on a compensation methodology, provided these are the trading partie</w:t>
      </w:r>
      <w:r w:rsidR="005631D8">
        <w:rPr>
          <w:rFonts w:cs="Arial"/>
        </w:rPr>
        <w:t>s and not the CSD participants.</w:t>
      </w:r>
    </w:p>
    <w:p w:rsidR="00810A47" w:rsidRPr="00F45130" w:rsidRDefault="00810A47" w:rsidP="003D466C">
      <w:pPr>
        <w:rPr>
          <w:rFonts w:cs="Arial"/>
        </w:rPr>
      </w:pPr>
      <w:r w:rsidRPr="00F45130">
        <w:rPr>
          <w:rFonts w:cs="Arial"/>
        </w:rPr>
        <w:t xml:space="preserve">  </w:t>
      </w:r>
    </w:p>
    <w:p w:rsidR="00810A47" w:rsidRDefault="00810A47" w:rsidP="003D466C">
      <w:pPr>
        <w:rPr>
          <w:rFonts w:cs="Arial"/>
        </w:rPr>
      </w:pPr>
      <w:r w:rsidRPr="00F45130">
        <w:rPr>
          <w:rFonts w:cs="Arial"/>
        </w:rPr>
        <w:t xml:space="preserve">Settlement participants (acting in an agency capacity) should also not be involved in this process of establishing a compensation mechanism, as it would expose them to undue risk, and create room for potential dispute by their underlying clients. </w:t>
      </w:r>
    </w:p>
    <w:p w:rsidR="005631D8" w:rsidRPr="00F45130" w:rsidRDefault="005631D8" w:rsidP="003D466C">
      <w:pPr>
        <w:rPr>
          <w:rFonts w:cs="Arial"/>
        </w:rPr>
      </w:pPr>
    </w:p>
    <w:p w:rsidR="00810A47" w:rsidRDefault="00810A47" w:rsidP="003D466C">
      <w:pPr>
        <w:rPr>
          <w:rFonts w:cs="Arial"/>
        </w:rPr>
      </w:pPr>
      <w:r w:rsidRPr="00F45130">
        <w:rPr>
          <w:rFonts w:cs="Arial"/>
        </w:rPr>
        <w:t>Trading parties can also agree that the cash compensation pre-agreement could include other additional factors to compensate potential financial loss e.g. corporate entitlements, funding and other operational costs, accrued interest, FX exposure etc.</w:t>
      </w:r>
    </w:p>
    <w:p w:rsidR="003F749E" w:rsidRDefault="003F749E" w:rsidP="003D466C">
      <w:pPr>
        <w:rPr>
          <w:rFonts w:cs="Arial"/>
        </w:rPr>
      </w:pPr>
    </w:p>
    <w:p w:rsidR="003F749E" w:rsidRDefault="003F749E" w:rsidP="003D466C">
      <w:pPr>
        <w:rPr>
          <w:rFonts w:cs="Arial"/>
        </w:rPr>
      </w:pPr>
      <w:r w:rsidRPr="003F749E">
        <w:rPr>
          <w:rFonts w:cs="Arial"/>
        </w:rPr>
        <w:t xml:space="preserve">ECSDA recently conducted a survey of their members to gauge the impact of the </w:t>
      </w:r>
      <w:r>
        <w:rPr>
          <w:rFonts w:cs="Arial"/>
        </w:rPr>
        <w:t>cash penalty</w:t>
      </w:r>
      <w:r w:rsidRPr="003F749E">
        <w:rPr>
          <w:rFonts w:cs="Arial"/>
        </w:rPr>
        <w:t xml:space="preserve"> proposals on current failing trades and to estimate the cash penalties.</w:t>
      </w:r>
      <w:r>
        <w:rPr>
          <w:rFonts w:cs="Arial"/>
        </w:rPr>
        <w:t xml:space="preserve"> At this stage its wort</w:t>
      </w:r>
      <w:r>
        <w:rPr>
          <w:rFonts w:cs="Arial"/>
        </w:rPr>
        <w:t>h</w:t>
      </w:r>
      <w:r>
        <w:rPr>
          <w:rFonts w:cs="Arial"/>
        </w:rPr>
        <w:t>while mentioning the following important findings:</w:t>
      </w:r>
    </w:p>
    <w:p w:rsidR="003F749E" w:rsidRPr="003F749E" w:rsidRDefault="003F749E" w:rsidP="003F749E">
      <w:pPr>
        <w:pStyle w:val="ListParagraph"/>
        <w:numPr>
          <w:ilvl w:val="0"/>
          <w:numId w:val="87"/>
        </w:numPr>
        <w:rPr>
          <w:rFonts w:cs="Arial"/>
        </w:rPr>
      </w:pPr>
      <w:r w:rsidRPr="003F749E">
        <w:rPr>
          <w:rFonts w:cs="Arial"/>
        </w:rPr>
        <w:t xml:space="preserve">ECSDA data on settlement penalties -November 2014 volumes based on data collected from 17 CSDs </w:t>
      </w:r>
    </w:p>
    <w:p w:rsidR="003F749E" w:rsidRPr="003F749E" w:rsidRDefault="003F749E" w:rsidP="003F749E">
      <w:pPr>
        <w:pStyle w:val="ListParagraph"/>
        <w:numPr>
          <w:ilvl w:val="0"/>
          <w:numId w:val="87"/>
        </w:numPr>
        <w:rPr>
          <w:rFonts w:cs="Arial"/>
        </w:rPr>
      </w:pPr>
      <w:r w:rsidRPr="003F749E">
        <w:rPr>
          <w:rFonts w:cs="Arial"/>
        </w:rPr>
        <w:t xml:space="preserve">Accumulated gross late settlement penalties would have amounted to more than EUR 183 million (approx. EUR 9 million a day). </w:t>
      </w:r>
    </w:p>
    <w:p w:rsidR="003F749E" w:rsidRPr="003F749E" w:rsidRDefault="003F749E" w:rsidP="003F749E">
      <w:pPr>
        <w:pStyle w:val="ListParagraph"/>
        <w:numPr>
          <w:ilvl w:val="0"/>
          <w:numId w:val="87"/>
        </w:numPr>
        <w:rPr>
          <w:rFonts w:cs="Arial"/>
        </w:rPr>
      </w:pPr>
      <w:r w:rsidRPr="003F749E">
        <w:rPr>
          <w:rFonts w:cs="Arial"/>
        </w:rPr>
        <w:t xml:space="preserve">Translates into annual gross late settlement penalties of close to EUR 2.2 billion. </w:t>
      </w:r>
    </w:p>
    <w:p w:rsidR="003F749E" w:rsidRPr="003F749E" w:rsidRDefault="003F749E" w:rsidP="003F749E">
      <w:pPr>
        <w:pStyle w:val="ListParagraph"/>
        <w:numPr>
          <w:ilvl w:val="0"/>
          <w:numId w:val="87"/>
        </w:numPr>
        <w:rPr>
          <w:rFonts w:cs="Arial"/>
        </w:rPr>
      </w:pPr>
      <w:r w:rsidRPr="003F749E">
        <w:rPr>
          <w:rFonts w:cs="Arial"/>
        </w:rPr>
        <w:t xml:space="preserve">The two ICSDs hold the largest share of late settlement fines to be collected (around 75%). </w:t>
      </w:r>
    </w:p>
    <w:p w:rsidR="003F749E" w:rsidRPr="003F749E" w:rsidRDefault="003F749E" w:rsidP="003F749E">
      <w:pPr>
        <w:pStyle w:val="ListParagraph"/>
        <w:numPr>
          <w:ilvl w:val="0"/>
          <w:numId w:val="87"/>
        </w:numPr>
        <w:rPr>
          <w:rFonts w:cs="Arial"/>
        </w:rPr>
      </w:pPr>
      <w:r w:rsidRPr="003F749E">
        <w:rPr>
          <w:rFonts w:cs="Arial"/>
        </w:rPr>
        <w:t xml:space="preserve">Excluding the ICSDs, the remaining CSDs would on average each account for more than EUR 3 million per month. </w:t>
      </w:r>
    </w:p>
    <w:p w:rsidR="003F749E" w:rsidRPr="003F749E" w:rsidRDefault="003F749E" w:rsidP="003F749E">
      <w:pPr>
        <w:pStyle w:val="ListParagraph"/>
        <w:numPr>
          <w:ilvl w:val="0"/>
          <w:numId w:val="87"/>
        </w:numPr>
        <w:rPr>
          <w:rFonts w:cs="Arial"/>
        </w:rPr>
      </w:pPr>
      <w:r w:rsidRPr="003F749E">
        <w:rPr>
          <w:rFonts w:cs="Arial"/>
        </w:rPr>
        <w:t>Among these CSDs, figures range between virtually zero and EUR 15 million per month. Only 5 CSDs would have collected less than EUR 100,000 worth of penalties.</w:t>
      </w:r>
    </w:p>
    <w:p w:rsidR="00810A47" w:rsidRPr="00F45130" w:rsidRDefault="00810A47" w:rsidP="003D466C">
      <w:pPr>
        <w:rPr>
          <w:rFonts w:cs="Arial"/>
        </w:rPr>
      </w:pPr>
    </w:p>
    <w:p w:rsidR="005631D8" w:rsidRDefault="00810A47" w:rsidP="003D466C">
      <w:pPr>
        <w:rPr>
          <w:rFonts w:cs="Arial"/>
        </w:rPr>
      </w:pPr>
      <w:r w:rsidRPr="00F45130">
        <w:rPr>
          <w:rFonts w:cs="Arial"/>
        </w:rPr>
        <w:t xml:space="preserve">In addition, the RTS does not clearly identify who will be responsible to judge whether a buy-in has failed or not (or if it is deferred), and in which circumstances. Further clarity is required as well as an exhaustive list of operations types that render the buy-in ineffective. </w:t>
      </w:r>
    </w:p>
    <w:p w:rsidR="00810A47" w:rsidRPr="00F45130" w:rsidRDefault="00810A47" w:rsidP="003D466C">
      <w:pPr>
        <w:rPr>
          <w:rFonts w:cs="Arial"/>
          <w:bCs/>
        </w:rPr>
      </w:pPr>
      <w:r w:rsidRPr="00F45130">
        <w:rPr>
          <w:rFonts w:cs="Arial"/>
        </w:rPr>
        <w:br/>
        <w:t>Examples of such cases where buy-ins are impossible, and cash compensation is the altern</w:t>
      </w:r>
      <w:r w:rsidRPr="00F45130">
        <w:rPr>
          <w:rFonts w:cs="Arial"/>
        </w:rPr>
        <w:t>a</w:t>
      </w:r>
      <w:r w:rsidRPr="00F45130">
        <w:rPr>
          <w:rFonts w:cs="Arial"/>
        </w:rPr>
        <w:t>tive, are:</w:t>
      </w:r>
    </w:p>
    <w:p w:rsidR="00810A47" w:rsidRPr="00F45130" w:rsidRDefault="00810A47" w:rsidP="00810A47">
      <w:pPr>
        <w:pStyle w:val="ListParagraph"/>
        <w:numPr>
          <w:ilvl w:val="0"/>
          <w:numId w:val="37"/>
        </w:numPr>
        <w:contextualSpacing w:val="0"/>
        <w:rPr>
          <w:rFonts w:cs="Arial"/>
          <w:bCs/>
        </w:rPr>
      </w:pPr>
      <w:r w:rsidRPr="00F45130">
        <w:rPr>
          <w:rFonts w:cs="Arial"/>
          <w:bCs/>
        </w:rPr>
        <w:t>The security which is subject of a buy-in ceases to exist, or changes in nature or chara</w:t>
      </w:r>
      <w:r w:rsidRPr="00F45130">
        <w:rPr>
          <w:rFonts w:cs="Arial"/>
          <w:bCs/>
        </w:rPr>
        <w:t>c</w:t>
      </w:r>
      <w:r w:rsidRPr="00F45130">
        <w:rPr>
          <w:rFonts w:cs="Arial"/>
          <w:bCs/>
        </w:rPr>
        <w:t>teristics:</w:t>
      </w:r>
    </w:p>
    <w:p w:rsidR="00810A47" w:rsidRPr="00F45130" w:rsidRDefault="00810A47" w:rsidP="00810A47">
      <w:pPr>
        <w:pStyle w:val="ListParagraph"/>
        <w:numPr>
          <w:ilvl w:val="0"/>
          <w:numId w:val="38"/>
        </w:numPr>
        <w:contextualSpacing w:val="0"/>
        <w:rPr>
          <w:rFonts w:cs="Arial"/>
          <w:bCs/>
        </w:rPr>
      </w:pPr>
      <w:r w:rsidRPr="00F45130">
        <w:rPr>
          <w:rFonts w:cs="Arial"/>
          <w:bCs/>
        </w:rPr>
        <w:t xml:space="preserve">Securities come to the end of their life </w:t>
      </w:r>
    </w:p>
    <w:p w:rsidR="00810A47" w:rsidRPr="00F45130" w:rsidRDefault="00810A47" w:rsidP="00810A47">
      <w:pPr>
        <w:pStyle w:val="ListParagraph"/>
        <w:numPr>
          <w:ilvl w:val="0"/>
          <w:numId w:val="38"/>
        </w:numPr>
        <w:contextualSpacing w:val="0"/>
        <w:rPr>
          <w:rFonts w:cs="Arial"/>
          <w:bCs/>
        </w:rPr>
      </w:pPr>
      <w:r w:rsidRPr="00F45130">
        <w:rPr>
          <w:rFonts w:cs="Arial"/>
          <w:bCs/>
        </w:rPr>
        <w:t>Asset classes that</w:t>
      </w:r>
      <w:r w:rsidR="00652A51">
        <w:rPr>
          <w:rFonts w:cs="Arial"/>
          <w:bCs/>
        </w:rPr>
        <w:t xml:space="preserve"> are convertible and redeemable </w:t>
      </w:r>
      <w:r w:rsidRPr="00F45130">
        <w:rPr>
          <w:rFonts w:cs="Arial"/>
          <w:bCs/>
        </w:rPr>
        <w:t>when they are close to their r</w:t>
      </w:r>
      <w:r w:rsidRPr="00F45130">
        <w:rPr>
          <w:rFonts w:cs="Arial"/>
          <w:bCs/>
        </w:rPr>
        <w:t>e</w:t>
      </w:r>
      <w:r w:rsidRPr="00F45130">
        <w:rPr>
          <w:rFonts w:cs="Arial"/>
          <w:bCs/>
        </w:rPr>
        <w:t xml:space="preserve">deemable/convertible dates </w:t>
      </w:r>
    </w:p>
    <w:p w:rsidR="00810A47" w:rsidRPr="00F45130" w:rsidRDefault="00810A47" w:rsidP="00810A47">
      <w:pPr>
        <w:pStyle w:val="ListParagraph"/>
        <w:numPr>
          <w:ilvl w:val="0"/>
          <w:numId w:val="38"/>
        </w:numPr>
        <w:contextualSpacing w:val="0"/>
        <w:rPr>
          <w:rFonts w:cs="Arial"/>
          <w:bCs/>
        </w:rPr>
      </w:pPr>
      <w:r w:rsidRPr="00F45130">
        <w:rPr>
          <w:rFonts w:cs="Arial"/>
          <w:bCs/>
        </w:rPr>
        <w:t xml:space="preserve">Securities bought with certain rights (e.g. additional rights, cum dividend) </w:t>
      </w:r>
      <w:r w:rsidR="00652A51">
        <w:rPr>
          <w:rFonts w:cs="Arial"/>
          <w:bCs/>
        </w:rPr>
        <w:t>lose</w:t>
      </w:r>
      <w:r w:rsidRPr="00F45130">
        <w:rPr>
          <w:rFonts w:cs="Arial"/>
          <w:bCs/>
        </w:rPr>
        <w:t xml:space="preserve"> those attached rights, or change in nature.</w:t>
      </w:r>
    </w:p>
    <w:p w:rsidR="00810A47" w:rsidRPr="00F45130" w:rsidRDefault="00810A47" w:rsidP="00810A47">
      <w:pPr>
        <w:pStyle w:val="ListParagraph"/>
        <w:numPr>
          <w:ilvl w:val="0"/>
          <w:numId w:val="38"/>
        </w:numPr>
        <w:contextualSpacing w:val="0"/>
        <w:rPr>
          <w:rFonts w:cs="Arial"/>
          <w:bCs/>
        </w:rPr>
      </w:pPr>
      <w:r w:rsidRPr="00F45130">
        <w:rPr>
          <w:rFonts w:cs="Arial"/>
          <w:bCs/>
        </w:rPr>
        <w:t>The resultant security contains a covenant restricting ownership by investor type, market or region or the investor is restricted from holding the resultant security.</w:t>
      </w:r>
    </w:p>
    <w:p w:rsidR="00810A47" w:rsidRPr="00F45130" w:rsidRDefault="00810A47" w:rsidP="00810A47">
      <w:pPr>
        <w:pStyle w:val="ListParagraph"/>
        <w:numPr>
          <w:ilvl w:val="0"/>
          <w:numId w:val="38"/>
        </w:numPr>
        <w:contextualSpacing w:val="0"/>
        <w:rPr>
          <w:rFonts w:cs="Arial"/>
          <w:bCs/>
        </w:rPr>
      </w:pPr>
      <w:r w:rsidRPr="00F45130">
        <w:rPr>
          <w:rFonts w:cs="Arial"/>
          <w:bCs/>
        </w:rPr>
        <w:t xml:space="preserve">Securities can no longer be traded and / or settled e.g. listing at exchange / trading venue is suspended </w:t>
      </w:r>
    </w:p>
    <w:p w:rsidR="00810A47" w:rsidRPr="00F45130" w:rsidRDefault="00810A47" w:rsidP="00810A47">
      <w:pPr>
        <w:pStyle w:val="ListParagraph"/>
        <w:numPr>
          <w:ilvl w:val="0"/>
          <w:numId w:val="37"/>
        </w:numPr>
        <w:contextualSpacing w:val="0"/>
        <w:rPr>
          <w:rFonts w:cs="Arial"/>
          <w:bCs/>
        </w:rPr>
      </w:pPr>
      <w:r w:rsidRPr="00F45130">
        <w:rPr>
          <w:rFonts w:cs="Arial"/>
          <w:bCs/>
        </w:rPr>
        <w:t>Even though the security still exists, there is insufficient liquidity in the market to permit a successful buy-in. The loss of liquidity can be temporary or permanent. Some causes (non exhaustive) are:</w:t>
      </w:r>
    </w:p>
    <w:p w:rsidR="00810A47" w:rsidRPr="00F45130" w:rsidRDefault="00810A47" w:rsidP="00810A47">
      <w:pPr>
        <w:pStyle w:val="ListParagraph"/>
        <w:numPr>
          <w:ilvl w:val="0"/>
          <w:numId w:val="39"/>
        </w:numPr>
        <w:contextualSpacing w:val="0"/>
        <w:rPr>
          <w:rFonts w:cs="Arial"/>
          <w:bCs/>
        </w:rPr>
      </w:pPr>
      <w:r w:rsidRPr="00F45130">
        <w:rPr>
          <w:rFonts w:cs="Arial"/>
          <w:bCs/>
        </w:rPr>
        <w:lastRenderedPageBreak/>
        <w:t>Trading liquidity disappears as a result of a temporary market event e.g. dividend season.</w:t>
      </w:r>
    </w:p>
    <w:p w:rsidR="00810A47" w:rsidRPr="00F45130" w:rsidRDefault="00810A47" w:rsidP="00810A47">
      <w:pPr>
        <w:pStyle w:val="ListParagraph"/>
        <w:numPr>
          <w:ilvl w:val="0"/>
          <w:numId w:val="39"/>
        </w:numPr>
        <w:contextualSpacing w:val="0"/>
        <w:rPr>
          <w:rFonts w:cs="Arial"/>
          <w:bCs/>
        </w:rPr>
      </w:pPr>
      <w:r w:rsidRPr="00F45130">
        <w:rPr>
          <w:rFonts w:cs="Arial"/>
          <w:bCs/>
        </w:rPr>
        <w:t>The demand for securities exceeds supply: bid offer spreads widen, and securities might be temporarily unavailable e.g.:</w:t>
      </w:r>
    </w:p>
    <w:p w:rsidR="00810A47" w:rsidRPr="00F45130" w:rsidRDefault="00810A47" w:rsidP="00810A47">
      <w:pPr>
        <w:pStyle w:val="ListParagraph"/>
        <w:numPr>
          <w:ilvl w:val="1"/>
          <w:numId w:val="39"/>
        </w:numPr>
        <w:contextualSpacing w:val="0"/>
        <w:rPr>
          <w:rFonts w:cs="Arial"/>
          <w:bCs/>
        </w:rPr>
      </w:pPr>
      <w:r w:rsidRPr="00F45130">
        <w:rPr>
          <w:rFonts w:cs="Arial"/>
          <w:bCs/>
        </w:rPr>
        <w:t>Over futures expiry periods, certain lines of securities become the “cheapest to deliver” and demand for those securities peaks</w:t>
      </w:r>
    </w:p>
    <w:p w:rsidR="00810A47" w:rsidRPr="00F45130" w:rsidRDefault="00810A47" w:rsidP="00810A47">
      <w:pPr>
        <w:pStyle w:val="ListParagraph"/>
        <w:numPr>
          <w:ilvl w:val="1"/>
          <w:numId w:val="39"/>
        </w:numPr>
        <w:contextualSpacing w:val="0"/>
        <w:rPr>
          <w:rFonts w:cs="Arial"/>
          <w:bCs/>
        </w:rPr>
      </w:pPr>
      <w:r w:rsidRPr="00F45130">
        <w:rPr>
          <w:rFonts w:cs="Arial"/>
          <w:bCs/>
        </w:rPr>
        <w:t xml:space="preserve">The </w:t>
      </w:r>
      <w:r w:rsidR="00F4688D">
        <w:rPr>
          <w:rFonts w:cs="Arial"/>
          <w:bCs/>
        </w:rPr>
        <w:t>re-</w:t>
      </w:r>
      <w:r w:rsidRPr="00F45130">
        <w:rPr>
          <w:rFonts w:cs="Arial"/>
          <w:bCs/>
        </w:rPr>
        <w:t>composition of certain market indices (e.g. FTSE, DAX), triggering large demands for certain securities</w:t>
      </w:r>
    </w:p>
    <w:p w:rsidR="00810A47" w:rsidRPr="00F45130" w:rsidRDefault="00810A47" w:rsidP="00810A47">
      <w:pPr>
        <w:pStyle w:val="ListParagraph"/>
        <w:numPr>
          <w:ilvl w:val="0"/>
          <w:numId w:val="39"/>
        </w:numPr>
        <w:contextualSpacing w:val="0"/>
        <w:rPr>
          <w:rFonts w:cs="Arial"/>
          <w:bCs/>
        </w:rPr>
      </w:pPr>
      <w:r w:rsidRPr="00F45130">
        <w:rPr>
          <w:rFonts w:cs="Arial"/>
          <w:bCs/>
        </w:rPr>
        <w:t>Securities are temporarily blocked and cannot be delivered or settled any longer: e.g. as a result of corporate actions or international sanctions:</w:t>
      </w:r>
    </w:p>
    <w:p w:rsidR="00810A47" w:rsidRPr="00F45130" w:rsidRDefault="00810A47" w:rsidP="00810A47">
      <w:pPr>
        <w:pStyle w:val="ListParagraph"/>
        <w:numPr>
          <w:ilvl w:val="1"/>
          <w:numId w:val="39"/>
        </w:numPr>
        <w:contextualSpacing w:val="0"/>
        <w:rPr>
          <w:rFonts w:cs="Arial"/>
          <w:bCs/>
        </w:rPr>
      </w:pPr>
      <w:r w:rsidRPr="00F45130">
        <w:rPr>
          <w:rFonts w:cs="Arial"/>
          <w:bCs/>
        </w:rPr>
        <w:t>OTC Market Maker Securities with limited inventory (requiring private plac</w:t>
      </w:r>
      <w:r w:rsidRPr="00F45130">
        <w:rPr>
          <w:rFonts w:cs="Arial"/>
          <w:bCs/>
        </w:rPr>
        <w:t>e</w:t>
      </w:r>
      <w:r w:rsidRPr="00F45130">
        <w:rPr>
          <w:rFonts w:cs="Arial"/>
          <w:bCs/>
        </w:rPr>
        <w:t>ments)</w:t>
      </w:r>
    </w:p>
    <w:p w:rsidR="00810A47" w:rsidRPr="00F45130" w:rsidRDefault="00810A47" w:rsidP="00810A47">
      <w:pPr>
        <w:pStyle w:val="ListParagraph"/>
        <w:numPr>
          <w:ilvl w:val="1"/>
          <w:numId w:val="39"/>
        </w:numPr>
        <w:contextualSpacing w:val="0"/>
        <w:rPr>
          <w:rFonts w:cs="Arial"/>
          <w:bCs/>
        </w:rPr>
      </w:pPr>
      <w:r w:rsidRPr="00F45130">
        <w:rPr>
          <w:rFonts w:cs="Arial"/>
          <w:bCs/>
        </w:rPr>
        <w:t>Depository Receipts with no headroom to convert from liquid underlying to the Depository Receipt</w:t>
      </w:r>
    </w:p>
    <w:p w:rsidR="00810A47" w:rsidRPr="00F45130" w:rsidRDefault="00810A47" w:rsidP="003D466C">
      <w:pPr>
        <w:ind w:left="720"/>
        <w:rPr>
          <w:rFonts w:cs="Arial"/>
          <w:bCs/>
        </w:rPr>
      </w:pPr>
      <w:r w:rsidRPr="00F45130">
        <w:rPr>
          <w:rFonts w:cs="Arial"/>
          <w:bCs/>
        </w:rPr>
        <w:t>3) Cross border settlement via a CSD link between an EU and non-EU CSD</w:t>
      </w:r>
      <w:r w:rsidRPr="00F45130">
        <w:rPr>
          <w:rFonts w:cs="Arial"/>
          <w:bCs/>
        </w:rPr>
        <w:br/>
        <w:t>See also the response to Question 7)</w:t>
      </w:r>
    </w:p>
    <w:p w:rsidR="00810A47" w:rsidRPr="00F45130" w:rsidRDefault="00810A47" w:rsidP="003D466C">
      <w:pPr>
        <w:rPr>
          <w:rFonts w:cs="Arial"/>
          <w:bCs/>
        </w:rPr>
      </w:pPr>
    </w:p>
    <w:p w:rsidR="00810A47" w:rsidRPr="00F45130" w:rsidRDefault="00810A47" w:rsidP="003D466C">
      <w:pPr>
        <w:rPr>
          <w:rFonts w:cs="Arial"/>
          <w:bCs/>
        </w:rPr>
      </w:pPr>
      <w:r w:rsidRPr="00F45130">
        <w:rPr>
          <w:rFonts w:cs="Arial"/>
          <w:bCs/>
        </w:rPr>
        <w:t xml:space="preserve">Further ESMA should consider providing guidance as to the circumstances in which a buy-in can be considered impossible because securities are offered to the buy-in agent at prices above a reasonable level. Whilst the need to ensure settlement discipline is an objective, a framework under which buy-ins can be executed at extremely high prices could act as a strong deterrent to the provision of liquidity by market makers </w:t>
      </w:r>
    </w:p>
    <w:p w:rsidR="00810A47" w:rsidRPr="00F45130" w:rsidRDefault="00810A47" w:rsidP="003D466C">
      <w:pPr>
        <w:rPr>
          <w:rFonts w:cs="Arial"/>
        </w:rPr>
      </w:pPr>
    </w:p>
    <w:p w:rsidR="00810A47" w:rsidRPr="00F45130" w:rsidRDefault="00810A47" w:rsidP="00FB266C">
      <w:pPr>
        <w:pStyle w:val="ListParagraph"/>
        <w:numPr>
          <w:ilvl w:val="0"/>
          <w:numId w:val="66"/>
        </w:numPr>
        <w:rPr>
          <w:rFonts w:cs="Arial"/>
          <w:b/>
          <w:u w:val="single"/>
        </w:rPr>
      </w:pPr>
      <w:r w:rsidRPr="00F45130">
        <w:rPr>
          <w:rFonts w:cs="Arial"/>
          <w:b/>
          <w:u w:val="single"/>
        </w:rPr>
        <w:t>Cash Compensation for price decreases (RTS art 15 (d)</w:t>
      </w:r>
    </w:p>
    <w:p w:rsidR="00810A47" w:rsidRPr="00F45130" w:rsidRDefault="00810A47" w:rsidP="003D466C">
      <w:pPr>
        <w:rPr>
          <w:rFonts w:cs="Arial"/>
        </w:rPr>
      </w:pPr>
      <w:r w:rsidRPr="00F45130">
        <w:rPr>
          <w:rFonts w:cs="Arial"/>
        </w:rPr>
        <w:t>Similar to the arguments made under Q9 with regard to extra compensation by sellers to buyers for price decreases, but not for increases in price, AFME and its members have strong concerns on the proposed compensation mechanism in RTS 15 (d), which states that “</w:t>
      </w:r>
      <w:r w:rsidRPr="00F45130">
        <w:rPr>
          <w:rFonts w:cs="Arial"/>
          <w:i/>
        </w:rPr>
        <w:t>where under point (a) to (c) the price of the settlement instruction is equal or higher than the price determined by the buy-in agent or the pre-agreed price, the cash compensation shall be null</w:t>
      </w:r>
      <w:r w:rsidRPr="00F45130">
        <w:rPr>
          <w:rFonts w:cs="Arial"/>
        </w:rPr>
        <w:t>”.</w:t>
      </w:r>
    </w:p>
    <w:p w:rsidR="00810A47" w:rsidRPr="00F45130" w:rsidRDefault="00810A47" w:rsidP="003D466C">
      <w:pPr>
        <w:rPr>
          <w:rFonts w:cs="Arial"/>
        </w:rPr>
      </w:pPr>
    </w:p>
    <w:p w:rsidR="00810A47" w:rsidRPr="00F45130" w:rsidRDefault="00810A47" w:rsidP="003D466C">
      <w:pPr>
        <w:rPr>
          <w:rFonts w:cs="Arial"/>
        </w:rPr>
      </w:pPr>
      <w:r w:rsidRPr="00F45130">
        <w:rPr>
          <w:rFonts w:cs="Arial"/>
        </w:rPr>
        <w:t>Our concerns are as follows:</w:t>
      </w:r>
    </w:p>
    <w:p w:rsidR="00810A47" w:rsidRPr="00F45130" w:rsidRDefault="00810A47" w:rsidP="00FB266C">
      <w:pPr>
        <w:pStyle w:val="ListParagraph"/>
        <w:numPr>
          <w:ilvl w:val="0"/>
          <w:numId w:val="67"/>
        </w:numPr>
        <w:rPr>
          <w:rFonts w:cs="Arial"/>
        </w:rPr>
      </w:pPr>
      <w:r w:rsidRPr="00F45130">
        <w:rPr>
          <w:rFonts w:cs="Arial"/>
        </w:rPr>
        <w:t>Parties should be able to agree beforehand any compensation mechanism. To limit this flexibility is contrary to the provisions of art 15 (a), and also implies that trading parties are not able to judge the effect of price variations on their trades</w:t>
      </w:r>
      <w:r w:rsidR="003C5B91">
        <w:rPr>
          <w:rFonts w:cs="Arial"/>
        </w:rPr>
        <w:t>.</w:t>
      </w:r>
    </w:p>
    <w:p w:rsidR="00810A47" w:rsidRPr="00F45130" w:rsidRDefault="00810A47" w:rsidP="00FB266C">
      <w:pPr>
        <w:pStyle w:val="ListParagraph"/>
        <w:numPr>
          <w:ilvl w:val="0"/>
          <w:numId w:val="67"/>
        </w:numPr>
        <w:rPr>
          <w:rFonts w:cs="Arial"/>
        </w:rPr>
      </w:pPr>
      <w:r w:rsidRPr="00F45130">
        <w:rPr>
          <w:rFonts w:cs="Arial"/>
        </w:rPr>
        <w:t>This mechanism only works one way</w:t>
      </w:r>
      <w:r w:rsidR="00F4688D">
        <w:rPr>
          <w:rFonts w:cs="Arial"/>
        </w:rPr>
        <w:t>:</w:t>
      </w:r>
    </w:p>
    <w:p w:rsidR="00810A47" w:rsidRPr="00F45130" w:rsidRDefault="00810A47" w:rsidP="00810A47">
      <w:pPr>
        <w:pStyle w:val="ListParagraph"/>
        <w:numPr>
          <w:ilvl w:val="1"/>
          <w:numId w:val="50"/>
        </w:numPr>
        <w:rPr>
          <w:rFonts w:cs="Arial"/>
        </w:rPr>
      </w:pPr>
      <w:r w:rsidRPr="00F45130">
        <w:rPr>
          <w:rFonts w:cs="Arial"/>
        </w:rPr>
        <w:t xml:space="preserve">The seller needs to compensate the buyer if market prices increase (in order to make the buyer whole) </w:t>
      </w:r>
    </w:p>
    <w:p w:rsidR="00810A47" w:rsidRPr="00F45130" w:rsidRDefault="00810A47" w:rsidP="00810A47">
      <w:pPr>
        <w:pStyle w:val="ListParagraph"/>
        <w:numPr>
          <w:ilvl w:val="1"/>
          <w:numId w:val="50"/>
        </w:numPr>
        <w:rPr>
          <w:rFonts w:cs="Arial"/>
        </w:rPr>
      </w:pPr>
      <w:r w:rsidRPr="00F45130">
        <w:rPr>
          <w:rFonts w:cs="Arial"/>
        </w:rPr>
        <w:t>But the buyer does not need to compensate the seller if market prices decrease. Note that the buyer would have been impacted by price decreases if the settlement had happened.</w:t>
      </w:r>
    </w:p>
    <w:p w:rsidR="00810A47" w:rsidRPr="005631D8" w:rsidRDefault="003C5B91" w:rsidP="00810A47">
      <w:pPr>
        <w:pStyle w:val="ListParagraph"/>
        <w:numPr>
          <w:ilvl w:val="1"/>
          <w:numId w:val="50"/>
        </w:numPr>
        <w:rPr>
          <w:rFonts w:cs="Arial"/>
          <w:szCs w:val="22"/>
        </w:rPr>
      </w:pPr>
      <w:r>
        <w:rPr>
          <w:rFonts w:cs="Arial"/>
          <w:szCs w:val="22"/>
        </w:rPr>
        <w:t>AFME believes that</w:t>
      </w:r>
      <w:r w:rsidR="00810A47" w:rsidRPr="005631D8">
        <w:rPr>
          <w:rFonts w:cs="Arial"/>
          <w:szCs w:val="22"/>
        </w:rPr>
        <w:t xml:space="preserve"> this provision could allow the buyer can take advantage of price increases, whilst being sheltered against price decreases.</w:t>
      </w:r>
      <w:r w:rsidR="00810A47" w:rsidRPr="005631D8">
        <w:rPr>
          <w:rFonts w:cs="Arial"/>
          <w:szCs w:val="22"/>
        </w:rPr>
        <w:br/>
        <w:t xml:space="preserve">The key principle is that the prejudiced party should receive financial compensation for the non-conclusion of the original contract (i.e. the settlement of the securities.), but not speculate on being compensated on prices dropping. </w:t>
      </w:r>
      <w:r w:rsidR="00810A47" w:rsidRPr="005631D8">
        <w:rPr>
          <w:rFonts w:cs="Arial"/>
          <w:szCs w:val="22"/>
        </w:rPr>
        <w:br/>
        <w:t>The very purpose of a trade is to lock in a contractually agreed price between seller and buyer. If a price decreases, the buy-in fails and cash compensation is the only solution, it should work in both ways: if prices increases, the seller needs to make the buyer whole by compensating the difference, but the reverse also applies: if prices decrease, the buyer needs to compensate the seller. Otherwise the buyer can spec</w:t>
      </w:r>
      <w:r w:rsidR="00810A47" w:rsidRPr="005631D8">
        <w:rPr>
          <w:rFonts w:cs="Arial"/>
          <w:szCs w:val="22"/>
        </w:rPr>
        <w:t>u</w:t>
      </w:r>
      <w:r w:rsidR="00810A47" w:rsidRPr="005631D8">
        <w:rPr>
          <w:rFonts w:cs="Arial"/>
          <w:szCs w:val="22"/>
        </w:rPr>
        <w:lastRenderedPageBreak/>
        <w:t xml:space="preserve">late on price increases, while not being exposed to price drops. </w:t>
      </w:r>
      <w:r w:rsidR="00810A47" w:rsidRPr="005631D8">
        <w:rPr>
          <w:rFonts w:cs="Arial"/>
          <w:szCs w:val="22"/>
        </w:rPr>
        <w:br/>
      </w:r>
    </w:p>
    <w:p w:rsidR="00810A47" w:rsidRPr="00F45130" w:rsidRDefault="00810A47" w:rsidP="00810A47">
      <w:pPr>
        <w:pStyle w:val="ListParagraph"/>
        <w:numPr>
          <w:ilvl w:val="0"/>
          <w:numId w:val="50"/>
        </w:numPr>
        <w:rPr>
          <w:rFonts w:cs="Arial"/>
        </w:rPr>
      </w:pPr>
      <w:r w:rsidRPr="00F45130">
        <w:rPr>
          <w:rFonts w:cs="Arial"/>
        </w:rPr>
        <w:t>It is also not clear why different terms and benchmarks are used for the ‘original price’ in art 15 of the RTS. This will lead to confusion:</w:t>
      </w:r>
    </w:p>
    <w:p w:rsidR="00810A47" w:rsidRPr="00F45130" w:rsidRDefault="00810A47" w:rsidP="00810A47">
      <w:pPr>
        <w:pStyle w:val="ListParagraph"/>
        <w:numPr>
          <w:ilvl w:val="1"/>
          <w:numId w:val="50"/>
        </w:numPr>
        <w:rPr>
          <w:rFonts w:cs="Arial"/>
        </w:rPr>
      </w:pPr>
      <w:r w:rsidRPr="00F45130">
        <w:rPr>
          <w:rFonts w:cs="Arial"/>
        </w:rPr>
        <w:t xml:space="preserve">Art 15(a) and 15(b) </w:t>
      </w:r>
      <w:proofErr w:type="gramStart"/>
      <w:r w:rsidRPr="00F45130">
        <w:rPr>
          <w:rFonts w:cs="Arial"/>
        </w:rPr>
        <w:t>refer</w:t>
      </w:r>
      <w:proofErr w:type="gramEnd"/>
      <w:r w:rsidRPr="00F45130">
        <w:rPr>
          <w:rFonts w:cs="Arial"/>
        </w:rPr>
        <w:t xml:space="preserve"> to the ‘price set for the failed transaction’: is that the trade price as agreed between trading parties</w:t>
      </w:r>
      <w:r w:rsidR="003C5B91">
        <w:rPr>
          <w:rFonts w:cs="Arial"/>
        </w:rPr>
        <w:t>?</w:t>
      </w:r>
    </w:p>
    <w:p w:rsidR="00810A47" w:rsidRPr="00F45130" w:rsidRDefault="00810A47" w:rsidP="00810A47">
      <w:pPr>
        <w:pStyle w:val="ListParagraph"/>
        <w:numPr>
          <w:ilvl w:val="1"/>
          <w:numId w:val="50"/>
        </w:numPr>
        <w:rPr>
          <w:rFonts w:cs="Arial"/>
        </w:rPr>
      </w:pPr>
      <w:r w:rsidRPr="00F45130">
        <w:rPr>
          <w:rFonts w:cs="Arial"/>
        </w:rPr>
        <w:t>Art 15(d) refers to the ‘price of the settlement instruction’. Is that the amount of the settlement consideration (which in the case of free of payment transactions is zero?)</w:t>
      </w:r>
    </w:p>
    <w:p w:rsidR="00810A47" w:rsidRPr="00F45130" w:rsidRDefault="00810A47" w:rsidP="003D466C">
      <w:pPr>
        <w:ind w:left="720"/>
        <w:rPr>
          <w:rFonts w:cs="Arial"/>
        </w:rPr>
      </w:pPr>
    </w:p>
    <w:p w:rsidR="00810A47" w:rsidRPr="00F45130" w:rsidRDefault="00810A47" w:rsidP="003D466C">
      <w:pPr>
        <w:rPr>
          <w:rFonts w:cs="Arial"/>
          <w:b/>
          <w:u w:val="single"/>
        </w:rPr>
      </w:pPr>
      <w:r w:rsidRPr="00F45130">
        <w:rPr>
          <w:rFonts w:cs="Arial"/>
          <w:b/>
          <w:u w:val="single"/>
        </w:rPr>
        <w:t>Alternative proposal</w:t>
      </w:r>
    </w:p>
    <w:p w:rsidR="00810A47" w:rsidRPr="005631D8" w:rsidRDefault="00810A47" w:rsidP="003D466C">
      <w:pPr>
        <w:rPr>
          <w:rFonts w:cs="Arial"/>
          <w:szCs w:val="22"/>
        </w:rPr>
      </w:pPr>
      <w:r w:rsidRPr="005631D8">
        <w:rPr>
          <w:rFonts w:cs="Arial"/>
          <w:szCs w:val="22"/>
        </w:rPr>
        <w:t>AFME suggest amending art 15 RTS as follows:</w:t>
      </w:r>
    </w:p>
    <w:p w:rsidR="00810A47" w:rsidRPr="00F45130" w:rsidRDefault="00810A47" w:rsidP="00FB266C">
      <w:pPr>
        <w:pStyle w:val="ListParagraph"/>
        <w:numPr>
          <w:ilvl w:val="0"/>
          <w:numId w:val="67"/>
        </w:numPr>
        <w:rPr>
          <w:rFonts w:cs="Arial"/>
        </w:rPr>
      </w:pPr>
      <w:r w:rsidRPr="00F45130">
        <w:rPr>
          <w:rFonts w:cs="Arial"/>
        </w:rPr>
        <w:t>Replace participants by trading parties throughout art 15 (and throughout all of the Articles on buy-in)</w:t>
      </w:r>
    </w:p>
    <w:p w:rsidR="00810A47" w:rsidRPr="00F45130" w:rsidRDefault="00810A47" w:rsidP="00FB266C">
      <w:pPr>
        <w:pStyle w:val="ListParagraph"/>
        <w:numPr>
          <w:ilvl w:val="0"/>
          <w:numId w:val="67"/>
        </w:numPr>
        <w:rPr>
          <w:rFonts w:cs="Arial"/>
          <w:sz w:val="20"/>
          <w:szCs w:val="20"/>
        </w:rPr>
      </w:pPr>
      <w:r w:rsidRPr="00F45130">
        <w:rPr>
          <w:rFonts w:cs="Arial"/>
        </w:rPr>
        <w:t>Insert a clear determination of the cases when the buy-in is impossible, and who/when it is determined. See also alternative proposal under Q7</w:t>
      </w:r>
    </w:p>
    <w:p w:rsidR="00810A47" w:rsidRPr="00F45130" w:rsidRDefault="00810A47" w:rsidP="00FB266C">
      <w:pPr>
        <w:pStyle w:val="ListParagraph"/>
        <w:numPr>
          <w:ilvl w:val="0"/>
          <w:numId w:val="67"/>
        </w:numPr>
        <w:rPr>
          <w:rFonts w:cs="Arial"/>
        </w:rPr>
      </w:pPr>
      <w:r w:rsidRPr="00F45130">
        <w:rPr>
          <w:rFonts w:cs="Arial"/>
        </w:rPr>
        <w:t xml:space="preserve">Delete paragraph (d) completely, as </w:t>
      </w:r>
      <w:r w:rsidR="003C5B91">
        <w:rPr>
          <w:rFonts w:cs="Arial"/>
        </w:rPr>
        <w:t>may</w:t>
      </w:r>
      <w:r w:rsidRPr="00F45130">
        <w:rPr>
          <w:rFonts w:cs="Arial"/>
        </w:rPr>
        <w:t xml:space="preserve"> lead to arbitrage by buyers and </w:t>
      </w:r>
      <w:r w:rsidR="003C5B91">
        <w:rPr>
          <w:rFonts w:cs="Arial"/>
        </w:rPr>
        <w:t xml:space="preserve">could </w:t>
      </w:r>
      <w:r w:rsidRPr="00F45130">
        <w:rPr>
          <w:rFonts w:cs="Arial"/>
        </w:rPr>
        <w:t>create undue risk for sellers</w:t>
      </w:r>
      <w:r w:rsidR="003C5B91">
        <w:rPr>
          <w:rFonts w:cs="Arial"/>
        </w:rPr>
        <w:t>.</w:t>
      </w:r>
      <w:r w:rsidRPr="00F45130">
        <w:rPr>
          <w:rFonts w:cs="Arial"/>
        </w:rPr>
        <w:t xml:space="preserve"> </w:t>
      </w:r>
    </w:p>
    <w:p w:rsidR="00810A47" w:rsidRPr="00F45130" w:rsidRDefault="00810A47" w:rsidP="00FB266C">
      <w:pPr>
        <w:pStyle w:val="ListParagraph"/>
        <w:numPr>
          <w:ilvl w:val="0"/>
          <w:numId w:val="67"/>
        </w:numPr>
        <w:rPr>
          <w:rFonts w:cs="Arial"/>
        </w:rPr>
      </w:pPr>
      <w:r w:rsidRPr="00F45130">
        <w:rPr>
          <w:rFonts w:cs="Arial"/>
        </w:rPr>
        <w:t>State that cash compensation procedures need to be harmonised between OTC and CCP cleared transactions</w:t>
      </w:r>
    </w:p>
    <w:p w:rsidR="00810A47" w:rsidRPr="00F45130" w:rsidRDefault="00810A47" w:rsidP="003D466C">
      <w:pPr>
        <w:rPr>
          <w:rFonts w:cs="Arial"/>
          <w:i/>
          <w:szCs w:val="22"/>
        </w:rPr>
      </w:pPr>
    </w:p>
    <w:p w:rsidR="00810A47" w:rsidRPr="00F45130" w:rsidRDefault="00810A47" w:rsidP="003D466C">
      <w:pPr>
        <w:rPr>
          <w:rFonts w:cs="Arial"/>
          <w:i/>
          <w:szCs w:val="22"/>
          <w:lang w:val="fr-FR"/>
        </w:rPr>
      </w:pPr>
      <w:r w:rsidRPr="00F45130">
        <w:rPr>
          <w:rFonts w:cs="Arial"/>
          <w:b/>
          <w:bCs/>
          <w:i/>
          <w:szCs w:val="22"/>
          <w:lang w:val="fr-FR"/>
        </w:rPr>
        <w:t>On Exchange non-CCP trades</w:t>
      </w:r>
      <w:r w:rsidRPr="00F45130">
        <w:rPr>
          <w:rFonts w:cs="Arial"/>
          <w:i/>
          <w:szCs w:val="22"/>
          <w:lang w:val="fr-FR"/>
        </w:rPr>
        <w:t>.</w:t>
      </w:r>
    </w:p>
    <w:p w:rsidR="00810A47" w:rsidRPr="00F45130" w:rsidRDefault="00810A47" w:rsidP="003D466C">
      <w:pPr>
        <w:rPr>
          <w:rFonts w:cs="Arial"/>
          <w:i/>
          <w:szCs w:val="22"/>
          <w:lang w:val="fr-FR"/>
        </w:rPr>
      </w:pPr>
    </w:p>
    <w:p w:rsidR="00810A47" w:rsidRPr="003C5B91" w:rsidRDefault="00810A47" w:rsidP="00FB266C">
      <w:pPr>
        <w:pStyle w:val="ListParagraph"/>
        <w:numPr>
          <w:ilvl w:val="0"/>
          <w:numId w:val="64"/>
        </w:numPr>
        <w:contextualSpacing w:val="0"/>
        <w:rPr>
          <w:rFonts w:cs="Arial"/>
          <w:sz w:val="20"/>
          <w:szCs w:val="20"/>
        </w:rPr>
      </w:pPr>
      <w:r w:rsidRPr="003C5B91">
        <w:rPr>
          <w:rFonts w:cs="Arial"/>
        </w:rPr>
        <w:t>The buyer and seller initially agree the terms of the cash compensation including a refe</w:t>
      </w:r>
      <w:r w:rsidRPr="003C5B91">
        <w:rPr>
          <w:rFonts w:cs="Arial"/>
        </w:rPr>
        <w:t>r</w:t>
      </w:r>
      <w:r w:rsidRPr="003C5B91">
        <w:rPr>
          <w:rFonts w:cs="Arial"/>
        </w:rPr>
        <w:t>ence price plus other additional factors to compensate potential financial loss e.g. corp</w:t>
      </w:r>
      <w:r w:rsidRPr="003C5B91">
        <w:rPr>
          <w:rFonts w:cs="Arial"/>
        </w:rPr>
        <w:t>o</w:t>
      </w:r>
      <w:r w:rsidRPr="003C5B91">
        <w:rPr>
          <w:rFonts w:cs="Arial"/>
        </w:rPr>
        <w:t>rate entitlements, funding and other operational costs, accrued interest, FX exposure etc.</w:t>
      </w:r>
    </w:p>
    <w:p w:rsidR="00810A47" w:rsidRPr="003C5B91" w:rsidRDefault="00810A47" w:rsidP="00FB266C">
      <w:pPr>
        <w:pStyle w:val="ListParagraph"/>
        <w:numPr>
          <w:ilvl w:val="0"/>
          <w:numId w:val="64"/>
        </w:numPr>
        <w:contextualSpacing w:val="0"/>
        <w:rPr>
          <w:rFonts w:cs="Arial"/>
        </w:rPr>
      </w:pPr>
      <w:r w:rsidRPr="003C5B91">
        <w:rPr>
          <w:rFonts w:cs="Arial"/>
        </w:rPr>
        <w:t>If the reference price generates a sufficient profit for the prejudiced party to recover all associated transaction costs (and financial benefits e.g. cash entitlements) then no other financial claims or cost / loss factors should be included in the cash compensation value</w:t>
      </w:r>
    </w:p>
    <w:p w:rsidR="00810A47" w:rsidRPr="003C5B91" w:rsidRDefault="00810A47" w:rsidP="00FB266C">
      <w:pPr>
        <w:pStyle w:val="ListParagraph"/>
        <w:numPr>
          <w:ilvl w:val="0"/>
          <w:numId w:val="64"/>
        </w:numPr>
        <w:contextualSpacing w:val="0"/>
        <w:rPr>
          <w:rFonts w:cs="Arial"/>
        </w:rPr>
      </w:pPr>
      <w:r w:rsidRPr="003C5B91">
        <w:rPr>
          <w:rFonts w:cs="Arial"/>
        </w:rPr>
        <w:t>If the reference price is on par with or below the original trade price, then the original trade price is used and all other transaction costs incurred by the prejudiced party can be claimed from the defaulting party.</w:t>
      </w:r>
    </w:p>
    <w:p w:rsidR="00810A47" w:rsidRPr="003C5B91" w:rsidRDefault="00810A47" w:rsidP="00FB266C">
      <w:pPr>
        <w:pStyle w:val="ListParagraph"/>
        <w:numPr>
          <w:ilvl w:val="0"/>
          <w:numId w:val="64"/>
        </w:numPr>
        <w:contextualSpacing w:val="0"/>
        <w:rPr>
          <w:rFonts w:cs="Arial"/>
        </w:rPr>
      </w:pPr>
      <w:r w:rsidRPr="003C5B91">
        <w:rPr>
          <w:rFonts w:cs="Arial"/>
        </w:rPr>
        <w:t>In the event that a reference price cannot be agreed then the trading venue where the trade was executed should be the arbiter to provide a suitable reference price and other all conditions for recovering transaction costs / financial as stated above apply.</w:t>
      </w:r>
    </w:p>
    <w:p w:rsidR="00810A47" w:rsidRPr="00F45130" w:rsidRDefault="00810A47" w:rsidP="003D466C">
      <w:pPr>
        <w:rPr>
          <w:rFonts w:cs="Arial"/>
          <w:i/>
          <w:szCs w:val="22"/>
        </w:rPr>
      </w:pPr>
    </w:p>
    <w:p w:rsidR="00810A47" w:rsidRPr="00F45130" w:rsidRDefault="00810A47" w:rsidP="003D466C">
      <w:pPr>
        <w:rPr>
          <w:rFonts w:cs="Arial"/>
          <w:b/>
          <w:bCs/>
          <w:i/>
          <w:szCs w:val="22"/>
        </w:rPr>
      </w:pPr>
      <w:r w:rsidRPr="00F45130">
        <w:rPr>
          <w:rFonts w:cs="Arial"/>
          <w:b/>
          <w:bCs/>
          <w:i/>
          <w:szCs w:val="22"/>
        </w:rPr>
        <w:t>OTC Trades (off exchange, non cleared)</w:t>
      </w:r>
    </w:p>
    <w:p w:rsidR="00810A47" w:rsidRPr="00F45130" w:rsidRDefault="00810A47" w:rsidP="003D466C">
      <w:pPr>
        <w:rPr>
          <w:rFonts w:cs="Arial"/>
          <w:i/>
          <w:szCs w:val="22"/>
        </w:rPr>
      </w:pPr>
    </w:p>
    <w:p w:rsidR="00810A47" w:rsidRPr="003C5B91" w:rsidRDefault="00810A47" w:rsidP="00FB266C">
      <w:pPr>
        <w:pStyle w:val="ListParagraph"/>
        <w:numPr>
          <w:ilvl w:val="0"/>
          <w:numId w:val="65"/>
        </w:numPr>
        <w:contextualSpacing w:val="0"/>
        <w:rPr>
          <w:rFonts w:cs="Arial"/>
          <w:sz w:val="20"/>
          <w:szCs w:val="20"/>
        </w:rPr>
      </w:pPr>
      <w:r w:rsidRPr="003C5B91">
        <w:rPr>
          <w:rFonts w:cs="Arial"/>
        </w:rPr>
        <w:t>As above. However, the key difference is that there is no trading venue to act as a refe</w:t>
      </w:r>
      <w:r w:rsidRPr="003C5B91">
        <w:rPr>
          <w:rFonts w:cs="Arial"/>
        </w:rPr>
        <w:t>r</w:t>
      </w:r>
      <w:r w:rsidRPr="003C5B91">
        <w:rPr>
          <w:rFonts w:cs="Arial"/>
        </w:rPr>
        <w:t>ence price arbiter unless both parties agree to use a specific trading venue to source a reference price (if available)</w:t>
      </w:r>
    </w:p>
    <w:p w:rsidR="006F7FF5" w:rsidRPr="003C5B91" w:rsidRDefault="006F7FF5" w:rsidP="006F7FF5">
      <w:pPr>
        <w:pStyle w:val="ListParagraph"/>
        <w:contextualSpacing w:val="0"/>
        <w:rPr>
          <w:rFonts w:cs="Arial"/>
          <w:sz w:val="20"/>
          <w:szCs w:val="20"/>
        </w:rPr>
      </w:pPr>
    </w:p>
    <w:p w:rsidR="00D12AFD" w:rsidRDefault="00810A47" w:rsidP="00D12AFD">
      <w:r w:rsidRPr="003C5B91">
        <w:rPr>
          <w:rFonts w:cs="Arial"/>
        </w:rPr>
        <w:t>Where no 3rd party reference price can be sourced from a regulated trading venue then the original trade price is used and all other conditions e.g. transaction costs and financial losses are recoverable through the cash compensation process as stated above</w:t>
      </w:r>
      <w:r w:rsidR="00EB2542">
        <w:t xml:space="preserve"> </w:t>
      </w:r>
      <w:permEnd w:id="12"/>
      <w:r w:rsidR="00D12AFD">
        <w:t>&lt;ESMA_QUESTION_TS_CSDR_10&gt;</w:t>
      </w:r>
    </w:p>
    <w:p w:rsidR="00D12AFD" w:rsidRPr="002C4F00" w:rsidRDefault="00D12AFD" w:rsidP="00965B03">
      <w:pPr>
        <w:pStyle w:val="Heading5"/>
        <w:ind w:left="567" w:hanging="567"/>
      </w:pPr>
      <w:r w:rsidRPr="002C4F00">
        <w:t>What are your views on the proposed draft RTS related to the conditions for a pa</w:t>
      </w:r>
      <w:r w:rsidRPr="002C4F00">
        <w:t>r</w:t>
      </w:r>
      <w:r w:rsidRPr="002C4F00">
        <w:t>ticipant to consistently and systematically fail?</w:t>
      </w:r>
    </w:p>
    <w:p w:rsidR="00D12AFD" w:rsidRDefault="00D12AFD" w:rsidP="00D12AFD"/>
    <w:p w:rsidR="00D12AFD" w:rsidRDefault="00D12AFD" w:rsidP="00D12AFD">
      <w:r>
        <w:t>&lt;ESMA_QUESTION_TS_CSDR_11&gt;</w:t>
      </w:r>
    </w:p>
    <w:p w:rsidR="00810A47" w:rsidRPr="00F45130" w:rsidRDefault="00810A47" w:rsidP="003D466C">
      <w:pPr>
        <w:rPr>
          <w:rFonts w:cs="Arial"/>
          <w:bCs/>
        </w:rPr>
      </w:pPr>
      <w:permStart w:id="13" w:edGrp="everyone"/>
      <w:r w:rsidRPr="00F45130">
        <w:rPr>
          <w:rFonts w:cs="Arial"/>
          <w:bCs/>
        </w:rPr>
        <w:lastRenderedPageBreak/>
        <w:t>While AFME and its members agree there needs to be a monitoring mechanism against ‘sy</w:t>
      </w:r>
      <w:r w:rsidRPr="00F45130">
        <w:rPr>
          <w:rFonts w:cs="Arial"/>
          <w:bCs/>
        </w:rPr>
        <w:t>s</w:t>
      </w:r>
      <w:r w:rsidRPr="00F45130">
        <w:rPr>
          <w:rFonts w:cs="Arial"/>
          <w:bCs/>
        </w:rPr>
        <w:t>temic offenders’ , we have serious concerns about the definitions and scope, the methodology used, and  the impacts/risks created by the regime proposed under art 16:</w:t>
      </w:r>
    </w:p>
    <w:p w:rsidR="00810A47" w:rsidRPr="00F45130" w:rsidRDefault="00810A47" w:rsidP="003D466C">
      <w:pPr>
        <w:rPr>
          <w:rFonts w:cs="Arial"/>
          <w:bCs/>
        </w:rPr>
      </w:pPr>
    </w:p>
    <w:p w:rsidR="00810A47" w:rsidRPr="00F45130" w:rsidRDefault="00810A47" w:rsidP="003D466C">
      <w:pPr>
        <w:rPr>
          <w:rFonts w:cs="Arial"/>
          <w:b/>
          <w:bCs/>
          <w:u w:val="single"/>
        </w:rPr>
      </w:pPr>
      <w:r w:rsidRPr="00F45130">
        <w:rPr>
          <w:rFonts w:cs="Arial"/>
          <w:b/>
          <w:bCs/>
          <w:u w:val="single"/>
        </w:rPr>
        <w:t>Definition and scope</w:t>
      </w:r>
    </w:p>
    <w:p w:rsidR="00810A47" w:rsidRPr="003C5B91" w:rsidRDefault="00810A47" w:rsidP="003D466C">
      <w:pPr>
        <w:rPr>
          <w:rFonts w:cs="Arial"/>
          <w:bCs/>
        </w:rPr>
      </w:pPr>
      <w:r w:rsidRPr="003C5B91">
        <w:rPr>
          <w:rFonts w:cs="Arial"/>
          <w:bCs/>
        </w:rPr>
        <w:t>The different roles of participants in the settlement chain needs to be recognised in the RTS – i.e. they can settle their own proprietary activity or third party activity. Participants settling third party trades are considered intermediaries acting as direct agents on behalf of their underlying clients and this is fundamentally different from those settling proprietary activity. If ESMA i</w:t>
      </w:r>
      <w:r w:rsidRPr="003C5B91">
        <w:rPr>
          <w:rFonts w:cs="Arial"/>
          <w:bCs/>
        </w:rPr>
        <w:t>m</w:t>
      </w:r>
      <w:r w:rsidRPr="003C5B91">
        <w:rPr>
          <w:rFonts w:cs="Arial"/>
          <w:bCs/>
        </w:rPr>
        <w:t>poses a suspension of participation on the former due to high fail rates, they incur a proprietary risk which is inappropriate for their role in the settlement chain.</w:t>
      </w:r>
    </w:p>
    <w:p w:rsidR="00810A47" w:rsidRPr="003C5B91" w:rsidRDefault="00810A47" w:rsidP="003D466C">
      <w:pPr>
        <w:rPr>
          <w:rFonts w:cs="Arial"/>
          <w:bCs/>
        </w:rPr>
      </w:pPr>
    </w:p>
    <w:p w:rsidR="00810A47" w:rsidRPr="003C5B91" w:rsidRDefault="00810A47" w:rsidP="003D466C">
      <w:pPr>
        <w:rPr>
          <w:rFonts w:cs="Arial"/>
          <w:bCs/>
        </w:rPr>
      </w:pPr>
      <w:r w:rsidRPr="003C5B91">
        <w:rPr>
          <w:rFonts w:cs="Arial"/>
          <w:bCs/>
        </w:rPr>
        <w:t xml:space="preserve"> For third party agents, there is often limited control with respect to the settlement efficiency and trading patterns of the underlying clients. In fact, settlement agents are at times forced to wit</w:t>
      </w:r>
      <w:r w:rsidRPr="003C5B91">
        <w:rPr>
          <w:rFonts w:cs="Arial"/>
          <w:bCs/>
        </w:rPr>
        <w:t>h</w:t>
      </w:r>
      <w:r w:rsidRPr="003C5B91">
        <w:rPr>
          <w:rFonts w:cs="Arial"/>
          <w:bCs/>
        </w:rPr>
        <w:t xml:space="preserve">hold settlement of certain client settlement transactions by placing them at ‘Hold’ status in order to protect positions of other clients or where Hold and Release is not available, </w:t>
      </w:r>
      <w:r w:rsidR="003C5B91">
        <w:rPr>
          <w:rFonts w:cs="Arial"/>
          <w:bCs/>
        </w:rPr>
        <w:t>or</w:t>
      </w:r>
      <w:r w:rsidRPr="003C5B91">
        <w:rPr>
          <w:rFonts w:cs="Arial"/>
          <w:bCs/>
        </w:rPr>
        <w:t xml:space="preserve"> they may be forced to wait to present the trades to the market for matching until the necessary resources are available. This can have the following consequences:</w:t>
      </w:r>
    </w:p>
    <w:p w:rsidR="00810A47" w:rsidRPr="00F45130" w:rsidRDefault="00810A47" w:rsidP="003D466C">
      <w:pPr>
        <w:rPr>
          <w:rFonts w:cs="Arial"/>
          <w:bCs/>
          <w:i/>
        </w:rPr>
      </w:pPr>
    </w:p>
    <w:p w:rsidR="00810A47" w:rsidRPr="00F45130" w:rsidRDefault="00810A47" w:rsidP="00FB266C">
      <w:pPr>
        <w:pStyle w:val="ListParagraph"/>
        <w:numPr>
          <w:ilvl w:val="0"/>
          <w:numId w:val="69"/>
        </w:numPr>
        <w:rPr>
          <w:rFonts w:cs="Arial"/>
          <w:bCs/>
        </w:rPr>
      </w:pPr>
      <w:r w:rsidRPr="00F45130">
        <w:rPr>
          <w:rFonts w:cs="Arial"/>
          <w:bCs/>
        </w:rPr>
        <w:t>Late input of settlement instructions as agents would delay client settlements as long as possible until the cash/securities are confirmed in place for fear of being pena</w:t>
      </w:r>
      <w:r w:rsidRPr="00F45130">
        <w:rPr>
          <w:rFonts w:cs="Arial"/>
          <w:bCs/>
        </w:rPr>
        <w:t>l</w:t>
      </w:r>
      <w:r w:rsidRPr="00F45130">
        <w:rPr>
          <w:rFonts w:cs="Arial"/>
          <w:bCs/>
        </w:rPr>
        <w:t>ised/suspended. Even if instructions are released with an ‘on hold’ flag, they would still be included for suspension calculation purposes.</w:t>
      </w:r>
    </w:p>
    <w:p w:rsidR="00810A47" w:rsidRPr="00F45130" w:rsidRDefault="00810A47" w:rsidP="00FB266C">
      <w:pPr>
        <w:pStyle w:val="ListParagraph"/>
        <w:numPr>
          <w:ilvl w:val="0"/>
          <w:numId w:val="69"/>
        </w:numPr>
        <w:rPr>
          <w:rFonts w:cs="Arial"/>
          <w:bCs/>
        </w:rPr>
      </w:pPr>
      <w:r w:rsidRPr="00F45130">
        <w:rPr>
          <w:rFonts w:cs="Arial"/>
          <w:bCs/>
        </w:rPr>
        <w:t>Late matching of settlements and resultant impact on settlement efficiency, as the agent of the receiver/buyer would input his instruction, but the agent of the deliverer/seller would only release its instructions once it is sure that its client has the securities available in its account. In markets where there is a significant amount of turnaround/back to back chain activity, this would lead to a decrease of STP processing (holding back the instru</w:t>
      </w:r>
      <w:r w:rsidRPr="00F45130">
        <w:rPr>
          <w:rFonts w:cs="Arial"/>
          <w:bCs/>
        </w:rPr>
        <w:t>c</w:t>
      </w:r>
      <w:r w:rsidRPr="00F45130">
        <w:rPr>
          <w:rFonts w:cs="Arial"/>
          <w:bCs/>
        </w:rPr>
        <w:t>tion) and consequently, decreased overall settlement efficiency, inadvertently creating the opposite effect of what CSDR is intended to achieve.</w:t>
      </w:r>
    </w:p>
    <w:p w:rsidR="00810A47" w:rsidRPr="00F45130" w:rsidRDefault="00810A47" w:rsidP="003D466C">
      <w:pPr>
        <w:rPr>
          <w:rFonts w:cs="Arial"/>
          <w:bCs/>
        </w:rPr>
      </w:pPr>
    </w:p>
    <w:p w:rsidR="00810A47" w:rsidRPr="00F45130" w:rsidRDefault="00810A47" w:rsidP="003D466C">
      <w:pPr>
        <w:rPr>
          <w:rFonts w:cs="Arial"/>
          <w:bCs/>
        </w:rPr>
      </w:pPr>
    </w:p>
    <w:p w:rsidR="00810A47" w:rsidRPr="00577249" w:rsidRDefault="00810A47" w:rsidP="003D466C">
      <w:pPr>
        <w:rPr>
          <w:rFonts w:cs="Arial"/>
          <w:bCs/>
          <w:i/>
        </w:rPr>
      </w:pPr>
      <w:r w:rsidRPr="00F45130">
        <w:rPr>
          <w:rFonts w:cs="Arial"/>
          <w:bCs/>
        </w:rPr>
        <w:t>These agent banks are usually (very) large institutions, for which a suspension triggered by low settlement efficiency would have far-reaching systemic consequences on the markets. Suspe</w:t>
      </w:r>
      <w:r w:rsidRPr="00F45130">
        <w:rPr>
          <w:rFonts w:cs="Arial"/>
          <w:bCs/>
        </w:rPr>
        <w:t>n</w:t>
      </w:r>
      <w:r w:rsidRPr="00F45130">
        <w:rPr>
          <w:rFonts w:cs="Arial"/>
          <w:bCs/>
        </w:rPr>
        <w:t xml:space="preserve">sion of a settlement agent bank due to failures caused by an underlying client would have a detrimental effect on that settlement agent’s other clients, who may be effectively </w:t>
      </w:r>
      <w:r w:rsidR="003C5B91">
        <w:rPr>
          <w:rFonts w:cs="Arial"/>
          <w:bCs/>
        </w:rPr>
        <w:t>denied access to</w:t>
      </w:r>
      <w:r w:rsidRPr="00F45130">
        <w:rPr>
          <w:rFonts w:cs="Arial"/>
          <w:bCs/>
        </w:rPr>
        <w:t xml:space="preserve"> the market unless and until they are able engage the services of an alternative settlement </w:t>
      </w:r>
      <w:r w:rsidRPr="003C5B91">
        <w:rPr>
          <w:rFonts w:cs="Arial"/>
          <w:bCs/>
        </w:rPr>
        <w:t xml:space="preserve">agent. It </w:t>
      </w:r>
      <w:r w:rsidR="00EA0BFE" w:rsidRPr="003C5B91">
        <w:rPr>
          <w:rFonts w:cs="Arial"/>
          <w:bCs/>
        </w:rPr>
        <w:t>would also</w:t>
      </w:r>
      <w:r w:rsidRPr="003C5B91">
        <w:rPr>
          <w:rFonts w:cs="Arial"/>
          <w:bCs/>
        </w:rPr>
        <w:t xml:space="preserve"> </w:t>
      </w:r>
      <w:r w:rsidR="003C5B91" w:rsidRPr="003C5B91">
        <w:rPr>
          <w:rFonts w:cs="Arial"/>
          <w:bCs/>
        </w:rPr>
        <w:t xml:space="preserve">lead to </w:t>
      </w:r>
      <w:r w:rsidRPr="003C5B91">
        <w:rPr>
          <w:rFonts w:cs="Arial"/>
          <w:bCs/>
        </w:rPr>
        <w:t>these agent banks</w:t>
      </w:r>
      <w:r w:rsidR="00EA0BFE" w:rsidRPr="003C5B91">
        <w:rPr>
          <w:rFonts w:cs="Arial"/>
          <w:bCs/>
        </w:rPr>
        <w:t xml:space="preserve"> </w:t>
      </w:r>
      <w:r w:rsidR="003C5B91" w:rsidRPr="003C5B91">
        <w:rPr>
          <w:rFonts w:cs="Arial"/>
          <w:bCs/>
        </w:rPr>
        <w:t>being</w:t>
      </w:r>
      <w:r w:rsidRPr="003C5B91">
        <w:rPr>
          <w:rFonts w:cs="Arial"/>
          <w:bCs/>
        </w:rPr>
        <w:t xml:space="preserve"> unable to finance themselves via the repo or stock lending market, and, in a worst case scenario, could lead to a default. By imposing buy in and suspension risk against participants who are acting as custodians/settlement agents for third party clients, the regulation is changing the risk structure of these entities and moving se</w:t>
      </w:r>
      <w:r w:rsidRPr="003C5B91">
        <w:rPr>
          <w:rFonts w:cs="Arial"/>
          <w:bCs/>
        </w:rPr>
        <w:t>t</w:t>
      </w:r>
      <w:r w:rsidRPr="003C5B91">
        <w:rPr>
          <w:rFonts w:cs="Arial"/>
          <w:bCs/>
        </w:rPr>
        <w:t>tlement risk away from the trading party and onto the participants.</w:t>
      </w:r>
      <w:r w:rsidRPr="00577249">
        <w:rPr>
          <w:rFonts w:cs="Arial"/>
          <w:bCs/>
          <w:i/>
        </w:rPr>
        <w:br/>
      </w:r>
      <w:r w:rsidRPr="00577249">
        <w:rPr>
          <w:rFonts w:cs="Arial"/>
          <w:bCs/>
          <w:i/>
        </w:rPr>
        <w:br/>
      </w:r>
      <w:r w:rsidRPr="003C5B91">
        <w:rPr>
          <w:rFonts w:cs="Arial"/>
          <w:bCs/>
        </w:rPr>
        <w:t>As a directed agent, these participants are simply acting as “channels” to allow their underlying clients (ultimate trading members or participants to trading contract) to access to the relevant CSD/settlement system. However the obligation to ensure provision of securities to enable se</w:t>
      </w:r>
      <w:r w:rsidRPr="003C5B91">
        <w:rPr>
          <w:rFonts w:cs="Arial"/>
          <w:bCs/>
        </w:rPr>
        <w:t>t</w:t>
      </w:r>
      <w:r w:rsidRPr="003C5B91">
        <w:rPr>
          <w:rFonts w:cs="Arial"/>
          <w:bCs/>
        </w:rPr>
        <w:t xml:space="preserve">tlement of these delivery settlement obligations has always been and should continue to be </w:t>
      </w:r>
      <w:r w:rsidR="003C5B91">
        <w:rPr>
          <w:rFonts w:cs="Arial"/>
          <w:bCs/>
        </w:rPr>
        <w:t>the responsibility of</w:t>
      </w:r>
      <w:r w:rsidRPr="003C5B91">
        <w:rPr>
          <w:rFonts w:cs="Arial"/>
          <w:bCs/>
        </w:rPr>
        <w:t xml:space="preserve"> the trading party and not the CSD participant who is enabling access of that trading party to the CSD</w:t>
      </w:r>
      <w:r w:rsidRPr="00577249">
        <w:rPr>
          <w:rFonts w:cs="Arial"/>
          <w:bCs/>
          <w:i/>
        </w:rPr>
        <w:t>.</w:t>
      </w:r>
    </w:p>
    <w:p w:rsidR="00810A47" w:rsidRPr="00577249" w:rsidRDefault="00810A47" w:rsidP="003D466C">
      <w:pPr>
        <w:rPr>
          <w:rFonts w:cs="Arial"/>
          <w:bCs/>
          <w:i/>
        </w:rPr>
      </w:pPr>
    </w:p>
    <w:p w:rsidR="00810A47" w:rsidRPr="003C5B91" w:rsidRDefault="00810A47" w:rsidP="003D466C">
      <w:pPr>
        <w:rPr>
          <w:rFonts w:cs="Arial"/>
          <w:bCs/>
        </w:rPr>
      </w:pPr>
      <w:r w:rsidRPr="003C5B91">
        <w:rPr>
          <w:rFonts w:cs="Arial"/>
          <w:bCs/>
        </w:rPr>
        <w:lastRenderedPageBreak/>
        <w:t>ESMA’s RTS moves that obligation onto the CSD participant making them quasi principal to the transaction.</w:t>
      </w:r>
    </w:p>
    <w:p w:rsidR="00810A47" w:rsidRPr="003C5B91" w:rsidRDefault="00810A47" w:rsidP="003D466C">
      <w:pPr>
        <w:rPr>
          <w:rFonts w:cs="Arial"/>
          <w:bCs/>
        </w:rPr>
      </w:pPr>
    </w:p>
    <w:p w:rsidR="00810A47" w:rsidRPr="003C5B91" w:rsidRDefault="00810A47" w:rsidP="003D466C">
      <w:pPr>
        <w:rPr>
          <w:rFonts w:cs="Arial"/>
          <w:bCs/>
        </w:rPr>
      </w:pPr>
      <w:r w:rsidRPr="003C5B91">
        <w:rPr>
          <w:rFonts w:cs="Arial"/>
          <w:bCs/>
        </w:rPr>
        <w:t xml:space="preserve">In doing so, these participants would then need to ensure that they take cater for this additional risk in their business model by margining these </w:t>
      </w:r>
      <w:r w:rsidR="003C5B91">
        <w:rPr>
          <w:rFonts w:cs="Arial"/>
          <w:bCs/>
        </w:rPr>
        <w:t>transactions</w:t>
      </w:r>
      <w:r w:rsidRPr="003C5B91">
        <w:rPr>
          <w:rFonts w:cs="Arial"/>
          <w:bCs/>
        </w:rPr>
        <w:t xml:space="preserve"> which could take the form of add</w:t>
      </w:r>
      <w:r w:rsidRPr="003C5B91">
        <w:rPr>
          <w:rFonts w:cs="Arial"/>
          <w:bCs/>
        </w:rPr>
        <w:t>i</w:t>
      </w:r>
      <w:r w:rsidRPr="003C5B91">
        <w:rPr>
          <w:rFonts w:cs="Arial"/>
          <w:bCs/>
        </w:rPr>
        <w:t>tional collateral/extension of credit etc. This will of course add to the cost of trade to the underl</w:t>
      </w:r>
      <w:r w:rsidRPr="003C5B91">
        <w:rPr>
          <w:rFonts w:cs="Arial"/>
          <w:bCs/>
        </w:rPr>
        <w:t>y</w:t>
      </w:r>
      <w:r w:rsidRPr="003C5B91">
        <w:rPr>
          <w:rFonts w:cs="Arial"/>
          <w:bCs/>
        </w:rPr>
        <w:t xml:space="preserve">ing client. Indeed in certain scenarios it will involve collateral/margin being taken at multiple points in the settlement chain to support single trade. </w:t>
      </w:r>
    </w:p>
    <w:p w:rsidR="00810A47" w:rsidRPr="003C5B91" w:rsidRDefault="00810A47" w:rsidP="003D466C">
      <w:pPr>
        <w:rPr>
          <w:rFonts w:cs="Arial"/>
          <w:bCs/>
        </w:rPr>
      </w:pPr>
    </w:p>
    <w:p w:rsidR="00810A47" w:rsidRPr="003C5B91" w:rsidRDefault="00810A47" w:rsidP="003D466C">
      <w:pPr>
        <w:rPr>
          <w:rFonts w:cs="Arial"/>
          <w:bCs/>
        </w:rPr>
      </w:pPr>
      <w:r w:rsidRPr="003C5B91">
        <w:rPr>
          <w:rFonts w:cs="Arial"/>
          <w:bCs/>
        </w:rPr>
        <w:t>As such, by placing buy in and suspension risk on the CSD Participant/custodian, this will result in increased cost to underlying investor.</w:t>
      </w:r>
    </w:p>
    <w:p w:rsidR="00810A47" w:rsidRPr="003C5B91" w:rsidRDefault="00810A47" w:rsidP="003D466C">
      <w:pPr>
        <w:rPr>
          <w:rFonts w:cs="Arial"/>
          <w:bCs/>
        </w:rPr>
      </w:pPr>
    </w:p>
    <w:p w:rsidR="00810A47" w:rsidRPr="003C5B91" w:rsidRDefault="00810A47" w:rsidP="003D466C">
      <w:pPr>
        <w:rPr>
          <w:rFonts w:cs="Arial"/>
          <w:bCs/>
        </w:rPr>
      </w:pPr>
      <w:r w:rsidRPr="003C5B91">
        <w:rPr>
          <w:rFonts w:cs="Arial"/>
          <w:bCs/>
        </w:rPr>
        <w:t>Without this recognition the RTS will significantly increase the risk-profile of CSD participants who are acting as settlement agents, which they can influence only partially. Moreover such suggestions lead to a requirement of settlement agents to take on proprietary risk by having to guarantee trades of their clients. This could be even more critical in situations where a CSD’s participant becomes insolvent, and the trade is bought in. At this point the settlement agent has no party from whom to recoup the incurred costs.</w:t>
      </w:r>
    </w:p>
    <w:p w:rsidR="00810A47" w:rsidRPr="00F45130" w:rsidRDefault="00810A47" w:rsidP="003D466C">
      <w:pPr>
        <w:rPr>
          <w:rFonts w:cs="Arial"/>
          <w:bCs/>
        </w:rPr>
      </w:pPr>
    </w:p>
    <w:p w:rsidR="00810A47" w:rsidRPr="00F45130" w:rsidRDefault="00810A47" w:rsidP="003D466C">
      <w:pPr>
        <w:rPr>
          <w:rFonts w:cs="Arial"/>
          <w:b/>
          <w:bCs/>
          <w:u w:val="single"/>
        </w:rPr>
      </w:pPr>
      <w:r w:rsidRPr="00F45130">
        <w:rPr>
          <w:rFonts w:cs="Arial"/>
          <w:b/>
          <w:bCs/>
          <w:u w:val="single"/>
        </w:rPr>
        <w:t>Risks</w:t>
      </w:r>
    </w:p>
    <w:p w:rsidR="00810A47" w:rsidRPr="00F45130" w:rsidRDefault="00810A47" w:rsidP="003D466C">
      <w:pPr>
        <w:rPr>
          <w:rFonts w:cs="Arial"/>
          <w:bCs/>
        </w:rPr>
      </w:pPr>
      <w:r w:rsidRPr="00F45130">
        <w:rPr>
          <w:rFonts w:cs="Arial"/>
          <w:bCs/>
        </w:rPr>
        <w:t>Art. 7.9 CSDR Level 1 states that CSD, CCPs and trading venues shall establish procedures for suspension, and disclose identities only after giving that participant the opportunity to submit observations.</w:t>
      </w:r>
    </w:p>
    <w:p w:rsidR="00810A47" w:rsidRPr="00F45130" w:rsidRDefault="003C5B91" w:rsidP="003D466C">
      <w:pPr>
        <w:rPr>
          <w:rFonts w:cs="Arial"/>
          <w:bCs/>
        </w:rPr>
      </w:pPr>
      <w:r>
        <w:rPr>
          <w:rFonts w:cs="Arial"/>
          <w:bCs/>
        </w:rPr>
        <w:t>AFME suggests that p</w:t>
      </w:r>
      <w:r w:rsidR="00810A47" w:rsidRPr="00F45130">
        <w:rPr>
          <w:rFonts w:cs="Arial"/>
          <w:bCs/>
        </w:rPr>
        <w:t>articipants or representatives thereof need to be involved in the drafting and approval of these procedures, which need to include clear criteria, processes, and</w:t>
      </w:r>
      <w:r>
        <w:rPr>
          <w:rFonts w:cs="Arial"/>
          <w:bCs/>
        </w:rPr>
        <w:t xml:space="preserve"> metho</w:t>
      </w:r>
      <w:r>
        <w:rPr>
          <w:rFonts w:cs="Arial"/>
          <w:bCs/>
        </w:rPr>
        <w:t>d</w:t>
      </w:r>
      <w:r>
        <w:rPr>
          <w:rFonts w:cs="Arial"/>
          <w:bCs/>
        </w:rPr>
        <w:t>ology to support the</w:t>
      </w:r>
      <w:r w:rsidR="00810A47" w:rsidRPr="00F45130">
        <w:rPr>
          <w:rFonts w:cs="Arial"/>
          <w:bCs/>
        </w:rPr>
        <w:t xml:space="preserve"> portability of positions and settlements.</w:t>
      </w:r>
    </w:p>
    <w:p w:rsidR="00810A47" w:rsidRPr="00F45130" w:rsidRDefault="00810A47" w:rsidP="003D466C">
      <w:pPr>
        <w:rPr>
          <w:rFonts w:cs="Arial"/>
          <w:bCs/>
        </w:rPr>
      </w:pPr>
      <w:r w:rsidRPr="00F45130">
        <w:rPr>
          <w:rFonts w:cs="Arial"/>
          <w:bCs/>
          <w:i/>
        </w:rPr>
        <w:t xml:space="preserve"> </w:t>
      </w:r>
    </w:p>
    <w:p w:rsidR="00810A47" w:rsidRPr="00F45130" w:rsidRDefault="00810A47" w:rsidP="003D466C">
      <w:pPr>
        <w:rPr>
          <w:rFonts w:cs="Arial"/>
          <w:b/>
          <w:bCs/>
          <w:u w:val="single"/>
        </w:rPr>
      </w:pPr>
      <w:r w:rsidRPr="00F45130">
        <w:rPr>
          <w:rFonts w:cs="Arial"/>
          <w:b/>
          <w:bCs/>
          <w:u w:val="single"/>
        </w:rPr>
        <w:t>Alternative proposal</w:t>
      </w:r>
    </w:p>
    <w:p w:rsidR="00810A47" w:rsidRPr="00F45130" w:rsidRDefault="00810A47" w:rsidP="003D466C">
      <w:pPr>
        <w:rPr>
          <w:rFonts w:cs="Arial"/>
          <w:bCs/>
          <w:i/>
        </w:rPr>
      </w:pPr>
    </w:p>
    <w:p w:rsidR="00810A47" w:rsidRPr="00F45130" w:rsidRDefault="00810A47" w:rsidP="003D466C">
      <w:pPr>
        <w:rPr>
          <w:rFonts w:cs="Arial"/>
          <w:bCs/>
        </w:rPr>
      </w:pPr>
      <w:r w:rsidRPr="00F45130">
        <w:rPr>
          <w:rFonts w:cs="Arial"/>
          <w:bCs/>
        </w:rPr>
        <w:t>We would strongly advocate that any monitoring of settlement efficiency and subsequent mea</w:t>
      </w:r>
      <w:r w:rsidRPr="00F45130">
        <w:rPr>
          <w:rFonts w:cs="Arial"/>
          <w:bCs/>
        </w:rPr>
        <w:t>s</w:t>
      </w:r>
      <w:r w:rsidRPr="00F45130">
        <w:rPr>
          <w:rFonts w:cs="Arial"/>
          <w:bCs/>
        </w:rPr>
        <w:t xml:space="preserve">ures like suspension make a clear distinction between whether the participant is acting as agent, as broker or as proprietary trading entity. </w:t>
      </w:r>
    </w:p>
    <w:p w:rsidR="00810A47" w:rsidRPr="00F45130" w:rsidRDefault="00810A47" w:rsidP="003D466C">
      <w:pPr>
        <w:rPr>
          <w:rFonts w:cs="Arial"/>
          <w:bCs/>
        </w:rPr>
      </w:pPr>
      <w:r w:rsidRPr="00F45130">
        <w:rPr>
          <w:rFonts w:cs="Arial"/>
          <w:bCs/>
        </w:rPr>
        <w:t>Only in the last instance is the settlement participant able to fully control its settlement efficiency, and as such, any suspension measures should be limited to those instances where the partic</w:t>
      </w:r>
      <w:r w:rsidRPr="00F45130">
        <w:rPr>
          <w:rFonts w:cs="Arial"/>
          <w:bCs/>
        </w:rPr>
        <w:t>i</w:t>
      </w:r>
      <w:r w:rsidRPr="00F45130">
        <w:rPr>
          <w:rFonts w:cs="Arial"/>
          <w:bCs/>
        </w:rPr>
        <w:t xml:space="preserve">pant acts in a principal capacity or where it is clear that the participant has directly caused the fails on a systemic basis even when acting as an agent. </w:t>
      </w:r>
    </w:p>
    <w:p w:rsidR="00810A47" w:rsidRPr="00F45130" w:rsidRDefault="00810A47" w:rsidP="003D466C">
      <w:pPr>
        <w:rPr>
          <w:rFonts w:cs="Arial"/>
          <w:bCs/>
          <w:i/>
        </w:rPr>
      </w:pPr>
    </w:p>
    <w:p w:rsidR="00810A47" w:rsidRPr="00F45130" w:rsidRDefault="00810A47" w:rsidP="003D466C">
      <w:pPr>
        <w:rPr>
          <w:rFonts w:cs="Arial"/>
          <w:bCs/>
          <w:i/>
        </w:rPr>
      </w:pPr>
      <w:r w:rsidRPr="00F45130">
        <w:rPr>
          <w:rFonts w:cs="Arial"/>
          <w:bCs/>
          <w:i/>
        </w:rPr>
        <w:t>Assessing a CSD participant’s performance should be undertaken in conjunction with the a</w:t>
      </w:r>
      <w:r w:rsidRPr="00F45130">
        <w:rPr>
          <w:rFonts w:cs="Arial"/>
          <w:bCs/>
          <w:i/>
        </w:rPr>
        <w:t>c</w:t>
      </w:r>
      <w:r w:rsidRPr="00F45130">
        <w:rPr>
          <w:rFonts w:cs="Arial"/>
          <w:bCs/>
          <w:i/>
        </w:rPr>
        <w:t>count type, i.e. if it is an “own account” type the CSD participant is managing its own activity, but on “omnibus account” or “individual client segregation” a CSD participant is only managing acti</w:t>
      </w:r>
      <w:r w:rsidRPr="00F45130">
        <w:rPr>
          <w:rFonts w:cs="Arial"/>
          <w:bCs/>
          <w:i/>
        </w:rPr>
        <w:t>v</w:t>
      </w:r>
      <w:r w:rsidRPr="00F45130">
        <w:rPr>
          <w:rFonts w:cs="Arial"/>
          <w:bCs/>
          <w:i/>
        </w:rPr>
        <w:t xml:space="preserve">ity of its client, based on the instructions the agent receives. </w:t>
      </w:r>
    </w:p>
    <w:p w:rsidR="00810A47" w:rsidRPr="00F45130" w:rsidRDefault="00810A47" w:rsidP="003D466C">
      <w:pPr>
        <w:rPr>
          <w:rFonts w:cs="Arial"/>
          <w:bCs/>
          <w:u w:val="single"/>
        </w:rPr>
      </w:pPr>
      <w:r w:rsidRPr="00F45130">
        <w:rPr>
          <w:rFonts w:cs="Arial"/>
          <w:bCs/>
        </w:rPr>
        <w:t xml:space="preserve"> </w:t>
      </w:r>
    </w:p>
    <w:p w:rsidR="00810A47" w:rsidRPr="00F45130" w:rsidRDefault="00810A47" w:rsidP="003D466C">
      <w:pPr>
        <w:rPr>
          <w:rFonts w:cs="Arial"/>
          <w:b/>
          <w:bCs/>
          <w:u w:val="single"/>
        </w:rPr>
      </w:pPr>
      <w:r w:rsidRPr="00F45130">
        <w:rPr>
          <w:rFonts w:cs="Arial"/>
          <w:b/>
          <w:bCs/>
          <w:u w:val="single"/>
        </w:rPr>
        <w:t>Methodology</w:t>
      </w:r>
    </w:p>
    <w:p w:rsidR="00810A47" w:rsidRPr="00F45130" w:rsidRDefault="00810A47" w:rsidP="003D466C">
      <w:pPr>
        <w:rPr>
          <w:rFonts w:cs="Arial"/>
          <w:bCs/>
        </w:rPr>
      </w:pPr>
      <w:r w:rsidRPr="00F45130">
        <w:rPr>
          <w:rFonts w:cs="Arial"/>
          <w:bCs/>
        </w:rPr>
        <w:t>AFME has the following concerns regarding the methodology proposed under art 16 of the RTS:</w:t>
      </w:r>
    </w:p>
    <w:p w:rsidR="00810A47" w:rsidRPr="00F45130" w:rsidRDefault="00810A47" w:rsidP="00FB266C">
      <w:pPr>
        <w:pStyle w:val="ListParagraph"/>
        <w:numPr>
          <w:ilvl w:val="0"/>
          <w:numId w:val="68"/>
        </w:numPr>
        <w:rPr>
          <w:rFonts w:cs="Arial"/>
          <w:bCs/>
        </w:rPr>
      </w:pPr>
      <w:r w:rsidRPr="00F45130">
        <w:rPr>
          <w:rFonts w:cs="Arial"/>
          <w:bCs/>
        </w:rPr>
        <w:t xml:space="preserve">Art 16 does not clearly specify how this benchmark rate will be established, by whom and how it will be made available to participants. In order for participants to measure whether they approach this threshold, this information is essential. </w:t>
      </w:r>
    </w:p>
    <w:p w:rsidR="00810A47" w:rsidRPr="00F45130" w:rsidRDefault="00810A47" w:rsidP="00FB266C">
      <w:pPr>
        <w:pStyle w:val="ListParagraph"/>
        <w:numPr>
          <w:ilvl w:val="0"/>
          <w:numId w:val="68"/>
        </w:numPr>
        <w:rPr>
          <w:rFonts w:cs="Arial"/>
          <w:bCs/>
        </w:rPr>
      </w:pPr>
      <w:r w:rsidRPr="00F45130">
        <w:rPr>
          <w:rFonts w:cs="Arial"/>
          <w:bCs/>
        </w:rPr>
        <w:t>As stated above, suspension should only occur for participants when they act as settl</w:t>
      </w:r>
      <w:r w:rsidRPr="00F45130">
        <w:rPr>
          <w:rFonts w:cs="Arial"/>
          <w:bCs/>
        </w:rPr>
        <w:t>e</w:t>
      </w:r>
      <w:r w:rsidRPr="00F45130">
        <w:rPr>
          <w:rFonts w:cs="Arial"/>
          <w:bCs/>
        </w:rPr>
        <w:t>ment agents for their own principal/proprietary trading. The application of art 16 should exclude cases (and activity) where participants act as settlement agents for third parties.</w:t>
      </w:r>
    </w:p>
    <w:p w:rsidR="00810A47" w:rsidRPr="00F45130" w:rsidRDefault="00810A47" w:rsidP="00FB266C">
      <w:pPr>
        <w:pStyle w:val="ListParagraph"/>
        <w:numPr>
          <w:ilvl w:val="0"/>
          <w:numId w:val="68"/>
        </w:numPr>
        <w:rPr>
          <w:rFonts w:cs="Arial"/>
          <w:bCs/>
        </w:rPr>
      </w:pPr>
      <w:r w:rsidRPr="00F45130">
        <w:rPr>
          <w:rFonts w:cs="Arial"/>
          <w:bCs/>
        </w:rPr>
        <w:lastRenderedPageBreak/>
        <w:t>CSDs should alert their participants as they reach certain thresholds prior to any agreed percentage which triggers suspension.</w:t>
      </w:r>
    </w:p>
    <w:p w:rsidR="00810A47" w:rsidRDefault="00810A47" w:rsidP="00810A47">
      <w:pPr>
        <w:pStyle w:val="ListParagraph"/>
        <w:numPr>
          <w:ilvl w:val="0"/>
          <w:numId w:val="42"/>
        </w:numPr>
        <w:rPr>
          <w:rFonts w:cs="Arial"/>
          <w:bCs/>
          <w:u w:val="single"/>
        </w:rPr>
      </w:pPr>
      <w:r w:rsidRPr="00F45130">
        <w:rPr>
          <w:rFonts w:cs="Arial"/>
          <w:bCs/>
          <w:u w:val="single"/>
        </w:rPr>
        <w:t>AFME believes that only a competent authority should suspend a participant with the CSD being the executing force. This combination would avoid any risk of the CSD being sued.</w:t>
      </w:r>
    </w:p>
    <w:p w:rsidR="008A44B6" w:rsidRPr="008A44B6" w:rsidRDefault="008A44B6" w:rsidP="008A44B6">
      <w:pPr>
        <w:ind w:left="360"/>
        <w:rPr>
          <w:rFonts w:cs="Arial"/>
          <w:bCs/>
          <w:u w:val="single"/>
        </w:rPr>
      </w:pPr>
    </w:p>
    <w:p w:rsidR="00D12AFD" w:rsidRDefault="00810A47" w:rsidP="00D12AFD">
      <w:r w:rsidRPr="00F45130">
        <w:rPr>
          <w:rFonts w:cs="Arial"/>
          <w:bCs/>
          <w:u w:val="single"/>
        </w:rPr>
        <w:t>Settlement efficiency under this article should only consider those transactions, which the CSD participant can actually control. In a very extreme scenario a long-only investor could be su</w:t>
      </w:r>
      <w:r w:rsidRPr="00F45130">
        <w:rPr>
          <w:rFonts w:cs="Arial"/>
          <w:bCs/>
          <w:u w:val="single"/>
        </w:rPr>
        <w:t>s</w:t>
      </w:r>
      <w:r w:rsidRPr="00F45130">
        <w:rPr>
          <w:rFonts w:cs="Arial"/>
          <w:bCs/>
          <w:u w:val="single"/>
        </w:rPr>
        <w:t xml:space="preserve">pended if his purchases do not settle despite him having the necessary cash available, if the failures are caused by short positions of his counterparties. </w:t>
      </w:r>
      <w:r w:rsidR="00171D78" w:rsidRPr="001341F4">
        <w:rPr>
          <w:rFonts w:cs="Arial"/>
          <w:bCs/>
          <w:i/>
          <w:color w:val="00B0F0"/>
        </w:rPr>
        <w:t>t</w:t>
      </w:r>
      <w:permEnd w:id="13"/>
      <w:r w:rsidR="00D12AFD">
        <w:t>&lt;ESMA_QUESTION_TS_CSDR_11&gt;</w:t>
      </w:r>
    </w:p>
    <w:p w:rsidR="00D12AFD" w:rsidRPr="002C4F00" w:rsidRDefault="00D12AFD" w:rsidP="00965B03">
      <w:pPr>
        <w:pStyle w:val="Heading5"/>
        <w:ind w:left="567" w:hanging="567"/>
      </w:pPr>
      <w:r w:rsidRPr="002C4F00">
        <w:t>What are your views on the proposed draft RTS related to the settlement information for CCPs and trading venues?</w:t>
      </w:r>
    </w:p>
    <w:p w:rsidR="00D12AFD" w:rsidRDefault="00D12AFD" w:rsidP="00D12AFD"/>
    <w:p w:rsidR="00D12AFD" w:rsidRDefault="00D12AFD" w:rsidP="00D12AFD">
      <w:r>
        <w:t>&lt;ESMA_QUESTION_TS_CSDR_12&gt;</w:t>
      </w:r>
    </w:p>
    <w:p w:rsidR="00810A47" w:rsidRDefault="00810A47" w:rsidP="00810A47">
      <w:pPr>
        <w:rPr>
          <w:rFonts w:cs="Arial"/>
          <w:lang w:val="en-US"/>
        </w:rPr>
      </w:pPr>
      <w:permStart w:id="14" w:edGrp="everyone"/>
      <w:r w:rsidRPr="00F45130">
        <w:rPr>
          <w:rFonts w:cs="Arial"/>
          <w:lang w:val="en-US"/>
        </w:rPr>
        <w:t>We support ESMA’s proposal to specify settlement information relating to the current status of the instruction sent by the CCP or the trading venue. In most cases, this is current practice. We welcome that ESMA renounces the segregation of the accounts of all trading and clearing me</w:t>
      </w:r>
      <w:r w:rsidRPr="00F45130">
        <w:rPr>
          <w:rFonts w:cs="Arial"/>
          <w:lang w:val="en-US"/>
        </w:rPr>
        <w:t>m</w:t>
      </w:r>
      <w:r w:rsidRPr="00F45130">
        <w:rPr>
          <w:rFonts w:cs="Arial"/>
          <w:lang w:val="en-US"/>
        </w:rPr>
        <w:t xml:space="preserve">bers as this would have triggered a complex and costly new infrastructure which would not be necessary. </w:t>
      </w:r>
    </w:p>
    <w:p w:rsidR="00224888" w:rsidRPr="00F45130" w:rsidRDefault="00224888" w:rsidP="00810A47">
      <w:pPr>
        <w:rPr>
          <w:rFonts w:cs="Arial"/>
          <w:lang w:val="en-US"/>
        </w:rPr>
      </w:pPr>
    </w:p>
    <w:p w:rsidR="00810A47" w:rsidRPr="00F45130" w:rsidRDefault="00810A47" w:rsidP="00810A47">
      <w:pPr>
        <w:rPr>
          <w:rFonts w:cs="Arial"/>
          <w:lang w:val="en-US"/>
        </w:rPr>
      </w:pPr>
      <w:r w:rsidRPr="00F45130">
        <w:rPr>
          <w:rFonts w:cs="Arial"/>
          <w:lang w:val="en-US"/>
        </w:rPr>
        <w:t>It may be helpful to specify what the trading venues will do with this information</w:t>
      </w:r>
    </w:p>
    <w:p w:rsidR="00810A47" w:rsidRPr="00F45130" w:rsidRDefault="00810A47" w:rsidP="00810A47">
      <w:pPr>
        <w:rPr>
          <w:rFonts w:cs="Arial"/>
          <w:lang w:val="en-US"/>
        </w:rPr>
      </w:pPr>
    </w:p>
    <w:p w:rsidR="00810A47" w:rsidRDefault="00810A47" w:rsidP="00810A47">
      <w:pPr>
        <w:rPr>
          <w:rFonts w:cs="Arial"/>
          <w:lang w:val="en-US"/>
        </w:rPr>
      </w:pPr>
      <w:r w:rsidRPr="00F45130">
        <w:rPr>
          <w:rFonts w:cs="Arial"/>
          <w:lang w:val="en-US"/>
        </w:rPr>
        <w:t>We particularly support ESMA’s view set out in Para 114 that settlement information for CCPs and trading venues should be instruction/transaction-related. With respect to Art. 17 SD-RTS, we have the following suggestions:</w:t>
      </w:r>
    </w:p>
    <w:p w:rsidR="00224888" w:rsidRPr="00F45130" w:rsidRDefault="00224888" w:rsidP="00810A47">
      <w:pPr>
        <w:rPr>
          <w:rFonts w:cs="Arial"/>
          <w:lang w:val="en-US"/>
        </w:rPr>
      </w:pPr>
    </w:p>
    <w:p w:rsidR="00810A47" w:rsidRPr="00F45130" w:rsidRDefault="00810A47" w:rsidP="00810A47">
      <w:pPr>
        <w:rPr>
          <w:rFonts w:cs="Arial"/>
          <w:b/>
          <w:lang w:val="en-US"/>
        </w:rPr>
      </w:pPr>
      <w:r w:rsidRPr="00F45130">
        <w:rPr>
          <w:rFonts w:cs="Arial"/>
          <w:b/>
          <w:lang w:val="en-US"/>
        </w:rPr>
        <w:t>Art. 17(1</w:t>
      </w:r>
      <w:r w:rsidR="00D939AF" w:rsidRPr="00F45130">
        <w:rPr>
          <w:rFonts w:cs="Arial"/>
          <w:b/>
          <w:lang w:val="en-US"/>
        </w:rPr>
        <w:t>) (</w:t>
      </w:r>
      <w:r w:rsidRPr="00F45130">
        <w:rPr>
          <w:rFonts w:cs="Arial"/>
          <w:b/>
          <w:lang w:val="en-US"/>
        </w:rPr>
        <w:t>c) SD-RTS:</w:t>
      </w:r>
    </w:p>
    <w:p w:rsidR="00810A47" w:rsidRDefault="00810A47" w:rsidP="00810A47">
      <w:pPr>
        <w:rPr>
          <w:rFonts w:cs="Arial"/>
          <w:lang w:val="en-US"/>
        </w:rPr>
      </w:pPr>
      <w:r w:rsidRPr="00F45130">
        <w:rPr>
          <w:rFonts w:cs="Arial"/>
          <w:lang w:val="en-US"/>
        </w:rPr>
        <w:t>Replace “participants” with “CSD participants”; the rationale is that the CSD can identify the receiving and delivering CSD participants in a securities settlement instruction or transaction, but may not know the participants of the trading venue or the CCP. This is especially relevant if the settlement participant is not the same entity as the clearing member and/or the trading member</w:t>
      </w:r>
    </w:p>
    <w:p w:rsidR="000D09F5" w:rsidRPr="00F45130" w:rsidRDefault="000D09F5" w:rsidP="00810A47">
      <w:pPr>
        <w:rPr>
          <w:rFonts w:cs="Arial"/>
          <w:lang w:val="en-US"/>
        </w:rPr>
      </w:pPr>
    </w:p>
    <w:p w:rsidR="00810A47" w:rsidRPr="00F45130" w:rsidRDefault="00810A47" w:rsidP="00810A47">
      <w:pPr>
        <w:rPr>
          <w:rFonts w:cs="Arial"/>
          <w:b/>
          <w:lang w:val="en-US"/>
        </w:rPr>
      </w:pPr>
      <w:r w:rsidRPr="00F45130">
        <w:rPr>
          <w:rFonts w:cs="Arial"/>
          <w:b/>
          <w:lang w:val="en-US"/>
        </w:rPr>
        <w:t>Art. 17(1</w:t>
      </w:r>
      <w:r w:rsidR="00D939AF" w:rsidRPr="00F45130">
        <w:rPr>
          <w:rFonts w:cs="Arial"/>
          <w:b/>
          <w:lang w:val="en-US"/>
        </w:rPr>
        <w:t>) (</w:t>
      </w:r>
      <w:r w:rsidRPr="00F45130">
        <w:rPr>
          <w:rFonts w:cs="Arial"/>
          <w:b/>
          <w:lang w:val="en-US"/>
        </w:rPr>
        <w:t>d) SD-RTS:</w:t>
      </w:r>
    </w:p>
    <w:p w:rsidR="00810A47" w:rsidRPr="00F45130" w:rsidRDefault="00810A47" w:rsidP="00810A47">
      <w:pPr>
        <w:rPr>
          <w:rFonts w:cs="Arial"/>
          <w:lang w:val="en-US"/>
        </w:rPr>
      </w:pPr>
      <w:r w:rsidRPr="00F45130">
        <w:rPr>
          <w:rFonts w:cs="Arial"/>
          <w:lang w:val="en-US"/>
        </w:rPr>
        <w:t xml:space="preserve">Replace the current text by “The number and identification of the financial instruments </w:t>
      </w:r>
      <w:r w:rsidRPr="00F45130">
        <w:rPr>
          <w:rFonts w:cs="Arial"/>
          <w:b/>
          <w:lang w:val="en-US"/>
        </w:rPr>
        <w:t>for which settlement did not occur</w:t>
      </w:r>
      <w:r w:rsidRPr="00F45130">
        <w:rPr>
          <w:rFonts w:cs="Arial"/>
          <w:lang w:val="en-US"/>
        </w:rPr>
        <w:t>”.</w:t>
      </w:r>
      <w:r w:rsidR="00224888">
        <w:rPr>
          <w:rFonts w:cs="Arial"/>
          <w:lang w:val="en-US"/>
        </w:rPr>
        <w:t xml:space="preserve"> </w:t>
      </w:r>
      <w:r w:rsidRPr="00F45130">
        <w:rPr>
          <w:rFonts w:cs="Arial"/>
          <w:lang w:val="en-US"/>
        </w:rPr>
        <w:t xml:space="preserve">CSDs can provide these figures but may not have the more granular </w:t>
      </w:r>
      <w:r w:rsidR="00224888" w:rsidRPr="00F45130">
        <w:rPr>
          <w:rFonts w:cs="Arial"/>
          <w:lang w:val="en-US"/>
        </w:rPr>
        <w:t>information</w:t>
      </w:r>
      <w:r w:rsidRPr="00F45130">
        <w:rPr>
          <w:rFonts w:cs="Arial"/>
          <w:lang w:val="en-US"/>
        </w:rPr>
        <w:t xml:space="preserve"> required at CSD participant level.</w:t>
      </w:r>
    </w:p>
    <w:p w:rsidR="00810A47" w:rsidRPr="00F45130" w:rsidRDefault="00810A47" w:rsidP="00810A47">
      <w:pPr>
        <w:rPr>
          <w:rFonts w:cs="Arial"/>
          <w:b/>
          <w:lang w:val="en-US"/>
        </w:rPr>
      </w:pPr>
    </w:p>
    <w:p w:rsidR="00810A47" w:rsidRPr="00F45130" w:rsidRDefault="00810A47" w:rsidP="00810A47">
      <w:pPr>
        <w:rPr>
          <w:rFonts w:cs="Arial"/>
          <w:b/>
          <w:lang w:val="en-US"/>
        </w:rPr>
      </w:pPr>
      <w:r w:rsidRPr="00F45130">
        <w:rPr>
          <w:rFonts w:cs="Arial"/>
          <w:b/>
          <w:lang w:val="en-US"/>
        </w:rPr>
        <w:t>Art. 17(1</w:t>
      </w:r>
      <w:r w:rsidR="00D939AF" w:rsidRPr="00F45130">
        <w:rPr>
          <w:rFonts w:cs="Arial"/>
          <w:b/>
          <w:lang w:val="en-US"/>
        </w:rPr>
        <w:t>) (</w:t>
      </w:r>
      <w:r w:rsidRPr="00F45130">
        <w:rPr>
          <w:rFonts w:cs="Arial"/>
          <w:b/>
          <w:lang w:val="en-US"/>
        </w:rPr>
        <w:t>e) SD-RTS:</w:t>
      </w:r>
    </w:p>
    <w:p w:rsidR="00810A47" w:rsidRDefault="00810A47" w:rsidP="00810A47">
      <w:pPr>
        <w:rPr>
          <w:rFonts w:cs="Arial"/>
          <w:lang w:val="en-US"/>
        </w:rPr>
      </w:pPr>
      <w:r w:rsidRPr="00F45130">
        <w:rPr>
          <w:rFonts w:cs="Arial"/>
          <w:lang w:val="en-US"/>
        </w:rPr>
        <w:t>Replace the current text that identifies five points in time by text that specifies that CCPs and trading venues should be able to receive updated information at least once per business day. CSDs will not necessarily have the relevant information allowing them to identify the points in time proposed by the current text; our suggestion provides for a more generic requirement.</w:t>
      </w:r>
    </w:p>
    <w:p w:rsidR="00224888" w:rsidRPr="00F45130" w:rsidRDefault="00224888" w:rsidP="00810A47">
      <w:pPr>
        <w:rPr>
          <w:rFonts w:cs="Arial"/>
          <w:lang w:val="en-US"/>
        </w:rPr>
      </w:pPr>
    </w:p>
    <w:p w:rsidR="00810A47" w:rsidRPr="00F45130" w:rsidRDefault="00810A47" w:rsidP="00810A47">
      <w:pPr>
        <w:rPr>
          <w:rFonts w:cs="Arial"/>
          <w:b/>
          <w:lang w:val="en-US"/>
        </w:rPr>
      </w:pPr>
      <w:r w:rsidRPr="00F45130">
        <w:rPr>
          <w:rFonts w:cs="Arial"/>
          <w:b/>
          <w:lang w:val="en-US"/>
        </w:rPr>
        <w:t>Art. 17(1</w:t>
      </w:r>
      <w:r w:rsidR="00D939AF" w:rsidRPr="00F45130">
        <w:rPr>
          <w:rFonts w:cs="Arial"/>
          <w:b/>
          <w:lang w:val="en-US"/>
        </w:rPr>
        <w:t>) (</w:t>
      </w:r>
      <w:r w:rsidRPr="00F45130">
        <w:rPr>
          <w:rFonts w:cs="Arial"/>
          <w:b/>
          <w:lang w:val="en-US"/>
        </w:rPr>
        <w:t>f) SD-RTS:</w:t>
      </w:r>
    </w:p>
    <w:p w:rsidR="00810A47" w:rsidRDefault="00810A47" w:rsidP="00810A47">
      <w:pPr>
        <w:rPr>
          <w:rFonts w:cs="Arial"/>
          <w:lang w:val="en-US"/>
        </w:rPr>
      </w:pPr>
      <w:r w:rsidRPr="00F45130">
        <w:rPr>
          <w:rFonts w:cs="Arial"/>
          <w:lang w:val="en-US"/>
        </w:rPr>
        <w:t>We believe that this is a duplication of Art. 17(1</w:t>
      </w:r>
      <w:r w:rsidR="00D939AF" w:rsidRPr="00F45130">
        <w:rPr>
          <w:rFonts w:cs="Arial"/>
          <w:lang w:val="en-US"/>
        </w:rPr>
        <w:t>) (</w:t>
      </w:r>
      <w:r w:rsidRPr="00F45130">
        <w:rPr>
          <w:rFonts w:cs="Arial"/>
          <w:lang w:val="en-US"/>
        </w:rPr>
        <w:t>d) and should therefore be deleted.</w:t>
      </w:r>
    </w:p>
    <w:p w:rsidR="00224888" w:rsidRPr="00F45130" w:rsidRDefault="00224888" w:rsidP="00810A47">
      <w:pPr>
        <w:rPr>
          <w:rFonts w:cs="Arial"/>
          <w:lang w:val="en-US"/>
        </w:rPr>
      </w:pPr>
    </w:p>
    <w:p w:rsidR="00810A47" w:rsidRPr="00F45130" w:rsidRDefault="00810A47" w:rsidP="00810A47">
      <w:pPr>
        <w:rPr>
          <w:rFonts w:cs="Arial"/>
          <w:b/>
          <w:lang w:val="en-US"/>
        </w:rPr>
      </w:pPr>
      <w:r w:rsidRPr="00F45130">
        <w:rPr>
          <w:rFonts w:cs="Arial"/>
          <w:b/>
          <w:lang w:val="en-US"/>
        </w:rPr>
        <w:t>Art. 17(2) SD-RTS:</w:t>
      </w:r>
    </w:p>
    <w:p w:rsidR="00171D78" w:rsidRPr="00224888" w:rsidRDefault="00810A47" w:rsidP="00224888">
      <w:pPr>
        <w:rPr>
          <w:rFonts w:cs="Arial"/>
          <w:bCs/>
          <w:i/>
          <w:color w:val="00B0F0"/>
        </w:rPr>
      </w:pPr>
      <w:r w:rsidRPr="00224888">
        <w:rPr>
          <w:rFonts w:cs="Arial"/>
          <w:lang w:val="en-US"/>
        </w:rPr>
        <w:t>Trading parties may not have a reference from the trading venue that they can include in the settlement instruction. The word “any if available” should be added in front of “reference”.</w:t>
      </w:r>
    </w:p>
    <w:permEnd w:id="14"/>
    <w:p w:rsidR="00D12AFD" w:rsidRDefault="00D12AFD" w:rsidP="00D12AFD">
      <w:r>
        <w:t>&lt;ESMA_QUESTION_TS_CSDR_12&gt;</w:t>
      </w:r>
    </w:p>
    <w:p w:rsidR="00D12AFD" w:rsidRPr="002C4F00" w:rsidRDefault="00D12AFD" w:rsidP="00965B03">
      <w:pPr>
        <w:pStyle w:val="Heading5"/>
        <w:ind w:left="567" w:hanging="567"/>
      </w:pPr>
      <w:r w:rsidRPr="002C4F00">
        <w:lastRenderedPageBreak/>
        <w:t>What are your views on the proposed draft RTS related to anti-avoidance rules for cash penalties and buy-in?</w:t>
      </w:r>
    </w:p>
    <w:p w:rsidR="00D12AFD" w:rsidRDefault="00D12AFD" w:rsidP="00D12AFD"/>
    <w:p w:rsidR="00D12AFD" w:rsidRDefault="00D12AFD" w:rsidP="00D12AFD">
      <w:r>
        <w:t>&lt;ESMA_QUESTION_TS_CSDR_13&gt;</w:t>
      </w:r>
    </w:p>
    <w:p w:rsidR="00810A47" w:rsidRPr="00F45130" w:rsidRDefault="00810A47" w:rsidP="00810A47">
      <w:pPr>
        <w:rPr>
          <w:rFonts w:cs="Arial"/>
        </w:rPr>
      </w:pPr>
      <w:permStart w:id="15" w:edGrp="everyone"/>
      <w:r w:rsidRPr="00F45130">
        <w:rPr>
          <w:rFonts w:cs="Arial"/>
        </w:rPr>
        <w:t>We note that if any CSDs or CCPs needs to change their settlement models to ensure consi</w:t>
      </w:r>
      <w:r w:rsidRPr="00F45130">
        <w:rPr>
          <w:rFonts w:cs="Arial"/>
        </w:rPr>
        <w:t>s</w:t>
      </w:r>
      <w:r w:rsidRPr="00F45130">
        <w:rPr>
          <w:rFonts w:cs="Arial"/>
        </w:rPr>
        <w:t xml:space="preserve">tency with the proposed anti-avoidance rule, this will likely require technical changes for both the market infrastructure and its participants.  </w:t>
      </w:r>
    </w:p>
    <w:p w:rsidR="00810A47" w:rsidRPr="00F45130" w:rsidRDefault="00810A47" w:rsidP="00810A47">
      <w:pPr>
        <w:rPr>
          <w:rFonts w:cs="Arial"/>
          <w:lang w:val="en-US"/>
        </w:rPr>
      </w:pPr>
    </w:p>
    <w:p w:rsidR="00810A47" w:rsidRPr="00F45130" w:rsidRDefault="00810A47" w:rsidP="00810A47">
      <w:pPr>
        <w:rPr>
          <w:rFonts w:cs="Arial"/>
          <w:lang w:val="en-US"/>
        </w:rPr>
      </w:pPr>
      <w:r w:rsidRPr="00F45130">
        <w:rPr>
          <w:rFonts w:cs="Arial"/>
          <w:lang w:val="en-US"/>
        </w:rPr>
        <w:t xml:space="preserve">We have taken note of ESMA’s concern that market participants could try to circumvent the requirements of the RTS when designing buy-in processes or penalty mechanisms. Provided the RTS is clear, there should be no room for circumvention. </w:t>
      </w:r>
    </w:p>
    <w:p w:rsidR="00810A47" w:rsidRPr="00F45130" w:rsidRDefault="00810A47" w:rsidP="00810A47">
      <w:pPr>
        <w:rPr>
          <w:rFonts w:cs="Arial"/>
          <w:lang w:val="en-US"/>
        </w:rPr>
      </w:pPr>
    </w:p>
    <w:p w:rsidR="00810A47" w:rsidRPr="00F45130" w:rsidRDefault="00810A47" w:rsidP="00810A47">
      <w:pPr>
        <w:rPr>
          <w:rFonts w:cs="Arial"/>
          <w:lang w:val="en-US"/>
        </w:rPr>
      </w:pPr>
      <w:r w:rsidRPr="00F45130">
        <w:rPr>
          <w:rFonts w:cs="Arial"/>
          <w:lang w:val="en-US"/>
        </w:rPr>
        <w:t>However, we are concerned about the wording of art 19 of the RTS, as it could give rise to u</w:t>
      </w:r>
      <w:r w:rsidRPr="00F45130">
        <w:rPr>
          <w:rFonts w:cs="Arial"/>
          <w:lang w:val="en-US"/>
        </w:rPr>
        <w:t>n</w:t>
      </w:r>
      <w:r w:rsidRPr="00F45130">
        <w:rPr>
          <w:rFonts w:cs="Arial"/>
          <w:lang w:val="en-US"/>
        </w:rPr>
        <w:t>certainty, and also limit the abilities of participants and CCPs to optimize settlement and net trades, specifically to:</w:t>
      </w:r>
    </w:p>
    <w:p w:rsidR="00810A47" w:rsidRPr="00F45130" w:rsidRDefault="00810A47" w:rsidP="00810A47">
      <w:pPr>
        <w:pStyle w:val="ListParagraph"/>
        <w:numPr>
          <w:ilvl w:val="0"/>
          <w:numId w:val="42"/>
        </w:numPr>
        <w:rPr>
          <w:rFonts w:cs="Arial"/>
          <w:lang w:val="en-US"/>
        </w:rPr>
      </w:pPr>
      <w:r w:rsidRPr="00F45130">
        <w:rPr>
          <w:rFonts w:cs="Arial"/>
          <w:lang w:val="en-US"/>
        </w:rPr>
        <w:t>Exercise their right to bilaterally cancel transactions, as provided for in art 7.3 of CSDR</w:t>
      </w:r>
    </w:p>
    <w:p w:rsidR="00810A47" w:rsidRPr="00F45130" w:rsidRDefault="00810A47" w:rsidP="00810A47">
      <w:pPr>
        <w:pStyle w:val="ListParagraph"/>
        <w:numPr>
          <w:ilvl w:val="0"/>
          <w:numId w:val="42"/>
        </w:numPr>
        <w:rPr>
          <w:rFonts w:cs="Arial"/>
          <w:lang w:val="en-US"/>
        </w:rPr>
      </w:pPr>
      <w:r w:rsidRPr="00F45130">
        <w:rPr>
          <w:rFonts w:cs="Arial"/>
          <w:lang w:val="en-US"/>
        </w:rPr>
        <w:t xml:space="preserve">For CCP’s, choose a netting and settlement model which is most suitable to their type of activity and client base. CSDR and the RTS should not be used to force CCPs to all adopt the same netting model or to try to erase the beneficial  effects of such netting models, most of which have been specifically designed to optimize settlement efficiency and allow offsetting trades, thereby reducing risk and avoiding fails. </w:t>
      </w:r>
      <w:r w:rsidRPr="00F45130">
        <w:rPr>
          <w:rFonts w:cs="Arial"/>
          <w:lang w:val="en-US"/>
        </w:rPr>
        <w:br/>
        <w:t>If certain CCP’s are concerned that they will be placed at an economical disadvantage, they are free to review the way they operate, but it should not be part of the RTS stan</w:t>
      </w:r>
      <w:r w:rsidRPr="00F45130">
        <w:rPr>
          <w:rFonts w:cs="Arial"/>
          <w:lang w:val="en-US"/>
        </w:rPr>
        <w:t>d</w:t>
      </w:r>
      <w:r w:rsidRPr="00F45130">
        <w:rPr>
          <w:rFonts w:cs="Arial"/>
          <w:lang w:val="en-US"/>
        </w:rPr>
        <w:t>ards</w:t>
      </w:r>
    </w:p>
    <w:p w:rsidR="00810A47" w:rsidRPr="00F45130" w:rsidRDefault="00810A47" w:rsidP="00810A47">
      <w:pPr>
        <w:rPr>
          <w:rFonts w:cs="Arial"/>
          <w:lang w:val="en-US"/>
        </w:rPr>
      </w:pPr>
    </w:p>
    <w:p w:rsidR="00810A47" w:rsidRPr="00F45130" w:rsidRDefault="00810A47" w:rsidP="00810A47">
      <w:pPr>
        <w:rPr>
          <w:rFonts w:cs="Arial"/>
          <w:lang w:val="en-US"/>
        </w:rPr>
      </w:pPr>
      <w:r w:rsidRPr="00F45130">
        <w:rPr>
          <w:rFonts w:cs="Arial"/>
          <w:lang w:val="en-US"/>
        </w:rPr>
        <w:t xml:space="preserve">We therefore strongly advocate that </w:t>
      </w:r>
      <w:r w:rsidRPr="00F45130">
        <w:rPr>
          <w:rFonts w:cs="Arial"/>
          <w:b/>
          <w:lang w:val="en-US"/>
        </w:rPr>
        <w:t>Article 19 SD-RTS</w:t>
      </w:r>
      <w:r w:rsidRPr="00F45130">
        <w:rPr>
          <w:rFonts w:cs="Arial"/>
          <w:lang w:val="en-US"/>
        </w:rPr>
        <w:t xml:space="preserve"> should be deleted in its entirety.</w:t>
      </w:r>
    </w:p>
    <w:p w:rsidR="00810A47" w:rsidRPr="00F45130" w:rsidRDefault="00810A47" w:rsidP="00810A47">
      <w:pPr>
        <w:rPr>
          <w:rFonts w:cs="Arial"/>
          <w:b/>
          <w:lang w:val="en-US"/>
        </w:rPr>
      </w:pPr>
    </w:p>
    <w:p w:rsidR="00810A47" w:rsidRPr="00F45130" w:rsidRDefault="00810A47" w:rsidP="00810A47">
      <w:pPr>
        <w:rPr>
          <w:rFonts w:cs="Arial"/>
          <w:b/>
          <w:lang w:val="en-US"/>
        </w:rPr>
      </w:pPr>
      <w:r w:rsidRPr="00F45130">
        <w:rPr>
          <w:rFonts w:cs="Arial"/>
          <w:lang w:val="en-US"/>
        </w:rPr>
        <w:t>If Art. 19 RTS is not deleted, it may cause uncertainty, confusion and disorientation on how to properly build such processes and mechanisms. It will negatively affect all parties involved in the trading, clearing and settlement process and create a risk that any efforts to further enhance settlement efficiency will be damaged. All existing and future procedures or mechanisms at CSD, CCP or trading venue level aimed at improving the settlement efficiency – and thus avoi</w:t>
      </w:r>
      <w:r w:rsidRPr="00F45130">
        <w:rPr>
          <w:rFonts w:cs="Arial"/>
          <w:lang w:val="en-US"/>
        </w:rPr>
        <w:t>d</w:t>
      </w:r>
      <w:r w:rsidRPr="00F45130">
        <w:rPr>
          <w:rFonts w:cs="Arial"/>
          <w:lang w:val="en-US"/>
        </w:rPr>
        <w:t xml:space="preserve">ing buy-ins and penalties – will be threatened to be deemed a circumvention tool. </w:t>
      </w:r>
    </w:p>
    <w:p w:rsidR="00810A47" w:rsidRPr="00F45130" w:rsidRDefault="00810A47" w:rsidP="00810A47">
      <w:pPr>
        <w:rPr>
          <w:rFonts w:cs="Arial"/>
          <w:b/>
          <w:lang w:val="en-US"/>
        </w:rPr>
      </w:pPr>
    </w:p>
    <w:p w:rsidR="00810A47" w:rsidRPr="00F45130" w:rsidRDefault="00810A47" w:rsidP="00810A47">
      <w:pPr>
        <w:rPr>
          <w:rFonts w:cs="Arial"/>
          <w:lang w:val="en-US"/>
        </w:rPr>
      </w:pPr>
      <w:r w:rsidRPr="00F45130">
        <w:rPr>
          <w:rFonts w:cs="Arial"/>
          <w:lang w:val="en-US"/>
        </w:rPr>
        <w:t>The procedures and mechanisms on settlement discipline will be part of the authorization and supervision of CSDs, CCPs, trading venues and their respective participants. In our view, no explicit wording is required.</w:t>
      </w:r>
      <w:r w:rsidRPr="00F45130" w:rsidDel="00527458">
        <w:rPr>
          <w:rFonts w:cs="Arial"/>
          <w:lang w:val="en-US"/>
        </w:rPr>
        <w:t xml:space="preserve"> </w:t>
      </w:r>
    </w:p>
    <w:p w:rsidR="00810A47" w:rsidRPr="00F45130" w:rsidRDefault="00810A47" w:rsidP="00810A47">
      <w:pPr>
        <w:rPr>
          <w:rFonts w:cs="Arial"/>
          <w:lang w:val="en-US"/>
        </w:rPr>
      </w:pPr>
      <w:r w:rsidRPr="00F45130">
        <w:rPr>
          <w:rFonts w:cs="Arial"/>
          <w:lang w:val="en-US"/>
        </w:rPr>
        <w:t xml:space="preserve">    </w:t>
      </w:r>
    </w:p>
    <w:p w:rsidR="00810A47" w:rsidRPr="00F45130" w:rsidRDefault="00810A47" w:rsidP="00810A47">
      <w:pPr>
        <w:rPr>
          <w:rFonts w:cs="Arial"/>
          <w:lang w:val="en-US"/>
        </w:rPr>
      </w:pPr>
      <w:r w:rsidRPr="00F45130">
        <w:rPr>
          <w:rFonts w:cs="Arial"/>
          <w:lang w:val="en-US"/>
        </w:rPr>
        <w:t>In paragraphs 115 and 116 of the Consultation Paper, ESMA states that all existing settlement models should continue to operate, including those that continuously recycle the instructions, when it is ensured that the cash penalty is applied “from the first day of the settlement fail and for as long as the fail remains outstanding and the timeframe for the buy-in process should be co</w:t>
      </w:r>
      <w:r w:rsidRPr="00F45130">
        <w:rPr>
          <w:rFonts w:cs="Arial"/>
          <w:lang w:val="en-US"/>
        </w:rPr>
        <w:t>m</w:t>
      </w:r>
      <w:r w:rsidRPr="00F45130">
        <w:rPr>
          <w:rFonts w:cs="Arial"/>
          <w:lang w:val="en-US"/>
        </w:rPr>
        <w:t>puted in the same manner pursuant to the regulation”. We warmly welcome these consider</w:t>
      </w:r>
      <w:r w:rsidRPr="00F45130">
        <w:rPr>
          <w:rFonts w:cs="Arial"/>
          <w:lang w:val="en-US"/>
        </w:rPr>
        <w:t>a</w:t>
      </w:r>
      <w:r w:rsidRPr="00F45130">
        <w:rPr>
          <w:rFonts w:cs="Arial"/>
          <w:lang w:val="en-US"/>
        </w:rPr>
        <w:t>tions. These should, however, be positively addressed in Section 2 and 3 of Chapter III of the RTS rather than by the introduction of a vague circumvention rule which would also affect tran</w:t>
      </w:r>
      <w:r w:rsidRPr="00F45130">
        <w:rPr>
          <w:rFonts w:cs="Arial"/>
          <w:lang w:val="en-US"/>
        </w:rPr>
        <w:t>s</w:t>
      </w:r>
      <w:r w:rsidRPr="00F45130">
        <w:rPr>
          <w:rFonts w:cs="Arial"/>
          <w:lang w:val="en-US"/>
        </w:rPr>
        <w:t>actions other than CCP-cleared.</w:t>
      </w:r>
    </w:p>
    <w:p w:rsidR="00810A47" w:rsidRPr="00F45130" w:rsidRDefault="00810A47" w:rsidP="00810A47">
      <w:pPr>
        <w:rPr>
          <w:rFonts w:cs="Arial"/>
          <w:b/>
        </w:rPr>
      </w:pPr>
    </w:p>
    <w:p w:rsidR="00810A47" w:rsidRPr="00F45130" w:rsidRDefault="00810A47" w:rsidP="00810A47">
      <w:pPr>
        <w:rPr>
          <w:rFonts w:cs="Arial"/>
          <w:lang w:val="en-US"/>
        </w:rPr>
      </w:pPr>
      <w:r w:rsidRPr="00F45130">
        <w:rPr>
          <w:rFonts w:cs="Arial"/>
          <w:lang w:val="en-US"/>
        </w:rPr>
        <w:t>Finally, it is not clear on what basis ESMA is mandated to include specific anti-avoidance rules in the RTS, nor is it clear what the consequences are of a buy-in process or penalty mechanism being “deemed to have been designed to circumvent the application of the RTS”.</w:t>
      </w:r>
    </w:p>
    <w:p w:rsidR="00D12AFD" w:rsidRDefault="006766B6" w:rsidP="00D12AFD">
      <w:r>
        <w:t xml:space="preserve"> </w:t>
      </w:r>
      <w:permEnd w:id="15"/>
      <w:r w:rsidR="00D12AFD">
        <w:t>&lt;ESMA_QUESTION_TS_CSDR_13&gt;</w:t>
      </w:r>
    </w:p>
    <w:p w:rsidR="00D12AFD" w:rsidRPr="002C4F00" w:rsidRDefault="00D12AFD" w:rsidP="00965B03">
      <w:pPr>
        <w:pStyle w:val="Heading5"/>
        <w:ind w:left="567" w:hanging="567"/>
      </w:pPr>
      <w:r w:rsidRPr="002C4F00">
        <w:lastRenderedPageBreak/>
        <w:t>Do you agree that 1</w:t>
      </w:r>
      <w:r w:rsidR="00775F04">
        <w:t>8</w:t>
      </w:r>
      <w:r w:rsidRPr="002C4F00">
        <w:t xml:space="preserve"> months would be an appropriate timeframe for the implement</w:t>
      </w:r>
      <w:r w:rsidRPr="002C4F00">
        <w:t>a</w:t>
      </w:r>
      <w:r w:rsidRPr="002C4F00">
        <w:t>tion of the settlement discipline regime under CSDR? If not, what would be an a</w:t>
      </w:r>
      <w:r w:rsidRPr="002C4F00">
        <w:t>p</w:t>
      </w:r>
      <w:r w:rsidRPr="002C4F00">
        <w:t>propriate timeframe in your opinion? Please provide concrete data and evidence justifying a phase-in for the settlement discipline measures and supporting your proposals.</w:t>
      </w:r>
    </w:p>
    <w:p w:rsidR="00D12AFD" w:rsidRDefault="00D12AFD" w:rsidP="00D12AFD"/>
    <w:p w:rsidR="00D12AFD" w:rsidRDefault="00D12AFD" w:rsidP="00D12AFD">
      <w:r>
        <w:t>&lt;ESMA_QUESTION_TS_CSDR_14&gt;</w:t>
      </w:r>
      <w:bookmarkStart w:id="3" w:name="_GoBack"/>
      <w:bookmarkEnd w:id="3"/>
    </w:p>
    <w:p w:rsidR="00810A47" w:rsidRPr="00F45130" w:rsidRDefault="00810A47" w:rsidP="00810A47">
      <w:pPr>
        <w:rPr>
          <w:rFonts w:cs="Arial"/>
          <w:bCs/>
        </w:rPr>
      </w:pPr>
      <w:permStart w:id="16" w:edGrp="everyone"/>
      <w:r w:rsidRPr="00F45130">
        <w:rPr>
          <w:rFonts w:cs="Arial"/>
          <w:bCs/>
        </w:rPr>
        <w:t>AFME agrees with ESMA on the need for sufficient time before implementation of RTS takes place as well as for a phase-in implementation. This will allow all industry participants (CSDs, CCPs and CSD participants) to perform all necessary adaptations to their systems and oper</w:t>
      </w:r>
      <w:r w:rsidRPr="00F45130">
        <w:rPr>
          <w:rFonts w:cs="Arial"/>
          <w:bCs/>
        </w:rPr>
        <w:t>a</w:t>
      </w:r>
      <w:r w:rsidRPr="00F45130">
        <w:rPr>
          <w:rFonts w:cs="Arial"/>
          <w:bCs/>
        </w:rPr>
        <w:t xml:space="preserve">tional processes to be in line with the requirements of CSDR Level 2 measures. </w:t>
      </w:r>
    </w:p>
    <w:p w:rsidR="00810A47" w:rsidRPr="00F45130" w:rsidRDefault="00810A47" w:rsidP="00810A47">
      <w:pPr>
        <w:rPr>
          <w:rFonts w:cs="Arial"/>
          <w:bCs/>
        </w:rPr>
      </w:pPr>
      <w:r w:rsidRPr="00F45130">
        <w:rPr>
          <w:rFonts w:cs="Arial"/>
          <w:bCs/>
        </w:rPr>
        <w:t>AFME believes that the impacts stemming from the CSDR RTS on CSDs and CSD participants will be significant and system/process adaptations will be required to become fully compliant. Major impacts are listed below.</w:t>
      </w:r>
    </w:p>
    <w:p w:rsidR="00810A47" w:rsidRPr="00F45130" w:rsidRDefault="00810A47" w:rsidP="00810A47">
      <w:pPr>
        <w:rPr>
          <w:rFonts w:cs="Arial"/>
          <w:bCs/>
          <w:u w:val="single"/>
        </w:rPr>
      </w:pPr>
    </w:p>
    <w:p w:rsidR="00810A47" w:rsidRPr="00F45130" w:rsidRDefault="00810A47" w:rsidP="00810A47">
      <w:pPr>
        <w:rPr>
          <w:rFonts w:cs="Arial"/>
          <w:bCs/>
          <w:u w:val="single"/>
        </w:rPr>
      </w:pPr>
      <w:r w:rsidRPr="00F45130">
        <w:rPr>
          <w:rFonts w:cs="Arial"/>
          <w:bCs/>
          <w:u w:val="single"/>
        </w:rPr>
        <w:t>Key impacts of CSDR on CSD participants and other parties involved in the settlement chain (non-exhaustive)</w:t>
      </w:r>
    </w:p>
    <w:p w:rsidR="00810A47" w:rsidRPr="00F45130" w:rsidRDefault="00810A47" w:rsidP="00810A47">
      <w:pPr>
        <w:pStyle w:val="ListParagraph"/>
        <w:numPr>
          <w:ilvl w:val="0"/>
          <w:numId w:val="41"/>
        </w:numPr>
        <w:contextualSpacing w:val="0"/>
        <w:rPr>
          <w:rFonts w:cs="Arial"/>
          <w:bCs/>
        </w:rPr>
      </w:pPr>
      <w:r w:rsidRPr="00F45130">
        <w:rPr>
          <w:rFonts w:cs="Arial"/>
          <w:bCs/>
        </w:rPr>
        <w:t>Prevention of settlement fails</w:t>
      </w:r>
    </w:p>
    <w:p w:rsidR="00810A47" w:rsidRPr="00F45130" w:rsidRDefault="00810A47" w:rsidP="00810A47">
      <w:pPr>
        <w:pStyle w:val="ListParagraph"/>
        <w:numPr>
          <w:ilvl w:val="1"/>
          <w:numId w:val="41"/>
        </w:numPr>
        <w:contextualSpacing w:val="0"/>
        <w:rPr>
          <w:rFonts w:cs="Arial"/>
          <w:bCs/>
        </w:rPr>
      </w:pPr>
      <w:r w:rsidRPr="00F45130">
        <w:rPr>
          <w:rFonts w:cs="Arial"/>
          <w:bCs/>
        </w:rPr>
        <w:t>Adaptation of information contained in the allocations sent to investment firms by their professional clients (Article 2 (1))</w:t>
      </w:r>
    </w:p>
    <w:p w:rsidR="00810A47" w:rsidRPr="00F45130" w:rsidRDefault="00810A47" w:rsidP="00810A47">
      <w:pPr>
        <w:pStyle w:val="ListParagraph"/>
        <w:numPr>
          <w:ilvl w:val="1"/>
          <w:numId w:val="41"/>
        </w:numPr>
        <w:contextualSpacing w:val="0"/>
        <w:rPr>
          <w:rFonts w:cs="Arial"/>
          <w:bCs/>
        </w:rPr>
      </w:pPr>
      <w:r w:rsidRPr="00F45130">
        <w:rPr>
          <w:rFonts w:cs="Arial"/>
          <w:bCs/>
        </w:rPr>
        <w:t>Adaptation of SLAs between investment firms and their clients to reflect new transmission timeframe of settlement details (Article 2(4))</w:t>
      </w:r>
    </w:p>
    <w:p w:rsidR="00810A47" w:rsidRPr="00F45130" w:rsidRDefault="00810A47" w:rsidP="00810A47">
      <w:pPr>
        <w:pStyle w:val="ListParagraph"/>
        <w:numPr>
          <w:ilvl w:val="1"/>
          <w:numId w:val="41"/>
        </w:numPr>
        <w:contextualSpacing w:val="0"/>
        <w:rPr>
          <w:rFonts w:cs="Arial"/>
          <w:bCs/>
        </w:rPr>
      </w:pPr>
      <w:r w:rsidRPr="00F45130">
        <w:rPr>
          <w:rFonts w:cs="Arial"/>
          <w:bCs/>
        </w:rPr>
        <w:t>Adaptation of investment’s firms systems to adopt all mandatory matching fields required under the new RTS (Article 3 (3)) – requirement for a new field to be i</w:t>
      </w:r>
      <w:r w:rsidRPr="00F45130">
        <w:rPr>
          <w:rFonts w:cs="Arial"/>
          <w:bCs/>
        </w:rPr>
        <w:t>n</w:t>
      </w:r>
      <w:r w:rsidRPr="00F45130">
        <w:rPr>
          <w:rFonts w:cs="Arial"/>
          <w:bCs/>
        </w:rPr>
        <w:t>corporated, a new ISO harmonised use is to be agreed and tested</w:t>
      </w:r>
    </w:p>
    <w:p w:rsidR="00810A47" w:rsidRPr="00F45130" w:rsidRDefault="00810A47" w:rsidP="00810A47">
      <w:pPr>
        <w:pStyle w:val="ListParagraph"/>
        <w:numPr>
          <w:ilvl w:val="1"/>
          <w:numId w:val="41"/>
        </w:numPr>
        <w:contextualSpacing w:val="0"/>
        <w:rPr>
          <w:rFonts w:cs="Arial"/>
          <w:bCs/>
        </w:rPr>
      </w:pPr>
      <w:r w:rsidRPr="00F45130">
        <w:rPr>
          <w:rFonts w:cs="Arial"/>
          <w:bCs/>
        </w:rPr>
        <w:t>Adaptation of systems and internal processes to allow investment firms to monitor real time gross settlement (RTGS) throughout each business day (Article 3 (10))</w:t>
      </w:r>
    </w:p>
    <w:p w:rsidR="00810A47" w:rsidRPr="00F45130" w:rsidRDefault="00810A47" w:rsidP="00810A47">
      <w:pPr>
        <w:pStyle w:val="ListParagraph"/>
        <w:numPr>
          <w:ilvl w:val="0"/>
          <w:numId w:val="41"/>
        </w:numPr>
        <w:contextualSpacing w:val="0"/>
        <w:rPr>
          <w:rFonts w:cs="Arial"/>
          <w:bCs/>
        </w:rPr>
      </w:pPr>
      <w:r w:rsidRPr="00F45130">
        <w:rPr>
          <w:rFonts w:cs="Arial"/>
          <w:bCs/>
        </w:rPr>
        <w:t>Cash settlement penalties</w:t>
      </w:r>
    </w:p>
    <w:p w:rsidR="00810A47" w:rsidRPr="00F45130" w:rsidRDefault="00810A47" w:rsidP="00810A47">
      <w:pPr>
        <w:pStyle w:val="ListParagraph"/>
        <w:numPr>
          <w:ilvl w:val="1"/>
          <w:numId w:val="41"/>
        </w:numPr>
        <w:contextualSpacing w:val="0"/>
        <w:rPr>
          <w:rFonts w:cs="Arial"/>
          <w:bCs/>
        </w:rPr>
      </w:pPr>
      <w:r w:rsidRPr="00F45130">
        <w:rPr>
          <w:rFonts w:cs="Arial"/>
          <w:bCs/>
        </w:rPr>
        <w:t>Development of systems/processes for managing cash settlement penalties (pass on cash penalties to clients)</w:t>
      </w:r>
    </w:p>
    <w:p w:rsidR="00810A47" w:rsidRPr="00F45130" w:rsidRDefault="00810A47" w:rsidP="00810A47">
      <w:pPr>
        <w:pStyle w:val="ListParagraph"/>
        <w:numPr>
          <w:ilvl w:val="1"/>
          <w:numId w:val="41"/>
        </w:numPr>
        <w:contextualSpacing w:val="0"/>
        <w:rPr>
          <w:rFonts w:cs="Arial"/>
          <w:bCs/>
        </w:rPr>
      </w:pPr>
      <w:r w:rsidRPr="00F45130">
        <w:rPr>
          <w:rFonts w:cs="Arial"/>
          <w:bCs/>
        </w:rPr>
        <w:t>Redrafting and re-negotiations of contracts with clients to cater for pass-on of charges</w:t>
      </w:r>
    </w:p>
    <w:p w:rsidR="00810A47" w:rsidRPr="00F45130" w:rsidRDefault="00810A47" w:rsidP="00810A47">
      <w:pPr>
        <w:pStyle w:val="ListParagraph"/>
        <w:numPr>
          <w:ilvl w:val="1"/>
          <w:numId w:val="41"/>
        </w:numPr>
        <w:contextualSpacing w:val="0"/>
        <w:rPr>
          <w:rFonts w:cs="Arial"/>
          <w:bCs/>
        </w:rPr>
      </w:pPr>
      <w:r w:rsidRPr="00F45130">
        <w:rPr>
          <w:rFonts w:cs="Arial"/>
          <w:bCs/>
        </w:rPr>
        <w:t>Potential changes needed to existing settlement pending reports to cater for add</w:t>
      </w:r>
      <w:r w:rsidRPr="00F45130">
        <w:rPr>
          <w:rFonts w:cs="Arial"/>
          <w:bCs/>
        </w:rPr>
        <w:t>i</w:t>
      </w:r>
      <w:r w:rsidRPr="00F45130">
        <w:rPr>
          <w:rFonts w:cs="Arial"/>
          <w:bCs/>
        </w:rPr>
        <w:t>tional information on incurred / received penalties</w:t>
      </w:r>
    </w:p>
    <w:p w:rsidR="00810A47" w:rsidRPr="00F45130" w:rsidRDefault="00810A47" w:rsidP="00810A47">
      <w:pPr>
        <w:pStyle w:val="ListParagraph"/>
        <w:numPr>
          <w:ilvl w:val="0"/>
          <w:numId w:val="41"/>
        </w:numPr>
        <w:contextualSpacing w:val="0"/>
        <w:rPr>
          <w:rFonts w:cs="Arial"/>
          <w:bCs/>
        </w:rPr>
      </w:pPr>
      <w:r w:rsidRPr="00F45130">
        <w:rPr>
          <w:rFonts w:cs="Arial"/>
          <w:bCs/>
        </w:rPr>
        <w:t>Buy-ins</w:t>
      </w:r>
    </w:p>
    <w:p w:rsidR="00810A47" w:rsidRPr="00F45130" w:rsidRDefault="00810A47" w:rsidP="00810A47">
      <w:pPr>
        <w:pStyle w:val="ListParagraph"/>
        <w:numPr>
          <w:ilvl w:val="1"/>
          <w:numId w:val="41"/>
        </w:numPr>
        <w:contextualSpacing w:val="0"/>
        <w:rPr>
          <w:rFonts w:cs="Arial"/>
          <w:bCs/>
        </w:rPr>
      </w:pPr>
      <w:r w:rsidRPr="00F45130">
        <w:rPr>
          <w:rFonts w:cs="Arial"/>
          <w:bCs/>
        </w:rPr>
        <w:t>Development of systems/processes to facilitate the necessary exchange of info</w:t>
      </w:r>
      <w:r w:rsidRPr="00F45130">
        <w:rPr>
          <w:rFonts w:cs="Arial"/>
          <w:bCs/>
        </w:rPr>
        <w:t>r</w:t>
      </w:r>
      <w:r w:rsidRPr="00F45130">
        <w:rPr>
          <w:rFonts w:cs="Arial"/>
          <w:bCs/>
        </w:rPr>
        <w:t>mation to support the buy-in process</w:t>
      </w:r>
    </w:p>
    <w:p w:rsidR="00810A47" w:rsidRPr="00F45130" w:rsidRDefault="00810A47" w:rsidP="00810A47">
      <w:pPr>
        <w:pStyle w:val="ListParagraph"/>
        <w:numPr>
          <w:ilvl w:val="1"/>
          <w:numId w:val="41"/>
        </w:numPr>
        <w:contextualSpacing w:val="0"/>
        <w:rPr>
          <w:rFonts w:cs="Arial"/>
          <w:bCs/>
        </w:rPr>
      </w:pPr>
      <w:r w:rsidRPr="00F45130">
        <w:rPr>
          <w:rFonts w:cs="Arial"/>
          <w:bCs/>
        </w:rPr>
        <w:t>Creation of new message types in ISO standard to support automated processing of buy-in notices</w:t>
      </w:r>
    </w:p>
    <w:p w:rsidR="00810A47" w:rsidRPr="00F45130" w:rsidRDefault="00810A47" w:rsidP="00810A47">
      <w:pPr>
        <w:pStyle w:val="ListParagraph"/>
        <w:numPr>
          <w:ilvl w:val="1"/>
          <w:numId w:val="41"/>
        </w:numPr>
        <w:contextualSpacing w:val="0"/>
        <w:rPr>
          <w:rFonts w:cs="Arial"/>
          <w:bCs/>
        </w:rPr>
      </w:pPr>
      <w:r w:rsidRPr="00F45130">
        <w:rPr>
          <w:rFonts w:cs="Arial"/>
          <w:bCs/>
        </w:rPr>
        <w:t>Re-drafting of GMRA’s and GMSLA’s to incorporate mandatory buy-in requir</w:t>
      </w:r>
      <w:r w:rsidRPr="00F45130">
        <w:rPr>
          <w:rFonts w:cs="Arial"/>
          <w:bCs/>
        </w:rPr>
        <w:t>e</w:t>
      </w:r>
      <w:r w:rsidRPr="00F45130">
        <w:rPr>
          <w:rFonts w:cs="Arial"/>
          <w:bCs/>
        </w:rPr>
        <w:t>ments (as necessary.) This has a global impact and not just on European repo and SBL counterparties.</w:t>
      </w:r>
    </w:p>
    <w:p w:rsidR="00810A47" w:rsidRPr="00F45130" w:rsidRDefault="00810A47" w:rsidP="00810A47">
      <w:pPr>
        <w:pStyle w:val="ListParagraph"/>
        <w:numPr>
          <w:ilvl w:val="1"/>
          <w:numId w:val="41"/>
        </w:numPr>
        <w:contextualSpacing w:val="0"/>
        <w:rPr>
          <w:rFonts w:cs="Arial"/>
          <w:bCs/>
        </w:rPr>
      </w:pPr>
      <w:r w:rsidRPr="00F45130">
        <w:rPr>
          <w:rFonts w:cs="Arial"/>
          <w:bCs/>
        </w:rPr>
        <w:t>Testing of new processes to ensure designed processes and messages work as envisaged</w:t>
      </w:r>
    </w:p>
    <w:p w:rsidR="00810A47" w:rsidRPr="00F45130" w:rsidRDefault="00810A47" w:rsidP="00810A47">
      <w:pPr>
        <w:pStyle w:val="ListParagraph"/>
        <w:numPr>
          <w:ilvl w:val="1"/>
          <w:numId w:val="41"/>
        </w:numPr>
        <w:contextualSpacing w:val="0"/>
        <w:rPr>
          <w:rFonts w:cs="Arial"/>
          <w:bCs/>
        </w:rPr>
      </w:pPr>
      <w:r w:rsidRPr="00F45130">
        <w:rPr>
          <w:rFonts w:cs="Arial"/>
          <w:bCs/>
        </w:rPr>
        <w:t>Preparation of legal basis in the underlying custody contracts</w:t>
      </w:r>
    </w:p>
    <w:p w:rsidR="00810A47" w:rsidRPr="00F45130" w:rsidRDefault="00810A47" w:rsidP="00810A47">
      <w:pPr>
        <w:rPr>
          <w:rFonts w:cs="Arial"/>
          <w:szCs w:val="22"/>
        </w:rPr>
      </w:pPr>
    </w:p>
    <w:p w:rsidR="00810A47" w:rsidRDefault="00810A47" w:rsidP="00810A47">
      <w:pPr>
        <w:rPr>
          <w:rFonts w:cs="Arial"/>
          <w:bCs/>
        </w:rPr>
      </w:pPr>
      <w:r w:rsidRPr="00F45130">
        <w:rPr>
          <w:rFonts w:cs="Arial"/>
          <w:bCs/>
        </w:rPr>
        <w:t xml:space="preserve">Additionally AFME </w:t>
      </w:r>
      <w:r w:rsidR="00EF35A7">
        <w:rPr>
          <w:rFonts w:cs="Arial"/>
          <w:bCs/>
        </w:rPr>
        <w:t>is</w:t>
      </w:r>
      <w:r w:rsidRPr="00F45130">
        <w:rPr>
          <w:rFonts w:cs="Arial"/>
          <w:bCs/>
        </w:rPr>
        <w:t xml:space="preserve"> aware that the requirements also impose significant challenges to CSDs. These also need to be taken into consideration when determining the best time to apply new settlement discipline rules or additional functionality such as “hold and release” or “partial” se</w:t>
      </w:r>
      <w:r w:rsidRPr="00F45130">
        <w:rPr>
          <w:rFonts w:cs="Arial"/>
          <w:bCs/>
        </w:rPr>
        <w:t>t</w:t>
      </w:r>
      <w:r w:rsidRPr="00F45130">
        <w:rPr>
          <w:rFonts w:cs="Arial"/>
          <w:bCs/>
        </w:rPr>
        <w:t>tlement. While the new functionality will probably be covered to a great extent by T2S, non-T2S CSDs will also have to comply with those requirements.</w:t>
      </w:r>
    </w:p>
    <w:p w:rsidR="00DD0D41" w:rsidRPr="00F45130" w:rsidRDefault="00DD0D41" w:rsidP="00810A47">
      <w:pPr>
        <w:rPr>
          <w:rFonts w:cs="Arial"/>
          <w:bCs/>
        </w:rPr>
      </w:pPr>
    </w:p>
    <w:p w:rsidR="00810A47" w:rsidRPr="00F45130" w:rsidRDefault="00810A47" w:rsidP="00810A47">
      <w:pPr>
        <w:rPr>
          <w:rFonts w:cs="Arial"/>
          <w:bCs/>
        </w:rPr>
      </w:pPr>
      <w:r w:rsidRPr="00F45130">
        <w:rPr>
          <w:rFonts w:cs="Arial"/>
          <w:bCs/>
        </w:rPr>
        <w:t>As a result AFME would like to emphasize that for reasons that are analyzed above an impl</w:t>
      </w:r>
      <w:r w:rsidRPr="00F45130">
        <w:rPr>
          <w:rFonts w:cs="Arial"/>
          <w:bCs/>
        </w:rPr>
        <w:t>e</w:t>
      </w:r>
      <w:r w:rsidRPr="00F45130">
        <w:rPr>
          <w:rFonts w:cs="Arial"/>
          <w:bCs/>
        </w:rPr>
        <w:t xml:space="preserve">mentation period of 18 months </w:t>
      </w:r>
      <w:r w:rsidR="00EF35A7">
        <w:rPr>
          <w:rFonts w:cs="Arial"/>
          <w:bCs/>
        </w:rPr>
        <w:t>is likely to</w:t>
      </w:r>
      <w:r w:rsidRPr="00F45130">
        <w:rPr>
          <w:rFonts w:cs="Arial"/>
          <w:bCs/>
        </w:rPr>
        <w:t xml:space="preserve"> be insufficient </w:t>
      </w:r>
      <w:r w:rsidR="00EF35A7">
        <w:rPr>
          <w:rFonts w:cs="Arial"/>
          <w:bCs/>
        </w:rPr>
        <w:t>to</w:t>
      </w:r>
      <w:r w:rsidRPr="00F45130">
        <w:rPr>
          <w:rFonts w:cs="Arial"/>
          <w:bCs/>
        </w:rPr>
        <w:t xml:space="preserve"> allow CSDs and CSD participants to implement changes required by the RTS.</w:t>
      </w:r>
    </w:p>
    <w:p w:rsidR="00810A47" w:rsidRPr="00F45130" w:rsidRDefault="00810A47" w:rsidP="00810A47">
      <w:pPr>
        <w:rPr>
          <w:rFonts w:cs="Arial"/>
          <w:bCs/>
        </w:rPr>
      </w:pPr>
    </w:p>
    <w:p w:rsidR="00810A47" w:rsidRPr="00F45130" w:rsidRDefault="00810A47" w:rsidP="00810A47">
      <w:pPr>
        <w:rPr>
          <w:rFonts w:cs="Arial"/>
          <w:bCs/>
        </w:rPr>
      </w:pPr>
      <w:r w:rsidRPr="00F45130">
        <w:rPr>
          <w:rFonts w:cs="Arial"/>
          <w:bCs/>
        </w:rPr>
        <w:t>In addition to the complexity of above elements, there are concerns to be raised with respect to the proposed timeline of 18 months after the publication of the RTS, which would point to an implementation deadline around mid-2017. The main concern relates to how this timeline would align with the migration activities for T2S, which will extend until February 2017 for the 4th migr</w:t>
      </w:r>
      <w:r w:rsidRPr="00F45130">
        <w:rPr>
          <w:rFonts w:cs="Arial"/>
          <w:bCs/>
        </w:rPr>
        <w:t>a</w:t>
      </w:r>
      <w:r w:rsidRPr="00F45130">
        <w:rPr>
          <w:rFonts w:cs="Arial"/>
          <w:bCs/>
        </w:rPr>
        <w:t>tion wave, and possibly up to May 2017 in case an emergency migration wave need</w:t>
      </w:r>
      <w:r w:rsidR="00EF35A7">
        <w:rPr>
          <w:rFonts w:cs="Arial"/>
          <w:bCs/>
        </w:rPr>
        <w:t>s</w:t>
      </w:r>
      <w:r w:rsidRPr="00F45130">
        <w:rPr>
          <w:rFonts w:cs="Arial"/>
          <w:bCs/>
        </w:rPr>
        <w:t xml:space="preserve"> to be adopted. Moreover it is foreseen that following completion of the T2S migration a phase of mon</w:t>
      </w:r>
      <w:r w:rsidRPr="00F45130">
        <w:rPr>
          <w:rFonts w:cs="Arial"/>
          <w:bCs/>
        </w:rPr>
        <w:t>i</w:t>
      </w:r>
      <w:r w:rsidRPr="00F45130">
        <w:rPr>
          <w:rFonts w:cs="Arial"/>
          <w:bCs/>
        </w:rPr>
        <w:t>toring system stability and performance will be conducted. This will allow all market participants to get used to the platform and revised settlement process. AFME members believe</w:t>
      </w:r>
      <w:r w:rsidRPr="00F45130" w:rsidDel="009803AD">
        <w:rPr>
          <w:rFonts w:cs="Arial"/>
          <w:bCs/>
        </w:rPr>
        <w:t xml:space="preserve"> </w:t>
      </w:r>
      <w:r w:rsidRPr="00F45130">
        <w:rPr>
          <w:rFonts w:cs="Arial"/>
          <w:bCs/>
        </w:rPr>
        <w:t>that T2S will be the logical place for the implementation of a central operational utility for the management of settlement penalties across all participating CSDs. Nonetheless and given the current planning stage it is very unlikely that the technical specifications, system development, testing, impleme</w:t>
      </w:r>
      <w:r w:rsidRPr="00F45130">
        <w:rPr>
          <w:rFonts w:cs="Arial"/>
          <w:bCs/>
        </w:rPr>
        <w:t>n</w:t>
      </w:r>
      <w:r w:rsidRPr="00F45130">
        <w:rPr>
          <w:rFonts w:cs="Arial"/>
          <w:bCs/>
        </w:rPr>
        <w:t>tation and assessment of any operational impacts may all be completed within only 3-4 months after the end of the T2S migration period. Requesting market participants to mobilize additional resources to cater for the parallel introduction of settlement discipline functions at multiple levels would endanger the successful migration towards T2S.</w:t>
      </w:r>
    </w:p>
    <w:p w:rsidR="00810A47" w:rsidRPr="00F45130" w:rsidRDefault="00810A47" w:rsidP="00810A47">
      <w:pPr>
        <w:rPr>
          <w:rFonts w:cs="Arial"/>
          <w:bCs/>
        </w:rPr>
      </w:pPr>
    </w:p>
    <w:p w:rsidR="00810A47" w:rsidRPr="00F45130" w:rsidRDefault="00810A47" w:rsidP="00810A47">
      <w:pPr>
        <w:rPr>
          <w:rFonts w:cs="Arial"/>
          <w:bCs/>
        </w:rPr>
      </w:pPr>
      <w:r w:rsidRPr="00F45130">
        <w:rPr>
          <w:rFonts w:eastAsia="Calibri" w:cs="Arial"/>
          <w:szCs w:val="22"/>
          <w:lang w:val="en-US" w:eastAsia="en-US"/>
        </w:rPr>
        <w:t>On current time lines it is anticipated that the “last-wave” CSDs would have to implement chan</w:t>
      </w:r>
      <w:r w:rsidRPr="00F45130">
        <w:rPr>
          <w:rFonts w:eastAsia="Calibri" w:cs="Arial"/>
          <w:szCs w:val="22"/>
          <w:lang w:val="en-US" w:eastAsia="en-US"/>
        </w:rPr>
        <w:t>g</w:t>
      </w:r>
      <w:r w:rsidRPr="00F45130">
        <w:rPr>
          <w:rFonts w:eastAsia="Calibri" w:cs="Arial"/>
          <w:szCs w:val="22"/>
          <w:lang w:val="en-US" w:eastAsia="en-US"/>
        </w:rPr>
        <w:t xml:space="preserve">es to their (legacy) systems around February 2017 while they are in the middle of their migration to T2S. Once migrated T2S would probably provide some of the required services, which would incur significant “throw-away” costs not only for the CSDs but also for participants active in those markets. </w:t>
      </w:r>
    </w:p>
    <w:p w:rsidR="00810A47" w:rsidRPr="00F45130" w:rsidRDefault="00810A47" w:rsidP="00810A47">
      <w:pPr>
        <w:rPr>
          <w:rFonts w:cs="Arial"/>
          <w:bCs/>
        </w:rPr>
      </w:pPr>
      <w:r w:rsidRPr="00F45130">
        <w:rPr>
          <w:rFonts w:cs="Arial"/>
          <w:bCs/>
        </w:rPr>
        <w:t xml:space="preserve">ESMA </w:t>
      </w:r>
      <w:r w:rsidR="00EF35A7">
        <w:rPr>
          <w:rFonts w:cs="Arial"/>
          <w:bCs/>
        </w:rPr>
        <w:t xml:space="preserve">should consider that </w:t>
      </w:r>
      <w:r w:rsidRPr="00F45130">
        <w:rPr>
          <w:rFonts w:cs="Arial"/>
          <w:bCs/>
        </w:rPr>
        <w:t xml:space="preserve">the implementation of the proposed buy-in regime, which would cater for an efficient handling of the buy-in process, may also require certain development time and resources. To our knowledge currently no electronic </w:t>
      </w:r>
      <w:r w:rsidR="00EF35A7">
        <w:rPr>
          <w:rFonts w:cs="Arial"/>
          <w:bCs/>
        </w:rPr>
        <w:t>messaging system</w:t>
      </w:r>
      <w:r w:rsidRPr="00F45130">
        <w:rPr>
          <w:rFonts w:cs="Arial"/>
          <w:bCs/>
        </w:rPr>
        <w:t xml:space="preserve"> exist</w:t>
      </w:r>
      <w:r w:rsidR="00EF35A7">
        <w:rPr>
          <w:rFonts w:cs="Arial"/>
          <w:bCs/>
        </w:rPr>
        <w:t>s</w:t>
      </w:r>
      <w:r w:rsidRPr="00F45130">
        <w:rPr>
          <w:rFonts w:cs="Arial"/>
          <w:bCs/>
        </w:rPr>
        <w:t xml:space="preserve"> which would provide for a “straight-through-processing” of buy-ins within firms. Such process would ideally also incorporate the communication within any chain including CCPs. In addition CSDs would have to cater to receive copies of the messages to be informed of the status of the buy-ins. The development of about 30 new messages in the context of T2S  required extensive agreement amongst the standard setting entities, i.e. SWIFT / ISO as well as coordination within the indu</w:t>
      </w:r>
      <w:r w:rsidRPr="00F45130">
        <w:rPr>
          <w:rFonts w:cs="Arial"/>
          <w:bCs/>
        </w:rPr>
        <w:t>s</w:t>
      </w:r>
      <w:r w:rsidRPr="00F45130">
        <w:rPr>
          <w:rFonts w:cs="Arial"/>
          <w:bCs/>
        </w:rPr>
        <w:t>try to agree on the content of the messages and lasted significantly longer than the 18 months, currently suggested by ESMA in its RTS.</w:t>
      </w:r>
    </w:p>
    <w:p w:rsidR="00810A47" w:rsidRPr="00F45130" w:rsidRDefault="00810A47" w:rsidP="00810A47">
      <w:pPr>
        <w:rPr>
          <w:rFonts w:cs="Arial"/>
          <w:bCs/>
        </w:rPr>
      </w:pPr>
    </w:p>
    <w:p w:rsidR="00810A47" w:rsidRPr="00F45130" w:rsidRDefault="00810A47" w:rsidP="00810A47">
      <w:pPr>
        <w:rPr>
          <w:rFonts w:cs="Arial"/>
          <w:bCs/>
        </w:rPr>
      </w:pPr>
      <w:r w:rsidRPr="00F45130">
        <w:rPr>
          <w:rFonts w:cs="Arial"/>
          <w:bCs/>
        </w:rPr>
        <w:t xml:space="preserve">In addition, AFME has coordinated a survey amongst its members and has tried to quantify the impact in terms of budget required as well as time needed. The feedback </w:t>
      </w:r>
      <w:r w:rsidR="00EF35A7">
        <w:rPr>
          <w:rFonts w:cs="Arial"/>
          <w:bCs/>
        </w:rPr>
        <w:t xml:space="preserve">was provided by a broad spectrum of </w:t>
      </w:r>
      <w:r w:rsidRPr="00F45130">
        <w:rPr>
          <w:rFonts w:cs="Arial"/>
          <w:bCs/>
        </w:rPr>
        <w:t xml:space="preserve">industry </w:t>
      </w:r>
      <w:r w:rsidR="001847A8" w:rsidRPr="00F45130">
        <w:rPr>
          <w:rFonts w:cs="Arial"/>
          <w:bCs/>
        </w:rPr>
        <w:t>participants active</w:t>
      </w:r>
      <w:r w:rsidR="001847A8">
        <w:rPr>
          <w:rFonts w:cs="Arial"/>
          <w:bCs/>
        </w:rPr>
        <w:t xml:space="preserve"> within AFME. (Figure 3</w:t>
      </w:r>
      <w:r w:rsidRPr="00F45130">
        <w:rPr>
          <w:rFonts w:cs="Arial"/>
          <w:bCs/>
        </w:rPr>
        <w:t>)</w:t>
      </w:r>
    </w:p>
    <w:p w:rsidR="00810A47" w:rsidRPr="00F45130" w:rsidRDefault="00810A47" w:rsidP="00810A47">
      <w:pPr>
        <w:rPr>
          <w:rFonts w:cs="Arial"/>
          <w:bCs/>
        </w:rPr>
      </w:pPr>
    </w:p>
    <w:p w:rsidR="00DD0D41" w:rsidRDefault="00810A47" w:rsidP="00810A47">
      <w:pPr>
        <w:pStyle w:val="Caption"/>
        <w:rPr>
          <w:rFonts w:cs="Arial"/>
          <w:bCs w:val="0"/>
        </w:rPr>
      </w:pPr>
      <w:r w:rsidRPr="00F45130">
        <w:rPr>
          <w:rFonts w:cs="Arial"/>
          <w:bCs w:val="0"/>
          <w:noProof/>
          <w:lang w:val="en-US" w:eastAsia="en-US"/>
        </w:rPr>
        <w:lastRenderedPageBreak/>
        <w:drawing>
          <wp:inline distT="0" distB="0" distL="0" distR="0">
            <wp:extent cx="5553075" cy="2505075"/>
            <wp:effectExtent l="19050" t="0" r="9525" b="0"/>
            <wp:docPr id="15" name="Picture 10"/>
            <wp:cNvGraphicFramePr/>
            <a:graphic xmlns:a="http://schemas.openxmlformats.org/drawingml/2006/main">
              <a:graphicData uri="http://schemas.openxmlformats.org/drawingml/2006/picture">
                <pic:pic xmlns:pic="http://schemas.openxmlformats.org/drawingml/2006/picture">
                  <pic:nvPicPr>
                    <pic:cNvPr id="3" name="REV_cYJd13jQxq505Vj_RP_87zTuxYiNbn0D9H.png"/>
                    <pic:cNvPicPr>
                      <a:picLocks noGrp="1" noChangeAspect="1"/>
                    </pic:cNvPicPr>
                  </pic:nvPicPr>
                  <pic:blipFill>
                    <a:blip r:embed="rId19" cstate="print"/>
                    <a:stretch>
                      <a:fillRect/>
                    </a:stretch>
                  </pic:blipFill>
                  <pic:spPr>
                    <a:xfrm>
                      <a:off x="0" y="0"/>
                      <a:ext cx="5555080" cy="2505979"/>
                    </a:xfrm>
                    <a:prstGeom prst="rect">
                      <a:avLst/>
                    </a:prstGeom>
                  </pic:spPr>
                </pic:pic>
              </a:graphicData>
            </a:graphic>
          </wp:inline>
        </w:drawing>
      </w:r>
      <w:r w:rsidRPr="00F45130">
        <w:rPr>
          <w:rFonts w:cs="Arial"/>
          <w:bCs w:val="0"/>
        </w:rPr>
        <w:t xml:space="preserve"> </w:t>
      </w:r>
    </w:p>
    <w:p w:rsidR="00810A47" w:rsidRPr="00F45130" w:rsidRDefault="00810A47" w:rsidP="00810A47">
      <w:pPr>
        <w:pStyle w:val="Caption"/>
        <w:rPr>
          <w:rFonts w:cs="Arial"/>
          <w:bCs w:val="0"/>
        </w:rPr>
      </w:pPr>
      <w:r w:rsidRPr="00F45130">
        <w:rPr>
          <w:rFonts w:cs="Arial"/>
        </w:rPr>
        <w:t xml:space="preserve">Figure </w:t>
      </w:r>
      <w:r w:rsidR="00EC1027" w:rsidRPr="00F45130">
        <w:rPr>
          <w:rFonts w:cs="Arial"/>
        </w:rPr>
        <w:fldChar w:fldCharType="begin"/>
      </w:r>
      <w:r w:rsidRPr="00F45130">
        <w:rPr>
          <w:rFonts w:cs="Arial"/>
        </w:rPr>
        <w:instrText xml:space="preserve"> SEQ Figure \* ARABIC </w:instrText>
      </w:r>
      <w:r w:rsidR="00EC1027" w:rsidRPr="00F45130">
        <w:rPr>
          <w:rFonts w:cs="Arial"/>
        </w:rPr>
        <w:fldChar w:fldCharType="separate"/>
      </w:r>
      <w:r w:rsidR="002F4894">
        <w:rPr>
          <w:rFonts w:cs="Arial"/>
          <w:noProof/>
        </w:rPr>
        <w:t>3</w:t>
      </w:r>
      <w:r w:rsidR="00EC1027" w:rsidRPr="00F45130">
        <w:rPr>
          <w:rFonts w:cs="Arial"/>
        </w:rPr>
        <w:fldChar w:fldCharType="end"/>
      </w:r>
      <w:r w:rsidRPr="00F45130">
        <w:rPr>
          <w:rFonts w:cs="Arial"/>
        </w:rPr>
        <w:t>: Survey participants</w:t>
      </w:r>
    </w:p>
    <w:p w:rsidR="00810A47" w:rsidRPr="00F45130" w:rsidRDefault="00810A47" w:rsidP="00810A47">
      <w:pPr>
        <w:rPr>
          <w:rFonts w:cs="Arial"/>
          <w:bCs/>
        </w:rPr>
      </w:pPr>
      <w:r w:rsidRPr="00F45130">
        <w:rPr>
          <w:rFonts w:cs="Arial"/>
          <w:bCs/>
        </w:rPr>
        <w:t>The results have shown that:</w:t>
      </w:r>
    </w:p>
    <w:p w:rsidR="00810A47" w:rsidRPr="00F45130" w:rsidRDefault="00810A47" w:rsidP="00FB266C">
      <w:pPr>
        <w:pStyle w:val="ListParagraph"/>
        <w:numPr>
          <w:ilvl w:val="0"/>
          <w:numId w:val="70"/>
        </w:numPr>
        <w:rPr>
          <w:rFonts w:cs="Arial"/>
          <w:bCs/>
        </w:rPr>
      </w:pPr>
      <w:r w:rsidRPr="00F45130">
        <w:rPr>
          <w:rFonts w:cs="Arial"/>
          <w:bCs/>
        </w:rPr>
        <w:t>56% of respondents estimate that processes/systems adaptation for compliance with the proposed ESMA’s RTS will cost to firms between 1 and 5 million Euros.</w:t>
      </w:r>
    </w:p>
    <w:p w:rsidR="00810A47" w:rsidRPr="00F45130" w:rsidRDefault="00810A47" w:rsidP="00810A47">
      <w:pPr>
        <w:rPr>
          <w:rFonts w:cs="Arial"/>
          <w:bCs/>
        </w:rPr>
      </w:pPr>
    </w:p>
    <w:p w:rsidR="00810A47" w:rsidRPr="00F45130" w:rsidRDefault="00810A47" w:rsidP="00FB266C">
      <w:pPr>
        <w:pStyle w:val="ListParagraph"/>
        <w:numPr>
          <w:ilvl w:val="0"/>
          <w:numId w:val="70"/>
        </w:numPr>
        <w:rPr>
          <w:rFonts w:cs="Arial"/>
          <w:bCs/>
        </w:rPr>
      </w:pPr>
      <w:r w:rsidRPr="00F45130">
        <w:rPr>
          <w:rFonts w:cs="Arial"/>
          <w:bCs/>
        </w:rPr>
        <w:t>96% of respondents have stated that the proposed RTS will have a high (negative) i</w:t>
      </w:r>
      <w:r w:rsidRPr="00F45130">
        <w:rPr>
          <w:rFonts w:cs="Arial"/>
          <w:bCs/>
        </w:rPr>
        <w:t>m</w:t>
      </w:r>
      <w:r w:rsidRPr="00F45130">
        <w:rPr>
          <w:rFonts w:cs="Arial"/>
          <w:bCs/>
        </w:rPr>
        <w:t>pact on their organization.</w:t>
      </w:r>
    </w:p>
    <w:p w:rsidR="00810A47" w:rsidRPr="00F45130" w:rsidRDefault="00810A47" w:rsidP="00810A47">
      <w:pPr>
        <w:rPr>
          <w:rFonts w:cs="Arial"/>
          <w:bCs/>
        </w:rPr>
      </w:pPr>
      <w:r w:rsidRPr="00F45130">
        <w:rPr>
          <w:rFonts w:cs="Arial"/>
          <w:bCs/>
          <w:noProof/>
          <w:lang w:val="en-US" w:eastAsia="en-US"/>
        </w:rPr>
        <w:drawing>
          <wp:inline distT="0" distB="0" distL="0" distR="0">
            <wp:extent cx="5278755" cy="2375440"/>
            <wp:effectExtent l="19050" t="0" r="0" b="0"/>
            <wp:docPr id="16" name="Picture 11"/>
            <wp:cNvGraphicFramePr/>
            <a:graphic xmlns:a="http://schemas.openxmlformats.org/drawingml/2006/main">
              <a:graphicData uri="http://schemas.openxmlformats.org/drawingml/2006/picture">
                <pic:pic xmlns:pic="http://schemas.openxmlformats.org/drawingml/2006/picture">
                  <pic:nvPicPr>
                    <pic:cNvPr id="3" name="REV_6GppUWb8t9sAzVH_RP_87zTuxYiNbn0D9H.png"/>
                    <pic:cNvPicPr>
                      <a:picLocks noGrp="1" noChangeAspect="1"/>
                    </pic:cNvPicPr>
                  </pic:nvPicPr>
                  <pic:blipFill>
                    <a:blip r:embed="rId20" cstate="print"/>
                    <a:stretch>
                      <a:fillRect/>
                    </a:stretch>
                  </pic:blipFill>
                  <pic:spPr>
                    <a:xfrm>
                      <a:off x="0" y="0"/>
                      <a:ext cx="5278755" cy="2375440"/>
                    </a:xfrm>
                    <a:prstGeom prst="rect">
                      <a:avLst/>
                    </a:prstGeom>
                  </pic:spPr>
                </pic:pic>
              </a:graphicData>
            </a:graphic>
          </wp:inline>
        </w:drawing>
      </w:r>
    </w:p>
    <w:p w:rsidR="00810A47" w:rsidRPr="00F45130" w:rsidRDefault="00810A47" w:rsidP="00810A47">
      <w:pPr>
        <w:pStyle w:val="Caption"/>
        <w:rPr>
          <w:rFonts w:cs="Arial"/>
        </w:rPr>
      </w:pPr>
      <w:r w:rsidRPr="00F45130">
        <w:rPr>
          <w:rFonts w:cs="Arial"/>
        </w:rPr>
        <w:t xml:space="preserve">Figure </w:t>
      </w:r>
      <w:r w:rsidR="00EC1027" w:rsidRPr="00F45130">
        <w:rPr>
          <w:rFonts w:cs="Arial"/>
        </w:rPr>
        <w:fldChar w:fldCharType="begin"/>
      </w:r>
      <w:r w:rsidRPr="00F45130">
        <w:rPr>
          <w:rFonts w:cs="Arial"/>
        </w:rPr>
        <w:instrText xml:space="preserve"> SEQ Figure \* ARABIC </w:instrText>
      </w:r>
      <w:r w:rsidR="00EC1027" w:rsidRPr="00F45130">
        <w:rPr>
          <w:rFonts w:cs="Arial"/>
        </w:rPr>
        <w:fldChar w:fldCharType="separate"/>
      </w:r>
      <w:r w:rsidR="002F4894">
        <w:rPr>
          <w:rFonts w:cs="Arial"/>
          <w:noProof/>
        </w:rPr>
        <w:t>4</w:t>
      </w:r>
      <w:r w:rsidR="00EC1027" w:rsidRPr="00F45130">
        <w:rPr>
          <w:rFonts w:cs="Arial"/>
        </w:rPr>
        <w:fldChar w:fldCharType="end"/>
      </w:r>
      <w:r w:rsidRPr="00F45130">
        <w:rPr>
          <w:rFonts w:cs="Arial"/>
        </w:rPr>
        <w:t>: Impact of RTS</w:t>
      </w:r>
    </w:p>
    <w:p w:rsidR="00810A47" w:rsidRPr="00F45130" w:rsidRDefault="00810A47" w:rsidP="00FB266C">
      <w:pPr>
        <w:pStyle w:val="ListParagraph"/>
        <w:numPr>
          <w:ilvl w:val="0"/>
          <w:numId w:val="70"/>
        </w:numPr>
        <w:rPr>
          <w:rFonts w:cs="Arial"/>
          <w:bCs/>
        </w:rPr>
      </w:pPr>
      <w:r w:rsidRPr="00F45130">
        <w:rPr>
          <w:rFonts w:cs="Arial"/>
          <w:bCs/>
        </w:rPr>
        <w:t>93% of respondents have said that the proposed buy-in regulation will bring additional risks to their organisations of which 77% have said that the risks imposed are not co</w:t>
      </w:r>
      <w:r w:rsidRPr="00F45130">
        <w:rPr>
          <w:rFonts w:cs="Arial"/>
          <w:bCs/>
        </w:rPr>
        <w:t>v</w:t>
      </w:r>
      <w:r w:rsidRPr="00F45130">
        <w:rPr>
          <w:rFonts w:cs="Arial"/>
          <w:bCs/>
        </w:rPr>
        <w:t xml:space="preserve">ered by their existing arrangements (i.e. the </w:t>
      </w:r>
      <w:r w:rsidRPr="00F45130">
        <w:rPr>
          <w:rFonts w:cs="Arial"/>
        </w:rPr>
        <w:t>institution is not a direct CSD participant and does not have sufficient arrangements in place with its agent or clients to cover the add</w:t>
      </w:r>
      <w:r w:rsidRPr="00F45130">
        <w:rPr>
          <w:rFonts w:cs="Arial"/>
        </w:rPr>
        <w:t>i</w:t>
      </w:r>
      <w:r w:rsidRPr="00F45130">
        <w:rPr>
          <w:rFonts w:cs="Arial"/>
        </w:rPr>
        <w:t>tional responsibilities under CSDR)</w:t>
      </w:r>
      <w:r w:rsidRPr="00F45130">
        <w:rPr>
          <w:rFonts w:cs="Arial"/>
          <w:bCs/>
        </w:rPr>
        <w:t>.  Participants are anticipating that in order to cover  the additional risk:</w:t>
      </w:r>
    </w:p>
    <w:p w:rsidR="00810A47" w:rsidRPr="00F45130" w:rsidRDefault="00810A47" w:rsidP="00FB266C">
      <w:pPr>
        <w:pStyle w:val="ListParagraph"/>
        <w:numPr>
          <w:ilvl w:val="0"/>
          <w:numId w:val="71"/>
        </w:numPr>
        <w:rPr>
          <w:rFonts w:cs="Arial"/>
          <w:bCs/>
        </w:rPr>
      </w:pPr>
      <w:r w:rsidRPr="00F45130">
        <w:rPr>
          <w:rFonts w:cs="Arial"/>
          <w:bCs/>
        </w:rPr>
        <w:t>additional collateral will be required to cater for risks stemming from the settl</w:t>
      </w:r>
      <w:r w:rsidRPr="00F45130">
        <w:rPr>
          <w:rFonts w:cs="Arial"/>
          <w:bCs/>
        </w:rPr>
        <w:t>e</w:t>
      </w:r>
      <w:r w:rsidRPr="00F45130">
        <w:rPr>
          <w:rFonts w:cs="Arial"/>
          <w:bCs/>
        </w:rPr>
        <w:t>ment process; and</w:t>
      </w:r>
    </w:p>
    <w:p w:rsidR="00810A47" w:rsidRPr="00F45130" w:rsidRDefault="00810A47" w:rsidP="00FB266C">
      <w:pPr>
        <w:pStyle w:val="ListParagraph"/>
        <w:numPr>
          <w:ilvl w:val="0"/>
          <w:numId w:val="71"/>
        </w:numPr>
        <w:rPr>
          <w:rFonts w:cs="Arial"/>
          <w:bCs/>
        </w:rPr>
      </w:pPr>
      <w:r w:rsidRPr="00F45130">
        <w:rPr>
          <w:rFonts w:cs="Arial"/>
          <w:bCs/>
        </w:rPr>
        <w:t>significant re-work of the custody contracts will need to take place</w:t>
      </w:r>
    </w:p>
    <w:p w:rsidR="00810A47" w:rsidRPr="00F45130" w:rsidRDefault="00810A47" w:rsidP="00810A47">
      <w:pPr>
        <w:ind w:left="1125"/>
        <w:rPr>
          <w:rFonts w:cs="Arial"/>
          <w:bCs/>
        </w:rPr>
      </w:pPr>
    </w:p>
    <w:p w:rsidR="00810A47" w:rsidRPr="00F45130" w:rsidRDefault="00810A47" w:rsidP="00810A47">
      <w:pPr>
        <w:rPr>
          <w:rFonts w:cs="Arial"/>
          <w:bCs/>
        </w:rPr>
      </w:pPr>
      <w:r w:rsidRPr="00F45130">
        <w:rPr>
          <w:rFonts w:cs="Arial"/>
          <w:noProof/>
          <w:lang w:val="en-US" w:eastAsia="en-US"/>
        </w:rPr>
        <w:lastRenderedPageBreak/>
        <w:drawing>
          <wp:inline distT="0" distB="0" distL="0" distR="0">
            <wp:extent cx="5353050" cy="2408873"/>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354983" cy="2409743"/>
                    </a:xfrm>
                    <a:prstGeom prst="rect">
                      <a:avLst/>
                    </a:prstGeom>
                    <a:noFill/>
                    <a:ln w="9525">
                      <a:noFill/>
                      <a:miter lim="800000"/>
                      <a:headEnd/>
                      <a:tailEnd/>
                    </a:ln>
                  </pic:spPr>
                </pic:pic>
              </a:graphicData>
            </a:graphic>
          </wp:inline>
        </w:drawing>
      </w:r>
    </w:p>
    <w:p w:rsidR="00810A47" w:rsidRPr="00F45130" w:rsidRDefault="00810A47" w:rsidP="00810A47">
      <w:pPr>
        <w:pStyle w:val="Caption"/>
        <w:rPr>
          <w:rFonts w:cs="Arial"/>
        </w:rPr>
      </w:pPr>
      <w:r w:rsidRPr="00F45130">
        <w:rPr>
          <w:rFonts w:cs="Arial"/>
        </w:rPr>
        <w:t xml:space="preserve">Figure </w:t>
      </w:r>
      <w:r w:rsidR="00EC1027" w:rsidRPr="00F45130">
        <w:rPr>
          <w:rFonts w:cs="Arial"/>
        </w:rPr>
        <w:fldChar w:fldCharType="begin"/>
      </w:r>
      <w:r w:rsidRPr="00F45130">
        <w:rPr>
          <w:rFonts w:cs="Arial"/>
        </w:rPr>
        <w:instrText xml:space="preserve"> SEQ Figure \* ARABIC </w:instrText>
      </w:r>
      <w:r w:rsidR="00EC1027" w:rsidRPr="00F45130">
        <w:rPr>
          <w:rFonts w:cs="Arial"/>
        </w:rPr>
        <w:fldChar w:fldCharType="separate"/>
      </w:r>
      <w:r w:rsidR="002F4894">
        <w:rPr>
          <w:rFonts w:cs="Arial"/>
          <w:noProof/>
        </w:rPr>
        <w:t>5</w:t>
      </w:r>
      <w:r w:rsidR="00EC1027" w:rsidRPr="00F45130">
        <w:rPr>
          <w:rFonts w:cs="Arial"/>
        </w:rPr>
        <w:fldChar w:fldCharType="end"/>
      </w:r>
      <w:r w:rsidRPr="00F45130">
        <w:rPr>
          <w:rFonts w:cs="Arial"/>
        </w:rPr>
        <w:t>: Risk Associated with ESMA’s proposed RTS</w:t>
      </w:r>
    </w:p>
    <w:p w:rsidR="00810A47" w:rsidRPr="00F45130" w:rsidRDefault="00810A47" w:rsidP="00FB266C">
      <w:pPr>
        <w:pStyle w:val="ListParagraph"/>
        <w:numPr>
          <w:ilvl w:val="0"/>
          <w:numId w:val="70"/>
        </w:numPr>
        <w:rPr>
          <w:rFonts w:cs="Arial"/>
          <w:bCs/>
        </w:rPr>
      </w:pPr>
      <w:r w:rsidRPr="00F45130">
        <w:rPr>
          <w:rFonts w:cs="Arial"/>
          <w:bCs/>
        </w:rPr>
        <w:t>70% of AFME’s members have reported that based on the current proposals and the complexities outlined above implementation would require a timeframe of more than 18 months for CSD participants to implement in-house solutions to handle impacts ste</w:t>
      </w:r>
      <w:r w:rsidRPr="00F45130">
        <w:rPr>
          <w:rFonts w:cs="Arial"/>
          <w:bCs/>
        </w:rPr>
        <w:t>m</w:t>
      </w:r>
      <w:r w:rsidRPr="00F45130">
        <w:rPr>
          <w:rFonts w:cs="Arial"/>
          <w:bCs/>
        </w:rPr>
        <w:t>ming from ESMA’s RTS.</w:t>
      </w:r>
    </w:p>
    <w:p w:rsidR="00810A47" w:rsidRPr="00F45130" w:rsidRDefault="00810A47" w:rsidP="00810A47">
      <w:pPr>
        <w:pStyle w:val="ListParagraph"/>
        <w:rPr>
          <w:rFonts w:cs="Arial"/>
          <w:bCs/>
        </w:rPr>
      </w:pPr>
    </w:p>
    <w:p w:rsidR="00810A47" w:rsidRPr="00F45130" w:rsidRDefault="00810A47" w:rsidP="00810A47">
      <w:pPr>
        <w:rPr>
          <w:rFonts w:cs="Arial"/>
          <w:bCs/>
        </w:rPr>
      </w:pPr>
      <w:r w:rsidRPr="00F45130">
        <w:rPr>
          <w:rFonts w:cs="Arial"/>
          <w:bCs/>
          <w:noProof/>
          <w:lang w:val="en-US" w:eastAsia="en-US"/>
        </w:rPr>
        <w:drawing>
          <wp:inline distT="0" distB="0" distL="0" distR="0">
            <wp:extent cx="5278755" cy="2375440"/>
            <wp:effectExtent l="19050" t="0" r="0" b="0"/>
            <wp:docPr id="18" name="Graphic.php?BackendID=906aab0d5e14d4054245fc40e9591969416b2e1423a4ce3ef428a1807076a0b4&amp;IM=REV_6xIR1OsqVayMkhT_RP_0jmWIn9ryTtnoMd.png&amp;cachedgraphsec=true"/>
            <wp:cNvGraphicFramePr/>
            <a:graphic xmlns:a="http://schemas.openxmlformats.org/drawingml/2006/main">
              <a:graphicData uri="http://schemas.openxmlformats.org/drawingml/2006/picture">
                <pic:pic xmlns:pic="http://schemas.openxmlformats.org/drawingml/2006/picture">
                  <pic:nvPicPr>
                    <pic:cNvPr id="0" name="Graphic.php?BackendID=906aab0d5e14d4054245fc40e9591969416b2e1423a4ce3ef428a1807076a0b4&amp;IM=REV_6xIR1OsqVayMkhT_RP_0jmWIn9ryTtnoMd.png&amp;cachedgraphsec=true"/>
                    <pic:cNvPicPr/>
                  </pic:nvPicPr>
                  <pic:blipFill>
                    <a:blip r:embed="rId22" cstate="print"/>
                    <a:stretch>
                      <a:fillRect/>
                    </a:stretch>
                  </pic:blipFill>
                  <pic:spPr>
                    <a:xfrm>
                      <a:off x="0" y="0"/>
                      <a:ext cx="5278755" cy="2375440"/>
                    </a:xfrm>
                    <a:prstGeom prst="rect">
                      <a:avLst/>
                    </a:prstGeom>
                  </pic:spPr>
                </pic:pic>
              </a:graphicData>
            </a:graphic>
          </wp:inline>
        </w:drawing>
      </w:r>
    </w:p>
    <w:p w:rsidR="00810A47" w:rsidRPr="00F45130" w:rsidRDefault="00810A47" w:rsidP="00810A47">
      <w:pPr>
        <w:pStyle w:val="Caption"/>
        <w:rPr>
          <w:rFonts w:cs="Arial"/>
          <w:bCs w:val="0"/>
        </w:rPr>
      </w:pPr>
      <w:r w:rsidRPr="00F45130">
        <w:rPr>
          <w:rFonts w:cs="Arial"/>
        </w:rPr>
        <w:t xml:space="preserve">Figure </w:t>
      </w:r>
      <w:r w:rsidR="00EC1027" w:rsidRPr="00F45130">
        <w:rPr>
          <w:rFonts w:cs="Arial"/>
        </w:rPr>
        <w:fldChar w:fldCharType="begin"/>
      </w:r>
      <w:r w:rsidRPr="00F45130">
        <w:rPr>
          <w:rFonts w:cs="Arial"/>
        </w:rPr>
        <w:instrText xml:space="preserve"> SEQ Figure \* ARABIC </w:instrText>
      </w:r>
      <w:r w:rsidR="00EC1027" w:rsidRPr="00F45130">
        <w:rPr>
          <w:rFonts w:cs="Arial"/>
        </w:rPr>
        <w:fldChar w:fldCharType="separate"/>
      </w:r>
      <w:r w:rsidR="002F4894">
        <w:rPr>
          <w:rFonts w:cs="Arial"/>
          <w:noProof/>
        </w:rPr>
        <w:t>6</w:t>
      </w:r>
      <w:r w:rsidR="00EC1027" w:rsidRPr="00F45130">
        <w:rPr>
          <w:rFonts w:cs="Arial"/>
        </w:rPr>
        <w:fldChar w:fldCharType="end"/>
      </w:r>
      <w:r w:rsidRPr="00F45130">
        <w:rPr>
          <w:rFonts w:cs="Arial"/>
        </w:rPr>
        <w:t>: Expected timeframes</w:t>
      </w:r>
    </w:p>
    <w:p w:rsidR="00810A47" w:rsidRPr="00F45130" w:rsidRDefault="00810A47" w:rsidP="00810A47">
      <w:pPr>
        <w:rPr>
          <w:rFonts w:cs="Arial"/>
          <w:bCs/>
        </w:rPr>
      </w:pPr>
    </w:p>
    <w:p w:rsidR="00810A47" w:rsidRPr="00F45130" w:rsidRDefault="00810A47" w:rsidP="00810A47">
      <w:pPr>
        <w:rPr>
          <w:rFonts w:cs="Arial"/>
          <w:bCs/>
        </w:rPr>
      </w:pPr>
      <w:r w:rsidRPr="00F45130">
        <w:rPr>
          <w:rFonts w:cs="Arial"/>
          <w:bCs/>
        </w:rPr>
        <w:t>We would therefore recommend that a longer period of time should be allowed for the full i</w:t>
      </w:r>
      <w:r w:rsidRPr="00F45130">
        <w:rPr>
          <w:rFonts w:cs="Arial"/>
          <w:bCs/>
        </w:rPr>
        <w:t>m</w:t>
      </w:r>
      <w:r w:rsidRPr="00F45130">
        <w:rPr>
          <w:rFonts w:cs="Arial"/>
          <w:bCs/>
        </w:rPr>
        <w:t xml:space="preserve">plementation of the new settlement discipline measures, </w:t>
      </w:r>
      <w:r w:rsidRPr="00F45130">
        <w:rPr>
          <w:rFonts w:cs="Arial"/>
          <w:bCs/>
          <w:u w:val="single"/>
        </w:rPr>
        <w:t>at least up to one full year after the completion of the T2S migration (i.e. at least up to end of Q1 2018, or up to end of Q2 2018 in case of use of the emergency migration wave</w:t>
      </w:r>
      <w:r w:rsidRPr="00F45130">
        <w:rPr>
          <w:rFonts w:cs="Arial"/>
          <w:bCs/>
        </w:rPr>
        <w:t>). In addition AFME members suggest that before the new standards come fully into force, there should be a monitoring period of at least 6 months where fines and other sanctions are reported but not ultimately charged. This adaptation period would allow competent authorities, CSDs and CSD participants to analyse the consequences of the new procedures and make necessary alignments to the</w:t>
      </w:r>
      <w:r w:rsidR="00EF35A7">
        <w:rPr>
          <w:rFonts w:cs="Arial"/>
          <w:bCs/>
        </w:rPr>
        <w:t>ir</w:t>
      </w:r>
      <w:r w:rsidRPr="00F45130">
        <w:rPr>
          <w:rFonts w:cs="Arial"/>
          <w:bCs/>
        </w:rPr>
        <w:t xml:space="preserve"> processing.  To this extent and in order to cater for a harmonised application of the above rules, the delayed implementation should be valid for all markets irrespective of their participation in T2S. </w:t>
      </w:r>
      <w:r w:rsidRPr="00F45130">
        <w:rPr>
          <w:rFonts w:cs="Arial"/>
          <w:szCs w:val="20"/>
          <w:lang w:val="en-US"/>
        </w:rPr>
        <w:t xml:space="preserve">AFME </w:t>
      </w:r>
      <w:r w:rsidR="00005B6A">
        <w:rPr>
          <w:rFonts w:cs="Arial"/>
          <w:szCs w:val="20"/>
          <w:lang w:val="en-US"/>
        </w:rPr>
        <w:t>is</w:t>
      </w:r>
      <w:r w:rsidRPr="00F45130">
        <w:rPr>
          <w:rFonts w:cs="Arial"/>
          <w:szCs w:val="20"/>
          <w:lang w:val="en-US"/>
        </w:rPr>
        <w:t xml:space="preserve"> also very co</w:t>
      </w:r>
      <w:r w:rsidRPr="00F45130">
        <w:rPr>
          <w:rFonts w:cs="Arial"/>
          <w:szCs w:val="20"/>
          <w:lang w:val="en-US"/>
        </w:rPr>
        <w:t>n</w:t>
      </w:r>
      <w:r w:rsidRPr="00F45130">
        <w:rPr>
          <w:rFonts w:cs="Arial"/>
          <w:szCs w:val="20"/>
          <w:lang w:val="en-US"/>
        </w:rPr>
        <w:t xml:space="preserve">cerned by the European Commission’s remarks in the public hearing on January 14, 2015 at ESMA’s premises in Paris. In particular this relates to the perceived legal obstacle to provide for </w:t>
      </w:r>
      <w:r w:rsidRPr="00F45130">
        <w:rPr>
          <w:rFonts w:cs="Arial"/>
          <w:szCs w:val="20"/>
          <w:lang w:val="en-US"/>
        </w:rPr>
        <w:lastRenderedPageBreak/>
        <w:t>a phased-in approach, arguing that the level 1 text would require prompt entry into force of the RTS on settlement discipline. We are confident that ESMA [and the Commission] will take all relevant factors into account when undertaking a prudential evaluation and assessment of the technical standards of a settlement discipline regime – including the appropriate timing for its implementation. Otherwise, the co-legislators would have set specific dates like they did regar</w:t>
      </w:r>
      <w:r w:rsidRPr="00F45130">
        <w:rPr>
          <w:rFonts w:cs="Arial"/>
          <w:szCs w:val="20"/>
          <w:lang w:val="en-US"/>
        </w:rPr>
        <w:t>d</w:t>
      </w:r>
      <w:r w:rsidRPr="00F45130">
        <w:rPr>
          <w:rFonts w:cs="Arial"/>
          <w:szCs w:val="20"/>
          <w:lang w:val="en-US"/>
        </w:rPr>
        <w:t>ing other aspects of the CSDR [T+2, book entry]. The mandate to develop tailored technical standards cannot reasonably refer to the procedures only but must also comprise all relevant aspects of their timely implementation. Any other approach seems to be purely formalistic and disproportionate.</w:t>
      </w:r>
    </w:p>
    <w:p w:rsidR="00D12AFD" w:rsidRDefault="006766B6" w:rsidP="00D12AFD">
      <w:r>
        <w:t xml:space="preserve"> </w:t>
      </w:r>
      <w:permEnd w:id="16"/>
      <w:r w:rsidR="00D12AFD">
        <w:t>&lt;ESMA_QUESTION_TS_CSDR_14&gt;</w:t>
      </w:r>
    </w:p>
    <w:p w:rsidR="00D12AFD" w:rsidRPr="002C4F00" w:rsidRDefault="00D12AFD" w:rsidP="00965B03">
      <w:pPr>
        <w:pStyle w:val="Heading5"/>
        <w:ind w:left="567" w:hanging="567"/>
      </w:pPr>
      <w:r w:rsidRPr="002C4F00">
        <w:t>What are your views on the proposed draft RTS</w:t>
      </w:r>
      <w:r>
        <w:t xml:space="preserve"> on CSD authorisation</w:t>
      </w:r>
      <w:r w:rsidRPr="002C4F00">
        <w:t xml:space="preserve"> (Chapter II of Annex II) and draft ITS </w:t>
      </w:r>
      <w:r>
        <w:t xml:space="preserve">on CSD authorisation </w:t>
      </w:r>
      <w:r w:rsidRPr="002C4F00">
        <w:t>(Chapter I of Annex VI)?</w:t>
      </w:r>
    </w:p>
    <w:p w:rsidR="00D12AFD" w:rsidRDefault="00D12AFD" w:rsidP="00D12AFD"/>
    <w:p w:rsidR="00D12AFD" w:rsidRDefault="00D12AFD" w:rsidP="00D12AFD">
      <w:r>
        <w:t>&lt;ESMA_QUESTION_TS_CSDR_15&gt;</w:t>
      </w:r>
    </w:p>
    <w:p w:rsidR="00810A47" w:rsidRDefault="00810A47" w:rsidP="00810A47">
      <w:pPr>
        <w:rPr>
          <w:rFonts w:cs="Arial"/>
          <w:lang w:val="en-US"/>
        </w:rPr>
      </w:pPr>
      <w:permStart w:id="17" w:edGrp="everyone"/>
      <w:r w:rsidRPr="00F45130">
        <w:rPr>
          <w:rFonts w:cs="Arial"/>
          <w:lang w:val="en-US"/>
        </w:rPr>
        <w:t>AFME agrees with these proposals.</w:t>
      </w:r>
    </w:p>
    <w:p w:rsidR="00564787" w:rsidRPr="00F45130" w:rsidRDefault="00564787" w:rsidP="00810A47">
      <w:pPr>
        <w:rPr>
          <w:rFonts w:cs="Arial"/>
          <w:lang w:val="en-US"/>
        </w:rPr>
      </w:pPr>
    </w:p>
    <w:p w:rsidR="00810A47" w:rsidRPr="00F45130" w:rsidRDefault="00810A47" w:rsidP="00810A47">
      <w:pPr>
        <w:rPr>
          <w:rFonts w:cs="Arial"/>
          <w:lang w:val="en-US"/>
        </w:rPr>
      </w:pPr>
      <w:r w:rsidRPr="00F45130">
        <w:rPr>
          <w:rFonts w:cs="Arial"/>
          <w:lang w:val="en-US"/>
        </w:rPr>
        <w:t>With respect to the RTS Art 5, our view is that Art 5(5</w:t>
      </w:r>
      <w:r w:rsidR="00D939AF" w:rsidRPr="00F45130">
        <w:rPr>
          <w:rFonts w:cs="Arial"/>
          <w:lang w:val="en-US"/>
        </w:rPr>
        <w:t>) (</w:t>
      </w:r>
      <w:r w:rsidRPr="00F45130">
        <w:rPr>
          <w:rFonts w:cs="Arial"/>
          <w:lang w:val="en-US"/>
        </w:rPr>
        <w:t>b) should be deleted, as it is the respo</w:t>
      </w:r>
      <w:r w:rsidRPr="00F45130">
        <w:rPr>
          <w:rFonts w:cs="Arial"/>
          <w:lang w:val="en-US"/>
        </w:rPr>
        <w:t>n</w:t>
      </w:r>
      <w:r w:rsidRPr="00F45130">
        <w:rPr>
          <w:rFonts w:cs="Arial"/>
          <w:lang w:val="en-US"/>
        </w:rPr>
        <w:t xml:space="preserve">sibility of the competent authority, rather than the CSD, to develop and establish the resolution plan in respect of the CSD. In that regard, it should not be necessary (nor appropriate) for the CSD to submit the resolution plan to the competent authority. In our view, this requirement is superfluous. The references to the resolution plan in the draft ITS on CSD </w:t>
      </w:r>
      <w:r w:rsidR="00D939AF" w:rsidRPr="00F45130">
        <w:rPr>
          <w:rFonts w:cs="Arial"/>
          <w:lang w:val="en-US"/>
        </w:rPr>
        <w:t>authorization</w:t>
      </w:r>
      <w:r w:rsidRPr="00F45130">
        <w:rPr>
          <w:rFonts w:cs="Arial"/>
          <w:lang w:val="en-US"/>
        </w:rPr>
        <w:t xml:space="preserve"> should also be deleted, for the same reasons. </w:t>
      </w:r>
    </w:p>
    <w:p w:rsidR="00810A47" w:rsidRPr="00F45130" w:rsidRDefault="00810A47" w:rsidP="00810A47">
      <w:pPr>
        <w:rPr>
          <w:rFonts w:cs="Arial"/>
          <w:lang w:val="en-US"/>
        </w:rPr>
      </w:pPr>
    </w:p>
    <w:p w:rsidR="00810A47" w:rsidRPr="00F45130" w:rsidRDefault="00810A47" w:rsidP="00810A47">
      <w:pPr>
        <w:rPr>
          <w:rFonts w:cs="Arial"/>
          <w:lang w:val="en-US"/>
        </w:rPr>
      </w:pPr>
      <w:r w:rsidRPr="00F45130">
        <w:rPr>
          <w:rFonts w:cs="Arial"/>
          <w:lang w:val="en-US"/>
        </w:rPr>
        <w:t>We would also suggest that RTS Art 50(1)(g), and item 10 in Annex II table B are deleted, as the competent authority should obtain the resolution plan from the relevant resolution authority pursuant to Directive 2014/59/EU.</w:t>
      </w:r>
    </w:p>
    <w:p w:rsidR="00810A47" w:rsidRPr="00F45130" w:rsidRDefault="00810A47" w:rsidP="00810A47">
      <w:pPr>
        <w:rPr>
          <w:rFonts w:cs="Arial"/>
          <w:lang w:val="en-US"/>
        </w:rPr>
      </w:pPr>
    </w:p>
    <w:p w:rsidR="00810A47" w:rsidRPr="00F45130" w:rsidRDefault="00810A47" w:rsidP="00810A47">
      <w:pPr>
        <w:rPr>
          <w:rFonts w:cs="Arial"/>
          <w:lang w:val="en-US"/>
        </w:rPr>
      </w:pPr>
      <w:r w:rsidRPr="00F45130">
        <w:rPr>
          <w:rFonts w:cs="Arial"/>
          <w:lang w:val="en-US"/>
        </w:rPr>
        <w:t>With respect to the RTS Art 13, the mandate of the User Committee should also explicitly ind</w:t>
      </w:r>
      <w:r w:rsidRPr="00F45130">
        <w:rPr>
          <w:rFonts w:cs="Arial"/>
          <w:lang w:val="en-US"/>
        </w:rPr>
        <w:t>i</w:t>
      </w:r>
      <w:r w:rsidRPr="00F45130">
        <w:rPr>
          <w:rFonts w:cs="Arial"/>
          <w:lang w:val="en-US"/>
        </w:rPr>
        <w:t>cate the duration of the mandate of each committee and of all its members, which should never be in excess of three years at the maximum. Member re-election criteria should also be clearly specified in the mandate.</w:t>
      </w:r>
    </w:p>
    <w:p w:rsidR="00D12AFD" w:rsidRDefault="006766B6" w:rsidP="00D12AFD">
      <w:r>
        <w:rPr>
          <w:lang w:val="en-US"/>
        </w:rPr>
        <w:t>.</w:t>
      </w:r>
      <w:permEnd w:id="17"/>
      <w:r w:rsidR="00D12AFD">
        <w:t>&lt;ESMA_QUESTION_TS_CSDR_15&gt;</w:t>
      </w:r>
    </w:p>
    <w:p w:rsidR="00D12AFD" w:rsidRPr="002C4F00" w:rsidRDefault="00D12AFD" w:rsidP="00965B03">
      <w:pPr>
        <w:pStyle w:val="Heading5"/>
        <w:ind w:left="567" w:hanging="567"/>
      </w:pPr>
      <w:r w:rsidRPr="00C8467F">
        <w:t>What are your views on the proposed draft RTS on CSD review and evaluation (Chapter III of Annex II) and draft ITS (Chapter II of Annex VI)?</w:t>
      </w:r>
    </w:p>
    <w:p w:rsidR="00D12AFD" w:rsidRDefault="00D12AFD" w:rsidP="00D12AFD"/>
    <w:p w:rsidR="00D12AFD" w:rsidRDefault="00D12AFD" w:rsidP="00D12AFD">
      <w:r>
        <w:t>&lt;ESMA_QUESTION_TS_CSDR_16&gt;</w:t>
      </w:r>
    </w:p>
    <w:p w:rsidR="00810A47" w:rsidRDefault="00810A47" w:rsidP="003D466C">
      <w:pPr>
        <w:rPr>
          <w:rFonts w:cs="Arial"/>
          <w:lang w:val="en-US"/>
        </w:rPr>
      </w:pPr>
      <w:permStart w:id="18" w:edGrp="everyone"/>
      <w:r w:rsidRPr="00F45130">
        <w:rPr>
          <w:rFonts w:cs="Arial"/>
          <w:lang w:val="en-US"/>
        </w:rPr>
        <w:t>AFME agrees with these proposals.</w:t>
      </w:r>
    </w:p>
    <w:p w:rsidR="00564787" w:rsidRPr="00F45130" w:rsidRDefault="00564787" w:rsidP="003D466C">
      <w:pPr>
        <w:rPr>
          <w:rFonts w:cs="Arial"/>
          <w:lang w:val="en-US"/>
        </w:rPr>
      </w:pPr>
    </w:p>
    <w:p w:rsidR="00810A47" w:rsidRDefault="00810A47" w:rsidP="003D466C">
      <w:pPr>
        <w:rPr>
          <w:rFonts w:cs="Arial"/>
          <w:lang w:val="en-US"/>
        </w:rPr>
      </w:pPr>
      <w:r w:rsidRPr="00F45130">
        <w:rPr>
          <w:rFonts w:cs="Arial"/>
          <w:lang w:val="en-US"/>
        </w:rPr>
        <w:t>In RTS Art 42, in addition to the statistics indicated about settlement transactions (letter e) and buy-in transactions (letter f), CSDs should be asked to provide data about settlement efficiency in each system that they manage, including settlement rates, settlement fail rates, etc for each of the relevant phases in the operational day cycle.</w:t>
      </w:r>
    </w:p>
    <w:p w:rsidR="00564787" w:rsidRPr="00F45130" w:rsidRDefault="00564787" w:rsidP="003D466C">
      <w:pPr>
        <w:rPr>
          <w:rFonts w:cs="Arial"/>
          <w:lang w:val="en-US"/>
        </w:rPr>
      </w:pPr>
    </w:p>
    <w:p w:rsidR="00D12AFD" w:rsidRDefault="00810A47" w:rsidP="00D12AFD">
      <w:r w:rsidRPr="00F45130">
        <w:rPr>
          <w:rFonts w:cs="Arial"/>
          <w:lang w:val="en-US"/>
        </w:rPr>
        <w:t>The statistical data provided by the CSDs should be made public to the participants in the se</w:t>
      </w:r>
      <w:r w:rsidRPr="00F45130">
        <w:rPr>
          <w:rFonts w:cs="Arial"/>
          <w:lang w:val="en-US"/>
        </w:rPr>
        <w:t>t</w:t>
      </w:r>
      <w:r w:rsidRPr="00F45130">
        <w:rPr>
          <w:rFonts w:cs="Arial"/>
          <w:lang w:val="en-US"/>
        </w:rPr>
        <w:t>tlement systems that they operate, so as to facilitate the risk assessment analysis by each pa</w:t>
      </w:r>
      <w:r w:rsidRPr="00F45130">
        <w:rPr>
          <w:rFonts w:cs="Arial"/>
          <w:lang w:val="en-US"/>
        </w:rPr>
        <w:t>r</w:t>
      </w:r>
      <w:r w:rsidRPr="00F45130">
        <w:rPr>
          <w:rFonts w:cs="Arial"/>
          <w:lang w:val="en-US"/>
        </w:rPr>
        <w:t xml:space="preserve">ticipant </w:t>
      </w:r>
      <w:permEnd w:id="18"/>
      <w:r w:rsidR="00D12AFD">
        <w:t>&lt;ESMA_QUESTION_TS_CSDR_16&gt;</w:t>
      </w:r>
    </w:p>
    <w:p w:rsidR="00D12AFD" w:rsidRPr="002C4F00" w:rsidRDefault="00D12AFD" w:rsidP="00965B03">
      <w:pPr>
        <w:pStyle w:val="Heading5"/>
        <w:ind w:left="567" w:hanging="567"/>
      </w:pPr>
      <w:r w:rsidRPr="002C4F00">
        <w:t xml:space="preserve">What are your views on the proposed draft ITS </w:t>
      </w:r>
      <w:r>
        <w:t xml:space="preserve">on cooperation arrangements </w:t>
      </w:r>
      <w:r w:rsidRPr="002C4F00">
        <w:t>as in</w:t>
      </w:r>
      <w:r>
        <w:t xml:space="preserve">cluded in Chapter III of Annex </w:t>
      </w:r>
      <w:r w:rsidRPr="002C4F00">
        <w:t>VI?</w:t>
      </w:r>
    </w:p>
    <w:p w:rsidR="00D12AFD" w:rsidRDefault="00D12AFD" w:rsidP="00D12AFD"/>
    <w:p w:rsidR="00D12AFD" w:rsidRDefault="00D12AFD" w:rsidP="00D12AFD">
      <w:r>
        <w:lastRenderedPageBreak/>
        <w:t>&lt;ESMA_QUESTION_TS_CSDR_17&gt;</w:t>
      </w:r>
    </w:p>
    <w:p w:rsidR="00810A47" w:rsidRDefault="00810A47" w:rsidP="00810A47">
      <w:pPr>
        <w:rPr>
          <w:rFonts w:cs="Arial"/>
          <w:lang w:val="en-US"/>
        </w:rPr>
      </w:pPr>
      <w:permStart w:id="19" w:edGrp="everyone"/>
      <w:r w:rsidRPr="00F45130">
        <w:rPr>
          <w:rFonts w:cs="Arial"/>
          <w:lang w:val="en-US"/>
        </w:rPr>
        <w:t>AFME agrees with these proposals.</w:t>
      </w:r>
    </w:p>
    <w:p w:rsidR="00564787" w:rsidRPr="00F45130" w:rsidRDefault="00564787" w:rsidP="00810A47">
      <w:pPr>
        <w:rPr>
          <w:rFonts w:cs="Arial"/>
          <w:lang w:val="en-US"/>
        </w:rPr>
      </w:pPr>
    </w:p>
    <w:p w:rsidR="00810A47" w:rsidRPr="00F45130" w:rsidRDefault="00810A47" w:rsidP="00810A47">
      <w:pPr>
        <w:rPr>
          <w:rFonts w:cs="Arial"/>
          <w:lang w:val="en-US"/>
        </w:rPr>
      </w:pPr>
      <w:r w:rsidRPr="00F45130">
        <w:rPr>
          <w:rFonts w:cs="Arial"/>
          <w:lang w:val="en-US"/>
        </w:rPr>
        <w:t>The rules relating to cooperation arrangements between the competent authorities of Home and Host Member states should be aligned with similar rules contained in EMIR and in other legisl</w:t>
      </w:r>
      <w:r w:rsidRPr="00F45130">
        <w:rPr>
          <w:rFonts w:cs="Arial"/>
          <w:lang w:val="en-US"/>
        </w:rPr>
        <w:t>a</w:t>
      </w:r>
      <w:r w:rsidRPr="00F45130">
        <w:rPr>
          <w:rFonts w:cs="Arial"/>
          <w:lang w:val="en-US"/>
        </w:rPr>
        <w:t>tion relating to FMIs, so as to ensure that the same principles and the same practical/operational supervisory criteria will be in place for all entities in the post-trade business flow in each market.</w:t>
      </w:r>
    </w:p>
    <w:p w:rsidR="00810A47" w:rsidRPr="00F45130" w:rsidRDefault="00810A47" w:rsidP="00810A47">
      <w:pPr>
        <w:rPr>
          <w:rFonts w:cs="Arial"/>
          <w:lang w:val="en-US"/>
        </w:rPr>
      </w:pPr>
      <w:r w:rsidRPr="00F45130">
        <w:rPr>
          <w:rFonts w:cs="Arial"/>
          <w:lang w:val="en-US"/>
        </w:rPr>
        <w:t>Appropriate consideration should also be given to extraterritoriality applicability of these a</w:t>
      </w:r>
      <w:r w:rsidRPr="00F45130">
        <w:rPr>
          <w:rFonts w:cs="Arial"/>
          <w:lang w:val="en-US"/>
        </w:rPr>
        <w:t>r</w:t>
      </w:r>
      <w:r w:rsidRPr="00F45130">
        <w:rPr>
          <w:rFonts w:cs="Arial"/>
          <w:lang w:val="en-US"/>
        </w:rPr>
        <w:t>rangements.</w:t>
      </w:r>
    </w:p>
    <w:permEnd w:id="19"/>
    <w:p w:rsidR="00D12AFD" w:rsidRDefault="00D12AFD" w:rsidP="00D12AFD">
      <w:r>
        <w:t>&lt;ESMA_QUESTION_TS_CSDR_17&gt;</w:t>
      </w:r>
    </w:p>
    <w:p w:rsidR="00D12AFD" w:rsidRPr="002C4F00" w:rsidRDefault="00D12AFD" w:rsidP="00965B03">
      <w:pPr>
        <w:pStyle w:val="Heading5"/>
        <w:ind w:left="567" w:hanging="567"/>
      </w:pPr>
      <w:r w:rsidRPr="002C4F00">
        <w:t>What are your views on the proposed draft RTS</w:t>
      </w:r>
      <w:r>
        <w:t xml:space="preserve"> on CSD recognition (Chapter IV of Annex II)</w:t>
      </w:r>
      <w:r w:rsidRPr="002C4F00">
        <w:t>?</w:t>
      </w:r>
    </w:p>
    <w:p w:rsidR="00D12AFD" w:rsidRDefault="00D12AFD" w:rsidP="00D12AFD"/>
    <w:p w:rsidR="00D12AFD" w:rsidRDefault="00D12AFD" w:rsidP="00D12AFD">
      <w:r>
        <w:t>&lt;ESMA_QUESTION_TS_CSDR_18&gt;</w:t>
      </w:r>
    </w:p>
    <w:p w:rsidR="00D12AFD" w:rsidRDefault="00D12AFD" w:rsidP="00D12AFD">
      <w:r>
        <w:t>TYPE YOUR TEXT HERE</w:t>
      </w:r>
    </w:p>
    <w:p w:rsidR="00D12AFD" w:rsidRDefault="00D12AFD" w:rsidP="00D12AFD">
      <w:r>
        <w:t>&lt;ESMA_QUESTION_TS_CSDR_18&gt;</w:t>
      </w:r>
    </w:p>
    <w:p w:rsidR="00D12AFD" w:rsidRPr="002C4F00" w:rsidRDefault="00D12AFD" w:rsidP="00965B03">
      <w:pPr>
        <w:pStyle w:val="Heading5"/>
        <w:ind w:left="567" w:hanging="567"/>
      </w:pPr>
      <w:r w:rsidRPr="002C4F00">
        <w:t>What are your views on the proposed approach regarding the determination of the most relevant currencies?</w:t>
      </w:r>
    </w:p>
    <w:p w:rsidR="00D12AFD" w:rsidRDefault="00D12AFD" w:rsidP="00D12AFD"/>
    <w:p w:rsidR="00D12AFD" w:rsidRDefault="00D12AFD" w:rsidP="00D12AFD">
      <w:r>
        <w:t>&lt;ESMA_QUESTION_TS_CSDR_19&gt;</w:t>
      </w:r>
    </w:p>
    <w:p w:rsidR="006766B6" w:rsidRPr="00B8379F" w:rsidRDefault="006766B6" w:rsidP="006766B6">
      <w:pPr>
        <w:rPr>
          <w:lang w:val="en-US"/>
        </w:rPr>
      </w:pPr>
      <w:permStart w:id="20" w:edGrp="everyone"/>
      <w:r w:rsidRPr="00B8379F">
        <w:rPr>
          <w:lang w:val="en-US"/>
        </w:rPr>
        <w:t>AFME agrees with these proposals.</w:t>
      </w:r>
    </w:p>
    <w:permEnd w:id="20"/>
    <w:p w:rsidR="00D12AFD" w:rsidRDefault="00D12AFD" w:rsidP="00D12AFD">
      <w:r>
        <w:t>&lt;ESMA_QUESTION_TS_CSDR_19&gt;</w:t>
      </w:r>
    </w:p>
    <w:p w:rsidR="00D12AFD" w:rsidRPr="002C4F00" w:rsidRDefault="00D12AFD" w:rsidP="00965B03">
      <w:pPr>
        <w:pStyle w:val="Heading5"/>
        <w:ind w:left="567" w:hanging="567"/>
      </w:pPr>
      <w:r w:rsidRPr="002C4F00">
        <w:t xml:space="preserve">What are your views on the proposed draft RTS </w:t>
      </w:r>
      <w:r>
        <w:t>on banking type of ancillary se</w:t>
      </w:r>
      <w:r>
        <w:t>r</w:t>
      </w:r>
      <w:r>
        <w:t xml:space="preserve">vices </w:t>
      </w:r>
      <w:r w:rsidRPr="002C4F00">
        <w:t xml:space="preserve">(Chapter VI of Annex II) and draft ITS </w:t>
      </w:r>
      <w:r>
        <w:t xml:space="preserve">on banking type of ancillary services </w:t>
      </w:r>
      <w:r w:rsidRPr="002C4F00">
        <w:t>(Chapter IV of Annex VI)?</w:t>
      </w:r>
    </w:p>
    <w:p w:rsidR="00D12AFD" w:rsidRDefault="00D12AFD" w:rsidP="00D12AFD"/>
    <w:p w:rsidR="00D12AFD" w:rsidRDefault="00D12AFD" w:rsidP="00D12AFD">
      <w:r>
        <w:t>&lt;ESMA_QUESTION_TS_CSDR_20&gt;</w:t>
      </w:r>
    </w:p>
    <w:p w:rsidR="00810A47" w:rsidRPr="00F45130" w:rsidRDefault="00810A47" w:rsidP="00810A47">
      <w:pPr>
        <w:rPr>
          <w:rFonts w:cs="Arial"/>
          <w:lang w:val="en-US"/>
        </w:rPr>
      </w:pPr>
      <w:permStart w:id="21" w:edGrp="everyone"/>
      <w:r w:rsidRPr="00F45130">
        <w:rPr>
          <w:rFonts w:cs="Arial"/>
          <w:lang w:val="en-US"/>
        </w:rPr>
        <w:t>AFME agrees with these proposals.</w:t>
      </w:r>
    </w:p>
    <w:p w:rsidR="00810A47" w:rsidRPr="00F45130" w:rsidRDefault="00810A47" w:rsidP="00810A47">
      <w:pPr>
        <w:rPr>
          <w:rFonts w:cs="Arial"/>
          <w:lang w:val="en-US"/>
        </w:rPr>
      </w:pPr>
    </w:p>
    <w:p w:rsidR="00810A47" w:rsidRDefault="00810A47" w:rsidP="00810A47">
      <w:pPr>
        <w:rPr>
          <w:rFonts w:cs="Arial"/>
          <w:lang w:val="en-US"/>
        </w:rPr>
      </w:pPr>
      <w:r w:rsidRPr="00F45130">
        <w:rPr>
          <w:rFonts w:cs="Arial"/>
          <w:lang w:val="en-US"/>
        </w:rPr>
        <w:t>In particular, AFME welcomes the confirmation of RTS requirements for ensuring that the colla</w:t>
      </w:r>
      <w:r w:rsidRPr="00F45130">
        <w:rPr>
          <w:rFonts w:cs="Arial"/>
          <w:lang w:val="en-US"/>
        </w:rPr>
        <w:t>t</w:t>
      </w:r>
      <w:r w:rsidRPr="00F45130">
        <w:rPr>
          <w:rFonts w:cs="Arial"/>
          <w:lang w:val="en-US"/>
        </w:rPr>
        <w:t>eral given by a CSD participant as security against any financing received should be immediat</w:t>
      </w:r>
      <w:r w:rsidRPr="00F45130">
        <w:rPr>
          <w:rFonts w:cs="Arial"/>
          <w:lang w:val="en-US"/>
        </w:rPr>
        <w:t>e</w:t>
      </w:r>
      <w:r w:rsidRPr="00F45130">
        <w:rPr>
          <w:rFonts w:cs="Arial"/>
          <w:lang w:val="en-US"/>
        </w:rPr>
        <w:t>ly available and accessible to that credit institution. This sort of arrangement will be extremely important to ensure adequate protection to the financing services offered by the credit institution, and for the benefit of mitigating the overall systemic risk of the settlement system even when credit is granted by the CSD via its appointed credit institution.</w:t>
      </w:r>
    </w:p>
    <w:p w:rsidR="00564787" w:rsidRPr="00F45130" w:rsidRDefault="00564787" w:rsidP="00810A47">
      <w:pPr>
        <w:rPr>
          <w:rFonts w:cs="Arial"/>
          <w:lang w:val="en-US"/>
        </w:rPr>
      </w:pPr>
    </w:p>
    <w:p w:rsidR="00810A47" w:rsidRPr="00F45130" w:rsidRDefault="00810A47" w:rsidP="00810A47">
      <w:pPr>
        <w:rPr>
          <w:rFonts w:cs="Arial"/>
          <w:lang w:val="en-US"/>
        </w:rPr>
      </w:pPr>
      <w:r w:rsidRPr="00F45130">
        <w:rPr>
          <w:rFonts w:cs="Arial"/>
          <w:lang w:val="en-US"/>
        </w:rPr>
        <w:t>In the context of the provision of banking-type ancillary services, AFME would also like to note that another critical part of the analysis of these technical standards will consist in the regulatory standard for the prudential requirements (additional risk based capital surcharge, etc.) that will be established by EBA for CSDs and/or the appointed third-party credit institution, as per CSDR Art 54.8. AFME will inform ESMA of any additional comments around this topic that may arise following the publication and review of EBA’s proposed standards.</w:t>
      </w:r>
    </w:p>
    <w:permEnd w:id="21"/>
    <w:p w:rsidR="00D12AFD" w:rsidRDefault="00D12AFD" w:rsidP="00D12AFD">
      <w:r>
        <w:t>&lt;ESMA_QUESTION_TS_CSDR_20&gt;</w:t>
      </w:r>
    </w:p>
    <w:p w:rsidR="00D12AFD" w:rsidRPr="002C4F00" w:rsidRDefault="00D12AFD" w:rsidP="00965B03">
      <w:pPr>
        <w:pStyle w:val="Heading5"/>
        <w:ind w:left="567" w:hanging="567"/>
      </w:pPr>
      <w:r w:rsidRPr="002C4F00">
        <w:t>What are your views on the proposed draft RTS</w:t>
      </w:r>
      <w:r>
        <w:t xml:space="preserve"> on CSD participations</w:t>
      </w:r>
      <w:r w:rsidRPr="002C4F00">
        <w:t xml:space="preserve"> (Chapter II of Annex III)?</w:t>
      </w:r>
    </w:p>
    <w:p w:rsidR="00D12AFD" w:rsidRDefault="00D12AFD" w:rsidP="00D12AFD"/>
    <w:p w:rsidR="00D12AFD" w:rsidRDefault="00D12AFD" w:rsidP="00D12AFD">
      <w:r>
        <w:t>&lt;ESMA_QUESTION_TS_CSDR_21&gt;</w:t>
      </w:r>
    </w:p>
    <w:p w:rsidR="00124278" w:rsidRDefault="00124278" w:rsidP="00124278">
      <w:permStart w:id="22" w:edGrp="everyone"/>
      <w:r>
        <w:t>TYPE YOUR TEXT HERE</w:t>
      </w:r>
    </w:p>
    <w:permEnd w:id="22"/>
    <w:p w:rsidR="00D12AFD" w:rsidRDefault="00D12AFD" w:rsidP="00D12AFD">
      <w:r>
        <w:lastRenderedPageBreak/>
        <w:t>&lt;ESMA_QUESTION_TS_CSDR_21&gt;</w:t>
      </w:r>
    </w:p>
    <w:p w:rsidR="00D12AFD" w:rsidRDefault="00D12AFD" w:rsidP="00965B03">
      <w:pPr>
        <w:pStyle w:val="Heading5"/>
        <w:ind w:left="567" w:hanging="567"/>
      </w:pPr>
      <w:r w:rsidRPr="00C8467F">
        <w:t>What are your views on the proposed draft RTS on CSD risk monitoring tools (Cha</w:t>
      </w:r>
      <w:r w:rsidRPr="00C8467F">
        <w:t>p</w:t>
      </w:r>
      <w:r w:rsidRPr="00C8467F">
        <w:t>ter III of Annex III)?</w:t>
      </w:r>
    </w:p>
    <w:p w:rsidR="00D12AFD" w:rsidRDefault="00D12AFD" w:rsidP="00D12AFD"/>
    <w:p w:rsidR="00D12AFD" w:rsidRDefault="00D12AFD" w:rsidP="00D12AFD">
      <w:r>
        <w:t>&lt;ESMA_QUESTION_TS_CSDR_22&gt;</w:t>
      </w:r>
    </w:p>
    <w:p w:rsidR="00D12AFD" w:rsidRDefault="00D12AFD" w:rsidP="00D12AFD">
      <w:r>
        <w:t>TYPE YOUR TEXT HERE</w:t>
      </w:r>
    </w:p>
    <w:p w:rsidR="00D12AFD" w:rsidRDefault="00D12AFD" w:rsidP="00D12AFD">
      <w:r>
        <w:t>&lt;ESMA_QUESTION_TS_CSDR_22&gt;</w:t>
      </w:r>
    </w:p>
    <w:p w:rsidR="00D12AFD" w:rsidRDefault="00D12AFD" w:rsidP="00965B03">
      <w:pPr>
        <w:pStyle w:val="Heading5"/>
        <w:ind w:left="567" w:hanging="567"/>
      </w:pPr>
      <w:r w:rsidRPr="00C8467F">
        <w:t>What are your views on the proposed draft RTS on CSD record keeping (Chapter IV of Annex III) and draft ITS on CSD record keeping (Annex VII)?</w:t>
      </w:r>
    </w:p>
    <w:p w:rsidR="00D12AFD" w:rsidRDefault="00D12AFD" w:rsidP="00D12AFD"/>
    <w:p w:rsidR="00D12AFD" w:rsidRDefault="00D12AFD" w:rsidP="00D12AFD">
      <w:r>
        <w:t>&lt;ESMA_QUESTION_TS_CSDR_23&gt;</w:t>
      </w:r>
    </w:p>
    <w:p w:rsidR="00124278" w:rsidRDefault="00124278" w:rsidP="00124278">
      <w:permStart w:id="23" w:edGrp="everyone"/>
    </w:p>
    <w:permEnd w:id="23"/>
    <w:p w:rsidR="00D12AFD" w:rsidRDefault="00D12AFD" w:rsidP="00D12AFD">
      <w:r>
        <w:t>&lt;ESMA_QUESTION_TS_CSDR_23&gt;</w:t>
      </w:r>
    </w:p>
    <w:p w:rsidR="00D12AFD" w:rsidRPr="002C4F00" w:rsidRDefault="00D12AFD" w:rsidP="00965B03">
      <w:pPr>
        <w:pStyle w:val="Heading5"/>
        <w:ind w:left="567" w:hanging="567"/>
      </w:pPr>
      <w:r w:rsidRPr="002C4F00">
        <w:t>What are your views on the types of records to be retained by CSDs in relation to ancillary services as included in the Annex to the draft RTS on CSD Requirements (Annex III)? Please provide examples regarding the formats of the records to be r</w:t>
      </w:r>
      <w:r w:rsidRPr="002C4F00">
        <w:t>e</w:t>
      </w:r>
      <w:r w:rsidRPr="002C4F00">
        <w:t>tained by CSDs in relation to ancillary services.</w:t>
      </w:r>
    </w:p>
    <w:p w:rsidR="00D12AFD" w:rsidRDefault="00D12AFD" w:rsidP="00D12AFD"/>
    <w:p w:rsidR="00D12AFD" w:rsidRDefault="00D12AFD" w:rsidP="00D12AFD">
      <w:r>
        <w:t>&lt;ESMA_QUESTION_TS_CSDR_25&gt;</w:t>
      </w:r>
    </w:p>
    <w:p w:rsidR="00124278" w:rsidRDefault="00124278" w:rsidP="00124278">
      <w:permStart w:id="24" w:edGrp="everyone"/>
      <w:r>
        <w:t>TYPE YOUR TEXT HERE</w:t>
      </w:r>
    </w:p>
    <w:permEnd w:id="24"/>
    <w:p w:rsidR="00D12AFD" w:rsidRDefault="00D12AFD" w:rsidP="00D12AFD">
      <w:r>
        <w:t>&lt;ESMA_QUESTION_TS_CSDR_25&gt;</w:t>
      </w:r>
    </w:p>
    <w:p w:rsidR="00D12AFD" w:rsidRPr="002C4F00" w:rsidRDefault="00D12AFD" w:rsidP="00965B03">
      <w:pPr>
        <w:pStyle w:val="Heading5"/>
        <w:ind w:left="567" w:hanging="567"/>
      </w:pPr>
      <w:r w:rsidRPr="002C4F00">
        <w:t>What are your views on the proposed draft RTS</w:t>
      </w:r>
      <w:r>
        <w:t xml:space="preserve"> on reconciliation measures</w:t>
      </w:r>
      <w:r w:rsidRPr="002C4F00">
        <w:t xml:space="preserve"> included in Chapter V of Annex III?</w:t>
      </w:r>
    </w:p>
    <w:p w:rsidR="00D12AFD" w:rsidRDefault="00D12AFD" w:rsidP="00D12AFD"/>
    <w:p w:rsidR="00D12AFD" w:rsidRDefault="00D12AFD" w:rsidP="00D12AFD">
      <w:r>
        <w:t>&lt;ESMA_QUESTION_TS_CSDR_25&gt;</w:t>
      </w:r>
    </w:p>
    <w:p w:rsidR="00124278" w:rsidRDefault="00124278" w:rsidP="00124278">
      <w:permStart w:id="25" w:edGrp="everyone"/>
      <w:r>
        <w:t>TYPE YOUR TEXT HERE</w:t>
      </w:r>
    </w:p>
    <w:permEnd w:id="25"/>
    <w:p w:rsidR="00D12AFD" w:rsidRDefault="00D12AFD" w:rsidP="00D12AFD">
      <w:r>
        <w:t>&lt;ESMA_QUESTION_TS_CSDR_25&gt;</w:t>
      </w:r>
    </w:p>
    <w:p w:rsidR="00D12AFD" w:rsidRPr="002C4F00" w:rsidRDefault="00D12AFD" w:rsidP="00965B03">
      <w:pPr>
        <w:pStyle w:val="Heading5"/>
        <w:ind w:left="567" w:hanging="567"/>
      </w:pPr>
      <w:r w:rsidRPr="002C4F00">
        <w:t>Do you believe that the proposed reconciliation measures where other entities are involved in the reconciliation process for a certain securities issue within the mea</w:t>
      </w:r>
      <w:r w:rsidRPr="002C4F00">
        <w:t>n</w:t>
      </w:r>
      <w:r w:rsidRPr="002C4F00">
        <w:t>ing of Article 37(2) of CSDR are adequate? Please explain if you think that any of the proposed measures would not be applicable in the case of a specific entity. Please provide examples of any additional measures that would be relevant in the case of specific entities.</w:t>
      </w:r>
    </w:p>
    <w:p w:rsidR="00D12AFD" w:rsidRDefault="00D12AFD" w:rsidP="00D12AFD"/>
    <w:p w:rsidR="00D12AFD" w:rsidRDefault="00D12AFD" w:rsidP="00D12AFD">
      <w:r>
        <w:t>&lt;ESMA_QUESTION_TS_CSDR_26&gt;</w:t>
      </w:r>
    </w:p>
    <w:p w:rsidR="00124278" w:rsidRDefault="00124278" w:rsidP="00124278">
      <w:permStart w:id="26" w:edGrp="everyone"/>
      <w:r>
        <w:t>TYPE YOUR TEXT HERE</w:t>
      </w:r>
    </w:p>
    <w:permEnd w:id="26"/>
    <w:p w:rsidR="00D12AFD" w:rsidRDefault="00D12AFD" w:rsidP="00D12AFD">
      <w:r>
        <w:t>&lt;ESMA_QUESTION_TS_CSDR_26&gt;</w:t>
      </w:r>
    </w:p>
    <w:p w:rsidR="00F1314C" w:rsidRDefault="00F1314C" w:rsidP="00F1314C">
      <w:pPr>
        <w:pStyle w:val="Heading5"/>
      </w:pPr>
      <w:r w:rsidRPr="00F1314C">
        <w:t>What are your views on the proposed reconciliation measures for corporate a</w:t>
      </w:r>
      <w:r w:rsidRPr="00F1314C">
        <w:t>c</w:t>
      </w:r>
      <w:r w:rsidRPr="00F1314C">
        <w:t>tions under Article 15 of the draft RTS included in Chapter V of Annex III?</w:t>
      </w:r>
    </w:p>
    <w:p w:rsidR="00F1314C" w:rsidRDefault="00F1314C" w:rsidP="00F1314C"/>
    <w:p w:rsidR="00252063" w:rsidRDefault="00252063" w:rsidP="00252063">
      <w:r>
        <w:t>&lt;ESMA_QUESTION_TS_CSDR_27&gt;</w:t>
      </w:r>
    </w:p>
    <w:p w:rsidR="00810A47" w:rsidRPr="00783F63" w:rsidRDefault="00564787" w:rsidP="00810A47">
      <w:pPr>
        <w:rPr>
          <w:rFonts w:cs="Arial"/>
          <w:szCs w:val="22"/>
        </w:rPr>
      </w:pPr>
      <w:permStart w:id="27" w:edGrp="everyone"/>
      <w:r w:rsidRPr="00783F63">
        <w:rPr>
          <w:rFonts w:cs="Arial"/>
          <w:szCs w:val="22"/>
        </w:rPr>
        <w:t>AFME invites</w:t>
      </w:r>
      <w:r w:rsidR="00810A47" w:rsidRPr="00783F63">
        <w:rPr>
          <w:rFonts w:cs="Arial"/>
          <w:szCs w:val="22"/>
        </w:rPr>
        <w:t xml:space="preserve"> ESMA to review the text of Article 6, paragraph 4, and to modify this text so that it allows CSDs to comply with the Market Standards for Corporate Action Processing and with the T2S Corporate Actions Standards.</w:t>
      </w:r>
    </w:p>
    <w:p w:rsidR="00810A47" w:rsidRPr="00783F63" w:rsidRDefault="00810A47" w:rsidP="00810A47">
      <w:pPr>
        <w:rPr>
          <w:rFonts w:cs="Arial"/>
          <w:szCs w:val="22"/>
        </w:rPr>
      </w:pPr>
    </w:p>
    <w:p w:rsidR="00810A47" w:rsidRPr="00783F63" w:rsidRDefault="00810A47" w:rsidP="00810A47">
      <w:pPr>
        <w:rPr>
          <w:rFonts w:cs="Arial"/>
          <w:szCs w:val="22"/>
        </w:rPr>
      </w:pPr>
      <w:r w:rsidRPr="00783F63">
        <w:rPr>
          <w:rFonts w:cs="Arial"/>
          <w:szCs w:val="22"/>
        </w:rPr>
        <w:t>AFME suggests the following redrafting:</w:t>
      </w:r>
    </w:p>
    <w:p w:rsidR="00810A47" w:rsidRPr="00783F63" w:rsidRDefault="00810A47" w:rsidP="00810A47">
      <w:pPr>
        <w:rPr>
          <w:rFonts w:cs="Arial"/>
          <w:szCs w:val="22"/>
        </w:rPr>
      </w:pPr>
    </w:p>
    <w:tbl>
      <w:tblPr>
        <w:tblStyle w:val="TableGrid"/>
        <w:tblW w:w="0" w:type="auto"/>
        <w:tblLook w:val="04A0"/>
      </w:tblPr>
      <w:tblGrid>
        <w:gridCol w:w="9628"/>
      </w:tblGrid>
      <w:tr w:rsidR="00564787" w:rsidTr="00564787">
        <w:tc>
          <w:tcPr>
            <w:tcW w:w="9628" w:type="dxa"/>
          </w:tcPr>
          <w:p w:rsidR="00564787" w:rsidRPr="00564787" w:rsidRDefault="00564787" w:rsidP="00564787">
            <w:pPr>
              <w:pBdr>
                <w:top w:val="single" w:sz="4" w:space="1" w:color="auto"/>
                <w:left w:val="single" w:sz="4" w:space="4" w:color="auto"/>
                <w:bottom w:val="single" w:sz="4" w:space="2" w:color="auto"/>
                <w:right w:val="single" w:sz="4" w:space="4" w:color="auto"/>
              </w:pBdr>
              <w:rPr>
                <w:rFonts w:cs="Arial"/>
                <w:szCs w:val="22"/>
                <w:u w:val="single"/>
              </w:rPr>
            </w:pPr>
            <w:r w:rsidRPr="00564787">
              <w:rPr>
                <w:rFonts w:cs="Arial"/>
                <w:szCs w:val="22"/>
                <w:u w:val="single"/>
              </w:rPr>
              <w:lastRenderedPageBreak/>
              <w:t>Proposed re-drafting</w:t>
            </w:r>
          </w:p>
          <w:p w:rsidR="00564787" w:rsidRPr="00564787" w:rsidRDefault="00564787" w:rsidP="00564787">
            <w:pPr>
              <w:pBdr>
                <w:top w:val="single" w:sz="4" w:space="1" w:color="auto"/>
                <w:left w:val="single" w:sz="4" w:space="4" w:color="auto"/>
                <w:bottom w:val="single" w:sz="4" w:space="2" w:color="auto"/>
                <w:right w:val="single" w:sz="4" w:space="4" w:color="auto"/>
              </w:pBdr>
              <w:rPr>
                <w:rFonts w:cs="Arial"/>
                <w:i/>
                <w:szCs w:val="22"/>
                <w:lang w:val="en-US"/>
              </w:rPr>
            </w:pPr>
            <w:r w:rsidRPr="00564787">
              <w:rPr>
                <w:rFonts w:cs="Arial"/>
                <w:szCs w:val="22"/>
              </w:rPr>
              <w:t xml:space="preserve">1. A CSD shall not initiate the processing of a corporate action that would change the balance of securities accounts </w:t>
            </w:r>
            <w:r w:rsidRPr="00564787">
              <w:rPr>
                <w:rFonts w:cs="Arial"/>
                <w:szCs w:val="22"/>
                <w:u w:val="single"/>
              </w:rPr>
              <w:t>provided</w:t>
            </w:r>
            <w:r w:rsidRPr="00564787">
              <w:rPr>
                <w:rFonts w:cs="Arial"/>
                <w:szCs w:val="22"/>
              </w:rPr>
              <w:t xml:space="preserve"> </w:t>
            </w:r>
            <w:r w:rsidRPr="00564787">
              <w:rPr>
                <w:rFonts w:cs="Arial"/>
                <w:strike/>
                <w:szCs w:val="22"/>
              </w:rPr>
              <w:t>maintained</w:t>
            </w:r>
            <w:r w:rsidRPr="00564787">
              <w:rPr>
                <w:rFonts w:cs="Arial"/>
                <w:szCs w:val="22"/>
              </w:rPr>
              <w:t xml:space="preserve"> by the CSD until the reconciliation measures specified under Article 14 and, where applicable, under points a) and b) of Article 16(1) are completed. </w:t>
            </w:r>
            <w:r w:rsidRPr="00564787">
              <w:rPr>
                <w:rFonts w:cs="Arial"/>
                <w:strike/>
                <w:szCs w:val="22"/>
              </w:rPr>
              <w:t>at the end of settlement on the respective business day.</w:t>
            </w:r>
          </w:p>
        </w:tc>
      </w:tr>
    </w:tbl>
    <w:p w:rsidR="00564787" w:rsidRPr="00783F63" w:rsidRDefault="00564787" w:rsidP="00810A47">
      <w:pPr>
        <w:rPr>
          <w:rFonts w:cs="Arial"/>
          <w:szCs w:val="22"/>
        </w:rPr>
      </w:pPr>
    </w:p>
    <w:tbl>
      <w:tblPr>
        <w:tblStyle w:val="TableGrid"/>
        <w:tblW w:w="0" w:type="auto"/>
        <w:tblLook w:val="04A0"/>
      </w:tblPr>
      <w:tblGrid>
        <w:gridCol w:w="9628"/>
      </w:tblGrid>
      <w:tr w:rsidR="00564787" w:rsidTr="00564787">
        <w:tc>
          <w:tcPr>
            <w:tcW w:w="9628" w:type="dxa"/>
          </w:tcPr>
          <w:p w:rsidR="00564787" w:rsidRPr="00564787" w:rsidRDefault="00564787" w:rsidP="00810A47">
            <w:pPr>
              <w:rPr>
                <w:rFonts w:cs="Arial"/>
                <w:i/>
                <w:szCs w:val="22"/>
                <w:u w:val="single"/>
                <w:lang w:val="en-US"/>
              </w:rPr>
            </w:pPr>
            <w:r w:rsidRPr="00564787">
              <w:rPr>
                <w:rFonts w:cs="Arial"/>
                <w:i/>
                <w:szCs w:val="22"/>
                <w:u w:val="single"/>
                <w:lang w:val="en-US"/>
              </w:rPr>
              <w:t>Proposed re-drafting</w:t>
            </w:r>
          </w:p>
          <w:p w:rsidR="00564787" w:rsidRDefault="00564787" w:rsidP="00810A47">
            <w:pPr>
              <w:rPr>
                <w:rFonts w:cs="Arial"/>
                <w:i/>
                <w:szCs w:val="22"/>
                <w:lang w:val="en-US"/>
              </w:rPr>
            </w:pPr>
            <w:r w:rsidRPr="00783F63">
              <w:rPr>
                <w:rFonts w:cs="Arial"/>
                <w:i/>
                <w:szCs w:val="22"/>
                <w:lang w:val="en-US"/>
              </w:rPr>
              <w:t xml:space="preserve">2. When a corporate action has been processed, a CSD shall </w:t>
            </w:r>
            <w:r w:rsidRPr="00783F63">
              <w:rPr>
                <w:rFonts w:cs="Arial"/>
                <w:i/>
                <w:strike/>
                <w:szCs w:val="22"/>
                <w:lang w:val="en-US"/>
              </w:rPr>
              <w:t>perform an additional reconcili</w:t>
            </w:r>
            <w:r w:rsidRPr="00783F63">
              <w:rPr>
                <w:rFonts w:cs="Arial"/>
                <w:i/>
                <w:strike/>
                <w:szCs w:val="22"/>
                <w:lang w:val="en-US"/>
              </w:rPr>
              <w:t>a</w:t>
            </w:r>
            <w:r w:rsidRPr="00783F63">
              <w:rPr>
                <w:rFonts w:cs="Arial"/>
                <w:i/>
                <w:strike/>
                <w:szCs w:val="22"/>
                <w:lang w:val="en-US"/>
              </w:rPr>
              <w:t>tion ensuring</w:t>
            </w:r>
            <w:r w:rsidRPr="00783F63">
              <w:rPr>
                <w:rFonts w:cs="Arial"/>
                <w:i/>
                <w:szCs w:val="22"/>
                <w:lang w:val="en-US"/>
              </w:rPr>
              <w:t xml:space="preserve"> </w:t>
            </w:r>
            <w:r w:rsidRPr="00783F63">
              <w:rPr>
                <w:rFonts w:cs="Arial"/>
                <w:i/>
                <w:szCs w:val="22"/>
                <w:u w:val="single"/>
                <w:lang w:val="en-US"/>
              </w:rPr>
              <w:t>ensure</w:t>
            </w:r>
            <w:r w:rsidRPr="00783F63">
              <w:rPr>
                <w:rFonts w:cs="Arial"/>
                <w:i/>
                <w:szCs w:val="22"/>
                <w:lang w:val="en-US"/>
              </w:rPr>
              <w:t xml:space="preserve"> that all securities accounts </w:t>
            </w:r>
            <w:r w:rsidRPr="00783F63">
              <w:rPr>
                <w:rFonts w:cs="Arial"/>
                <w:i/>
                <w:szCs w:val="22"/>
                <w:u w:val="single"/>
                <w:lang w:val="en-US"/>
              </w:rPr>
              <w:t xml:space="preserve">provided </w:t>
            </w:r>
            <w:r w:rsidRPr="00783F63">
              <w:rPr>
                <w:rFonts w:cs="Arial"/>
                <w:i/>
                <w:strike/>
                <w:szCs w:val="22"/>
                <w:lang w:val="en-US"/>
              </w:rPr>
              <w:t>maintained</w:t>
            </w:r>
            <w:r w:rsidRPr="00783F63">
              <w:rPr>
                <w:rFonts w:cs="Arial"/>
                <w:i/>
                <w:szCs w:val="22"/>
                <w:lang w:val="en-US"/>
              </w:rPr>
              <w:t xml:space="preserve"> by the CSD are updated correctly</w:t>
            </w:r>
          </w:p>
        </w:tc>
      </w:tr>
    </w:tbl>
    <w:p w:rsidR="00564787" w:rsidRDefault="00564787" w:rsidP="00810A47">
      <w:pPr>
        <w:rPr>
          <w:rFonts w:cs="Arial"/>
          <w:i/>
          <w:szCs w:val="22"/>
          <w:lang w:val="en-US"/>
        </w:rPr>
      </w:pPr>
    </w:p>
    <w:permEnd w:id="27"/>
    <w:p w:rsidR="00252063" w:rsidRDefault="00252063" w:rsidP="00252063">
      <w:r>
        <w:t>&lt;ESMA_QUESTION_TS_CSDR_27&gt;</w:t>
      </w:r>
    </w:p>
    <w:p w:rsidR="00F1314C" w:rsidRPr="00F1314C" w:rsidRDefault="00F1314C" w:rsidP="00F1314C"/>
    <w:p w:rsidR="00D12AFD" w:rsidRPr="002C4F00" w:rsidRDefault="00D12AFD" w:rsidP="00965B03">
      <w:pPr>
        <w:pStyle w:val="Heading5"/>
        <w:ind w:left="567" w:hanging="567"/>
      </w:pPr>
      <w:r w:rsidRPr="00C8467F">
        <w:t>What are your views on the proposed draft RTS on CSD operational risks included in Chapter VI of Annex III?</w:t>
      </w:r>
    </w:p>
    <w:p w:rsidR="00D12AFD" w:rsidRDefault="00D12AFD" w:rsidP="00D12AFD"/>
    <w:p w:rsidR="00D12AFD" w:rsidRDefault="00D12AFD" w:rsidP="00D12AFD">
      <w:r>
        <w:t>&lt;ESMA_QUESTION_TS_CSDR_2</w:t>
      </w:r>
      <w:r w:rsidR="00252063">
        <w:t>8</w:t>
      </w:r>
      <w:r>
        <w:t>&gt;</w:t>
      </w:r>
    </w:p>
    <w:p w:rsidR="00124278" w:rsidRDefault="00124278" w:rsidP="00124278">
      <w:permStart w:id="28" w:edGrp="everyone"/>
      <w:r>
        <w:t>TYPE YOUR TEXT HERE</w:t>
      </w:r>
    </w:p>
    <w:permEnd w:id="28"/>
    <w:p w:rsidR="00D12AFD" w:rsidRDefault="00D12AFD" w:rsidP="00D12AFD">
      <w:r>
        <w:t>&lt;ESMA_QUESTION_TS_CSDR_2</w:t>
      </w:r>
      <w:r w:rsidR="00252063">
        <w:t>8</w:t>
      </w:r>
      <w:r>
        <w:t>&gt;</w:t>
      </w:r>
    </w:p>
    <w:p w:rsidR="00D12AFD" w:rsidRPr="002C4F00" w:rsidRDefault="00D12AFD" w:rsidP="00965B03">
      <w:pPr>
        <w:pStyle w:val="Heading5"/>
        <w:ind w:left="567" w:hanging="567"/>
      </w:pPr>
      <w:r w:rsidRPr="00C8467F">
        <w:t>What are your views on the proposed draft RTS on CSD investment policy (Chapter VII of Annex III)?</w:t>
      </w:r>
    </w:p>
    <w:p w:rsidR="00D12AFD" w:rsidRDefault="00D12AFD" w:rsidP="00D12AFD"/>
    <w:p w:rsidR="00D12AFD" w:rsidRDefault="00D12AFD" w:rsidP="00D12AFD">
      <w:r>
        <w:t>&lt;ESMA_QUESTION_TS_CSDR_2</w:t>
      </w:r>
      <w:r w:rsidR="00252063">
        <w:t>9</w:t>
      </w:r>
      <w:r>
        <w:t>&gt;</w:t>
      </w:r>
    </w:p>
    <w:p w:rsidR="00124278" w:rsidRDefault="00124278" w:rsidP="00124278">
      <w:permStart w:id="29" w:edGrp="everyone"/>
      <w:r>
        <w:t>TYPE YOUR TEXT HERE</w:t>
      </w:r>
    </w:p>
    <w:permEnd w:id="29"/>
    <w:p w:rsidR="00D12AFD" w:rsidRDefault="00D12AFD" w:rsidP="00D12AFD">
      <w:r>
        <w:t>&lt;ESMA_QUESTION_TS_CSDR_2</w:t>
      </w:r>
      <w:r w:rsidR="00252063">
        <w:t>9</w:t>
      </w:r>
      <w:r>
        <w:t>&gt;</w:t>
      </w:r>
    </w:p>
    <w:p w:rsidR="00D12AFD" w:rsidRPr="002C4F00" w:rsidRDefault="00D12AFD" w:rsidP="00965B03">
      <w:pPr>
        <w:pStyle w:val="Heading5"/>
        <w:ind w:left="567" w:hanging="567"/>
      </w:pPr>
      <w:r w:rsidRPr="002C4F00">
        <w:t>What are your views on the proposed draft RTS on access (Chapters I-III of Annex IV) and draft ITS on access (Annex VIII)?</w:t>
      </w:r>
    </w:p>
    <w:p w:rsidR="00D12AFD" w:rsidRDefault="00D12AFD" w:rsidP="00D12AFD"/>
    <w:p w:rsidR="00D12AFD" w:rsidRDefault="00D12AFD" w:rsidP="00D12AFD">
      <w:r>
        <w:t>&lt;ESMA_QUESTION_TS_CSDR_</w:t>
      </w:r>
      <w:r w:rsidR="00252063">
        <w:t>30</w:t>
      </w:r>
      <w:r>
        <w:t>&gt;</w:t>
      </w:r>
    </w:p>
    <w:p w:rsidR="00124278" w:rsidRDefault="00124278" w:rsidP="00124278">
      <w:permStart w:id="30" w:edGrp="everyone"/>
      <w:r>
        <w:t>TYPE YOUR TEXT HERE</w:t>
      </w:r>
    </w:p>
    <w:permEnd w:id="30"/>
    <w:p w:rsidR="00D12AFD" w:rsidRDefault="00D12AFD" w:rsidP="00D12AFD">
      <w:r>
        <w:t>&lt;ESMA_QUESTION_TS_CSDR_</w:t>
      </w:r>
      <w:r w:rsidR="00252063">
        <w:t>30</w:t>
      </w:r>
      <w:r>
        <w:t>&gt;</w:t>
      </w:r>
    </w:p>
    <w:p w:rsidR="00D12AFD" w:rsidRPr="002C4F00" w:rsidRDefault="00D12AFD" w:rsidP="00965B03">
      <w:pPr>
        <w:pStyle w:val="Heading5"/>
        <w:ind w:left="567" w:hanging="567"/>
      </w:pPr>
      <w:r w:rsidRPr="002C4F00">
        <w:t>What are your views on the proposed draft RTS on CSD links as included in Chapter IV of Annex IV?</w:t>
      </w:r>
    </w:p>
    <w:p w:rsidR="00D12AFD" w:rsidRDefault="00D12AFD" w:rsidP="00D12AFD"/>
    <w:p w:rsidR="00D12AFD" w:rsidRDefault="00D12AFD" w:rsidP="00D12AFD">
      <w:r>
        <w:t>&lt;ESMA_QUESTION_TS_CSDR_3</w:t>
      </w:r>
      <w:r w:rsidR="00252063">
        <w:t>1</w:t>
      </w:r>
      <w:r>
        <w:t>&gt;</w:t>
      </w:r>
    </w:p>
    <w:p w:rsidR="00124278" w:rsidRDefault="00124278" w:rsidP="00124278">
      <w:permStart w:id="31" w:edGrp="everyone"/>
      <w:r>
        <w:t>TYPE YOUR TEXT HERE</w:t>
      </w:r>
    </w:p>
    <w:permEnd w:id="31"/>
    <w:p w:rsidR="00D12AFD" w:rsidRPr="002C4F00" w:rsidRDefault="00D12AFD" w:rsidP="00D12AFD">
      <w:r>
        <w:t>&lt;ESMA_QUESTION_TS_CSDR_3</w:t>
      </w:r>
      <w:r w:rsidR="00252063">
        <w:t>1</w:t>
      </w:r>
      <w:r>
        <w:t>&gt;</w:t>
      </w:r>
    </w:p>
    <w:p w:rsidR="00D12AFD" w:rsidRPr="002C4F00" w:rsidRDefault="00D12AFD" w:rsidP="00965B03">
      <w:pPr>
        <w:pStyle w:val="Heading5"/>
        <w:ind w:left="567" w:hanging="567"/>
      </w:pPr>
      <w:r w:rsidRPr="00C8467F">
        <w:t>What are your views on the proposed draft RTS on internalised settlement (Annex V) and draft ITS on internalised settlement (Annex IX)?</w:t>
      </w:r>
    </w:p>
    <w:p w:rsidR="00D12AFD" w:rsidRDefault="00D12AFD" w:rsidP="00D12AFD"/>
    <w:p w:rsidR="00D12AFD" w:rsidRDefault="00D12AFD" w:rsidP="00D12AFD">
      <w:r>
        <w:t>&lt;ESMA_QUESTION_TS_CSDR_3</w:t>
      </w:r>
      <w:r w:rsidR="00252063">
        <w:t>2</w:t>
      </w:r>
      <w:r>
        <w:t>&gt;</w:t>
      </w:r>
    </w:p>
    <w:p w:rsidR="00B245F7" w:rsidRDefault="00B245F7" w:rsidP="00B245F7">
      <w:pPr>
        <w:pStyle w:val="Heading4"/>
        <w:keepLines/>
        <w:tabs>
          <w:tab w:val="clear" w:pos="864"/>
        </w:tabs>
        <w:spacing w:before="200" w:after="0"/>
        <w:rPr>
          <w:rFonts w:ascii="Arial" w:hAnsi="Arial" w:cs="Arial"/>
          <w:sz w:val="22"/>
          <w:szCs w:val="22"/>
        </w:rPr>
      </w:pPr>
      <w:permStart w:id="32" w:edGrp="everyone"/>
    </w:p>
    <w:p w:rsidR="00810A47" w:rsidRDefault="00810A47" w:rsidP="00FB266C">
      <w:pPr>
        <w:pStyle w:val="Heading4"/>
        <w:keepLines/>
        <w:numPr>
          <w:ilvl w:val="0"/>
          <w:numId w:val="79"/>
        </w:numPr>
        <w:spacing w:before="200" w:after="0"/>
        <w:rPr>
          <w:rFonts w:ascii="Arial" w:hAnsi="Arial" w:cs="Arial"/>
          <w:sz w:val="22"/>
          <w:szCs w:val="22"/>
        </w:rPr>
      </w:pPr>
      <w:r w:rsidRPr="00810A47">
        <w:rPr>
          <w:rFonts w:ascii="Arial" w:hAnsi="Arial" w:cs="Arial"/>
          <w:sz w:val="22"/>
          <w:szCs w:val="22"/>
        </w:rPr>
        <w:t>The requirement to report the value and number of failed transfer orders is not included in the mandate that is given to ESMA</w:t>
      </w:r>
    </w:p>
    <w:p w:rsidR="00B245F7" w:rsidRPr="00B245F7" w:rsidRDefault="00B245F7" w:rsidP="00B245F7"/>
    <w:p w:rsidR="00810A47" w:rsidRPr="00F45130" w:rsidRDefault="00810A47" w:rsidP="00810A47">
      <w:pPr>
        <w:rPr>
          <w:rFonts w:cs="Arial"/>
        </w:rPr>
      </w:pPr>
      <w:r w:rsidRPr="00F45130">
        <w:rPr>
          <w:rFonts w:cs="Arial"/>
        </w:rPr>
        <w:lastRenderedPageBreak/>
        <w:t>Art. 9.1 of Regulation 909/2014 provides that settlement internalisers report “</w:t>
      </w:r>
      <w:r w:rsidRPr="00F45130">
        <w:rPr>
          <w:rFonts w:cs="Arial"/>
          <w:i/>
        </w:rPr>
        <w:t>the aggregated volume and value of all securities transactions that they settle outside securities settlement systems.</w:t>
      </w:r>
      <w:r w:rsidRPr="00F45130">
        <w:rPr>
          <w:rFonts w:cs="Arial"/>
        </w:rPr>
        <w:t xml:space="preserve">” </w:t>
      </w:r>
      <w:r w:rsidRPr="00F45130">
        <w:rPr>
          <w:rFonts w:cs="Arial"/>
        </w:rPr>
        <w:br/>
        <w:t>However, in art. 2(j) of the draft RTS, ESMA intends to ask settlement internalisers to report also:</w:t>
      </w:r>
    </w:p>
    <w:p w:rsidR="00810A47" w:rsidRPr="00F45130" w:rsidRDefault="00810A47" w:rsidP="00FB266C">
      <w:pPr>
        <w:pStyle w:val="ListParagraph"/>
        <w:widowControl w:val="0"/>
        <w:numPr>
          <w:ilvl w:val="0"/>
          <w:numId w:val="72"/>
        </w:numPr>
        <w:autoSpaceDE w:val="0"/>
        <w:autoSpaceDN w:val="0"/>
        <w:adjustRightInd w:val="0"/>
        <w:spacing w:after="240"/>
        <w:rPr>
          <w:rFonts w:cs="Arial"/>
        </w:rPr>
      </w:pPr>
      <w:r w:rsidRPr="00F45130">
        <w:rPr>
          <w:rFonts w:cs="Arial"/>
        </w:rPr>
        <w:t>the number and value of failed transfer orders, knowing that a “transfer order” defined in Directive 98/26/EC includes cash and securities settlements through a securities settl</w:t>
      </w:r>
      <w:r w:rsidRPr="00F45130">
        <w:rPr>
          <w:rFonts w:cs="Arial"/>
        </w:rPr>
        <w:t>e</w:t>
      </w:r>
      <w:r w:rsidRPr="00F45130">
        <w:rPr>
          <w:rFonts w:cs="Arial"/>
        </w:rPr>
        <w:t>ment system and</w:t>
      </w:r>
    </w:p>
    <w:p w:rsidR="00810A47" w:rsidRPr="00F45130" w:rsidRDefault="00810A47" w:rsidP="00FB266C">
      <w:pPr>
        <w:pStyle w:val="ListParagraph"/>
        <w:widowControl w:val="0"/>
        <w:numPr>
          <w:ilvl w:val="0"/>
          <w:numId w:val="72"/>
        </w:numPr>
        <w:autoSpaceDE w:val="0"/>
        <w:autoSpaceDN w:val="0"/>
        <w:adjustRightInd w:val="0"/>
        <w:spacing w:after="240"/>
        <w:rPr>
          <w:rFonts w:cs="Arial"/>
        </w:rPr>
      </w:pPr>
      <w:r w:rsidRPr="00F45130">
        <w:rPr>
          <w:rFonts w:cs="Arial"/>
        </w:rPr>
        <w:t>a comparison of the settlement fails that occur as part of settlement internalisation and the settlement fails in the system</w:t>
      </w:r>
    </w:p>
    <w:p w:rsidR="00810A47" w:rsidRPr="00F45130" w:rsidRDefault="00810A47" w:rsidP="00810A47">
      <w:pPr>
        <w:widowControl w:val="0"/>
        <w:autoSpaceDE w:val="0"/>
        <w:autoSpaceDN w:val="0"/>
        <w:adjustRightInd w:val="0"/>
        <w:spacing w:after="240"/>
        <w:rPr>
          <w:rFonts w:cs="Arial"/>
        </w:rPr>
      </w:pPr>
      <w:r w:rsidRPr="00F45130">
        <w:rPr>
          <w:rFonts w:cs="Arial"/>
        </w:rPr>
        <w:t>This goes beyond the mandate that the European legislator has given to ESMA under art. 9.2 of Regulation 909/2014.</w:t>
      </w:r>
    </w:p>
    <w:p w:rsidR="00810A47" w:rsidRPr="00F45130" w:rsidRDefault="00810A47" w:rsidP="00810A47">
      <w:pPr>
        <w:widowControl w:val="0"/>
        <w:autoSpaceDE w:val="0"/>
        <w:autoSpaceDN w:val="0"/>
        <w:adjustRightInd w:val="0"/>
        <w:spacing w:after="240"/>
        <w:rPr>
          <w:rFonts w:cs="Arial"/>
        </w:rPr>
      </w:pPr>
      <w:r w:rsidRPr="00F45130">
        <w:rPr>
          <w:rFonts w:cs="Arial"/>
        </w:rPr>
        <w:t xml:space="preserve">We therefore advocate the deletion of art. 2(j) of the draft RTS, as the reporting in number and value of the transactions is already included in articles 2(f) and 2(g). In addition, this requirement corresponds to none of the fields in the annexes of the draft ITS. </w:t>
      </w:r>
    </w:p>
    <w:p w:rsidR="00810A47" w:rsidRDefault="00810A47" w:rsidP="00B245F7">
      <w:pPr>
        <w:pStyle w:val="Heading4"/>
        <w:numPr>
          <w:ilvl w:val="0"/>
          <w:numId w:val="79"/>
        </w:numPr>
        <w:spacing w:before="360"/>
        <w:rPr>
          <w:rFonts w:ascii="Arial" w:hAnsi="Arial" w:cs="Arial"/>
          <w:sz w:val="22"/>
          <w:szCs w:val="22"/>
        </w:rPr>
      </w:pPr>
      <w:r w:rsidRPr="00810A47">
        <w:rPr>
          <w:rFonts w:ascii="Arial" w:hAnsi="Arial" w:cs="Arial"/>
          <w:sz w:val="22"/>
          <w:szCs w:val="22"/>
        </w:rPr>
        <w:t xml:space="preserve">The scope of the reporting obligation </w:t>
      </w:r>
    </w:p>
    <w:p w:rsidR="00B245F7" w:rsidRPr="00B245F7" w:rsidRDefault="00B245F7" w:rsidP="00B245F7"/>
    <w:p w:rsidR="00810A47" w:rsidRPr="00F45130" w:rsidRDefault="00810A47" w:rsidP="00810A47">
      <w:pPr>
        <w:rPr>
          <w:rFonts w:cs="Arial"/>
        </w:rPr>
      </w:pPr>
      <w:r w:rsidRPr="00810A47">
        <w:rPr>
          <w:rFonts w:cs="Arial"/>
          <w:szCs w:val="22"/>
        </w:rPr>
        <w:t>Art</w:t>
      </w:r>
      <w:r w:rsidRPr="00F45130">
        <w:rPr>
          <w:rFonts w:cs="Arial"/>
        </w:rPr>
        <w:t xml:space="preserve">. 2.1.f).vii and art. 2.1.g).iv provide that “others” need to be reported as part of respectively the type of financial instruments and type of securities transactions. Where a settlement internaliser doesn’t report “others”, he will be in breach of the RTS. It is therefore important that the </w:t>
      </w:r>
      <w:r w:rsidR="00900D41">
        <w:rPr>
          <w:rFonts w:cs="Arial"/>
        </w:rPr>
        <w:t>term</w:t>
      </w:r>
      <w:r w:rsidRPr="00F45130">
        <w:rPr>
          <w:rFonts w:cs="Arial"/>
        </w:rPr>
        <w:t xml:space="preserve"> “others” </w:t>
      </w:r>
      <w:r w:rsidR="00900D41">
        <w:rPr>
          <w:rFonts w:cs="Arial"/>
        </w:rPr>
        <w:t>is</w:t>
      </w:r>
      <w:r w:rsidRPr="00F45130">
        <w:rPr>
          <w:rFonts w:cs="Arial"/>
        </w:rPr>
        <w:t xml:space="preserve"> either deleted or replaced with more specific elements to be reported. </w:t>
      </w:r>
    </w:p>
    <w:p w:rsidR="00810A47" w:rsidRPr="00F45130" w:rsidRDefault="00810A47" w:rsidP="00810A47">
      <w:pPr>
        <w:rPr>
          <w:rFonts w:cs="Arial"/>
        </w:rPr>
      </w:pPr>
      <w:r w:rsidRPr="00F45130">
        <w:rPr>
          <w:rFonts w:cs="Arial"/>
        </w:rPr>
        <w:t xml:space="preserve">We would </w:t>
      </w:r>
      <w:r w:rsidR="00B245F7" w:rsidRPr="00F45130">
        <w:rPr>
          <w:rFonts w:cs="Arial"/>
        </w:rPr>
        <w:t>ask for</w:t>
      </w:r>
      <w:r w:rsidRPr="00F45130">
        <w:rPr>
          <w:rFonts w:cs="Arial"/>
        </w:rPr>
        <w:t xml:space="preserve"> absolute clarity in terms of the reporting scope </w:t>
      </w:r>
      <w:r w:rsidR="00B245F7" w:rsidRPr="00F45130">
        <w:rPr>
          <w:rFonts w:cs="Arial"/>
        </w:rPr>
        <w:t>i.e.</w:t>
      </w:r>
      <w:r w:rsidRPr="00F45130">
        <w:rPr>
          <w:rFonts w:cs="Arial"/>
        </w:rPr>
        <w:t xml:space="preserve"> should it be made more specific to state that only securities issued in a Central Securities Depository operating in a Member State of the European Union should be subject to the reporting obligation, or does it refer to all transferable securities settled in an EU CSD, irrespective of where </w:t>
      </w:r>
      <w:r w:rsidR="00900D41">
        <w:rPr>
          <w:rFonts w:cs="Arial"/>
        </w:rPr>
        <w:t>they were</w:t>
      </w:r>
      <w:r w:rsidRPr="00F45130">
        <w:rPr>
          <w:rFonts w:cs="Arial"/>
        </w:rPr>
        <w:t xml:space="preserve"> issued?  It is to be noted that the inclusion of transfer orders per country where the securities have been issued would present a challenge for settlement internalisers as clients’ instructions only include the place of settlement. There is no indication where the securities were issued.</w:t>
      </w:r>
    </w:p>
    <w:p w:rsidR="00810A47" w:rsidRPr="00F45130" w:rsidRDefault="00810A47" w:rsidP="00FB266C">
      <w:pPr>
        <w:pStyle w:val="ListParagraph"/>
        <w:numPr>
          <w:ilvl w:val="0"/>
          <w:numId w:val="74"/>
        </w:numPr>
        <w:spacing w:before="120" w:after="120"/>
        <w:jc w:val="both"/>
        <w:rPr>
          <w:rFonts w:cs="Arial"/>
        </w:rPr>
      </w:pPr>
      <w:r w:rsidRPr="00F45130">
        <w:rPr>
          <w:rFonts w:cs="Arial"/>
        </w:rPr>
        <w:t xml:space="preserve">All settlements related to on-exchange activity should be </w:t>
      </w:r>
      <w:r w:rsidR="00B245F7" w:rsidRPr="00F45130">
        <w:rPr>
          <w:rFonts w:cs="Arial"/>
        </w:rPr>
        <w:t>excluded.</w:t>
      </w:r>
      <w:r w:rsidR="00900D41">
        <w:rPr>
          <w:rFonts w:cs="Arial"/>
        </w:rPr>
        <w:t xml:space="preserve"> A </w:t>
      </w:r>
      <w:r w:rsidRPr="00F45130">
        <w:rPr>
          <w:rFonts w:cs="Arial"/>
        </w:rPr>
        <w:t xml:space="preserve">General Clearing Member </w:t>
      </w:r>
      <w:r w:rsidR="00B245F7" w:rsidRPr="00F45130">
        <w:rPr>
          <w:rFonts w:cs="Arial"/>
        </w:rPr>
        <w:t>provides</w:t>
      </w:r>
      <w:r w:rsidRPr="00F45130">
        <w:rPr>
          <w:rFonts w:cs="Arial"/>
        </w:rPr>
        <w:t xml:space="preserve"> the clearing service for their clients and </w:t>
      </w:r>
      <w:r w:rsidR="00B245F7" w:rsidRPr="00F45130">
        <w:rPr>
          <w:rFonts w:cs="Arial"/>
        </w:rPr>
        <w:t>receives</w:t>
      </w:r>
      <w:r w:rsidRPr="00F45130">
        <w:rPr>
          <w:rFonts w:cs="Arial"/>
        </w:rPr>
        <w:t xml:space="preserve"> netted instructions from the CCP containing multiple transactions. The resulting allocations to the respective client should not be considered internalised settlement </w:t>
      </w:r>
    </w:p>
    <w:p w:rsidR="00810A47" w:rsidRPr="00F45130" w:rsidRDefault="00810A47" w:rsidP="00FB266C">
      <w:pPr>
        <w:pStyle w:val="ListParagraph"/>
        <w:numPr>
          <w:ilvl w:val="0"/>
          <w:numId w:val="74"/>
        </w:numPr>
        <w:spacing w:before="120" w:after="120"/>
        <w:jc w:val="both"/>
        <w:rPr>
          <w:rFonts w:cs="Arial"/>
        </w:rPr>
      </w:pPr>
      <w:r w:rsidRPr="00F45130">
        <w:rPr>
          <w:rFonts w:cs="Arial"/>
        </w:rPr>
        <w:t>All settlements that are subsequent to corporate actions should be excluded, such “boo</w:t>
      </w:r>
      <w:r w:rsidRPr="00F45130">
        <w:rPr>
          <w:rFonts w:cs="Arial"/>
        </w:rPr>
        <w:t>k</w:t>
      </w:r>
      <w:r w:rsidRPr="00F45130">
        <w:rPr>
          <w:rFonts w:cs="Arial"/>
        </w:rPr>
        <w:t>ings” refer to the reflection of externally (by the CSD) performed activities and are no i</w:t>
      </w:r>
      <w:r w:rsidRPr="00F45130">
        <w:rPr>
          <w:rFonts w:cs="Arial"/>
        </w:rPr>
        <w:t>n</w:t>
      </w:r>
      <w:r w:rsidRPr="00F45130">
        <w:rPr>
          <w:rFonts w:cs="Arial"/>
        </w:rPr>
        <w:t>ternalisation – those are mere “allocations” received from the CSD;</w:t>
      </w:r>
    </w:p>
    <w:p w:rsidR="00810A47" w:rsidRPr="00F45130" w:rsidRDefault="00810A47" w:rsidP="00FB266C">
      <w:pPr>
        <w:pStyle w:val="ListParagraph"/>
        <w:numPr>
          <w:ilvl w:val="0"/>
          <w:numId w:val="74"/>
        </w:numPr>
        <w:spacing w:before="120" w:after="120"/>
        <w:jc w:val="both"/>
        <w:rPr>
          <w:rFonts w:cs="Arial"/>
        </w:rPr>
      </w:pPr>
      <w:r w:rsidRPr="00F45130">
        <w:rPr>
          <w:rFonts w:cs="Arial"/>
        </w:rPr>
        <w:t>All settlements that relate to collateral management programs should be excluded as they do not reflect any possible centralised settlement;</w:t>
      </w:r>
    </w:p>
    <w:p w:rsidR="00810A47" w:rsidRPr="00F45130" w:rsidRDefault="00810A47" w:rsidP="00FB266C">
      <w:pPr>
        <w:pStyle w:val="ListParagraph"/>
        <w:numPr>
          <w:ilvl w:val="0"/>
          <w:numId w:val="74"/>
        </w:numPr>
        <w:spacing w:before="120" w:after="120"/>
        <w:jc w:val="both"/>
        <w:rPr>
          <w:rFonts w:cs="Arial"/>
        </w:rPr>
      </w:pPr>
      <w:r w:rsidRPr="00F45130">
        <w:rPr>
          <w:rFonts w:cs="Arial"/>
        </w:rPr>
        <w:t>Securities, which are not issued in a Central Securities Depository, should not be i</w:t>
      </w:r>
      <w:r w:rsidRPr="00F45130">
        <w:rPr>
          <w:rFonts w:cs="Arial"/>
        </w:rPr>
        <w:t>n</w:t>
      </w:r>
      <w:r w:rsidRPr="00F45130">
        <w:rPr>
          <w:rFonts w:cs="Arial"/>
        </w:rPr>
        <w:t>cluded in the declaration. This is for example the case of such as certain units of UCITs and AIFs after subscription.</w:t>
      </w:r>
    </w:p>
    <w:p w:rsidR="00810A47" w:rsidRPr="00F45130" w:rsidRDefault="00810A47" w:rsidP="00FB266C">
      <w:pPr>
        <w:pStyle w:val="ListParagraph"/>
        <w:numPr>
          <w:ilvl w:val="0"/>
          <w:numId w:val="74"/>
        </w:numPr>
        <w:spacing w:before="120" w:after="120"/>
        <w:jc w:val="both"/>
        <w:rPr>
          <w:rFonts w:cs="Arial"/>
        </w:rPr>
      </w:pPr>
      <w:r w:rsidRPr="00F45130">
        <w:rPr>
          <w:rFonts w:cs="Arial"/>
        </w:rPr>
        <w:t>A settlement in the books of a CSD can correspond to transactions entered into by se</w:t>
      </w:r>
      <w:r w:rsidRPr="00F45130">
        <w:rPr>
          <w:rFonts w:cs="Arial"/>
        </w:rPr>
        <w:t>v</w:t>
      </w:r>
      <w:r w:rsidRPr="00F45130">
        <w:rPr>
          <w:rFonts w:cs="Arial"/>
        </w:rPr>
        <w:t>eral clients. The CSD participant that settles at central level may choose to aggregate clients’ settlement instructions and then send them to the CSD for settlement. As a result, one settlement instruction in the SSS may correspond to multiple settlements in the books of the CSD participant. The latter should not be considered as settlement internal</w:t>
      </w:r>
      <w:r w:rsidRPr="00F45130">
        <w:rPr>
          <w:rFonts w:cs="Arial"/>
        </w:rPr>
        <w:t>i</w:t>
      </w:r>
      <w:r w:rsidRPr="00F45130">
        <w:rPr>
          <w:rFonts w:cs="Arial"/>
        </w:rPr>
        <w:t>sation.</w:t>
      </w:r>
    </w:p>
    <w:p w:rsidR="00810A47" w:rsidRPr="00F45130" w:rsidRDefault="00810A47" w:rsidP="00810A47">
      <w:pPr>
        <w:rPr>
          <w:rFonts w:cs="Arial"/>
        </w:rPr>
      </w:pPr>
      <w:r w:rsidRPr="00F45130">
        <w:rPr>
          <w:rFonts w:cs="Arial"/>
        </w:rPr>
        <w:t>The proposed RTS would gain clarity if this were made more specific.</w:t>
      </w:r>
    </w:p>
    <w:p w:rsidR="00810A47" w:rsidRPr="00810A47" w:rsidRDefault="00810A47" w:rsidP="00B245F7">
      <w:pPr>
        <w:pStyle w:val="Heading4"/>
        <w:numPr>
          <w:ilvl w:val="0"/>
          <w:numId w:val="79"/>
        </w:numPr>
        <w:spacing w:before="360"/>
        <w:rPr>
          <w:rFonts w:ascii="Arial" w:hAnsi="Arial" w:cs="Arial"/>
          <w:sz w:val="22"/>
          <w:szCs w:val="22"/>
        </w:rPr>
      </w:pPr>
      <w:r w:rsidRPr="00810A47">
        <w:rPr>
          <w:rFonts w:ascii="Arial" w:hAnsi="Arial" w:cs="Arial"/>
          <w:sz w:val="22"/>
          <w:szCs w:val="22"/>
        </w:rPr>
        <w:lastRenderedPageBreak/>
        <w:t>The content of the reporting obligation</w:t>
      </w:r>
    </w:p>
    <w:p w:rsidR="00810A47" w:rsidRPr="00F45130" w:rsidRDefault="00810A47" w:rsidP="00FB266C">
      <w:pPr>
        <w:pStyle w:val="ListParagraph"/>
        <w:numPr>
          <w:ilvl w:val="0"/>
          <w:numId w:val="76"/>
        </w:numPr>
        <w:spacing w:before="120" w:after="120"/>
        <w:jc w:val="both"/>
        <w:rPr>
          <w:rFonts w:cs="Arial"/>
        </w:rPr>
      </w:pPr>
      <w:r w:rsidRPr="00F45130">
        <w:rPr>
          <w:rFonts w:cs="Arial"/>
        </w:rPr>
        <w:t>Type of securities transactions</w:t>
      </w:r>
    </w:p>
    <w:p w:rsidR="00810A47" w:rsidRPr="00B245F7" w:rsidRDefault="00810A47" w:rsidP="008D16B2">
      <w:pPr>
        <w:pStyle w:val="ListParagraph"/>
        <w:rPr>
          <w:rFonts w:cs="Arial"/>
        </w:rPr>
      </w:pPr>
      <w:r w:rsidRPr="00F45130">
        <w:rPr>
          <w:rFonts w:cs="Arial"/>
        </w:rPr>
        <w:t>The identification of the type of transactions based on the suggested terms should be aligned to the ISO transaction codes, that ESMA has already suggested in Articles of the settlement discipline RTS</w:t>
      </w:r>
      <w:r w:rsidR="00B245F7" w:rsidRPr="00F45130">
        <w:rPr>
          <w:rFonts w:cs="Arial"/>
        </w:rPr>
        <w:t xml:space="preserve">. </w:t>
      </w:r>
      <w:r w:rsidRPr="00F45130">
        <w:rPr>
          <w:rFonts w:cs="Arial"/>
        </w:rPr>
        <w:t>As ESMA rightly pointed out these are not used in a consi</w:t>
      </w:r>
      <w:r w:rsidRPr="00F45130">
        <w:rPr>
          <w:rFonts w:cs="Arial"/>
        </w:rPr>
        <w:t>s</w:t>
      </w:r>
      <w:r w:rsidRPr="00F45130">
        <w:rPr>
          <w:rFonts w:cs="Arial"/>
        </w:rPr>
        <w:t>tent way. Without this harmonised use. Custodian banks/settlement internalisers most o</w:t>
      </w:r>
      <w:r w:rsidRPr="00F45130">
        <w:rPr>
          <w:rFonts w:cs="Arial"/>
        </w:rPr>
        <w:t>f</w:t>
      </w:r>
      <w:r w:rsidRPr="00F45130">
        <w:rPr>
          <w:rFonts w:cs="Arial"/>
        </w:rPr>
        <w:t xml:space="preserve">ten don’t know the nature of the underlying </w:t>
      </w:r>
      <w:r w:rsidR="00B245F7" w:rsidRPr="00F45130">
        <w:rPr>
          <w:rFonts w:cs="Arial"/>
        </w:rPr>
        <w:t>transaction. To</w:t>
      </w:r>
      <w:r w:rsidRPr="00F45130">
        <w:rPr>
          <w:rFonts w:cs="Arial"/>
        </w:rPr>
        <w:t xml:space="preserve"> comply with the proposed standards a market practice would have to be used and it would have to be ensured, that the initiating parties to a settlement instruction fill the transaction type correctly.</w:t>
      </w:r>
    </w:p>
    <w:p w:rsidR="008D16B2" w:rsidRDefault="008D16B2" w:rsidP="008D16B2">
      <w:pPr>
        <w:pStyle w:val="ListParagraph"/>
        <w:spacing w:before="120" w:after="120"/>
        <w:jc w:val="both"/>
        <w:rPr>
          <w:rFonts w:cs="Arial"/>
        </w:rPr>
      </w:pPr>
    </w:p>
    <w:p w:rsidR="00810A47" w:rsidRDefault="00810A47" w:rsidP="00FB266C">
      <w:pPr>
        <w:pStyle w:val="ListParagraph"/>
        <w:numPr>
          <w:ilvl w:val="0"/>
          <w:numId w:val="76"/>
        </w:numPr>
        <w:spacing w:before="120" w:after="120"/>
        <w:jc w:val="both"/>
        <w:rPr>
          <w:rFonts w:cs="Arial"/>
        </w:rPr>
      </w:pPr>
      <w:r w:rsidRPr="00F45130">
        <w:rPr>
          <w:rFonts w:cs="Arial"/>
        </w:rPr>
        <w:t>Types of clients</w:t>
      </w:r>
    </w:p>
    <w:p w:rsidR="00810A47" w:rsidRPr="00F45130" w:rsidRDefault="00810A47" w:rsidP="00810A47">
      <w:pPr>
        <w:ind w:left="708"/>
        <w:rPr>
          <w:rFonts w:cs="Arial"/>
        </w:rPr>
      </w:pPr>
      <w:r w:rsidRPr="00F45130">
        <w:rPr>
          <w:rFonts w:cs="Arial"/>
        </w:rPr>
        <w:t>It is also unclear to us whether the split per client means the entity which executed the trade or the settlement internaliser’s direct client. In case ESMA means the latter (the se</w:t>
      </w:r>
      <w:r w:rsidRPr="00F45130">
        <w:rPr>
          <w:rFonts w:cs="Arial"/>
        </w:rPr>
        <w:t>t</w:t>
      </w:r>
      <w:r w:rsidRPr="00F45130">
        <w:rPr>
          <w:rFonts w:cs="Arial"/>
        </w:rPr>
        <w:t>tlement internaliser’s client), the report may not be accurate as the trades will not be r</w:t>
      </w:r>
      <w:r w:rsidRPr="00F45130">
        <w:rPr>
          <w:rFonts w:cs="Arial"/>
        </w:rPr>
        <w:t>e</w:t>
      </w:r>
      <w:r w:rsidRPr="00F45130">
        <w:rPr>
          <w:rFonts w:cs="Arial"/>
        </w:rPr>
        <w:t>ported as the correct entity level (we will report for instance as investment firm which is our client but the trade may actually be for a UCITS). If ESMA means the former (the e</w:t>
      </w:r>
      <w:r w:rsidRPr="00F45130">
        <w:rPr>
          <w:rFonts w:cs="Arial"/>
        </w:rPr>
        <w:t>n</w:t>
      </w:r>
      <w:r w:rsidRPr="00F45130">
        <w:rPr>
          <w:rFonts w:cs="Arial"/>
        </w:rPr>
        <w:t>tity which executed the trade) then the settlement internaliser does not have the doc</w:t>
      </w:r>
      <w:r w:rsidRPr="00F45130">
        <w:rPr>
          <w:rFonts w:cs="Arial"/>
        </w:rPr>
        <w:t>u</w:t>
      </w:r>
      <w:r w:rsidRPr="00F45130">
        <w:rPr>
          <w:rFonts w:cs="Arial"/>
        </w:rPr>
        <w:t xml:space="preserve">mentation to classify this entity as it is not contractually related to it. </w:t>
      </w:r>
    </w:p>
    <w:p w:rsidR="00810A47" w:rsidRPr="00F45130" w:rsidRDefault="00810A47" w:rsidP="00FB266C">
      <w:pPr>
        <w:pStyle w:val="ListParagraph"/>
        <w:numPr>
          <w:ilvl w:val="0"/>
          <w:numId w:val="76"/>
        </w:numPr>
        <w:spacing w:before="120" w:after="120"/>
        <w:jc w:val="both"/>
        <w:rPr>
          <w:rFonts w:cs="Arial"/>
        </w:rPr>
      </w:pPr>
      <w:r w:rsidRPr="00F45130">
        <w:rPr>
          <w:rFonts w:cs="Arial"/>
        </w:rPr>
        <w:t>Split by country where the securities have been issued</w:t>
      </w:r>
    </w:p>
    <w:p w:rsidR="00810A47" w:rsidRPr="00F45130" w:rsidRDefault="00810A47" w:rsidP="00810A47">
      <w:pPr>
        <w:ind w:left="708"/>
        <w:rPr>
          <w:rFonts w:cs="Arial"/>
        </w:rPr>
      </w:pPr>
      <w:r w:rsidRPr="00F45130">
        <w:rPr>
          <w:rFonts w:cs="Arial"/>
        </w:rPr>
        <w:t>The split of transfer orders per country where the securities have been issued would also require a systemic enhancement for settlement internalisers as clients’ instructions only include the place of settlement. There is no indication where the securities were issued.</w:t>
      </w:r>
    </w:p>
    <w:p w:rsidR="00810A47" w:rsidRPr="00F45130" w:rsidRDefault="00810A47" w:rsidP="00FB266C">
      <w:pPr>
        <w:pStyle w:val="ListParagraph"/>
        <w:numPr>
          <w:ilvl w:val="0"/>
          <w:numId w:val="76"/>
        </w:numPr>
        <w:spacing w:before="120" w:after="120"/>
        <w:jc w:val="both"/>
        <w:rPr>
          <w:rFonts w:cs="Arial"/>
        </w:rPr>
      </w:pPr>
      <w:r w:rsidRPr="00F45130">
        <w:rPr>
          <w:rFonts w:cs="Arial"/>
        </w:rPr>
        <w:t>Aggregated volume and value</w:t>
      </w:r>
    </w:p>
    <w:p w:rsidR="00810A47" w:rsidRPr="00F45130" w:rsidRDefault="00810A47" w:rsidP="00810A47">
      <w:pPr>
        <w:ind w:left="708"/>
        <w:rPr>
          <w:rFonts w:cs="Arial"/>
        </w:rPr>
      </w:pPr>
      <w:r w:rsidRPr="00F45130">
        <w:rPr>
          <w:rFonts w:cs="Arial"/>
        </w:rPr>
        <w:t>It is our understanding that based on the data and categorization proposed by ESMA, a transaction settled internally by a settlement internaliser will be double-counted in the r</w:t>
      </w:r>
      <w:r w:rsidRPr="00F45130">
        <w:rPr>
          <w:rFonts w:cs="Arial"/>
        </w:rPr>
        <w:t>e</w:t>
      </w:r>
      <w:r w:rsidRPr="00F45130">
        <w:rPr>
          <w:rFonts w:cs="Arial"/>
        </w:rPr>
        <w:t>port.  For example, if client A buys 100 shares from client B and the settlement interna</w:t>
      </w:r>
      <w:r w:rsidRPr="00F45130">
        <w:rPr>
          <w:rFonts w:cs="Arial"/>
        </w:rPr>
        <w:t>l</w:t>
      </w:r>
      <w:r w:rsidRPr="00F45130">
        <w:rPr>
          <w:rFonts w:cs="Arial"/>
        </w:rPr>
        <w:t>iser settles this, it will need to include 200 in its aggregate value reporting to reflect the trades settled for both client A and client B. We would like to ensure that this is ESMA’s intention.</w:t>
      </w:r>
    </w:p>
    <w:p w:rsidR="00810A47" w:rsidRPr="00810A47" w:rsidRDefault="00810A47" w:rsidP="00B245F7">
      <w:pPr>
        <w:pStyle w:val="Heading4"/>
        <w:numPr>
          <w:ilvl w:val="0"/>
          <w:numId w:val="79"/>
        </w:numPr>
        <w:spacing w:before="360"/>
        <w:rPr>
          <w:rFonts w:ascii="Arial" w:hAnsi="Arial" w:cs="Arial"/>
          <w:sz w:val="22"/>
          <w:szCs w:val="22"/>
        </w:rPr>
      </w:pPr>
      <w:r w:rsidRPr="00810A47">
        <w:rPr>
          <w:rFonts w:ascii="Arial" w:hAnsi="Arial" w:cs="Arial"/>
          <w:sz w:val="22"/>
          <w:szCs w:val="22"/>
        </w:rPr>
        <w:t>Format of the reports</w:t>
      </w:r>
    </w:p>
    <w:p w:rsidR="00810A47" w:rsidRPr="00F45130" w:rsidRDefault="00810A47" w:rsidP="00810A47">
      <w:pPr>
        <w:rPr>
          <w:rFonts w:cs="Arial"/>
        </w:rPr>
      </w:pPr>
      <w:r w:rsidRPr="00F45130">
        <w:rPr>
          <w:rFonts w:cs="Arial"/>
        </w:rPr>
        <w:t>The template format of the reports that ESMA provided in the annexes are not precise enough and leave room for interpretation by national authorities, as happened with EMIR reporting. A standard template across all NCAs is critical to ensure one system build and no duplication of effort.</w:t>
      </w:r>
    </w:p>
    <w:p w:rsidR="00810A47" w:rsidRPr="00810A47" w:rsidRDefault="00810A47" w:rsidP="00B245F7">
      <w:pPr>
        <w:pStyle w:val="Heading4"/>
        <w:numPr>
          <w:ilvl w:val="0"/>
          <w:numId w:val="79"/>
        </w:numPr>
        <w:spacing w:before="360"/>
        <w:rPr>
          <w:rFonts w:ascii="Arial" w:hAnsi="Arial" w:cs="Arial"/>
          <w:sz w:val="22"/>
          <w:szCs w:val="22"/>
        </w:rPr>
      </w:pPr>
      <w:r w:rsidRPr="00810A47">
        <w:rPr>
          <w:rFonts w:ascii="Arial" w:hAnsi="Arial" w:cs="Arial"/>
          <w:sz w:val="22"/>
          <w:szCs w:val="22"/>
        </w:rPr>
        <w:t>Competent authority</w:t>
      </w:r>
    </w:p>
    <w:p w:rsidR="00810A47" w:rsidRPr="00F45130" w:rsidRDefault="00810A47" w:rsidP="00810A47">
      <w:pPr>
        <w:rPr>
          <w:rFonts w:cs="Arial"/>
        </w:rPr>
      </w:pPr>
      <w:r w:rsidRPr="00F45130">
        <w:rPr>
          <w:rFonts w:cs="Arial"/>
        </w:rPr>
        <w:t>ESMA states that reports must be submitted by settlement internalisers established in the Union, their branches established in a third country and branches of third country entities operating in the Union but it is not clear to us whether the reporting will be to the home State or host State authorities i.e.:</w:t>
      </w:r>
    </w:p>
    <w:p w:rsidR="00810A47" w:rsidRPr="00F45130" w:rsidRDefault="00810A47" w:rsidP="00FB266C">
      <w:pPr>
        <w:pStyle w:val="ListParagraph"/>
        <w:widowControl w:val="0"/>
        <w:numPr>
          <w:ilvl w:val="0"/>
          <w:numId w:val="75"/>
        </w:numPr>
        <w:autoSpaceDE w:val="0"/>
        <w:autoSpaceDN w:val="0"/>
        <w:adjustRightInd w:val="0"/>
        <w:rPr>
          <w:rFonts w:cs="Arial"/>
        </w:rPr>
      </w:pPr>
      <w:r w:rsidRPr="00F45130">
        <w:rPr>
          <w:rFonts w:cs="Arial"/>
        </w:rPr>
        <w:t>A US legal entity with an EU branch (London branch) settling Italian trades should report to whom? FCA, Bank of England or Italian competent authority?</w:t>
      </w:r>
    </w:p>
    <w:p w:rsidR="00810A47" w:rsidRPr="00F45130" w:rsidRDefault="00810A47" w:rsidP="00FB266C">
      <w:pPr>
        <w:pStyle w:val="ListParagraph"/>
        <w:numPr>
          <w:ilvl w:val="0"/>
          <w:numId w:val="75"/>
        </w:numPr>
        <w:spacing w:before="120" w:after="120"/>
        <w:jc w:val="both"/>
        <w:rPr>
          <w:rFonts w:cs="Arial"/>
        </w:rPr>
      </w:pPr>
      <w:r w:rsidRPr="00F45130">
        <w:rPr>
          <w:rFonts w:cs="Arial"/>
        </w:rPr>
        <w:t>Should an EU legal entity with multiple branches consolidate reporting to the single co</w:t>
      </w:r>
      <w:r w:rsidRPr="00F45130">
        <w:rPr>
          <w:rFonts w:cs="Arial"/>
        </w:rPr>
        <w:t>m</w:t>
      </w:r>
      <w:r w:rsidRPr="00F45130">
        <w:rPr>
          <w:rFonts w:cs="Arial"/>
        </w:rPr>
        <w:t>petent authority of the legal entity or to the NCA of each and every branch?</w:t>
      </w:r>
    </w:p>
    <w:p w:rsidR="00810A47" w:rsidRPr="00810A47" w:rsidRDefault="00810A47" w:rsidP="00B245F7">
      <w:pPr>
        <w:pStyle w:val="Heading4"/>
        <w:numPr>
          <w:ilvl w:val="0"/>
          <w:numId w:val="79"/>
        </w:numPr>
        <w:spacing w:before="360"/>
        <w:rPr>
          <w:rFonts w:ascii="Arial" w:hAnsi="Arial" w:cs="Arial"/>
          <w:sz w:val="22"/>
          <w:szCs w:val="22"/>
        </w:rPr>
      </w:pPr>
      <w:r w:rsidRPr="00810A47">
        <w:rPr>
          <w:rFonts w:ascii="Arial" w:hAnsi="Arial" w:cs="Arial"/>
          <w:sz w:val="22"/>
          <w:szCs w:val="22"/>
        </w:rPr>
        <w:lastRenderedPageBreak/>
        <w:t>Time of implementation and submission of the first report to the competent autho</w:t>
      </w:r>
      <w:r w:rsidRPr="00810A47">
        <w:rPr>
          <w:rFonts w:ascii="Arial" w:hAnsi="Arial" w:cs="Arial"/>
          <w:sz w:val="22"/>
          <w:szCs w:val="22"/>
        </w:rPr>
        <w:t>r</w:t>
      </w:r>
      <w:r w:rsidRPr="00810A47">
        <w:rPr>
          <w:rFonts w:ascii="Arial" w:hAnsi="Arial" w:cs="Arial"/>
          <w:sz w:val="22"/>
          <w:szCs w:val="22"/>
        </w:rPr>
        <w:t>ity</w:t>
      </w:r>
    </w:p>
    <w:p w:rsidR="00810A47" w:rsidRPr="00F45130" w:rsidRDefault="00810A47" w:rsidP="00810A47">
      <w:pPr>
        <w:rPr>
          <w:rFonts w:cs="Arial"/>
        </w:rPr>
      </w:pPr>
      <w:r w:rsidRPr="00F45130">
        <w:rPr>
          <w:rFonts w:cs="Arial"/>
        </w:rPr>
        <w:t xml:space="preserve">There is an additional concern about the timing of implementation. The required reporting is very detailed and will require systemic enhancements from the settlement internaliser in order to be able to produce the reports. </w:t>
      </w:r>
    </w:p>
    <w:p w:rsidR="00810A47" w:rsidRPr="00F45130" w:rsidRDefault="00810A47" w:rsidP="00810A47">
      <w:pPr>
        <w:rPr>
          <w:rFonts w:cs="Arial"/>
        </w:rPr>
      </w:pPr>
      <w:r w:rsidRPr="00F45130">
        <w:rPr>
          <w:rFonts w:cs="Arial"/>
        </w:rPr>
        <w:t>The timeframe between the finalization of requirements and the first report submission won’t be enough to enable s</w:t>
      </w:r>
      <w:r w:rsidR="00900D41">
        <w:rPr>
          <w:rFonts w:cs="Arial"/>
        </w:rPr>
        <w:t>ystem enhancements, report build</w:t>
      </w:r>
      <w:r w:rsidRPr="00F45130">
        <w:rPr>
          <w:rFonts w:cs="Arial"/>
        </w:rPr>
        <w:t xml:space="preserve"> and testing to be ready for the first repor</w:t>
      </w:r>
      <w:r w:rsidRPr="00F45130">
        <w:rPr>
          <w:rFonts w:cs="Arial"/>
        </w:rPr>
        <w:t>t</w:t>
      </w:r>
      <w:r w:rsidRPr="00F45130">
        <w:rPr>
          <w:rFonts w:cs="Arial"/>
        </w:rPr>
        <w:t>ing on time. Ideally the applicability of the reporting requirements is aligned to the phase in of the RTS on settlement discipline. With similar adjustments to be made to the use of the Transaction Types institutions are required to make significant changes to their processing. A phase in p</w:t>
      </w:r>
      <w:r w:rsidRPr="00F45130">
        <w:rPr>
          <w:rFonts w:cs="Arial"/>
        </w:rPr>
        <w:t>e</w:t>
      </w:r>
      <w:r w:rsidRPr="00F45130">
        <w:rPr>
          <w:rFonts w:cs="Arial"/>
        </w:rPr>
        <w:t>riod of a minimum of 6 months should be considered.</w:t>
      </w:r>
    </w:p>
    <w:p w:rsidR="00810A47" w:rsidRPr="00F45130" w:rsidRDefault="00810A47" w:rsidP="00810A47">
      <w:pPr>
        <w:rPr>
          <w:rFonts w:cs="Arial"/>
        </w:rPr>
      </w:pPr>
    </w:p>
    <w:p w:rsidR="00810A47" w:rsidRPr="00810A47" w:rsidRDefault="00810A47" w:rsidP="00B245F7">
      <w:pPr>
        <w:pStyle w:val="Heading4"/>
        <w:numPr>
          <w:ilvl w:val="0"/>
          <w:numId w:val="79"/>
        </w:numPr>
        <w:spacing w:before="360"/>
        <w:rPr>
          <w:rFonts w:ascii="Arial" w:hAnsi="Arial" w:cs="Arial"/>
          <w:sz w:val="22"/>
          <w:szCs w:val="22"/>
        </w:rPr>
      </w:pPr>
      <w:r w:rsidRPr="00810A47">
        <w:rPr>
          <w:rFonts w:ascii="Arial" w:hAnsi="Arial" w:cs="Arial"/>
          <w:sz w:val="22"/>
          <w:szCs w:val="22"/>
        </w:rPr>
        <w:t>The original legislative content is to evaluate whether additional systemic risk results from internalised settlement compared to centralised settlement</w:t>
      </w:r>
    </w:p>
    <w:p w:rsidR="00810A47" w:rsidRPr="00F45130" w:rsidRDefault="00810A47" w:rsidP="00810A47">
      <w:pPr>
        <w:rPr>
          <w:rFonts w:cs="Arial"/>
        </w:rPr>
      </w:pPr>
      <w:r w:rsidRPr="00F45130">
        <w:rPr>
          <w:rFonts w:cs="Arial"/>
        </w:rPr>
        <w:t>The term “systemic risk” is very broadly defined in the CPSS-IOSCO Principles for financial markets infrastructures, par. 2.2 p. 18. as “</w:t>
      </w:r>
      <w:r w:rsidRPr="00F45130">
        <w:rPr>
          <w:rFonts w:cs="Arial"/>
          <w:i/>
        </w:rPr>
        <w:t>the inability of one or more participants to perform as expected could cause other participants to be unable to meet their obligations when due</w:t>
      </w:r>
      <w:r w:rsidRPr="00F45130">
        <w:rPr>
          <w:rFonts w:cs="Arial"/>
        </w:rPr>
        <w:t>.”</w:t>
      </w:r>
    </w:p>
    <w:p w:rsidR="00810A47" w:rsidRPr="00F45130" w:rsidRDefault="00810A47" w:rsidP="00810A47">
      <w:pPr>
        <w:rPr>
          <w:rFonts w:cs="Arial"/>
        </w:rPr>
      </w:pPr>
      <w:r w:rsidRPr="00F45130">
        <w:rPr>
          <w:rFonts w:cs="Arial"/>
        </w:rPr>
        <w:t>Such subsequent inability to perform occurs both in centralised settlement and in internalised settlement, e.g. a purchaser doesn’t receive the purchased securities and therefore cannot deliver in a subsequent sale.</w:t>
      </w:r>
    </w:p>
    <w:p w:rsidR="00810A47" w:rsidRPr="00F45130" w:rsidRDefault="00810A47" w:rsidP="00810A47">
      <w:pPr>
        <w:rPr>
          <w:rFonts w:cs="Arial"/>
        </w:rPr>
      </w:pPr>
      <w:r w:rsidRPr="00F45130">
        <w:rPr>
          <w:rFonts w:cs="Arial"/>
        </w:rPr>
        <w:t>We would like to point out that:</w:t>
      </w:r>
    </w:p>
    <w:p w:rsidR="00810A47" w:rsidRPr="00F45130" w:rsidRDefault="00810A47" w:rsidP="00FB266C">
      <w:pPr>
        <w:pStyle w:val="ListParagraph"/>
        <w:numPr>
          <w:ilvl w:val="0"/>
          <w:numId w:val="73"/>
        </w:numPr>
        <w:spacing w:before="120" w:after="120"/>
        <w:jc w:val="both"/>
        <w:rPr>
          <w:rFonts w:cs="Arial"/>
        </w:rPr>
      </w:pPr>
      <w:r w:rsidRPr="00F45130">
        <w:rPr>
          <w:rFonts w:cs="Arial"/>
        </w:rPr>
        <w:t>Where a settlement occurs centrally, the cash settlement and the securities settlement occur in 2 distinct institutions (CSD and Central or commercial bank)</w:t>
      </w:r>
    </w:p>
    <w:p w:rsidR="00810A47" w:rsidRPr="00F45130" w:rsidRDefault="00810A47" w:rsidP="00FB266C">
      <w:pPr>
        <w:pStyle w:val="ListParagraph"/>
        <w:numPr>
          <w:ilvl w:val="0"/>
          <w:numId w:val="73"/>
        </w:numPr>
        <w:spacing w:before="120" w:after="120"/>
        <w:jc w:val="both"/>
        <w:rPr>
          <w:rFonts w:cs="Arial"/>
        </w:rPr>
      </w:pPr>
      <w:r w:rsidRPr="00F45130">
        <w:rPr>
          <w:rFonts w:cs="Arial"/>
        </w:rPr>
        <w:t xml:space="preserve">Where the settlement </w:t>
      </w:r>
      <w:r w:rsidR="00900D41">
        <w:rPr>
          <w:rFonts w:cs="Arial"/>
        </w:rPr>
        <w:t>is</w:t>
      </w:r>
      <w:r w:rsidRPr="00F45130">
        <w:rPr>
          <w:rFonts w:cs="Arial"/>
        </w:rPr>
        <w:t xml:space="preserve"> internalised, the cash and securities settlement occur in the books of a same entity. </w:t>
      </w:r>
    </w:p>
    <w:p w:rsidR="00810A47" w:rsidRPr="00F45130" w:rsidRDefault="00810A47" w:rsidP="00810A47">
      <w:pPr>
        <w:rPr>
          <w:rFonts w:cs="Arial"/>
        </w:rPr>
      </w:pPr>
      <w:r w:rsidRPr="00F45130">
        <w:rPr>
          <w:rFonts w:cs="Arial"/>
        </w:rPr>
        <w:t>Therefore, when cash is not paid to the settlement internaliser, securities are not delivered and vice versa. As a result, settlement risk can occur as well as the same level of systemic risk as in a centralised settlement (impacting subsequent sales). However, in no case can counterparty risk occur, i.e. the risk that the securities are delivered without the cash being paid, putting the counterparties at risk for the nominal value of the transaction.</w:t>
      </w:r>
    </w:p>
    <w:p w:rsidR="00810A47" w:rsidRPr="00F45130" w:rsidRDefault="00810A47" w:rsidP="00B245F7">
      <w:pPr>
        <w:pStyle w:val="Heading4"/>
        <w:numPr>
          <w:ilvl w:val="0"/>
          <w:numId w:val="79"/>
        </w:numPr>
        <w:spacing w:before="360"/>
        <w:rPr>
          <w:rFonts w:ascii="Arial" w:hAnsi="Arial" w:cs="Arial"/>
        </w:rPr>
      </w:pPr>
      <w:r w:rsidRPr="00810A47">
        <w:rPr>
          <w:rFonts w:ascii="Arial" w:hAnsi="Arial" w:cs="Arial"/>
          <w:sz w:val="22"/>
          <w:szCs w:val="22"/>
        </w:rPr>
        <w:t>The aggregate reports on internalised settlements will result in an incomplete image of the internalised settlements that take place in reality</w:t>
      </w:r>
    </w:p>
    <w:p w:rsidR="00810A47" w:rsidRPr="00F45130" w:rsidRDefault="00810A47" w:rsidP="00810A47">
      <w:pPr>
        <w:rPr>
          <w:rFonts w:cs="Arial"/>
        </w:rPr>
      </w:pPr>
      <w:r w:rsidRPr="00F45130">
        <w:rPr>
          <w:rFonts w:cs="Arial"/>
        </w:rPr>
        <w:t>The definition of “settlement internaliser” in Regulation 909/2014 refers to settlements that occur outside a securities settlement system. As a result, settlements that occur in a central securities depository in securities for which that central securities depository doesn’t fulfil the central cu</w:t>
      </w:r>
      <w:r w:rsidRPr="00F45130">
        <w:rPr>
          <w:rFonts w:cs="Arial"/>
        </w:rPr>
        <w:t>s</w:t>
      </w:r>
      <w:r w:rsidRPr="00F45130">
        <w:rPr>
          <w:rFonts w:cs="Arial"/>
        </w:rPr>
        <w:t xml:space="preserve">tody function fall outside the reporting obligation, including where the cash payments settle in cash accounts opened in the books of a commercial bank. </w:t>
      </w:r>
    </w:p>
    <w:p w:rsidR="00810A47" w:rsidRPr="00F45130" w:rsidRDefault="00810A47" w:rsidP="00810A47">
      <w:pPr>
        <w:rPr>
          <w:rFonts w:cs="Arial"/>
        </w:rPr>
      </w:pPr>
      <w:r w:rsidRPr="00F45130">
        <w:rPr>
          <w:rFonts w:cs="Arial"/>
        </w:rPr>
        <w:t>As “transfer orders” as defined in art. 2(i) of Directive 98/26/EC include cash settlements in the books of commercial banks, the reports under the draft RTS and the draft ITS on internalised settlement will give an incomplete picture of the aggregate of internalised settlements that take place in the EU because a large part of the institutions that operate internalised settlements fall outside the scope of the reporting obligation.</w:t>
      </w:r>
    </w:p>
    <w:permEnd w:id="32"/>
    <w:p w:rsidR="00F05A8C" w:rsidRDefault="00D12AFD" w:rsidP="00CE149D">
      <w:r>
        <w:t>&lt;ESMA_QUESTION_TS_CSDR_3</w:t>
      </w:r>
      <w:r w:rsidR="00252063">
        <w:t>2</w:t>
      </w:r>
      <w:r>
        <w:t>&gt;</w:t>
      </w:r>
    </w:p>
    <w:sectPr w:rsidR="00F05A8C" w:rsidSect="000D17AA">
      <w:headerReference w:type="even" r:id="rId23"/>
      <w:headerReference w:type="first" r:id="rId24"/>
      <w:footerReference w:type="first" r:id="rId25"/>
      <w:pgSz w:w="11906" w:h="16838" w:code="9"/>
      <w:pgMar w:top="2552" w:right="1247" w:bottom="1135" w:left="124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F2B" w:rsidRDefault="00C40F2B">
      <w:r>
        <w:separator/>
      </w:r>
    </w:p>
    <w:p w:rsidR="00C40F2B" w:rsidRDefault="00C40F2B"/>
  </w:endnote>
  <w:endnote w:type="continuationSeparator" w:id="0">
    <w:p w:rsidR="00C40F2B" w:rsidRDefault="00C40F2B">
      <w:r>
        <w:continuationSeparator/>
      </w:r>
    </w:p>
    <w:p w:rsidR="00C40F2B" w:rsidRDefault="00C40F2B"/>
  </w:endnote>
  <w:endnote w:type="continuationNotice" w:id="1">
    <w:p w:rsidR="00C40F2B" w:rsidRDefault="00C40F2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sig w:usb0="00000000" w:usb1="00000000" w:usb2="00000000" w:usb3="00000000" w:csb0="0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yriad Pro Light">
    <w:altName w:val="Corbel"/>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page" w:horzAnchor="page" w:tblpX="1248" w:tblpY="15820"/>
      <w:tblOverlap w:val="never"/>
      <w:tblW w:w="9412" w:type="dxa"/>
      <w:tblCellMar>
        <w:left w:w="0" w:type="dxa"/>
        <w:right w:w="0" w:type="dxa"/>
      </w:tblCellMar>
      <w:tblLook w:val="01E0"/>
    </w:tblPr>
    <w:tblGrid>
      <w:gridCol w:w="8460"/>
      <w:gridCol w:w="952"/>
    </w:tblGrid>
    <w:tr w:rsidR="00C40F2B" w:rsidRPr="00315E96" w:rsidTr="00315E96">
      <w:trPr>
        <w:trHeight w:val="284"/>
      </w:trPr>
      <w:tc>
        <w:tcPr>
          <w:tcW w:w="8460" w:type="dxa"/>
        </w:tcPr>
        <w:p w:rsidR="00C40F2B" w:rsidRPr="00315E96" w:rsidRDefault="00C40F2B" w:rsidP="00315E96">
          <w:pPr>
            <w:pStyle w:val="00Footer"/>
            <w:rPr>
              <w:lang w:val="fr-FR"/>
            </w:rPr>
          </w:pPr>
        </w:p>
      </w:tc>
      <w:tc>
        <w:tcPr>
          <w:tcW w:w="952" w:type="dxa"/>
        </w:tcPr>
        <w:p w:rsidR="00C40F2B" w:rsidRPr="002C5B2D" w:rsidRDefault="00EC1027" w:rsidP="002C5B2D">
          <w:pPr>
            <w:pStyle w:val="00aPagenumber"/>
          </w:pPr>
          <w:fldSimple w:instr=" PAGE ">
            <w:r w:rsidR="008D16B2">
              <w:rPr>
                <w:noProof/>
              </w:rPr>
              <w:t>53</w:t>
            </w:r>
          </w:fldSimple>
        </w:p>
      </w:tc>
    </w:tr>
  </w:tbl>
  <w:p w:rsidR="00C40F2B" w:rsidRDefault="00C40F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2B" w:rsidRDefault="00C40F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F2B" w:rsidRDefault="00C40F2B">
      <w:r>
        <w:separator/>
      </w:r>
    </w:p>
    <w:p w:rsidR="00C40F2B" w:rsidRDefault="00C40F2B"/>
  </w:footnote>
  <w:footnote w:type="continuationSeparator" w:id="0">
    <w:p w:rsidR="00C40F2B" w:rsidRDefault="00C40F2B">
      <w:r>
        <w:continuationSeparator/>
      </w:r>
    </w:p>
    <w:p w:rsidR="00C40F2B" w:rsidRDefault="00C40F2B"/>
  </w:footnote>
  <w:footnote w:type="continuationNotice" w:id="1">
    <w:p w:rsidR="00C40F2B" w:rsidRDefault="00C40F2B"/>
  </w:footnote>
  <w:footnote w:id="2">
    <w:p w:rsidR="00C40F2B" w:rsidRPr="00365D7F" w:rsidRDefault="00C40F2B" w:rsidP="00810A47">
      <w:pPr>
        <w:autoSpaceDE w:val="0"/>
        <w:autoSpaceDN w:val="0"/>
        <w:adjustRightInd w:val="0"/>
        <w:rPr>
          <w:sz w:val="16"/>
          <w:szCs w:val="20"/>
        </w:rPr>
      </w:pPr>
      <w:r>
        <w:rPr>
          <w:rStyle w:val="FootnoteReference"/>
        </w:rPr>
        <w:footnoteRef/>
      </w:r>
      <w:r>
        <w:t xml:space="preserve"> </w:t>
      </w:r>
      <w:r w:rsidRPr="00365D7F">
        <w:rPr>
          <w:sz w:val="16"/>
          <w:szCs w:val="20"/>
        </w:rPr>
        <w:t>Directive 98/26/EC defines 'settlement agent` shall mean an entity providing to institutions and/or a central counterparty participa</w:t>
      </w:r>
      <w:r w:rsidRPr="00365D7F">
        <w:rPr>
          <w:sz w:val="16"/>
          <w:szCs w:val="20"/>
        </w:rPr>
        <w:t>t</w:t>
      </w:r>
      <w:r w:rsidRPr="00365D7F">
        <w:rPr>
          <w:sz w:val="16"/>
          <w:szCs w:val="20"/>
        </w:rPr>
        <w:t>ing in systems, settlement accounts through which transfer orders within such systems are settled and, as the case may be, exten</w:t>
      </w:r>
      <w:r w:rsidRPr="00365D7F">
        <w:rPr>
          <w:sz w:val="16"/>
          <w:szCs w:val="20"/>
        </w:rPr>
        <w:t>d</w:t>
      </w:r>
      <w:r w:rsidRPr="00365D7F">
        <w:rPr>
          <w:sz w:val="16"/>
          <w:szCs w:val="20"/>
        </w:rPr>
        <w:t>ing credit to those institutions and/or central counterparties for settlement purposes;</w:t>
      </w:r>
    </w:p>
  </w:footnote>
  <w:footnote w:id="3">
    <w:p w:rsidR="00C40F2B" w:rsidRDefault="00C40F2B" w:rsidP="00810A47">
      <w:pPr>
        <w:pStyle w:val="FootnoteText"/>
      </w:pPr>
      <w:r>
        <w:rPr>
          <w:rStyle w:val="FootnoteReference"/>
        </w:rPr>
        <w:footnoteRef/>
      </w:r>
      <w:r>
        <w:t xml:space="preserve">  In a large number of cases, trading counterparties use global agents such as global custodians, who in turn use local subcustod</w:t>
      </w:r>
      <w:r>
        <w:t>i</w:t>
      </w:r>
      <w:r>
        <w:t>ans in different markets/CSDs. The subcustodian does not know and has no contractual relationship with the trading counterparty.</w:t>
      </w:r>
    </w:p>
  </w:footnote>
  <w:footnote w:id="4">
    <w:p w:rsidR="00C40F2B" w:rsidRDefault="00C40F2B" w:rsidP="00810A47">
      <w:pPr>
        <w:pStyle w:val="FootnoteText"/>
      </w:pPr>
      <w:r>
        <w:rPr>
          <w:rStyle w:val="FootnoteReference"/>
        </w:rPr>
        <w:footnoteRef/>
      </w:r>
      <w:r>
        <w:t xml:space="preserve"> Refer to question 11 on the additional risks that will be imposed on CSD participants under the current RTS</w:t>
      </w:r>
    </w:p>
  </w:footnote>
  <w:footnote w:id="5">
    <w:p w:rsidR="00C40F2B" w:rsidRDefault="00C40F2B" w:rsidP="00810A47">
      <w:pPr>
        <w:pStyle w:val="FootnoteText"/>
      </w:pPr>
      <w:r>
        <w:rPr>
          <w:rStyle w:val="FootnoteReference"/>
        </w:rPr>
        <w:footnoteRef/>
      </w:r>
      <w:r>
        <w:t xml:space="preserve"> Determined in accordance with </w:t>
      </w:r>
      <w:proofErr w:type="spellStart"/>
      <w:r>
        <w:t>Articl</w:t>
      </w:r>
      <w:proofErr w:type="spellEnd"/>
      <w:r>
        <w:t xml:space="preserve"> e16 Of Regulation (EU) No 236/2012</w:t>
      </w:r>
    </w:p>
  </w:footnote>
  <w:footnote w:id="6">
    <w:p w:rsidR="00C40F2B" w:rsidRDefault="00C40F2B" w:rsidP="00810A47">
      <w:pPr>
        <w:pStyle w:val="FootnoteText"/>
      </w:pPr>
      <w:r>
        <w:rPr>
          <w:rStyle w:val="FootnoteReference"/>
        </w:rPr>
        <w:footnoteRef/>
      </w:r>
      <w:r>
        <w:t xml:space="preserve">  Even if settlement instructions are matched at the CSD, it is possible that there is ‘cross matching’ of settlement instructions between different parties, especially if agents are used.</w:t>
      </w:r>
    </w:p>
  </w:footnote>
  <w:footnote w:id="7">
    <w:p w:rsidR="00C40F2B" w:rsidRDefault="00C40F2B" w:rsidP="00810A47">
      <w:pPr>
        <w:pStyle w:val="FootnoteText"/>
      </w:pPr>
      <w:r>
        <w:rPr>
          <w:rStyle w:val="FootnoteReference"/>
        </w:rPr>
        <w:footnoteRef/>
      </w:r>
      <w:r>
        <w:t xml:space="preserve"> The sale position has become redundant as the buy-in has effectively replaced that delivery obligation (which is also reflected by the settlement instructions being cancelled upon execution of the buy-in) </w:t>
      </w:r>
    </w:p>
  </w:footnote>
  <w:footnote w:id="8">
    <w:p w:rsidR="00C40F2B" w:rsidRDefault="00C40F2B" w:rsidP="00810A47">
      <w:pPr>
        <w:pStyle w:val="FootnoteText"/>
        <w:rPr>
          <w:color w:val="1F497D"/>
        </w:rPr>
      </w:pPr>
      <w:r>
        <w:rPr>
          <w:rStyle w:val="FootnoteReference"/>
        </w:rPr>
        <w:footnoteRef/>
      </w:r>
      <w:r>
        <w:t xml:space="preserve"> Example on a buy-in of a 10 year German bund repo:</w:t>
      </w:r>
      <w:r>
        <w:br/>
      </w:r>
      <w:r>
        <w:rPr>
          <w:color w:val="1F497D"/>
        </w:rPr>
        <w:t>- The average price volatility of the Bund is about 10 cts in price (over 2 hours trading time)</w:t>
      </w:r>
    </w:p>
    <w:p w:rsidR="00C40F2B" w:rsidRDefault="00C40F2B" w:rsidP="00810A47">
      <w:pPr>
        <w:pStyle w:val="FootnoteText"/>
        <w:rPr>
          <w:color w:val="1F497D"/>
        </w:rPr>
      </w:pPr>
      <w:r>
        <w:rPr>
          <w:color w:val="1F497D"/>
        </w:rPr>
        <w:t>-  if a 100 MM € bund repo (common trade size) is bought in, the seller needs to close the open 100 MM sale position immediately upon execution of the buy-in. If there is a delay in notification to the seller of the buy-in execution, prices will have moved, exposing the seller to additional cost (or gain) of 100.000 €: this also demonstrates that a settlement driven buy-in is actually driving market risk and impact trading revenue.</w:t>
      </w:r>
    </w:p>
    <w:p w:rsidR="00C40F2B" w:rsidRDefault="00C40F2B" w:rsidP="00810A47">
      <w:pPr>
        <w:pStyle w:val="FootnoteText"/>
      </w:pPr>
      <w:r>
        <w:rPr>
          <w:color w:val="1F497D"/>
        </w:rPr>
        <w:t>- The Bund is possibly the lowest volatility bond in the 10yrs area</w:t>
      </w:r>
    </w:p>
  </w:footnote>
  <w:footnote w:id="9">
    <w:p w:rsidR="00C40F2B" w:rsidRDefault="00C40F2B" w:rsidP="00810A47">
      <w:pPr>
        <w:pStyle w:val="FootnoteText"/>
      </w:pPr>
      <w:r>
        <w:rPr>
          <w:rStyle w:val="FootnoteReference"/>
        </w:rPr>
        <w:footnoteRef/>
      </w:r>
      <w:r>
        <w:t xml:space="preserve"> </w:t>
      </w:r>
      <w:r>
        <w:rPr>
          <w:rFonts w:cs="Arial"/>
          <w:bCs/>
          <w:color w:val="0070C0"/>
        </w:rPr>
        <w:t>. It is to be noted that such compensation mechanism is determined at the level of the trading parties, not the settlement partic</w:t>
      </w:r>
      <w:r>
        <w:rPr>
          <w:rFonts w:cs="Arial"/>
          <w:bCs/>
          <w:color w:val="0070C0"/>
        </w:rPr>
        <w:t>i</w:t>
      </w:r>
      <w:r>
        <w:rPr>
          <w:rFonts w:cs="Arial"/>
          <w:bCs/>
          <w:color w:val="0070C0"/>
        </w:rPr>
        <w:t>pants (see question 10 below)</w:t>
      </w:r>
    </w:p>
  </w:footnote>
  <w:footnote w:id="10">
    <w:p w:rsidR="00C40F2B" w:rsidRDefault="00C40F2B" w:rsidP="00810A47">
      <w:pPr>
        <w:pStyle w:val="FootnoteText"/>
      </w:pPr>
      <w:r>
        <w:rPr>
          <w:rStyle w:val="FootnoteReference"/>
        </w:rPr>
        <w:footnoteRef/>
      </w:r>
      <w:r>
        <w:t xml:space="preserve"> The question still arises then what happens if the methodology used by the CCP to determine the cash compensation is different from what parties further in the chain have bilaterally agreed. Industry convergence is probably required </w:t>
      </w:r>
    </w:p>
  </w:footnote>
  <w:footnote w:id="11">
    <w:p w:rsidR="00C40F2B" w:rsidRDefault="00C40F2B" w:rsidP="00810A47">
      <w:pPr>
        <w:pStyle w:val="FootnoteText"/>
      </w:pPr>
      <w:r>
        <w:rPr>
          <w:rStyle w:val="FootnoteReference"/>
        </w:rPr>
        <w:footnoteRef/>
      </w:r>
      <w:r>
        <w:t xml:space="preserve"> In T2S, cancellation of matched settlement instructions can only be done bilaterally by both parties, so if only party wants to cancel a matched settlement, it will still remain valid in the settlement system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2B" w:rsidRDefault="00C40F2B">
    <w:pPr>
      <w:pStyle w:val="Header"/>
    </w:pPr>
    <w:r>
      <w:rPr>
        <w:noProof/>
        <w:lang w:val="en-US" w:eastAsia="en-US"/>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61975"/>
                  </a:xfrm>
                  <a:prstGeom prst="rect">
                    <a:avLst/>
                  </a:prstGeom>
                  <a:noFill/>
                  <a:ln>
                    <a:noFill/>
                  </a:ln>
                </pic:spPr>
              </pic:pic>
            </a:graphicData>
          </a:graphic>
        </wp:anchor>
      </w:drawing>
    </w:r>
    <w:r w:rsidR="00EC1027" w:rsidRPr="00EC1027">
      <w:rPr>
        <w:noProof/>
        <w:lang w:eastAsia="en-GB"/>
      </w:rPr>
      <w:pict>
        <v:line id="Line 16" o:spid="_x0000_s4098"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2B" w:rsidRDefault="00C40F2B" w:rsidP="00013CCE">
    <w:pPr>
      <w:pStyle w:val="Header"/>
      <w:jc w:val="right"/>
    </w:pPr>
    <w:r>
      <w:rPr>
        <w:noProof/>
        <w:lang w:val="en-US" w:eastAsia="en-US"/>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904875"/>
                  </a:xfrm>
                  <a:prstGeom prst="rect">
                    <a:avLst/>
                  </a:prstGeom>
                  <a:noFill/>
                  <a:ln>
                    <a:noFill/>
                  </a:ln>
                </pic:spPr>
              </pic:pic>
            </a:graphicData>
          </a:graphic>
        </wp:anchor>
      </w:drawing>
    </w:r>
    <w:r>
      <w:rPr>
        <w:noProof/>
        <w:lang w:val="en-US" w:eastAsia="en-US"/>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0310" cy="6800850"/>
                  </a:xfrm>
                  <a:prstGeom prst="rect">
                    <a:avLst/>
                  </a:prstGeom>
                  <a:noFill/>
                  <a:ln>
                    <a:noFill/>
                  </a:ln>
                </pic:spPr>
              </pic:pic>
            </a:graphicData>
          </a:graphic>
        </wp:anchor>
      </w:drawing>
    </w: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2B" w:rsidRDefault="00C40F2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vertAnchor="page" w:horzAnchor="page" w:tblpX="1248" w:tblpY="15820"/>
      <w:tblOverlap w:val="never"/>
      <w:tblW w:w="9412" w:type="dxa"/>
      <w:tblCellMar>
        <w:left w:w="0" w:type="dxa"/>
        <w:right w:w="0" w:type="dxa"/>
      </w:tblCellMar>
      <w:tblLook w:val="01E0"/>
    </w:tblPr>
    <w:tblGrid>
      <w:gridCol w:w="8460"/>
      <w:gridCol w:w="952"/>
    </w:tblGrid>
    <w:tr w:rsidR="00C40F2B" w:rsidRPr="002F4496" w:rsidTr="000C06C9">
      <w:trPr>
        <w:trHeight w:val="284"/>
      </w:trPr>
      <w:tc>
        <w:tcPr>
          <w:tcW w:w="8460" w:type="dxa"/>
        </w:tcPr>
        <w:p w:rsidR="00C40F2B" w:rsidRPr="000C3B6D" w:rsidRDefault="00C40F2B" w:rsidP="000C06C9">
          <w:pPr>
            <w:pStyle w:val="00Footer"/>
            <w:rPr>
              <w:lang w:val="fr-FR"/>
            </w:rPr>
          </w:pPr>
        </w:p>
      </w:tc>
      <w:tc>
        <w:tcPr>
          <w:tcW w:w="952" w:type="dxa"/>
        </w:tcPr>
        <w:p w:rsidR="00C40F2B" w:rsidRPr="00146B34" w:rsidRDefault="00C40F2B" w:rsidP="000C06C9">
          <w:pPr>
            <w:pStyle w:val="00aPagenumber"/>
            <w:rPr>
              <w:lang w:val="fr-FR"/>
            </w:rPr>
          </w:pPr>
        </w:p>
      </w:tc>
    </w:tr>
  </w:tbl>
  <w:p w:rsidR="00C40F2B" w:rsidRPr="00DB46C3" w:rsidRDefault="00C40F2B">
    <w:pPr>
      <w:rPr>
        <w:lang w:val="fr-FR"/>
      </w:rPr>
    </w:pPr>
  </w:p>
  <w:p w:rsidR="00C40F2B" w:rsidRPr="002F4496" w:rsidRDefault="00C40F2B">
    <w:pPr>
      <w:pStyle w:val="Header"/>
      <w:rPr>
        <w:lang w:val="fr-FR"/>
      </w:rPr>
    </w:pPr>
  </w:p>
  <w:p w:rsidR="00C40F2B" w:rsidRPr="002F4496" w:rsidRDefault="00C40F2B" w:rsidP="000C06C9">
    <w:pPr>
      <w:pStyle w:val="Header"/>
      <w:tabs>
        <w:tab w:val="clear" w:pos="4536"/>
        <w:tab w:val="clear" w:pos="9072"/>
        <w:tab w:val="left" w:pos="8227"/>
      </w:tabs>
      <w:rPr>
        <w:lang w:val="fr-FR"/>
      </w:rPr>
    </w:pPr>
  </w:p>
  <w:p w:rsidR="00C40F2B" w:rsidRPr="002F4496" w:rsidRDefault="00C40F2B" w:rsidP="000C06C9">
    <w:pPr>
      <w:pStyle w:val="Header"/>
      <w:tabs>
        <w:tab w:val="clear" w:pos="4536"/>
        <w:tab w:val="clear" w:pos="9072"/>
        <w:tab w:val="left" w:pos="8227"/>
      </w:tabs>
      <w:rPr>
        <w:lang w:val="fr-FR"/>
      </w:rPr>
    </w:pPr>
  </w:p>
  <w:p w:rsidR="00C40F2B" w:rsidRPr="002F4496" w:rsidRDefault="00C40F2B">
    <w:pPr>
      <w:pStyle w:val="Header"/>
      <w:rPr>
        <w:lang w:val="fr-FR"/>
      </w:rPr>
    </w:pPr>
  </w:p>
  <w:p w:rsidR="00C40F2B" w:rsidRPr="002F4496" w:rsidRDefault="00C40F2B">
    <w:pPr>
      <w:pStyle w:val="Header"/>
      <w:rPr>
        <w:lang w:val="fr-FR"/>
      </w:rPr>
    </w:pPr>
  </w:p>
  <w:p w:rsidR="00C40F2B" w:rsidRPr="002F4496" w:rsidRDefault="00C40F2B">
    <w:pPr>
      <w:pStyle w:val="Header"/>
      <w:rPr>
        <w:lang w:val="fr-FR"/>
      </w:rPr>
    </w:pPr>
  </w:p>
  <w:p w:rsidR="00C40F2B" w:rsidRPr="002F4496" w:rsidRDefault="00C40F2B">
    <w:pPr>
      <w:pStyle w:val="Header"/>
      <w:rPr>
        <w:lang w:val="fr-FR"/>
      </w:rPr>
    </w:pPr>
  </w:p>
  <w:p w:rsidR="00C40F2B" w:rsidRPr="002F4496" w:rsidRDefault="00C40F2B">
    <w:pPr>
      <w:pStyle w:val="Header"/>
      <w:rPr>
        <w:highlight w:val="yellow"/>
        <w:lang w:val="fr-FR"/>
      </w:rPr>
    </w:pPr>
  </w:p>
  <w:p w:rsidR="00C40F2B" w:rsidRDefault="00EC1027">
    <w:pPr>
      <w:pStyle w:val="Header"/>
    </w:pPr>
    <w:r w:rsidRPr="00EC1027">
      <w:rPr>
        <w:noProof/>
        <w:lang w:eastAsia="en-GB"/>
      </w:rPr>
      <w:pict>
        <v:line id="Straight Connector 138" o:spid="_x0000_s4097"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w:r>
    <w:r w:rsidR="00C40F2B">
      <w:rPr>
        <w:noProof/>
        <w:lang w:val="en-US" w:eastAsia="en-US"/>
      </w:rPr>
      <w:drawing>
        <wp:anchor distT="0" distB="0" distL="114300" distR="114300" simplePos="0" relativeHeight="251659264" behindDoc="0" locked="0" layoutInCell="1" allowOverlap="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9048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3D8"/>
    <w:multiLevelType w:val="hybridMultilevel"/>
    <w:tmpl w:val="6374F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5291A"/>
    <w:multiLevelType w:val="hybridMultilevel"/>
    <w:tmpl w:val="0CA6BB6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3">
    <w:nsid w:val="023560D0"/>
    <w:multiLevelType w:val="hybridMultilevel"/>
    <w:tmpl w:val="ADB23A4E"/>
    <w:lvl w:ilvl="0" w:tplc="C22C9204">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3017BBD"/>
    <w:multiLevelType w:val="hybridMultilevel"/>
    <w:tmpl w:val="83EA1CC8"/>
    <w:lvl w:ilvl="0" w:tplc="00DA126C">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311CA5"/>
    <w:multiLevelType w:val="hybridMultilevel"/>
    <w:tmpl w:val="6B4E1A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50C485C"/>
    <w:multiLevelType w:val="hybridMultilevel"/>
    <w:tmpl w:val="6EDEC28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059C5F7A"/>
    <w:multiLevelType w:val="hybridMultilevel"/>
    <w:tmpl w:val="514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CF681A"/>
    <w:multiLevelType w:val="hybridMultilevel"/>
    <w:tmpl w:val="DD92A2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DA34FE7"/>
    <w:multiLevelType w:val="hybridMultilevel"/>
    <w:tmpl w:val="83EA1CC8"/>
    <w:lvl w:ilvl="0" w:tplc="00DA126C">
      <w:start w:val="1"/>
      <w:numFmt w:val="lowerRoman"/>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E311CB3"/>
    <w:multiLevelType w:val="hybridMultilevel"/>
    <w:tmpl w:val="4C08251E"/>
    <w:lvl w:ilvl="0" w:tplc="33F48F0A">
      <w:start w:val="4"/>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73870"/>
    <w:multiLevelType w:val="hybridMultilevel"/>
    <w:tmpl w:val="1332C858"/>
    <w:lvl w:ilvl="0" w:tplc="85DCD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2D7E48"/>
    <w:multiLevelType w:val="hybridMultilevel"/>
    <w:tmpl w:val="B5E49816"/>
    <w:lvl w:ilvl="0" w:tplc="AB78B94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C4308"/>
    <w:multiLevelType w:val="hybridMultilevel"/>
    <w:tmpl w:val="75D88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2C0128D"/>
    <w:multiLevelType w:val="hybridMultilevel"/>
    <w:tmpl w:val="E1F4E0CE"/>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88547C"/>
    <w:multiLevelType w:val="hybridMultilevel"/>
    <w:tmpl w:val="A2A085F2"/>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8">
    <w:nsid w:val="1A4D384E"/>
    <w:multiLevelType w:val="hybridMultilevel"/>
    <w:tmpl w:val="A388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DF0FB5"/>
    <w:multiLevelType w:val="hybridMultilevel"/>
    <w:tmpl w:val="8D56B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21">
    <w:nsid w:val="1D62027F"/>
    <w:multiLevelType w:val="hybridMultilevel"/>
    <w:tmpl w:val="2990F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D964BEC"/>
    <w:multiLevelType w:val="hybridMultilevel"/>
    <w:tmpl w:val="A0F4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1FD1413F"/>
    <w:multiLevelType w:val="hybridMultilevel"/>
    <w:tmpl w:val="9EC68226"/>
    <w:lvl w:ilvl="0" w:tplc="AC34B28E">
      <w:start w:val="1"/>
      <w:numFmt w:val="bullet"/>
      <w:lvlText w:val="-"/>
      <w:lvlJc w:val="left"/>
      <w:pPr>
        <w:ind w:left="1179" w:hanging="360"/>
      </w:pPr>
      <w:rPr>
        <w:rFonts w:ascii="Arial" w:eastAsia="Malgun Gothic" w:hAnsi="Arial" w:cs="Times New Roman"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5">
    <w:nsid w:val="1FFD6B3D"/>
    <w:multiLevelType w:val="hybridMultilevel"/>
    <w:tmpl w:val="9CECA060"/>
    <w:lvl w:ilvl="0" w:tplc="0407000F">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7">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261941B0"/>
    <w:multiLevelType w:val="hybridMultilevel"/>
    <w:tmpl w:val="1E38B866"/>
    <w:lvl w:ilvl="0" w:tplc="04090017">
      <w:start w:val="1"/>
      <w:numFmt w:val="lowerLetter"/>
      <w:lvlText w:val="%1)"/>
      <w:lvlJc w:val="left"/>
      <w:pPr>
        <w:ind w:left="765" w:hanging="360"/>
      </w:pPr>
    </w:lvl>
    <w:lvl w:ilvl="1" w:tplc="0409001B">
      <w:start w:val="1"/>
      <w:numFmt w:val="lowerRoman"/>
      <w:lvlText w:val="%2."/>
      <w:lvlJc w:val="righ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1">
    <w:nsid w:val="2BD072F8"/>
    <w:multiLevelType w:val="hybridMultilevel"/>
    <w:tmpl w:val="EE18B40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nsid w:val="2CA61409"/>
    <w:multiLevelType w:val="hybridMultilevel"/>
    <w:tmpl w:val="9DA8BFF2"/>
    <w:lvl w:ilvl="0" w:tplc="AC34B28E">
      <w:start w:val="1"/>
      <w:numFmt w:val="bullet"/>
      <w:lvlText w:val="-"/>
      <w:lvlJc w:val="left"/>
      <w:pPr>
        <w:ind w:left="720" w:hanging="360"/>
      </w:pPr>
      <w:rPr>
        <w:rFonts w:ascii="Arial" w:eastAsia="Malgun Gothic"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2ED67D0"/>
    <w:multiLevelType w:val="hybridMultilevel"/>
    <w:tmpl w:val="525AB9DA"/>
    <w:lvl w:ilvl="0" w:tplc="00C4B2CA">
      <w:start w:val="6"/>
      <w:numFmt w:val="bullet"/>
      <w:lvlText w:val="•"/>
      <w:lvlJc w:val="left"/>
      <w:pPr>
        <w:ind w:left="720" w:hanging="360"/>
      </w:pPr>
      <w:rPr>
        <w:rFonts w:ascii="Calibri" w:eastAsia="Calibri" w:hAnsi="Calibri" w:cs="Calibri" w:hint="default"/>
        <w:lang w:val="en-US"/>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33EC3059"/>
    <w:multiLevelType w:val="hybridMultilevel"/>
    <w:tmpl w:val="5922D556"/>
    <w:lvl w:ilvl="0" w:tplc="6E32DDE6">
      <w:start w:val="1"/>
      <w:numFmt w:val="lowerLetter"/>
      <w:lvlText w:val="%1)"/>
      <w:lvlJc w:val="left"/>
      <w:pPr>
        <w:ind w:left="510" w:hanging="360"/>
      </w:pPr>
      <w:rPr>
        <w:rFonts w:hint="default"/>
      </w:rPr>
    </w:lvl>
    <w:lvl w:ilvl="1" w:tplc="00DA126C">
      <w:start w:val="1"/>
      <w:numFmt w:val="lowerRoman"/>
      <w:lvlText w:val="%2."/>
      <w:lvlJc w:val="left"/>
      <w:pPr>
        <w:ind w:left="1230" w:hanging="360"/>
      </w:pPr>
      <w:rPr>
        <w:rFonts w:hint="default"/>
      </w:r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5">
    <w:nsid w:val="35AF345E"/>
    <w:multiLevelType w:val="hybridMultilevel"/>
    <w:tmpl w:val="8FF07FD6"/>
    <w:lvl w:ilvl="0" w:tplc="AC34B28E">
      <w:start w:val="1"/>
      <w:numFmt w:val="bullet"/>
      <w:lvlText w:val="-"/>
      <w:lvlJc w:val="left"/>
      <w:pPr>
        <w:ind w:left="760" w:hanging="360"/>
      </w:pPr>
      <w:rPr>
        <w:rFonts w:ascii="Arial" w:eastAsia="Malgun Gothic"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096142"/>
    <w:multiLevelType w:val="hybridMultilevel"/>
    <w:tmpl w:val="CD6C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394716CC"/>
    <w:multiLevelType w:val="hybridMultilevel"/>
    <w:tmpl w:val="7F84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4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AA173D7"/>
    <w:multiLevelType w:val="hybridMultilevel"/>
    <w:tmpl w:val="B6383970"/>
    <w:lvl w:ilvl="0" w:tplc="86363A08">
      <w:numFmt w:val="bullet"/>
      <w:lvlText w:val="•"/>
      <w:lvlJc w:val="left"/>
      <w:pPr>
        <w:ind w:left="1440" w:hanging="72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AE76D7E"/>
    <w:multiLevelType w:val="hybridMultilevel"/>
    <w:tmpl w:val="37C604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44">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46">
    <w:nsid w:val="3EEA48FF"/>
    <w:multiLevelType w:val="hybridMultilevel"/>
    <w:tmpl w:val="3766C9CA"/>
    <w:lvl w:ilvl="0" w:tplc="00C4B2CA">
      <w:start w:val="6"/>
      <w:numFmt w:val="bullet"/>
      <w:lvlText w:val="•"/>
      <w:lvlJc w:val="left"/>
      <w:pPr>
        <w:ind w:left="360" w:hanging="360"/>
      </w:pPr>
      <w:rPr>
        <w:rFonts w:ascii="Calibri" w:eastAsia="Calibri" w:hAnsi="Calibri" w:cs="Calibri" w:hint="default"/>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F2B08B7"/>
    <w:multiLevelType w:val="hybridMultilevel"/>
    <w:tmpl w:val="FE687752"/>
    <w:lvl w:ilvl="0" w:tplc="0409000F">
      <w:start w:val="1"/>
      <w:numFmt w:val="decimal"/>
      <w:lvlText w:val="%1."/>
      <w:lvlJc w:val="left"/>
      <w:pPr>
        <w:ind w:left="1125" w:hanging="360"/>
      </w:pPr>
    </w:lvl>
    <w:lvl w:ilvl="1" w:tplc="04090001">
      <w:start w:val="1"/>
      <w:numFmt w:val="bullet"/>
      <w:lvlText w:val=""/>
      <w:lvlJc w:val="left"/>
      <w:pPr>
        <w:ind w:left="1845" w:hanging="360"/>
      </w:pPr>
      <w:rPr>
        <w:rFonts w:ascii="Symbol" w:hAnsi="Symbol" w:hint="default"/>
      </w:rPr>
    </w:lvl>
    <w:lvl w:ilvl="2" w:tplc="0409001B">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8">
    <w:nsid w:val="3F9E5D18"/>
    <w:multiLevelType w:val="hybridMultilevel"/>
    <w:tmpl w:val="35FC70A0"/>
    <w:lvl w:ilvl="0" w:tplc="AC34B28E">
      <w:start w:val="1"/>
      <w:numFmt w:val="bullet"/>
      <w:lvlText w:val="-"/>
      <w:lvlJc w:val="left"/>
      <w:pPr>
        <w:ind w:left="360" w:hanging="360"/>
      </w:pPr>
      <w:rPr>
        <w:rFonts w:ascii="Arial" w:eastAsia="Malgun Gothic" w:hAnsi="Arial" w:cs="Times New Roman" w:hint="default"/>
      </w:rPr>
    </w:lvl>
    <w:lvl w:ilvl="1" w:tplc="AC34B28E">
      <w:start w:val="1"/>
      <w:numFmt w:val="bullet"/>
      <w:lvlText w:val="-"/>
      <w:lvlJc w:val="left"/>
      <w:pPr>
        <w:ind w:left="1080" w:hanging="360"/>
      </w:pPr>
      <w:rPr>
        <w:rFonts w:ascii="Arial" w:eastAsia="Malgun Gothic" w:hAnsi="Arial" w:cs="Times New Roman" w:hint="default"/>
      </w:rPr>
    </w:lvl>
    <w:lvl w:ilvl="2" w:tplc="04070005">
      <w:start w:val="1"/>
      <w:numFmt w:val="bullet"/>
      <w:lvlText w:val=""/>
      <w:lvlJc w:val="left"/>
      <w:pPr>
        <w:ind w:left="1800" w:hanging="360"/>
      </w:pPr>
      <w:rPr>
        <w:rFonts w:ascii="Wingdings" w:hAnsi="Wingdings" w:hint="default"/>
      </w:rPr>
    </w:lvl>
    <w:lvl w:ilvl="3" w:tplc="04090011">
      <w:start w:val="1"/>
      <w:numFmt w:val="decimal"/>
      <w:lvlText w:val="%4)"/>
      <w:lvlJc w:val="left"/>
      <w:pPr>
        <w:ind w:left="2520" w:hanging="360"/>
      </w:pPr>
      <w:rPr>
        <w:rFonts w:hint="default"/>
      </w:rPr>
    </w:lvl>
    <w:lvl w:ilvl="4" w:tplc="49661F88">
      <w:start w:val="1"/>
      <w:numFmt w:val="lowerLetter"/>
      <w:lvlText w:val="(%5)"/>
      <w:lvlJc w:val="left"/>
      <w:pPr>
        <w:ind w:left="3240" w:hanging="360"/>
      </w:pPr>
      <w:rPr>
        <w:rFont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nsid w:val="409B41C4"/>
    <w:multiLevelType w:val="hybridMultilevel"/>
    <w:tmpl w:val="72F240BA"/>
    <w:lvl w:ilvl="0" w:tplc="9D58A564">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0BC29D7"/>
    <w:multiLevelType w:val="hybridMultilevel"/>
    <w:tmpl w:val="B148C8F8"/>
    <w:lvl w:ilvl="0" w:tplc="0409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52">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3">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54">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5">
    <w:nsid w:val="4C842549"/>
    <w:multiLevelType w:val="hybridMultilevel"/>
    <w:tmpl w:val="F74CBF88"/>
    <w:lvl w:ilvl="0" w:tplc="AB78B94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F0B1C8D"/>
    <w:multiLevelType w:val="hybridMultilevel"/>
    <w:tmpl w:val="11241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4F2A52EF"/>
    <w:multiLevelType w:val="hybridMultilevel"/>
    <w:tmpl w:val="7C509826"/>
    <w:lvl w:ilvl="0" w:tplc="EB70EEBE">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58">
    <w:nsid w:val="515744F4"/>
    <w:multiLevelType w:val="hybridMultilevel"/>
    <w:tmpl w:val="2862AF50"/>
    <w:lvl w:ilvl="0" w:tplc="AB78B94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53AA78EF"/>
    <w:multiLevelType w:val="hybridMultilevel"/>
    <w:tmpl w:val="5ACA89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62">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64">
    <w:nsid w:val="577C761F"/>
    <w:multiLevelType w:val="hybridMultilevel"/>
    <w:tmpl w:val="68EA33CA"/>
    <w:lvl w:ilvl="0" w:tplc="00DA126C">
      <w:start w:val="1"/>
      <w:numFmt w:val="lowerRoman"/>
      <w:lvlText w:val="%1."/>
      <w:lvlJc w:val="left"/>
      <w:pPr>
        <w:ind w:left="765" w:hanging="360"/>
      </w:pPr>
      <w:rPr>
        <w:rFonts w:hint="default"/>
      </w:rPr>
    </w:lvl>
    <w:lvl w:ilvl="1" w:tplc="04090001">
      <w:start w:val="1"/>
      <w:numFmt w:val="bullet"/>
      <w:lvlText w:val=""/>
      <w:lvlJc w:val="left"/>
      <w:pPr>
        <w:ind w:left="1485" w:hanging="360"/>
      </w:pPr>
      <w:rPr>
        <w:rFonts w:ascii="Symbol" w:hAnsi="Symbol"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5">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5B94019E"/>
    <w:multiLevelType w:val="hybridMultilevel"/>
    <w:tmpl w:val="6C626394"/>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7">
    <w:nsid w:val="5E32637C"/>
    <w:multiLevelType w:val="hybridMultilevel"/>
    <w:tmpl w:val="CE228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69">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70">
    <w:nsid w:val="5FF62594"/>
    <w:multiLevelType w:val="hybridMultilevel"/>
    <w:tmpl w:val="CAF6D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05735B9"/>
    <w:multiLevelType w:val="hybridMultilevel"/>
    <w:tmpl w:val="FE2226F2"/>
    <w:lvl w:ilvl="0" w:tplc="659EE572">
      <w:start w:val="1"/>
      <w:numFmt w:val="decimal"/>
      <w:pStyle w:val="Heading5"/>
      <w:lvlText w:val="Q%1:"/>
      <w:lvlJc w:val="left"/>
      <w:pPr>
        <w:ind w:left="502" w:hanging="360"/>
      </w:pPr>
      <w:rPr>
        <w:rFonts w:ascii="Arial" w:hAnsi="Arial" w:hint="default"/>
        <w:b/>
        <w:i w:val="0"/>
        <w:color w:val="auto"/>
        <w:sz w:val="22"/>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73">
    <w:nsid w:val="62B21518"/>
    <w:multiLevelType w:val="hybridMultilevel"/>
    <w:tmpl w:val="FA90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37B2554"/>
    <w:multiLevelType w:val="hybridMultilevel"/>
    <w:tmpl w:val="A2285360"/>
    <w:lvl w:ilvl="0" w:tplc="ADD8EA0E">
      <w:start w:val="2"/>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64F4046"/>
    <w:multiLevelType w:val="hybridMultilevel"/>
    <w:tmpl w:val="7FA8F1BC"/>
    <w:lvl w:ilvl="0" w:tplc="086A41E6">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690A7209"/>
    <w:multiLevelType w:val="hybridMultilevel"/>
    <w:tmpl w:val="61243DB0"/>
    <w:lvl w:ilvl="0" w:tplc="93165C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nsid w:val="693C635D"/>
    <w:multiLevelType w:val="hybridMultilevel"/>
    <w:tmpl w:val="97FAE946"/>
    <w:lvl w:ilvl="0" w:tplc="77D82A5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9">
    <w:nsid w:val="694A1480"/>
    <w:multiLevelType w:val="hybridMultilevel"/>
    <w:tmpl w:val="48D47D06"/>
    <w:lvl w:ilvl="0" w:tplc="AC34B28E">
      <w:start w:val="1"/>
      <w:numFmt w:val="bullet"/>
      <w:lvlText w:val="-"/>
      <w:lvlJc w:val="left"/>
      <w:pPr>
        <w:ind w:left="760" w:hanging="360"/>
      </w:pPr>
      <w:rPr>
        <w:rFonts w:ascii="Arial" w:eastAsia="Malgun Gothic"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1">
    <w:nsid w:val="716C01A8"/>
    <w:multiLevelType w:val="hybridMultilevel"/>
    <w:tmpl w:val="8D70694C"/>
    <w:lvl w:ilvl="0" w:tplc="14D2F9E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2EE712F"/>
    <w:multiLevelType w:val="hybridMultilevel"/>
    <w:tmpl w:val="F130530E"/>
    <w:lvl w:ilvl="0" w:tplc="1E0E4EA8">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752B41D7"/>
    <w:multiLevelType w:val="hybridMultilevel"/>
    <w:tmpl w:val="095C7634"/>
    <w:lvl w:ilvl="0" w:tplc="04090017">
      <w:start w:val="1"/>
      <w:numFmt w:val="lowerLetter"/>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84">
    <w:nsid w:val="76641D51"/>
    <w:multiLevelType w:val="hybridMultilevel"/>
    <w:tmpl w:val="E3E4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6E27F75"/>
    <w:multiLevelType w:val="hybridMultilevel"/>
    <w:tmpl w:val="0382D24C"/>
    <w:lvl w:ilvl="0" w:tplc="7A188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D02393"/>
    <w:multiLevelType w:val="hybridMultilevel"/>
    <w:tmpl w:val="DA94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88">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89">
    <w:nsid w:val="7CAA482F"/>
    <w:multiLevelType w:val="hybridMultilevel"/>
    <w:tmpl w:val="CAA484D2"/>
    <w:lvl w:ilvl="0" w:tplc="93C45F0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51"/>
  </w:num>
  <w:num w:numId="3">
    <w:abstractNumId w:val="37"/>
  </w:num>
  <w:num w:numId="4">
    <w:abstractNumId w:val="59"/>
  </w:num>
  <w:num w:numId="5">
    <w:abstractNumId w:val="10"/>
  </w:num>
  <w:num w:numId="6">
    <w:abstractNumId w:val="62"/>
  </w:num>
  <w:num w:numId="7">
    <w:abstractNumId w:val="2"/>
  </w:num>
  <w:num w:numId="8">
    <w:abstractNumId w:val="20"/>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2"/>
  </w:num>
  <w:num w:numId="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71"/>
  </w:num>
  <w:num w:numId="15">
    <w:abstractNumId w:val="54"/>
  </w:num>
  <w:num w:numId="16">
    <w:abstractNumId w:val="30"/>
  </w:num>
  <w:num w:numId="17">
    <w:abstractNumId w:val="4"/>
  </w:num>
  <w:num w:numId="18">
    <w:abstractNumId w:val="40"/>
  </w:num>
  <w:num w:numId="19">
    <w:abstractNumId w:val="43"/>
  </w:num>
  <w:num w:numId="20">
    <w:abstractNumId w:val="45"/>
  </w:num>
  <w:num w:numId="21">
    <w:abstractNumId w:val="63"/>
  </w:num>
  <w:num w:numId="22">
    <w:abstractNumId w:val="80"/>
  </w:num>
  <w:num w:numId="23">
    <w:abstractNumId w:val="61"/>
  </w:num>
  <w:num w:numId="24">
    <w:abstractNumId w:val="29"/>
  </w:num>
  <w:num w:numId="25">
    <w:abstractNumId w:val="69"/>
  </w:num>
  <w:num w:numId="26">
    <w:abstractNumId w:val="68"/>
  </w:num>
  <w:num w:numId="27">
    <w:abstractNumId w:val="52"/>
  </w:num>
  <w:num w:numId="28">
    <w:abstractNumId w:val="77"/>
  </w:num>
  <w:num w:numId="29">
    <w:abstractNumId w:val="88"/>
  </w:num>
  <w:num w:numId="30">
    <w:abstractNumId w:val="26"/>
  </w:num>
  <w:num w:numId="31">
    <w:abstractNumId w:val="16"/>
  </w:num>
  <w:num w:numId="32">
    <w:abstractNumId w:val="53"/>
  </w:num>
  <w:num w:numId="33">
    <w:abstractNumId w:val="5"/>
  </w:num>
  <w:num w:numId="34">
    <w:abstractNumId w:val="78"/>
  </w:num>
  <w:num w:numId="35">
    <w:abstractNumId w:val="34"/>
  </w:num>
  <w:num w:numId="36">
    <w:abstractNumId w:val="18"/>
  </w:num>
  <w:num w:numId="37">
    <w:abstractNumId w:val="60"/>
  </w:num>
  <w:num w:numId="38">
    <w:abstractNumId w:val="76"/>
  </w:num>
  <w:num w:numId="39">
    <w:abstractNumId w:val="3"/>
  </w:num>
  <w:num w:numId="40">
    <w:abstractNumId w:val="64"/>
  </w:num>
  <w:num w:numId="41">
    <w:abstractNumId w:val="55"/>
  </w:num>
  <w:num w:numId="42">
    <w:abstractNumId w:val="58"/>
  </w:num>
  <w:num w:numId="43">
    <w:abstractNumId w:val="13"/>
  </w:num>
  <w:num w:numId="44">
    <w:abstractNumId w:val="33"/>
  </w:num>
  <w:num w:numId="45">
    <w:abstractNumId w:val="75"/>
  </w:num>
  <w:num w:numId="46">
    <w:abstractNumId w:val="56"/>
  </w:num>
  <w:num w:numId="47">
    <w:abstractNumId w:val="15"/>
  </w:num>
  <w:num w:numId="48">
    <w:abstractNumId w:val="17"/>
  </w:num>
  <w:num w:numId="49">
    <w:abstractNumId w:val="47"/>
  </w:num>
  <w:num w:numId="50">
    <w:abstractNumId w:val="50"/>
  </w:num>
  <w:num w:numId="51">
    <w:abstractNumId w:val="41"/>
  </w:num>
  <w:num w:numId="52">
    <w:abstractNumId w:val="21"/>
  </w:num>
  <w:num w:numId="53">
    <w:abstractNumId w:val="35"/>
  </w:num>
  <w:num w:numId="54">
    <w:abstractNumId w:val="57"/>
  </w:num>
  <w:num w:numId="55">
    <w:abstractNumId w:val="1"/>
  </w:num>
  <w:num w:numId="56">
    <w:abstractNumId w:val="70"/>
  </w:num>
  <w:num w:numId="57">
    <w:abstractNumId w:val="24"/>
  </w:num>
  <w:num w:numId="58">
    <w:abstractNumId w:val="83"/>
  </w:num>
  <w:num w:numId="59">
    <w:abstractNumId w:val="79"/>
  </w:num>
  <w:num w:numId="60">
    <w:abstractNumId w:val="12"/>
  </w:num>
  <w:num w:numId="61">
    <w:abstractNumId w:val="86"/>
  </w:num>
  <w:num w:numId="62">
    <w:abstractNumId w:val="6"/>
  </w:num>
  <w:num w:numId="63">
    <w:abstractNumId w:val="85"/>
  </w:num>
  <w:num w:numId="6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num>
  <w:num w:numId="67">
    <w:abstractNumId w:val="48"/>
  </w:num>
  <w:num w:numId="68">
    <w:abstractNumId w:val="32"/>
  </w:num>
  <w:num w:numId="69">
    <w:abstractNumId w:val="36"/>
  </w:num>
  <w:num w:numId="70">
    <w:abstractNumId w:val="0"/>
  </w:num>
  <w:num w:numId="71">
    <w:abstractNumId w:val="66"/>
  </w:num>
  <w:num w:numId="72">
    <w:abstractNumId w:val="19"/>
  </w:num>
  <w:num w:numId="73">
    <w:abstractNumId w:val="73"/>
  </w:num>
  <w:num w:numId="74">
    <w:abstractNumId w:val="14"/>
  </w:num>
  <w:num w:numId="75">
    <w:abstractNumId w:val="67"/>
  </w:num>
  <w:num w:numId="76">
    <w:abstractNumId w:val="8"/>
  </w:num>
  <w:num w:numId="77">
    <w:abstractNumId w:val="22"/>
  </w:num>
  <w:num w:numId="78">
    <w:abstractNumId w:val="9"/>
  </w:num>
  <w:num w:numId="79">
    <w:abstractNumId w:val="25"/>
  </w:num>
  <w:num w:numId="80">
    <w:abstractNumId w:val="28"/>
  </w:num>
  <w:num w:numId="81">
    <w:abstractNumId w:val="81"/>
  </w:num>
  <w:num w:numId="82">
    <w:abstractNumId w:val="74"/>
  </w:num>
  <w:num w:numId="83">
    <w:abstractNumId w:val="11"/>
  </w:num>
  <w:num w:numId="84">
    <w:abstractNumId w:val="89"/>
  </w:num>
  <w:num w:numId="85">
    <w:abstractNumId w:val="49"/>
  </w:num>
  <w:num w:numId="86">
    <w:abstractNumId w:val="82"/>
  </w:num>
  <w:num w:numId="87">
    <w:abstractNumId w:val="84"/>
  </w:num>
  <w:num w:numId="88">
    <w:abstractNumId w:val="38"/>
  </w:num>
  <w:num w:numId="89">
    <w:abstractNumId w:val="46"/>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F01"/>
  <w:documentProtection w:edit="readOnly" w:enforcement="1" w:cryptProviderType="rsaFull" w:cryptAlgorithmClass="hash" w:cryptAlgorithmType="typeAny" w:cryptAlgorithmSid="4" w:cryptSpinCount="100000" w:hash="6bfjm/iXYcseCfNqFFexqQAtOxQ=" w:salt="TR/MU8Bj+9PToco2KdLWwQ=="/>
  <w:defaultTabStop w:val="709"/>
  <w:autoHyphenation/>
  <w:hyphenationZone w:val="567"/>
  <w:characterSpacingControl w:val="doNotCompress"/>
  <w:hdrShapeDefaults>
    <o:shapedefaults v:ext="edit" spidmax="4099">
      <o:colormru v:ext="edit" colors="#2d4491,#283583"/>
    </o:shapedefaults>
    <o:shapelayout v:ext="edit">
      <o:idmap v:ext="edit" data="4"/>
    </o:shapelayout>
  </w:hdrShapeDefaults>
  <w:footnotePr>
    <w:footnote w:id="-1"/>
    <w:footnote w:id="0"/>
    <w:footnote w:id="1"/>
  </w:footnotePr>
  <w:endnotePr>
    <w:endnote w:id="-1"/>
    <w:endnote w:id="0"/>
    <w:endnote w:id="1"/>
  </w:endnotePr>
  <w:compat/>
  <w:rsids>
    <w:rsidRoot w:val="00A02370"/>
    <w:rsid w:val="000006AD"/>
    <w:rsid w:val="00001490"/>
    <w:rsid w:val="00002232"/>
    <w:rsid w:val="00002491"/>
    <w:rsid w:val="0000378E"/>
    <w:rsid w:val="00003AEB"/>
    <w:rsid w:val="00005B6A"/>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3713"/>
    <w:rsid w:val="0002378E"/>
    <w:rsid w:val="00023C4D"/>
    <w:rsid w:val="00025E71"/>
    <w:rsid w:val="00026269"/>
    <w:rsid w:val="00027154"/>
    <w:rsid w:val="00027ECF"/>
    <w:rsid w:val="000303BE"/>
    <w:rsid w:val="000344D6"/>
    <w:rsid w:val="000345A1"/>
    <w:rsid w:val="00034960"/>
    <w:rsid w:val="00036FAE"/>
    <w:rsid w:val="00041858"/>
    <w:rsid w:val="00042388"/>
    <w:rsid w:val="0004389E"/>
    <w:rsid w:val="0004484A"/>
    <w:rsid w:val="000463A6"/>
    <w:rsid w:val="00046CC9"/>
    <w:rsid w:val="00046E91"/>
    <w:rsid w:val="000502FE"/>
    <w:rsid w:val="0005126D"/>
    <w:rsid w:val="00051992"/>
    <w:rsid w:val="00051E9A"/>
    <w:rsid w:val="000521A7"/>
    <w:rsid w:val="00052F47"/>
    <w:rsid w:val="0005399B"/>
    <w:rsid w:val="00054DE6"/>
    <w:rsid w:val="000569D7"/>
    <w:rsid w:val="000576D7"/>
    <w:rsid w:val="00057A24"/>
    <w:rsid w:val="00060F72"/>
    <w:rsid w:val="00062592"/>
    <w:rsid w:val="000636A1"/>
    <w:rsid w:val="000649D9"/>
    <w:rsid w:val="000652BE"/>
    <w:rsid w:val="0006642F"/>
    <w:rsid w:val="00066479"/>
    <w:rsid w:val="0006723C"/>
    <w:rsid w:val="00070376"/>
    <w:rsid w:val="00070974"/>
    <w:rsid w:val="00071EAD"/>
    <w:rsid w:val="00071F4E"/>
    <w:rsid w:val="00072271"/>
    <w:rsid w:val="00072773"/>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11A"/>
    <w:rsid w:val="000932E0"/>
    <w:rsid w:val="00093B86"/>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DF2"/>
    <w:rsid w:val="000B7A37"/>
    <w:rsid w:val="000C06C9"/>
    <w:rsid w:val="000C1DCC"/>
    <w:rsid w:val="000C1FBC"/>
    <w:rsid w:val="000C2B6A"/>
    <w:rsid w:val="000C2F88"/>
    <w:rsid w:val="000C55C8"/>
    <w:rsid w:val="000C57C4"/>
    <w:rsid w:val="000C5FD3"/>
    <w:rsid w:val="000C701D"/>
    <w:rsid w:val="000C7C4A"/>
    <w:rsid w:val="000D09F5"/>
    <w:rsid w:val="000D17AA"/>
    <w:rsid w:val="000D2D0B"/>
    <w:rsid w:val="000D4660"/>
    <w:rsid w:val="000D60FE"/>
    <w:rsid w:val="000D705D"/>
    <w:rsid w:val="000D7EB9"/>
    <w:rsid w:val="000E0223"/>
    <w:rsid w:val="000E0CF3"/>
    <w:rsid w:val="000E18A8"/>
    <w:rsid w:val="000E1AEC"/>
    <w:rsid w:val="000E3937"/>
    <w:rsid w:val="000E4926"/>
    <w:rsid w:val="000E5F7F"/>
    <w:rsid w:val="000E7086"/>
    <w:rsid w:val="000E7C65"/>
    <w:rsid w:val="000F04D2"/>
    <w:rsid w:val="000F2923"/>
    <w:rsid w:val="000F303C"/>
    <w:rsid w:val="000F55B7"/>
    <w:rsid w:val="000F604F"/>
    <w:rsid w:val="000F7399"/>
    <w:rsid w:val="001027F1"/>
    <w:rsid w:val="00104F2E"/>
    <w:rsid w:val="00106314"/>
    <w:rsid w:val="001072DD"/>
    <w:rsid w:val="00110D7A"/>
    <w:rsid w:val="00111464"/>
    <w:rsid w:val="0011167D"/>
    <w:rsid w:val="00112892"/>
    <w:rsid w:val="00112E48"/>
    <w:rsid w:val="001130EA"/>
    <w:rsid w:val="00114259"/>
    <w:rsid w:val="00115E2E"/>
    <w:rsid w:val="001168B2"/>
    <w:rsid w:val="00117C20"/>
    <w:rsid w:val="00120F0E"/>
    <w:rsid w:val="00121BED"/>
    <w:rsid w:val="00123D39"/>
    <w:rsid w:val="00124278"/>
    <w:rsid w:val="00124407"/>
    <w:rsid w:val="001244CD"/>
    <w:rsid w:val="0012566F"/>
    <w:rsid w:val="001260DB"/>
    <w:rsid w:val="001262B1"/>
    <w:rsid w:val="00130F41"/>
    <w:rsid w:val="00130FAF"/>
    <w:rsid w:val="00135F2B"/>
    <w:rsid w:val="001372DD"/>
    <w:rsid w:val="001405BA"/>
    <w:rsid w:val="00141497"/>
    <w:rsid w:val="0014253A"/>
    <w:rsid w:val="001425C8"/>
    <w:rsid w:val="001429C3"/>
    <w:rsid w:val="001431AE"/>
    <w:rsid w:val="0014332A"/>
    <w:rsid w:val="00143B87"/>
    <w:rsid w:val="001459E3"/>
    <w:rsid w:val="00146A0B"/>
    <w:rsid w:val="0014761E"/>
    <w:rsid w:val="00151907"/>
    <w:rsid w:val="00151F05"/>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1D78"/>
    <w:rsid w:val="001725A5"/>
    <w:rsid w:val="00172681"/>
    <w:rsid w:val="00173AC7"/>
    <w:rsid w:val="001745D7"/>
    <w:rsid w:val="00175754"/>
    <w:rsid w:val="00176982"/>
    <w:rsid w:val="0017701C"/>
    <w:rsid w:val="00180C8E"/>
    <w:rsid w:val="00181264"/>
    <w:rsid w:val="00181BD1"/>
    <w:rsid w:val="0018204A"/>
    <w:rsid w:val="00182F7C"/>
    <w:rsid w:val="001843B5"/>
    <w:rsid w:val="001847A8"/>
    <w:rsid w:val="00186829"/>
    <w:rsid w:val="001868CA"/>
    <w:rsid w:val="00187304"/>
    <w:rsid w:val="001875BE"/>
    <w:rsid w:val="0019017A"/>
    <w:rsid w:val="00190946"/>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B7C4D"/>
    <w:rsid w:val="001C0344"/>
    <w:rsid w:val="001C0F2A"/>
    <w:rsid w:val="001C1A59"/>
    <w:rsid w:val="001C270F"/>
    <w:rsid w:val="001C4679"/>
    <w:rsid w:val="001C5770"/>
    <w:rsid w:val="001C6195"/>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212"/>
    <w:rsid w:val="001F0F63"/>
    <w:rsid w:val="001F3996"/>
    <w:rsid w:val="001F44A4"/>
    <w:rsid w:val="001F579D"/>
    <w:rsid w:val="001F697B"/>
    <w:rsid w:val="001F706C"/>
    <w:rsid w:val="002005A6"/>
    <w:rsid w:val="00204CBC"/>
    <w:rsid w:val="002051F1"/>
    <w:rsid w:val="002067BA"/>
    <w:rsid w:val="00207A15"/>
    <w:rsid w:val="0021058D"/>
    <w:rsid w:val="00211E2F"/>
    <w:rsid w:val="00211E9E"/>
    <w:rsid w:val="00212AB0"/>
    <w:rsid w:val="00214FB4"/>
    <w:rsid w:val="00215940"/>
    <w:rsid w:val="002164F6"/>
    <w:rsid w:val="00217C23"/>
    <w:rsid w:val="00220561"/>
    <w:rsid w:val="00220CE4"/>
    <w:rsid w:val="00221F90"/>
    <w:rsid w:val="00222D9B"/>
    <w:rsid w:val="00223788"/>
    <w:rsid w:val="00223D11"/>
    <w:rsid w:val="002242D3"/>
    <w:rsid w:val="00224888"/>
    <w:rsid w:val="002301E6"/>
    <w:rsid w:val="0023191D"/>
    <w:rsid w:val="00232F90"/>
    <w:rsid w:val="0023388E"/>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063"/>
    <w:rsid w:val="00252843"/>
    <w:rsid w:val="002543F8"/>
    <w:rsid w:val="002551A4"/>
    <w:rsid w:val="002559F3"/>
    <w:rsid w:val="00256DFE"/>
    <w:rsid w:val="00261D56"/>
    <w:rsid w:val="00261FD3"/>
    <w:rsid w:val="00264077"/>
    <w:rsid w:val="00264AC1"/>
    <w:rsid w:val="00266B9A"/>
    <w:rsid w:val="00270E54"/>
    <w:rsid w:val="00272C50"/>
    <w:rsid w:val="00273681"/>
    <w:rsid w:val="002754B5"/>
    <w:rsid w:val="002764C5"/>
    <w:rsid w:val="002772AE"/>
    <w:rsid w:val="00280613"/>
    <w:rsid w:val="0028274D"/>
    <w:rsid w:val="00282B96"/>
    <w:rsid w:val="002833D6"/>
    <w:rsid w:val="00283F51"/>
    <w:rsid w:val="00284E9B"/>
    <w:rsid w:val="00286064"/>
    <w:rsid w:val="002867B1"/>
    <w:rsid w:val="00287BBB"/>
    <w:rsid w:val="00287E3B"/>
    <w:rsid w:val="00290638"/>
    <w:rsid w:val="00291763"/>
    <w:rsid w:val="00291D80"/>
    <w:rsid w:val="00293156"/>
    <w:rsid w:val="00293BE7"/>
    <w:rsid w:val="002946DC"/>
    <w:rsid w:val="00295156"/>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B7E42"/>
    <w:rsid w:val="002C0ED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4139"/>
    <w:rsid w:val="002F4894"/>
    <w:rsid w:val="002F7749"/>
    <w:rsid w:val="00300624"/>
    <w:rsid w:val="00300F56"/>
    <w:rsid w:val="00301006"/>
    <w:rsid w:val="00303C0C"/>
    <w:rsid w:val="00304A71"/>
    <w:rsid w:val="003066C8"/>
    <w:rsid w:val="0030739D"/>
    <w:rsid w:val="00307AFB"/>
    <w:rsid w:val="003100C5"/>
    <w:rsid w:val="00311184"/>
    <w:rsid w:val="00312675"/>
    <w:rsid w:val="00314013"/>
    <w:rsid w:val="00314945"/>
    <w:rsid w:val="00315389"/>
    <w:rsid w:val="00315746"/>
    <w:rsid w:val="00315E96"/>
    <w:rsid w:val="00316023"/>
    <w:rsid w:val="00317FC8"/>
    <w:rsid w:val="003223D7"/>
    <w:rsid w:val="00323D9F"/>
    <w:rsid w:val="00324FDB"/>
    <w:rsid w:val="00325B60"/>
    <w:rsid w:val="00325F48"/>
    <w:rsid w:val="00330386"/>
    <w:rsid w:val="003313FB"/>
    <w:rsid w:val="0033194F"/>
    <w:rsid w:val="00332406"/>
    <w:rsid w:val="00332D8D"/>
    <w:rsid w:val="00335027"/>
    <w:rsid w:val="00336B56"/>
    <w:rsid w:val="00336CF8"/>
    <w:rsid w:val="0034013F"/>
    <w:rsid w:val="00341B25"/>
    <w:rsid w:val="00341C90"/>
    <w:rsid w:val="00341EC0"/>
    <w:rsid w:val="0034240C"/>
    <w:rsid w:val="00344496"/>
    <w:rsid w:val="00345968"/>
    <w:rsid w:val="00347667"/>
    <w:rsid w:val="00347CEE"/>
    <w:rsid w:val="00347FEE"/>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768"/>
    <w:rsid w:val="003748F0"/>
    <w:rsid w:val="00375AEF"/>
    <w:rsid w:val="00376367"/>
    <w:rsid w:val="00376B02"/>
    <w:rsid w:val="0037733A"/>
    <w:rsid w:val="003776DC"/>
    <w:rsid w:val="003779C1"/>
    <w:rsid w:val="00380FEC"/>
    <w:rsid w:val="00381226"/>
    <w:rsid w:val="00381FF6"/>
    <w:rsid w:val="00383CCE"/>
    <w:rsid w:val="00383D7D"/>
    <w:rsid w:val="00384CCE"/>
    <w:rsid w:val="003865E5"/>
    <w:rsid w:val="00390F5E"/>
    <w:rsid w:val="003926C1"/>
    <w:rsid w:val="00392900"/>
    <w:rsid w:val="00393357"/>
    <w:rsid w:val="00395E7B"/>
    <w:rsid w:val="00395F4C"/>
    <w:rsid w:val="00396AD8"/>
    <w:rsid w:val="003A6591"/>
    <w:rsid w:val="003A6E9A"/>
    <w:rsid w:val="003B08C8"/>
    <w:rsid w:val="003B2237"/>
    <w:rsid w:val="003B2567"/>
    <w:rsid w:val="003B381A"/>
    <w:rsid w:val="003B4976"/>
    <w:rsid w:val="003B4B3F"/>
    <w:rsid w:val="003B4C4A"/>
    <w:rsid w:val="003B6258"/>
    <w:rsid w:val="003B6EED"/>
    <w:rsid w:val="003B7A99"/>
    <w:rsid w:val="003C0343"/>
    <w:rsid w:val="003C1C32"/>
    <w:rsid w:val="003C40DA"/>
    <w:rsid w:val="003C42BA"/>
    <w:rsid w:val="003C462F"/>
    <w:rsid w:val="003C4A02"/>
    <w:rsid w:val="003C4F05"/>
    <w:rsid w:val="003C5B91"/>
    <w:rsid w:val="003C6003"/>
    <w:rsid w:val="003C6191"/>
    <w:rsid w:val="003C6E49"/>
    <w:rsid w:val="003D0CBF"/>
    <w:rsid w:val="003D0DD6"/>
    <w:rsid w:val="003D466C"/>
    <w:rsid w:val="003D4B73"/>
    <w:rsid w:val="003D503B"/>
    <w:rsid w:val="003D605E"/>
    <w:rsid w:val="003D61D1"/>
    <w:rsid w:val="003D6780"/>
    <w:rsid w:val="003D6FCB"/>
    <w:rsid w:val="003E0F84"/>
    <w:rsid w:val="003E1FF3"/>
    <w:rsid w:val="003E2724"/>
    <w:rsid w:val="003E3ACA"/>
    <w:rsid w:val="003E50EA"/>
    <w:rsid w:val="003E68C7"/>
    <w:rsid w:val="003E79B0"/>
    <w:rsid w:val="003F0403"/>
    <w:rsid w:val="003F08E2"/>
    <w:rsid w:val="003F1094"/>
    <w:rsid w:val="003F2E45"/>
    <w:rsid w:val="003F357E"/>
    <w:rsid w:val="003F3B7C"/>
    <w:rsid w:val="003F3EFE"/>
    <w:rsid w:val="003F40B8"/>
    <w:rsid w:val="003F40BE"/>
    <w:rsid w:val="003F5C06"/>
    <w:rsid w:val="003F749E"/>
    <w:rsid w:val="00400195"/>
    <w:rsid w:val="0040254B"/>
    <w:rsid w:val="00403086"/>
    <w:rsid w:val="00403460"/>
    <w:rsid w:val="004040FF"/>
    <w:rsid w:val="00404284"/>
    <w:rsid w:val="004042C4"/>
    <w:rsid w:val="004047EE"/>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916"/>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4B9"/>
    <w:rsid w:val="004A357F"/>
    <w:rsid w:val="004A3DAD"/>
    <w:rsid w:val="004B0335"/>
    <w:rsid w:val="004B0F1C"/>
    <w:rsid w:val="004B1E61"/>
    <w:rsid w:val="004B21AB"/>
    <w:rsid w:val="004B59E0"/>
    <w:rsid w:val="004B667B"/>
    <w:rsid w:val="004B71C7"/>
    <w:rsid w:val="004C03AA"/>
    <w:rsid w:val="004C0B9A"/>
    <w:rsid w:val="004C0CBB"/>
    <w:rsid w:val="004C14E7"/>
    <w:rsid w:val="004C1D89"/>
    <w:rsid w:val="004C2A94"/>
    <w:rsid w:val="004C3DAB"/>
    <w:rsid w:val="004C55F8"/>
    <w:rsid w:val="004C5766"/>
    <w:rsid w:val="004C5F54"/>
    <w:rsid w:val="004C6E76"/>
    <w:rsid w:val="004C77DD"/>
    <w:rsid w:val="004C7826"/>
    <w:rsid w:val="004C7B33"/>
    <w:rsid w:val="004D1410"/>
    <w:rsid w:val="004D1478"/>
    <w:rsid w:val="004D19EE"/>
    <w:rsid w:val="004D1A90"/>
    <w:rsid w:val="004D1CF2"/>
    <w:rsid w:val="004D2D3A"/>
    <w:rsid w:val="004D3364"/>
    <w:rsid w:val="004D374D"/>
    <w:rsid w:val="004D42C8"/>
    <w:rsid w:val="004D4F57"/>
    <w:rsid w:val="004D50F6"/>
    <w:rsid w:val="004D5A0D"/>
    <w:rsid w:val="004D7910"/>
    <w:rsid w:val="004D7DEA"/>
    <w:rsid w:val="004E0A28"/>
    <w:rsid w:val="004E1A0F"/>
    <w:rsid w:val="004E2E89"/>
    <w:rsid w:val="004E33C2"/>
    <w:rsid w:val="004E3B9A"/>
    <w:rsid w:val="004E514D"/>
    <w:rsid w:val="004E62DE"/>
    <w:rsid w:val="004E6B05"/>
    <w:rsid w:val="004E76A1"/>
    <w:rsid w:val="004F05DE"/>
    <w:rsid w:val="004F1905"/>
    <w:rsid w:val="004F6376"/>
    <w:rsid w:val="004F6A93"/>
    <w:rsid w:val="004F6F14"/>
    <w:rsid w:val="004F76D9"/>
    <w:rsid w:val="004F798B"/>
    <w:rsid w:val="004F79A6"/>
    <w:rsid w:val="00501BF5"/>
    <w:rsid w:val="00501D8B"/>
    <w:rsid w:val="00502720"/>
    <w:rsid w:val="00503A3E"/>
    <w:rsid w:val="00503F59"/>
    <w:rsid w:val="005049A7"/>
    <w:rsid w:val="005053B2"/>
    <w:rsid w:val="00506331"/>
    <w:rsid w:val="00507D11"/>
    <w:rsid w:val="00510662"/>
    <w:rsid w:val="005109B7"/>
    <w:rsid w:val="00510A19"/>
    <w:rsid w:val="0051101B"/>
    <w:rsid w:val="00511AAB"/>
    <w:rsid w:val="00514D10"/>
    <w:rsid w:val="00516783"/>
    <w:rsid w:val="0051688C"/>
    <w:rsid w:val="00517835"/>
    <w:rsid w:val="00517DAE"/>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9E4"/>
    <w:rsid w:val="005532B5"/>
    <w:rsid w:val="00554A05"/>
    <w:rsid w:val="00555849"/>
    <w:rsid w:val="005559A8"/>
    <w:rsid w:val="00557048"/>
    <w:rsid w:val="00557FB5"/>
    <w:rsid w:val="00561AED"/>
    <w:rsid w:val="00562133"/>
    <w:rsid w:val="005631D8"/>
    <w:rsid w:val="00564787"/>
    <w:rsid w:val="005647C0"/>
    <w:rsid w:val="005648A8"/>
    <w:rsid w:val="00564DE3"/>
    <w:rsid w:val="00564E44"/>
    <w:rsid w:val="00566CE5"/>
    <w:rsid w:val="00566D36"/>
    <w:rsid w:val="00572C76"/>
    <w:rsid w:val="00573569"/>
    <w:rsid w:val="0057389E"/>
    <w:rsid w:val="005765C0"/>
    <w:rsid w:val="005778DE"/>
    <w:rsid w:val="00580B3F"/>
    <w:rsid w:val="005825F2"/>
    <w:rsid w:val="005860AF"/>
    <w:rsid w:val="00587F1D"/>
    <w:rsid w:val="00590348"/>
    <w:rsid w:val="00591161"/>
    <w:rsid w:val="00592318"/>
    <w:rsid w:val="00593133"/>
    <w:rsid w:val="00593FBC"/>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663C"/>
    <w:rsid w:val="005D1023"/>
    <w:rsid w:val="005D148F"/>
    <w:rsid w:val="005D28D9"/>
    <w:rsid w:val="005D2AD2"/>
    <w:rsid w:val="005D4A86"/>
    <w:rsid w:val="005D5EB1"/>
    <w:rsid w:val="005D6A29"/>
    <w:rsid w:val="005D7577"/>
    <w:rsid w:val="005E0481"/>
    <w:rsid w:val="005E10BF"/>
    <w:rsid w:val="005E1834"/>
    <w:rsid w:val="005E49E5"/>
    <w:rsid w:val="005E5481"/>
    <w:rsid w:val="005E55E4"/>
    <w:rsid w:val="005E608E"/>
    <w:rsid w:val="005E6C5F"/>
    <w:rsid w:val="005E7636"/>
    <w:rsid w:val="005F028E"/>
    <w:rsid w:val="005F04B4"/>
    <w:rsid w:val="005F11A4"/>
    <w:rsid w:val="005F19F8"/>
    <w:rsid w:val="005F3FB1"/>
    <w:rsid w:val="005F5ACF"/>
    <w:rsid w:val="005F60DC"/>
    <w:rsid w:val="006000DD"/>
    <w:rsid w:val="00600F63"/>
    <w:rsid w:val="006012E1"/>
    <w:rsid w:val="00602253"/>
    <w:rsid w:val="006023E1"/>
    <w:rsid w:val="00605531"/>
    <w:rsid w:val="0060674A"/>
    <w:rsid w:val="00606E22"/>
    <w:rsid w:val="00607832"/>
    <w:rsid w:val="0060784B"/>
    <w:rsid w:val="00610254"/>
    <w:rsid w:val="006105FB"/>
    <w:rsid w:val="00610E37"/>
    <w:rsid w:val="00610F94"/>
    <w:rsid w:val="00611293"/>
    <w:rsid w:val="0061135E"/>
    <w:rsid w:val="0061263A"/>
    <w:rsid w:val="00612C41"/>
    <w:rsid w:val="006145DE"/>
    <w:rsid w:val="0061478E"/>
    <w:rsid w:val="00614F25"/>
    <w:rsid w:val="00616A11"/>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727"/>
    <w:rsid w:val="00634B64"/>
    <w:rsid w:val="006351E5"/>
    <w:rsid w:val="0063578C"/>
    <w:rsid w:val="0063642C"/>
    <w:rsid w:val="0063681E"/>
    <w:rsid w:val="00636FF9"/>
    <w:rsid w:val="00640DCD"/>
    <w:rsid w:val="00641DC3"/>
    <w:rsid w:val="00641FD7"/>
    <w:rsid w:val="00642972"/>
    <w:rsid w:val="00644F4D"/>
    <w:rsid w:val="006469B1"/>
    <w:rsid w:val="00646C0D"/>
    <w:rsid w:val="006476F7"/>
    <w:rsid w:val="0064779E"/>
    <w:rsid w:val="006501FA"/>
    <w:rsid w:val="0065062D"/>
    <w:rsid w:val="006509B0"/>
    <w:rsid w:val="006521EF"/>
    <w:rsid w:val="006521F3"/>
    <w:rsid w:val="006524D5"/>
    <w:rsid w:val="00652A51"/>
    <w:rsid w:val="00652BBD"/>
    <w:rsid w:val="00653633"/>
    <w:rsid w:val="00653F69"/>
    <w:rsid w:val="00653FDD"/>
    <w:rsid w:val="00654936"/>
    <w:rsid w:val="00655061"/>
    <w:rsid w:val="00655485"/>
    <w:rsid w:val="006558B3"/>
    <w:rsid w:val="00660BF0"/>
    <w:rsid w:val="0066189C"/>
    <w:rsid w:val="006630CF"/>
    <w:rsid w:val="00663EFF"/>
    <w:rsid w:val="00666F74"/>
    <w:rsid w:val="00667FEA"/>
    <w:rsid w:val="006710D2"/>
    <w:rsid w:val="00671A8B"/>
    <w:rsid w:val="00671F53"/>
    <w:rsid w:val="006725A0"/>
    <w:rsid w:val="0067555E"/>
    <w:rsid w:val="006766B6"/>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0216"/>
    <w:rsid w:val="006A2CA2"/>
    <w:rsid w:val="006A2ED1"/>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D623D"/>
    <w:rsid w:val="006E0C8A"/>
    <w:rsid w:val="006E2A23"/>
    <w:rsid w:val="006E3456"/>
    <w:rsid w:val="006E35E5"/>
    <w:rsid w:val="006E3C72"/>
    <w:rsid w:val="006E4F20"/>
    <w:rsid w:val="006E649A"/>
    <w:rsid w:val="006E7E94"/>
    <w:rsid w:val="006F2D5A"/>
    <w:rsid w:val="006F2ED1"/>
    <w:rsid w:val="006F3948"/>
    <w:rsid w:val="006F4403"/>
    <w:rsid w:val="006F45EC"/>
    <w:rsid w:val="006F47B8"/>
    <w:rsid w:val="006F47D2"/>
    <w:rsid w:val="006F4B04"/>
    <w:rsid w:val="006F5456"/>
    <w:rsid w:val="006F57F2"/>
    <w:rsid w:val="006F6468"/>
    <w:rsid w:val="006F7FF5"/>
    <w:rsid w:val="00700247"/>
    <w:rsid w:val="00701051"/>
    <w:rsid w:val="007021C2"/>
    <w:rsid w:val="00702502"/>
    <w:rsid w:val="007033A8"/>
    <w:rsid w:val="0070421B"/>
    <w:rsid w:val="007043F0"/>
    <w:rsid w:val="0070482E"/>
    <w:rsid w:val="00704D25"/>
    <w:rsid w:val="00710519"/>
    <w:rsid w:val="00710F6E"/>
    <w:rsid w:val="00711663"/>
    <w:rsid w:val="007116B4"/>
    <w:rsid w:val="0071179F"/>
    <w:rsid w:val="00712580"/>
    <w:rsid w:val="007133E4"/>
    <w:rsid w:val="00713788"/>
    <w:rsid w:val="00713940"/>
    <w:rsid w:val="007151A2"/>
    <w:rsid w:val="00716774"/>
    <w:rsid w:val="0071712C"/>
    <w:rsid w:val="00717350"/>
    <w:rsid w:val="007209DD"/>
    <w:rsid w:val="00722E49"/>
    <w:rsid w:val="00723A08"/>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0DD8"/>
    <w:rsid w:val="00752D4F"/>
    <w:rsid w:val="0075409F"/>
    <w:rsid w:val="0075525A"/>
    <w:rsid w:val="00755609"/>
    <w:rsid w:val="00755986"/>
    <w:rsid w:val="00755C86"/>
    <w:rsid w:val="00755E19"/>
    <w:rsid w:val="00756BFF"/>
    <w:rsid w:val="00756D77"/>
    <w:rsid w:val="00760041"/>
    <w:rsid w:val="007605C7"/>
    <w:rsid w:val="00760B08"/>
    <w:rsid w:val="00760EDA"/>
    <w:rsid w:val="00761DA5"/>
    <w:rsid w:val="00761F4E"/>
    <w:rsid w:val="00762150"/>
    <w:rsid w:val="00762621"/>
    <w:rsid w:val="00763DCD"/>
    <w:rsid w:val="00763F36"/>
    <w:rsid w:val="007648A0"/>
    <w:rsid w:val="00766F4D"/>
    <w:rsid w:val="00770268"/>
    <w:rsid w:val="007706B9"/>
    <w:rsid w:val="007707ED"/>
    <w:rsid w:val="00771C3B"/>
    <w:rsid w:val="007726F9"/>
    <w:rsid w:val="00773B94"/>
    <w:rsid w:val="00773C65"/>
    <w:rsid w:val="00775937"/>
    <w:rsid w:val="00775F04"/>
    <w:rsid w:val="00777046"/>
    <w:rsid w:val="007770DA"/>
    <w:rsid w:val="007805B9"/>
    <w:rsid w:val="00780C3A"/>
    <w:rsid w:val="007834A1"/>
    <w:rsid w:val="00790C27"/>
    <w:rsid w:val="00790FF1"/>
    <w:rsid w:val="00791EB4"/>
    <w:rsid w:val="007920E9"/>
    <w:rsid w:val="007922D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140C"/>
    <w:rsid w:val="007B21DE"/>
    <w:rsid w:val="007B2BB9"/>
    <w:rsid w:val="007B375A"/>
    <w:rsid w:val="007B43E8"/>
    <w:rsid w:val="007B4740"/>
    <w:rsid w:val="007B502C"/>
    <w:rsid w:val="007B5F3B"/>
    <w:rsid w:val="007C02B0"/>
    <w:rsid w:val="007C063E"/>
    <w:rsid w:val="007C1901"/>
    <w:rsid w:val="007C3BCC"/>
    <w:rsid w:val="007C49C0"/>
    <w:rsid w:val="007C55C1"/>
    <w:rsid w:val="007C5738"/>
    <w:rsid w:val="007C5772"/>
    <w:rsid w:val="007C5AC3"/>
    <w:rsid w:val="007C7233"/>
    <w:rsid w:val="007C7739"/>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2D53"/>
    <w:rsid w:val="007F365C"/>
    <w:rsid w:val="007F4106"/>
    <w:rsid w:val="007F5066"/>
    <w:rsid w:val="007F621C"/>
    <w:rsid w:val="007F7155"/>
    <w:rsid w:val="00800C28"/>
    <w:rsid w:val="00801659"/>
    <w:rsid w:val="0080245E"/>
    <w:rsid w:val="00803480"/>
    <w:rsid w:val="0080359C"/>
    <w:rsid w:val="008037AE"/>
    <w:rsid w:val="008043F4"/>
    <w:rsid w:val="00804BB4"/>
    <w:rsid w:val="00805D9F"/>
    <w:rsid w:val="00805DF1"/>
    <w:rsid w:val="00807A4D"/>
    <w:rsid w:val="00807F30"/>
    <w:rsid w:val="008103DC"/>
    <w:rsid w:val="00810A47"/>
    <w:rsid w:val="0081119F"/>
    <w:rsid w:val="0081134D"/>
    <w:rsid w:val="00811EDA"/>
    <w:rsid w:val="00812403"/>
    <w:rsid w:val="00812FD7"/>
    <w:rsid w:val="00820623"/>
    <w:rsid w:val="00821465"/>
    <w:rsid w:val="00821747"/>
    <w:rsid w:val="008229A3"/>
    <w:rsid w:val="00822B7D"/>
    <w:rsid w:val="00822DFB"/>
    <w:rsid w:val="00822F64"/>
    <w:rsid w:val="008253A6"/>
    <w:rsid w:val="00825A6B"/>
    <w:rsid w:val="00825C50"/>
    <w:rsid w:val="00826577"/>
    <w:rsid w:val="00827439"/>
    <w:rsid w:val="00827C79"/>
    <w:rsid w:val="0083003F"/>
    <w:rsid w:val="00831077"/>
    <w:rsid w:val="00831A4A"/>
    <w:rsid w:val="00831B8E"/>
    <w:rsid w:val="00832134"/>
    <w:rsid w:val="0083219E"/>
    <w:rsid w:val="0083497C"/>
    <w:rsid w:val="008352A6"/>
    <w:rsid w:val="00835B5B"/>
    <w:rsid w:val="008367AE"/>
    <w:rsid w:val="00836E50"/>
    <w:rsid w:val="008371DE"/>
    <w:rsid w:val="00840477"/>
    <w:rsid w:val="0084121D"/>
    <w:rsid w:val="008419C1"/>
    <w:rsid w:val="00844515"/>
    <w:rsid w:val="00844DFF"/>
    <w:rsid w:val="00845D87"/>
    <w:rsid w:val="00846959"/>
    <w:rsid w:val="00846C3A"/>
    <w:rsid w:val="008477BF"/>
    <w:rsid w:val="008503DA"/>
    <w:rsid w:val="00850B68"/>
    <w:rsid w:val="00850E82"/>
    <w:rsid w:val="0085122D"/>
    <w:rsid w:val="00851A83"/>
    <w:rsid w:val="008523F6"/>
    <w:rsid w:val="008525FF"/>
    <w:rsid w:val="00852C03"/>
    <w:rsid w:val="0085590C"/>
    <w:rsid w:val="008575EB"/>
    <w:rsid w:val="00862DDD"/>
    <w:rsid w:val="0086326D"/>
    <w:rsid w:val="00863CC1"/>
    <w:rsid w:val="00865825"/>
    <w:rsid w:val="00865B01"/>
    <w:rsid w:val="00866D7A"/>
    <w:rsid w:val="00866EE3"/>
    <w:rsid w:val="00867D1B"/>
    <w:rsid w:val="00870C8B"/>
    <w:rsid w:val="00871F04"/>
    <w:rsid w:val="008746C1"/>
    <w:rsid w:val="00880224"/>
    <w:rsid w:val="0088244C"/>
    <w:rsid w:val="00883367"/>
    <w:rsid w:val="00884C47"/>
    <w:rsid w:val="00885E6F"/>
    <w:rsid w:val="008861AC"/>
    <w:rsid w:val="008868E4"/>
    <w:rsid w:val="00886A60"/>
    <w:rsid w:val="0088759B"/>
    <w:rsid w:val="008909B4"/>
    <w:rsid w:val="00891EDE"/>
    <w:rsid w:val="008922E8"/>
    <w:rsid w:val="00893916"/>
    <w:rsid w:val="0089442C"/>
    <w:rsid w:val="00895818"/>
    <w:rsid w:val="008A2585"/>
    <w:rsid w:val="008A2718"/>
    <w:rsid w:val="008A44B6"/>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16B2"/>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4C2F"/>
    <w:rsid w:val="008F6851"/>
    <w:rsid w:val="008F7BC4"/>
    <w:rsid w:val="009001E3"/>
    <w:rsid w:val="00900D41"/>
    <w:rsid w:val="00900E7A"/>
    <w:rsid w:val="00903D78"/>
    <w:rsid w:val="00903E11"/>
    <w:rsid w:val="00903EBE"/>
    <w:rsid w:val="009041DE"/>
    <w:rsid w:val="00905D59"/>
    <w:rsid w:val="009062CA"/>
    <w:rsid w:val="00907631"/>
    <w:rsid w:val="00907776"/>
    <w:rsid w:val="00907871"/>
    <w:rsid w:val="00913401"/>
    <w:rsid w:val="00913567"/>
    <w:rsid w:val="009137B6"/>
    <w:rsid w:val="00915EBA"/>
    <w:rsid w:val="00917093"/>
    <w:rsid w:val="0092026F"/>
    <w:rsid w:val="0092030E"/>
    <w:rsid w:val="009217B1"/>
    <w:rsid w:val="00921A42"/>
    <w:rsid w:val="009223BB"/>
    <w:rsid w:val="00922491"/>
    <w:rsid w:val="00922E19"/>
    <w:rsid w:val="00923BCF"/>
    <w:rsid w:val="00925AEC"/>
    <w:rsid w:val="00926997"/>
    <w:rsid w:val="0092751A"/>
    <w:rsid w:val="009305C4"/>
    <w:rsid w:val="00931FAF"/>
    <w:rsid w:val="0093599A"/>
    <w:rsid w:val="009360F6"/>
    <w:rsid w:val="009371DC"/>
    <w:rsid w:val="0093759D"/>
    <w:rsid w:val="00940239"/>
    <w:rsid w:val="00942BD6"/>
    <w:rsid w:val="00942DED"/>
    <w:rsid w:val="00944404"/>
    <w:rsid w:val="009452D7"/>
    <w:rsid w:val="0094537A"/>
    <w:rsid w:val="0094564B"/>
    <w:rsid w:val="00945FD1"/>
    <w:rsid w:val="00946CCC"/>
    <w:rsid w:val="009503E5"/>
    <w:rsid w:val="00950F71"/>
    <w:rsid w:val="00952F2C"/>
    <w:rsid w:val="009532E3"/>
    <w:rsid w:val="00953615"/>
    <w:rsid w:val="00954BAF"/>
    <w:rsid w:val="009556C4"/>
    <w:rsid w:val="00955C7C"/>
    <w:rsid w:val="009560B3"/>
    <w:rsid w:val="0095745E"/>
    <w:rsid w:val="00957CE0"/>
    <w:rsid w:val="0096002E"/>
    <w:rsid w:val="0096039E"/>
    <w:rsid w:val="00962CEF"/>
    <w:rsid w:val="00963766"/>
    <w:rsid w:val="00963FDF"/>
    <w:rsid w:val="0096528F"/>
    <w:rsid w:val="009653F2"/>
    <w:rsid w:val="00965B03"/>
    <w:rsid w:val="009661DF"/>
    <w:rsid w:val="009667BD"/>
    <w:rsid w:val="00967CE2"/>
    <w:rsid w:val="00971DA3"/>
    <w:rsid w:val="00972161"/>
    <w:rsid w:val="0097261B"/>
    <w:rsid w:val="00974881"/>
    <w:rsid w:val="0097606C"/>
    <w:rsid w:val="009771D1"/>
    <w:rsid w:val="0098012D"/>
    <w:rsid w:val="00980845"/>
    <w:rsid w:val="00981BD9"/>
    <w:rsid w:val="0098225F"/>
    <w:rsid w:val="009823B6"/>
    <w:rsid w:val="00983A3C"/>
    <w:rsid w:val="00983EFA"/>
    <w:rsid w:val="00984C15"/>
    <w:rsid w:val="00987829"/>
    <w:rsid w:val="00991276"/>
    <w:rsid w:val="009923E7"/>
    <w:rsid w:val="00992697"/>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02"/>
    <w:rsid w:val="009D3E7C"/>
    <w:rsid w:val="009D55CA"/>
    <w:rsid w:val="009D5EF0"/>
    <w:rsid w:val="009D6401"/>
    <w:rsid w:val="009E0711"/>
    <w:rsid w:val="009E1917"/>
    <w:rsid w:val="009E3594"/>
    <w:rsid w:val="009E6B77"/>
    <w:rsid w:val="009E7724"/>
    <w:rsid w:val="009E7727"/>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0A0"/>
    <w:rsid w:val="00A33CCC"/>
    <w:rsid w:val="00A33ECB"/>
    <w:rsid w:val="00A34DE0"/>
    <w:rsid w:val="00A35728"/>
    <w:rsid w:val="00A36EE3"/>
    <w:rsid w:val="00A37435"/>
    <w:rsid w:val="00A4173D"/>
    <w:rsid w:val="00A41A95"/>
    <w:rsid w:val="00A423CB"/>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91682"/>
    <w:rsid w:val="00A92E4A"/>
    <w:rsid w:val="00A958CA"/>
    <w:rsid w:val="00A966B6"/>
    <w:rsid w:val="00A96B46"/>
    <w:rsid w:val="00AA003B"/>
    <w:rsid w:val="00AA016B"/>
    <w:rsid w:val="00AA15DD"/>
    <w:rsid w:val="00AA1A8E"/>
    <w:rsid w:val="00AA1C09"/>
    <w:rsid w:val="00AA2F67"/>
    <w:rsid w:val="00AA3569"/>
    <w:rsid w:val="00AA5B47"/>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1C5"/>
    <w:rsid w:val="00AF0354"/>
    <w:rsid w:val="00AF1236"/>
    <w:rsid w:val="00AF3C29"/>
    <w:rsid w:val="00AF4401"/>
    <w:rsid w:val="00AF4463"/>
    <w:rsid w:val="00AF53CB"/>
    <w:rsid w:val="00AF65C5"/>
    <w:rsid w:val="00B02A4D"/>
    <w:rsid w:val="00B03CE2"/>
    <w:rsid w:val="00B06544"/>
    <w:rsid w:val="00B105F2"/>
    <w:rsid w:val="00B10991"/>
    <w:rsid w:val="00B12128"/>
    <w:rsid w:val="00B12945"/>
    <w:rsid w:val="00B12C1E"/>
    <w:rsid w:val="00B155DF"/>
    <w:rsid w:val="00B1570E"/>
    <w:rsid w:val="00B176B9"/>
    <w:rsid w:val="00B17AD5"/>
    <w:rsid w:val="00B17DC8"/>
    <w:rsid w:val="00B17E1E"/>
    <w:rsid w:val="00B207F1"/>
    <w:rsid w:val="00B20A42"/>
    <w:rsid w:val="00B20BDE"/>
    <w:rsid w:val="00B20C41"/>
    <w:rsid w:val="00B2138D"/>
    <w:rsid w:val="00B21768"/>
    <w:rsid w:val="00B22736"/>
    <w:rsid w:val="00B23F86"/>
    <w:rsid w:val="00B245F7"/>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C1D"/>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19E4"/>
    <w:rsid w:val="00B61D0B"/>
    <w:rsid w:val="00B6439A"/>
    <w:rsid w:val="00B6443B"/>
    <w:rsid w:val="00B6517B"/>
    <w:rsid w:val="00B65E71"/>
    <w:rsid w:val="00B66C26"/>
    <w:rsid w:val="00B71FB3"/>
    <w:rsid w:val="00B73492"/>
    <w:rsid w:val="00B7512A"/>
    <w:rsid w:val="00B76548"/>
    <w:rsid w:val="00B76BED"/>
    <w:rsid w:val="00B76DE7"/>
    <w:rsid w:val="00B806E6"/>
    <w:rsid w:val="00B82DC1"/>
    <w:rsid w:val="00B835D5"/>
    <w:rsid w:val="00B84028"/>
    <w:rsid w:val="00B84307"/>
    <w:rsid w:val="00B8430D"/>
    <w:rsid w:val="00B85661"/>
    <w:rsid w:val="00B85C8A"/>
    <w:rsid w:val="00B86FBD"/>
    <w:rsid w:val="00B874B2"/>
    <w:rsid w:val="00B91B86"/>
    <w:rsid w:val="00B927CA"/>
    <w:rsid w:val="00B928AE"/>
    <w:rsid w:val="00B93CDA"/>
    <w:rsid w:val="00B942E9"/>
    <w:rsid w:val="00B9433A"/>
    <w:rsid w:val="00B948EE"/>
    <w:rsid w:val="00B94BF3"/>
    <w:rsid w:val="00B94F90"/>
    <w:rsid w:val="00B95DC5"/>
    <w:rsid w:val="00B97E34"/>
    <w:rsid w:val="00B97FEF"/>
    <w:rsid w:val="00BA1354"/>
    <w:rsid w:val="00BA1DEE"/>
    <w:rsid w:val="00BA24F8"/>
    <w:rsid w:val="00BA31AA"/>
    <w:rsid w:val="00BA45D8"/>
    <w:rsid w:val="00BA5828"/>
    <w:rsid w:val="00BA64B3"/>
    <w:rsid w:val="00BA754A"/>
    <w:rsid w:val="00BA7820"/>
    <w:rsid w:val="00BA794C"/>
    <w:rsid w:val="00BB238D"/>
    <w:rsid w:val="00BB37CC"/>
    <w:rsid w:val="00BB48C4"/>
    <w:rsid w:val="00BB6907"/>
    <w:rsid w:val="00BB7A20"/>
    <w:rsid w:val="00BB7D48"/>
    <w:rsid w:val="00BC15B1"/>
    <w:rsid w:val="00BC3C06"/>
    <w:rsid w:val="00BC4E8B"/>
    <w:rsid w:val="00BC5622"/>
    <w:rsid w:val="00BC6060"/>
    <w:rsid w:val="00BC73CB"/>
    <w:rsid w:val="00BC7897"/>
    <w:rsid w:val="00BD0F35"/>
    <w:rsid w:val="00BD1AF6"/>
    <w:rsid w:val="00BD3046"/>
    <w:rsid w:val="00BD45A4"/>
    <w:rsid w:val="00BD4A5F"/>
    <w:rsid w:val="00BD59AA"/>
    <w:rsid w:val="00BD65E6"/>
    <w:rsid w:val="00BD6AF7"/>
    <w:rsid w:val="00BE19EF"/>
    <w:rsid w:val="00BE3BFC"/>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29CB"/>
    <w:rsid w:val="00C33916"/>
    <w:rsid w:val="00C33BCF"/>
    <w:rsid w:val="00C353A0"/>
    <w:rsid w:val="00C368D7"/>
    <w:rsid w:val="00C36FD1"/>
    <w:rsid w:val="00C371A5"/>
    <w:rsid w:val="00C400B0"/>
    <w:rsid w:val="00C40D38"/>
    <w:rsid w:val="00C40F2B"/>
    <w:rsid w:val="00C413FC"/>
    <w:rsid w:val="00C4170E"/>
    <w:rsid w:val="00C42D21"/>
    <w:rsid w:val="00C43D33"/>
    <w:rsid w:val="00C44407"/>
    <w:rsid w:val="00C456E8"/>
    <w:rsid w:val="00C46630"/>
    <w:rsid w:val="00C47A2F"/>
    <w:rsid w:val="00C50D18"/>
    <w:rsid w:val="00C51179"/>
    <w:rsid w:val="00C5282C"/>
    <w:rsid w:val="00C52FBE"/>
    <w:rsid w:val="00C5355E"/>
    <w:rsid w:val="00C53FC1"/>
    <w:rsid w:val="00C56438"/>
    <w:rsid w:val="00C56C65"/>
    <w:rsid w:val="00C570B3"/>
    <w:rsid w:val="00C6009F"/>
    <w:rsid w:val="00C60417"/>
    <w:rsid w:val="00C6046F"/>
    <w:rsid w:val="00C634DB"/>
    <w:rsid w:val="00C638C2"/>
    <w:rsid w:val="00C651D4"/>
    <w:rsid w:val="00C65CF2"/>
    <w:rsid w:val="00C6669E"/>
    <w:rsid w:val="00C672B0"/>
    <w:rsid w:val="00C729C7"/>
    <w:rsid w:val="00C777AD"/>
    <w:rsid w:val="00C80C53"/>
    <w:rsid w:val="00C81195"/>
    <w:rsid w:val="00C84818"/>
    <w:rsid w:val="00C85387"/>
    <w:rsid w:val="00C85E52"/>
    <w:rsid w:val="00C86471"/>
    <w:rsid w:val="00C8677B"/>
    <w:rsid w:val="00C86F96"/>
    <w:rsid w:val="00C909C6"/>
    <w:rsid w:val="00C923B7"/>
    <w:rsid w:val="00C94D4C"/>
    <w:rsid w:val="00CA012C"/>
    <w:rsid w:val="00CA0AA6"/>
    <w:rsid w:val="00CA2897"/>
    <w:rsid w:val="00CA44F3"/>
    <w:rsid w:val="00CA56F7"/>
    <w:rsid w:val="00CA582C"/>
    <w:rsid w:val="00CA58D0"/>
    <w:rsid w:val="00CA6077"/>
    <w:rsid w:val="00CA715B"/>
    <w:rsid w:val="00CA7988"/>
    <w:rsid w:val="00CA7BA2"/>
    <w:rsid w:val="00CB0B78"/>
    <w:rsid w:val="00CB12A5"/>
    <w:rsid w:val="00CB17FA"/>
    <w:rsid w:val="00CB23D8"/>
    <w:rsid w:val="00CB2ED9"/>
    <w:rsid w:val="00CB36A5"/>
    <w:rsid w:val="00CB56B4"/>
    <w:rsid w:val="00CB68D3"/>
    <w:rsid w:val="00CB7286"/>
    <w:rsid w:val="00CB7947"/>
    <w:rsid w:val="00CC112E"/>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045F"/>
    <w:rsid w:val="00CE149D"/>
    <w:rsid w:val="00CE157F"/>
    <w:rsid w:val="00CE1966"/>
    <w:rsid w:val="00CE1ED4"/>
    <w:rsid w:val="00CE2216"/>
    <w:rsid w:val="00CE2C42"/>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2AF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66B1"/>
    <w:rsid w:val="00D37AE0"/>
    <w:rsid w:val="00D416A8"/>
    <w:rsid w:val="00D41ECA"/>
    <w:rsid w:val="00D4257C"/>
    <w:rsid w:val="00D425AC"/>
    <w:rsid w:val="00D42823"/>
    <w:rsid w:val="00D42D5E"/>
    <w:rsid w:val="00D43F14"/>
    <w:rsid w:val="00D44C18"/>
    <w:rsid w:val="00D4556D"/>
    <w:rsid w:val="00D511C6"/>
    <w:rsid w:val="00D5121D"/>
    <w:rsid w:val="00D516AC"/>
    <w:rsid w:val="00D52875"/>
    <w:rsid w:val="00D54050"/>
    <w:rsid w:val="00D56AC0"/>
    <w:rsid w:val="00D56FA9"/>
    <w:rsid w:val="00D6081B"/>
    <w:rsid w:val="00D6240A"/>
    <w:rsid w:val="00D63093"/>
    <w:rsid w:val="00D63599"/>
    <w:rsid w:val="00D635F5"/>
    <w:rsid w:val="00D63EBD"/>
    <w:rsid w:val="00D67101"/>
    <w:rsid w:val="00D70DAF"/>
    <w:rsid w:val="00D71B45"/>
    <w:rsid w:val="00D71F8A"/>
    <w:rsid w:val="00D75603"/>
    <w:rsid w:val="00D75FEE"/>
    <w:rsid w:val="00D76933"/>
    <w:rsid w:val="00D76D88"/>
    <w:rsid w:val="00D77CC9"/>
    <w:rsid w:val="00D77FF9"/>
    <w:rsid w:val="00D83D4B"/>
    <w:rsid w:val="00D871C6"/>
    <w:rsid w:val="00D91010"/>
    <w:rsid w:val="00D939AF"/>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0D41"/>
    <w:rsid w:val="00DD2D92"/>
    <w:rsid w:val="00DD3026"/>
    <w:rsid w:val="00DD33DC"/>
    <w:rsid w:val="00DD3BB0"/>
    <w:rsid w:val="00DD61F5"/>
    <w:rsid w:val="00DE64A6"/>
    <w:rsid w:val="00DE7035"/>
    <w:rsid w:val="00DF12E3"/>
    <w:rsid w:val="00DF3F1D"/>
    <w:rsid w:val="00DF4C55"/>
    <w:rsid w:val="00DF595C"/>
    <w:rsid w:val="00DF7EA7"/>
    <w:rsid w:val="00E022E5"/>
    <w:rsid w:val="00E02504"/>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924"/>
    <w:rsid w:val="00E27C77"/>
    <w:rsid w:val="00E3179E"/>
    <w:rsid w:val="00E32AC9"/>
    <w:rsid w:val="00E354DA"/>
    <w:rsid w:val="00E354F5"/>
    <w:rsid w:val="00E35BCC"/>
    <w:rsid w:val="00E36813"/>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55EF"/>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6F8B"/>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BFE"/>
    <w:rsid w:val="00EA0C0C"/>
    <w:rsid w:val="00EA16B7"/>
    <w:rsid w:val="00EA2AEA"/>
    <w:rsid w:val="00EA332B"/>
    <w:rsid w:val="00EA3D36"/>
    <w:rsid w:val="00EA40AA"/>
    <w:rsid w:val="00EA57E2"/>
    <w:rsid w:val="00EA7186"/>
    <w:rsid w:val="00EB018B"/>
    <w:rsid w:val="00EB1003"/>
    <w:rsid w:val="00EB167E"/>
    <w:rsid w:val="00EB24ED"/>
    <w:rsid w:val="00EB2542"/>
    <w:rsid w:val="00EB2A00"/>
    <w:rsid w:val="00EB309B"/>
    <w:rsid w:val="00EB3AA2"/>
    <w:rsid w:val="00EB4763"/>
    <w:rsid w:val="00EB6CB7"/>
    <w:rsid w:val="00EC0740"/>
    <w:rsid w:val="00EC078B"/>
    <w:rsid w:val="00EC07A0"/>
    <w:rsid w:val="00EC08E4"/>
    <w:rsid w:val="00EC1027"/>
    <w:rsid w:val="00EC3CB4"/>
    <w:rsid w:val="00EC443E"/>
    <w:rsid w:val="00EC4D83"/>
    <w:rsid w:val="00EC4EEE"/>
    <w:rsid w:val="00EC634F"/>
    <w:rsid w:val="00EC7B97"/>
    <w:rsid w:val="00ED049C"/>
    <w:rsid w:val="00ED07B7"/>
    <w:rsid w:val="00ED107E"/>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D7C"/>
    <w:rsid w:val="00EF35A7"/>
    <w:rsid w:val="00EF40E2"/>
    <w:rsid w:val="00EF5F79"/>
    <w:rsid w:val="00EF61C1"/>
    <w:rsid w:val="00EF6E68"/>
    <w:rsid w:val="00EF76DB"/>
    <w:rsid w:val="00F005FD"/>
    <w:rsid w:val="00F02C04"/>
    <w:rsid w:val="00F03AF1"/>
    <w:rsid w:val="00F04BCD"/>
    <w:rsid w:val="00F05A8C"/>
    <w:rsid w:val="00F06211"/>
    <w:rsid w:val="00F10A54"/>
    <w:rsid w:val="00F123D0"/>
    <w:rsid w:val="00F1314C"/>
    <w:rsid w:val="00F13200"/>
    <w:rsid w:val="00F13411"/>
    <w:rsid w:val="00F143BA"/>
    <w:rsid w:val="00F14730"/>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FF7"/>
    <w:rsid w:val="00F339A2"/>
    <w:rsid w:val="00F33EDE"/>
    <w:rsid w:val="00F3568B"/>
    <w:rsid w:val="00F377CD"/>
    <w:rsid w:val="00F40C3B"/>
    <w:rsid w:val="00F40CE0"/>
    <w:rsid w:val="00F42DBC"/>
    <w:rsid w:val="00F42F8C"/>
    <w:rsid w:val="00F4308D"/>
    <w:rsid w:val="00F44012"/>
    <w:rsid w:val="00F44947"/>
    <w:rsid w:val="00F458EF"/>
    <w:rsid w:val="00F4688D"/>
    <w:rsid w:val="00F47121"/>
    <w:rsid w:val="00F4775D"/>
    <w:rsid w:val="00F504DD"/>
    <w:rsid w:val="00F50874"/>
    <w:rsid w:val="00F516C6"/>
    <w:rsid w:val="00F52221"/>
    <w:rsid w:val="00F52B28"/>
    <w:rsid w:val="00F536BB"/>
    <w:rsid w:val="00F53755"/>
    <w:rsid w:val="00F53E59"/>
    <w:rsid w:val="00F5475B"/>
    <w:rsid w:val="00F56B11"/>
    <w:rsid w:val="00F574D0"/>
    <w:rsid w:val="00F57AA0"/>
    <w:rsid w:val="00F6031F"/>
    <w:rsid w:val="00F61664"/>
    <w:rsid w:val="00F61B99"/>
    <w:rsid w:val="00F6480D"/>
    <w:rsid w:val="00F64C45"/>
    <w:rsid w:val="00F6502B"/>
    <w:rsid w:val="00F65B40"/>
    <w:rsid w:val="00F6612A"/>
    <w:rsid w:val="00F66724"/>
    <w:rsid w:val="00F66EA5"/>
    <w:rsid w:val="00F67F04"/>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1FA"/>
    <w:rsid w:val="00FA2528"/>
    <w:rsid w:val="00FA45A8"/>
    <w:rsid w:val="00FA5535"/>
    <w:rsid w:val="00FA7206"/>
    <w:rsid w:val="00FA7EFB"/>
    <w:rsid w:val="00FB0816"/>
    <w:rsid w:val="00FB08C2"/>
    <w:rsid w:val="00FB266C"/>
    <w:rsid w:val="00FB3DD1"/>
    <w:rsid w:val="00FB51FD"/>
    <w:rsid w:val="00FB5667"/>
    <w:rsid w:val="00FB7A97"/>
    <w:rsid w:val="00FC1B9B"/>
    <w:rsid w:val="00FC1DA0"/>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4B66"/>
    <w:rsid w:val="00FF688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colormru v:ext="edit" colors="#2d4491,#28358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iPriority="35" w:unhideWhenUsed="1" w:qFormat="1"/>
    <w:lsdException w:name="footnote reference" w:uiPriority="99"/>
    <w:lsdException w:name="annotation reference" w:uiPriority="99"/>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5B03"/>
    <w:rPr>
      <w:rFonts w:ascii="Arial" w:hAnsi="Arial"/>
      <w:sz w:val="22"/>
      <w:szCs w:val="24"/>
      <w:lang w:eastAsia="de-DE"/>
    </w:rPr>
  </w:style>
  <w:style w:type="paragraph" w:styleId="Heading1">
    <w:name w:val="heading 1"/>
    <w:basedOn w:val="Normal"/>
    <w:next w:val="Normal"/>
    <w:link w:val="Heading1Char"/>
    <w:qFormat/>
    <w:rsid w:val="009E7724"/>
    <w:pPr>
      <w:keepNext/>
      <w:numPr>
        <w:numId w:val="6"/>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4"/>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uiPriority w:val="59"/>
    <w:rsid w:val="00652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rPr>
      <w:sz w:val="20"/>
    </w:r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rPr>
      <w:sz w:val="20"/>
    </w:r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rsid w:val="00C274F3"/>
    <w:rPr>
      <w:vertAlign w:val="superscript"/>
    </w:rPr>
  </w:style>
  <w:style w:type="paragraph" w:styleId="TOC2">
    <w:name w:val="toc 2"/>
    <w:basedOn w:val="Normal"/>
    <w:next w:val="Normal"/>
    <w:autoRedefine/>
    <w:uiPriority w:val="39"/>
    <w:qFormat/>
    <w:rsid w:val="00463787"/>
    <w:pPr>
      <w:spacing w:after="100"/>
      <w:ind w:left="220"/>
    </w:pPr>
    <w:rPr>
      <w:sz w:val="20"/>
    </w:r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uiPriority w:val="99"/>
    <w:rsid w:val="004B1E61"/>
    <w:rPr>
      <w:sz w:val="16"/>
      <w:szCs w:val="16"/>
    </w:rPr>
  </w:style>
  <w:style w:type="paragraph" w:styleId="CommentText">
    <w:name w:val="annotation text"/>
    <w:basedOn w:val="Normal"/>
    <w:link w:val="CommentTextChar"/>
    <w:uiPriority w:val="99"/>
    <w:rsid w:val="004B1E61"/>
    <w:rPr>
      <w:sz w:val="20"/>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7"/>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rPr>
      <w:sz w:val="20"/>
    </w:r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iPriority w:val="35"/>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9"/>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 w:val="22"/>
      <w:szCs w:val="22"/>
      <w:lang w:eastAsia="de-DE"/>
    </w:rPr>
  </w:style>
  <w:style w:type="character" w:customStyle="1" w:styleId="Heading8Char">
    <w:name w:val="Heading 8 Char"/>
    <w:link w:val="Heading8"/>
    <w:rsid w:val="002D6E1A"/>
    <w:rPr>
      <w:i/>
      <w:iCs/>
      <w:sz w:val="22"/>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 w:val="20"/>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10"/>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 w:val="20"/>
      <w:szCs w:val="20"/>
      <w:lang w:eastAsia="en-GB"/>
    </w:rPr>
  </w:style>
  <w:style w:type="paragraph" w:customStyle="1" w:styleId="Tiret1">
    <w:name w:val="Tiret 1"/>
    <w:basedOn w:val="Normal"/>
    <w:rsid w:val="002D6E1A"/>
    <w:pPr>
      <w:numPr>
        <w:numId w:val="11"/>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 w:val="20"/>
      <w:szCs w:val="20"/>
      <w:u w:val="single"/>
    </w:rPr>
  </w:style>
  <w:style w:type="paragraph" w:customStyle="1" w:styleId="Bullet">
    <w:name w:val="Bullet"/>
    <w:basedOn w:val="Normal"/>
    <w:rsid w:val="002D6E1A"/>
    <w:pPr>
      <w:numPr>
        <w:numId w:val="12"/>
      </w:numPr>
      <w:tabs>
        <w:tab w:val="left" w:pos="708"/>
      </w:tabs>
      <w:spacing w:before="120" w:after="120" w:line="276" w:lineRule="auto"/>
      <w:jc w:val="both"/>
    </w:pPr>
    <w:rPr>
      <w:sz w:val="20"/>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3"/>
      </w:numPr>
      <w:suppressAutoHyphens/>
      <w:spacing w:before="120" w:after="120" w:line="276" w:lineRule="auto"/>
      <w:jc w:val="both"/>
    </w:pPr>
    <w:rPr>
      <w:sz w:val="20"/>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Arial" w:hAnsi="Arial"/>
      <w:b/>
      <w:sz w:val="22"/>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sz w:val="20"/>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 w:val="20"/>
      <w:szCs w:val="20"/>
      <w:lang w:val="fr-FR"/>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 w:val="20"/>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 w:val="2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 w:val="20"/>
      <w:szCs w:val="20"/>
      <w:lang w:val="de-DE"/>
    </w:rPr>
  </w:style>
  <w:style w:type="paragraph" w:customStyle="1" w:styleId="Considrant">
    <w:name w:val="Considérant"/>
    <w:basedOn w:val="Normal"/>
    <w:rsid w:val="000D2D0B"/>
    <w:pPr>
      <w:numPr>
        <w:numId w:val="16"/>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 w:val="20"/>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9"/>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20"/>
      </w:numPr>
    </w:pPr>
  </w:style>
  <w:style w:type="paragraph" w:customStyle="1" w:styleId="Tiret4">
    <w:name w:val="Tiret 4"/>
    <w:basedOn w:val="Point4"/>
    <w:rsid w:val="000D2D0B"/>
    <w:pPr>
      <w:numPr>
        <w:numId w:val="21"/>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2"/>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2"/>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2"/>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2"/>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9"/>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9"/>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9"/>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9"/>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9"/>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9"/>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9"/>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9"/>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9"/>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3"/>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4"/>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5"/>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6"/>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7"/>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5"/>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7"/>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8"/>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8"/>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rPr>
  </w:style>
  <w:style w:type="paragraph" w:customStyle="1" w:styleId="04fBodytextline">
    <w:name w:val="04f_Body text line"/>
    <w:basedOn w:val="04BodyText"/>
    <w:rsid w:val="000D2D0B"/>
    <w:pPr>
      <w:pBdr>
        <w:bottom w:val="single" w:sz="4" w:space="12" w:color="000000"/>
      </w:pBdr>
      <w:tabs>
        <w:tab w:val="left" w:pos="454"/>
      </w:tabs>
    </w:pPr>
    <w:rPr>
      <w:color w:val="000000"/>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rPr>
  </w:style>
  <w:style w:type="character" w:customStyle="1" w:styleId="04RunningTextChar">
    <w:name w:val="04_Running Text Char"/>
    <w:link w:val="04RunningText"/>
    <w:rsid w:val="000D2D0B"/>
    <w:rPr>
      <w:rFonts w:ascii="Georgia" w:hAnsi="Georgia"/>
      <w:szCs w:val="24"/>
      <w:lang w:eastAsia="de-DE"/>
    </w:rPr>
  </w:style>
  <w:style w:type="character" w:customStyle="1" w:styleId="AnnexChar">
    <w:name w:val="Annex Char"/>
    <w:link w:val="Annex"/>
    <w:rsid w:val="000D2D0B"/>
    <w:rPr>
      <w:rFonts w:ascii="Georgia" w:hAnsi="Georgia"/>
      <w:b/>
      <w:color w:val="000000"/>
      <w:szCs w:val="24"/>
      <w:lang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30"/>
      </w:numPr>
      <w:suppressAutoHyphens/>
      <w:spacing w:after="250" w:line="276" w:lineRule="auto"/>
      <w:jc w:val="both"/>
    </w:pPr>
    <w:rPr>
      <w:sz w:val="20"/>
      <w:szCs w:val="20"/>
    </w:rPr>
  </w:style>
  <w:style w:type="character" w:customStyle="1" w:styleId="aStyle1Char">
    <w:name w:val="a. Style1 Char"/>
    <w:link w:val="aStyle1"/>
    <w:rsid w:val="000D2D0B"/>
    <w:rPr>
      <w:rFonts w:ascii="Arial" w:hAnsi="Arial"/>
      <w:lang w:eastAsia="de-D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 w:val="20"/>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 w:val="20"/>
      <w:szCs w:val="20"/>
    </w:rPr>
  </w:style>
  <w:style w:type="paragraph" w:customStyle="1" w:styleId="NEW-Paragraph-level3">
    <w:name w:val="NEW-Paragraph-level3"/>
    <w:basedOn w:val="Normal"/>
    <w:link w:val="NEW-Paragraph-level3Char"/>
    <w:rsid w:val="00F90EF4"/>
    <w:pPr>
      <w:numPr>
        <w:ilvl w:val="2"/>
        <w:numId w:val="32"/>
      </w:numPr>
      <w:tabs>
        <w:tab w:val="clear" w:pos="1031"/>
      </w:tabs>
      <w:spacing w:after="250" w:line="276" w:lineRule="auto"/>
      <w:ind w:left="851" w:hanging="284"/>
      <w:jc w:val="both"/>
    </w:pPr>
    <w:rPr>
      <w:sz w:val="20"/>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1"/>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1"/>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 w:val="2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 w:val="20"/>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8"/>
      </w:numPr>
      <w:spacing w:after="250" w:line="276" w:lineRule="auto"/>
      <w:ind w:left="850" w:hanging="425"/>
      <w:jc w:val="both"/>
      <w:outlineLvl w:val="0"/>
    </w:pPr>
    <w:rPr>
      <w:rFonts w:eastAsia="Calibri"/>
      <w:b/>
      <w:bCs/>
      <w:kern w:val="28"/>
      <w:sz w:val="20"/>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sz w:val="20"/>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 w:val="20"/>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QST">
    <w:name w:val="QST"/>
    <w:basedOn w:val="Normal"/>
    <w:link w:val="QSTChar"/>
    <w:qFormat/>
    <w:rsid w:val="00335027"/>
    <w:pPr>
      <w:spacing w:after="250" w:line="276" w:lineRule="auto"/>
      <w:jc w:val="both"/>
    </w:pPr>
    <w:rPr>
      <w:rFonts w:ascii="Calibri" w:hAnsi="Calibri"/>
      <w:szCs w:val="20"/>
      <w:lang w:eastAsia="en-US"/>
    </w:rPr>
  </w:style>
  <w:style w:type="character" w:customStyle="1" w:styleId="QSTChar">
    <w:name w:val="QST Char"/>
    <w:link w:val="QST"/>
    <w:rsid w:val="00335027"/>
    <w:rPr>
      <w:rFonts w:ascii="Calibri" w:hAnsi="Calibri"/>
      <w:sz w:val="22"/>
      <w:lang w:eastAsia="en-US"/>
    </w:rPr>
  </w:style>
  <w:style w:type="paragraph" w:styleId="NoSpacing">
    <w:name w:val="No Spacing"/>
    <w:uiPriority w:val="1"/>
    <w:qFormat/>
    <w:rsid w:val="002B7E42"/>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5B03"/>
    <w:rPr>
      <w:rFonts w:ascii="Arial" w:hAnsi="Arial"/>
      <w:sz w:val="22"/>
      <w:szCs w:val="24"/>
      <w:lang w:eastAsia="de-DE"/>
    </w:rPr>
  </w:style>
  <w:style w:type="paragraph" w:styleId="Heading1">
    <w:name w:val="heading 1"/>
    <w:basedOn w:val="Normal"/>
    <w:next w:val="Normal"/>
    <w:link w:val="Heading1Char"/>
    <w:qFormat/>
    <w:rsid w:val="009E7724"/>
    <w:pPr>
      <w:keepNext/>
      <w:numPr>
        <w:numId w:val="6"/>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4"/>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rPr>
      <w:sz w:val="20"/>
    </w:r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rPr>
      <w:sz w:val="20"/>
    </w:r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rsid w:val="00C274F3"/>
    <w:rPr>
      <w:vertAlign w:val="superscript"/>
    </w:rPr>
  </w:style>
  <w:style w:type="paragraph" w:styleId="TOC2">
    <w:name w:val="toc 2"/>
    <w:basedOn w:val="Normal"/>
    <w:next w:val="Normal"/>
    <w:autoRedefine/>
    <w:uiPriority w:val="39"/>
    <w:qFormat/>
    <w:rsid w:val="00463787"/>
    <w:pPr>
      <w:spacing w:after="100"/>
      <w:ind w:left="220"/>
    </w:pPr>
    <w:rPr>
      <w:sz w:val="20"/>
    </w:r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 w:val="20"/>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7"/>
      </w:numPr>
    </w:pPr>
    <w:rPr>
      <w:szCs w:val="20"/>
    </w:rPr>
  </w:style>
  <w:style w:type="character" w:customStyle="1" w:styleId="DPparaChar">
    <w:name w:val="DP para Char"/>
    <w:link w:val="DPpara"/>
    <w:locked/>
    <w:rsid w:val="00D0272C"/>
    <w:rPr>
      <w:rFonts w:ascii="Georgia" w:hAnsi="Georgia"/>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Georgia" w:hAnsi="Georgia"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rPr>
      <w:sz w:val="20"/>
    </w:r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9"/>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 w:val="20"/>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10"/>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 w:val="20"/>
      <w:szCs w:val="20"/>
      <w:lang w:eastAsia="en-GB"/>
    </w:rPr>
  </w:style>
  <w:style w:type="paragraph" w:customStyle="1" w:styleId="Tiret1">
    <w:name w:val="Tiret 1"/>
    <w:basedOn w:val="Normal"/>
    <w:rsid w:val="002D6E1A"/>
    <w:pPr>
      <w:numPr>
        <w:numId w:val="11"/>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 w:val="20"/>
      <w:szCs w:val="20"/>
      <w:u w:val="single"/>
    </w:rPr>
  </w:style>
  <w:style w:type="paragraph" w:customStyle="1" w:styleId="Bullet">
    <w:name w:val="Bullet"/>
    <w:basedOn w:val="Normal"/>
    <w:rsid w:val="002D6E1A"/>
    <w:pPr>
      <w:numPr>
        <w:numId w:val="12"/>
      </w:numPr>
      <w:tabs>
        <w:tab w:val="left" w:pos="708"/>
      </w:tabs>
      <w:spacing w:before="120" w:after="120" w:line="276" w:lineRule="auto"/>
      <w:jc w:val="both"/>
    </w:pPr>
    <w:rPr>
      <w:sz w:val="20"/>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3"/>
      </w:numPr>
      <w:suppressAutoHyphens/>
      <w:spacing w:before="120" w:after="120" w:line="276" w:lineRule="auto"/>
      <w:jc w:val="both"/>
    </w:pPr>
    <w:rPr>
      <w:sz w:val="20"/>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Arial" w:hAnsi="Arial"/>
      <w:b/>
      <w:sz w:val="22"/>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sz w:val="20"/>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 w:val="20"/>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 w:val="20"/>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 w:val="2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 w:val="20"/>
      <w:szCs w:val="20"/>
      <w:lang w:val="de-DE"/>
    </w:rPr>
  </w:style>
  <w:style w:type="paragraph" w:customStyle="1" w:styleId="Considrant">
    <w:name w:val="Considérant"/>
    <w:basedOn w:val="Normal"/>
    <w:rsid w:val="000D2D0B"/>
    <w:pPr>
      <w:numPr>
        <w:numId w:val="16"/>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 w:val="20"/>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9"/>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20"/>
      </w:numPr>
    </w:pPr>
  </w:style>
  <w:style w:type="paragraph" w:customStyle="1" w:styleId="Tiret4">
    <w:name w:val="Tiret 4"/>
    <w:basedOn w:val="Point4"/>
    <w:rsid w:val="000D2D0B"/>
    <w:pPr>
      <w:numPr>
        <w:numId w:val="21"/>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2"/>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2"/>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2"/>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2"/>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9"/>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9"/>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9"/>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9"/>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9"/>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9"/>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9"/>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9"/>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9"/>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3"/>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4"/>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5"/>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6"/>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7"/>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5"/>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7"/>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8"/>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8"/>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30"/>
      </w:numPr>
      <w:suppressAutoHyphens/>
      <w:spacing w:after="250" w:line="276" w:lineRule="auto"/>
      <w:jc w:val="both"/>
    </w:pPr>
    <w:rPr>
      <w:sz w:val="20"/>
      <w:szCs w:val="20"/>
      <w:lang w:val="x-none" w:eastAsia="x-none"/>
    </w:rPr>
  </w:style>
  <w:style w:type="character" w:customStyle="1" w:styleId="aStyle1Char">
    <w:name w:val="a. Style1 Char"/>
    <w:link w:val="aStyle1"/>
    <w:rsid w:val="000D2D0B"/>
    <w:rPr>
      <w:rFonts w:ascii="Georgia" w:hAnsi="Georgia"/>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 w:val="20"/>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 w:val="20"/>
      <w:szCs w:val="20"/>
    </w:rPr>
  </w:style>
  <w:style w:type="paragraph" w:customStyle="1" w:styleId="NEW-Paragraph-level3">
    <w:name w:val="NEW-Paragraph-level3"/>
    <w:basedOn w:val="Normal"/>
    <w:link w:val="NEW-Paragraph-level3Char"/>
    <w:rsid w:val="00F90EF4"/>
    <w:pPr>
      <w:numPr>
        <w:ilvl w:val="2"/>
        <w:numId w:val="32"/>
      </w:numPr>
      <w:tabs>
        <w:tab w:val="clear" w:pos="1031"/>
      </w:tabs>
      <w:spacing w:after="250" w:line="276" w:lineRule="auto"/>
      <w:ind w:left="851" w:hanging="284"/>
      <w:jc w:val="both"/>
    </w:pPr>
    <w:rPr>
      <w:sz w:val="20"/>
      <w:szCs w:val="20"/>
    </w:rPr>
  </w:style>
  <w:style w:type="character" w:customStyle="1" w:styleId="NEW-Paragraph-level2Char">
    <w:name w:val="NEW-Paragraph-level2 Char"/>
    <w:link w:val="NEW-Paragraph-level2"/>
    <w:rsid w:val="00F90EF4"/>
    <w:rPr>
      <w:rFonts w:ascii="Georgia" w:hAnsi="Georgia"/>
      <w:lang w:eastAsia="de-DE"/>
    </w:rPr>
  </w:style>
  <w:style w:type="character" w:customStyle="1" w:styleId="NEW-Paragraph-level3Char">
    <w:name w:val="NEW-Paragraph-level3 Char"/>
    <w:link w:val="NEW-Paragraph-level3"/>
    <w:rsid w:val="00F90EF4"/>
    <w:rPr>
      <w:rFonts w:ascii="Georgia" w:hAnsi="Georgia"/>
      <w:lang w:eastAsia="de-DE"/>
    </w:rPr>
  </w:style>
  <w:style w:type="paragraph" w:customStyle="1" w:styleId="NEW-Level0">
    <w:name w:val="NEW-Level0"/>
    <w:basedOn w:val="Normal"/>
    <w:rsid w:val="003A6E9A"/>
    <w:pPr>
      <w:keepNext/>
      <w:numPr>
        <w:numId w:val="31"/>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1"/>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 w:val="2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Georgia" w:hAnsi="Georgia" w:cs="Arial"/>
      <w:b/>
      <w:bCs/>
      <w:kern w:val="32"/>
      <w:sz w:val="28"/>
      <w:szCs w:val="28"/>
      <w:lang w:eastAsia="de-DE"/>
    </w:rPr>
  </w:style>
  <w:style w:type="character" w:customStyle="1" w:styleId="aNEW-Level1Char">
    <w:name w:val="aNEW-Level1 Char"/>
    <w:link w:val="aNEW-Level1"/>
    <w:rsid w:val="000636A1"/>
    <w:rPr>
      <w:rFonts w:ascii="Georgia" w:hAnsi="Georgia"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 w:val="20"/>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8"/>
      </w:numPr>
      <w:spacing w:after="250" w:line="276" w:lineRule="auto"/>
      <w:ind w:left="850" w:hanging="425"/>
      <w:jc w:val="both"/>
      <w:outlineLvl w:val="0"/>
    </w:pPr>
    <w:rPr>
      <w:rFonts w:eastAsia="Calibri"/>
      <w:b/>
      <w:bCs/>
      <w:kern w:val="28"/>
      <w:sz w:val="20"/>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Georgia" w:eastAsia="Calibri" w:hAnsi="Georgia"/>
      <w:b/>
      <w:bCs/>
      <w:kern w:val="28"/>
      <w:szCs w:val="32"/>
      <w:lang w:eastAsia="en-US"/>
    </w:rPr>
  </w:style>
  <w:style w:type="character" w:customStyle="1" w:styleId="aNEW-ParagraphChar">
    <w:name w:val="aNEW-Paragraph Char"/>
    <w:link w:val="aNEW-Paragraph"/>
    <w:rsid w:val="001244CD"/>
    <w:rPr>
      <w:rFonts w:ascii="Georgia" w:eastAsia="Calibri" w:hAnsi="Georgia"/>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sz w:val="20"/>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Georgia" w:hAnsi="Georgia"/>
      <w:lang w:eastAsia="de-DE"/>
    </w:rPr>
  </w:style>
  <w:style w:type="character" w:customStyle="1" w:styleId="aNEW-Paragraph-level3Char">
    <w:name w:val="aNEW-Paragraph-level3 Char"/>
    <w:link w:val="aNEW-Paragraph-level3"/>
    <w:rsid w:val="00566D36"/>
    <w:rPr>
      <w:rFonts w:ascii="Georgia" w:hAnsi="Georgia"/>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 w:val="20"/>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QST">
    <w:name w:val="QST"/>
    <w:basedOn w:val="Normal"/>
    <w:link w:val="QSTChar"/>
    <w:qFormat/>
    <w:rsid w:val="00335027"/>
    <w:pPr>
      <w:spacing w:after="250" w:line="276" w:lineRule="auto"/>
      <w:jc w:val="both"/>
    </w:pPr>
    <w:rPr>
      <w:rFonts w:ascii="Calibri" w:hAnsi="Calibri"/>
      <w:szCs w:val="20"/>
      <w:lang w:eastAsia="en-US"/>
    </w:rPr>
  </w:style>
  <w:style w:type="character" w:customStyle="1" w:styleId="QSTChar">
    <w:name w:val="QST Char"/>
    <w:link w:val="QST"/>
    <w:rsid w:val="00335027"/>
    <w:rPr>
      <w:rFonts w:ascii="Calibri" w:hAnsi="Calibri"/>
      <w:sz w:val="22"/>
      <w:lang w:eastAsia="en-US"/>
    </w:rPr>
  </w:style>
</w:styles>
</file>

<file path=word/webSettings.xml><?xml version="1.0" encoding="utf-8"?>
<w:webSettings xmlns:r="http://schemas.openxmlformats.org/officeDocument/2006/relationships" xmlns:w="http://schemas.openxmlformats.org/wordprocessingml/2006/main">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192572940">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02388007">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14805909">
      <w:bodyDiv w:val="1"/>
      <w:marLeft w:val="0"/>
      <w:marRight w:val="0"/>
      <w:marTop w:val="0"/>
      <w:marBottom w:val="0"/>
      <w:divBdr>
        <w:top w:val="none" w:sz="0" w:space="0" w:color="auto"/>
        <w:left w:val="none" w:sz="0" w:space="0" w:color="auto"/>
        <w:bottom w:val="none" w:sz="0" w:space="0" w:color="auto"/>
        <w:right w:val="none" w:sz="0" w:space="0" w:color="auto"/>
      </w:divBdr>
    </w:div>
    <w:div w:id="1230388076">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1966496149">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ma.europa.eu"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esma.europa.eu" TargetMode="External"/><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iso20022.org/standardsrepository/public/wqt/Description/mx/dico/codesets/_aFGlxdp-Ed-ak6NoX_4Aeg_-870507202" TargetMode="External"/><Relationship Id="rId22" Type="http://schemas.openxmlformats.org/officeDocument/2006/relationships/image" Target="media/image11.png"/><Relationship Id="rId27" Type="http://schemas.openxmlformats.org/officeDocument/2006/relationships/glossaryDocument" Target="glossary/document.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5E85BD11FA34C35ABE725446C5BAEC5"/>
        <w:category>
          <w:name w:val="General"/>
          <w:gallery w:val="placeholder"/>
        </w:category>
        <w:types>
          <w:type w:val="bbPlcHdr"/>
        </w:types>
        <w:behaviors>
          <w:behavior w:val="content"/>
        </w:behaviors>
        <w:guid w:val="{58B88D84-326A-40AF-A15B-47C410EA3821}"/>
      </w:docPartPr>
      <w:docPartBody>
        <w:p w:rsidR="008917E2" w:rsidRDefault="006A5A0A" w:rsidP="006A5A0A">
          <w:pPr>
            <w:pStyle w:val="65E85BD11FA34C35ABE725446C5BAEC5"/>
          </w:pPr>
          <w:r w:rsidRPr="000E3791">
            <w:rPr>
              <w:rStyle w:val="PlaceholderText"/>
            </w:rPr>
            <w:t>Choose an item.</w:t>
          </w:r>
        </w:p>
      </w:docPartBody>
    </w:docPart>
    <w:docPart>
      <w:docPartPr>
        <w:name w:val="98048A7DD8DF4A6B8C6CF00D9B1940F8"/>
        <w:category>
          <w:name w:val="General"/>
          <w:gallery w:val="placeholder"/>
        </w:category>
        <w:types>
          <w:type w:val="bbPlcHdr"/>
        </w:types>
        <w:behaviors>
          <w:behavior w:val="content"/>
        </w:behaviors>
        <w:guid w:val="{61EC2123-8C0C-4584-B757-952EBCA8739B}"/>
      </w:docPartPr>
      <w:docPartBody>
        <w:p w:rsidR="008917E2" w:rsidRDefault="006A5A0A" w:rsidP="006A5A0A">
          <w:pPr>
            <w:pStyle w:val="98048A7DD8DF4A6B8C6CF00D9B1940F8"/>
          </w:pPr>
          <w:r w:rsidRPr="000E3791">
            <w:rPr>
              <w:rStyle w:val="PlaceholderText"/>
            </w:rPr>
            <w:t>Choose an item.</w:t>
          </w:r>
        </w:p>
      </w:docPartBody>
    </w:docPart>
    <w:docPart>
      <w:docPartPr>
        <w:name w:val="5EAC301EA3224F67909AA00721C3F8B7"/>
        <w:category>
          <w:name w:val="General"/>
          <w:gallery w:val="placeholder"/>
        </w:category>
        <w:types>
          <w:type w:val="bbPlcHdr"/>
        </w:types>
        <w:behaviors>
          <w:behavior w:val="content"/>
        </w:behaviors>
        <w:guid w:val="{46FF2BF0-777C-4B97-B3E4-17DE1AA19E86}"/>
      </w:docPartPr>
      <w:docPartBody>
        <w:p w:rsidR="008917E2" w:rsidRDefault="006A5A0A" w:rsidP="006A5A0A">
          <w:pPr>
            <w:pStyle w:val="5EAC301EA3224F67909AA00721C3F8B7"/>
          </w:pPr>
          <w:r w:rsidRPr="000E379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sig w:usb0="00000000" w:usb1="00000000" w:usb2="00000000" w:usb3="00000000" w:csb0="0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yriad Pro Light">
    <w:altName w:val="Corbel"/>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sDel="0" w:formatting="0" w:inkAnnotations="0"/>
  <w:defaultTabStop w:val="720"/>
  <w:hyphenationZone w:val="425"/>
  <w:characterSpacingControl w:val="doNotCompress"/>
  <w:compat>
    <w:useFELayout/>
  </w:compat>
  <w:rsids>
    <w:rsidRoot w:val="00B4208E"/>
    <w:rsid w:val="00016CCC"/>
    <w:rsid w:val="000F365D"/>
    <w:rsid w:val="000F55C6"/>
    <w:rsid w:val="00115F64"/>
    <w:rsid w:val="004B2C78"/>
    <w:rsid w:val="00511B73"/>
    <w:rsid w:val="005175C2"/>
    <w:rsid w:val="0058508C"/>
    <w:rsid w:val="00674EB7"/>
    <w:rsid w:val="006A5A0A"/>
    <w:rsid w:val="006B4FC2"/>
    <w:rsid w:val="006D7DD1"/>
    <w:rsid w:val="008437E4"/>
    <w:rsid w:val="008917E2"/>
    <w:rsid w:val="008C7C45"/>
    <w:rsid w:val="00953A5F"/>
    <w:rsid w:val="00A37EA7"/>
    <w:rsid w:val="00A57065"/>
    <w:rsid w:val="00AF2479"/>
    <w:rsid w:val="00B4208E"/>
    <w:rsid w:val="00C514FD"/>
    <w:rsid w:val="00E25249"/>
    <w:rsid w:val="00F044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4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5A0A"/>
    <w:rPr>
      <w:color w:val="808080"/>
    </w:rPr>
  </w:style>
  <w:style w:type="paragraph" w:customStyle="1" w:styleId="E40A493F144E41ECA62BDE647316E137">
    <w:name w:val="E40A493F144E41ECA62BDE647316E137"/>
    <w:rsid w:val="00B4208E"/>
  </w:style>
  <w:style w:type="paragraph" w:customStyle="1" w:styleId="F2B292245666475AA3044F6299247043">
    <w:name w:val="F2B292245666475AA3044F6299247043"/>
    <w:rsid w:val="00B4208E"/>
  </w:style>
  <w:style w:type="paragraph" w:customStyle="1" w:styleId="5ED4348BFAEF449DB6E13134DA79834C">
    <w:name w:val="5ED4348BFAEF449DB6E13134DA79834C"/>
    <w:rsid w:val="00B4208E"/>
  </w:style>
  <w:style w:type="paragraph" w:customStyle="1" w:styleId="E105B5D91C05477A868B8E1049464E56">
    <w:name w:val="E105B5D91C05477A868B8E1049464E56"/>
    <w:rsid w:val="00B4208E"/>
  </w:style>
  <w:style w:type="paragraph" w:customStyle="1" w:styleId="04BA6A02474A4CB4826A2A1E06A5D98D">
    <w:name w:val="04BA6A02474A4CB4826A2A1E06A5D98D"/>
    <w:rsid w:val="00B4208E"/>
  </w:style>
  <w:style w:type="paragraph" w:customStyle="1" w:styleId="564C2A51B86347C5BEACA9504F673FB9">
    <w:name w:val="564C2A51B86347C5BEACA9504F673FB9"/>
    <w:rsid w:val="00B4208E"/>
  </w:style>
  <w:style w:type="paragraph" w:customStyle="1" w:styleId="65E85BD11FA34C35ABE725446C5BAEC5">
    <w:name w:val="65E85BD11FA34C35ABE725446C5BAEC5"/>
    <w:rsid w:val="006A5A0A"/>
  </w:style>
  <w:style w:type="paragraph" w:customStyle="1" w:styleId="98048A7DD8DF4A6B8C6CF00D9B1940F8">
    <w:name w:val="98048A7DD8DF4A6B8C6CF00D9B1940F8"/>
    <w:rsid w:val="006A5A0A"/>
  </w:style>
  <w:style w:type="paragraph" w:customStyle="1" w:styleId="5EAC301EA3224F67909AA00721C3F8B7">
    <w:name w:val="5EAC301EA3224F67909AA00721C3F8B7"/>
    <w:rsid w:val="006A5A0A"/>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B00C1-CD55-44DB-98E6-4B884226F5EA}">
  <ds:schemaRefs>
    <ds:schemaRef ds:uri="http://schemas.openxmlformats.org/officeDocument/2006/bibliography"/>
  </ds:schemaRefs>
</ds:datastoreItem>
</file>

<file path=customXml/itemProps2.xml><?xml version="1.0" encoding="utf-8"?>
<ds:datastoreItem xmlns:ds="http://schemas.openxmlformats.org/officeDocument/2006/customXml" ds:itemID="{A39D70F1-6057-4F1F-B2E4-D65FD8444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22837</Words>
  <Characters>119538</Characters>
  <Application>Microsoft Office Word</Application>
  <DocSecurity>8</DocSecurity>
  <Lines>996</Lines>
  <Paragraphs>284</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142091</CharactersWithSpaces>
  <SharedDoc>false</SharedDoc>
  <HLinks>
    <vt:vector size="18" baseType="variant">
      <vt:variant>
        <vt:i4>3932286</vt:i4>
      </vt:variant>
      <vt:variant>
        <vt:i4>6</vt:i4>
      </vt:variant>
      <vt:variant>
        <vt:i4>0</vt:i4>
      </vt:variant>
      <vt:variant>
        <vt:i4>5</vt:i4>
      </vt:variant>
      <vt:variant>
        <vt:lpwstr>http://www.esma.europa.eu/</vt:lpwstr>
      </vt:variant>
      <vt:variant>
        <vt:lpwstr/>
      </vt:variant>
      <vt:variant>
        <vt:i4>3932286</vt:i4>
      </vt:variant>
      <vt:variant>
        <vt:i4>3</vt:i4>
      </vt:variant>
      <vt:variant>
        <vt:i4>0</vt:i4>
      </vt:variant>
      <vt:variant>
        <vt:i4>5</vt:i4>
      </vt:variant>
      <vt:variant>
        <vt:lpwstr>http://www.esma.europa.eu/</vt:lpwstr>
      </vt:variant>
      <vt:variant>
        <vt:lpwstr/>
      </vt:variant>
      <vt:variant>
        <vt:i4>8192101</vt:i4>
      </vt:variant>
      <vt:variant>
        <vt:i4>0</vt:i4>
      </vt:variant>
      <vt:variant>
        <vt:i4>0</vt:i4>
      </vt:variant>
      <vt:variant>
        <vt:i4>5</vt:i4>
      </vt:variant>
      <vt:variant>
        <vt:lpwstr>http://www.esma.europa.eu/consultation/Consultation-Paper-Draft-technical-advice-possible-delegated-acts-concerning-Market-Abu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tkagiaras</cp:lastModifiedBy>
  <cp:revision>3</cp:revision>
  <cp:lastPrinted>2015-02-18T15:04:00Z</cp:lastPrinted>
  <dcterms:created xsi:type="dcterms:W3CDTF">2015-02-19T14:37:00Z</dcterms:created>
  <dcterms:modified xsi:type="dcterms:W3CDTF">2015-02-19T15:16:00Z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c293b7b7-79b3-4f45-abc1-aa00eb6f3ea3</vt:lpwstr>
  </property>
</Properties>
</file>