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CD8" w:rsidRDefault="007D4A61" w:rsidP="00701337">
      <w:pPr>
        <w:spacing w:before="0"/>
        <w:jc w:val="right"/>
      </w:pPr>
      <w:r>
        <w:t>19 February 2015</w:t>
      </w:r>
    </w:p>
    <w:p w:rsidR="00330CD8" w:rsidRDefault="00330CD8" w:rsidP="00701337">
      <w:pPr>
        <w:spacing w:before="0"/>
        <w:jc w:val="both"/>
      </w:pPr>
    </w:p>
    <w:p w:rsidR="007D4A61" w:rsidRDefault="007D4A61" w:rsidP="007D4A61">
      <w:pPr>
        <w:spacing w:before="0"/>
        <w:jc w:val="both"/>
      </w:pPr>
      <w:r>
        <w:t>ESMA</w:t>
      </w:r>
    </w:p>
    <w:p w:rsidR="007D4A61" w:rsidRDefault="007D4A61" w:rsidP="007D4A61">
      <w:pPr>
        <w:spacing w:before="0"/>
        <w:jc w:val="both"/>
      </w:pPr>
      <w:r>
        <w:t>CS 60747</w:t>
      </w:r>
    </w:p>
    <w:p w:rsidR="007D4A61" w:rsidRDefault="007D4A61" w:rsidP="007D4A61">
      <w:pPr>
        <w:spacing w:before="0"/>
        <w:jc w:val="both"/>
      </w:pPr>
      <w:r>
        <w:t xml:space="preserve">103 rue de </w:t>
      </w:r>
      <w:proofErr w:type="spellStart"/>
      <w:r>
        <w:t>Grenelle</w:t>
      </w:r>
      <w:proofErr w:type="spellEnd"/>
    </w:p>
    <w:p w:rsidR="007D4A61" w:rsidRDefault="007D4A61" w:rsidP="007D4A61">
      <w:pPr>
        <w:spacing w:before="0"/>
        <w:jc w:val="both"/>
      </w:pPr>
      <w:r>
        <w:t xml:space="preserve">75345 Paris </w:t>
      </w:r>
      <w:proofErr w:type="spellStart"/>
      <w:r>
        <w:t>Cedex</w:t>
      </w:r>
      <w:proofErr w:type="spellEnd"/>
      <w:r>
        <w:t xml:space="preserve"> 07</w:t>
      </w:r>
    </w:p>
    <w:p w:rsidR="00701337" w:rsidRDefault="007D4A61" w:rsidP="007D4A61">
      <w:pPr>
        <w:spacing w:before="0"/>
        <w:jc w:val="both"/>
      </w:pPr>
      <w:r>
        <w:t>FRANCE</w:t>
      </w:r>
    </w:p>
    <w:p w:rsidR="007D4A61" w:rsidRDefault="007D4A61" w:rsidP="007D4A61">
      <w:pPr>
        <w:spacing w:before="0"/>
        <w:jc w:val="both"/>
        <w:rPr>
          <w:i/>
        </w:rPr>
      </w:pPr>
    </w:p>
    <w:p w:rsidR="00330CD8" w:rsidRPr="003474E0" w:rsidRDefault="003474E0" w:rsidP="00701337">
      <w:pPr>
        <w:spacing w:before="0"/>
        <w:jc w:val="both"/>
        <w:rPr>
          <w:i/>
        </w:rPr>
      </w:pPr>
      <w:r w:rsidRPr="003474E0">
        <w:rPr>
          <w:i/>
        </w:rPr>
        <w:t>(</w:t>
      </w:r>
      <w:proofErr w:type="gramStart"/>
      <w:r w:rsidR="00330CD8" w:rsidRPr="003474E0">
        <w:rPr>
          <w:i/>
        </w:rPr>
        <w:t>submitted</w:t>
      </w:r>
      <w:proofErr w:type="gramEnd"/>
      <w:r w:rsidR="00330CD8" w:rsidRPr="003474E0">
        <w:rPr>
          <w:i/>
        </w:rPr>
        <w:t xml:space="preserve"> via </w:t>
      </w:r>
      <w:r w:rsidR="007D4A61">
        <w:rPr>
          <w:i/>
        </w:rPr>
        <w:t>ESMA website)</w:t>
      </w:r>
    </w:p>
    <w:p w:rsidR="003474E0" w:rsidRDefault="003474E0" w:rsidP="00701337">
      <w:pPr>
        <w:spacing w:before="0"/>
        <w:jc w:val="both"/>
      </w:pPr>
    </w:p>
    <w:p w:rsidR="00701337" w:rsidRDefault="00701337" w:rsidP="00701337">
      <w:pPr>
        <w:spacing w:before="0"/>
        <w:jc w:val="both"/>
        <w:rPr>
          <w:b/>
        </w:rPr>
      </w:pPr>
    </w:p>
    <w:p w:rsidR="00B45BAA" w:rsidRDefault="00B45BAA" w:rsidP="00120CC3">
      <w:pPr>
        <w:spacing w:before="0"/>
        <w:jc w:val="both"/>
        <w:rPr>
          <w:b/>
        </w:rPr>
      </w:pPr>
    </w:p>
    <w:p w:rsidR="00996199" w:rsidRPr="003474E0" w:rsidRDefault="003474E0" w:rsidP="00996199">
      <w:pPr>
        <w:spacing w:before="0"/>
        <w:rPr>
          <w:b/>
        </w:rPr>
      </w:pPr>
      <w:r w:rsidRPr="003474E0">
        <w:rPr>
          <w:b/>
        </w:rPr>
        <w:t xml:space="preserve">Re: </w:t>
      </w:r>
      <w:r w:rsidR="005319B7">
        <w:rPr>
          <w:b/>
        </w:rPr>
        <w:t>CONSULTATION ON TECHNICAL STANDARDS UNDER THE CSD REGULATION (ESMA/2014/1563)</w:t>
      </w:r>
    </w:p>
    <w:p w:rsidR="00701337" w:rsidRDefault="00701337" w:rsidP="00701337">
      <w:pPr>
        <w:spacing w:before="0"/>
        <w:jc w:val="both"/>
        <w:rPr>
          <w:b/>
          <w:u w:val="single"/>
        </w:rPr>
      </w:pPr>
    </w:p>
    <w:p w:rsidR="00120CC3" w:rsidRDefault="00120CC3" w:rsidP="00CB6717">
      <w:pPr>
        <w:spacing w:before="0"/>
        <w:jc w:val="both"/>
        <w:rPr>
          <w:b/>
          <w:u w:val="single"/>
        </w:rPr>
      </w:pPr>
    </w:p>
    <w:p w:rsidR="00330CD8" w:rsidRPr="0034008C" w:rsidRDefault="00330CD8" w:rsidP="00CB6717">
      <w:pPr>
        <w:spacing w:before="0"/>
        <w:jc w:val="both"/>
        <w:rPr>
          <w:b/>
          <w:u w:val="single"/>
        </w:rPr>
      </w:pPr>
      <w:r w:rsidRPr="0034008C">
        <w:rPr>
          <w:b/>
          <w:u w:val="single"/>
        </w:rPr>
        <w:t>Introduction</w:t>
      </w:r>
    </w:p>
    <w:p w:rsidR="00701337" w:rsidRDefault="00701337" w:rsidP="00CB6717">
      <w:pPr>
        <w:spacing w:before="0"/>
        <w:jc w:val="both"/>
      </w:pPr>
    </w:p>
    <w:p w:rsidR="00996199" w:rsidRDefault="00996199" w:rsidP="00996199">
      <w:pPr>
        <w:spacing w:before="0"/>
        <w:jc w:val="both"/>
      </w:pPr>
      <w:r>
        <w:t xml:space="preserve">BNY Mellon is a global investments company dedicated to helping its clients manage and service their financial assets throughout the investment lifecycle. As one of the world’s largest investment services and investment management firms, BNY Mellon welcomes the opportunity to respond to the ESMA Consultation Paper (ESMA/2014/1563) in respect of </w:t>
      </w:r>
      <w:r w:rsidRPr="00996199">
        <w:t>Technical Standards under the CSD Regulation</w:t>
      </w:r>
      <w:r>
        <w:t>.</w:t>
      </w:r>
    </w:p>
    <w:p w:rsidR="00996199" w:rsidRDefault="00996199" w:rsidP="00996199">
      <w:pPr>
        <w:spacing w:before="0"/>
        <w:jc w:val="both"/>
      </w:pPr>
    </w:p>
    <w:p w:rsidR="00996199" w:rsidRDefault="00996199" w:rsidP="00996199">
      <w:pPr>
        <w:spacing w:before="0"/>
        <w:jc w:val="both"/>
      </w:pPr>
      <w:r>
        <w:t>BNY Mellon operates in Europe through: (</w:t>
      </w:r>
      <w:proofErr w:type="spellStart"/>
      <w:r>
        <w:t>i</w:t>
      </w:r>
      <w:proofErr w:type="spellEnd"/>
      <w:r>
        <w:t xml:space="preserve">) branches of The Bank of New York Mellon (a New York incorporated financial institution) and (ii) directly established and duly </w:t>
      </w:r>
      <w:proofErr w:type="spellStart"/>
      <w:r>
        <w:t>authorised</w:t>
      </w:r>
      <w:proofErr w:type="spellEnd"/>
      <w:r>
        <w:t xml:space="preserve"> subsidiaries established in several EU jurisdictions and branches of those entities operating in most of the core EU member states. It provides services to clients and end-users of financial services globally. It is accordingly keenly interested to ensure financial markets operate fairly and consistently globally and that common standards ensure playing fields are kept level.</w:t>
      </w:r>
    </w:p>
    <w:p w:rsidR="00996199" w:rsidRDefault="00996199" w:rsidP="00996199">
      <w:pPr>
        <w:spacing w:before="0"/>
        <w:jc w:val="both"/>
      </w:pPr>
    </w:p>
    <w:p w:rsidR="00A309BA" w:rsidRDefault="00996199" w:rsidP="00996199">
      <w:pPr>
        <w:spacing w:before="0"/>
        <w:jc w:val="both"/>
      </w:pPr>
      <w:r w:rsidRPr="009C037F">
        <w:t>In Europe, BNY Mellon is represented as a</w:t>
      </w:r>
      <w:r w:rsidR="00E56DE0" w:rsidRPr="009C037F">
        <w:t>n asset manager, custodian, CSD, depositary, issuer agent,</w:t>
      </w:r>
      <w:r w:rsidRPr="009C037F">
        <w:t xml:space="preserve"> </w:t>
      </w:r>
      <w:r w:rsidR="00E56DE0" w:rsidRPr="009C037F">
        <w:t xml:space="preserve">and </w:t>
      </w:r>
      <w:proofErr w:type="spellStart"/>
      <w:r w:rsidRPr="009C037F">
        <w:t>triparty</w:t>
      </w:r>
      <w:proofErr w:type="spellEnd"/>
      <w:r w:rsidRPr="009C037F">
        <w:t xml:space="preserve"> collateral manager</w:t>
      </w:r>
      <w:r w:rsidR="00E56DE0" w:rsidRPr="009C037F">
        <w:t>.</w:t>
      </w:r>
      <w:r w:rsidRPr="009C037F">
        <w:t xml:space="preserve"> BNY Mellon represents various types of market participants at various levels in the chain of custody. Therefore</w:t>
      </w:r>
      <w:r w:rsidR="00E56DE0" w:rsidRPr="009C037F">
        <w:t>,</w:t>
      </w:r>
      <w:r w:rsidRPr="009C037F">
        <w:t xml:space="preserve"> BNY Mellon has a strong interest in this Consultation Paper.</w:t>
      </w:r>
    </w:p>
    <w:p w:rsidR="00996199" w:rsidRDefault="00996199" w:rsidP="00996199">
      <w:pPr>
        <w:spacing w:before="0"/>
        <w:jc w:val="both"/>
      </w:pPr>
    </w:p>
    <w:p w:rsidR="00E56DE0" w:rsidRDefault="00E56DE0" w:rsidP="00CB6717">
      <w:pPr>
        <w:spacing w:before="0"/>
        <w:jc w:val="both"/>
        <w:rPr>
          <w:b/>
          <w:u w:val="single"/>
        </w:rPr>
      </w:pPr>
    </w:p>
    <w:p w:rsidR="00E56DE0" w:rsidRPr="00E64EAE" w:rsidRDefault="00E56DE0" w:rsidP="00E56DE0">
      <w:pPr>
        <w:spacing w:before="0"/>
        <w:jc w:val="both"/>
        <w:rPr>
          <w:b/>
          <w:u w:val="single"/>
        </w:rPr>
      </w:pPr>
      <w:r>
        <w:rPr>
          <w:b/>
          <w:u w:val="single"/>
        </w:rPr>
        <w:t>Our Approach to Responding to this Consultation</w:t>
      </w:r>
    </w:p>
    <w:p w:rsidR="00E56DE0" w:rsidRDefault="00E56DE0" w:rsidP="00E56DE0">
      <w:pPr>
        <w:spacing w:before="0"/>
        <w:jc w:val="both"/>
      </w:pPr>
    </w:p>
    <w:p w:rsidR="00E56DE0" w:rsidRPr="009C037F" w:rsidRDefault="00E56DE0" w:rsidP="00E56DE0">
      <w:pPr>
        <w:spacing w:before="0"/>
        <w:jc w:val="both"/>
      </w:pPr>
      <w:r w:rsidRPr="009C037F">
        <w:t xml:space="preserve">In responding to this Consultation Paper, we have closely </w:t>
      </w:r>
      <w:r w:rsidR="003422A7">
        <w:t xml:space="preserve">worked </w:t>
      </w:r>
      <w:bookmarkStart w:id="0" w:name="_GoBack"/>
      <w:bookmarkEnd w:id="0"/>
      <w:r w:rsidRPr="009C037F">
        <w:t>with several industry associations and we have participated in the work of the T2S Advisory Group.</w:t>
      </w:r>
    </w:p>
    <w:p w:rsidR="00E56DE0" w:rsidRPr="009C037F" w:rsidRDefault="00E56DE0" w:rsidP="00E56DE0">
      <w:pPr>
        <w:spacing w:before="0"/>
        <w:jc w:val="both"/>
      </w:pPr>
    </w:p>
    <w:p w:rsidR="00E56DE0" w:rsidRDefault="006F731E" w:rsidP="00CB6717">
      <w:pPr>
        <w:spacing w:before="0"/>
        <w:jc w:val="both"/>
      </w:pPr>
      <w:r w:rsidRPr="009C037F">
        <w:t>The BNY Mellon group is submitting two separate responses to this Consultation Paper, this response that focuses more on issues that relate especially to BNY Mellon as an intermediary, and a separate response from BNY Mellon CSD that focuses on issues that relate especially to BNY Mellon CSD as a CSD.</w:t>
      </w:r>
    </w:p>
    <w:p w:rsidR="006F731E" w:rsidRDefault="006F731E" w:rsidP="00CB6717">
      <w:pPr>
        <w:spacing w:before="0"/>
        <w:jc w:val="both"/>
      </w:pPr>
    </w:p>
    <w:p w:rsidR="00E56DE0" w:rsidRPr="006F731E" w:rsidRDefault="00E56DE0" w:rsidP="00CB6717">
      <w:pPr>
        <w:spacing w:before="0"/>
        <w:jc w:val="both"/>
      </w:pPr>
    </w:p>
    <w:p w:rsidR="00E56DE0" w:rsidRDefault="00E56DE0" w:rsidP="00CB6717">
      <w:pPr>
        <w:spacing w:before="0"/>
        <w:jc w:val="both"/>
        <w:rPr>
          <w:b/>
          <w:u w:val="single"/>
        </w:rPr>
      </w:pPr>
    </w:p>
    <w:p w:rsidR="009224F7" w:rsidRPr="009C037F" w:rsidRDefault="007D4A61" w:rsidP="00CB6717">
      <w:pPr>
        <w:spacing w:before="0"/>
        <w:jc w:val="both"/>
        <w:rPr>
          <w:b/>
          <w:u w:val="single"/>
        </w:rPr>
      </w:pPr>
      <w:r w:rsidRPr="009C037F">
        <w:rPr>
          <w:b/>
          <w:u w:val="single"/>
        </w:rPr>
        <w:t>Main High Level</w:t>
      </w:r>
      <w:r w:rsidR="009224F7" w:rsidRPr="009C037F">
        <w:rPr>
          <w:b/>
          <w:u w:val="single"/>
        </w:rPr>
        <w:t xml:space="preserve"> Comments</w:t>
      </w:r>
    </w:p>
    <w:p w:rsidR="004C24AD" w:rsidRPr="009C037F" w:rsidRDefault="004C24AD" w:rsidP="00CB6717">
      <w:pPr>
        <w:spacing w:before="0"/>
        <w:jc w:val="both"/>
      </w:pPr>
    </w:p>
    <w:p w:rsidR="00793041" w:rsidRPr="009C037F" w:rsidRDefault="00793041" w:rsidP="00CB6717">
      <w:pPr>
        <w:spacing w:before="0"/>
        <w:jc w:val="both"/>
      </w:pPr>
      <w:r w:rsidRPr="009C037F">
        <w:t>We believe th</w:t>
      </w:r>
      <w:r w:rsidR="00E72D02" w:rsidRPr="009C037F">
        <w:t xml:space="preserve">at our responses can be </w:t>
      </w:r>
      <w:proofErr w:type="spellStart"/>
      <w:r w:rsidR="00E72D02" w:rsidRPr="009C037F">
        <w:t>summaris</w:t>
      </w:r>
      <w:r w:rsidRPr="009C037F">
        <w:t>ed</w:t>
      </w:r>
      <w:proofErr w:type="spellEnd"/>
      <w:r w:rsidRPr="009C037F">
        <w:t xml:space="preserve"> in three themes.</w:t>
      </w:r>
    </w:p>
    <w:p w:rsidR="00793041" w:rsidRPr="009C037F" w:rsidRDefault="00793041" w:rsidP="00CB6717">
      <w:pPr>
        <w:spacing w:before="0"/>
        <w:jc w:val="both"/>
      </w:pPr>
    </w:p>
    <w:p w:rsidR="00793041" w:rsidRPr="009C037F" w:rsidRDefault="00793041" w:rsidP="00CB6717">
      <w:pPr>
        <w:spacing w:before="0"/>
        <w:jc w:val="both"/>
      </w:pPr>
      <w:r w:rsidRPr="009C037F">
        <w:t>The first theme covers the provision of core services by CSDs in Europe. It is critical that CSDs in Europe are able to perform their core functions in a manner that is as safe and efficient as possible, and that their core functions are accessible to as wide a range as possible of issuers and investors, both in and outside of Europe.</w:t>
      </w:r>
    </w:p>
    <w:p w:rsidR="00793041" w:rsidRPr="009C037F" w:rsidRDefault="00793041" w:rsidP="00CB6717">
      <w:pPr>
        <w:spacing w:before="0"/>
        <w:jc w:val="both"/>
      </w:pPr>
    </w:p>
    <w:p w:rsidR="00793041" w:rsidRPr="009C037F" w:rsidRDefault="00793041" w:rsidP="00CB6717">
      <w:pPr>
        <w:spacing w:before="0"/>
        <w:jc w:val="both"/>
      </w:pPr>
      <w:r w:rsidRPr="009C037F">
        <w:t>For this reason, BNY Mellon is concerned about proposals that could reduce the core settlement efficiency of European CSDs, and that could create barriers to accessing European CSDs.</w:t>
      </w:r>
    </w:p>
    <w:p w:rsidR="00793041" w:rsidRPr="009C037F" w:rsidRDefault="00793041" w:rsidP="00CB6717">
      <w:pPr>
        <w:spacing w:before="0"/>
        <w:jc w:val="both"/>
      </w:pPr>
    </w:p>
    <w:p w:rsidR="00E20D8A" w:rsidRPr="009C037F" w:rsidRDefault="00E20D8A" w:rsidP="00CB6717">
      <w:pPr>
        <w:spacing w:before="0"/>
        <w:jc w:val="both"/>
      </w:pPr>
      <w:r w:rsidRPr="009C037F">
        <w:t>A second theme concerns increased risk for intermediaries.</w:t>
      </w:r>
    </w:p>
    <w:p w:rsidR="00E20D8A" w:rsidRPr="009C037F" w:rsidRDefault="00E20D8A" w:rsidP="00CB6717">
      <w:pPr>
        <w:spacing w:before="0"/>
        <w:jc w:val="both"/>
      </w:pPr>
    </w:p>
    <w:p w:rsidR="00E20D8A" w:rsidRPr="009C037F" w:rsidRDefault="00E20D8A" w:rsidP="00CB6717">
      <w:pPr>
        <w:spacing w:before="0"/>
        <w:jc w:val="both"/>
      </w:pPr>
      <w:r w:rsidRPr="009C037F">
        <w:t xml:space="preserve">BNY Mellon is concerned not only </w:t>
      </w:r>
      <w:proofErr w:type="gramStart"/>
      <w:r w:rsidRPr="009C037F">
        <w:t>that some of the proposals do</w:t>
      </w:r>
      <w:proofErr w:type="gramEnd"/>
      <w:r w:rsidRPr="009C037F">
        <w:t xml:space="preserve"> seriously increase risk for intermediaries, but also that the proposals have been put forward without a full analysis of the potential consequences.</w:t>
      </w:r>
    </w:p>
    <w:p w:rsidR="00E20D8A" w:rsidRPr="009C037F" w:rsidRDefault="00E20D8A" w:rsidP="00CB6717">
      <w:pPr>
        <w:spacing w:before="0"/>
        <w:jc w:val="both"/>
      </w:pPr>
    </w:p>
    <w:p w:rsidR="00E20D8A" w:rsidRDefault="00E20D8A" w:rsidP="00CB6717">
      <w:pPr>
        <w:spacing w:before="0"/>
        <w:jc w:val="both"/>
      </w:pPr>
      <w:r w:rsidRPr="009C037F">
        <w:t>A third theme relates to market standards. We believe that it is very important the RTS do allow for full compliance by European CSDs and European intermediaries with global standards, and global and regional best practice documents.</w:t>
      </w:r>
      <w:r>
        <w:t xml:space="preserve"> </w:t>
      </w:r>
    </w:p>
    <w:p w:rsidR="00E20D8A" w:rsidRDefault="00E20D8A" w:rsidP="00CB6717">
      <w:pPr>
        <w:spacing w:before="0"/>
        <w:jc w:val="both"/>
      </w:pPr>
    </w:p>
    <w:p w:rsidR="0011133A" w:rsidRPr="00F10B1D" w:rsidRDefault="0011133A" w:rsidP="00CB6717">
      <w:pPr>
        <w:spacing w:before="0"/>
        <w:jc w:val="both"/>
        <w:rPr>
          <w:rFonts w:cs="Arial"/>
        </w:rPr>
      </w:pPr>
    </w:p>
    <w:p w:rsidR="00330CD8" w:rsidRPr="006B5234" w:rsidRDefault="00330CD8" w:rsidP="00CB6717">
      <w:pPr>
        <w:spacing w:before="0"/>
        <w:jc w:val="both"/>
        <w:rPr>
          <w:b/>
          <w:u w:val="single"/>
        </w:rPr>
      </w:pPr>
      <w:r w:rsidRPr="006B5234">
        <w:rPr>
          <w:b/>
          <w:u w:val="single"/>
        </w:rPr>
        <w:t>Response</w:t>
      </w:r>
      <w:r>
        <w:rPr>
          <w:b/>
          <w:u w:val="single"/>
        </w:rPr>
        <w:t>s</w:t>
      </w:r>
      <w:r w:rsidRPr="006B5234">
        <w:rPr>
          <w:b/>
          <w:u w:val="single"/>
        </w:rPr>
        <w:t xml:space="preserve"> to Specific Questions</w:t>
      </w:r>
    </w:p>
    <w:p w:rsidR="00701337" w:rsidRDefault="00701337" w:rsidP="00CB6717">
      <w:pPr>
        <w:spacing w:before="0"/>
        <w:jc w:val="both"/>
      </w:pPr>
    </w:p>
    <w:p w:rsidR="00330CD8" w:rsidRDefault="00202ACD" w:rsidP="00CB6717">
      <w:pPr>
        <w:spacing w:before="0"/>
        <w:jc w:val="both"/>
      </w:pPr>
      <w:r w:rsidRPr="009C037F">
        <w:t xml:space="preserve">Our responses to the specific questions raised by the </w:t>
      </w:r>
      <w:r w:rsidR="007D4A61" w:rsidRPr="009C037F">
        <w:t>ESMA</w:t>
      </w:r>
      <w:r w:rsidR="00396F7C" w:rsidRPr="009C037F">
        <w:t xml:space="preserve"> </w:t>
      </w:r>
      <w:r w:rsidRPr="009C037F">
        <w:t>are contained in Annex 1 below.</w:t>
      </w:r>
      <w:r w:rsidR="006F731E" w:rsidRPr="009C037F">
        <w:t xml:space="preserve"> These responses have also been submitted separately using the ESMA response form.</w:t>
      </w:r>
    </w:p>
    <w:p w:rsidR="00701337" w:rsidRDefault="00701337" w:rsidP="00CB6717">
      <w:pPr>
        <w:spacing w:before="0"/>
        <w:jc w:val="both"/>
      </w:pPr>
    </w:p>
    <w:p w:rsidR="00330CD8" w:rsidRDefault="00330CD8" w:rsidP="00CB6717">
      <w:pPr>
        <w:spacing w:before="0"/>
        <w:jc w:val="both"/>
      </w:pPr>
      <w:r>
        <w:t xml:space="preserve">BNY Mellon looks forward to further engagement with </w:t>
      </w:r>
      <w:r w:rsidR="001E2DB7">
        <w:t xml:space="preserve">the </w:t>
      </w:r>
      <w:r w:rsidR="007D4A61">
        <w:t>ESMA</w:t>
      </w:r>
      <w:r w:rsidR="00202ACD">
        <w:t xml:space="preserve"> </w:t>
      </w:r>
      <w:r w:rsidR="007B6741">
        <w:t xml:space="preserve">in regard to this </w:t>
      </w:r>
      <w:r w:rsidR="007D4A61">
        <w:t>Consultation</w:t>
      </w:r>
      <w:r w:rsidR="00202ACD">
        <w:t xml:space="preserve"> </w:t>
      </w:r>
      <w:r w:rsidR="00EB3D7D">
        <w:t>Paper</w:t>
      </w:r>
      <w:r w:rsidR="00202ACD">
        <w:t xml:space="preserve"> and any future consultation papers on this topic</w:t>
      </w:r>
      <w:r>
        <w:t>.</w:t>
      </w:r>
    </w:p>
    <w:p w:rsidR="003474E0" w:rsidRDefault="003474E0" w:rsidP="00701337">
      <w:pPr>
        <w:spacing w:before="0"/>
        <w:jc w:val="both"/>
      </w:pPr>
    </w:p>
    <w:p w:rsidR="003474E0" w:rsidRDefault="003474E0" w:rsidP="00701337">
      <w:pPr>
        <w:spacing w:before="0"/>
        <w:jc w:val="both"/>
      </w:pPr>
    </w:p>
    <w:p w:rsidR="0008496F" w:rsidRDefault="0008496F" w:rsidP="00701337">
      <w:pPr>
        <w:spacing w:before="0"/>
        <w:jc w:val="both"/>
      </w:pPr>
    </w:p>
    <w:p w:rsidR="00577B6D" w:rsidRPr="00577B6D" w:rsidRDefault="00577B6D" w:rsidP="00577B6D">
      <w:pPr>
        <w:autoSpaceDE w:val="0"/>
        <w:autoSpaceDN w:val="0"/>
        <w:adjustRightInd w:val="0"/>
        <w:spacing w:before="0"/>
        <w:rPr>
          <w:rFonts w:cs="Arial"/>
          <w:color w:val="000000"/>
          <w:lang w:val="en-GB" w:eastAsia="en-GB"/>
        </w:rPr>
      </w:pPr>
      <w:r w:rsidRPr="00577B6D">
        <w:rPr>
          <w:rFonts w:cs="Arial"/>
          <w:color w:val="000000"/>
          <w:lang w:val="en-GB" w:eastAsia="en-GB"/>
        </w:rPr>
        <w:t xml:space="preserve">Veronica Iommi </w:t>
      </w:r>
    </w:p>
    <w:p w:rsidR="00577B6D" w:rsidRPr="00577B6D" w:rsidRDefault="00577B6D" w:rsidP="00577B6D">
      <w:pPr>
        <w:autoSpaceDE w:val="0"/>
        <w:autoSpaceDN w:val="0"/>
        <w:adjustRightInd w:val="0"/>
        <w:spacing w:before="0"/>
        <w:rPr>
          <w:rFonts w:cs="Arial"/>
          <w:color w:val="000000"/>
          <w:lang w:val="en-GB" w:eastAsia="en-GB"/>
        </w:rPr>
      </w:pPr>
      <w:r w:rsidRPr="00577B6D">
        <w:rPr>
          <w:rFonts w:cs="Arial"/>
          <w:color w:val="000000"/>
          <w:lang w:val="en-GB" w:eastAsia="en-GB"/>
        </w:rPr>
        <w:t xml:space="preserve">EMEA Head of Public Policy </w:t>
      </w:r>
    </w:p>
    <w:p w:rsidR="00577B6D" w:rsidRPr="00577B6D" w:rsidRDefault="00577B6D" w:rsidP="00577B6D">
      <w:pPr>
        <w:autoSpaceDE w:val="0"/>
        <w:autoSpaceDN w:val="0"/>
        <w:adjustRightInd w:val="0"/>
        <w:spacing w:before="0"/>
        <w:rPr>
          <w:rFonts w:cs="Arial"/>
          <w:color w:val="000000"/>
          <w:lang w:val="en-GB" w:eastAsia="en-GB"/>
        </w:rPr>
      </w:pPr>
      <w:r w:rsidRPr="00577B6D">
        <w:rPr>
          <w:rFonts w:cs="Arial"/>
          <w:color w:val="000000"/>
          <w:lang w:val="en-GB" w:eastAsia="en-GB"/>
        </w:rPr>
        <w:t xml:space="preserve">Office of Public Policy and Regulatory Affairs </w:t>
      </w:r>
    </w:p>
    <w:p w:rsidR="00577B6D" w:rsidRPr="00577B6D" w:rsidRDefault="00577B6D" w:rsidP="00577B6D">
      <w:pPr>
        <w:autoSpaceDE w:val="0"/>
        <w:autoSpaceDN w:val="0"/>
        <w:adjustRightInd w:val="0"/>
        <w:spacing w:before="0"/>
        <w:rPr>
          <w:rFonts w:cs="Arial"/>
          <w:color w:val="000000"/>
          <w:lang w:val="en-GB" w:eastAsia="en-GB"/>
        </w:rPr>
      </w:pPr>
      <w:r w:rsidRPr="00577B6D">
        <w:rPr>
          <w:rFonts w:cs="Arial"/>
          <w:color w:val="000000"/>
          <w:lang w:val="en-GB" w:eastAsia="en-GB"/>
        </w:rPr>
        <w:t xml:space="preserve">Legal Department </w:t>
      </w:r>
    </w:p>
    <w:p w:rsidR="00396F7C" w:rsidRDefault="00577B6D" w:rsidP="00577B6D">
      <w:pPr>
        <w:spacing w:before="0"/>
        <w:jc w:val="both"/>
      </w:pPr>
      <w:r w:rsidRPr="00577B6D">
        <w:rPr>
          <w:rFonts w:cs="Arial"/>
          <w:color w:val="000000"/>
          <w:lang w:val="en-GB" w:eastAsia="en-GB"/>
        </w:rPr>
        <w:t>BNY Mellon</w:t>
      </w:r>
    </w:p>
    <w:p w:rsidR="00577B6D" w:rsidRDefault="00577B6D">
      <w:pPr>
        <w:spacing w:before="0"/>
        <w:rPr>
          <w:sz w:val="17"/>
          <w:szCs w:val="17"/>
        </w:rPr>
      </w:pPr>
      <w:r>
        <w:rPr>
          <w:sz w:val="17"/>
          <w:szCs w:val="17"/>
        </w:rPr>
        <w:br w:type="page"/>
      </w:r>
    </w:p>
    <w:p w:rsidR="0005689E" w:rsidRDefault="00577B6D" w:rsidP="00701337">
      <w:pPr>
        <w:spacing w:before="0"/>
        <w:rPr>
          <w:b/>
        </w:rPr>
      </w:pPr>
      <w:r w:rsidRPr="00577B6D">
        <w:rPr>
          <w:b/>
        </w:rPr>
        <w:lastRenderedPageBreak/>
        <w:t xml:space="preserve">ANNEX 1 – Responses to Specific Questions </w:t>
      </w:r>
    </w:p>
    <w:p w:rsidR="009C037F" w:rsidRPr="009C037F" w:rsidRDefault="009C037F" w:rsidP="009C037F">
      <w:pPr>
        <w:spacing w:before="0"/>
        <w:jc w:val="both"/>
        <w:rPr>
          <w:b/>
        </w:rPr>
      </w:pPr>
    </w:p>
    <w:p w:rsidR="009C037F" w:rsidRPr="009C037F" w:rsidRDefault="009C037F" w:rsidP="009C037F">
      <w:pPr>
        <w:spacing w:before="0"/>
        <w:jc w:val="both"/>
        <w:rPr>
          <w:b/>
        </w:rPr>
      </w:pPr>
      <w:proofErr w:type="spellStart"/>
      <w:r w:rsidRPr="009C037F">
        <w:rPr>
          <w:b/>
        </w:rPr>
        <w:t>Q3</w:t>
      </w:r>
      <w:proofErr w:type="spellEnd"/>
      <w:r w:rsidRPr="009C037F">
        <w:rPr>
          <w:b/>
        </w:rPr>
        <w:t xml:space="preserve">: What are your views on the proposed approach under Article 3(11) of the draft </w:t>
      </w:r>
      <w:proofErr w:type="spellStart"/>
      <w:r w:rsidRPr="009C037F">
        <w:rPr>
          <w:b/>
        </w:rPr>
        <w:t>RTS</w:t>
      </w:r>
      <w:proofErr w:type="spellEnd"/>
      <w:r w:rsidRPr="009C037F">
        <w:rPr>
          <w:b/>
        </w:rPr>
        <w:t xml:space="preserve"> included in Chapter II of Annex I?</w:t>
      </w:r>
    </w:p>
    <w:p w:rsidR="009C037F" w:rsidRPr="009C037F" w:rsidRDefault="009C037F" w:rsidP="009C037F">
      <w:pPr>
        <w:spacing w:before="0"/>
        <w:jc w:val="both"/>
        <w:rPr>
          <w:b/>
        </w:rPr>
      </w:pPr>
      <w:r w:rsidRPr="009C037F">
        <w:rPr>
          <w:b/>
        </w:rPr>
        <w:t>Do you think that the 0.5% settlement fails threshold (i.e. 99.5% settlement efficiency rate) is adequate? If not, what would be an adequate threshold? Please provide details and arguments.</w:t>
      </w:r>
    </w:p>
    <w:p w:rsidR="009C037F" w:rsidRDefault="009C037F" w:rsidP="009C037F">
      <w:pPr>
        <w:spacing w:before="0"/>
        <w:jc w:val="both"/>
        <w:rPr>
          <w:b/>
        </w:rPr>
      </w:pPr>
      <w:r w:rsidRPr="009C037F">
        <w:rPr>
          <w:b/>
        </w:rPr>
        <w:t>Do you think that the 2</w:t>
      </w:r>
      <w:proofErr w:type="gramStart"/>
      <w:r w:rsidRPr="009C037F">
        <w:rPr>
          <w:b/>
        </w:rPr>
        <w:t>,5</w:t>
      </w:r>
      <w:proofErr w:type="gramEnd"/>
      <w:r w:rsidRPr="009C037F">
        <w:rPr>
          <w:b/>
        </w:rPr>
        <w:t xml:space="preserve"> billion EUR/year in terms of the value of settlement fails for a securities settlement system operated by a </w:t>
      </w:r>
      <w:proofErr w:type="spellStart"/>
      <w:r w:rsidRPr="009C037F">
        <w:rPr>
          <w:b/>
        </w:rPr>
        <w:t>CSD</w:t>
      </w:r>
      <w:proofErr w:type="spellEnd"/>
      <w:r w:rsidRPr="009C037F">
        <w:rPr>
          <w:b/>
        </w:rPr>
        <w:t xml:space="preserve"> is adequate? If not, what would be an adequate threshold? Please provide details and arguments.</w:t>
      </w:r>
    </w:p>
    <w:p w:rsidR="009C037F" w:rsidRPr="009C037F" w:rsidRDefault="009C037F" w:rsidP="009C037F">
      <w:pPr>
        <w:spacing w:before="0"/>
        <w:jc w:val="both"/>
      </w:pPr>
    </w:p>
    <w:p w:rsidR="009C037F" w:rsidRPr="009C037F" w:rsidRDefault="009C037F" w:rsidP="009C037F">
      <w:pPr>
        <w:spacing w:before="0"/>
        <w:jc w:val="both"/>
      </w:pPr>
      <w:r w:rsidRPr="009C037F">
        <w:t>BNY Mellon supports deletion of Article 3(11), 3(12) and 3(13).</w:t>
      </w:r>
    </w:p>
    <w:p w:rsidR="009C037F" w:rsidRPr="009C037F" w:rsidRDefault="009C037F" w:rsidP="009C037F">
      <w:pPr>
        <w:spacing w:before="0"/>
        <w:jc w:val="both"/>
      </w:pPr>
    </w:p>
    <w:p w:rsidR="009C037F" w:rsidRPr="009C037F" w:rsidRDefault="009C037F" w:rsidP="009C037F">
      <w:pPr>
        <w:spacing w:before="0"/>
        <w:jc w:val="both"/>
      </w:pPr>
      <w:r w:rsidRPr="009C037F">
        <w:t xml:space="preserve">The functionalities of hold and release, recycling and partial settlement are needed by </w:t>
      </w:r>
      <w:proofErr w:type="spellStart"/>
      <w:r w:rsidRPr="009C037F">
        <w:t>CSD</w:t>
      </w:r>
      <w:proofErr w:type="spellEnd"/>
      <w:r w:rsidRPr="009C037F">
        <w:t xml:space="preserve"> participants, including other </w:t>
      </w:r>
      <w:proofErr w:type="spellStart"/>
      <w:r w:rsidRPr="009C037F">
        <w:t>CSDs</w:t>
      </w:r>
      <w:proofErr w:type="spellEnd"/>
      <w:r w:rsidRPr="009C037F">
        <w:t>.</w:t>
      </w:r>
    </w:p>
    <w:p w:rsidR="009C037F" w:rsidRPr="009C037F" w:rsidRDefault="009C037F" w:rsidP="009C037F">
      <w:pPr>
        <w:spacing w:before="0"/>
        <w:jc w:val="both"/>
        <w:rPr>
          <w:b/>
        </w:rPr>
      </w:pPr>
    </w:p>
    <w:p w:rsidR="009C037F" w:rsidRPr="009C037F" w:rsidRDefault="009C037F" w:rsidP="009C037F">
      <w:pPr>
        <w:spacing w:before="0"/>
        <w:jc w:val="both"/>
        <w:rPr>
          <w:b/>
        </w:rPr>
      </w:pPr>
      <w:proofErr w:type="spellStart"/>
      <w:r w:rsidRPr="009C037F">
        <w:rPr>
          <w:b/>
        </w:rPr>
        <w:t>Q4</w:t>
      </w:r>
      <w:proofErr w:type="spellEnd"/>
      <w:r w:rsidRPr="009C037F">
        <w:rPr>
          <w:b/>
        </w:rPr>
        <w:t xml:space="preserve">: What are your views on the proposed draft </w:t>
      </w:r>
      <w:proofErr w:type="spellStart"/>
      <w:r w:rsidRPr="009C037F">
        <w:rPr>
          <w:b/>
        </w:rPr>
        <w:t>RTS</w:t>
      </w:r>
      <w:proofErr w:type="spellEnd"/>
      <w:r w:rsidRPr="009C037F">
        <w:rPr>
          <w:b/>
        </w:rPr>
        <w:t xml:space="preserve"> included in Chapter II of Annex I?</w:t>
      </w:r>
    </w:p>
    <w:p w:rsidR="009C037F" w:rsidRDefault="009C037F" w:rsidP="009C037F">
      <w:pPr>
        <w:spacing w:before="0"/>
        <w:jc w:val="both"/>
        <w:rPr>
          <w:b/>
        </w:rPr>
      </w:pPr>
    </w:p>
    <w:p w:rsidR="009C037F" w:rsidRPr="009C037F" w:rsidRDefault="009C037F" w:rsidP="009C037F">
      <w:pPr>
        <w:spacing w:before="0"/>
        <w:jc w:val="both"/>
        <w:rPr>
          <w:lang w:val="en-GB"/>
        </w:rPr>
      </w:pPr>
      <w:r w:rsidRPr="009C037F">
        <w:rPr>
          <w:lang w:val="en-GB"/>
        </w:rPr>
        <w:t>BNY Mellon opposes the inclusion in the list of mandatory fields of a field identifying the transaction type (Article 3(3</w:t>
      </w:r>
      <w:proofErr w:type="gramStart"/>
      <w:r w:rsidRPr="009C037F">
        <w:rPr>
          <w:lang w:val="en-GB"/>
        </w:rPr>
        <w:t>)(</w:t>
      </w:r>
      <w:proofErr w:type="gramEnd"/>
      <w:r w:rsidRPr="009C037F">
        <w:rPr>
          <w:lang w:val="en-GB"/>
        </w:rPr>
        <w:t>d) referring to Article 4(2)(e) and not (as specified in the paper) to Article 4(2)(f)).</w:t>
      </w:r>
    </w:p>
    <w:p w:rsidR="009C037F" w:rsidRPr="009C037F" w:rsidRDefault="009C037F" w:rsidP="009C037F">
      <w:pPr>
        <w:spacing w:before="0"/>
        <w:jc w:val="both"/>
        <w:rPr>
          <w:lang w:val="en-GB"/>
        </w:rPr>
      </w:pPr>
    </w:p>
    <w:p w:rsidR="009C037F" w:rsidRPr="009C037F" w:rsidRDefault="009C037F" w:rsidP="009C037F">
      <w:pPr>
        <w:spacing w:before="0"/>
        <w:jc w:val="both"/>
        <w:rPr>
          <w:lang w:val="en-GB"/>
        </w:rPr>
      </w:pPr>
      <w:r w:rsidRPr="009C037F">
        <w:rPr>
          <w:lang w:val="en-GB"/>
        </w:rPr>
        <w:t xml:space="preserve">BNY Mellon opposes the inclusion on the grounds that it would reduce the settlement efficiency of European </w:t>
      </w:r>
      <w:proofErr w:type="spellStart"/>
      <w:r w:rsidRPr="009C037F">
        <w:rPr>
          <w:lang w:val="en-GB"/>
        </w:rPr>
        <w:t>CSDs</w:t>
      </w:r>
      <w:proofErr w:type="spellEnd"/>
      <w:r w:rsidRPr="009C037F">
        <w:rPr>
          <w:lang w:val="en-GB"/>
        </w:rPr>
        <w:t xml:space="preserve">. If this field were a mandatory matching field, then there would be an increase in the risk of mismatches, and there would not be any benefits from a reduction in the risk of cross-matching. In short, the core settlement service of European </w:t>
      </w:r>
      <w:proofErr w:type="spellStart"/>
      <w:r w:rsidRPr="009C037F">
        <w:rPr>
          <w:lang w:val="en-GB"/>
        </w:rPr>
        <w:t>CSDs</w:t>
      </w:r>
      <w:proofErr w:type="spellEnd"/>
      <w:r w:rsidRPr="009C037F">
        <w:rPr>
          <w:lang w:val="en-GB"/>
        </w:rPr>
        <w:t xml:space="preserve"> would be impaired.</w:t>
      </w:r>
    </w:p>
    <w:p w:rsidR="009C037F" w:rsidRPr="009C037F" w:rsidRDefault="009C037F" w:rsidP="009C037F">
      <w:pPr>
        <w:spacing w:before="0"/>
        <w:jc w:val="both"/>
        <w:rPr>
          <w:lang w:val="en-GB"/>
        </w:rPr>
      </w:pPr>
    </w:p>
    <w:p w:rsidR="009C037F" w:rsidRPr="009C037F" w:rsidRDefault="009C037F" w:rsidP="009C037F">
      <w:pPr>
        <w:spacing w:before="0"/>
        <w:jc w:val="both"/>
        <w:rPr>
          <w:lang w:val="en-GB"/>
        </w:rPr>
      </w:pPr>
      <w:r w:rsidRPr="009C037F">
        <w:rPr>
          <w:lang w:val="en-GB"/>
        </w:rPr>
        <w:t xml:space="preserve">BNY Mellon understands that there are two reasons for </w:t>
      </w:r>
      <w:proofErr w:type="spellStart"/>
      <w:r w:rsidRPr="009C037F">
        <w:rPr>
          <w:lang w:val="en-GB"/>
        </w:rPr>
        <w:t>ESMA’s</w:t>
      </w:r>
      <w:proofErr w:type="spellEnd"/>
      <w:r w:rsidRPr="009C037F">
        <w:rPr>
          <w:lang w:val="en-GB"/>
        </w:rPr>
        <w:t xml:space="preserve"> proposal. The first reason is to improve the quality of information about settlement activity that is available at the </w:t>
      </w:r>
      <w:proofErr w:type="spellStart"/>
      <w:r w:rsidRPr="009C037F">
        <w:rPr>
          <w:lang w:val="en-GB"/>
        </w:rPr>
        <w:t>CSD</w:t>
      </w:r>
      <w:proofErr w:type="spellEnd"/>
      <w:r w:rsidRPr="009C037F">
        <w:rPr>
          <w:lang w:val="en-GB"/>
        </w:rPr>
        <w:t>; in this context, ESMA suggests that such an improvement may also bring benefits with respect to obligations for reporting under the Securities Financing Transactions Regulation (</w:t>
      </w:r>
      <w:proofErr w:type="spellStart"/>
      <w:r w:rsidRPr="009C037F">
        <w:rPr>
          <w:lang w:val="en-GB"/>
        </w:rPr>
        <w:t>SFTR</w:t>
      </w:r>
      <w:proofErr w:type="spellEnd"/>
      <w:r w:rsidRPr="009C037F">
        <w:rPr>
          <w:lang w:val="en-GB"/>
        </w:rPr>
        <w:t>).</w:t>
      </w:r>
    </w:p>
    <w:p w:rsidR="009C037F" w:rsidRPr="009C037F" w:rsidRDefault="009C037F" w:rsidP="009C037F">
      <w:pPr>
        <w:spacing w:before="0"/>
        <w:jc w:val="both"/>
        <w:rPr>
          <w:lang w:val="en-GB"/>
        </w:rPr>
      </w:pPr>
    </w:p>
    <w:p w:rsidR="009C037F" w:rsidRPr="009C037F" w:rsidRDefault="009C037F" w:rsidP="009C037F">
      <w:pPr>
        <w:spacing w:before="0"/>
        <w:jc w:val="both"/>
        <w:rPr>
          <w:lang w:val="en-GB"/>
        </w:rPr>
      </w:pPr>
      <w:r w:rsidRPr="009C037F">
        <w:rPr>
          <w:lang w:val="en-GB"/>
        </w:rPr>
        <w:t>BNY Mellon has the following comments with respect to this reason:</w:t>
      </w:r>
    </w:p>
    <w:p w:rsidR="009C037F" w:rsidRPr="009C037F" w:rsidRDefault="009C037F" w:rsidP="009C037F">
      <w:pPr>
        <w:spacing w:before="0"/>
        <w:jc w:val="both"/>
        <w:rPr>
          <w:lang w:val="en-GB"/>
        </w:rPr>
      </w:pPr>
    </w:p>
    <w:p w:rsidR="009C037F" w:rsidRPr="009C037F" w:rsidRDefault="009C037F" w:rsidP="009C037F">
      <w:pPr>
        <w:numPr>
          <w:ilvl w:val="0"/>
          <w:numId w:val="12"/>
        </w:numPr>
        <w:spacing w:before="0"/>
        <w:jc w:val="both"/>
        <w:rPr>
          <w:lang w:val="en-GB"/>
        </w:rPr>
      </w:pPr>
      <w:r w:rsidRPr="009C037F">
        <w:rPr>
          <w:lang w:val="en-GB"/>
        </w:rPr>
        <w:t xml:space="preserve">As many </w:t>
      </w:r>
      <w:proofErr w:type="spellStart"/>
      <w:r w:rsidRPr="009C037F">
        <w:rPr>
          <w:lang w:val="en-GB"/>
        </w:rPr>
        <w:t>CSDs</w:t>
      </w:r>
      <w:proofErr w:type="spellEnd"/>
      <w:r w:rsidRPr="009C037F">
        <w:rPr>
          <w:lang w:val="en-GB"/>
        </w:rPr>
        <w:t xml:space="preserve"> already use, or will use, a transaction type as a mandatory instruction field, making the field a mandatory matching field may not actually improve the situation; it should also be noted that to avoid the risk of mismatches there will be an incentive for market participants to use one single code for as much activity as possible; in order to improve the quality of the information contained in this mandatory instruction field, there are other options open to ESMA.</w:t>
      </w:r>
    </w:p>
    <w:p w:rsidR="009C037F" w:rsidRPr="009C037F" w:rsidRDefault="009C037F" w:rsidP="009C037F">
      <w:pPr>
        <w:numPr>
          <w:ilvl w:val="0"/>
          <w:numId w:val="12"/>
        </w:numPr>
        <w:spacing w:before="0"/>
        <w:jc w:val="both"/>
        <w:rPr>
          <w:lang w:val="en-GB"/>
        </w:rPr>
      </w:pPr>
      <w:r w:rsidRPr="009C037F">
        <w:rPr>
          <w:lang w:val="en-GB"/>
        </w:rPr>
        <w:t xml:space="preserve">We are as yet unaware of any potential </w:t>
      </w:r>
      <w:proofErr w:type="spellStart"/>
      <w:r w:rsidRPr="009C037F">
        <w:rPr>
          <w:lang w:val="en-GB"/>
        </w:rPr>
        <w:t>SFTR</w:t>
      </w:r>
      <w:proofErr w:type="spellEnd"/>
      <w:r w:rsidRPr="009C037F">
        <w:rPr>
          <w:lang w:val="en-GB"/>
        </w:rPr>
        <w:t xml:space="preserve"> reporting benefits in having the information available at </w:t>
      </w:r>
      <w:proofErr w:type="spellStart"/>
      <w:r w:rsidRPr="009C037F">
        <w:rPr>
          <w:lang w:val="en-GB"/>
        </w:rPr>
        <w:t>CSD</w:t>
      </w:r>
      <w:proofErr w:type="spellEnd"/>
      <w:r w:rsidRPr="009C037F">
        <w:rPr>
          <w:lang w:val="en-GB"/>
        </w:rPr>
        <w:t xml:space="preserve"> level; we believe that securities settlement instructions cannot function as a mechanism to fulfil </w:t>
      </w:r>
      <w:proofErr w:type="spellStart"/>
      <w:r w:rsidRPr="009C037F">
        <w:rPr>
          <w:lang w:val="en-GB"/>
        </w:rPr>
        <w:t>SFTR</w:t>
      </w:r>
      <w:proofErr w:type="spellEnd"/>
      <w:r w:rsidRPr="009C037F">
        <w:rPr>
          <w:lang w:val="en-GB"/>
        </w:rPr>
        <w:t xml:space="preserve"> reporting obligations.</w:t>
      </w:r>
    </w:p>
    <w:p w:rsidR="009C037F" w:rsidRPr="009C037F" w:rsidRDefault="009C037F" w:rsidP="009C037F">
      <w:pPr>
        <w:numPr>
          <w:ilvl w:val="0"/>
          <w:numId w:val="12"/>
        </w:numPr>
        <w:spacing w:before="0"/>
        <w:jc w:val="both"/>
        <w:rPr>
          <w:lang w:val="en-GB"/>
        </w:rPr>
      </w:pPr>
      <w:r w:rsidRPr="009C037F">
        <w:rPr>
          <w:lang w:val="en-GB"/>
        </w:rPr>
        <w:t>If ESMA were to go ahead with the proposal to make the transaction type a mandatory matching field, then it would be critical that the codes used follow ISO standards; mandating the use of a specifically European standard would greatly increase the frequency of matching failures, especially given that non-European investors are very important participants in European securities markets.</w:t>
      </w:r>
    </w:p>
    <w:p w:rsidR="009C037F" w:rsidRPr="009C037F" w:rsidRDefault="009C037F" w:rsidP="009C037F">
      <w:pPr>
        <w:spacing w:before="0"/>
        <w:jc w:val="both"/>
        <w:rPr>
          <w:lang w:val="en-GB"/>
        </w:rPr>
      </w:pPr>
    </w:p>
    <w:p w:rsidR="009C037F" w:rsidRPr="009C037F" w:rsidRDefault="009C037F" w:rsidP="009C037F">
      <w:pPr>
        <w:spacing w:before="0"/>
        <w:jc w:val="both"/>
        <w:rPr>
          <w:lang w:val="en-GB"/>
        </w:rPr>
      </w:pPr>
      <w:r w:rsidRPr="009C037F">
        <w:rPr>
          <w:lang w:val="en-GB"/>
        </w:rPr>
        <w:t xml:space="preserve">The second reason for </w:t>
      </w:r>
      <w:proofErr w:type="spellStart"/>
      <w:r w:rsidRPr="009C037F">
        <w:rPr>
          <w:lang w:val="en-GB"/>
        </w:rPr>
        <w:t>ESMA’s</w:t>
      </w:r>
      <w:proofErr w:type="spellEnd"/>
      <w:r w:rsidRPr="009C037F">
        <w:rPr>
          <w:lang w:val="en-GB"/>
        </w:rPr>
        <w:t xml:space="preserve"> proposal is related to </w:t>
      </w:r>
      <w:proofErr w:type="spellStart"/>
      <w:r w:rsidRPr="009C037F">
        <w:rPr>
          <w:lang w:val="en-GB"/>
        </w:rPr>
        <w:t>ESMA’s</w:t>
      </w:r>
      <w:proofErr w:type="spellEnd"/>
      <w:r w:rsidRPr="009C037F">
        <w:rPr>
          <w:lang w:val="en-GB"/>
        </w:rPr>
        <w:t xml:space="preserve"> proposals relating to buy-in procedures.</w:t>
      </w:r>
    </w:p>
    <w:p w:rsidR="009C037F" w:rsidRPr="009C037F" w:rsidRDefault="009C037F" w:rsidP="009C037F">
      <w:pPr>
        <w:spacing w:before="0"/>
        <w:jc w:val="both"/>
        <w:rPr>
          <w:lang w:val="en-GB"/>
        </w:rPr>
      </w:pPr>
    </w:p>
    <w:p w:rsidR="009C037F" w:rsidRPr="009C037F" w:rsidRDefault="009C037F" w:rsidP="009C037F">
      <w:pPr>
        <w:spacing w:before="0"/>
        <w:jc w:val="both"/>
        <w:rPr>
          <w:lang w:val="en-GB"/>
        </w:rPr>
      </w:pPr>
      <w:r w:rsidRPr="009C037F">
        <w:rPr>
          <w:lang w:val="en-GB"/>
        </w:rPr>
        <w:lastRenderedPageBreak/>
        <w:t xml:space="preserve">As BNY Mellon has set out in its answer to Question 7 of this consultation paper, BNY Mellon believes very strongly that buy-ins should not be processed at the settlement layer, but should be processed at the trading layer. </w:t>
      </w:r>
    </w:p>
    <w:p w:rsidR="009C037F" w:rsidRPr="009C037F" w:rsidRDefault="009C037F" w:rsidP="009C037F">
      <w:pPr>
        <w:spacing w:before="0"/>
        <w:jc w:val="both"/>
        <w:rPr>
          <w:lang w:val="en-GB"/>
        </w:rPr>
      </w:pPr>
    </w:p>
    <w:p w:rsidR="009C037F" w:rsidRPr="009C037F" w:rsidRDefault="009C037F" w:rsidP="009C037F">
      <w:pPr>
        <w:spacing w:before="0"/>
        <w:jc w:val="both"/>
        <w:rPr>
          <w:lang w:val="en-GB"/>
        </w:rPr>
      </w:pPr>
      <w:r w:rsidRPr="009C037F">
        <w:rPr>
          <w:lang w:val="en-GB"/>
        </w:rPr>
        <w:t>In consequence, there is no requirement for securities settlement instructions to contain specific information that is necessary for a buy-in process at the settlement level.</w:t>
      </w:r>
    </w:p>
    <w:p w:rsidR="009C037F" w:rsidRPr="009C037F" w:rsidRDefault="009C037F" w:rsidP="009C037F">
      <w:pPr>
        <w:spacing w:before="0"/>
        <w:jc w:val="both"/>
        <w:rPr>
          <w:lang w:val="en-GB"/>
        </w:rPr>
      </w:pPr>
    </w:p>
    <w:p w:rsidR="009C037F" w:rsidRPr="009C037F" w:rsidRDefault="009C037F" w:rsidP="009C037F">
      <w:pPr>
        <w:spacing w:before="0"/>
        <w:jc w:val="both"/>
        <w:rPr>
          <w:lang w:val="en-GB"/>
        </w:rPr>
      </w:pPr>
      <w:r w:rsidRPr="009C037F">
        <w:rPr>
          <w:lang w:val="en-GB"/>
        </w:rPr>
        <w:t xml:space="preserve">If, nonetheless, ESMA maintains its proposal for buy-ins to take place at the settlement level, then it is certainly the case that </w:t>
      </w:r>
      <w:proofErr w:type="spellStart"/>
      <w:r w:rsidRPr="009C037F">
        <w:rPr>
          <w:lang w:val="en-GB"/>
        </w:rPr>
        <w:t>CSDs</w:t>
      </w:r>
      <w:proofErr w:type="spellEnd"/>
      <w:r w:rsidRPr="009C037F">
        <w:rPr>
          <w:lang w:val="en-GB"/>
        </w:rPr>
        <w:t xml:space="preserve"> and </w:t>
      </w:r>
      <w:proofErr w:type="spellStart"/>
      <w:r w:rsidRPr="009C037F">
        <w:rPr>
          <w:lang w:val="en-GB"/>
        </w:rPr>
        <w:t>CSD</w:t>
      </w:r>
      <w:proofErr w:type="spellEnd"/>
      <w:r w:rsidRPr="009C037F">
        <w:rPr>
          <w:lang w:val="en-GB"/>
        </w:rPr>
        <w:t xml:space="preserve"> participants will need to receive in securities settlement instructions relevant information that would allow them to fulfil their obligations. BNY Mellon agrees that such information would need to be contained within a mandatory matching field, as the information would affect the lifecycle of a securities settlement instruction.</w:t>
      </w:r>
    </w:p>
    <w:p w:rsidR="009C037F" w:rsidRPr="009C037F" w:rsidRDefault="009C037F" w:rsidP="009C037F">
      <w:pPr>
        <w:spacing w:before="0"/>
        <w:jc w:val="both"/>
        <w:rPr>
          <w:lang w:val="en-GB"/>
        </w:rPr>
      </w:pPr>
    </w:p>
    <w:p w:rsidR="009C037F" w:rsidRPr="009C037F" w:rsidRDefault="009C037F" w:rsidP="009C037F">
      <w:pPr>
        <w:spacing w:before="0"/>
        <w:jc w:val="both"/>
        <w:rPr>
          <w:lang w:val="en-GB"/>
        </w:rPr>
      </w:pPr>
      <w:r w:rsidRPr="009C037F">
        <w:rPr>
          <w:lang w:val="en-GB"/>
        </w:rPr>
        <w:t>BNY Mellon believes that ISO-compliant transaction type codes would be unable to provide a sufficient granularity of information for the purposes of buy-in processing; BNY Mellon believes that this would also be the case in the event of Europe-specific transaction codes; BNY Mellon considers it likely that placing buy-in obligations at the settlement level will require a second, buy-in-specific, mandatory matching field.</w:t>
      </w:r>
    </w:p>
    <w:p w:rsidR="009C037F" w:rsidRPr="009C037F" w:rsidRDefault="009C037F" w:rsidP="009C037F">
      <w:pPr>
        <w:spacing w:before="0"/>
        <w:jc w:val="both"/>
        <w:rPr>
          <w:lang w:val="en-GB"/>
        </w:rPr>
      </w:pPr>
    </w:p>
    <w:p w:rsidR="009C037F" w:rsidRPr="009C037F" w:rsidRDefault="009C037F" w:rsidP="009C037F">
      <w:pPr>
        <w:spacing w:before="0"/>
        <w:jc w:val="both"/>
        <w:rPr>
          <w:lang w:val="en-GB"/>
        </w:rPr>
      </w:pPr>
      <w:r w:rsidRPr="009C037F">
        <w:rPr>
          <w:lang w:val="en-GB"/>
        </w:rPr>
        <w:t>It is important to note that BNY Mellon is not arguing in favour of such a second, buy-in-specific, mandatory matching field; BNY Mellon sees the requirement for such a second field, as being a further strong reason why buy-in processing should not be placed at the settlement level.</w:t>
      </w:r>
    </w:p>
    <w:p w:rsidR="009C037F" w:rsidRPr="009C037F" w:rsidRDefault="009C037F" w:rsidP="009C037F">
      <w:pPr>
        <w:spacing w:before="0"/>
        <w:jc w:val="both"/>
        <w:rPr>
          <w:lang w:val="en-GB"/>
        </w:rPr>
      </w:pPr>
    </w:p>
    <w:p w:rsidR="009C037F" w:rsidRPr="00355E0A" w:rsidRDefault="009C037F" w:rsidP="009C037F">
      <w:pPr>
        <w:spacing w:before="0"/>
        <w:jc w:val="both"/>
        <w:rPr>
          <w:lang w:val="en-GB"/>
        </w:rPr>
      </w:pPr>
      <w:r w:rsidRPr="009C037F">
        <w:rPr>
          <w:lang w:val="en-GB"/>
        </w:rPr>
        <w:t>If – despite the arguments set out above – ESMA does propose changes to the list of mandatory</w:t>
      </w:r>
      <w:r w:rsidR="00355E0A">
        <w:rPr>
          <w:lang w:val="en-GB"/>
        </w:rPr>
        <w:t xml:space="preserve"> </w:t>
      </w:r>
      <w:proofErr w:type="spellStart"/>
      <w:r w:rsidRPr="009C037F">
        <w:rPr>
          <w:lang w:val="en-GB"/>
        </w:rPr>
        <w:t>T2S</w:t>
      </w:r>
      <w:proofErr w:type="spellEnd"/>
      <w:r w:rsidRPr="009C037F">
        <w:rPr>
          <w:lang w:val="en-GB"/>
        </w:rPr>
        <w:t xml:space="preserve"> matching fields, and to the ISO standards, </w:t>
      </w:r>
      <w:proofErr w:type="gramStart"/>
      <w:r w:rsidRPr="009C037F">
        <w:rPr>
          <w:lang w:val="en-GB"/>
        </w:rPr>
        <w:t>then</w:t>
      </w:r>
      <w:proofErr w:type="gramEnd"/>
      <w:r w:rsidRPr="009C037F">
        <w:rPr>
          <w:lang w:val="en-GB"/>
        </w:rPr>
        <w:t xml:space="preserve"> ESMA will be introducing dependencies on, among other things, the </w:t>
      </w:r>
      <w:proofErr w:type="spellStart"/>
      <w:r w:rsidRPr="009C037F">
        <w:rPr>
          <w:lang w:val="en-GB"/>
        </w:rPr>
        <w:t>T2S</w:t>
      </w:r>
      <w:proofErr w:type="spellEnd"/>
      <w:r w:rsidRPr="009C037F">
        <w:rPr>
          <w:lang w:val="en-GB"/>
        </w:rPr>
        <w:t xml:space="preserve"> and ISO change processes. </w:t>
      </w:r>
    </w:p>
    <w:p w:rsidR="009C037F" w:rsidRPr="009C037F" w:rsidRDefault="009C037F" w:rsidP="009C037F">
      <w:pPr>
        <w:spacing w:before="0"/>
        <w:jc w:val="both"/>
        <w:rPr>
          <w:b/>
        </w:rPr>
      </w:pPr>
    </w:p>
    <w:p w:rsidR="004A0C91" w:rsidRDefault="009C037F" w:rsidP="009C037F">
      <w:pPr>
        <w:spacing w:before="0"/>
        <w:jc w:val="both"/>
        <w:rPr>
          <w:b/>
        </w:rPr>
      </w:pPr>
      <w:proofErr w:type="spellStart"/>
      <w:r w:rsidRPr="009C037F">
        <w:rPr>
          <w:b/>
        </w:rPr>
        <w:t>Q6</w:t>
      </w:r>
      <w:proofErr w:type="spellEnd"/>
      <w:r w:rsidRPr="009C037F">
        <w:rPr>
          <w:b/>
        </w:rPr>
        <w:t xml:space="preserve">: What are your views on the proposed draft </w:t>
      </w:r>
      <w:proofErr w:type="spellStart"/>
      <w:r w:rsidRPr="009C037F">
        <w:rPr>
          <w:b/>
        </w:rPr>
        <w:t>RTS</w:t>
      </w:r>
      <w:proofErr w:type="spellEnd"/>
      <w:r w:rsidRPr="009C037F">
        <w:rPr>
          <w:b/>
        </w:rPr>
        <w:t xml:space="preserve"> related to the penalty mechanism? Do you agree that when </w:t>
      </w:r>
      <w:proofErr w:type="spellStart"/>
      <w:r w:rsidRPr="009C037F">
        <w:rPr>
          <w:b/>
        </w:rPr>
        <w:t>CSDs</w:t>
      </w:r>
      <w:proofErr w:type="spellEnd"/>
      <w:r w:rsidRPr="009C037F">
        <w:rPr>
          <w:b/>
        </w:rPr>
        <w:t xml:space="preserve"> use a common settlement infrastructure, the procedures for cash penal</w:t>
      </w:r>
      <w:r w:rsidR="004A0C91">
        <w:rPr>
          <w:b/>
        </w:rPr>
        <w:t>ties should be jointly managed?</w:t>
      </w:r>
    </w:p>
    <w:p w:rsidR="004A0C91" w:rsidRDefault="004A0C91" w:rsidP="009C037F">
      <w:pPr>
        <w:spacing w:before="0"/>
        <w:jc w:val="both"/>
        <w:rPr>
          <w:b/>
        </w:rPr>
      </w:pPr>
    </w:p>
    <w:p w:rsidR="004A0C91" w:rsidRPr="004A0C91" w:rsidRDefault="004A0C91" w:rsidP="004A0C91">
      <w:pPr>
        <w:spacing w:before="0"/>
        <w:jc w:val="both"/>
      </w:pPr>
      <w:r w:rsidRPr="004A0C91">
        <w:t>BNY Mellon supports significant parts of the proposals, but it also has major concerns.</w:t>
      </w:r>
    </w:p>
    <w:p w:rsidR="004A0C91" w:rsidRPr="004A0C91" w:rsidRDefault="004A0C91" w:rsidP="004A0C91">
      <w:pPr>
        <w:spacing w:before="0"/>
        <w:jc w:val="both"/>
      </w:pPr>
    </w:p>
    <w:p w:rsidR="004A0C91" w:rsidRPr="004A0C91" w:rsidRDefault="004A0C91" w:rsidP="004A0C91">
      <w:pPr>
        <w:spacing w:before="0"/>
        <w:jc w:val="both"/>
      </w:pPr>
      <w:r w:rsidRPr="004A0C91">
        <w:t xml:space="preserve">BNY Mellon supports </w:t>
      </w:r>
      <w:proofErr w:type="spellStart"/>
      <w:r w:rsidRPr="004A0C91">
        <w:t>ESMA's</w:t>
      </w:r>
      <w:proofErr w:type="spellEnd"/>
      <w:r w:rsidRPr="004A0C91">
        <w:t xml:space="preserve"> views expressed in paragraph 59 that it is important to </w:t>
      </w:r>
      <w:proofErr w:type="spellStart"/>
      <w:r w:rsidRPr="004A0C91">
        <w:t>harmonise</w:t>
      </w:r>
      <w:proofErr w:type="spellEnd"/>
      <w:r w:rsidRPr="004A0C91">
        <w:t xml:space="preserve"> the penalty mechanism and to apply a single model across the Union. </w:t>
      </w:r>
    </w:p>
    <w:p w:rsidR="004A0C91" w:rsidRPr="004A0C91" w:rsidRDefault="004A0C91" w:rsidP="004A0C91">
      <w:pPr>
        <w:spacing w:before="0"/>
        <w:jc w:val="both"/>
      </w:pPr>
    </w:p>
    <w:p w:rsidR="004A0C91" w:rsidRPr="004A0C91" w:rsidRDefault="004A0C91" w:rsidP="004A0C91">
      <w:pPr>
        <w:spacing w:before="0"/>
        <w:jc w:val="both"/>
      </w:pPr>
      <w:r w:rsidRPr="004A0C91">
        <w:t xml:space="preserve">BNY Mellon supports the proposal that </w:t>
      </w:r>
      <w:proofErr w:type="spellStart"/>
      <w:r w:rsidRPr="004A0C91">
        <w:t>CSDs</w:t>
      </w:r>
      <w:proofErr w:type="spellEnd"/>
      <w:r w:rsidRPr="004A0C91">
        <w:t xml:space="preserve"> pass on relevant information to </w:t>
      </w:r>
      <w:proofErr w:type="spellStart"/>
      <w:r w:rsidRPr="004A0C91">
        <w:t>CCPs</w:t>
      </w:r>
      <w:proofErr w:type="spellEnd"/>
      <w:r w:rsidRPr="004A0C91">
        <w:t xml:space="preserve"> so that </w:t>
      </w:r>
      <w:proofErr w:type="spellStart"/>
      <w:r w:rsidRPr="004A0C91">
        <w:t>CCPs</w:t>
      </w:r>
      <w:proofErr w:type="spellEnd"/>
      <w:r w:rsidRPr="004A0C91">
        <w:t xml:space="preserve"> can charge, and compensate, their clearing members.</w:t>
      </w:r>
    </w:p>
    <w:p w:rsidR="004A0C91" w:rsidRPr="004A0C91" w:rsidRDefault="004A0C91" w:rsidP="004A0C91">
      <w:pPr>
        <w:spacing w:before="0"/>
        <w:jc w:val="both"/>
      </w:pPr>
    </w:p>
    <w:p w:rsidR="004A0C91" w:rsidRPr="004A0C91" w:rsidRDefault="004A0C91" w:rsidP="004A0C91">
      <w:pPr>
        <w:spacing w:before="0"/>
        <w:jc w:val="both"/>
      </w:pPr>
      <w:r w:rsidRPr="004A0C91">
        <w:t xml:space="preserve">BNY Mellon supports </w:t>
      </w:r>
      <w:proofErr w:type="spellStart"/>
      <w:r w:rsidRPr="004A0C91">
        <w:t>ESMA's</w:t>
      </w:r>
      <w:proofErr w:type="spellEnd"/>
      <w:r w:rsidRPr="004A0C91">
        <w:t xml:space="preserve"> conclusion that when </w:t>
      </w:r>
      <w:proofErr w:type="spellStart"/>
      <w:r w:rsidRPr="004A0C91">
        <w:t>CSDs</w:t>
      </w:r>
      <w:proofErr w:type="spellEnd"/>
      <w:r w:rsidRPr="004A0C91">
        <w:t xml:space="preserve"> use a common settlement infrastructure the procedures for cash penalties should be jointly managed. </w:t>
      </w:r>
    </w:p>
    <w:p w:rsidR="004A0C91" w:rsidRPr="004A0C91" w:rsidRDefault="004A0C91" w:rsidP="004A0C91">
      <w:pPr>
        <w:spacing w:before="0"/>
        <w:jc w:val="both"/>
      </w:pPr>
    </w:p>
    <w:p w:rsidR="004A0C91" w:rsidRPr="004A0C91" w:rsidRDefault="004A0C91" w:rsidP="004A0C91">
      <w:pPr>
        <w:spacing w:before="0"/>
        <w:jc w:val="both"/>
      </w:pPr>
      <w:r w:rsidRPr="004A0C91">
        <w:t xml:space="preserve">We fully  agree with </w:t>
      </w:r>
      <w:proofErr w:type="spellStart"/>
      <w:r w:rsidRPr="004A0C91">
        <w:t>ESMA’s</w:t>
      </w:r>
      <w:proofErr w:type="spellEnd"/>
      <w:r w:rsidRPr="004A0C91">
        <w:t xml:space="preserve"> acknowledgment in paragraph 37 of the Consultation Paper on the Technical Advice, the penalty “is not designed to replicate exactly the loss incurred by the failed participant, or the gains achieved by the failing participant”; in the same paragraph, the Paper further explains that the penalty “is not structured to compensate for the loss that a counterparty may suffer and that is part of the contractual arrangement between the counterparties”, and that it “is an add-on to any claim in compensation that the failed party may contractually have over the failing counterparty”. </w:t>
      </w:r>
    </w:p>
    <w:p w:rsidR="004A0C91" w:rsidRPr="004A0C91" w:rsidRDefault="004A0C91" w:rsidP="004A0C91">
      <w:pPr>
        <w:spacing w:before="0"/>
        <w:jc w:val="both"/>
      </w:pPr>
    </w:p>
    <w:p w:rsidR="004A0C91" w:rsidRPr="004A0C91" w:rsidRDefault="004A0C91" w:rsidP="004A0C91">
      <w:pPr>
        <w:spacing w:before="0"/>
        <w:jc w:val="both"/>
      </w:pPr>
      <w:r w:rsidRPr="004A0C91">
        <w:t xml:space="preserve">We believe that this is a fundamental point. As no </w:t>
      </w:r>
      <w:proofErr w:type="spellStart"/>
      <w:r w:rsidRPr="004A0C91">
        <w:t>CSD</w:t>
      </w:r>
      <w:proofErr w:type="spellEnd"/>
      <w:r w:rsidRPr="004A0C91">
        <w:t xml:space="preserve"> has full information as to the underlying causes of all settlement fails, no centralized penalty or compensation mechanism </w:t>
      </w:r>
      <w:r w:rsidRPr="004A0C91">
        <w:lastRenderedPageBreak/>
        <w:t>can in all circumstances correctly assign responsibility for a settlement fail; nor can it ensure that the penalty that is calculated compensates appropriately for the prejudice caused.</w:t>
      </w:r>
    </w:p>
    <w:p w:rsidR="004A0C91" w:rsidRPr="004A0C91" w:rsidRDefault="004A0C91" w:rsidP="004A0C91">
      <w:pPr>
        <w:spacing w:before="0"/>
        <w:jc w:val="both"/>
      </w:pPr>
    </w:p>
    <w:p w:rsidR="004A0C91" w:rsidRPr="004A0C91" w:rsidRDefault="004A0C91" w:rsidP="004A0C91">
      <w:pPr>
        <w:spacing w:before="0"/>
        <w:jc w:val="both"/>
      </w:pPr>
      <w:r w:rsidRPr="004A0C91">
        <w:t>The design of a centralized penalty or compensation mechanism should be driven by two considerations: (</w:t>
      </w:r>
      <w:proofErr w:type="spellStart"/>
      <w:r w:rsidRPr="004A0C91">
        <w:t>i</w:t>
      </w:r>
      <w:proofErr w:type="spellEnd"/>
      <w:r w:rsidRPr="004A0C91">
        <w:t>) the mechanism should create incentives for good behavior (and/or disincentives for bad behavior); and (ii) it should facilitate efficiency in operational processing.</w:t>
      </w:r>
    </w:p>
    <w:p w:rsidR="004A0C91" w:rsidRPr="004A0C91" w:rsidRDefault="004A0C91" w:rsidP="004A0C91">
      <w:pPr>
        <w:spacing w:before="0"/>
        <w:jc w:val="both"/>
      </w:pPr>
    </w:p>
    <w:p w:rsidR="004A0C91" w:rsidRPr="004A0C91" w:rsidRDefault="004A0C91" w:rsidP="004A0C91">
      <w:pPr>
        <w:spacing w:before="0"/>
        <w:jc w:val="both"/>
      </w:pPr>
      <w:r w:rsidRPr="004A0C91">
        <w:t>Some of the principal features of the proposed design are as follows:</w:t>
      </w:r>
    </w:p>
    <w:p w:rsidR="004A0C91" w:rsidRPr="004A0C91" w:rsidRDefault="004A0C91" w:rsidP="004A0C91">
      <w:pPr>
        <w:spacing w:before="0"/>
        <w:jc w:val="both"/>
      </w:pPr>
    </w:p>
    <w:p w:rsidR="004A0C91" w:rsidRPr="004A0C91" w:rsidRDefault="004A0C91" w:rsidP="004A0C91">
      <w:pPr>
        <w:numPr>
          <w:ilvl w:val="0"/>
          <w:numId w:val="14"/>
        </w:numPr>
        <w:spacing w:before="0"/>
        <w:jc w:val="both"/>
      </w:pPr>
      <w:r w:rsidRPr="004A0C91">
        <w:t>A penalty for each failing transaction, and for each day of late settlement;</w:t>
      </w:r>
    </w:p>
    <w:p w:rsidR="004A0C91" w:rsidRPr="004A0C91" w:rsidRDefault="004A0C91" w:rsidP="004A0C91">
      <w:pPr>
        <w:numPr>
          <w:ilvl w:val="0"/>
          <w:numId w:val="14"/>
        </w:numPr>
        <w:spacing w:before="0"/>
        <w:jc w:val="both"/>
      </w:pPr>
      <w:r w:rsidRPr="004A0C91">
        <w:t>Ad valorem fines;</w:t>
      </w:r>
    </w:p>
    <w:p w:rsidR="004A0C91" w:rsidRPr="004A0C91" w:rsidRDefault="004A0C91" w:rsidP="004A0C91">
      <w:pPr>
        <w:numPr>
          <w:ilvl w:val="0"/>
          <w:numId w:val="14"/>
        </w:numPr>
        <w:spacing w:before="0"/>
        <w:jc w:val="both"/>
      </w:pPr>
      <w:r w:rsidRPr="004A0C91">
        <w:t>Penalty amounts transferred fully from the failing party to its counterparty.</w:t>
      </w:r>
    </w:p>
    <w:p w:rsidR="004A0C91" w:rsidRPr="004A0C91" w:rsidRDefault="004A0C91" w:rsidP="004A0C91">
      <w:pPr>
        <w:spacing w:before="0"/>
        <w:jc w:val="both"/>
      </w:pPr>
    </w:p>
    <w:p w:rsidR="004A0C91" w:rsidRPr="004A0C91" w:rsidRDefault="004A0C91" w:rsidP="004A0C91">
      <w:pPr>
        <w:spacing w:before="0"/>
        <w:jc w:val="both"/>
      </w:pPr>
    </w:p>
    <w:p w:rsidR="004A0C91" w:rsidRPr="004A0C91" w:rsidRDefault="004A0C91" w:rsidP="004A0C91">
      <w:pPr>
        <w:spacing w:before="0"/>
        <w:jc w:val="both"/>
        <w:rPr>
          <w:u w:val="single"/>
        </w:rPr>
      </w:pPr>
      <w:r w:rsidRPr="004A0C91">
        <w:rPr>
          <w:u w:val="single"/>
        </w:rPr>
        <w:t>BNY Mellon’s main concerns are as follows:</w:t>
      </w:r>
    </w:p>
    <w:p w:rsidR="004A0C91" w:rsidRPr="004A0C91" w:rsidRDefault="004A0C91" w:rsidP="004A0C91">
      <w:pPr>
        <w:spacing w:before="0"/>
        <w:jc w:val="both"/>
      </w:pPr>
    </w:p>
    <w:p w:rsidR="004A0C91" w:rsidRPr="004A0C91" w:rsidRDefault="004A0C91" w:rsidP="004A0C91">
      <w:pPr>
        <w:spacing w:before="0"/>
        <w:jc w:val="both"/>
      </w:pPr>
      <w:r w:rsidRPr="004A0C91">
        <w:t>1/ Increased risk for settlement agents / Disincentives for good behavior</w:t>
      </w:r>
    </w:p>
    <w:p w:rsidR="004A0C91" w:rsidRPr="004A0C91" w:rsidRDefault="004A0C91" w:rsidP="004A0C91">
      <w:pPr>
        <w:spacing w:before="0"/>
        <w:jc w:val="both"/>
      </w:pPr>
    </w:p>
    <w:p w:rsidR="004A0C91" w:rsidRPr="004A0C91" w:rsidRDefault="004A0C91" w:rsidP="004A0C91">
      <w:pPr>
        <w:spacing w:before="0"/>
        <w:jc w:val="both"/>
      </w:pPr>
      <w:r w:rsidRPr="004A0C91">
        <w:t xml:space="preserve">As from point of matching a settlement agent can no longer unilaterally cancel an instruction, it is exposed to a potentially unlimited penalty fine (in the event that the underlying trading party has insufficient resources to settle a transaction); the penalty is unlimited as the instruction may remain pending in the </w:t>
      </w:r>
      <w:proofErr w:type="spellStart"/>
      <w:r w:rsidRPr="004A0C91">
        <w:t>CSD</w:t>
      </w:r>
      <w:proofErr w:type="spellEnd"/>
      <w:r w:rsidRPr="004A0C91">
        <w:t xml:space="preserve"> system for ever; the risk is compounded because fines are ad valorem. This has the effect that of </w:t>
      </w:r>
      <w:proofErr w:type="spellStart"/>
      <w:r w:rsidRPr="004A0C91">
        <w:t>disincentivising</w:t>
      </w:r>
      <w:proofErr w:type="spellEnd"/>
      <w:r w:rsidRPr="004A0C91">
        <w:t xml:space="preserve"> settlement agents from sending instructions to the </w:t>
      </w:r>
      <w:proofErr w:type="spellStart"/>
      <w:r w:rsidRPr="004A0C91">
        <w:t>CSD</w:t>
      </w:r>
      <w:proofErr w:type="spellEnd"/>
      <w:r w:rsidRPr="004A0C91">
        <w:t xml:space="preserve">. In particular, in situations of financial stress, this will reduce overall settlement efficiency of the </w:t>
      </w:r>
      <w:proofErr w:type="spellStart"/>
      <w:r w:rsidRPr="004A0C91">
        <w:t>CSD</w:t>
      </w:r>
      <w:proofErr w:type="spellEnd"/>
      <w:r w:rsidRPr="004A0C91">
        <w:t xml:space="preserve">. </w:t>
      </w:r>
    </w:p>
    <w:p w:rsidR="004A0C91" w:rsidRPr="004A0C91" w:rsidRDefault="004A0C91" w:rsidP="004A0C91">
      <w:pPr>
        <w:spacing w:before="0"/>
        <w:jc w:val="both"/>
      </w:pPr>
    </w:p>
    <w:p w:rsidR="004A0C91" w:rsidRPr="004A0C91" w:rsidRDefault="004A0C91" w:rsidP="004A0C91">
      <w:pPr>
        <w:spacing w:before="0"/>
        <w:jc w:val="both"/>
      </w:pPr>
      <w:r w:rsidRPr="004A0C91">
        <w:t>2/ Increased operational burden / High volumes of penalties</w:t>
      </w:r>
    </w:p>
    <w:p w:rsidR="004A0C91" w:rsidRPr="004A0C91" w:rsidRDefault="004A0C91" w:rsidP="004A0C91">
      <w:pPr>
        <w:spacing w:before="0"/>
        <w:jc w:val="both"/>
      </w:pPr>
    </w:p>
    <w:p w:rsidR="004A0C91" w:rsidRPr="004A0C91" w:rsidRDefault="004A0C91" w:rsidP="004A0C91">
      <w:pPr>
        <w:spacing w:before="0"/>
        <w:jc w:val="both"/>
      </w:pPr>
      <w:r w:rsidRPr="004A0C91">
        <w:t>The potential volume of penalty data will be very high, as there will be a separate penalty (and a separate calculation of the penalty) per failing transaction and per day. All intermediaries in the custody chain will have to reconcile the data and charges that they receive from their account provider, and then pass on the data and charges to their clients.</w:t>
      </w:r>
    </w:p>
    <w:p w:rsidR="004A0C91" w:rsidRPr="004A0C91" w:rsidRDefault="004A0C91" w:rsidP="004A0C91">
      <w:pPr>
        <w:spacing w:before="0"/>
        <w:jc w:val="both"/>
      </w:pPr>
    </w:p>
    <w:p w:rsidR="004A0C91" w:rsidRPr="004A0C91" w:rsidRDefault="004A0C91" w:rsidP="004A0C91">
      <w:pPr>
        <w:spacing w:before="0"/>
        <w:jc w:val="both"/>
      </w:pPr>
      <w:r w:rsidRPr="004A0C91">
        <w:t>3/ Increased operational burden / Increased volumes of corrections</w:t>
      </w:r>
    </w:p>
    <w:p w:rsidR="004A0C91" w:rsidRPr="004A0C91" w:rsidRDefault="004A0C91" w:rsidP="004A0C91">
      <w:pPr>
        <w:spacing w:before="0"/>
        <w:jc w:val="both"/>
      </w:pPr>
    </w:p>
    <w:p w:rsidR="004A0C91" w:rsidRPr="004A0C91" w:rsidRDefault="004A0C91" w:rsidP="004A0C91">
      <w:pPr>
        <w:spacing w:before="0"/>
        <w:jc w:val="both"/>
      </w:pPr>
      <w:r w:rsidRPr="004A0C91">
        <w:t xml:space="preserve">As there is a compensation for every single failed settlement, there will be a significant volume of corrections i.e. direct bilateral claims that serve to correct incorrect compensations. </w:t>
      </w:r>
    </w:p>
    <w:p w:rsidR="004A0C91" w:rsidRPr="004A0C91" w:rsidRDefault="004A0C91" w:rsidP="004A0C91">
      <w:pPr>
        <w:spacing w:before="0"/>
        <w:jc w:val="both"/>
      </w:pPr>
    </w:p>
    <w:p w:rsidR="004A0C91" w:rsidRPr="004A0C91" w:rsidRDefault="004A0C91" w:rsidP="004A0C91">
      <w:pPr>
        <w:spacing w:before="0"/>
        <w:jc w:val="both"/>
      </w:pPr>
      <w:r w:rsidRPr="004A0C91">
        <w:t xml:space="preserve">4/ Risk of </w:t>
      </w:r>
      <w:proofErr w:type="spellStart"/>
      <w:r w:rsidRPr="004A0C91">
        <w:t>unharmonised</w:t>
      </w:r>
      <w:proofErr w:type="spellEnd"/>
      <w:r w:rsidRPr="004A0C91">
        <w:t xml:space="preserve"> application of the rules</w:t>
      </w:r>
    </w:p>
    <w:p w:rsidR="004A0C91" w:rsidRPr="004A0C91" w:rsidRDefault="004A0C91" w:rsidP="004A0C91">
      <w:pPr>
        <w:spacing w:before="0"/>
        <w:jc w:val="both"/>
      </w:pPr>
    </w:p>
    <w:p w:rsidR="004A0C91" w:rsidRPr="004A0C91" w:rsidRDefault="004A0C91" w:rsidP="004A0C91">
      <w:pPr>
        <w:spacing w:before="0"/>
        <w:jc w:val="both"/>
      </w:pPr>
      <w:r w:rsidRPr="004A0C91">
        <w:t xml:space="preserve">The current design of the mechanism, as set out in Articles 7 and 8 of the draft </w:t>
      </w:r>
      <w:proofErr w:type="spellStart"/>
      <w:r w:rsidRPr="004A0C91">
        <w:t>RTS</w:t>
      </w:r>
      <w:proofErr w:type="spellEnd"/>
      <w:r w:rsidRPr="004A0C91">
        <w:t xml:space="preserve"> on settlement discipline, is insufficiently detailed and precise to ensure an outcome of each </w:t>
      </w:r>
      <w:proofErr w:type="spellStart"/>
      <w:r w:rsidRPr="004A0C91">
        <w:t>CSD</w:t>
      </w:r>
      <w:proofErr w:type="spellEnd"/>
      <w:r w:rsidRPr="004A0C91">
        <w:t xml:space="preserve"> in Europe applying the same penalty mechanism.</w:t>
      </w:r>
    </w:p>
    <w:p w:rsidR="004A0C91" w:rsidRPr="004A0C91" w:rsidRDefault="004A0C91" w:rsidP="004A0C91">
      <w:pPr>
        <w:spacing w:before="0"/>
        <w:jc w:val="both"/>
      </w:pPr>
    </w:p>
    <w:p w:rsidR="004A0C91" w:rsidRPr="004A0C91" w:rsidRDefault="004A0C91" w:rsidP="004A0C91">
      <w:pPr>
        <w:spacing w:before="0"/>
        <w:jc w:val="both"/>
        <w:rPr>
          <w:u w:val="single"/>
        </w:rPr>
      </w:pPr>
      <w:r w:rsidRPr="004A0C91">
        <w:rPr>
          <w:u w:val="single"/>
        </w:rPr>
        <w:t>BNY Mellon has the following suggestions to try and deal with these concerns:</w:t>
      </w:r>
    </w:p>
    <w:p w:rsidR="004A0C91" w:rsidRPr="004A0C91" w:rsidRDefault="004A0C91" w:rsidP="004A0C91">
      <w:pPr>
        <w:spacing w:before="0"/>
        <w:jc w:val="both"/>
      </w:pPr>
    </w:p>
    <w:p w:rsidR="004A0C91" w:rsidRPr="004A0C91" w:rsidRDefault="004A0C91" w:rsidP="004A0C91">
      <w:pPr>
        <w:spacing w:before="0"/>
        <w:jc w:val="both"/>
      </w:pPr>
      <w:r w:rsidRPr="004A0C91">
        <w:t xml:space="preserve">1/ </w:t>
      </w:r>
      <w:proofErr w:type="gramStart"/>
      <w:r w:rsidRPr="004A0C91">
        <w:t>Publicly</w:t>
      </w:r>
      <w:proofErr w:type="gramEnd"/>
      <w:r w:rsidRPr="004A0C91">
        <w:t xml:space="preserve"> available information</w:t>
      </w:r>
    </w:p>
    <w:p w:rsidR="004A0C91" w:rsidRPr="004A0C91" w:rsidRDefault="004A0C91" w:rsidP="004A0C91">
      <w:pPr>
        <w:spacing w:before="0"/>
        <w:jc w:val="both"/>
      </w:pPr>
    </w:p>
    <w:p w:rsidR="004A0C91" w:rsidRPr="004A0C91" w:rsidRDefault="004A0C91" w:rsidP="004A0C91">
      <w:pPr>
        <w:spacing w:before="0"/>
        <w:jc w:val="both"/>
      </w:pPr>
      <w:r w:rsidRPr="004A0C91">
        <w:t>ESMA should ensure that the following information is publicly available which would enable the penalty system work in a harmonized way:</w:t>
      </w:r>
    </w:p>
    <w:p w:rsidR="004A0C91" w:rsidRPr="004A0C91" w:rsidRDefault="004A0C91" w:rsidP="004A0C91">
      <w:pPr>
        <w:spacing w:before="0"/>
        <w:jc w:val="both"/>
      </w:pPr>
    </w:p>
    <w:p w:rsidR="004A0C91" w:rsidRPr="004A0C91" w:rsidRDefault="004A0C91" w:rsidP="004A0C91">
      <w:pPr>
        <w:numPr>
          <w:ilvl w:val="0"/>
          <w:numId w:val="13"/>
        </w:numPr>
        <w:spacing w:before="0"/>
        <w:jc w:val="both"/>
      </w:pPr>
      <w:r w:rsidRPr="004A0C91">
        <w:t xml:space="preserve">a list of the </w:t>
      </w:r>
      <w:proofErr w:type="spellStart"/>
      <w:r w:rsidRPr="004A0C91">
        <w:t>ISINs</w:t>
      </w:r>
      <w:proofErr w:type="spellEnd"/>
      <w:r w:rsidRPr="004A0C91">
        <w:t xml:space="preserve"> of all the securities that are subject to penalty fines;</w:t>
      </w:r>
    </w:p>
    <w:p w:rsidR="004A0C91" w:rsidRPr="004A0C91" w:rsidRDefault="004A0C91" w:rsidP="004A0C91">
      <w:pPr>
        <w:numPr>
          <w:ilvl w:val="0"/>
          <w:numId w:val="13"/>
        </w:numPr>
        <w:spacing w:before="0"/>
        <w:jc w:val="both"/>
      </w:pPr>
      <w:r w:rsidRPr="004A0C91">
        <w:lastRenderedPageBreak/>
        <w:t xml:space="preserve">for each </w:t>
      </w:r>
      <w:proofErr w:type="spellStart"/>
      <w:r w:rsidRPr="004A0C91">
        <w:t>ISIN</w:t>
      </w:r>
      <w:proofErr w:type="spellEnd"/>
      <w:r w:rsidRPr="004A0C91">
        <w:t>, and for each business day, the price to be used for the calculation of penalties;</w:t>
      </w:r>
    </w:p>
    <w:p w:rsidR="004A0C91" w:rsidRPr="004A0C91" w:rsidRDefault="004A0C91" w:rsidP="004A0C91">
      <w:pPr>
        <w:numPr>
          <w:ilvl w:val="0"/>
          <w:numId w:val="13"/>
        </w:numPr>
        <w:spacing w:before="0"/>
        <w:jc w:val="both"/>
      </w:pPr>
      <w:proofErr w:type="gramStart"/>
      <w:r w:rsidRPr="004A0C91">
        <w:t>in</w:t>
      </w:r>
      <w:proofErr w:type="gramEnd"/>
      <w:r w:rsidRPr="004A0C91">
        <w:t xml:space="preserve"> addition the penalty rate to be applied for a specific </w:t>
      </w:r>
      <w:proofErr w:type="spellStart"/>
      <w:r w:rsidRPr="004A0C91">
        <w:t>ISIN</w:t>
      </w:r>
      <w:proofErr w:type="spellEnd"/>
      <w:r w:rsidRPr="004A0C91">
        <w:t>.</w:t>
      </w:r>
    </w:p>
    <w:p w:rsidR="004A0C91" w:rsidRPr="004A0C91" w:rsidRDefault="004A0C91" w:rsidP="004A0C91">
      <w:pPr>
        <w:spacing w:before="0"/>
        <w:jc w:val="both"/>
      </w:pPr>
    </w:p>
    <w:p w:rsidR="004A0C91" w:rsidRPr="004A0C91" w:rsidRDefault="004A0C91" w:rsidP="004A0C91">
      <w:pPr>
        <w:spacing w:before="0"/>
        <w:jc w:val="both"/>
      </w:pPr>
      <w:r w:rsidRPr="004A0C91">
        <w:t xml:space="preserve">The list of </w:t>
      </w:r>
      <w:proofErr w:type="spellStart"/>
      <w:r w:rsidRPr="004A0C91">
        <w:t>ISINs</w:t>
      </w:r>
      <w:proofErr w:type="spellEnd"/>
      <w:r w:rsidRPr="004A0C91">
        <w:t xml:space="preserve"> is necessary as – without an authoritative list – each </w:t>
      </w:r>
      <w:proofErr w:type="spellStart"/>
      <w:r w:rsidRPr="004A0C91">
        <w:t>CSD</w:t>
      </w:r>
      <w:proofErr w:type="spellEnd"/>
      <w:r w:rsidRPr="004A0C91">
        <w:t xml:space="preserve"> would find it difficult to find the necessary information, and there would be the risk that different </w:t>
      </w:r>
      <w:proofErr w:type="spellStart"/>
      <w:r w:rsidRPr="004A0C91">
        <w:t>CSDs</w:t>
      </w:r>
      <w:proofErr w:type="spellEnd"/>
      <w:r w:rsidRPr="004A0C91">
        <w:t xml:space="preserve"> charge based on different lists. The background to this requirement is that not all securities will appear on the list, as </w:t>
      </w:r>
      <w:proofErr w:type="spellStart"/>
      <w:r w:rsidRPr="004A0C91">
        <w:t>CSDR</w:t>
      </w:r>
      <w:proofErr w:type="spellEnd"/>
      <w:r w:rsidRPr="004A0C91">
        <w:t xml:space="preserve"> excludes from the penalty charge regime securities that are not cleared by a European </w:t>
      </w:r>
      <w:proofErr w:type="spellStart"/>
      <w:r w:rsidRPr="004A0C91">
        <w:t>CCP</w:t>
      </w:r>
      <w:proofErr w:type="spellEnd"/>
      <w:r w:rsidRPr="004A0C91">
        <w:t xml:space="preserve"> and that are not admitted to trading on European trading venues, as well as securities for which the principal venue for trading is located in a third country.</w:t>
      </w:r>
    </w:p>
    <w:p w:rsidR="004A0C91" w:rsidRPr="004A0C91" w:rsidRDefault="004A0C91" w:rsidP="004A0C91">
      <w:pPr>
        <w:spacing w:before="0"/>
        <w:jc w:val="both"/>
      </w:pPr>
    </w:p>
    <w:p w:rsidR="004A0C91" w:rsidRPr="004A0C91" w:rsidRDefault="004A0C91" w:rsidP="004A0C91">
      <w:pPr>
        <w:spacing w:before="0"/>
        <w:jc w:val="both"/>
      </w:pPr>
      <w:r w:rsidRPr="004A0C91">
        <w:t xml:space="preserve">Without the price list, there would inevitably be differences in the prices used by different </w:t>
      </w:r>
      <w:proofErr w:type="spellStart"/>
      <w:r w:rsidRPr="004A0C91">
        <w:t>CSDs</w:t>
      </w:r>
      <w:proofErr w:type="spellEnd"/>
      <w:r w:rsidRPr="004A0C91">
        <w:t>. Although paragraph 27 of the draft Technical Advice does give some indications as to how the price should be derived, it is not fully clear, as, for example, it does not specify that the price applied per (failed) settlement day should be the market price for that day.</w:t>
      </w:r>
    </w:p>
    <w:p w:rsidR="004A0C91" w:rsidRPr="004A0C91" w:rsidRDefault="004A0C91" w:rsidP="004A0C91">
      <w:pPr>
        <w:spacing w:before="0"/>
        <w:jc w:val="both"/>
      </w:pPr>
    </w:p>
    <w:p w:rsidR="004A0C91" w:rsidRPr="004A0C91" w:rsidRDefault="004A0C91" w:rsidP="004A0C91">
      <w:pPr>
        <w:spacing w:before="0"/>
        <w:jc w:val="both"/>
      </w:pPr>
      <w:r w:rsidRPr="004A0C91">
        <w:t>2/ Clarification of the scope of regime</w:t>
      </w:r>
    </w:p>
    <w:p w:rsidR="004A0C91" w:rsidRPr="004A0C91" w:rsidRDefault="004A0C91" w:rsidP="004A0C91">
      <w:pPr>
        <w:spacing w:before="0"/>
        <w:jc w:val="both"/>
      </w:pPr>
    </w:p>
    <w:p w:rsidR="004A0C91" w:rsidRPr="004A0C91" w:rsidRDefault="004A0C91" w:rsidP="004A0C91">
      <w:pPr>
        <w:spacing w:before="0"/>
        <w:jc w:val="both"/>
      </w:pPr>
      <w:r w:rsidRPr="004A0C91">
        <w:t xml:space="preserve">Does the penalty apply just </w:t>
      </w:r>
      <w:proofErr w:type="gramStart"/>
      <w:r w:rsidRPr="004A0C91">
        <w:t>to</w:t>
      </w:r>
      <w:proofErr w:type="gramEnd"/>
      <w:r w:rsidRPr="004A0C91">
        <w:t xml:space="preserve"> free and against payment securities transfers, or also to pure cash transfers that may be processed by a </w:t>
      </w:r>
      <w:proofErr w:type="spellStart"/>
      <w:r w:rsidRPr="004A0C91">
        <w:t>CSD</w:t>
      </w:r>
      <w:proofErr w:type="spellEnd"/>
      <w:r w:rsidRPr="004A0C91">
        <w:t xml:space="preserve"> (such as Payments Free of Delivery (</w:t>
      </w:r>
      <w:proofErr w:type="spellStart"/>
      <w:r w:rsidRPr="004A0C91">
        <w:t>PFOD</w:t>
      </w:r>
      <w:proofErr w:type="spellEnd"/>
      <w:r w:rsidRPr="004A0C91">
        <w:t>))?</w:t>
      </w:r>
    </w:p>
    <w:p w:rsidR="004A0C91" w:rsidRPr="004A0C91" w:rsidRDefault="004A0C91" w:rsidP="004A0C91">
      <w:pPr>
        <w:spacing w:before="0"/>
        <w:jc w:val="both"/>
      </w:pPr>
    </w:p>
    <w:p w:rsidR="004A0C91" w:rsidRPr="004A0C91" w:rsidRDefault="004A0C91" w:rsidP="004A0C91">
      <w:pPr>
        <w:spacing w:before="0"/>
        <w:jc w:val="both"/>
      </w:pPr>
      <w:r w:rsidRPr="004A0C91">
        <w:t xml:space="preserve">The current text suggests that the fines may also apply to pure cash transfers. This is because the penalties apply to failed settlement instructions, and the draft </w:t>
      </w:r>
      <w:proofErr w:type="spellStart"/>
      <w:r w:rsidRPr="004A0C91">
        <w:t>RTS</w:t>
      </w:r>
      <w:proofErr w:type="spellEnd"/>
      <w:r w:rsidRPr="004A0C91">
        <w:t xml:space="preserve"> defines a settlement instruction as being a transfer order, under the Settlement Finality Directive definition of a transfer order, which includes both cash and securities transfers. BNY Mellon suggests that the penalties apply just to securities transfers.</w:t>
      </w:r>
    </w:p>
    <w:p w:rsidR="004A0C91" w:rsidRPr="004A0C91" w:rsidRDefault="004A0C91" w:rsidP="004A0C91">
      <w:pPr>
        <w:spacing w:before="0"/>
        <w:jc w:val="both"/>
      </w:pPr>
    </w:p>
    <w:p w:rsidR="004A0C91" w:rsidRPr="004A0C91" w:rsidRDefault="004A0C91" w:rsidP="004A0C91">
      <w:pPr>
        <w:spacing w:before="0"/>
        <w:jc w:val="both"/>
      </w:pPr>
      <w:r w:rsidRPr="004A0C91">
        <w:t xml:space="preserve">Does the penalty apply to all types of securities transfers? </w:t>
      </w:r>
    </w:p>
    <w:p w:rsidR="004A0C91" w:rsidRPr="004A0C91" w:rsidRDefault="004A0C91" w:rsidP="004A0C91">
      <w:pPr>
        <w:spacing w:before="0"/>
        <w:jc w:val="both"/>
      </w:pPr>
    </w:p>
    <w:p w:rsidR="004A0C91" w:rsidRPr="004A0C91" w:rsidRDefault="004A0C91" w:rsidP="004A0C91">
      <w:pPr>
        <w:spacing w:before="0"/>
        <w:jc w:val="both"/>
      </w:pPr>
      <w:r w:rsidRPr="004A0C91">
        <w:t>BNY Mellon suggests that certain types of transfer be excluded, so as to minimize unnecessary penalties (which would, in some cases, require direct bilateral claims to rectify).</w:t>
      </w:r>
    </w:p>
    <w:p w:rsidR="004A0C91" w:rsidRPr="004A0C91" w:rsidRDefault="004A0C91" w:rsidP="004A0C91">
      <w:pPr>
        <w:spacing w:before="0"/>
        <w:jc w:val="both"/>
      </w:pPr>
    </w:p>
    <w:p w:rsidR="004A0C91" w:rsidRPr="004A0C91" w:rsidRDefault="004A0C91" w:rsidP="004A0C91">
      <w:pPr>
        <w:spacing w:before="0"/>
        <w:jc w:val="both"/>
      </w:pPr>
      <w:r w:rsidRPr="004A0C91">
        <w:t xml:space="preserve">Examples of such types of transfer include portfolio transfers, corporate action movements, </w:t>
      </w:r>
      <w:proofErr w:type="gramStart"/>
      <w:r w:rsidRPr="004A0C91">
        <w:t>movements</w:t>
      </w:r>
      <w:proofErr w:type="gramEnd"/>
      <w:r w:rsidRPr="004A0C91">
        <w:t xml:space="preserve"> to and from issuance accounts, and issuance and cancellation of depositary receipts. To avoid uncertainty ESMA should provide a list of types of activity that fall in, or out, of the scope of the regime. </w:t>
      </w:r>
    </w:p>
    <w:p w:rsidR="004A0C91" w:rsidRPr="004A0C91" w:rsidRDefault="004A0C91" w:rsidP="004A0C91">
      <w:pPr>
        <w:spacing w:before="0"/>
        <w:jc w:val="both"/>
      </w:pPr>
    </w:p>
    <w:p w:rsidR="004A0C91" w:rsidRPr="004A0C91" w:rsidRDefault="004A0C91" w:rsidP="004A0C91">
      <w:pPr>
        <w:spacing w:before="0"/>
        <w:jc w:val="both"/>
      </w:pPr>
      <w:r w:rsidRPr="004A0C91">
        <w:t>3/ Clarification of case of cancellation of matched instructions</w:t>
      </w:r>
    </w:p>
    <w:p w:rsidR="004A0C91" w:rsidRPr="004A0C91" w:rsidRDefault="004A0C91" w:rsidP="004A0C91">
      <w:pPr>
        <w:spacing w:before="0"/>
        <w:jc w:val="both"/>
      </w:pPr>
    </w:p>
    <w:p w:rsidR="004A0C91" w:rsidRPr="004A0C91" w:rsidRDefault="004A0C91" w:rsidP="004A0C91">
      <w:pPr>
        <w:spacing w:before="0"/>
        <w:jc w:val="both"/>
      </w:pPr>
      <w:r w:rsidRPr="004A0C91">
        <w:t>Will there be penalties for transactions that fail for a number of days and that are subsequently cancelled?</w:t>
      </w:r>
    </w:p>
    <w:p w:rsidR="004A0C91" w:rsidRPr="004A0C91" w:rsidRDefault="004A0C91" w:rsidP="004A0C91">
      <w:pPr>
        <w:spacing w:before="0"/>
        <w:jc w:val="both"/>
      </w:pPr>
    </w:p>
    <w:p w:rsidR="004A0C91" w:rsidRPr="004A0C91" w:rsidRDefault="004A0C91" w:rsidP="004A0C91">
      <w:pPr>
        <w:spacing w:before="0"/>
        <w:jc w:val="both"/>
      </w:pPr>
      <w:r w:rsidRPr="004A0C91">
        <w:t xml:space="preserve">The current text of the draft </w:t>
      </w:r>
      <w:proofErr w:type="spellStart"/>
      <w:r w:rsidRPr="004A0C91">
        <w:t>RTS</w:t>
      </w:r>
      <w:proofErr w:type="spellEnd"/>
      <w:r w:rsidRPr="004A0C91">
        <w:t xml:space="preserve"> does indeed suggest, without being totally explicit, that there should be a penalty for bilaterally cancelled matched instructions. But the justification for this is unclear. If both parties agree to cancel a transaction, it is unclear why there should be a centrally generated penalty.</w:t>
      </w:r>
    </w:p>
    <w:p w:rsidR="004A0C91" w:rsidRPr="004A0C91" w:rsidRDefault="004A0C91" w:rsidP="004A0C91">
      <w:pPr>
        <w:spacing w:before="0"/>
        <w:jc w:val="both"/>
      </w:pPr>
    </w:p>
    <w:p w:rsidR="004A0C91" w:rsidRPr="004A0C91" w:rsidRDefault="004A0C91" w:rsidP="004A0C91">
      <w:pPr>
        <w:spacing w:before="0"/>
        <w:jc w:val="both"/>
      </w:pPr>
      <w:r w:rsidRPr="004A0C91">
        <w:t>As both parties have agreed to the cancellation, neither party is disadvantaged by the cancellation of the penalty.</w:t>
      </w:r>
    </w:p>
    <w:p w:rsidR="004A0C91" w:rsidRPr="004A0C91" w:rsidRDefault="004A0C91" w:rsidP="004A0C91">
      <w:pPr>
        <w:spacing w:before="0"/>
        <w:jc w:val="both"/>
      </w:pPr>
    </w:p>
    <w:p w:rsidR="004A0C91" w:rsidRPr="004A0C91" w:rsidRDefault="004A0C91" w:rsidP="004A0C91">
      <w:pPr>
        <w:spacing w:before="0"/>
        <w:jc w:val="both"/>
      </w:pPr>
      <w:r w:rsidRPr="004A0C91">
        <w:t>If a cancelled transaction is replaced by a new transaction, and if the new transaction has the original trade date and intended settlement date, then there will be a double penalty, which may generate the need for a direct bilateral claim to rectify the situation.</w:t>
      </w:r>
    </w:p>
    <w:p w:rsidR="004A0C91" w:rsidRPr="004A0C91" w:rsidRDefault="004A0C91" w:rsidP="004A0C91">
      <w:pPr>
        <w:spacing w:before="0"/>
        <w:jc w:val="both"/>
      </w:pPr>
      <w:r w:rsidRPr="004A0C91">
        <w:lastRenderedPageBreak/>
        <w:t>4/ Clarification of circumstances that trigger a penalty</w:t>
      </w:r>
    </w:p>
    <w:p w:rsidR="004A0C91" w:rsidRPr="004A0C91" w:rsidRDefault="004A0C91" w:rsidP="004A0C91">
      <w:pPr>
        <w:spacing w:before="0"/>
        <w:jc w:val="both"/>
      </w:pPr>
    </w:p>
    <w:p w:rsidR="004A0C91" w:rsidRPr="004A0C91" w:rsidRDefault="004A0C91" w:rsidP="004A0C91">
      <w:pPr>
        <w:spacing w:before="0"/>
        <w:jc w:val="both"/>
      </w:pPr>
      <w:r w:rsidRPr="004A0C91">
        <w:t>What is the exhaustive set of circumstances that would trigger a penalty? Is it simply shortage of securities, shortage of cash, and hold status of an instruction? Or will other causes of non-settlement also generate a penalty?</w:t>
      </w:r>
    </w:p>
    <w:p w:rsidR="004A0C91" w:rsidRPr="004A0C91" w:rsidRDefault="004A0C91" w:rsidP="004A0C91">
      <w:pPr>
        <w:spacing w:before="0"/>
        <w:jc w:val="both"/>
      </w:pPr>
    </w:p>
    <w:p w:rsidR="004A0C91" w:rsidRPr="004A0C91" w:rsidRDefault="004A0C91" w:rsidP="004A0C91">
      <w:pPr>
        <w:spacing w:before="0"/>
        <w:jc w:val="both"/>
      </w:pPr>
      <w:r w:rsidRPr="004A0C91">
        <w:t>BNY Mellon suggests that shortage of securities, shortage of cash and hold status be the exhaustive list of triggers.</w:t>
      </w:r>
    </w:p>
    <w:p w:rsidR="004A0C91" w:rsidRPr="004A0C91" w:rsidRDefault="004A0C91" w:rsidP="004A0C91">
      <w:pPr>
        <w:spacing w:before="0"/>
        <w:jc w:val="both"/>
      </w:pPr>
    </w:p>
    <w:p w:rsidR="004A0C91" w:rsidRPr="004A0C91" w:rsidRDefault="004A0C91" w:rsidP="004A0C91">
      <w:pPr>
        <w:spacing w:before="0"/>
        <w:jc w:val="both"/>
      </w:pPr>
      <w:r w:rsidRPr="004A0C91">
        <w:t xml:space="preserve">What happens if there are two triggers, so that both the receiving party and delivering party prevent settlement? What would happen, for example, if both parties put their instructions on </w:t>
      </w:r>
      <w:proofErr w:type="gramStart"/>
      <w:r w:rsidRPr="004A0C91">
        <w:t>hold.</w:t>
      </w:r>
      <w:proofErr w:type="gramEnd"/>
    </w:p>
    <w:p w:rsidR="004A0C91" w:rsidRPr="004A0C91" w:rsidRDefault="004A0C91" w:rsidP="004A0C91">
      <w:pPr>
        <w:spacing w:before="0"/>
        <w:jc w:val="both"/>
      </w:pPr>
    </w:p>
    <w:p w:rsidR="004A0C91" w:rsidRPr="004A0C91" w:rsidRDefault="004A0C91" w:rsidP="004A0C91">
      <w:pPr>
        <w:spacing w:before="0"/>
        <w:jc w:val="both"/>
      </w:pPr>
      <w:r w:rsidRPr="004A0C91">
        <w:t>BNY Mellon suggests that if both parties trigger a penalty there be no penalty.</w:t>
      </w:r>
    </w:p>
    <w:p w:rsidR="004A0C91" w:rsidRPr="004A0C91" w:rsidRDefault="004A0C91" w:rsidP="004A0C91">
      <w:pPr>
        <w:spacing w:before="0"/>
        <w:jc w:val="both"/>
      </w:pPr>
    </w:p>
    <w:p w:rsidR="004A0C91" w:rsidRPr="004A0C91" w:rsidRDefault="004A0C91" w:rsidP="004A0C91">
      <w:pPr>
        <w:spacing w:before="0"/>
        <w:jc w:val="both"/>
      </w:pPr>
      <w:r w:rsidRPr="004A0C91">
        <w:t xml:space="preserve">What would happen if there is an external reason that prevents settlement, such as, for example, a </w:t>
      </w:r>
      <w:proofErr w:type="spellStart"/>
      <w:r w:rsidRPr="004A0C91">
        <w:t>CSD</w:t>
      </w:r>
      <w:proofErr w:type="spellEnd"/>
      <w:r w:rsidRPr="004A0C91">
        <w:t xml:space="preserve"> freezing activity in an </w:t>
      </w:r>
      <w:proofErr w:type="spellStart"/>
      <w:r w:rsidRPr="004A0C91">
        <w:t>ISIN</w:t>
      </w:r>
      <w:proofErr w:type="spellEnd"/>
      <w:r w:rsidRPr="004A0C91">
        <w:t>, or a particular securities account? In this case, should the participant with the trigger (for example, shortage of securities) be penalized?</w:t>
      </w:r>
    </w:p>
    <w:p w:rsidR="004A0C91" w:rsidRPr="004A0C91" w:rsidRDefault="004A0C91" w:rsidP="004A0C91">
      <w:pPr>
        <w:spacing w:before="0"/>
        <w:jc w:val="both"/>
      </w:pPr>
    </w:p>
    <w:p w:rsidR="004A0C91" w:rsidRPr="004A0C91" w:rsidRDefault="004A0C91" w:rsidP="004A0C91">
      <w:pPr>
        <w:spacing w:before="0"/>
        <w:jc w:val="both"/>
        <w:rPr>
          <w:lang w:val="en-GB"/>
        </w:rPr>
      </w:pPr>
      <w:r w:rsidRPr="004A0C91">
        <w:t>BNY Mellon suggests that in such circumstances there be no penalty.</w:t>
      </w:r>
    </w:p>
    <w:p w:rsidR="004A0C91" w:rsidRPr="004A0C91" w:rsidRDefault="004A0C91" w:rsidP="004A0C91">
      <w:pPr>
        <w:spacing w:before="0"/>
        <w:jc w:val="both"/>
        <w:rPr>
          <w:lang w:val="en-GB"/>
        </w:rPr>
      </w:pPr>
    </w:p>
    <w:p w:rsidR="004A0C91" w:rsidRPr="004A0C91" w:rsidRDefault="004A0C91" w:rsidP="004A0C91">
      <w:pPr>
        <w:spacing w:before="0"/>
        <w:jc w:val="both"/>
      </w:pPr>
      <w:r w:rsidRPr="004A0C91">
        <w:t>5/ Clarification of the case of “backdated” transactions</w:t>
      </w:r>
    </w:p>
    <w:p w:rsidR="004A0C91" w:rsidRPr="004A0C91" w:rsidRDefault="004A0C91" w:rsidP="004A0C91">
      <w:pPr>
        <w:spacing w:before="0"/>
        <w:jc w:val="both"/>
      </w:pPr>
    </w:p>
    <w:p w:rsidR="004A0C91" w:rsidRPr="004A0C91" w:rsidRDefault="004A0C91" w:rsidP="004A0C91">
      <w:pPr>
        <w:spacing w:before="0"/>
        <w:jc w:val="both"/>
        <w:rPr>
          <w:lang w:val="en-GB"/>
        </w:rPr>
      </w:pPr>
      <w:r w:rsidRPr="004A0C91">
        <w:t xml:space="preserve">There are significant uncertainties as to how it would be possible to calculate penalties for </w:t>
      </w:r>
      <w:r w:rsidRPr="004A0C91">
        <w:rPr>
          <w:lang w:val="en-GB"/>
        </w:rPr>
        <w:t>“backdated” transactions.</w:t>
      </w:r>
    </w:p>
    <w:p w:rsidR="004A0C91" w:rsidRPr="004A0C91" w:rsidRDefault="004A0C91" w:rsidP="004A0C91">
      <w:pPr>
        <w:spacing w:before="0"/>
        <w:jc w:val="both"/>
        <w:rPr>
          <w:lang w:val="en-GB"/>
        </w:rPr>
      </w:pPr>
    </w:p>
    <w:p w:rsidR="004A0C91" w:rsidRPr="004A0C91" w:rsidRDefault="004A0C91" w:rsidP="004A0C91">
      <w:pPr>
        <w:spacing w:before="0"/>
        <w:jc w:val="both"/>
        <w:rPr>
          <w:lang w:val="en-GB"/>
        </w:rPr>
      </w:pPr>
      <w:r w:rsidRPr="004A0C91">
        <w:rPr>
          <w:lang w:val="en-GB"/>
        </w:rPr>
        <w:t>If both parties send their instructions late, which party would be penalised? We suspect that the second party to instruct would be penalised, and the first party to instruct would not be subject to a penalty, even though in many cases the second party to instruct may be the innocent party.</w:t>
      </w:r>
    </w:p>
    <w:p w:rsidR="004A0C91" w:rsidRPr="004A0C91" w:rsidRDefault="004A0C91" w:rsidP="004A0C91">
      <w:pPr>
        <w:spacing w:before="0"/>
        <w:jc w:val="both"/>
        <w:rPr>
          <w:lang w:val="en-GB"/>
        </w:rPr>
      </w:pPr>
    </w:p>
    <w:p w:rsidR="004A0C91" w:rsidRPr="004A0C91" w:rsidRDefault="004A0C91" w:rsidP="004A0C91">
      <w:pPr>
        <w:spacing w:before="0"/>
        <w:jc w:val="both"/>
      </w:pPr>
      <w:r w:rsidRPr="004A0C91">
        <w:rPr>
          <w:lang w:val="en-GB"/>
        </w:rPr>
        <w:t xml:space="preserve">In the event of instructions after </w:t>
      </w:r>
      <w:proofErr w:type="spellStart"/>
      <w:r w:rsidRPr="004A0C91">
        <w:rPr>
          <w:lang w:val="en-GB"/>
        </w:rPr>
        <w:t>ISD</w:t>
      </w:r>
      <w:proofErr w:type="spellEnd"/>
      <w:r w:rsidRPr="004A0C91">
        <w:rPr>
          <w:lang w:val="en-GB"/>
        </w:rPr>
        <w:t xml:space="preserve">, and assuming that there is clarity on the exact periods of potential liability for both participants, and that there is clarity on the liability for the different possible scenarios of lack of securities and lack of cash, then there are still technical problems; a </w:t>
      </w:r>
      <w:proofErr w:type="spellStart"/>
      <w:r w:rsidRPr="004A0C91">
        <w:rPr>
          <w:lang w:val="en-GB"/>
        </w:rPr>
        <w:t>CSD</w:t>
      </w:r>
      <w:proofErr w:type="spellEnd"/>
      <w:r w:rsidRPr="004A0C91">
        <w:rPr>
          <w:lang w:val="en-GB"/>
        </w:rPr>
        <w:t xml:space="preserve"> may not always be able to look back in time, and identify whether a particular participant would have had at its disposal sufficient resources to settle a transaction; at a simple level, a </w:t>
      </w:r>
      <w:proofErr w:type="spellStart"/>
      <w:r w:rsidRPr="004A0C91">
        <w:rPr>
          <w:lang w:val="en-GB"/>
        </w:rPr>
        <w:t>CSD</w:t>
      </w:r>
      <w:proofErr w:type="spellEnd"/>
      <w:r w:rsidRPr="004A0C91">
        <w:rPr>
          <w:lang w:val="en-GB"/>
        </w:rPr>
        <w:t xml:space="preserve"> may not be able to look at cash accounts and to identify end of day balances; a more fundamental point is that – given that the settlement instructions were unmatched at the relevant points of time in the past – the </w:t>
      </w:r>
      <w:proofErr w:type="spellStart"/>
      <w:r w:rsidRPr="004A0C91">
        <w:rPr>
          <w:lang w:val="en-GB"/>
        </w:rPr>
        <w:t>CSD</w:t>
      </w:r>
      <w:proofErr w:type="spellEnd"/>
      <w:r w:rsidRPr="004A0C91">
        <w:rPr>
          <w:lang w:val="en-GB"/>
        </w:rPr>
        <w:t xml:space="preserve"> participants may very well have used the resources (cash and/or securities) for other purposes; it would be very difficult for </w:t>
      </w:r>
      <w:proofErr w:type="spellStart"/>
      <w:r w:rsidRPr="004A0C91">
        <w:rPr>
          <w:lang w:val="en-GB"/>
        </w:rPr>
        <w:t>CSDs</w:t>
      </w:r>
      <w:proofErr w:type="spellEnd"/>
      <w:r w:rsidRPr="004A0C91">
        <w:rPr>
          <w:lang w:val="en-GB"/>
        </w:rPr>
        <w:t xml:space="preserve"> to reconstruct an alternative sequence of events</w:t>
      </w:r>
    </w:p>
    <w:p w:rsidR="004A0C91" w:rsidRPr="004A0C91" w:rsidRDefault="004A0C91" w:rsidP="004A0C91">
      <w:pPr>
        <w:spacing w:before="0"/>
        <w:jc w:val="both"/>
      </w:pPr>
    </w:p>
    <w:p w:rsidR="004A0C91" w:rsidRPr="004A0C91" w:rsidRDefault="004A0C91" w:rsidP="004A0C91">
      <w:pPr>
        <w:spacing w:before="0"/>
        <w:jc w:val="both"/>
      </w:pPr>
      <w:r w:rsidRPr="004A0C91">
        <w:t>6/ Clarification on distribution of penalties for lack of cash</w:t>
      </w:r>
    </w:p>
    <w:p w:rsidR="004A0C91" w:rsidRPr="004A0C91" w:rsidRDefault="004A0C91" w:rsidP="004A0C91">
      <w:pPr>
        <w:spacing w:before="0"/>
        <w:jc w:val="both"/>
      </w:pPr>
    </w:p>
    <w:p w:rsidR="004A0C91" w:rsidRPr="004A0C91" w:rsidRDefault="004A0C91" w:rsidP="004A0C91">
      <w:pPr>
        <w:spacing w:before="0"/>
        <w:jc w:val="both"/>
      </w:pPr>
      <w:r w:rsidRPr="004A0C91">
        <w:t xml:space="preserve">Articles 8 and 9 of the draft </w:t>
      </w:r>
      <w:proofErr w:type="spellStart"/>
      <w:r w:rsidRPr="004A0C91">
        <w:t>RTS</w:t>
      </w:r>
      <w:proofErr w:type="spellEnd"/>
      <w:r w:rsidRPr="004A0C91">
        <w:t xml:space="preserve"> on settlement discipline suggest that penalties are paid only by failing delivering participants, and are received only by receiving participants. For example, Article 8(1) states that the </w:t>
      </w:r>
      <w:proofErr w:type="spellStart"/>
      <w:r w:rsidRPr="004A0C91">
        <w:t>CSD</w:t>
      </w:r>
      <w:proofErr w:type="spellEnd"/>
      <w:r w:rsidRPr="004A0C91">
        <w:t xml:space="preserve"> shall redistribute the amount of the collected penalties to the “receiving participant that suffered from the fail”. This text appears inappropriate for penalties resulting from a lack of cash.</w:t>
      </w:r>
    </w:p>
    <w:p w:rsidR="004A0C91" w:rsidRPr="004A0C91" w:rsidRDefault="004A0C91" w:rsidP="004A0C91">
      <w:pPr>
        <w:spacing w:before="0"/>
        <w:jc w:val="both"/>
        <w:rPr>
          <w:lang w:val="en-GB"/>
        </w:rPr>
      </w:pPr>
    </w:p>
    <w:p w:rsidR="004A0C91" w:rsidRPr="004A0C91" w:rsidRDefault="004A0C91" w:rsidP="004A0C91">
      <w:pPr>
        <w:spacing w:before="0"/>
        <w:jc w:val="both"/>
        <w:rPr>
          <w:lang w:val="en-GB"/>
        </w:rPr>
      </w:pPr>
      <w:r w:rsidRPr="004A0C91">
        <w:rPr>
          <w:lang w:val="en-GB"/>
        </w:rPr>
        <w:t xml:space="preserve">7/ Explicit limit to the number of days for which a penalty is calculated </w:t>
      </w:r>
    </w:p>
    <w:p w:rsidR="004A0C91" w:rsidRPr="004A0C91" w:rsidRDefault="004A0C91" w:rsidP="004A0C91">
      <w:pPr>
        <w:spacing w:before="0"/>
        <w:jc w:val="both"/>
        <w:rPr>
          <w:lang w:val="en-GB"/>
        </w:rPr>
      </w:pPr>
    </w:p>
    <w:p w:rsidR="004A0C91" w:rsidRPr="004A0C91" w:rsidRDefault="004A0C91" w:rsidP="004A0C91">
      <w:pPr>
        <w:spacing w:before="0"/>
        <w:jc w:val="both"/>
        <w:rPr>
          <w:lang w:val="en-GB"/>
        </w:rPr>
      </w:pPr>
      <w:r w:rsidRPr="004A0C91">
        <w:rPr>
          <w:lang w:val="en-GB"/>
        </w:rPr>
        <w:t xml:space="preserve">In order to limit the potential exposure of a settlement agent, and in order to ensure that all parties have incentives to send instructions as early as possible to the </w:t>
      </w:r>
      <w:proofErr w:type="spellStart"/>
      <w:r w:rsidRPr="004A0C91">
        <w:rPr>
          <w:lang w:val="en-GB"/>
        </w:rPr>
        <w:t>CSD</w:t>
      </w:r>
      <w:proofErr w:type="spellEnd"/>
      <w:r w:rsidRPr="004A0C91">
        <w:rPr>
          <w:lang w:val="en-GB"/>
        </w:rPr>
        <w:t xml:space="preserve">, BNY Mellon </w:t>
      </w:r>
      <w:r w:rsidRPr="004A0C91">
        <w:rPr>
          <w:lang w:val="en-GB"/>
        </w:rPr>
        <w:lastRenderedPageBreak/>
        <w:t>suggests that there be an explicit limit to the number of days for which a penalty is calculated.</w:t>
      </w:r>
    </w:p>
    <w:p w:rsidR="004A0C91" w:rsidRPr="004A0C91" w:rsidRDefault="004A0C91" w:rsidP="004A0C91">
      <w:pPr>
        <w:spacing w:before="0"/>
        <w:jc w:val="both"/>
        <w:rPr>
          <w:lang w:val="en-GB"/>
        </w:rPr>
      </w:pPr>
    </w:p>
    <w:p w:rsidR="004A0C91" w:rsidRPr="004A0C91" w:rsidRDefault="004A0C91" w:rsidP="004A0C91">
      <w:pPr>
        <w:spacing w:before="0"/>
        <w:jc w:val="both"/>
        <w:rPr>
          <w:lang w:val="en-GB"/>
        </w:rPr>
      </w:pPr>
      <w:r w:rsidRPr="004A0C91">
        <w:rPr>
          <w:lang w:val="en-GB"/>
        </w:rPr>
        <w:t>In this context, it should be noted that a buy-in will not be executed for each failing transaction, so that the buy-in obligation by itself does not provide an explicit limit. BNY Mellon suggests that ESMA review this issue, and ensure that such potential exposure not be unlimited.</w:t>
      </w:r>
    </w:p>
    <w:p w:rsidR="004A0C91" w:rsidRPr="004A0C91" w:rsidRDefault="004A0C91" w:rsidP="004A0C91">
      <w:pPr>
        <w:spacing w:before="0"/>
        <w:jc w:val="both"/>
        <w:rPr>
          <w:lang w:val="en-GB"/>
        </w:rPr>
      </w:pPr>
    </w:p>
    <w:p w:rsidR="004A0C91" w:rsidRPr="004A0C91" w:rsidRDefault="004A0C91" w:rsidP="004A0C91">
      <w:pPr>
        <w:spacing w:before="0"/>
        <w:jc w:val="both"/>
        <w:rPr>
          <w:lang w:val="en-GB"/>
        </w:rPr>
      </w:pPr>
      <w:r w:rsidRPr="004A0C91">
        <w:rPr>
          <w:lang w:val="en-GB"/>
        </w:rPr>
        <w:t xml:space="preserve">Without such an explicit limit, </w:t>
      </w:r>
      <w:proofErr w:type="spellStart"/>
      <w:r w:rsidRPr="004A0C91">
        <w:rPr>
          <w:lang w:val="en-GB"/>
        </w:rPr>
        <w:t>CSD</w:t>
      </w:r>
      <w:proofErr w:type="spellEnd"/>
      <w:r w:rsidRPr="004A0C91">
        <w:rPr>
          <w:lang w:val="en-GB"/>
        </w:rPr>
        <w:t xml:space="preserve"> participants that act as a settlement agent could be subject to considerable risk. This would have balance sheet implications, and may also raise concerns from prudential supervisors. </w:t>
      </w:r>
    </w:p>
    <w:p w:rsidR="004A0C91" w:rsidRPr="009C037F" w:rsidRDefault="004A0C91" w:rsidP="009C037F">
      <w:pPr>
        <w:spacing w:before="0"/>
        <w:jc w:val="both"/>
        <w:rPr>
          <w:b/>
        </w:rPr>
      </w:pPr>
    </w:p>
    <w:p w:rsidR="009C037F" w:rsidRPr="009C037F" w:rsidRDefault="009C037F" w:rsidP="009C037F">
      <w:pPr>
        <w:spacing w:before="0"/>
        <w:jc w:val="both"/>
        <w:rPr>
          <w:b/>
        </w:rPr>
      </w:pPr>
      <w:proofErr w:type="spellStart"/>
      <w:r w:rsidRPr="009C037F">
        <w:rPr>
          <w:b/>
        </w:rPr>
        <w:t>Q7</w:t>
      </w:r>
      <w:proofErr w:type="spellEnd"/>
      <w:r w:rsidRPr="009C037F">
        <w:rPr>
          <w:b/>
        </w:rPr>
        <w:t xml:space="preserve">: What are your views on the proposed draft </w:t>
      </w:r>
      <w:proofErr w:type="spellStart"/>
      <w:r w:rsidRPr="009C037F">
        <w:rPr>
          <w:b/>
        </w:rPr>
        <w:t>RTS</w:t>
      </w:r>
      <w:proofErr w:type="spellEnd"/>
      <w:r w:rsidRPr="009C037F">
        <w:rPr>
          <w:b/>
        </w:rPr>
        <w:t xml:space="preserve"> related to the buy-in process?</w:t>
      </w:r>
    </w:p>
    <w:p w:rsidR="009C037F" w:rsidRPr="009C037F" w:rsidRDefault="009C037F" w:rsidP="009C037F">
      <w:pPr>
        <w:spacing w:before="0"/>
        <w:jc w:val="both"/>
        <w:rPr>
          <w:b/>
        </w:rPr>
      </w:pPr>
    </w:p>
    <w:p w:rsidR="009C037F" w:rsidRPr="009C037F" w:rsidRDefault="009C037F" w:rsidP="009C037F">
      <w:pPr>
        <w:spacing w:before="0"/>
        <w:jc w:val="both"/>
        <w:rPr>
          <w:b/>
        </w:rPr>
      </w:pPr>
      <w:r w:rsidRPr="009C037F">
        <w:rPr>
          <w:b/>
        </w:rPr>
        <w:t xml:space="preserve">In particular, what are your views on applying partial settlement at the end of the extension period? Do you consider that the </w:t>
      </w:r>
      <w:proofErr w:type="spellStart"/>
      <w:r w:rsidRPr="009C037F">
        <w:rPr>
          <w:b/>
        </w:rPr>
        <w:t>partialling</w:t>
      </w:r>
      <w:proofErr w:type="spellEnd"/>
      <w:r w:rsidRPr="009C037F">
        <w:rPr>
          <w:b/>
        </w:rPr>
        <w:t xml:space="preserve"> of the settlement instruction would impact the rights and obligations of the participants? </w:t>
      </w:r>
    </w:p>
    <w:p w:rsidR="009C037F" w:rsidRPr="009C037F" w:rsidRDefault="009C037F" w:rsidP="009C037F">
      <w:pPr>
        <w:spacing w:before="0"/>
        <w:jc w:val="both"/>
        <w:rPr>
          <w:b/>
        </w:rPr>
      </w:pPr>
      <w:r w:rsidRPr="009C037F">
        <w:rPr>
          <w:b/>
        </w:rPr>
        <w:t xml:space="preserve">What do you think about the proposed approach for limiting multiple buy-in and the timing for the participant to provide the information to the </w:t>
      </w:r>
      <w:proofErr w:type="spellStart"/>
      <w:r w:rsidRPr="009C037F">
        <w:rPr>
          <w:b/>
        </w:rPr>
        <w:t>CSD</w:t>
      </w:r>
      <w:proofErr w:type="spellEnd"/>
      <w:r w:rsidRPr="009C037F">
        <w:rPr>
          <w:b/>
        </w:rPr>
        <w:t xml:space="preserve">? </w:t>
      </w:r>
    </w:p>
    <w:p w:rsidR="00F83882" w:rsidRDefault="00F83882" w:rsidP="009C037F">
      <w:pPr>
        <w:spacing w:before="0"/>
        <w:jc w:val="both"/>
        <w:rPr>
          <w:b/>
        </w:rPr>
      </w:pPr>
    </w:p>
    <w:p w:rsidR="00F83882" w:rsidRPr="00F83882" w:rsidRDefault="00F83882" w:rsidP="00F83882">
      <w:pPr>
        <w:spacing w:before="0"/>
        <w:jc w:val="both"/>
      </w:pPr>
      <w:r w:rsidRPr="00F83882">
        <w:t xml:space="preserve">BNY Mellon believes that there are major problems with the draft </w:t>
      </w:r>
      <w:proofErr w:type="spellStart"/>
      <w:r w:rsidRPr="00F83882">
        <w:t>RTS</w:t>
      </w:r>
      <w:proofErr w:type="spellEnd"/>
      <w:r w:rsidRPr="00F83882">
        <w:t xml:space="preserve"> related to the buy-in process.</w:t>
      </w:r>
    </w:p>
    <w:p w:rsidR="00F83882" w:rsidRPr="00F83882" w:rsidRDefault="00F83882" w:rsidP="00F83882">
      <w:pPr>
        <w:spacing w:before="0"/>
        <w:jc w:val="both"/>
      </w:pPr>
    </w:p>
    <w:p w:rsidR="00F83882" w:rsidRPr="00F83882" w:rsidRDefault="00F83882" w:rsidP="00F83882">
      <w:pPr>
        <w:spacing w:before="0"/>
        <w:jc w:val="both"/>
      </w:pPr>
      <w:r w:rsidRPr="00F83882">
        <w:t xml:space="preserve">Buy-ins </w:t>
      </w:r>
      <w:proofErr w:type="gramStart"/>
      <w:r w:rsidRPr="00F83882">
        <w:t>are</w:t>
      </w:r>
      <w:proofErr w:type="gramEnd"/>
      <w:r w:rsidRPr="00F83882">
        <w:t xml:space="preserve"> a trading-related process. They are the exercise by a trading party of a right under the contractual terms between the two trading parties.</w:t>
      </w:r>
    </w:p>
    <w:p w:rsidR="00F83882" w:rsidRPr="00F83882" w:rsidRDefault="00F83882" w:rsidP="00F83882">
      <w:pPr>
        <w:spacing w:before="0"/>
        <w:jc w:val="both"/>
      </w:pPr>
    </w:p>
    <w:p w:rsidR="00F83882" w:rsidRPr="00F83882" w:rsidRDefault="00F83882" w:rsidP="00F83882">
      <w:pPr>
        <w:spacing w:before="0"/>
        <w:jc w:val="both"/>
      </w:pPr>
      <w:r w:rsidRPr="00F83882">
        <w:t>Fundamentally, buy-ins can only be executed at the trading level, and they cannot be executed at the settlement level.</w:t>
      </w:r>
    </w:p>
    <w:p w:rsidR="00F83882" w:rsidRPr="00F83882" w:rsidRDefault="00F83882" w:rsidP="00F83882">
      <w:pPr>
        <w:spacing w:before="0"/>
        <w:jc w:val="both"/>
      </w:pPr>
    </w:p>
    <w:p w:rsidR="00F83882" w:rsidRPr="00F83882" w:rsidRDefault="00F83882" w:rsidP="00F83882">
      <w:pPr>
        <w:spacing w:before="0"/>
        <w:jc w:val="both"/>
      </w:pPr>
      <w:r w:rsidRPr="00F83882">
        <w:t>Under current industry processes, there is no possibility to transmit buy-in information down the custody chain to the settlement level.</w:t>
      </w:r>
    </w:p>
    <w:p w:rsidR="00F83882" w:rsidRPr="00F83882" w:rsidRDefault="00F83882" w:rsidP="00F83882">
      <w:pPr>
        <w:spacing w:before="0"/>
        <w:jc w:val="both"/>
      </w:pPr>
    </w:p>
    <w:p w:rsidR="00F83882" w:rsidRPr="00F83882" w:rsidRDefault="00F83882" w:rsidP="00F83882">
      <w:pPr>
        <w:spacing w:before="0"/>
        <w:jc w:val="both"/>
      </w:pPr>
      <w:r w:rsidRPr="00F83882">
        <w:t xml:space="preserve">BNY Mellon believes that the most critical flaw in the proposed </w:t>
      </w:r>
      <w:proofErr w:type="spellStart"/>
      <w:r w:rsidRPr="00F83882">
        <w:t>RTS</w:t>
      </w:r>
      <w:proofErr w:type="spellEnd"/>
      <w:r w:rsidRPr="00F83882">
        <w:t xml:space="preserve"> is that – for transactions that are neither cleared, nor executed on a European trading venue – the draft </w:t>
      </w:r>
      <w:proofErr w:type="spellStart"/>
      <w:r w:rsidRPr="00F83882">
        <w:t>RTS</w:t>
      </w:r>
      <w:proofErr w:type="spellEnd"/>
      <w:r w:rsidRPr="00F83882">
        <w:t xml:space="preserve"> place the responsibility for executing and processing the buy-in at the settlement layer (i.e. on the </w:t>
      </w:r>
      <w:proofErr w:type="spellStart"/>
      <w:r w:rsidRPr="00F83882">
        <w:t>CSD</w:t>
      </w:r>
      <w:proofErr w:type="spellEnd"/>
      <w:r w:rsidRPr="00F83882">
        <w:t xml:space="preserve"> and on the </w:t>
      </w:r>
      <w:proofErr w:type="spellStart"/>
      <w:r w:rsidRPr="00F83882">
        <w:t>CSD</w:t>
      </w:r>
      <w:proofErr w:type="spellEnd"/>
      <w:r w:rsidRPr="00F83882">
        <w:t xml:space="preserve"> participants), and not – as it should be – at the trading layer.</w:t>
      </w:r>
    </w:p>
    <w:p w:rsidR="00F83882" w:rsidRPr="00F83882" w:rsidRDefault="00F83882" w:rsidP="00F83882">
      <w:pPr>
        <w:spacing w:before="0"/>
        <w:jc w:val="both"/>
      </w:pPr>
    </w:p>
    <w:p w:rsidR="00F83882" w:rsidRPr="00F83882" w:rsidRDefault="00F83882" w:rsidP="00F83882">
      <w:pPr>
        <w:spacing w:before="0"/>
        <w:jc w:val="both"/>
      </w:pPr>
      <w:r w:rsidRPr="00F83882">
        <w:t>This requirement changes the role of settlement agents and custodians. It transfers counterparty risk from the trading level to the settlement level. This is a fundamental change in the responsibilities of actors in securities markets with far-reaching implications. BNY Mellon opposes this change strongly. BNY Mellon asks ESMA to reconsider its proposals, especially as there are broader policy implications and concerns, relating to systemic stability and prudential supervision.</w:t>
      </w:r>
    </w:p>
    <w:p w:rsidR="00F83882" w:rsidRPr="00F83882" w:rsidRDefault="00F83882" w:rsidP="00F83882">
      <w:pPr>
        <w:spacing w:before="0"/>
        <w:jc w:val="both"/>
        <w:rPr>
          <w:u w:val="single"/>
        </w:rPr>
      </w:pPr>
    </w:p>
    <w:p w:rsidR="00F83882" w:rsidRPr="00F83882" w:rsidRDefault="00F83882" w:rsidP="00F83882">
      <w:pPr>
        <w:spacing w:before="0"/>
        <w:jc w:val="both"/>
        <w:rPr>
          <w:u w:val="single"/>
        </w:rPr>
      </w:pPr>
      <w:r w:rsidRPr="00F83882">
        <w:rPr>
          <w:u w:val="single"/>
        </w:rPr>
        <w:t>1/ Level 1 mandate</w:t>
      </w:r>
    </w:p>
    <w:p w:rsidR="00F83882" w:rsidRPr="00F83882" w:rsidRDefault="00F83882" w:rsidP="00F83882">
      <w:pPr>
        <w:spacing w:before="0"/>
        <w:jc w:val="both"/>
      </w:pPr>
    </w:p>
    <w:p w:rsidR="00F83882" w:rsidRPr="00F83882" w:rsidRDefault="00F83882" w:rsidP="00F83882">
      <w:pPr>
        <w:spacing w:before="0"/>
        <w:jc w:val="both"/>
      </w:pPr>
      <w:r w:rsidRPr="00F83882">
        <w:t xml:space="preserve">As ESMA points out in paragraph 67 of the consultation paper, the Level 1 text of </w:t>
      </w:r>
      <w:proofErr w:type="spellStart"/>
      <w:r w:rsidRPr="00F83882">
        <w:t>CSDR</w:t>
      </w:r>
      <w:proofErr w:type="spellEnd"/>
      <w:r w:rsidRPr="00F83882">
        <w:t xml:space="preserve"> does indeed require ESMA to specify “the details of operation of the appropriate buy-in process”.</w:t>
      </w:r>
    </w:p>
    <w:p w:rsidR="00F83882" w:rsidRPr="00F83882" w:rsidRDefault="00F83882" w:rsidP="00F83882">
      <w:pPr>
        <w:spacing w:before="0"/>
        <w:jc w:val="both"/>
      </w:pPr>
    </w:p>
    <w:p w:rsidR="00F83882" w:rsidRPr="00F83882" w:rsidRDefault="00F83882" w:rsidP="00F83882">
      <w:pPr>
        <w:spacing w:before="0"/>
        <w:jc w:val="both"/>
      </w:pPr>
      <w:r w:rsidRPr="00F83882">
        <w:t>However, the level 1 text does not require that for OTC transactions (i.e. those that are neither cleared, nor executed on a European trading venue) the buy-in process be executed at the settlement level. In fact, if anything, the level 1 text suggests precisely the reverse.</w:t>
      </w:r>
    </w:p>
    <w:p w:rsidR="00F83882" w:rsidRPr="00F83882" w:rsidRDefault="00F83882" w:rsidP="00F83882">
      <w:pPr>
        <w:spacing w:before="0"/>
        <w:jc w:val="both"/>
      </w:pPr>
    </w:p>
    <w:p w:rsidR="00F83882" w:rsidRPr="00F83882" w:rsidRDefault="00F83882" w:rsidP="00F83882">
      <w:pPr>
        <w:spacing w:before="0"/>
        <w:jc w:val="both"/>
      </w:pPr>
      <w:r w:rsidRPr="00F83882">
        <w:lastRenderedPageBreak/>
        <w:t xml:space="preserve">There is only one operational requirement in the level 1 text. Article 7(15)(h)) asks ESMA to specify “necessary settlement information”, but this requirement relates exclusively to the case of </w:t>
      </w:r>
      <w:proofErr w:type="spellStart"/>
      <w:r w:rsidRPr="00F83882">
        <w:t>uncleared</w:t>
      </w:r>
      <w:proofErr w:type="spellEnd"/>
      <w:r w:rsidRPr="00F83882">
        <w:t xml:space="preserve"> transactions that have been executed on a European trading venue, and specifically does not relate to OTC transactions.</w:t>
      </w:r>
    </w:p>
    <w:p w:rsidR="00F83882" w:rsidRPr="00F83882" w:rsidRDefault="00F83882" w:rsidP="00F83882">
      <w:pPr>
        <w:spacing w:before="0"/>
        <w:jc w:val="both"/>
      </w:pPr>
    </w:p>
    <w:p w:rsidR="00F83882" w:rsidRPr="00F83882" w:rsidRDefault="00F83882" w:rsidP="00F83882">
      <w:pPr>
        <w:spacing w:before="0"/>
        <w:jc w:val="both"/>
      </w:pPr>
      <w:r w:rsidRPr="00F83882">
        <w:t>It is fully within the scope of the Level 1 mandate for ESMA to specify details of a buy-in process that takes place at trading level.</w:t>
      </w:r>
    </w:p>
    <w:p w:rsidR="00F83882" w:rsidRPr="00F83882" w:rsidRDefault="00F83882" w:rsidP="00F83882">
      <w:pPr>
        <w:spacing w:before="0"/>
        <w:jc w:val="both"/>
      </w:pPr>
    </w:p>
    <w:p w:rsidR="00F83882" w:rsidRPr="00F83882" w:rsidRDefault="00F83882" w:rsidP="00F83882">
      <w:pPr>
        <w:spacing w:before="0"/>
        <w:jc w:val="both"/>
      </w:pPr>
      <w:r w:rsidRPr="00F83882">
        <w:t>2/ Change in Risk Profile</w:t>
      </w:r>
    </w:p>
    <w:p w:rsidR="00F83882" w:rsidRPr="00F83882" w:rsidRDefault="00F83882" w:rsidP="00F83882">
      <w:pPr>
        <w:spacing w:before="0"/>
        <w:jc w:val="both"/>
      </w:pPr>
    </w:p>
    <w:p w:rsidR="00F83882" w:rsidRPr="00F83882" w:rsidRDefault="00F83882" w:rsidP="00F83882">
      <w:pPr>
        <w:spacing w:before="0"/>
        <w:jc w:val="both"/>
      </w:pPr>
      <w:r w:rsidRPr="00F83882">
        <w:t xml:space="preserve">The ESMA requirements for buy-ins for OTC transactions have significant risk impacts for all participants in a securities holding chain, and for all types of transactions (RVP, </w:t>
      </w:r>
      <w:proofErr w:type="spellStart"/>
      <w:r w:rsidRPr="00F83882">
        <w:t>DVP</w:t>
      </w:r>
      <w:proofErr w:type="spellEnd"/>
      <w:r w:rsidRPr="00F83882">
        <w:t xml:space="preserve">, </w:t>
      </w:r>
      <w:proofErr w:type="spellStart"/>
      <w:r w:rsidRPr="00F83882">
        <w:t>RF</w:t>
      </w:r>
      <w:proofErr w:type="spellEnd"/>
      <w:r w:rsidRPr="00F83882">
        <w:t xml:space="preserve"> and DF).</w:t>
      </w:r>
    </w:p>
    <w:p w:rsidR="00F83882" w:rsidRPr="00F83882" w:rsidRDefault="00F83882" w:rsidP="00F83882">
      <w:pPr>
        <w:spacing w:before="0"/>
        <w:jc w:val="both"/>
      </w:pPr>
    </w:p>
    <w:p w:rsidR="00F83882" w:rsidRPr="00F83882" w:rsidRDefault="00F83882" w:rsidP="00F83882">
      <w:pPr>
        <w:spacing w:before="0"/>
        <w:jc w:val="both"/>
      </w:pPr>
      <w:r w:rsidRPr="00F83882">
        <w:t xml:space="preserve">Article 11(3) of the ESMA draft </w:t>
      </w:r>
      <w:proofErr w:type="spellStart"/>
      <w:r w:rsidRPr="00F83882">
        <w:t>RTS</w:t>
      </w:r>
      <w:proofErr w:type="spellEnd"/>
      <w:r w:rsidRPr="00F83882">
        <w:t xml:space="preserve"> on Settlement Discipline specify that “The </w:t>
      </w:r>
      <w:proofErr w:type="spellStart"/>
      <w:r w:rsidRPr="00F83882">
        <w:t>CSD</w:t>
      </w:r>
      <w:proofErr w:type="spellEnd"/>
      <w:r w:rsidRPr="00F83882">
        <w:t xml:space="preserve">, </w:t>
      </w:r>
      <w:proofErr w:type="spellStart"/>
      <w:r w:rsidRPr="00F83882">
        <w:t>CCP</w:t>
      </w:r>
      <w:proofErr w:type="spellEnd"/>
      <w:r w:rsidRPr="00F83882">
        <w:t>, trading venue or the receiving participant shall appoint a buy-in agent or execute the buy-in by auction”.</w:t>
      </w:r>
    </w:p>
    <w:p w:rsidR="00F83882" w:rsidRPr="00F83882" w:rsidRDefault="00F83882" w:rsidP="00F83882">
      <w:pPr>
        <w:spacing w:before="0"/>
        <w:jc w:val="both"/>
      </w:pPr>
    </w:p>
    <w:p w:rsidR="00F83882" w:rsidRPr="00F83882" w:rsidRDefault="00F83882" w:rsidP="00F83882">
      <w:pPr>
        <w:spacing w:before="0"/>
        <w:jc w:val="both"/>
      </w:pPr>
      <w:r w:rsidRPr="00F83882">
        <w:t xml:space="preserve">This text works for </w:t>
      </w:r>
      <w:proofErr w:type="spellStart"/>
      <w:r w:rsidRPr="00F83882">
        <w:t>CCP</w:t>
      </w:r>
      <w:proofErr w:type="spellEnd"/>
      <w:r w:rsidRPr="00F83882">
        <w:t xml:space="preserve">-cleared transactions, and for transactions executed on trading venues, providing it is clear that the relevant participant in such cases is the participant in the </w:t>
      </w:r>
      <w:proofErr w:type="spellStart"/>
      <w:r w:rsidRPr="00F83882">
        <w:t>CSD</w:t>
      </w:r>
      <w:proofErr w:type="spellEnd"/>
      <w:r w:rsidRPr="00F83882">
        <w:t xml:space="preserve"> and in the trading venue. BNY Mellon suggests that this text be clarified accordingly.</w:t>
      </w:r>
    </w:p>
    <w:p w:rsidR="00F83882" w:rsidRPr="00F83882" w:rsidRDefault="00F83882" w:rsidP="00F83882">
      <w:pPr>
        <w:spacing w:before="0"/>
        <w:jc w:val="both"/>
      </w:pPr>
    </w:p>
    <w:p w:rsidR="00F83882" w:rsidRPr="00F83882" w:rsidRDefault="00F83882" w:rsidP="00F83882">
      <w:pPr>
        <w:spacing w:before="0"/>
        <w:jc w:val="both"/>
      </w:pPr>
      <w:r w:rsidRPr="00F83882">
        <w:t xml:space="preserve">With relation to OTC transactions, the text requires that the buy-in be executed either by the </w:t>
      </w:r>
      <w:proofErr w:type="spellStart"/>
      <w:r w:rsidRPr="00F83882">
        <w:t>CSD</w:t>
      </w:r>
      <w:proofErr w:type="spellEnd"/>
      <w:r w:rsidRPr="00F83882">
        <w:t xml:space="preserve"> or by the receiving </w:t>
      </w:r>
      <w:proofErr w:type="spellStart"/>
      <w:r w:rsidRPr="00F83882">
        <w:t>CSD</w:t>
      </w:r>
      <w:proofErr w:type="spellEnd"/>
      <w:r w:rsidRPr="00F83882">
        <w:t xml:space="preserve"> participant or by an agent (appointed either by the </w:t>
      </w:r>
      <w:proofErr w:type="spellStart"/>
      <w:r w:rsidRPr="00F83882">
        <w:t>CSD</w:t>
      </w:r>
      <w:proofErr w:type="spellEnd"/>
      <w:r w:rsidRPr="00F83882">
        <w:t xml:space="preserve"> or by the receiving </w:t>
      </w:r>
      <w:proofErr w:type="spellStart"/>
      <w:r w:rsidRPr="00F83882">
        <w:t>CSD</w:t>
      </w:r>
      <w:proofErr w:type="spellEnd"/>
      <w:r w:rsidRPr="00F83882">
        <w:t xml:space="preserve"> participant). We believe that whether the agent is appointed by the </w:t>
      </w:r>
      <w:proofErr w:type="spellStart"/>
      <w:r w:rsidRPr="00F83882">
        <w:t>CSD</w:t>
      </w:r>
      <w:proofErr w:type="spellEnd"/>
      <w:r w:rsidRPr="00F83882">
        <w:t xml:space="preserve"> or by the receiving </w:t>
      </w:r>
      <w:proofErr w:type="spellStart"/>
      <w:r w:rsidRPr="00F83882">
        <w:t>CSD</w:t>
      </w:r>
      <w:proofErr w:type="spellEnd"/>
      <w:r w:rsidRPr="00F83882">
        <w:t xml:space="preserve"> participant does not make any difference; the </w:t>
      </w:r>
      <w:proofErr w:type="spellStart"/>
      <w:r w:rsidRPr="00F83882">
        <w:t>CSD</w:t>
      </w:r>
      <w:proofErr w:type="spellEnd"/>
      <w:r w:rsidRPr="00F83882">
        <w:t xml:space="preserve"> will not take on any risk, so that the buy-in will be executed in the name of the </w:t>
      </w:r>
      <w:proofErr w:type="spellStart"/>
      <w:r w:rsidRPr="00F83882">
        <w:t>CSD</w:t>
      </w:r>
      <w:proofErr w:type="spellEnd"/>
      <w:r w:rsidRPr="00F83882">
        <w:t xml:space="preserve"> participant, and the </w:t>
      </w:r>
      <w:proofErr w:type="spellStart"/>
      <w:r w:rsidRPr="00F83882">
        <w:t>CSD</w:t>
      </w:r>
      <w:proofErr w:type="spellEnd"/>
      <w:r w:rsidRPr="00F83882">
        <w:t xml:space="preserve"> participant will be contractually obliged to meet the commitments set out in the buy-in transaction.</w:t>
      </w:r>
    </w:p>
    <w:p w:rsidR="00F83882" w:rsidRPr="00F83882" w:rsidRDefault="00F83882" w:rsidP="00F83882">
      <w:pPr>
        <w:spacing w:before="0"/>
        <w:jc w:val="both"/>
      </w:pPr>
    </w:p>
    <w:p w:rsidR="00F83882" w:rsidRPr="00F83882" w:rsidRDefault="00F83882" w:rsidP="00F83882">
      <w:pPr>
        <w:spacing w:before="0"/>
        <w:jc w:val="both"/>
      </w:pPr>
      <w:r w:rsidRPr="00F83882">
        <w:t xml:space="preserve">When a buy-in occurs, the receiving </w:t>
      </w:r>
      <w:proofErr w:type="spellStart"/>
      <w:r w:rsidRPr="00F83882">
        <w:t>CSD</w:t>
      </w:r>
      <w:proofErr w:type="spellEnd"/>
      <w:r w:rsidRPr="00F83882">
        <w:t xml:space="preserve"> participant is exposed to the risk that it will not be reimbursed for the cost of purchasing the securities. For a securities settlement instruction against payment, the exposure is equal to the excess of the buy-in cost (including costs of the buy-in agent) over the cash settlement amount of the original settlement instruction (this is on the assumption that the receiving </w:t>
      </w:r>
      <w:proofErr w:type="spellStart"/>
      <w:r w:rsidRPr="00F83882">
        <w:t>CSD</w:t>
      </w:r>
      <w:proofErr w:type="spellEnd"/>
      <w:r w:rsidRPr="00F83882">
        <w:t xml:space="preserve"> participant has received from its clients the necessary cash resources to settle the original securities settlement instruction). For a Receive Free securities settlement instruction, the receiving </w:t>
      </w:r>
      <w:proofErr w:type="spellStart"/>
      <w:r w:rsidRPr="00F83882">
        <w:t>CSD</w:t>
      </w:r>
      <w:proofErr w:type="spellEnd"/>
      <w:r w:rsidRPr="00F83882">
        <w:t xml:space="preserve"> participant will need to be reimbursed for the full cost of the buy-in; in such a case, it is believed that the receiving </w:t>
      </w:r>
      <w:proofErr w:type="spellStart"/>
      <w:r w:rsidRPr="00F83882">
        <w:t>CSD</w:t>
      </w:r>
      <w:proofErr w:type="spellEnd"/>
      <w:r w:rsidRPr="00F83882">
        <w:t xml:space="preserve"> participant will need to be reimbursed by its client for the original purchase amount. In both cases (i.e. free and against payment settlement instructions), it is believed that the delivering </w:t>
      </w:r>
      <w:proofErr w:type="spellStart"/>
      <w:r w:rsidRPr="00F83882">
        <w:t>CSD</w:t>
      </w:r>
      <w:proofErr w:type="spellEnd"/>
      <w:r w:rsidRPr="00F83882">
        <w:t xml:space="preserve"> participant should reimburse the receiving </w:t>
      </w:r>
      <w:proofErr w:type="spellStart"/>
      <w:r w:rsidRPr="00F83882">
        <w:t>CSD</w:t>
      </w:r>
      <w:proofErr w:type="spellEnd"/>
      <w:r w:rsidRPr="00F83882">
        <w:t xml:space="preserve"> participant for any excess of the buy-in cost over the original purchase amount (It should be noted that this explanation is largely based on an interpretation of Article 7(8) of the Level 1 text (Article 7(8)), as the draft </w:t>
      </w:r>
      <w:proofErr w:type="spellStart"/>
      <w:r w:rsidRPr="00F83882">
        <w:t>RTS</w:t>
      </w:r>
      <w:proofErr w:type="spellEnd"/>
      <w:r w:rsidRPr="00F83882">
        <w:t xml:space="preserve"> do not set out any reimbursement process).</w:t>
      </w:r>
    </w:p>
    <w:p w:rsidR="00F83882" w:rsidRPr="00F83882" w:rsidRDefault="00F83882" w:rsidP="00F83882">
      <w:pPr>
        <w:spacing w:before="0"/>
        <w:jc w:val="both"/>
      </w:pPr>
    </w:p>
    <w:p w:rsidR="00F83882" w:rsidRPr="00F83882" w:rsidRDefault="00F83882" w:rsidP="00F83882">
      <w:pPr>
        <w:spacing w:before="0"/>
        <w:jc w:val="both"/>
      </w:pPr>
      <w:r w:rsidRPr="00F83882">
        <w:t xml:space="preserve">This process has as consequence that – depending on the specific settlement arrangements for a participant securities transaction - a receiving </w:t>
      </w:r>
      <w:proofErr w:type="spellStart"/>
      <w:r w:rsidRPr="00F83882">
        <w:t>CSD</w:t>
      </w:r>
      <w:proofErr w:type="spellEnd"/>
      <w:r w:rsidRPr="00F83882">
        <w:t xml:space="preserve"> participant may be dependent on reimbursement by any of the other participants in the same </w:t>
      </w:r>
      <w:proofErr w:type="spellStart"/>
      <w:r w:rsidRPr="00F83882">
        <w:t>CSD</w:t>
      </w:r>
      <w:proofErr w:type="spellEnd"/>
      <w:r w:rsidRPr="00F83882">
        <w:t xml:space="preserve">, and by any of the participants of any interoperable </w:t>
      </w:r>
      <w:proofErr w:type="spellStart"/>
      <w:r w:rsidRPr="00F83882">
        <w:t>CSD</w:t>
      </w:r>
      <w:proofErr w:type="spellEnd"/>
      <w:r w:rsidRPr="00F83882">
        <w:t xml:space="preserve">. It is important to note that the </w:t>
      </w:r>
      <w:proofErr w:type="spellStart"/>
      <w:r w:rsidRPr="00F83882">
        <w:t>CSD</w:t>
      </w:r>
      <w:proofErr w:type="spellEnd"/>
      <w:r w:rsidRPr="00F83882">
        <w:t xml:space="preserve"> participant may very well not have any direct contractual relationship with any of these other </w:t>
      </w:r>
      <w:proofErr w:type="spellStart"/>
      <w:r w:rsidRPr="00F83882">
        <w:t>CSD</w:t>
      </w:r>
      <w:proofErr w:type="spellEnd"/>
      <w:r w:rsidRPr="00F83882">
        <w:t xml:space="preserve"> participants, and indeed </w:t>
      </w:r>
      <w:proofErr w:type="gramStart"/>
      <w:r w:rsidRPr="00F83882">
        <w:t>may</w:t>
      </w:r>
      <w:proofErr w:type="gramEnd"/>
      <w:r w:rsidRPr="00F83882">
        <w:t xml:space="preserve"> not know their identity or contact details.</w:t>
      </w:r>
    </w:p>
    <w:p w:rsidR="00F83882" w:rsidRPr="00F83882" w:rsidRDefault="00F83882" w:rsidP="00F83882">
      <w:pPr>
        <w:spacing w:before="0"/>
        <w:jc w:val="both"/>
      </w:pPr>
    </w:p>
    <w:p w:rsidR="00F83882" w:rsidRPr="00F83882" w:rsidRDefault="00F83882" w:rsidP="00F83882">
      <w:pPr>
        <w:spacing w:before="0"/>
        <w:jc w:val="both"/>
      </w:pPr>
      <w:r w:rsidRPr="00F83882">
        <w:t xml:space="preserve">When a buy-in occurs, the delivering </w:t>
      </w:r>
      <w:proofErr w:type="spellStart"/>
      <w:r w:rsidRPr="00F83882">
        <w:t>CSD</w:t>
      </w:r>
      <w:proofErr w:type="spellEnd"/>
      <w:r w:rsidRPr="00F83882">
        <w:t xml:space="preserve"> participant is also exposed to risk. The delivering </w:t>
      </w:r>
      <w:proofErr w:type="spellStart"/>
      <w:r w:rsidRPr="00F83882">
        <w:t>CSD</w:t>
      </w:r>
      <w:proofErr w:type="spellEnd"/>
      <w:r w:rsidRPr="00F83882">
        <w:t xml:space="preserve"> participant is obliged to reimburse the receiving </w:t>
      </w:r>
      <w:proofErr w:type="spellStart"/>
      <w:r w:rsidRPr="00F83882">
        <w:t>CSD</w:t>
      </w:r>
      <w:proofErr w:type="spellEnd"/>
      <w:r w:rsidRPr="00F83882">
        <w:t xml:space="preserve"> participant for the excess of the buy-in cost over the original purchase amount. But the delivering </w:t>
      </w:r>
      <w:proofErr w:type="spellStart"/>
      <w:r w:rsidRPr="00F83882">
        <w:t>CSD</w:t>
      </w:r>
      <w:proofErr w:type="spellEnd"/>
      <w:r w:rsidRPr="00F83882">
        <w:t xml:space="preserve"> participant may also </w:t>
      </w:r>
      <w:r w:rsidRPr="00F83882">
        <w:lastRenderedPageBreak/>
        <w:t xml:space="preserve">be obliged (in accordance with Article 7(6) of the Level 1 text) to reimburse the receiving </w:t>
      </w:r>
      <w:proofErr w:type="spellStart"/>
      <w:r w:rsidRPr="00F83882">
        <w:t>CSD</w:t>
      </w:r>
      <w:proofErr w:type="spellEnd"/>
      <w:r w:rsidRPr="00F83882">
        <w:t xml:space="preserve"> participant for the short-fall (i.e. for the amount by which the cost of the buy-in is below the purchase amount of the original transaction).</w:t>
      </w:r>
    </w:p>
    <w:p w:rsidR="00F83882" w:rsidRPr="00F83882" w:rsidRDefault="00F83882" w:rsidP="00F83882">
      <w:pPr>
        <w:spacing w:before="0"/>
        <w:jc w:val="both"/>
      </w:pPr>
    </w:p>
    <w:p w:rsidR="00F83882" w:rsidRPr="00F83882" w:rsidRDefault="00F83882" w:rsidP="00F83882">
      <w:pPr>
        <w:spacing w:before="0"/>
        <w:jc w:val="both"/>
      </w:pPr>
      <w:r w:rsidRPr="00F83882">
        <w:t xml:space="preserve">What this analysis shows is that by sending securities settlement instructions to a </w:t>
      </w:r>
      <w:proofErr w:type="spellStart"/>
      <w:r w:rsidRPr="00F83882">
        <w:t>CSD</w:t>
      </w:r>
      <w:proofErr w:type="spellEnd"/>
      <w:r w:rsidRPr="00F83882">
        <w:t xml:space="preserve"> for matching and for settlement, </w:t>
      </w:r>
      <w:proofErr w:type="spellStart"/>
      <w:r w:rsidRPr="00F83882">
        <w:t>CSD</w:t>
      </w:r>
      <w:proofErr w:type="spellEnd"/>
      <w:r w:rsidRPr="00F83882">
        <w:t xml:space="preserve"> participants, both as receiving participants and as delivering participants, and as a consequence of the approach of the draft </w:t>
      </w:r>
      <w:proofErr w:type="spellStart"/>
      <w:r w:rsidRPr="00F83882">
        <w:t>RTS</w:t>
      </w:r>
      <w:proofErr w:type="spellEnd"/>
      <w:r w:rsidRPr="00F83882">
        <w:t xml:space="preserve"> to mandate a buy-in process at the settlement level, take on additional risk. The beneficiary of this transfer of risk is the underlying purchaser. The underlying purchaser benefits from a guarantee on the commitments of the underlying seller; the guarantors are the two </w:t>
      </w:r>
      <w:proofErr w:type="spellStart"/>
      <w:r w:rsidRPr="00F83882">
        <w:t>CSD</w:t>
      </w:r>
      <w:proofErr w:type="spellEnd"/>
      <w:r w:rsidRPr="00F83882">
        <w:t xml:space="preserve"> participants. In effect, the </w:t>
      </w:r>
      <w:proofErr w:type="spellStart"/>
      <w:r w:rsidRPr="00F83882">
        <w:t>CSD</w:t>
      </w:r>
      <w:proofErr w:type="spellEnd"/>
      <w:r w:rsidRPr="00F83882">
        <w:t xml:space="preserve"> participants take on the role of a </w:t>
      </w:r>
      <w:proofErr w:type="spellStart"/>
      <w:r w:rsidRPr="00F83882">
        <w:t>CCP</w:t>
      </w:r>
      <w:proofErr w:type="spellEnd"/>
      <w:r w:rsidRPr="00F83882">
        <w:t xml:space="preserve"> for the purchaser.</w:t>
      </w:r>
    </w:p>
    <w:p w:rsidR="00F83882" w:rsidRPr="00F83882" w:rsidRDefault="00F83882" w:rsidP="00F83882">
      <w:pPr>
        <w:spacing w:before="0"/>
        <w:jc w:val="both"/>
      </w:pPr>
    </w:p>
    <w:p w:rsidR="00F83882" w:rsidRPr="00F83882" w:rsidRDefault="00F83882" w:rsidP="00F83882">
      <w:pPr>
        <w:spacing w:before="0"/>
        <w:jc w:val="both"/>
      </w:pPr>
      <w:r w:rsidRPr="00F83882">
        <w:t xml:space="preserve">This analysis is a partial analysis. </w:t>
      </w:r>
      <w:proofErr w:type="spellStart"/>
      <w:r w:rsidRPr="00F83882">
        <w:t>CSD</w:t>
      </w:r>
      <w:proofErr w:type="spellEnd"/>
      <w:r w:rsidRPr="00F83882">
        <w:t xml:space="preserve"> participants do not simply take on counterparty risk; they also take on legal risk. It is reasonable to assume that in some cases the two trading parties, or rather at a minimum the underlying buyer, challenge the right of the receiving </w:t>
      </w:r>
      <w:proofErr w:type="spellStart"/>
      <w:r w:rsidRPr="00F83882">
        <w:t>CSD</w:t>
      </w:r>
      <w:proofErr w:type="spellEnd"/>
      <w:r w:rsidRPr="00F83882">
        <w:t xml:space="preserve"> participant to execute the buy-in, and refuse to accept the outcome of the buy-in as replacing the original contractual agreement. This case could certainly occur in the case of contracts that are not under the law of a member state of the EU, and in the case of trading parties domiciled outside the EU.</w:t>
      </w:r>
    </w:p>
    <w:p w:rsidR="00F83882" w:rsidRPr="00F83882" w:rsidRDefault="00F83882" w:rsidP="00F83882">
      <w:pPr>
        <w:spacing w:before="0"/>
        <w:jc w:val="both"/>
      </w:pPr>
    </w:p>
    <w:p w:rsidR="00F83882" w:rsidRPr="00F83882" w:rsidRDefault="00F83882" w:rsidP="00F83882">
      <w:pPr>
        <w:spacing w:before="0"/>
        <w:jc w:val="both"/>
      </w:pPr>
      <w:r w:rsidRPr="00F83882">
        <w:t xml:space="preserve">The reason this possibility exists is because the mechanism whereby the underlying trading parties are obliged to comply with the requirements of European law are the contractual arrangements between the different parties in the different custody chains, and trading parties domiciled outside the EU could take the view that their domestic legal arrangements prevail. </w:t>
      </w:r>
    </w:p>
    <w:p w:rsidR="00F83882" w:rsidRPr="00F83882" w:rsidRDefault="00F83882" w:rsidP="00F83882">
      <w:pPr>
        <w:spacing w:before="0"/>
        <w:jc w:val="both"/>
      </w:pPr>
    </w:p>
    <w:p w:rsidR="00F83882" w:rsidRPr="00F83882" w:rsidRDefault="00F83882" w:rsidP="00F83882">
      <w:pPr>
        <w:spacing w:before="0"/>
        <w:jc w:val="both"/>
      </w:pPr>
      <w:r w:rsidRPr="00F83882">
        <w:t>3/ Implications/Consequences of the Change in Risk Profile</w:t>
      </w:r>
    </w:p>
    <w:p w:rsidR="00F83882" w:rsidRPr="00F83882" w:rsidRDefault="00F83882" w:rsidP="00F83882">
      <w:pPr>
        <w:spacing w:before="0"/>
        <w:jc w:val="both"/>
      </w:pPr>
    </w:p>
    <w:p w:rsidR="00F83882" w:rsidRPr="00F83882" w:rsidRDefault="00F83882" w:rsidP="00F83882">
      <w:pPr>
        <w:spacing w:before="0"/>
        <w:jc w:val="both"/>
      </w:pPr>
      <w:r w:rsidRPr="00F83882">
        <w:t>BNY Mellon believes that this change in risk profile will have far-reaching implications. At this point in time, it is difficult to identify all the possible consequences. However, BNY Mellon offers the following list of some possible implications and consequences:</w:t>
      </w:r>
    </w:p>
    <w:p w:rsidR="00F83882" w:rsidRPr="00F83882" w:rsidRDefault="00F83882" w:rsidP="00F83882">
      <w:pPr>
        <w:spacing w:before="0"/>
        <w:jc w:val="both"/>
      </w:pPr>
    </w:p>
    <w:p w:rsidR="00F83882" w:rsidRPr="00F83882" w:rsidRDefault="00F83882" w:rsidP="00F83882">
      <w:pPr>
        <w:numPr>
          <w:ilvl w:val="0"/>
          <w:numId w:val="15"/>
        </w:numPr>
        <w:spacing w:before="0"/>
        <w:jc w:val="both"/>
      </w:pPr>
      <w:r w:rsidRPr="00F83882">
        <w:t>Collateralization of exposures: in order to cover the increased risk, intermediaries will ask their clients to provide increased guarantees, and possibly collateral; this will tend to reduce the supply of collateral, and the supply of securities positions that can be borrowed, so that there will overall be a reduction in settlement efficiency.</w:t>
      </w:r>
    </w:p>
    <w:p w:rsidR="00F83882" w:rsidRPr="00F83882" w:rsidRDefault="00F83882" w:rsidP="00F83882">
      <w:pPr>
        <w:numPr>
          <w:ilvl w:val="0"/>
          <w:numId w:val="15"/>
        </w:numPr>
        <w:spacing w:before="0"/>
        <w:jc w:val="both"/>
      </w:pPr>
      <w:r w:rsidRPr="00F83882">
        <w:t xml:space="preserve">Supervisory implications: prudential supervisors will require risk mitigation measures (such as the provision of collateral), and indeed may decide to prohibit certain entities from providing settlement agent and custody services; we note that this may well also apply to investor </w:t>
      </w:r>
      <w:proofErr w:type="spellStart"/>
      <w:r w:rsidRPr="00F83882">
        <w:t>CSDs</w:t>
      </w:r>
      <w:proofErr w:type="spellEnd"/>
      <w:r w:rsidRPr="00F83882">
        <w:t xml:space="preserve">, as </w:t>
      </w:r>
      <w:proofErr w:type="spellStart"/>
      <w:r w:rsidRPr="00F83882">
        <w:t>CSDs</w:t>
      </w:r>
      <w:proofErr w:type="spellEnd"/>
      <w:r w:rsidRPr="00F83882">
        <w:t xml:space="preserve"> as an investor </w:t>
      </w:r>
      <w:proofErr w:type="spellStart"/>
      <w:r w:rsidRPr="00F83882">
        <w:t>CSD</w:t>
      </w:r>
      <w:proofErr w:type="spellEnd"/>
      <w:r w:rsidRPr="00F83882">
        <w:t xml:space="preserve"> will be exposed to buy-in risks.</w:t>
      </w:r>
    </w:p>
    <w:p w:rsidR="00F83882" w:rsidRPr="00F83882" w:rsidRDefault="00F83882" w:rsidP="00F83882">
      <w:pPr>
        <w:numPr>
          <w:ilvl w:val="0"/>
          <w:numId w:val="15"/>
        </w:numPr>
        <w:spacing w:before="0"/>
        <w:jc w:val="both"/>
      </w:pPr>
      <w:r w:rsidRPr="00F83882">
        <w:t>Systemic risk implications: the risks associated with buy-ins will be at their greatest at times of market stress (when market prices may fluctuate considerably, and when there may be little trading and settlement liquidity).</w:t>
      </w:r>
    </w:p>
    <w:p w:rsidR="00F83882" w:rsidRPr="00F83882" w:rsidRDefault="00F83882" w:rsidP="00F83882">
      <w:pPr>
        <w:spacing w:before="0"/>
        <w:jc w:val="both"/>
      </w:pPr>
    </w:p>
    <w:p w:rsidR="00F83882" w:rsidRPr="00F83882" w:rsidRDefault="00F83882" w:rsidP="00F83882">
      <w:pPr>
        <w:spacing w:before="0"/>
        <w:jc w:val="both"/>
      </w:pPr>
      <w:r w:rsidRPr="00F83882">
        <w:t xml:space="preserve">4/ </w:t>
      </w:r>
      <w:proofErr w:type="gramStart"/>
      <w:r w:rsidRPr="00F83882">
        <w:t>What</w:t>
      </w:r>
      <w:proofErr w:type="gramEnd"/>
      <w:r w:rsidRPr="00F83882">
        <w:t xml:space="preserve"> is the right level (trading or settlement) for the buy-in obligation?</w:t>
      </w:r>
    </w:p>
    <w:p w:rsidR="00F83882" w:rsidRPr="00F83882" w:rsidRDefault="00F83882" w:rsidP="00F83882">
      <w:pPr>
        <w:spacing w:before="0"/>
        <w:jc w:val="both"/>
      </w:pPr>
    </w:p>
    <w:p w:rsidR="00F83882" w:rsidRPr="00F83882" w:rsidRDefault="00F83882" w:rsidP="00F83882">
      <w:pPr>
        <w:spacing w:before="0"/>
        <w:jc w:val="both"/>
      </w:pPr>
      <w:proofErr w:type="gramStart"/>
      <w:r w:rsidRPr="00F83882">
        <w:t xml:space="preserve">A major source of confusion is that </w:t>
      </w:r>
      <w:proofErr w:type="spellStart"/>
      <w:r w:rsidRPr="00F83882">
        <w:t>CSDR</w:t>
      </w:r>
      <w:proofErr w:type="spellEnd"/>
      <w:r w:rsidRPr="00F83882">
        <w:t>, both at level 1 and in the current draft</w:t>
      </w:r>
      <w:proofErr w:type="gramEnd"/>
      <w:r w:rsidRPr="00F83882">
        <w:t xml:space="preserve"> </w:t>
      </w:r>
      <w:proofErr w:type="spellStart"/>
      <w:r w:rsidRPr="00F83882">
        <w:t>RTS</w:t>
      </w:r>
      <w:proofErr w:type="spellEnd"/>
      <w:r w:rsidRPr="00F83882">
        <w:t xml:space="preserve">, </w:t>
      </w:r>
      <w:proofErr w:type="spellStart"/>
      <w:r w:rsidRPr="00F83882">
        <w:t>categorises</w:t>
      </w:r>
      <w:proofErr w:type="spellEnd"/>
      <w:r w:rsidRPr="00F83882">
        <w:t xml:space="preserve"> a buy-in as a settlement discipline measure.</w:t>
      </w:r>
    </w:p>
    <w:p w:rsidR="00F83882" w:rsidRPr="00F83882" w:rsidRDefault="00F83882" w:rsidP="00F83882">
      <w:pPr>
        <w:spacing w:before="0"/>
        <w:jc w:val="both"/>
      </w:pPr>
    </w:p>
    <w:p w:rsidR="00F83882" w:rsidRPr="00F83882" w:rsidRDefault="00F83882" w:rsidP="00F83882">
      <w:pPr>
        <w:spacing w:before="0"/>
        <w:jc w:val="both"/>
      </w:pPr>
      <w:r w:rsidRPr="00F83882">
        <w:t xml:space="preserve">Fundamentally, a buy-in is not a settlement discipline tool; rather, it is a tool to manage counterparty risk; a buy-in is the exercise by a trading party of a right to change the form of the obligation of the counterparty (in the event of non-compliance by the counterparty). For a buy-in to work, the right to a buy-in has to be an inherent part of the legal contract between the two trading counterparties. </w:t>
      </w:r>
    </w:p>
    <w:p w:rsidR="00F83882" w:rsidRPr="00F83882" w:rsidRDefault="00F83882" w:rsidP="00F83882">
      <w:pPr>
        <w:spacing w:before="0"/>
        <w:jc w:val="both"/>
      </w:pPr>
    </w:p>
    <w:p w:rsidR="00F83882" w:rsidRPr="00F83882" w:rsidRDefault="00F83882" w:rsidP="00F83882">
      <w:pPr>
        <w:spacing w:before="0"/>
        <w:jc w:val="both"/>
      </w:pPr>
      <w:r w:rsidRPr="00F83882">
        <w:lastRenderedPageBreak/>
        <w:t xml:space="preserve">As a buy-in is the exercise of a right under a legal contract between two parties, the buy-in obligation under </w:t>
      </w:r>
      <w:proofErr w:type="spellStart"/>
      <w:r w:rsidRPr="00F83882">
        <w:t>CSDR</w:t>
      </w:r>
      <w:proofErr w:type="spellEnd"/>
      <w:r w:rsidRPr="00F83882">
        <w:t xml:space="preserve"> affects the two parties to the transaction (i.e. the underlying buyer and seller).</w:t>
      </w:r>
    </w:p>
    <w:p w:rsidR="00F83882" w:rsidRPr="00F83882" w:rsidRDefault="00F83882" w:rsidP="00F83882">
      <w:pPr>
        <w:spacing w:before="0"/>
        <w:jc w:val="both"/>
      </w:pPr>
    </w:p>
    <w:p w:rsidR="00F83882" w:rsidRPr="00F83882" w:rsidRDefault="00F83882" w:rsidP="00F83882">
      <w:pPr>
        <w:spacing w:before="0"/>
        <w:jc w:val="both"/>
      </w:pPr>
      <w:proofErr w:type="spellStart"/>
      <w:r w:rsidRPr="00F83882">
        <w:t>CSDR</w:t>
      </w:r>
      <w:proofErr w:type="spellEnd"/>
      <w:r w:rsidRPr="00F83882">
        <w:t xml:space="preserve"> recognizes this by placing the buy-in obligation on a </w:t>
      </w:r>
      <w:proofErr w:type="spellStart"/>
      <w:r w:rsidRPr="00F83882">
        <w:t>CCP</w:t>
      </w:r>
      <w:proofErr w:type="spellEnd"/>
      <w:r w:rsidRPr="00F83882">
        <w:t xml:space="preserve"> (for </w:t>
      </w:r>
      <w:proofErr w:type="spellStart"/>
      <w:r w:rsidRPr="00F83882">
        <w:t>CCP</w:t>
      </w:r>
      <w:proofErr w:type="spellEnd"/>
      <w:r w:rsidRPr="00F83882">
        <w:t>-cleared transactions) and on a trading venue or trading venue participant (for non-</w:t>
      </w:r>
      <w:proofErr w:type="spellStart"/>
      <w:r w:rsidRPr="00F83882">
        <w:t>CCP</w:t>
      </w:r>
      <w:proofErr w:type="spellEnd"/>
      <w:r w:rsidRPr="00F83882">
        <w:t xml:space="preserve"> cleared transactions executed on a trading venue). By doing so, and for such transactions, </w:t>
      </w:r>
      <w:proofErr w:type="spellStart"/>
      <w:r w:rsidRPr="00F83882">
        <w:t>CSDR</w:t>
      </w:r>
      <w:proofErr w:type="spellEnd"/>
      <w:r w:rsidRPr="00F83882">
        <w:t xml:space="preserve"> places the buy-in obligation at the trading level. </w:t>
      </w:r>
    </w:p>
    <w:p w:rsidR="00F83882" w:rsidRPr="00F83882" w:rsidRDefault="00F83882" w:rsidP="00F83882">
      <w:pPr>
        <w:spacing w:before="0"/>
        <w:jc w:val="both"/>
      </w:pPr>
    </w:p>
    <w:p w:rsidR="00F83882" w:rsidRPr="00F83882" w:rsidRDefault="00F83882" w:rsidP="00F83882">
      <w:pPr>
        <w:spacing w:before="0"/>
        <w:jc w:val="both"/>
      </w:pPr>
      <w:r w:rsidRPr="00F83882">
        <w:t xml:space="preserve">It is difficult, and in some cases impossible, for a buy-in obligation to lie at the settlement level, as the legal entities at the settlement level (a receiving </w:t>
      </w:r>
      <w:proofErr w:type="spellStart"/>
      <w:r w:rsidRPr="00F83882">
        <w:t>CSD</w:t>
      </w:r>
      <w:proofErr w:type="spellEnd"/>
      <w:r w:rsidRPr="00F83882">
        <w:t xml:space="preserve"> participant, or a </w:t>
      </w:r>
      <w:proofErr w:type="spellStart"/>
      <w:r w:rsidRPr="00F83882">
        <w:t>CSD</w:t>
      </w:r>
      <w:proofErr w:type="spellEnd"/>
      <w:proofErr w:type="gramStart"/>
      <w:r w:rsidRPr="00F83882">
        <w:t>)  may</w:t>
      </w:r>
      <w:proofErr w:type="gramEnd"/>
      <w:r w:rsidRPr="00F83882">
        <w:t xml:space="preserve"> not have any contractual relationship with the underlying buyer and seller.</w:t>
      </w:r>
    </w:p>
    <w:p w:rsidR="00F83882" w:rsidRPr="00F83882" w:rsidRDefault="00F83882" w:rsidP="00F83882">
      <w:pPr>
        <w:spacing w:before="0"/>
        <w:jc w:val="both"/>
      </w:pPr>
      <w:r w:rsidRPr="00F83882">
        <w:t>The conclusion is clear. The buy-in obligation should always sit at the trading level.</w:t>
      </w:r>
    </w:p>
    <w:p w:rsidR="00F83882" w:rsidRPr="00F83882" w:rsidRDefault="00F83882" w:rsidP="00F83882">
      <w:pPr>
        <w:spacing w:before="0"/>
        <w:jc w:val="both"/>
      </w:pPr>
    </w:p>
    <w:p w:rsidR="00F83882" w:rsidRPr="00F83882" w:rsidRDefault="00F83882" w:rsidP="00F83882">
      <w:pPr>
        <w:spacing w:before="0"/>
        <w:jc w:val="both"/>
      </w:pPr>
      <w:r w:rsidRPr="00F83882">
        <w:t>5/ Need for clarity and precision in the use of the term “participant”</w:t>
      </w:r>
    </w:p>
    <w:p w:rsidR="00F83882" w:rsidRPr="00F83882" w:rsidRDefault="00F83882" w:rsidP="00F83882">
      <w:pPr>
        <w:spacing w:before="0"/>
        <w:jc w:val="both"/>
      </w:pPr>
    </w:p>
    <w:p w:rsidR="00F83882" w:rsidRPr="00F83882" w:rsidRDefault="00F83882" w:rsidP="00F83882">
      <w:pPr>
        <w:spacing w:before="0"/>
        <w:jc w:val="both"/>
      </w:pPr>
      <w:r w:rsidRPr="00F83882">
        <w:t xml:space="preserve">A significant problem in the proposed </w:t>
      </w:r>
      <w:proofErr w:type="spellStart"/>
      <w:r w:rsidRPr="00F83882">
        <w:t>RTS</w:t>
      </w:r>
      <w:proofErr w:type="spellEnd"/>
      <w:r w:rsidRPr="00F83882">
        <w:t xml:space="preserve"> is the use of the term participant. The </w:t>
      </w:r>
      <w:proofErr w:type="spellStart"/>
      <w:r w:rsidRPr="00F83882">
        <w:t>RTS</w:t>
      </w:r>
      <w:proofErr w:type="spellEnd"/>
      <w:r w:rsidRPr="00F83882">
        <w:t xml:space="preserve"> should be clear in distinguishing between participant in the sense of direct </w:t>
      </w:r>
      <w:proofErr w:type="spellStart"/>
      <w:r w:rsidRPr="00F83882">
        <w:t>CSD</w:t>
      </w:r>
      <w:proofErr w:type="spellEnd"/>
      <w:r w:rsidRPr="00F83882">
        <w:t xml:space="preserve"> participant, and participant in the sense of underlying trading party.</w:t>
      </w:r>
    </w:p>
    <w:p w:rsidR="00F83882" w:rsidRPr="00F83882" w:rsidRDefault="00F83882" w:rsidP="00F83882">
      <w:pPr>
        <w:spacing w:before="0"/>
        <w:jc w:val="both"/>
      </w:pPr>
    </w:p>
    <w:p w:rsidR="00F83882" w:rsidRPr="00F83882" w:rsidRDefault="00F83882" w:rsidP="00F83882">
      <w:pPr>
        <w:spacing w:before="0"/>
        <w:jc w:val="both"/>
      </w:pPr>
      <w:r w:rsidRPr="00F83882">
        <w:t xml:space="preserve">To give a couple of examples (based on the proposed </w:t>
      </w:r>
      <w:proofErr w:type="spellStart"/>
      <w:r w:rsidRPr="00F83882">
        <w:t>RTS</w:t>
      </w:r>
      <w:proofErr w:type="spellEnd"/>
      <w:r w:rsidRPr="00F83882">
        <w:t>):</w:t>
      </w:r>
    </w:p>
    <w:p w:rsidR="00F83882" w:rsidRPr="00F83882" w:rsidRDefault="00F83882" w:rsidP="00F83882">
      <w:pPr>
        <w:spacing w:before="0"/>
        <w:jc w:val="both"/>
      </w:pPr>
    </w:p>
    <w:p w:rsidR="00F83882" w:rsidRPr="00F83882" w:rsidRDefault="00F83882" w:rsidP="00F83882">
      <w:pPr>
        <w:numPr>
          <w:ilvl w:val="0"/>
          <w:numId w:val="16"/>
        </w:numPr>
        <w:spacing w:before="0"/>
        <w:jc w:val="both"/>
      </w:pPr>
      <w:r w:rsidRPr="00F83882">
        <w:t xml:space="preserve">Article 11(8): this paragraph states that the “receiving participant shall choose to defer the buy-in or to receive the cash compensation”. In the case of an OTC transaction, and of a receiving </w:t>
      </w:r>
      <w:proofErr w:type="spellStart"/>
      <w:r w:rsidRPr="00F83882">
        <w:t>CSD</w:t>
      </w:r>
      <w:proofErr w:type="spellEnd"/>
      <w:r w:rsidRPr="00F83882">
        <w:t xml:space="preserve"> participant that is not a party to the original trade, then the receiving </w:t>
      </w:r>
      <w:proofErr w:type="spellStart"/>
      <w:r w:rsidRPr="00F83882">
        <w:t>CSD</w:t>
      </w:r>
      <w:proofErr w:type="spellEnd"/>
      <w:r w:rsidRPr="00F83882">
        <w:t xml:space="preserve"> participant cannot exercise this choice. This choice can be exercised only by the underlying buyer.</w:t>
      </w:r>
    </w:p>
    <w:p w:rsidR="00765628" w:rsidRPr="00F83882" w:rsidRDefault="00F83882" w:rsidP="00F83882">
      <w:pPr>
        <w:numPr>
          <w:ilvl w:val="0"/>
          <w:numId w:val="16"/>
        </w:numPr>
        <w:spacing w:before="0"/>
        <w:jc w:val="both"/>
      </w:pPr>
      <w:r w:rsidRPr="00F83882">
        <w:t xml:space="preserve">Article 15(a): this paragraph covers the case of participants pre-agreeing a mechanism to establish the amount of cash compensation. In the case of an OTC transaction, and of a receiving </w:t>
      </w:r>
      <w:proofErr w:type="spellStart"/>
      <w:r w:rsidRPr="00F83882">
        <w:t>CSD</w:t>
      </w:r>
      <w:proofErr w:type="spellEnd"/>
      <w:r w:rsidRPr="00F83882">
        <w:t xml:space="preserve"> participant that is not a party to the original trade, then the receiving </w:t>
      </w:r>
      <w:proofErr w:type="spellStart"/>
      <w:r w:rsidRPr="00F83882">
        <w:t>CSD</w:t>
      </w:r>
      <w:proofErr w:type="spellEnd"/>
      <w:r w:rsidRPr="00F83882">
        <w:t xml:space="preserve"> participant cannot pre-agree this. Only the underlying buyer can do this, together with the underlying seller.</w:t>
      </w:r>
    </w:p>
    <w:p w:rsidR="00F83882" w:rsidRPr="00F83882" w:rsidRDefault="00F83882" w:rsidP="00F83882">
      <w:pPr>
        <w:spacing w:before="0"/>
        <w:jc w:val="both"/>
      </w:pPr>
    </w:p>
    <w:p w:rsidR="00F83882" w:rsidRPr="00F83882" w:rsidRDefault="00F83882" w:rsidP="00F83882">
      <w:pPr>
        <w:spacing w:before="0"/>
        <w:jc w:val="both"/>
      </w:pPr>
      <w:r w:rsidRPr="00F83882">
        <w:t xml:space="preserve">6/ </w:t>
      </w:r>
      <w:proofErr w:type="gramStart"/>
      <w:r w:rsidRPr="00F83882">
        <w:t>What</w:t>
      </w:r>
      <w:proofErr w:type="gramEnd"/>
      <w:r w:rsidRPr="00F83882">
        <w:t xml:space="preserve"> is the right way forward?</w:t>
      </w:r>
    </w:p>
    <w:p w:rsidR="00F83882" w:rsidRPr="00F83882" w:rsidRDefault="00F83882" w:rsidP="00F83882">
      <w:pPr>
        <w:spacing w:before="0"/>
        <w:jc w:val="both"/>
      </w:pPr>
    </w:p>
    <w:p w:rsidR="00F83882" w:rsidRPr="00F83882" w:rsidRDefault="00F83882" w:rsidP="00F83882">
      <w:pPr>
        <w:spacing w:before="0"/>
        <w:jc w:val="both"/>
      </w:pPr>
      <w:r w:rsidRPr="00F83882">
        <w:t>In order to make the proposals workable, BNY Mellon believes the following is needed:</w:t>
      </w:r>
    </w:p>
    <w:p w:rsidR="00F83882" w:rsidRPr="00F83882" w:rsidRDefault="00F83882" w:rsidP="00F83882">
      <w:pPr>
        <w:spacing w:before="0"/>
        <w:jc w:val="both"/>
      </w:pPr>
    </w:p>
    <w:p w:rsidR="00F83882" w:rsidRPr="00F83882" w:rsidRDefault="00F83882" w:rsidP="00F83882">
      <w:pPr>
        <w:numPr>
          <w:ilvl w:val="0"/>
          <w:numId w:val="17"/>
        </w:numPr>
        <w:spacing w:before="0"/>
        <w:jc w:val="both"/>
      </w:pPr>
      <w:r w:rsidRPr="00F83882">
        <w:t>Clarity on the scope of instruments subject to the buy-in obligation :</w:t>
      </w:r>
    </w:p>
    <w:p w:rsidR="00F83882" w:rsidRPr="00F83882" w:rsidRDefault="00F83882" w:rsidP="00F83882">
      <w:pPr>
        <w:spacing w:before="0"/>
        <w:jc w:val="both"/>
      </w:pPr>
    </w:p>
    <w:p w:rsidR="00F83882" w:rsidRPr="00F83882" w:rsidRDefault="00F83882" w:rsidP="00F83882">
      <w:pPr>
        <w:spacing w:before="0"/>
        <w:jc w:val="both"/>
      </w:pPr>
      <w:r w:rsidRPr="00F83882">
        <w:t xml:space="preserve">BNY Mellon believes that a large number of instruments do not fall within the scope of the buy-in obligation; they include financial instruments that are not admitted to trading on a trading venue, and that are not cleared by a </w:t>
      </w:r>
      <w:proofErr w:type="spellStart"/>
      <w:r w:rsidRPr="00F83882">
        <w:t>CCP</w:t>
      </w:r>
      <w:proofErr w:type="spellEnd"/>
      <w:r w:rsidRPr="00F83882">
        <w:t xml:space="preserve">, and they include securities for which the principal venue for trading is located in a third country; BNY Mellon believes that there is a need for further clarification of the scope in particular for non-EU securities. </w:t>
      </w:r>
    </w:p>
    <w:p w:rsidR="00F83882" w:rsidRPr="00F83882" w:rsidRDefault="00F83882" w:rsidP="00F83882">
      <w:pPr>
        <w:spacing w:before="0"/>
        <w:jc w:val="both"/>
      </w:pPr>
    </w:p>
    <w:p w:rsidR="00F83882" w:rsidRPr="00F83882" w:rsidRDefault="00F83882" w:rsidP="00F83882">
      <w:pPr>
        <w:numPr>
          <w:ilvl w:val="0"/>
          <w:numId w:val="17"/>
        </w:numPr>
        <w:spacing w:before="0"/>
        <w:jc w:val="both"/>
      </w:pPr>
      <w:r w:rsidRPr="00F83882">
        <w:t>Clarity on scope of activities: ESMA should specify what activities are in or out.</w:t>
      </w:r>
    </w:p>
    <w:p w:rsidR="00F83882" w:rsidRPr="00F83882" w:rsidRDefault="00F83882" w:rsidP="00F83882">
      <w:pPr>
        <w:spacing w:before="0"/>
        <w:jc w:val="both"/>
      </w:pPr>
    </w:p>
    <w:p w:rsidR="00F83882" w:rsidRPr="00F83882" w:rsidRDefault="00F83882" w:rsidP="00F83882">
      <w:pPr>
        <w:spacing w:before="0"/>
        <w:jc w:val="both"/>
      </w:pPr>
      <w:r w:rsidRPr="00F83882">
        <w:t xml:space="preserve">The buy-in obligation applies to transactions in financial instruments. There is, however, no definition of what is a transaction. It is important that ESMA specify exactly what type of activity falls within the definition of a transaction. BNY Mellon believes that a large amount of settlement activity at a </w:t>
      </w:r>
      <w:proofErr w:type="spellStart"/>
      <w:r w:rsidRPr="00F83882">
        <w:t>CSD</w:t>
      </w:r>
      <w:proofErr w:type="spellEnd"/>
      <w:r w:rsidRPr="00F83882">
        <w:t xml:space="preserve"> does not fall within the definition of a transaction; activity that certainly falls outside the scope of the definition includes portfolio transfers, collateral movements and broker-to-custodian movements. BNY Mellon believes that the scope of a buy-in should be restricted to purchases and sales of financial instruments, as for these types of activities buy-ins a tool do serve a purpose; for many other types of activities, </w:t>
      </w:r>
      <w:r w:rsidRPr="00F83882">
        <w:lastRenderedPageBreak/>
        <w:t>including, for example, securities lending, issuance and cancellation of depositary receipts, buy-ins do not serve a purpose.</w:t>
      </w:r>
    </w:p>
    <w:p w:rsidR="00F83882" w:rsidRPr="00F83882" w:rsidRDefault="00F83882" w:rsidP="00F83882">
      <w:pPr>
        <w:spacing w:before="0"/>
        <w:jc w:val="both"/>
      </w:pPr>
    </w:p>
    <w:p w:rsidR="00F83882" w:rsidRPr="00F83882" w:rsidRDefault="00F83882" w:rsidP="00F83882">
      <w:pPr>
        <w:numPr>
          <w:ilvl w:val="0"/>
          <w:numId w:val="17"/>
        </w:numPr>
        <w:spacing w:before="0"/>
        <w:jc w:val="both"/>
      </w:pPr>
      <w:r w:rsidRPr="00F83882">
        <w:t>Clarity on types of contract (EU / Non-EU)</w:t>
      </w:r>
    </w:p>
    <w:p w:rsidR="00F83882" w:rsidRPr="00F83882" w:rsidRDefault="00F83882" w:rsidP="00F83882">
      <w:pPr>
        <w:spacing w:before="0"/>
        <w:jc w:val="both"/>
      </w:pPr>
    </w:p>
    <w:p w:rsidR="00F83882" w:rsidRPr="00F83882" w:rsidRDefault="00F83882" w:rsidP="00F83882">
      <w:pPr>
        <w:spacing w:before="0"/>
        <w:jc w:val="both"/>
      </w:pPr>
      <w:r w:rsidRPr="00F83882">
        <w:t xml:space="preserve">The right to exercise a buy-in has to be part of the legal and contractual arrangements between the two counterparties. EU law cannot change legal and contractual arrangements outside of the EU. Accordingly, ESMA should make clear that the buy-in obligation under </w:t>
      </w:r>
      <w:proofErr w:type="spellStart"/>
      <w:r w:rsidRPr="00F83882">
        <w:t>CSDR</w:t>
      </w:r>
      <w:proofErr w:type="spellEnd"/>
      <w:r w:rsidRPr="00F83882">
        <w:t xml:space="preserve"> applies only to contracts governed by European law.</w:t>
      </w:r>
    </w:p>
    <w:p w:rsidR="00F83882" w:rsidRPr="00F83882" w:rsidRDefault="00F83882" w:rsidP="00F83882">
      <w:pPr>
        <w:spacing w:before="0"/>
        <w:jc w:val="both"/>
      </w:pPr>
    </w:p>
    <w:p w:rsidR="00F83882" w:rsidRPr="00F83882" w:rsidRDefault="00F83882" w:rsidP="00F83882">
      <w:pPr>
        <w:numPr>
          <w:ilvl w:val="0"/>
          <w:numId w:val="17"/>
        </w:numPr>
        <w:spacing w:before="0"/>
        <w:jc w:val="both"/>
      </w:pPr>
      <w:r w:rsidRPr="00F83882">
        <w:t>Clarity on underlying trading parties (EU/Non-EU)</w:t>
      </w:r>
    </w:p>
    <w:p w:rsidR="00F83882" w:rsidRPr="00F83882" w:rsidRDefault="00F83882" w:rsidP="00F83882">
      <w:pPr>
        <w:spacing w:before="0"/>
        <w:jc w:val="both"/>
      </w:pPr>
    </w:p>
    <w:p w:rsidR="001646CB" w:rsidRPr="00F83882" w:rsidRDefault="00F83882" w:rsidP="00F83882">
      <w:pPr>
        <w:spacing w:before="0"/>
        <w:jc w:val="both"/>
      </w:pPr>
      <w:r w:rsidRPr="00F83882">
        <w:t xml:space="preserve">The buy-in rules contained in </w:t>
      </w:r>
      <w:proofErr w:type="spellStart"/>
      <w:r w:rsidRPr="00F83882">
        <w:t>CSDR</w:t>
      </w:r>
      <w:proofErr w:type="spellEnd"/>
      <w:r w:rsidRPr="00F83882">
        <w:t xml:space="preserve"> grant underlying buyers the right to exercise a buy-in; they also contain an obligation that is placed on underlying buyers to exercise that right within a given time period. That obligation cannot be placed on underlying trading parties that are located outside of the EU. ESMA should make clear the exact scope of the obligation by residence of the trading party.</w:t>
      </w:r>
    </w:p>
    <w:p w:rsidR="00F83882" w:rsidRPr="00F83882" w:rsidRDefault="00F83882" w:rsidP="00F83882">
      <w:pPr>
        <w:numPr>
          <w:ilvl w:val="0"/>
          <w:numId w:val="17"/>
        </w:numPr>
        <w:spacing w:before="0"/>
        <w:jc w:val="both"/>
      </w:pPr>
      <w:r w:rsidRPr="00F83882">
        <w:t>Full recognition that contracting parties have the full contractual freedom to modify a transaction</w:t>
      </w:r>
    </w:p>
    <w:p w:rsidR="00F83882" w:rsidRPr="00F83882" w:rsidRDefault="00F83882" w:rsidP="00F83882">
      <w:pPr>
        <w:spacing w:before="0"/>
        <w:jc w:val="both"/>
      </w:pPr>
    </w:p>
    <w:p w:rsidR="00F83882" w:rsidRPr="00F83882" w:rsidRDefault="00F83882" w:rsidP="00F83882">
      <w:pPr>
        <w:spacing w:before="0"/>
        <w:jc w:val="both"/>
      </w:pPr>
      <w:r w:rsidRPr="00F83882">
        <w:t xml:space="preserve">Article 7(3) of the </w:t>
      </w:r>
      <w:proofErr w:type="spellStart"/>
      <w:r w:rsidRPr="00F83882">
        <w:t>CSDR</w:t>
      </w:r>
      <w:proofErr w:type="spellEnd"/>
      <w:r w:rsidRPr="00F83882">
        <w:t xml:space="preserve"> Level 1 text makes clear that contracting parties do have the full contractual freedom to modify a transaction providing that they both agree to the modification. Any buy-in procedures set out in the </w:t>
      </w:r>
      <w:proofErr w:type="spellStart"/>
      <w:r w:rsidRPr="00F83882">
        <w:t>RTS</w:t>
      </w:r>
      <w:proofErr w:type="spellEnd"/>
      <w:r w:rsidRPr="00F83882">
        <w:t xml:space="preserve"> need to take this into account. Specifically, they need to take into account the possibility that the two contracting parties agree to cancel the original transaction and replace it by another transaction. </w:t>
      </w:r>
    </w:p>
    <w:p w:rsidR="00F83882" w:rsidRPr="00F83882" w:rsidRDefault="00F83882" w:rsidP="00F83882">
      <w:pPr>
        <w:spacing w:before="0"/>
        <w:jc w:val="both"/>
      </w:pPr>
    </w:p>
    <w:p w:rsidR="00F83882" w:rsidRPr="00F83882" w:rsidRDefault="00F83882" w:rsidP="00F83882">
      <w:pPr>
        <w:numPr>
          <w:ilvl w:val="0"/>
          <w:numId w:val="17"/>
        </w:numPr>
        <w:spacing w:before="0"/>
        <w:jc w:val="both"/>
      </w:pPr>
      <w:r w:rsidRPr="00F83882">
        <w:t xml:space="preserve">Obligation to effect/process the buy-in can be placed on </w:t>
      </w:r>
      <w:proofErr w:type="spellStart"/>
      <w:r w:rsidRPr="00F83882">
        <w:t>CCPs</w:t>
      </w:r>
      <w:proofErr w:type="spellEnd"/>
      <w:r w:rsidRPr="00F83882">
        <w:t>/</w:t>
      </w:r>
      <w:proofErr w:type="spellStart"/>
      <w:r w:rsidRPr="00F83882">
        <w:t>CCP</w:t>
      </w:r>
      <w:proofErr w:type="spellEnd"/>
      <w:r w:rsidRPr="00F83882">
        <w:t xml:space="preserve">-participants and TVs/TV-participants, but it cannot be placed on </w:t>
      </w:r>
      <w:proofErr w:type="spellStart"/>
      <w:r w:rsidRPr="00F83882">
        <w:t>CSDs</w:t>
      </w:r>
      <w:proofErr w:type="spellEnd"/>
      <w:r w:rsidRPr="00F83882">
        <w:t>/</w:t>
      </w:r>
      <w:proofErr w:type="spellStart"/>
      <w:r w:rsidRPr="00F83882">
        <w:t>CSD</w:t>
      </w:r>
      <w:proofErr w:type="spellEnd"/>
      <w:r w:rsidRPr="00F83882">
        <w:t>-participants as such.</w:t>
      </w:r>
    </w:p>
    <w:p w:rsidR="00F83882" w:rsidRPr="00F83882" w:rsidRDefault="00F83882" w:rsidP="00F83882">
      <w:pPr>
        <w:spacing w:before="0"/>
        <w:jc w:val="both"/>
      </w:pPr>
    </w:p>
    <w:p w:rsidR="00F83882" w:rsidRPr="00F83882" w:rsidRDefault="00F83882" w:rsidP="00F83882">
      <w:pPr>
        <w:spacing w:before="0"/>
        <w:jc w:val="both"/>
      </w:pPr>
      <w:r w:rsidRPr="00F83882">
        <w:t xml:space="preserve">The ESMA text needs to be very clear in differentiating between obligations placed on </w:t>
      </w:r>
      <w:proofErr w:type="spellStart"/>
      <w:r w:rsidRPr="00F83882">
        <w:t>CSD</w:t>
      </w:r>
      <w:proofErr w:type="spellEnd"/>
      <w:r w:rsidRPr="00F83882">
        <w:t xml:space="preserve"> participants and obligations placed on underlying trading parties</w:t>
      </w:r>
    </w:p>
    <w:p w:rsidR="00F83882" w:rsidRPr="00F83882" w:rsidRDefault="00F83882" w:rsidP="00F83882">
      <w:pPr>
        <w:spacing w:before="0"/>
        <w:jc w:val="both"/>
      </w:pPr>
    </w:p>
    <w:p w:rsidR="00F83882" w:rsidRPr="00F83882" w:rsidRDefault="00F83882" w:rsidP="00F83882">
      <w:pPr>
        <w:numPr>
          <w:ilvl w:val="0"/>
          <w:numId w:val="18"/>
        </w:numPr>
        <w:spacing w:before="0"/>
        <w:jc w:val="both"/>
      </w:pPr>
      <w:r w:rsidRPr="00F83882">
        <w:t>Clarity on conditions that trigger the buy-in</w:t>
      </w:r>
    </w:p>
    <w:p w:rsidR="00F83882" w:rsidRPr="00F83882" w:rsidRDefault="00F83882" w:rsidP="00F83882">
      <w:pPr>
        <w:spacing w:before="0"/>
        <w:jc w:val="both"/>
      </w:pPr>
    </w:p>
    <w:p w:rsidR="00F83882" w:rsidRPr="00F83882" w:rsidRDefault="00F83882" w:rsidP="00F83882">
      <w:pPr>
        <w:spacing w:before="0"/>
        <w:jc w:val="both"/>
      </w:pPr>
      <w:r w:rsidRPr="00F83882">
        <w:t>The current text is unclear as to the conditions that trigger a buy-in. Clearly, a buy-in can take place if the delivering party is short of securities, and if the delivering instruction is on hold. But the text is unclear about what would happen in the event of another reason for failure. What about the case of both settlement instructions being on hold, because the underlying buyer is short of cash? These scenarios are just example, but they demonstrate that further clarity is needed.</w:t>
      </w:r>
    </w:p>
    <w:p w:rsidR="00F83882" w:rsidRPr="00F83882" w:rsidRDefault="00F83882" w:rsidP="00F83882">
      <w:pPr>
        <w:spacing w:before="0"/>
        <w:jc w:val="both"/>
      </w:pPr>
    </w:p>
    <w:p w:rsidR="00F83882" w:rsidRPr="00F83882" w:rsidRDefault="00F83882" w:rsidP="00F83882">
      <w:pPr>
        <w:numPr>
          <w:ilvl w:val="0"/>
          <w:numId w:val="18"/>
        </w:numPr>
        <w:spacing w:before="0"/>
        <w:jc w:val="both"/>
      </w:pPr>
      <w:r w:rsidRPr="00F83882">
        <w:t>Clarity on whether it is possible to have divergent (stricter) buy-in obligations</w:t>
      </w:r>
    </w:p>
    <w:p w:rsidR="00F83882" w:rsidRPr="00F83882" w:rsidRDefault="00F83882" w:rsidP="00F83882">
      <w:pPr>
        <w:spacing w:before="0"/>
        <w:jc w:val="both"/>
      </w:pPr>
    </w:p>
    <w:p w:rsidR="00F83882" w:rsidRPr="00F83882" w:rsidRDefault="00F83882" w:rsidP="00F83882">
      <w:pPr>
        <w:spacing w:before="0"/>
        <w:jc w:val="both"/>
      </w:pPr>
      <w:r w:rsidRPr="00F83882">
        <w:t xml:space="preserve">ESMA should clarify whether it is possible for parties contractually to agree a buy-in process that can have a divergent timeline (for example, an exercise date on </w:t>
      </w:r>
      <w:proofErr w:type="spellStart"/>
      <w:r w:rsidRPr="00F83882">
        <w:t>ISD+1</w:t>
      </w:r>
      <w:proofErr w:type="spellEnd"/>
      <w:r w:rsidRPr="00F83882">
        <w:t xml:space="preserve"> or +2) from the standard </w:t>
      </w:r>
      <w:proofErr w:type="spellStart"/>
      <w:r w:rsidRPr="00F83882">
        <w:t>CSDR</w:t>
      </w:r>
      <w:proofErr w:type="spellEnd"/>
      <w:r w:rsidRPr="00F83882">
        <w:t xml:space="preserve"> timeline</w:t>
      </w:r>
    </w:p>
    <w:p w:rsidR="00F83882" w:rsidRPr="00F83882" w:rsidRDefault="00F83882" w:rsidP="00F83882">
      <w:pPr>
        <w:spacing w:before="0"/>
        <w:jc w:val="both"/>
      </w:pPr>
    </w:p>
    <w:p w:rsidR="00F83882" w:rsidRPr="00F83882" w:rsidRDefault="00F83882" w:rsidP="00F83882">
      <w:pPr>
        <w:numPr>
          <w:ilvl w:val="0"/>
          <w:numId w:val="18"/>
        </w:numPr>
        <w:spacing w:before="0"/>
        <w:jc w:val="both"/>
      </w:pPr>
      <w:r w:rsidRPr="00F83882">
        <w:t>Clarity in the event of a corporate action</w:t>
      </w:r>
    </w:p>
    <w:p w:rsidR="00F83882" w:rsidRPr="00F83882" w:rsidRDefault="00F83882" w:rsidP="00F83882">
      <w:pPr>
        <w:spacing w:before="0"/>
        <w:jc w:val="both"/>
      </w:pPr>
    </w:p>
    <w:p w:rsidR="00F83882" w:rsidRPr="00F83882" w:rsidRDefault="00F83882" w:rsidP="00F83882">
      <w:pPr>
        <w:spacing w:before="0"/>
        <w:jc w:val="both"/>
      </w:pPr>
      <w:r w:rsidRPr="00F83882">
        <w:t xml:space="preserve">The Market Standards for Corporate Action Processing set out extensive requirements for processing of corporate actions on pending transactions; the purpose of these requirements is to ensure that “buyers” are “protected”. The </w:t>
      </w:r>
      <w:proofErr w:type="spellStart"/>
      <w:r w:rsidRPr="00F83882">
        <w:t>RTS</w:t>
      </w:r>
      <w:proofErr w:type="spellEnd"/>
      <w:r w:rsidRPr="00F83882">
        <w:t xml:space="preserve"> should be built around these Market Standards. The current </w:t>
      </w:r>
      <w:proofErr w:type="spellStart"/>
      <w:r w:rsidRPr="00F83882">
        <w:t>RTS</w:t>
      </w:r>
      <w:proofErr w:type="spellEnd"/>
      <w:r w:rsidRPr="00F83882">
        <w:t xml:space="preserve"> text, notably Article 11(9) mandates an outcome that in many cases would be different, and in some cases inferior, to the outcome mandated by the </w:t>
      </w:r>
      <w:r w:rsidRPr="00F83882">
        <w:lastRenderedPageBreak/>
        <w:t>Market Standards. For example, Article 11(9) mandates that in the event of redemption the buy-in-related cash compensation amount be paid.</w:t>
      </w:r>
    </w:p>
    <w:p w:rsidR="00F83882" w:rsidRPr="00F83882" w:rsidRDefault="00F83882" w:rsidP="00F83882">
      <w:pPr>
        <w:spacing w:before="0"/>
        <w:jc w:val="both"/>
      </w:pPr>
    </w:p>
    <w:p w:rsidR="00F83882" w:rsidRPr="00F83882" w:rsidRDefault="00F83882" w:rsidP="00F83882">
      <w:pPr>
        <w:numPr>
          <w:ilvl w:val="0"/>
          <w:numId w:val="17"/>
        </w:numPr>
        <w:spacing w:before="0"/>
        <w:jc w:val="both"/>
      </w:pPr>
      <w:r w:rsidRPr="00F83882">
        <w:t xml:space="preserve">Requirements for contractual chain / requirements for information at </w:t>
      </w:r>
      <w:proofErr w:type="spellStart"/>
      <w:r w:rsidRPr="00F83882">
        <w:t>CSD</w:t>
      </w:r>
      <w:proofErr w:type="spellEnd"/>
      <w:r w:rsidRPr="00F83882">
        <w:t xml:space="preserve"> level</w:t>
      </w:r>
    </w:p>
    <w:p w:rsidR="00F83882" w:rsidRPr="00F83882" w:rsidRDefault="00F83882" w:rsidP="00F83882">
      <w:pPr>
        <w:spacing w:before="0"/>
        <w:jc w:val="both"/>
      </w:pPr>
    </w:p>
    <w:p w:rsidR="00F83882" w:rsidRPr="00F83882" w:rsidRDefault="00F83882" w:rsidP="00F83882">
      <w:pPr>
        <w:spacing w:before="0"/>
        <w:jc w:val="both"/>
      </w:pPr>
      <w:r w:rsidRPr="00F83882">
        <w:t xml:space="preserve">The </w:t>
      </w:r>
      <w:proofErr w:type="spellStart"/>
      <w:r w:rsidRPr="00F83882">
        <w:t>RTS</w:t>
      </w:r>
      <w:proofErr w:type="spellEnd"/>
      <w:r w:rsidRPr="00F83882">
        <w:t xml:space="preserve"> need to cover the process of transmitting buy-in information between trading parties. As </w:t>
      </w:r>
      <w:proofErr w:type="spellStart"/>
      <w:r w:rsidRPr="00F83882">
        <w:t>CSDs</w:t>
      </w:r>
      <w:proofErr w:type="spellEnd"/>
      <w:r w:rsidRPr="00F83882">
        <w:t xml:space="preserve"> should not be involved in the buy-in process, there is no need for specific buy-in information to be held by the </w:t>
      </w:r>
      <w:proofErr w:type="spellStart"/>
      <w:r w:rsidRPr="00F83882">
        <w:t>CSD</w:t>
      </w:r>
      <w:proofErr w:type="spellEnd"/>
      <w:r w:rsidRPr="00F83882">
        <w:t xml:space="preserve">. </w:t>
      </w:r>
    </w:p>
    <w:p w:rsidR="00F83882" w:rsidRPr="00F83882" w:rsidRDefault="00F83882" w:rsidP="00F83882">
      <w:pPr>
        <w:spacing w:before="0"/>
        <w:jc w:val="both"/>
      </w:pPr>
    </w:p>
    <w:p w:rsidR="00F83882" w:rsidRPr="00F83882" w:rsidRDefault="00F83882" w:rsidP="00F83882">
      <w:pPr>
        <w:spacing w:before="0"/>
        <w:jc w:val="both"/>
      </w:pPr>
      <w:r w:rsidRPr="00F83882">
        <w:t>7/ Monitoring of compliance with buy-in obligations</w:t>
      </w:r>
    </w:p>
    <w:p w:rsidR="00F83882" w:rsidRPr="00F83882" w:rsidRDefault="00F83882" w:rsidP="00F83882">
      <w:pPr>
        <w:spacing w:before="0"/>
        <w:jc w:val="both"/>
      </w:pPr>
    </w:p>
    <w:p w:rsidR="00F83882" w:rsidRPr="00F83882" w:rsidRDefault="00F83882" w:rsidP="00F83882">
      <w:pPr>
        <w:spacing w:before="0"/>
        <w:jc w:val="both"/>
      </w:pPr>
      <w:r w:rsidRPr="00F83882">
        <w:t xml:space="preserve">BNY Mellon believes that the case for transferring all buy-in processes to the trading level is very strong. </w:t>
      </w:r>
    </w:p>
    <w:p w:rsidR="00F83882" w:rsidRPr="00F83882" w:rsidRDefault="00F83882" w:rsidP="00F83882">
      <w:pPr>
        <w:spacing w:before="0"/>
        <w:jc w:val="both"/>
      </w:pPr>
    </w:p>
    <w:p w:rsidR="00F83882" w:rsidRPr="00F83882" w:rsidRDefault="00F83882" w:rsidP="00F83882">
      <w:pPr>
        <w:spacing w:before="0"/>
        <w:jc w:val="both"/>
      </w:pPr>
      <w:r w:rsidRPr="00F83882">
        <w:t xml:space="preserve">However, the questions have been raised as to how supervisory authorities can monitor compliance with the buy-in obligations of </w:t>
      </w:r>
      <w:proofErr w:type="spellStart"/>
      <w:r w:rsidRPr="00F83882">
        <w:t>CSDR</w:t>
      </w:r>
      <w:proofErr w:type="spellEnd"/>
      <w:r w:rsidRPr="00F83882">
        <w:t xml:space="preserve">, and as to whether a </w:t>
      </w:r>
      <w:proofErr w:type="spellStart"/>
      <w:r w:rsidRPr="00F83882">
        <w:t>CSD</w:t>
      </w:r>
      <w:proofErr w:type="spellEnd"/>
      <w:r w:rsidRPr="00F83882">
        <w:t xml:space="preserve"> would be a good repository of information in order to monitor compliance.</w:t>
      </w:r>
    </w:p>
    <w:p w:rsidR="00F83882" w:rsidRPr="00F83882" w:rsidRDefault="00F83882" w:rsidP="00F83882">
      <w:pPr>
        <w:spacing w:before="0"/>
        <w:jc w:val="both"/>
      </w:pPr>
    </w:p>
    <w:p w:rsidR="00F83882" w:rsidRPr="00F83882" w:rsidRDefault="00F83882" w:rsidP="00F83882">
      <w:pPr>
        <w:spacing w:before="0"/>
        <w:jc w:val="both"/>
      </w:pPr>
      <w:r w:rsidRPr="00F83882">
        <w:t>BNY Mellon believes that buy-in information is extensive, complex, trading-related information. There is currently no mechanism to transmit this information in an automated way to the settlement level.</w:t>
      </w:r>
    </w:p>
    <w:p w:rsidR="00F83882" w:rsidRPr="00F83882" w:rsidRDefault="00F83882" w:rsidP="00F83882">
      <w:pPr>
        <w:spacing w:before="0"/>
        <w:jc w:val="both"/>
      </w:pPr>
    </w:p>
    <w:p w:rsidR="00F83882" w:rsidRPr="00F83882" w:rsidRDefault="00F83882" w:rsidP="00F83882">
      <w:pPr>
        <w:spacing w:before="0"/>
        <w:jc w:val="both"/>
      </w:pPr>
      <w:r w:rsidRPr="00F83882">
        <w:t>Even if such transmission were possible, the information that would be present at the settlement level would be partial information that would be of little use to supervisory authorities.</w:t>
      </w:r>
    </w:p>
    <w:p w:rsidR="00F83882" w:rsidRPr="00F83882" w:rsidRDefault="00F83882" w:rsidP="00F83882">
      <w:pPr>
        <w:spacing w:before="0"/>
        <w:jc w:val="both"/>
      </w:pPr>
    </w:p>
    <w:p w:rsidR="00F83882" w:rsidRPr="00F83882" w:rsidRDefault="00F83882" w:rsidP="00F83882">
      <w:pPr>
        <w:spacing w:before="0"/>
        <w:jc w:val="both"/>
      </w:pPr>
      <w:r w:rsidRPr="00F83882">
        <w:t>BNY Mellon believes that alternative mechanisms for storing information are possible.</w:t>
      </w:r>
    </w:p>
    <w:p w:rsidR="00F83882" w:rsidRPr="00F83882" w:rsidRDefault="00F83882" w:rsidP="00F83882">
      <w:pPr>
        <w:spacing w:before="0"/>
        <w:jc w:val="both"/>
      </w:pPr>
    </w:p>
    <w:p w:rsidR="00F83882" w:rsidRPr="00F83882" w:rsidRDefault="00F83882" w:rsidP="00F83882">
      <w:pPr>
        <w:spacing w:before="0"/>
        <w:jc w:val="both"/>
      </w:pPr>
      <w:r w:rsidRPr="00F83882">
        <w:t xml:space="preserve">BNY Mellon also believes that there is a conceptual problem. A buy-in is a right exercised by a buyer; </w:t>
      </w:r>
      <w:proofErr w:type="spellStart"/>
      <w:r w:rsidRPr="00F83882">
        <w:t>CSDR</w:t>
      </w:r>
      <w:proofErr w:type="spellEnd"/>
      <w:r w:rsidRPr="00F83882">
        <w:t xml:space="preserve"> gives additional rights to buyers; it is unclear </w:t>
      </w:r>
      <w:proofErr w:type="gramStart"/>
      <w:r w:rsidRPr="00F83882">
        <w:t>what is the supervisory interest in verifying that buyers do actually exercise their newly received rights</w:t>
      </w:r>
      <w:proofErr w:type="gramEnd"/>
      <w:r w:rsidRPr="00F83882">
        <w:t>.</w:t>
      </w:r>
    </w:p>
    <w:p w:rsidR="00F83882" w:rsidRPr="00F83882" w:rsidRDefault="00F83882" w:rsidP="00F83882">
      <w:pPr>
        <w:spacing w:before="0"/>
        <w:jc w:val="both"/>
      </w:pPr>
    </w:p>
    <w:p w:rsidR="00F83882" w:rsidRDefault="00F83882" w:rsidP="00F83882">
      <w:pPr>
        <w:spacing w:before="0"/>
        <w:jc w:val="both"/>
      </w:pPr>
      <w:r w:rsidRPr="00F83882">
        <w:t xml:space="preserve">BNY Mellon believes that with respect to the obligations of </w:t>
      </w:r>
      <w:proofErr w:type="spellStart"/>
      <w:r w:rsidRPr="00F83882">
        <w:t>CCPs</w:t>
      </w:r>
      <w:proofErr w:type="spellEnd"/>
      <w:r w:rsidRPr="00F83882">
        <w:t xml:space="preserve">, </w:t>
      </w:r>
      <w:proofErr w:type="spellStart"/>
      <w:r w:rsidRPr="00F83882">
        <w:t>CCP</w:t>
      </w:r>
      <w:proofErr w:type="spellEnd"/>
      <w:r w:rsidRPr="00F83882">
        <w:t xml:space="preserve"> participants, trading venues, and trading venue participants the situation is clear; supervisory authorities have powers, and direct access to such entities, so that they can review the business activities of such entities.</w:t>
      </w:r>
    </w:p>
    <w:p w:rsidR="00F83882" w:rsidRPr="00F83882" w:rsidRDefault="00F83882" w:rsidP="00F83882">
      <w:pPr>
        <w:spacing w:before="0"/>
        <w:jc w:val="both"/>
      </w:pPr>
      <w:r w:rsidRPr="00F83882">
        <w:t xml:space="preserve"> </w:t>
      </w:r>
    </w:p>
    <w:p w:rsidR="00F83882" w:rsidRPr="00F83882" w:rsidRDefault="00F83882" w:rsidP="00F83882">
      <w:pPr>
        <w:spacing w:before="0"/>
        <w:jc w:val="both"/>
        <w:rPr>
          <w:b/>
          <w:lang w:val="en-GB"/>
        </w:rPr>
      </w:pPr>
      <w:r w:rsidRPr="00F83882">
        <w:rPr>
          <w:b/>
          <w:lang w:val="en-GB"/>
        </w:rPr>
        <w:t xml:space="preserve">In particular, what are your views on applying partial settlement at the end of the extension period? </w:t>
      </w:r>
    </w:p>
    <w:p w:rsidR="00F83882" w:rsidRPr="00F83882" w:rsidRDefault="00F83882" w:rsidP="00F83882">
      <w:pPr>
        <w:spacing w:before="0"/>
        <w:jc w:val="both"/>
        <w:rPr>
          <w:lang w:val="en-GB"/>
        </w:rPr>
      </w:pPr>
    </w:p>
    <w:p w:rsidR="00F83882" w:rsidRPr="00F83882" w:rsidRDefault="00F83882" w:rsidP="00F83882">
      <w:pPr>
        <w:spacing w:before="0"/>
        <w:jc w:val="both"/>
        <w:rPr>
          <w:lang w:val="en-GB"/>
        </w:rPr>
      </w:pPr>
      <w:r w:rsidRPr="00F83882">
        <w:rPr>
          <w:lang w:val="en-GB"/>
        </w:rPr>
        <w:t xml:space="preserve">BNY Mellon believes that partial settlement should be encouraged, but creating a special </w:t>
      </w:r>
      <w:proofErr w:type="spellStart"/>
      <w:r w:rsidRPr="00F83882">
        <w:rPr>
          <w:lang w:val="en-GB"/>
        </w:rPr>
        <w:t>partialling</w:t>
      </w:r>
      <w:proofErr w:type="spellEnd"/>
      <w:r w:rsidRPr="00F83882">
        <w:rPr>
          <w:lang w:val="en-GB"/>
        </w:rPr>
        <w:t xml:space="preserve"> process just before the end of the extension period is operationally very complex.</w:t>
      </w:r>
    </w:p>
    <w:p w:rsidR="00F83882" w:rsidRPr="00F83882" w:rsidRDefault="00F83882" w:rsidP="00F83882">
      <w:pPr>
        <w:spacing w:before="0"/>
        <w:jc w:val="both"/>
        <w:rPr>
          <w:lang w:val="en-GB"/>
        </w:rPr>
      </w:pPr>
    </w:p>
    <w:p w:rsidR="00F83882" w:rsidRPr="00F83882" w:rsidRDefault="00F83882" w:rsidP="00F83882">
      <w:pPr>
        <w:spacing w:before="0"/>
        <w:jc w:val="both"/>
        <w:rPr>
          <w:lang w:val="en-GB"/>
        </w:rPr>
      </w:pPr>
      <w:r w:rsidRPr="00F83882">
        <w:rPr>
          <w:lang w:val="en-GB"/>
        </w:rPr>
        <w:t xml:space="preserve">As trading parties should handle the buy-in process, they should also handle the settlement process in order to minimise the buy-in obligation using appropriate functionalities offered by </w:t>
      </w:r>
      <w:proofErr w:type="spellStart"/>
      <w:r w:rsidRPr="00F83882">
        <w:rPr>
          <w:lang w:val="en-GB"/>
        </w:rPr>
        <w:t>CSDs</w:t>
      </w:r>
      <w:proofErr w:type="spellEnd"/>
      <w:r w:rsidRPr="00F83882">
        <w:rPr>
          <w:lang w:val="en-GB"/>
        </w:rPr>
        <w:t xml:space="preserve">. </w:t>
      </w:r>
    </w:p>
    <w:p w:rsidR="00F83882" w:rsidRPr="00F83882" w:rsidRDefault="00F83882" w:rsidP="00F83882">
      <w:pPr>
        <w:spacing w:before="0"/>
        <w:jc w:val="both"/>
      </w:pPr>
    </w:p>
    <w:p w:rsidR="00F83882" w:rsidRPr="00F83882" w:rsidRDefault="00F83882" w:rsidP="00F83882">
      <w:pPr>
        <w:spacing w:before="0"/>
        <w:jc w:val="both"/>
        <w:rPr>
          <w:b/>
          <w:lang w:val="en-GB"/>
        </w:rPr>
      </w:pPr>
      <w:r w:rsidRPr="00F83882">
        <w:rPr>
          <w:b/>
          <w:lang w:val="en-GB"/>
        </w:rPr>
        <w:t xml:space="preserve">Do you consider that the </w:t>
      </w:r>
      <w:proofErr w:type="spellStart"/>
      <w:r w:rsidRPr="00F83882">
        <w:rPr>
          <w:b/>
          <w:lang w:val="en-GB"/>
        </w:rPr>
        <w:t>partialling</w:t>
      </w:r>
      <w:proofErr w:type="spellEnd"/>
      <w:r w:rsidRPr="00F83882">
        <w:rPr>
          <w:b/>
          <w:lang w:val="en-GB"/>
        </w:rPr>
        <w:t xml:space="preserve"> of the settlement instruction would impact the rights and obligations of the participants?</w:t>
      </w:r>
    </w:p>
    <w:p w:rsidR="00F83882" w:rsidRPr="00F83882" w:rsidRDefault="00F83882" w:rsidP="00F83882">
      <w:pPr>
        <w:spacing w:before="0"/>
        <w:jc w:val="both"/>
        <w:rPr>
          <w:lang w:val="en-GB"/>
        </w:rPr>
      </w:pPr>
    </w:p>
    <w:p w:rsidR="00F83882" w:rsidRPr="00F83882" w:rsidRDefault="00F83882" w:rsidP="00F83882">
      <w:pPr>
        <w:spacing w:before="0"/>
        <w:jc w:val="both"/>
      </w:pPr>
      <w:r w:rsidRPr="00F83882">
        <w:t>BNY Mellon believes that, in the event that full settlement is not possible, partial settlement is good practice, as it increases overall settlement efficiency.</w:t>
      </w:r>
    </w:p>
    <w:p w:rsidR="00F83882" w:rsidRPr="00F83882" w:rsidRDefault="00F83882" w:rsidP="00F83882">
      <w:pPr>
        <w:spacing w:before="0"/>
        <w:jc w:val="both"/>
      </w:pPr>
    </w:p>
    <w:p w:rsidR="00F83882" w:rsidRPr="00F83882" w:rsidRDefault="00F83882" w:rsidP="00F83882">
      <w:pPr>
        <w:spacing w:before="0"/>
        <w:jc w:val="both"/>
      </w:pPr>
      <w:r w:rsidRPr="00F83882">
        <w:t>But partial settlement does also have operational impacts, so that there are also reasons to try and reduce the frequency of partial settlement.</w:t>
      </w:r>
    </w:p>
    <w:p w:rsidR="00F83882" w:rsidRPr="00F83882" w:rsidRDefault="00F83882" w:rsidP="00F83882">
      <w:pPr>
        <w:spacing w:before="0"/>
        <w:jc w:val="both"/>
        <w:rPr>
          <w:b/>
          <w:lang w:val="en-GB"/>
        </w:rPr>
      </w:pPr>
      <w:r w:rsidRPr="00F83882">
        <w:rPr>
          <w:b/>
          <w:lang w:val="en-GB"/>
        </w:rPr>
        <w:lastRenderedPageBreak/>
        <w:t xml:space="preserve">What do you think about the proposed approach for limiting multiple buy-in and the timing for the participant to provide the information to the </w:t>
      </w:r>
      <w:proofErr w:type="spellStart"/>
      <w:r w:rsidRPr="00F83882">
        <w:rPr>
          <w:b/>
          <w:lang w:val="en-GB"/>
        </w:rPr>
        <w:t>CSD</w:t>
      </w:r>
      <w:proofErr w:type="spellEnd"/>
      <w:r w:rsidRPr="00F83882">
        <w:rPr>
          <w:b/>
          <w:lang w:val="en-GB"/>
        </w:rPr>
        <w:t>?</w:t>
      </w:r>
    </w:p>
    <w:p w:rsidR="00F83882" w:rsidRPr="00F83882" w:rsidRDefault="00F83882" w:rsidP="00F83882">
      <w:pPr>
        <w:spacing w:before="0"/>
        <w:jc w:val="both"/>
        <w:rPr>
          <w:lang w:val="en-GB"/>
        </w:rPr>
      </w:pPr>
    </w:p>
    <w:p w:rsidR="00F83882" w:rsidRPr="00F83882" w:rsidRDefault="00F83882" w:rsidP="00F83882">
      <w:pPr>
        <w:spacing w:before="0"/>
        <w:jc w:val="both"/>
        <w:rPr>
          <w:lang w:val="en-GB"/>
        </w:rPr>
      </w:pPr>
      <w:r w:rsidRPr="00F83882">
        <w:rPr>
          <w:lang w:val="en-GB"/>
        </w:rPr>
        <w:t>BNY Mellon believes that the process set out by ESMA is further evidence of the difficulty of handling buy-ins at the settlement level.</w:t>
      </w:r>
    </w:p>
    <w:p w:rsidR="00F83882" w:rsidRPr="00F83882" w:rsidRDefault="00F83882" w:rsidP="00F83882">
      <w:pPr>
        <w:spacing w:before="0"/>
        <w:jc w:val="both"/>
      </w:pPr>
    </w:p>
    <w:p w:rsidR="00F83882" w:rsidRPr="00F83882" w:rsidRDefault="00F83882" w:rsidP="00F83882">
      <w:pPr>
        <w:spacing w:before="0"/>
        <w:jc w:val="both"/>
      </w:pPr>
      <w:r w:rsidRPr="00F83882">
        <w:t xml:space="preserve">BNY Mellon believes that the best way of limiting multiple </w:t>
      </w:r>
      <w:proofErr w:type="gramStart"/>
      <w:r w:rsidRPr="00F83882">
        <w:t>buy-ins</w:t>
      </w:r>
      <w:proofErr w:type="gramEnd"/>
      <w:r w:rsidRPr="00F83882">
        <w:t xml:space="preserve"> is by having an exchange of information between trading parties.</w:t>
      </w:r>
    </w:p>
    <w:p w:rsidR="00F83882" w:rsidRPr="00F83882" w:rsidRDefault="00F83882" w:rsidP="00F83882">
      <w:pPr>
        <w:spacing w:before="0"/>
        <w:jc w:val="both"/>
      </w:pPr>
    </w:p>
    <w:p w:rsidR="00F83882" w:rsidRPr="00F83882" w:rsidRDefault="00F83882" w:rsidP="00F83882">
      <w:pPr>
        <w:spacing w:before="0"/>
        <w:jc w:val="both"/>
      </w:pPr>
      <w:r w:rsidRPr="00F83882">
        <w:t xml:space="preserve">There are basically two scenarios: chains without </w:t>
      </w:r>
      <w:proofErr w:type="spellStart"/>
      <w:r w:rsidRPr="00F83882">
        <w:t>CCPs</w:t>
      </w:r>
      <w:proofErr w:type="spellEnd"/>
      <w:r w:rsidRPr="00F83882">
        <w:t xml:space="preserve">, and chains with </w:t>
      </w:r>
      <w:proofErr w:type="spellStart"/>
      <w:r w:rsidRPr="00F83882">
        <w:t>CCPs</w:t>
      </w:r>
      <w:proofErr w:type="spellEnd"/>
      <w:r w:rsidRPr="00F83882">
        <w:t>.</w:t>
      </w:r>
    </w:p>
    <w:p w:rsidR="00F83882" w:rsidRPr="00F83882" w:rsidRDefault="00F83882" w:rsidP="00F83882">
      <w:pPr>
        <w:spacing w:before="0"/>
        <w:jc w:val="both"/>
      </w:pPr>
    </w:p>
    <w:p w:rsidR="00F83882" w:rsidRPr="00F83882" w:rsidRDefault="00F83882" w:rsidP="00F83882">
      <w:pPr>
        <w:spacing w:before="0"/>
        <w:jc w:val="both"/>
      </w:pPr>
      <w:r w:rsidRPr="00F83882">
        <w:t xml:space="preserve">Chains without </w:t>
      </w:r>
      <w:proofErr w:type="spellStart"/>
      <w:r w:rsidRPr="00F83882">
        <w:t>CCPs</w:t>
      </w:r>
      <w:proofErr w:type="spellEnd"/>
      <w:r w:rsidRPr="00F83882">
        <w:t xml:space="preserve">: the entity that should </w:t>
      </w:r>
      <w:proofErr w:type="gramStart"/>
      <w:r w:rsidRPr="00F83882">
        <w:t>effect</w:t>
      </w:r>
      <w:proofErr w:type="gramEnd"/>
      <w:r w:rsidRPr="00F83882">
        <w:t xml:space="preserve"> the buy-in is the purchaser at the end of a chain that does not have any onward delivery. This entity should effect the buy-in because it is the end purchaser, and it should have the ability to choose what it would want to receive (cash compensation or deferral) if the buy-in cannot be executed. Before executing the buy-in, it should send a notice to its counterparty advising that it shall execute the buy-in; this counterparty can in turn pass the notice on to its counterparty. Accordingly, each party in the chain will be advised that a buy-in will be executed.</w:t>
      </w:r>
    </w:p>
    <w:p w:rsidR="00F83882" w:rsidRPr="00F83882" w:rsidRDefault="00F83882" w:rsidP="00F83882">
      <w:pPr>
        <w:spacing w:before="0"/>
        <w:jc w:val="both"/>
      </w:pPr>
    </w:p>
    <w:p w:rsidR="00F83882" w:rsidRPr="00F83882" w:rsidRDefault="00F83882" w:rsidP="00F83882">
      <w:pPr>
        <w:spacing w:before="0"/>
        <w:jc w:val="both"/>
        <w:rPr>
          <w:lang w:val="en-GB"/>
        </w:rPr>
      </w:pPr>
      <w:r w:rsidRPr="00F83882">
        <w:t xml:space="preserve">Chains with </w:t>
      </w:r>
      <w:proofErr w:type="spellStart"/>
      <w:r w:rsidRPr="00F83882">
        <w:t>CCPs</w:t>
      </w:r>
      <w:proofErr w:type="spellEnd"/>
      <w:r w:rsidRPr="00F83882">
        <w:t xml:space="preserve">:  the process is the same as the process in the scenario of a chain without a </w:t>
      </w:r>
      <w:proofErr w:type="spellStart"/>
      <w:r w:rsidRPr="00F83882">
        <w:t>CCP</w:t>
      </w:r>
      <w:proofErr w:type="spellEnd"/>
      <w:r w:rsidRPr="00F83882">
        <w:t xml:space="preserve">, except at a point in time the buy-in notice will arrive at a </w:t>
      </w:r>
      <w:proofErr w:type="spellStart"/>
      <w:r w:rsidRPr="00F83882">
        <w:t>CCP</w:t>
      </w:r>
      <w:proofErr w:type="spellEnd"/>
      <w:r w:rsidRPr="00F83882">
        <w:t xml:space="preserve"> clearing member; the </w:t>
      </w:r>
      <w:proofErr w:type="spellStart"/>
      <w:r w:rsidRPr="00F83882">
        <w:t>CCP</w:t>
      </w:r>
      <w:proofErr w:type="spellEnd"/>
      <w:r w:rsidRPr="00F83882">
        <w:t xml:space="preserve"> will then advise that the buy-in will be effected by the </w:t>
      </w:r>
      <w:proofErr w:type="spellStart"/>
      <w:r w:rsidRPr="00F83882">
        <w:t>CCP</w:t>
      </w:r>
      <w:proofErr w:type="spellEnd"/>
      <w:r w:rsidRPr="00F83882">
        <w:t xml:space="preserve">, so that the end purchaser should not </w:t>
      </w:r>
      <w:proofErr w:type="spellStart"/>
      <w:r w:rsidRPr="00F83882">
        <w:t>effect</w:t>
      </w:r>
      <w:proofErr w:type="spellEnd"/>
      <w:r w:rsidRPr="00F83882">
        <w:t xml:space="preserve"> the buy-in; this information should then pass back down the trading chain.</w:t>
      </w:r>
    </w:p>
    <w:p w:rsidR="00F83882" w:rsidRPr="00F83882" w:rsidRDefault="00F83882" w:rsidP="00F83882">
      <w:pPr>
        <w:spacing w:before="0"/>
        <w:jc w:val="both"/>
        <w:rPr>
          <w:lang w:val="en-GB"/>
        </w:rPr>
      </w:pPr>
    </w:p>
    <w:p w:rsidR="00F83882" w:rsidRPr="00F83882" w:rsidRDefault="00F83882" w:rsidP="009C037F">
      <w:pPr>
        <w:spacing w:before="0"/>
        <w:jc w:val="both"/>
        <w:rPr>
          <w:lang w:val="en-GB"/>
        </w:rPr>
      </w:pPr>
      <w:r w:rsidRPr="00F83882">
        <w:rPr>
          <w:lang w:val="en-GB"/>
        </w:rPr>
        <w:t xml:space="preserve">This process can work efficiently. It should be noted that this process can work efficiently even if some of the transactions in the chain do not fall under the </w:t>
      </w:r>
      <w:proofErr w:type="spellStart"/>
      <w:r w:rsidRPr="00F83882">
        <w:rPr>
          <w:lang w:val="en-GB"/>
        </w:rPr>
        <w:t>CSDR</w:t>
      </w:r>
      <w:proofErr w:type="spellEnd"/>
      <w:r w:rsidRPr="00F83882">
        <w:rPr>
          <w:lang w:val="en-GB"/>
        </w:rPr>
        <w:t>-mandated buy-in obligations, given that the underlying contractual obligations between parties in the chain remain applicable.</w:t>
      </w:r>
    </w:p>
    <w:p w:rsidR="00F83882" w:rsidRDefault="00F83882" w:rsidP="009C037F">
      <w:pPr>
        <w:spacing w:before="0"/>
        <w:jc w:val="both"/>
        <w:rPr>
          <w:b/>
        </w:rPr>
      </w:pPr>
    </w:p>
    <w:p w:rsidR="009C037F" w:rsidRPr="009C037F" w:rsidRDefault="009C037F" w:rsidP="009C037F">
      <w:pPr>
        <w:spacing w:before="0"/>
        <w:jc w:val="both"/>
        <w:rPr>
          <w:b/>
        </w:rPr>
      </w:pPr>
      <w:proofErr w:type="spellStart"/>
      <w:r w:rsidRPr="009C037F">
        <w:rPr>
          <w:b/>
        </w:rPr>
        <w:t>Q11</w:t>
      </w:r>
      <w:proofErr w:type="spellEnd"/>
      <w:r w:rsidRPr="009C037F">
        <w:rPr>
          <w:b/>
        </w:rPr>
        <w:t xml:space="preserve">: What are your views on the proposed draft </w:t>
      </w:r>
      <w:proofErr w:type="spellStart"/>
      <w:r w:rsidRPr="009C037F">
        <w:rPr>
          <w:b/>
        </w:rPr>
        <w:t>RTS</w:t>
      </w:r>
      <w:proofErr w:type="spellEnd"/>
      <w:r w:rsidRPr="009C037F">
        <w:rPr>
          <w:b/>
        </w:rPr>
        <w:t xml:space="preserve"> related to the conditions for a participant to consistently and systematically fail? </w:t>
      </w:r>
    </w:p>
    <w:p w:rsidR="00F83882" w:rsidRDefault="00F83882" w:rsidP="009C037F">
      <w:pPr>
        <w:spacing w:before="0"/>
        <w:jc w:val="both"/>
        <w:rPr>
          <w:b/>
        </w:rPr>
      </w:pPr>
    </w:p>
    <w:p w:rsidR="00F83882" w:rsidRPr="00F83882" w:rsidRDefault="00F83882" w:rsidP="00F83882">
      <w:pPr>
        <w:spacing w:before="0"/>
        <w:jc w:val="both"/>
      </w:pPr>
      <w:r w:rsidRPr="00F83882">
        <w:t>BNY Mellon believes that the basic test (a settlement efficiency percentage that is 10% below the average settlement efficiency percentage of all the SSS participants, on more than 10% of the settlement days during the year) is reasonable.</w:t>
      </w:r>
    </w:p>
    <w:p w:rsidR="00F83882" w:rsidRPr="00F83882" w:rsidRDefault="00F83882" w:rsidP="00F83882">
      <w:pPr>
        <w:spacing w:before="0"/>
        <w:jc w:val="both"/>
      </w:pPr>
    </w:p>
    <w:p w:rsidR="00F83882" w:rsidRPr="00F83882" w:rsidRDefault="00F83882" w:rsidP="00F83882">
      <w:pPr>
        <w:spacing w:before="0"/>
        <w:jc w:val="both"/>
      </w:pPr>
      <w:r w:rsidRPr="00F83882">
        <w:t>BNY Mellon believes that the current text of Article 16 of the draft technical standards needs to be modified so that it is clear that the daily calculation compares the settlement efficiency of the participant for that day with the average settlement efficiency of the SSS for that same day. (If the comparison were between the daily settlement rate of the participant and the annual settlement efficiency of the SSS, then on some days of the year every participant will be below the annual average).</w:t>
      </w:r>
    </w:p>
    <w:p w:rsidR="00F83882" w:rsidRPr="00F83882" w:rsidRDefault="00F83882" w:rsidP="00F83882">
      <w:pPr>
        <w:spacing w:before="0"/>
        <w:jc w:val="both"/>
      </w:pPr>
    </w:p>
    <w:p w:rsidR="00F83882" w:rsidRPr="00F83882" w:rsidRDefault="00F83882" w:rsidP="00F83882">
      <w:pPr>
        <w:spacing w:before="0"/>
        <w:jc w:val="both"/>
      </w:pPr>
      <w:r w:rsidRPr="00F83882">
        <w:t xml:space="preserve">BNY Mellon notes ESMA remarks in paragraph 110 of the consultation paper that there is no automatism in the decision to suspend a participant. This is, of course, important as there are many factors, including many that are beyond the control of the </w:t>
      </w:r>
      <w:proofErr w:type="spellStart"/>
      <w:r w:rsidRPr="00F83882">
        <w:t>CSD</w:t>
      </w:r>
      <w:proofErr w:type="spellEnd"/>
      <w:r w:rsidRPr="00F83882">
        <w:t xml:space="preserve"> participant that may explain a low settlement rate.</w:t>
      </w:r>
    </w:p>
    <w:p w:rsidR="00F83882" w:rsidRPr="00F83882" w:rsidRDefault="00F83882" w:rsidP="00F83882">
      <w:pPr>
        <w:spacing w:before="0"/>
        <w:jc w:val="both"/>
      </w:pPr>
    </w:p>
    <w:p w:rsidR="00F83882" w:rsidRPr="00F83882" w:rsidRDefault="00F83882" w:rsidP="00F83882">
      <w:pPr>
        <w:spacing w:before="0"/>
        <w:jc w:val="both"/>
      </w:pPr>
      <w:r w:rsidRPr="00F83882">
        <w:t xml:space="preserve">A factor that is very important is that many </w:t>
      </w:r>
      <w:proofErr w:type="spellStart"/>
      <w:r w:rsidRPr="00F83882">
        <w:t>CSD</w:t>
      </w:r>
      <w:proofErr w:type="spellEnd"/>
      <w:r w:rsidRPr="00F83882">
        <w:t xml:space="preserve"> participants act as settlement agents for third parties, and are thus dependent on the operational processes of the client; another relevant factor is that individual settlement failures that bring down the percentage of a </w:t>
      </w:r>
      <w:proofErr w:type="spellStart"/>
      <w:r w:rsidRPr="00F83882">
        <w:t>CSD</w:t>
      </w:r>
      <w:proofErr w:type="spellEnd"/>
      <w:r w:rsidRPr="00F83882">
        <w:t xml:space="preserve"> participant may be caused not by the </w:t>
      </w:r>
      <w:proofErr w:type="spellStart"/>
      <w:r w:rsidRPr="00F83882">
        <w:t>CSD</w:t>
      </w:r>
      <w:proofErr w:type="spellEnd"/>
      <w:r w:rsidRPr="00F83882">
        <w:t xml:space="preserve"> participant or by its client, but rather by the counterparty of the client. </w:t>
      </w:r>
    </w:p>
    <w:p w:rsidR="00F83882" w:rsidRPr="00F83882" w:rsidRDefault="00F83882" w:rsidP="00F83882">
      <w:pPr>
        <w:spacing w:before="0"/>
        <w:jc w:val="both"/>
      </w:pPr>
    </w:p>
    <w:p w:rsidR="00F83882" w:rsidRPr="00F83882" w:rsidRDefault="00F83882" w:rsidP="00F83882">
      <w:pPr>
        <w:spacing w:before="0"/>
        <w:jc w:val="both"/>
      </w:pPr>
      <w:r w:rsidRPr="00F83882">
        <w:lastRenderedPageBreak/>
        <w:t xml:space="preserve">With reference to the text in paragraph 109, it should also be noted that with </w:t>
      </w:r>
      <w:proofErr w:type="spellStart"/>
      <w:r w:rsidRPr="00F83882">
        <w:t>T2S</w:t>
      </w:r>
      <w:proofErr w:type="spellEnd"/>
      <w:r w:rsidRPr="00F83882">
        <w:t xml:space="preserve">, and with improvements in settlement interoperability between </w:t>
      </w:r>
      <w:proofErr w:type="spellStart"/>
      <w:r w:rsidRPr="00F83882">
        <w:t>SSSs</w:t>
      </w:r>
      <w:proofErr w:type="spellEnd"/>
      <w:r w:rsidRPr="00F83882">
        <w:t xml:space="preserve">, there is no longer a one-to-one relationship between markets and </w:t>
      </w:r>
      <w:proofErr w:type="spellStart"/>
      <w:r w:rsidRPr="00F83882">
        <w:t>SSSs</w:t>
      </w:r>
      <w:proofErr w:type="spellEnd"/>
      <w:r w:rsidRPr="00F83882">
        <w:t xml:space="preserve">, so that, for example, participants in a market with structurally low settlement efficiency may choose to settle in an SSS with a high average level of settlement efficiency; this is another example of a relevant factor beyond the control of a </w:t>
      </w:r>
      <w:proofErr w:type="spellStart"/>
      <w:r w:rsidRPr="00F83882">
        <w:t>CSD</w:t>
      </w:r>
      <w:proofErr w:type="spellEnd"/>
      <w:r w:rsidRPr="00F83882">
        <w:t xml:space="preserve"> participant.</w:t>
      </w:r>
    </w:p>
    <w:p w:rsidR="00F83882" w:rsidRDefault="00F83882" w:rsidP="009C037F">
      <w:pPr>
        <w:spacing w:before="0"/>
        <w:jc w:val="both"/>
        <w:rPr>
          <w:b/>
        </w:rPr>
      </w:pPr>
    </w:p>
    <w:p w:rsidR="009C037F" w:rsidRDefault="009C037F" w:rsidP="009C037F">
      <w:pPr>
        <w:spacing w:before="0"/>
        <w:jc w:val="both"/>
        <w:rPr>
          <w:b/>
        </w:rPr>
      </w:pPr>
      <w:proofErr w:type="spellStart"/>
      <w:r w:rsidRPr="009C037F">
        <w:rPr>
          <w:b/>
        </w:rPr>
        <w:t>Q13</w:t>
      </w:r>
      <w:proofErr w:type="spellEnd"/>
      <w:r w:rsidRPr="009C037F">
        <w:rPr>
          <w:b/>
        </w:rPr>
        <w:t xml:space="preserve">: What are your views on the proposed draft </w:t>
      </w:r>
      <w:proofErr w:type="spellStart"/>
      <w:r w:rsidRPr="009C037F">
        <w:rPr>
          <w:b/>
        </w:rPr>
        <w:t>RTS</w:t>
      </w:r>
      <w:proofErr w:type="spellEnd"/>
      <w:r w:rsidRPr="009C037F">
        <w:rPr>
          <w:b/>
        </w:rPr>
        <w:t xml:space="preserve"> related to anti-avoidance rules for cash penalties and buy-in?</w:t>
      </w:r>
    </w:p>
    <w:p w:rsidR="00F83882" w:rsidRDefault="00F83882" w:rsidP="009C037F">
      <w:pPr>
        <w:spacing w:before="0"/>
        <w:jc w:val="both"/>
        <w:rPr>
          <w:b/>
        </w:rPr>
      </w:pPr>
    </w:p>
    <w:p w:rsidR="00F83882" w:rsidRPr="00F83882" w:rsidRDefault="00F83882" w:rsidP="00F83882">
      <w:pPr>
        <w:spacing w:before="0"/>
        <w:jc w:val="both"/>
      </w:pPr>
      <w:r w:rsidRPr="00F83882">
        <w:t>BNY Mellon believes that Article 19 may generate legal risk for all parties involved in the trading, clearing and settlement process. Accordingly, BNY Mellon suggests that ESMA review the Article 19, and, if appropriate, deletes it.</w:t>
      </w:r>
    </w:p>
    <w:p w:rsidR="00F83882" w:rsidRPr="00F83882" w:rsidRDefault="00F83882" w:rsidP="00F83882">
      <w:pPr>
        <w:spacing w:before="0"/>
        <w:jc w:val="both"/>
      </w:pPr>
    </w:p>
    <w:p w:rsidR="00F83882" w:rsidRPr="00F83882" w:rsidRDefault="00F83882" w:rsidP="00F83882">
      <w:pPr>
        <w:spacing w:before="0"/>
        <w:jc w:val="both"/>
      </w:pPr>
      <w:r w:rsidRPr="00F83882">
        <w:t xml:space="preserve">BNY Mellon’s concern is that this Article may create the risk that a process or mechanism that is compliant with the final text of Section 2 or Section 3 of Chapter III of the regulation (including certain exceptions where relevant) may be assessed as non-compliant with the </w:t>
      </w:r>
      <w:proofErr w:type="spellStart"/>
      <w:r w:rsidRPr="00F83882">
        <w:t>RTS</w:t>
      </w:r>
      <w:proofErr w:type="spellEnd"/>
      <w:r w:rsidRPr="00F83882">
        <w:t xml:space="preserve"> because this process or mechanism does not meet the additional requirements that are set out in the current text of Article 19 (a) and (b). </w:t>
      </w:r>
    </w:p>
    <w:p w:rsidR="00F83882" w:rsidRPr="00F83882" w:rsidRDefault="00F83882" w:rsidP="00F83882">
      <w:pPr>
        <w:spacing w:before="0"/>
        <w:jc w:val="both"/>
      </w:pPr>
    </w:p>
    <w:p w:rsidR="00F83882" w:rsidRPr="00F83882" w:rsidRDefault="00F83882" w:rsidP="009C037F">
      <w:pPr>
        <w:spacing w:before="0"/>
        <w:jc w:val="both"/>
      </w:pPr>
      <w:r w:rsidRPr="00F83882">
        <w:t>In effect, the risk is that the very broadly drafted requirements of Article 19 would supersede many of the detailed, technical provisions of Sections 2 and 3 of Chapter III.</w:t>
      </w:r>
    </w:p>
    <w:p w:rsidR="009C037F" w:rsidRPr="009C037F" w:rsidRDefault="009C037F" w:rsidP="009C037F">
      <w:pPr>
        <w:spacing w:before="0"/>
        <w:jc w:val="both"/>
        <w:rPr>
          <w:b/>
        </w:rPr>
      </w:pPr>
    </w:p>
    <w:p w:rsidR="009C037F" w:rsidRDefault="009C037F" w:rsidP="009C037F">
      <w:pPr>
        <w:spacing w:before="0"/>
        <w:jc w:val="both"/>
        <w:rPr>
          <w:b/>
        </w:rPr>
      </w:pPr>
      <w:proofErr w:type="spellStart"/>
      <w:r w:rsidRPr="009C037F">
        <w:rPr>
          <w:b/>
        </w:rPr>
        <w:t>Q14</w:t>
      </w:r>
      <w:proofErr w:type="spellEnd"/>
      <w:r w:rsidRPr="009C037F">
        <w:rPr>
          <w:b/>
        </w:rPr>
        <w:t xml:space="preserve">: Do you agree that 18 months would be an appropriate timeframe for the implementation of the settlement discipline regime under </w:t>
      </w:r>
      <w:proofErr w:type="spellStart"/>
      <w:r w:rsidRPr="009C037F">
        <w:rPr>
          <w:b/>
        </w:rPr>
        <w:t>CSDR</w:t>
      </w:r>
      <w:proofErr w:type="spellEnd"/>
      <w:r w:rsidRPr="009C037F">
        <w:rPr>
          <w:b/>
        </w:rPr>
        <w:t xml:space="preserve">? If not, what would be an appropriate timeframe in your opinion? Please provide concrete data and evidence justifying a phase-in for the settlement discipline measures and supporting your proposals. </w:t>
      </w:r>
    </w:p>
    <w:p w:rsidR="00190F21" w:rsidRPr="00190F21" w:rsidRDefault="00190F21" w:rsidP="009C037F">
      <w:pPr>
        <w:spacing w:before="0"/>
        <w:jc w:val="both"/>
      </w:pPr>
    </w:p>
    <w:p w:rsidR="00190F21" w:rsidRPr="00190F21" w:rsidRDefault="00190F21" w:rsidP="009C037F">
      <w:pPr>
        <w:spacing w:before="0"/>
        <w:jc w:val="both"/>
      </w:pPr>
      <w:r w:rsidRPr="00190F21">
        <w:t>BNY Mellon believes that a timeframe of a minimum of 24 months is necessary.</w:t>
      </w:r>
    </w:p>
    <w:p w:rsidR="00190F21" w:rsidRPr="009C037F" w:rsidRDefault="00190F21" w:rsidP="009C037F">
      <w:pPr>
        <w:spacing w:before="0"/>
        <w:jc w:val="both"/>
        <w:rPr>
          <w:b/>
        </w:rPr>
      </w:pPr>
    </w:p>
    <w:p w:rsidR="009C037F" w:rsidRDefault="009C037F" w:rsidP="009C037F">
      <w:pPr>
        <w:spacing w:before="0"/>
        <w:jc w:val="both"/>
        <w:rPr>
          <w:b/>
        </w:rPr>
      </w:pPr>
      <w:proofErr w:type="spellStart"/>
      <w:r w:rsidRPr="009C037F">
        <w:rPr>
          <w:b/>
        </w:rPr>
        <w:t>Q32</w:t>
      </w:r>
      <w:proofErr w:type="spellEnd"/>
      <w:r w:rsidRPr="009C037F">
        <w:rPr>
          <w:b/>
        </w:rPr>
        <w:t xml:space="preserve">: What are your views on the proposed draft </w:t>
      </w:r>
      <w:proofErr w:type="spellStart"/>
      <w:r w:rsidRPr="009C037F">
        <w:rPr>
          <w:b/>
        </w:rPr>
        <w:t>RTS</w:t>
      </w:r>
      <w:proofErr w:type="spellEnd"/>
      <w:r w:rsidRPr="009C037F">
        <w:rPr>
          <w:b/>
        </w:rPr>
        <w:t xml:space="preserve"> on </w:t>
      </w:r>
      <w:proofErr w:type="spellStart"/>
      <w:r w:rsidRPr="009C037F">
        <w:rPr>
          <w:b/>
        </w:rPr>
        <w:t>internalised</w:t>
      </w:r>
      <w:proofErr w:type="spellEnd"/>
      <w:r w:rsidRPr="009C037F">
        <w:rPr>
          <w:b/>
        </w:rPr>
        <w:t xml:space="preserve"> settlement (Annex V) and draft ITS on </w:t>
      </w:r>
      <w:proofErr w:type="spellStart"/>
      <w:r w:rsidRPr="009C037F">
        <w:rPr>
          <w:b/>
        </w:rPr>
        <w:t>internalised</w:t>
      </w:r>
      <w:proofErr w:type="spellEnd"/>
      <w:r w:rsidRPr="009C037F">
        <w:rPr>
          <w:b/>
        </w:rPr>
        <w:t xml:space="preserve"> settlement (Annex IX)?</w:t>
      </w:r>
    </w:p>
    <w:p w:rsidR="00190F21" w:rsidRDefault="00190F21" w:rsidP="009C037F">
      <w:pPr>
        <w:spacing w:before="0"/>
        <w:jc w:val="both"/>
        <w:rPr>
          <w:b/>
        </w:rPr>
      </w:pPr>
    </w:p>
    <w:p w:rsidR="00190F21" w:rsidRPr="00190F21" w:rsidRDefault="00190F21" w:rsidP="00190F21">
      <w:pPr>
        <w:spacing w:before="0"/>
        <w:jc w:val="both"/>
        <w:rPr>
          <w:lang w:val="en-GB"/>
        </w:rPr>
      </w:pPr>
      <w:r w:rsidRPr="00190F21">
        <w:rPr>
          <w:lang w:val="en-GB"/>
        </w:rPr>
        <w:t xml:space="preserve">BNY Mellon believes that ESMA should look at the original legislative intent. The purpose behind this reporting obligation is to give yes/no answers to two questions. Is the volume of settlement internalisation important in relation to settlement at </w:t>
      </w:r>
      <w:proofErr w:type="spellStart"/>
      <w:r w:rsidRPr="00190F21">
        <w:rPr>
          <w:lang w:val="en-GB"/>
        </w:rPr>
        <w:t>SSSs</w:t>
      </w:r>
      <w:proofErr w:type="spellEnd"/>
      <w:r w:rsidRPr="00190F21">
        <w:rPr>
          <w:lang w:val="en-GB"/>
        </w:rPr>
        <w:t xml:space="preserve">? Is there a trend whereby settlement volumes are shifting from </w:t>
      </w:r>
      <w:proofErr w:type="spellStart"/>
      <w:r w:rsidRPr="00190F21">
        <w:rPr>
          <w:lang w:val="en-GB"/>
        </w:rPr>
        <w:t>SSSs</w:t>
      </w:r>
      <w:proofErr w:type="spellEnd"/>
      <w:r w:rsidRPr="00190F21">
        <w:rPr>
          <w:lang w:val="en-GB"/>
        </w:rPr>
        <w:t xml:space="preserve"> to intermediaries? The legislative intent is that if the answers are yes, then this topic would need more legislative/regulatory work.</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This high-level legislative intent explains why the Level 1 reporting obligation is only for aggregated figures, and has an infrequent cycle.</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The key questions for the reporting obligation are: which securities, which activities and which parties?</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u w:val="single"/>
          <w:lang w:val="en-GB"/>
        </w:rPr>
        <w:t>On securities</w:t>
      </w:r>
      <w:r w:rsidRPr="00190F21">
        <w:rPr>
          <w:lang w:val="en-GB"/>
        </w:rPr>
        <w:t xml:space="preserve">: the logic of the legislative intent is: only securities which are eligible in a European </w:t>
      </w:r>
      <w:proofErr w:type="spellStart"/>
      <w:r w:rsidRPr="00190F21">
        <w:rPr>
          <w:lang w:val="en-GB"/>
        </w:rPr>
        <w:t>CSD</w:t>
      </w:r>
      <w:proofErr w:type="spellEnd"/>
      <w:r w:rsidRPr="00190F21">
        <w:rPr>
          <w:lang w:val="en-GB"/>
        </w:rPr>
        <w:t xml:space="preserve">, and which have - as issuer </w:t>
      </w:r>
      <w:proofErr w:type="spellStart"/>
      <w:r w:rsidRPr="00190F21">
        <w:rPr>
          <w:lang w:val="en-GB"/>
        </w:rPr>
        <w:t>CSD</w:t>
      </w:r>
      <w:proofErr w:type="spellEnd"/>
      <w:r w:rsidRPr="00190F21">
        <w:rPr>
          <w:lang w:val="en-GB"/>
        </w:rPr>
        <w:t xml:space="preserve"> - a European </w:t>
      </w:r>
      <w:proofErr w:type="spellStart"/>
      <w:r w:rsidRPr="00190F21">
        <w:rPr>
          <w:lang w:val="en-GB"/>
        </w:rPr>
        <w:t>CSD</w:t>
      </w:r>
      <w:proofErr w:type="spellEnd"/>
      <w:r w:rsidRPr="00190F21">
        <w:rPr>
          <w:lang w:val="en-GB"/>
        </w:rPr>
        <w:t>.</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u w:val="single"/>
          <w:lang w:val="en-GB"/>
        </w:rPr>
        <w:t>On activities</w:t>
      </w:r>
      <w:r w:rsidRPr="00190F21">
        <w:rPr>
          <w:lang w:val="en-GB"/>
        </w:rPr>
        <w:t>: the key question is whether the reporting obligation should just cover the settlement of securities transactions (i.e. real purchase/sale transactions), or whether it should be broader.</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A broader obligation is problematic. It would go beyond the Level 1 text (which refers to securities transactions), and it would generate duplicate and redundant reporting.</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 xml:space="preserve">A key principle should be to avoid duplicate reporting. This principle means that activity that is already reported and/or that is the reflection in the books of the intermediary of activity at the level of the </w:t>
      </w:r>
      <w:proofErr w:type="spellStart"/>
      <w:r w:rsidRPr="00190F21">
        <w:rPr>
          <w:lang w:val="en-GB"/>
        </w:rPr>
        <w:t>CSD</w:t>
      </w:r>
      <w:proofErr w:type="spellEnd"/>
      <w:r w:rsidRPr="00190F21">
        <w:rPr>
          <w:lang w:val="en-GB"/>
        </w:rPr>
        <w:t xml:space="preserve"> should not be reported.</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Applying this principle would exclude all processing linked to on-exchange activity, and just about all corporate action processing. (The only exception would be corporate actions on flows relating to internalised settlement; this exception will be truly marginal; given the complexity of reporting such activity, and given that this activity is simply a consequence of the settlement of the underlying transaction, there is a strong argument that all corporate actions processing be excluded from the reporting obligation).</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 xml:space="preserve">The principle of avoiding duplicate reporting should mean that all collateral management activity should be excluded as this activity will be reported under </w:t>
      </w:r>
      <w:proofErr w:type="spellStart"/>
      <w:r w:rsidRPr="00190F21">
        <w:rPr>
          <w:lang w:val="en-GB"/>
        </w:rPr>
        <w:t>SFTR</w:t>
      </w:r>
      <w:proofErr w:type="spellEnd"/>
      <w:r w:rsidRPr="00190F21">
        <w:rPr>
          <w:lang w:val="en-GB"/>
        </w:rPr>
        <w:t>.</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 xml:space="preserve">The principle of avoiding duplicate reporting means that the dividing line between </w:t>
      </w:r>
      <w:proofErr w:type="spellStart"/>
      <w:r w:rsidRPr="00190F21">
        <w:rPr>
          <w:lang w:val="en-GB"/>
        </w:rPr>
        <w:t>CSD</w:t>
      </w:r>
      <w:proofErr w:type="spellEnd"/>
      <w:r w:rsidRPr="00190F21">
        <w:rPr>
          <w:lang w:val="en-GB"/>
        </w:rPr>
        <w:t xml:space="preserve"> activity (reported by </w:t>
      </w:r>
      <w:proofErr w:type="spellStart"/>
      <w:r w:rsidRPr="00190F21">
        <w:rPr>
          <w:lang w:val="en-GB"/>
        </w:rPr>
        <w:t>CSD</w:t>
      </w:r>
      <w:proofErr w:type="spellEnd"/>
      <w:r w:rsidRPr="00190F21">
        <w:rPr>
          <w:lang w:val="en-GB"/>
        </w:rPr>
        <w:t>) and settlement internalisation activity (reported by intermediary) needs to be identified clearly.</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There are three scenarios: (</w:t>
      </w:r>
      <w:proofErr w:type="spellStart"/>
      <w:r w:rsidRPr="00190F21">
        <w:rPr>
          <w:lang w:val="en-GB"/>
        </w:rPr>
        <w:t>i</w:t>
      </w:r>
      <w:proofErr w:type="spellEnd"/>
      <w:r w:rsidRPr="00190F21">
        <w:rPr>
          <w:lang w:val="en-GB"/>
        </w:rPr>
        <w:t xml:space="preserve">) matching and settlement at </w:t>
      </w:r>
      <w:proofErr w:type="spellStart"/>
      <w:r w:rsidRPr="00190F21">
        <w:rPr>
          <w:lang w:val="en-GB"/>
        </w:rPr>
        <w:t>CSD</w:t>
      </w:r>
      <w:proofErr w:type="spellEnd"/>
      <w:r w:rsidRPr="00190F21">
        <w:rPr>
          <w:lang w:val="en-GB"/>
        </w:rPr>
        <w:t xml:space="preserve"> between securities accounts of different </w:t>
      </w:r>
      <w:proofErr w:type="spellStart"/>
      <w:r w:rsidRPr="00190F21">
        <w:rPr>
          <w:lang w:val="en-GB"/>
        </w:rPr>
        <w:t>CSD</w:t>
      </w:r>
      <w:proofErr w:type="spellEnd"/>
      <w:r w:rsidRPr="00190F21">
        <w:rPr>
          <w:lang w:val="en-GB"/>
        </w:rPr>
        <w:t xml:space="preserve"> participants; (ii) matching and settlement at </w:t>
      </w:r>
      <w:proofErr w:type="spellStart"/>
      <w:r w:rsidRPr="00190F21">
        <w:rPr>
          <w:lang w:val="en-GB"/>
        </w:rPr>
        <w:t>CSD</w:t>
      </w:r>
      <w:proofErr w:type="spellEnd"/>
      <w:r w:rsidRPr="00190F21">
        <w:rPr>
          <w:lang w:val="en-GB"/>
        </w:rPr>
        <w:t xml:space="preserve"> between two securities accounts held by the same </w:t>
      </w:r>
      <w:proofErr w:type="spellStart"/>
      <w:r w:rsidRPr="00190F21">
        <w:rPr>
          <w:lang w:val="en-GB"/>
        </w:rPr>
        <w:t>CSD</w:t>
      </w:r>
      <w:proofErr w:type="spellEnd"/>
      <w:r w:rsidRPr="00190F21">
        <w:rPr>
          <w:lang w:val="en-GB"/>
        </w:rPr>
        <w:t xml:space="preserve"> participant; and (iii) matching at </w:t>
      </w:r>
      <w:proofErr w:type="spellStart"/>
      <w:r w:rsidRPr="00190F21">
        <w:rPr>
          <w:lang w:val="en-GB"/>
        </w:rPr>
        <w:t>CSD</w:t>
      </w:r>
      <w:proofErr w:type="spellEnd"/>
      <w:r w:rsidRPr="00190F21">
        <w:rPr>
          <w:lang w:val="en-GB"/>
        </w:rPr>
        <w:t xml:space="preserve">, and settlement (debit/credit) on a single securities account held at the </w:t>
      </w:r>
      <w:proofErr w:type="spellStart"/>
      <w:r w:rsidRPr="00190F21">
        <w:rPr>
          <w:lang w:val="en-GB"/>
        </w:rPr>
        <w:t>CSD</w:t>
      </w:r>
      <w:proofErr w:type="spellEnd"/>
      <w:r w:rsidRPr="00190F21">
        <w:rPr>
          <w:lang w:val="en-GB"/>
        </w:rPr>
        <w:t>.</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All three scenarios should be excluded from the reporting obligation. This is both to avoid duplication, and for a practical reason.</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The practical reason is that most intermediaries do not have matching engines. If they receive a securities settlement engine, they invariably forward it to the next party in the custody chain, as they do not have the ability to differentiate. If settlement under scenario (iii) takes place, an intermediary is not necessarily aware that settlement (iii) has taken place, rather than scenarios (ii) or (</w:t>
      </w:r>
      <w:proofErr w:type="spellStart"/>
      <w:r w:rsidRPr="00190F21">
        <w:rPr>
          <w:lang w:val="en-GB"/>
        </w:rPr>
        <w:t>i</w:t>
      </w:r>
      <w:proofErr w:type="spellEnd"/>
      <w:r w:rsidRPr="00190F21">
        <w:rPr>
          <w:lang w:val="en-GB"/>
        </w:rPr>
        <w:t>).</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u w:val="single"/>
          <w:lang w:val="en-GB"/>
        </w:rPr>
        <w:t>On parties</w:t>
      </w:r>
      <w:r w:rsidRPr="00190F21">
        <w:rPr>
          <w:lang w:val="en-GB"/>
        </w:rPr>
        <w:t>: there is, of course, a rationale for minimum thresholds. If there is no minimum threshold, then every single bank in the EU will be obliged to report. But there is a question on how this would work. If every small bank had to monitor its settlement activity each quarter in order to find out whether it had breached the threshold, then the benefit of the threshold would be minimal. There is probably a need for a different way for excluding banks from the monitoring and reporting obligations.</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 xml:space="preserve">Here are three additional comments/questions on the ESMA text (Draft </w:t>
      </w:r>
      <w:proofErr w:type="spellStart"/>
      <w:r w:rsidRPr="00190F21">
        <w:rPr>
          <w:lang w:val="en-GB"/>
        </w:rPr>
        <w:t>RTS</w:t>
      </w:r>
      <w:proofErr w:type="spellEnd"/>
      <w:r w:rsidRPr="00190F21">
        <w:rPr>
          <w:lang w:val="en-GB"/>
        </w:rPr>
        <w:t>):</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1/ Are the transferable securities in Article 2.1(f) just EU transferable securities, or all transferable securities (i.e. including non-EU)?</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 xml:space="preserve">2/ </w:t>
      </w:r>
      <w:proofErr w:type="gramStart"/>
      <w:r w:rsidRPr="00190F21">
        <w:rPr>
          <w:lang w:val="en-GB"/>
        </w:rPr>
        <w:t>The</w:t>
      </w:r>
      <w:proofErr w:type="gramEnd"/>
      <w:r w:rsidRPr="00190F21">
        <w:rPr>
          <w:lang w:val="en-GB"/>
        </w:rPr>
        <w:t xml:space="preserve"> definition of “failed transfer order” is Article 1 is problematic as it refers to securities transactions (of which there is no definition).</w:t>
      </w:r>
    </w:p>
    <w:p w:rsidR="00190F21" w:rsidRPr="00190F21" w:rsidRDefault="00190F21" w:rsidP="00190F21">
      <w:pPr>
        <w:spacing w:before="0"/>
        <w:jc w:val="both"/>
        <w:rPr>
          <w:lang w:val="en-GB"/>
        </w:rPr>
      </w:pPr>
    </w:p>
    <w:p w:rsidR="00190F21" w:rsidRPr="00190F21" w:rsidRDefault="00190F21" w:rsidP="00190F21">
      <w:pPr>
        <w:spacing w:before="0"/>
        <w:jc w:val="both"/>
        <w:rPr>
          <w:lang w:val="en-GB"/>
        </w:rPr>
      </w:pPr>
      <w:r w:rsidRPr="00190F21">
        <w:rPr>
          <w:lang w:val="en-GB"/>
        </w:rPr>
        <w:t xml:space="preserve">3/ The Article 2.1 (f) and (g) requirement of reporting by value </w:t>
      </w:r>
      <w:proofErr w:type="gramStart"/>
      <w:r w:rsidRPr="00190F21">
        <w:rPr>
          <w:lang w:val="en-GB"/>
        </w:rPr>
        <w:t>is</w:t>
      </w:r>
      <w:proofErr w:type="gramEnd"/>
      <w:r w:rsidRPr="00190F21">
        <w:rPr>
          <w:lang w:val="en-GB"/>
        </w:rPr>
        <w:t xml:space="preserve"> unclear. Is this by value of the securities, or is it by the cash settlement amount? Reporting by cash settlement amount would be preferable, as reporting by value of securities would require intermediaries being able to assign values to the securities.</w:t>
      </w:r>
    </w:p>
    <w:p w:rsidR="00190F21" w:rsidRPr="00577B6D" w:rsidRDefault="00190F21" w:rsidP="009C037F">
      <w:pPr>
        <w:spacing w:before="0"/>
        <w:jc w:val="both"/>
        <w:rPr>
          <w:b/>
        </w:rPr>
      </w:pPr>
    </w:p>
    <w:sectPr w:rsidR="00190F21" w:rsidRPr="00577B6D" w:rsidSect="00784B3A">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16E" w:rsidRDefault="004B216E" w:rsidP="00AB6188">
      <w:pPr>
        <w:spacing w:before="0"/>
      </w:pPr>
      <w:r>
        <w:separator/>
      </w:r>
    </w:p>
  </w:endnote>
  <w:endnote w:type="continuationSeparator" w:id="0">
    <w:p w:rsidR="004B216E" w:rsidRDefault="004B216E" w:rsidP="00AB618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kkurat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C8" w:rsidRDefault="00903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052349"/>
      <w:docPartObj>
        <w:docPartGallery w:val="Page Numbers (Bottom of Page)"/>
        <w:docPartUnique/>
      </w:docPartObj>
    </w:sdtPr>
    <w:sdtEndPr>
      <w:rPr>
        <w:noProof/>
      </w:rPr>
    </w:sdtEndPr>
    <w:sdtContent>
      <w:p w:rsidR="007F3E0E" w:rsidRDefault="007F3E0E">
        <w:pPr>
          <w:pStyle w:val="Footer"/>
          <w:jc w:val="center"/>
        </w:pPr>
        <w:r>
          <w:fldChar w:fldCharType="begin"/>
        </w:r>
        <w:r>
          <w:instrText xml:space="preserve"> PAGE   \* MERGEFORMAT </w:instrText>
        </w:r>
        <w:r>
          <w:fldChar w:fldCharType="separate"/>
        </w:r>
        <w:r w:rsidR="003422A7">
          <w:rPr>
            <w:noProof/>
          </w:rPr>
          <w:t>2</w:t>
        </w:r>
        <w:r>
          <w:rPr>
            <w:noProof/>
          </w:rPr>
          <w:fldChar w:fldCharType="end"/>
        </w:r>
      </w:p>
    </w:sdtContent>
  </w:sdt>
  <w:p w:rsidR="007F3E0E" w:rsidRDefault="007F3E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0E" w:rsidRPr="00394EFA" w:rsidRDefault="007F3E0E" w:rsidP="00394EFA">
    <w:pPr>
      <w:autoSpaceDE w:val="0"/>
      <w:autoSpaceDN w:val="0"/>
      <w:adjustRightInd w:val="0"/>
      <w:spacing w:before="0"/>
      <w:rPr>
        <w:rFonts w:ascii="AkkuratPro-Regular" w:hAnsi="AkkuratPro-Regular" w:cs="AkkuratPro-Regular"/>
        <w:sz w:val="14"/>
        <w:szCs w:val="14"/>
        <w:lang w:val="en-GB"/>
      </w:rPr>
    </w:pPr>
    <w:r w:rsidRPr="00394EFA">
      <w:rPr>
        <w:rFonts w:ascii="AkkuratPro-Regular" w:hAnsi="AkkuratPro-Regular" w:cs="AkkuratPro-Regular"/>
        <w:sz w:val="14"/>
        <w:szCs w:val="14"/>
        <w:lang w:val="en-GB"/>
      </w:rPr>
      <w:t>The Bank of New York Mellon – Incorporated with limited liability in the State of New York, USA. Head Office: One Wall Street, New York, NY 10286,</w:t>
    </w:r>
    <w:r>
      <w:rPr>
        <w:rFonts w:ascii="AkkuratPro-Regular" w:hAnsi="AkkuratPro-Regular" w:cs="AkkuratPro-Regular"/>
        <w:sz w:val="14"/>
        <w:szCs w:val="14"/>
        <w:lang w:val="en-GB"/>
      </w:rPr>
      <w:t xml:space="preserve"> </w:t>
    </w:r>
    <w:r w:rsidRPr="00394EFA">
      <w:rPr>
        <w:rFonts w:ascii="AkkuratPro-Regular" w:hAnsi="AkkuratPro-Regular" w:cs="AkkuratPro-Regular"/>
        <w:sz w:val="14"/>
        <w:szCs w:val="14"/>
        <w:lang w:val="en-GB"/>
      </w:rPr>
      <w:t>USA. London Branch registered in England &amp; Wales with FC No 005522 and BR No 000818 and with its Registered Office at One Canada Square,</w:t>
    </w:r>
    <w:r>
      <w:rPr>
        <w:rFonts w:ascii="AkkuratPro-Regular" w:hAnsi="AkkuratPro-Regular" w:cs="AkkuratPro-Regular"/>
        <w:sz w:val="14"/>
        <w:szCs w:val="14"/>
        <w:lang w:val="en-GB"/>
      </w:rPr>
      <w:t xml:space="preserve"> </w:t>
    </w:r>
    <w:r w:rsidRPr="00394EFA">
      <w:rPr>
        <w:rFonts w:ascii="AkkuratPro-Regular" w:hAnsi="AkkuratPro-Regular" w:cs="AkkuratPro-Regular"/>
        <w:sz w:val="14"/>
        <w:szCs w:val="14"/>
        <w:lang w:val="en-GB"/>
      </w:rPr>
      <w:t>London E14 5AL. The Bank of New York Mellon is supervised and regulated by the New York State Department of Financial Services and the</w:t>
    </w:r>
    <w:r>
      <w:rPr>
        <w:rFonts w:ascii="AkkuratPro-Regular" w:hAnsi="AkkuratPro-Regular" w:cs="AkkuratPro-Regular"/>
        <w:sz w:val="14"/>
        <w:szCs w:val="14"/>
        <w:lang w:val="en-GB"/>
      </w:rPr>
      <w:t xml:space="preserve"> </w:t>
    </w:r>
    <w:r w:rsidRPr="00394EFA">
      <w:rPr>
        <w:rFonts w:ascii="AkkuratPro-Regular" w:hAnsi="AkkuratPro-Regular" w:cs="AkkuratPro-Regular"/>
        <w:sz w:val="14"/>
        <w:szCs w:val="14"/>
        <w:lang w:val="en-GB"/>
      </w:rPr>
      <w:t>Federal Reserve and authorised by the Prudential Regulation Authority. The Bank of New York Mellon London Branch is subject to regulation by</w:t>
    </w:r>
    <w:r>
      <w:rPr>
        <w:rFonts w:ascii="AkkuratPro-Regular" w:hAnsi="AkkuratPro-Regular" w:cs="AkkuratPro-Regular"/>
        <w:sz w:val="14"/>
        <w:szCs w:val="14"/>
        <w:lang w:val="en-GB"/>
      </w:rPr>
      <w:t xml:space="preserve"> </w:t>
    </w:r>
    <w:r w:rsidRPr="00394EFA">
      <w:rPr>
        <w:rFonts w:ascii="AkkuratPro-Regular" w:hAnsi="AkkuratPro-Regular" w:cs="AkkuratPro-Regular"/>
        <w:sz w:val="14"/>
        <w:szCs w:val="14"/>
        <w:lang w:val="en-GB"/>
      </w:rPr>
      <w:t>the Financial Conduct Authority and limited regulation by the Prudential Regulation Authority. Details about the extent of our regulation by the</w:t>
    </w:r>
    <w:r>
      <w:rPr>
        <w:rFonts w:ascii="AkkuratPro-Regular" w:hAnsi="AkkuratPro-Regular" w:cs="AkkuratPro-Regular"/>
        <w:sz w:val="14"/>
        <w:szCs w:val="14"/>
        <w:lang w:val="en-GB"/>
      </w:rPr>
      <w:t xml:space="preserve"> </w:t>
    </w:r>
    <w:r w:rsidRPr="00394EFA">
      <w:rPr>
        <w:rFonts w:ascii="AkkuratPro-Regular" w:hAnsi="AkkuratPro-Regular" w:cs="AkkuratPro-Regular"/>
        <w:sz w:val="14"/>
        <w:szCs w:val="14"/>
        <w:lang w:val="en-GB"/>
      </w:rPr>
      <w:t>Prudential Regulation Authority are available from us on request.</w:t>
    </w:r>
  </w:p>
  <w:p w:rsidR="007F3E0E" w:rsidRPr="00B126EE" w:rsidRDefault="007F3E0E" w:rsidP="00B126EE">
    <w:pPr>
      <w:autoSpaceDE w:val="0"/>
      <w:autoSpaceDN w:val="0"/>
      <w:adjustRightInd w:val="0"/>
      <w:spacing w:before="0"/>
      <w:rPr>
        <w:rFonts w:cs="Arial"/>
        <w:sz w:val="14"/>
        <w:szCs w:val="1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16E" w:rsidRDefault="004B216E" w:rsidP="00AB6188">
      <w:pPr>
        <w:spacing w:before="0"/>
      </w:pPr>
      <w:r>
        <w:separator/>
      </w:r>
    </w:p>
  </w:footnote>
  <w:footnote w:type="continuationSeparator" w:id="0">
    <w:p w:rsidR="004B216E" w:rsidRDefault="004B216E" w:rsidP="00AB618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C8" w:rsidRDefault="00903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0E" w:rsidRDefault="007F3E0E" w:rsidP="00AB6188">
    <w:pPr>
      <w:pStyle w:val="Header"/>
      <w:tabs>
        <w:tab w:val="clear" w:pos="4680"/>
        <w:tab w:val="clear"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4" w:type="dxa"/>
      <w:tblLayout w:type="fixed"/>
      <w:tblCellMar>
        <w:left w:w="115" w:type="dxa"/>
        <w:right w:w="115" w:type="dxa"/>
      </w:tblCellMar>
      <w:tblLook w:val="04A0" w:firstRow="1" w:lastRow="0" w:firstColumn="1" w:lastColumn="0" w:noHBand="0" w:noVBand="1"/>
    </w:tblPr>
    <w:tblGrid>
      <w:gridCol w:w="2988"/>
      <w:gridCol w:w="2448"/>
      <w:gridCol w:w="2832"/>
      <w:gridCol w:w="2586"/>
    </w:tblGrid>
    <w:tr w:rsidR="007F3E0E" w:rsidRPr="002F6418" w:rsidTr="002F6418">
      <w:trPr>
        <w:trHeight w:val="1260"/>
      </w:trPr>
      <w:tc>
        <w:tcPr>
          <w:tcW w:w="2988" w:type="dxa"/>
          <w:shd w:val="clear" w:color="auto" w:fill="auto"/>
        </w:tcPr>
        <w:p w:rsidR="007F3E0E" w:rsidRPr="002F6418" w:rsidRDefault="007F3E0E" w:rsidP="002F6418">
          <w:pPr>
            <w:spacing w:before="0"/>
            <w:ind w:left="-90"/>
          </w:pPr>
          <w:r>
            <w:rPr>
              <w:noProof/>
              <w:lang w:val="en-GB" w:eastAsia="en-GB"/>
            </w:rPr>
            <w:drawing>
              <wp:inline distT="0" distB="0" distL="0" distR="0" wp14:anchorId="7DED2276" wp14:editId="0D50063A">
                <wp:extent cx="1593850" cy="6350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6178" t="16261"/>
                        <a:stretch>
                          <a:fillRect/>
                        </a:stretch>
                      </pic:blipFill>
                      <pic:spPr bwMode="auto">
                        <a:xfrm>
                          <a:off x="0" y="0"/>
                          <a:ext cx="1593850" cy="635000"/>
                        </a:xfrm>
                        <a:prstGeom prst="rect">
                          <a:avLst/>
                        </a:prstGeom>
                        <a:noFill/>
                        <a:ln>
                          <a:noFill/>
                        </a:ln>
                      </pic:spPr>
                    </pic:pic>
                  </a:graphicData>
                </a:graphic>
              </wp:inline>
            </w:drawing>
          </w:r>
        </w:p>
      </w:tc>
      <w:tc>
        <w:tcPr>
          <w:tcW w:w="2448" w:type="dxa"/>
          <w:shd w:val="clear" w:color="auto" w:fill="auto"/>
          <w:noWrap/>
        </w:tcPr>
        <w:p w:rsidR="007F3E0E" w:rsidRPr="002F6418" w:rsidRDefault="007F3E0E" w:rsidP="002F6418">
          <w:pPr>
            <w:spacing w:before="0"/>
            <w:ind w:left="72"/>
            <w:rPr>
              <w:rFonts w:cs="Arial"/>
            </w:rPr>
          </w:pPr>
        </w:p>
      </w:tc>
      <w:tc>
        <w:tcPr>
          <w:tcW w:w="2832" w:type="dxa"/>
          <w:shd w:val="clear" w:color="auto" w:fill="auto"/>
        </w:tcPr>
        <w:p w:rsidR="007F3E0E" w:rsidRPr="00444216" w:rsidRDefault="007F3E0E" w:rsidP="00330A1D">
          <w:pPr>
            <w:spacing w:before="480"/>
            <w:rPr>
              <w:rFonts w:cs="Arial"/>
              <w:b/>
              <w:color w:val="4B4B4B"/>
              <w:sz w:val="16"/>
              <w:szCs w:val="16"/>
            </w:rPr>
          </w:pPr>
          <w:r w:rsidRPr="00444216">
            <w:rPr>
              <w:rFonts w:cs="Arial"/>
              <w:b/>
              <w:color w:val="4B4B4B"/>
              <w:sz w:val="16"/>
              <w:szCs w:val="16"/>
            </w:rPr>
            <w:t>The Bank of New York Mellon – London Branch</w:t>
          </w:r>
        </w:p>
        <w:p w:rsidR="007F3E0E" w:rsidRPr="00444216" w:rsidRDefault="007F3E0E" w:rsidP="00330A1D">
          <w:pPr>
            <w:spacing w:before="0"/>
            <w:rPr>
              <w:rFonts w:cs="Arial"/>
              <w:color w:val="4B4B4B"/>
              <w:sz w:val="16"/>
              <w:szCs w:val="16"/>
            </w:rPr>
          </w:pPr>
          <w:r>
            <w:rPr>
              <w:rFonts w:cs="Arial"/>
              <w:color w:val="4B4B4B"/>
              <w:sz w:val="16"/>
              <w:szCs w:val="16"/>
            </w:rPr>
            <w:t>One Canada Square</w:t>
          </w:r>
        </w:p>
        <w:p w:rsidR="007F3E0E" w:rsidRDefault="007F3E0E" w:rsidP="00330A1D">
          <w:pPr>
            <w:spacing w:before="0"/>
            <w:rPr>
              <w:rFonts w:cs="Arial"/>
              <w:color w:val="4B4B4B"/>
              <w:sz w:val="16"/>
              <w:szCs w:val="16"/>
            </w:rPr>
          </w:pPr>
          <w:r>
            <w:rPr>
              <w:rFonts w:cs="Arial"/>
              <w:color w:val="4B4B4B"/>
              <w:sz w:val="16"/>
              <w:szCs w:val="16"/>
            </w:rPr>
            <w:t>London E14 5AL</w:t>
          </w:r>
        </w:p>
        <w:p w:rsidR="007F3E0E" w:rsidRPr="002F6418" w:rsidRDefault="007F3E0E" w:rsidP="00330A1D">
          <w:pPr>
            <w:spacing w:before="0"/>
            <w:rPr>
              <w:rFonts w:cs="Arial"/>
            </w:rPr>
          </w:pPr>
          <w:r>
            <w:rPr>
              <w:rFonts w:cs="Arial"/>
              <w:color w:val="4B4B4B"/>
              <w:sz w:val="16"/>
              <w:szCs w:val="16"/>
            </w:rPr>
            <w:t>United Kingdom</w:t>
          </w:r>
        </w:p>
      </w:tc>
      <w:tc>
        <w:tcPr>
          <w:tcW w:w="2586" w:type="dxa"/>
          <w:shd w:val="clear" w:color="auto" w:fill="auto"/>
        </w:tcPr>
        <w:p w:rsidR="007F3E0E" w:rsidRPr="002F6418" w:rsidRDefault="007F3E0E" w:rsidP="00CE6655">
          <w:pPr>
            <w:spacing w:before="480"/>
            <w:rPr>
              <w:rFonts w:cs="Arial"/>
              <w:color w:val="4B4B4B"/>
            </w:rPr>
          </w:pPr>
          <w:r w:rsidRPr="002F6418">
            <w:rPr>
              <w:rFonts w:cs="Arial"/>
              <w:b/>
              <w:bCs/>
              <w:color w:val="4B4B4B"/>
              <w:sz w:val="16"/>
            </w:rPr>
            <w:t xml:space="preserve">T </w:t>
          </w:r>
          <w:r>
            <w:rPr>
              <w:rFonts w:cs="Arial"/>
              <w:b/>
              <w:bCs/>
              <w:color w:val="4B4B4B"/>
              <w:sz w:val="16"/>
            </w:rPr>
            <w:t xml:space="preserve">+44 </w:t>
          </w:r>
          <w:r w:rsidRPr="00CE6655">
            <w:rPr>
              <w:rFonts w:cs="Arial"/>
              <w:b/>
              <w:bCs/>
              <w:color w:val="4B4B4B"/>
              <w:sz w:val="16"/>
            </w:rPr>
            <w:t xml:space="preserve"> (0)20 </w:t>
          </w:r>
          <w:r>
            <w:rPr>
              <w:rFonts w:cs="Arial"/>
              <w:b/>
              <w:bCs/>
              <w:color w:val="4B4B4B"/>
              <w:sz w:val="16"/>
            </w:rPr>
            <w:t>7570 1784</w:t>
          </w:r>
        </w:p>
        <w:p w:rsidR="007F3E0E" w:rsidRPr="002F6418" w:rsidRDefault="007F3E0E" w:rsidP="002F6418">
          <w:pPr>
            <w:spacing w:before="0"/>
            <w:rPr>
              <w:rFonts w:cs="Arial"/>
              <w:color w:val="4B4B4B"/>
            </w:rPr>
          </w:pPr>
        </w:p>
      </w:tc>
    </w:tr>
  </w:tbl>
  <w:p w:rsidR="007F3E0E" w:rsidRPr="009646A6" w:rsidRDefault="007F3E0E">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CB9"/>
    <w:multiLevelType w:val="hybridMultilevel"/>
    <w:tmpl w:val="84F8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B71B72"/>
    <w:multiLevelType w:val="hybridMultilevel"/>
    <w:tmpl w:val="18A24C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0FC645C5"/>
    <w:multiLevelType w:val="hybridMultilevel"/>
    <w:tmpl w:val="34CCB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304432"/>
    <w:multiLevelType w:val="hybridMultilevel"/>
    <w:tmpl w:val="0BE6E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603D90"/>
    <w:multiLevelType w:val="hybridMultilevel"/>
    <w:tmpl w:val="1CBA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2A3882"/>
    <w:multiLevelType w:val="hybridMultilevel"/>
    <w:tmpl w:val="3F0C27EA"/>
    <w:lvl w:ilvl="0" w:tplc="4E34B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3D007D"/>
    <w:multiLevelType w:val="hybridMultilevel"/>
    <w:tmpl w:val="8222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6751F2"/>
    <w:multiLevelType w:val="hybridMultilevel"/>
    <w:tmpl w:val="DE44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127FED"/>
    <w:multiLevelType w:val="hybridMultilevel"/>
    <w:tmpl w:val="92BA6732"/>
    <w:lvl w:ilvl="0" w:tplc="A42A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D7675"/>
    <w:multiLevelType w:val="hybridMultilevel"/>
    <w:tmpl w:val="777E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126821"/>
    <w:multiLevelType w:val="hybridMultilevel"/>
    <w:tmpl w:val="3B1602FA"/>
    <w:lvl w:ilvl="0" w:tplc="3162ED9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61734015"/>
    <w:multiLevelType w:val="hybridMultilevel"/>
    <w:tmpl w:val="66204C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66DC59C3"/>
    <w:multiLevelType w:val="hybridMultilevel"/>
    <w:tmpl w:val="682C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DC23C9"/>
    <w:multiLevelType w:val="hybridMultilevel"/>
    <w:tmpl w:val="242A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D03F35"/>
    <w:multiLevelType w:val="hybridMultilevel"/>
    <w:tmpl w:val="37F6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F01203"/>
    <w:multiLevelType w:val="hybridMultilevel"/>
    <w:tmpl w:val="16E6DFDC"/>
    <w:lvl w:ilvl="0" w:tplc="9B9886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E15527"/>
    <w:multiLevelType w:val="hybridMultilevel"/>
    <w:tmpl w:val="EF1E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843AE4"/>
    <w:multiLevelType w:val="hybridMultilevel"/>
    <w:tmpl w:val="12EC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3"/>
  </w:num>
  <w:num w:numId="5">
    <w:abstractNumId w:val="11"/>
  </w:num>
  <w:num w:numId="6">
    <w:abstractNumId w:val="9"/>
  </w:num>
  <w:num w:numId="7">
    <w:abstractNumId w:val="13"/>
  </w:num>
  <w:num w:numId="8">
    <w:abstractNumId w:val="16"/>
  </w:num>
  <w:num w:numId="9">
    <w:abstractNumId w:val="12"/>
  </w:num>
  <w:num w:numId="10">
    <w:abstractNumId w:val="0"/>
  </w:num>
  <w:num w:numId="11">
    <w:abstractNumId w:val="7"/>
  </w:num>
  <w:num w:numId="12">
    <w:abstractNumId w:val="15"/>
  </w:num>
  <w:num w:numId="13">
    <w:abstractNumId w:val="14"/>
  </w:num>
  <w:num w:numId="14">
    <w:abstractNumId w:val="17"/>
  </w:num>
  <w:num w:numId="15">
    <w:abstractNumId w:val="8"/>
  </w:num>
  <w:num w:numId="16">
    <w:abstractNumId w:val="5"/>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353"/>
    <w:rsid w:val="000316D1"/>
    <w:rsid w:val="00031DC7"/>
    <w:rsid w:val="000538C2"/>
    <w:rsid w:val="0005689E"/>
    <w:rsid w:val="000632DB"/>
    <w:rsid w:val="00070068"/>
    <w:rsid w:val="0008496F"/>
    <w:rsid w:val="000B6125"/>
    <w:rsid w:val="0011133A"/>
    <w:rsid w:val="0011571B"/>
    <w:rsid w:val="00120CC3"/>
    <w:rsid w:val="00133738"/>
    <w:rsid w:val="00133E4B"/>
    <w:rsid w:val="00137AD8"/>
    <w:rsid w:val="00147772"/>
    <w:rsid w:val="00147D2F"/>
    <w:rsid w:val="00162256"/>
    <w:rsid w:val="00172C51"/>
    <w:rsid w:val="00190F21"/>
    <w:rsid w:val="001E2DB7"/>
    <w:rsid w:val="00202ACD"/>
    <w:rsid w:val="002125DB"/>
    <w:rsid w:val="002248AC"/>
    <w:rsid w:val="00240E66"/>
    <w:rsid w:val="00264E9B"/>
    <w:rsid w:val="00264ECB"/>
    <w:rsid w:val="002732C1"/>
    <w:rsid w:val="00296164"/>
    <w:rsid w:val="00297B40"/>
    <w:rsid w:val="002B77B0"/>
    <w:rsid w:val="002E3BC0"/>
    <w:rsid w:val="002F6418"/>
    <w:rsid w:val="00312AD3"/>
    <w:rsid w:val="00317AAC"/>
    <w:rsid w:val="00324C9C"/>
    <w:rsid w:val="00330A1D"/>
    <w:rsid w:val="00330CD8"/>
    <w:rsid w:val="003422A7"/>
    <w:rsid w:val="003474E0"/>
    <w:rsid w:val="00355E0A"/>
    <w:rsid w:val="003660C3"/>
    <w:rsid w:val="00394EFA"/>
    <w:rsid w:val="00396F7C"/>
    <w:rsid w:val="00397BE2"/>
    <w:rsid w:val="003A5942"/>
    <w:rsid w:val="003A6D65"/>
    <w:rsid w:val="003B7FFC"/>
    <w:rsid w:val="003C3353"/>
    <w:rsid w:val="003D456A"/>
    <w:rsid w:val="003E4546"/>
    <w:rsid w:val="003F2956"/>
    <w:rsid w:val="004346B3"/>
    <w:rsid w:val="00434AB8"/>
    <w:rsid w:val="0044689F"/>
    <w:rsid w:val="00460E0E"/>
    <w:rsid w:val="00475FF0"/>
    <w:rsid w:val="0048103C"/>
    <w:rsid w:val="00481DBC"/>
    <w:rsid w:val="0048447F"/>
    <w:rsid w:val="004A0C91"/>
    <w:rsid w:val="004B0FF0"/>
    <w:rsid w:val="004B216E"/>
    <w:rsid w:val="004C24AD"/>
    <w:rsid w:val="004C6784"/>
    <w:rsid w:val="004D0FAE"/>
    <w:rsid w:val="004D7058"/>
    <w:rsid w:val="0050057D"/>
    <w:rsid w:val="005319B7"/>
    <w:rsid w:val="00532C27"/>
    <w:rsid w:val="00561ECD"/>
    <w:rsid w:val="00563D0F"/>
    <w:rsid w:val="00577B6D"/>
    <w:rsid w:val="00587BCF"/>
    <w:rsid w:val="00590CB3"/>
    <w:rsid w:val="00594AAF"/>
    <w:rsid w:val="00594EE0"/>
    <w:rsid w:val="005958F0"/>
    <w:rsid w:val="005B2096"/>
    <w:rsid w:val="005B41CD"/>
    <w:rsid w:val="005C3665"/>
    <w:rsid w:val="005D528C"/>
    <w:rsid w:val="005E1A40"/>
    <w:rsid w:val="005E51F2"/>
    <w:rsid w:val="00617F55"/>
    <w:rsid w:val="00620B01"/>
    <w:rsid w:val="006223A1"/>
    <w:rsid w:val="0065736B"/>
    <w:rsid w:val="00676A57"/>
    <w:rsid w:val="00694772"/>
    <w:rsid w:val="006B31D8"/>
    <w:rsid w:val="006E3DB9"/>
    <w:rsid w:val="006F0220"/>
    <w:rsid w:val="006F731E"/>
    <w:rsid w:val="00701337"/>
    <w:rsid w:val="00713D40"/>
    <w:rsid w:val="00725552"/>
    <w:rsid w:val="00733AC5"/>
    <w:rsid w:val="00741716"/>
    <w:rsid w:val="00753EF4"/>
    <w:rsid w:val="00777F40"/>
    <w:rsid w:val="00784B3A"/>
    <w:rsid w:val="00792F33"/>
    <w:rsid w:val="00793041"/>
    <w:rsid w:val="007B5060"/>
    <w:rsid w:val="007B6741"/>
    <w:rsid w:val="007B7831"/>
    <w:rsid w:val="007D45EC"/>
    <w:rsid w:val="007D4A61"/>
    <w:rsid w:val="007F3E0E"/>
    <w:rsid w:val="008318EA"/>
    <w:rsid w:val="00840D20"/>
    <w:rsid w:val="00880A16"/>
    <w:rsid w:val="00881E5B"/>
    <w:rsid w:val="00883796"/>
    <w:rsid w:val="008B0844"/>
    <w:rsid w:val="008B2604"/>
    <w:rsid w:val="008C0BEA"/>
    <w:rsid w:val="008C1995"/>
    <w:rsid w:val="008D3BFD"/>
    <w:rsid w:val="008D3CAA"/>
    <w:rsid w:val="008E31D6"/>
    <w:rsid w:val="008F150A"/>
    <w:rsid w:val="009035C8"/>
    <w:rsid w:val="0091269A"/>
    <w:rsid w:val="009224F7"/>
    <w:rsid w:val="00960FFC"/>
    <w:rsid w:val="009646A6"/>
    <w:rsid w:val="009770D7"/>
    <w:rsid w:val="00987510"/>
    <w:rsid w:val="00996199"/>
    <w:rsid w:val="009C037F"/>
    <w:rsid w:val="009D4171"/>
    <w:rsid w:val="00A05557"/>
    <w:rsid w:val="00A15B02"/>
    <w:rsid w:val="00A2317E"/>
    <w:rsid w:val="00A309BA"/>
    <w:rsid w:val="00A64A6C"/>
    <w:rsid w:val="00AA53DC"/>
    <w:rsid w:val="00AB6188"/>
    <w:rsid w:val="00AE63D6"/>
    <w:rsid w:val="00AF27D3"/>
    <w:rsid w:val="00B126EE"/>
    <w:rsid w:val="00B14ACE"/>
    <w:rsid w:val="00B252D5"/>
    <w:rsid w:val="00B44B45"/>
    <w:rsid w:val="00B45BAA"/>
    <w:rsid w:val="00B576B8"/>
    <w:rsid w:val="00BB7480"/>
    <w:rsid w:val="00BD2C14"/>
    <w:rsid w:val="00BD3FB3"/>
    <w:rsid w:val="00BE5B7B"/>
    <w:rsid w:val="00BF7323"/>
    <w:rsid w:val="00C056FF"/>
    <w:rsid w:val="00C06AF9"/>
    <w:rsid w:val="00C3113A"/>
    <w:rsid w:val="00C70707"/>
    <w:rsid w:val="00C8457A"/>
    <w:rsid w:val="00CA0D3E"/>
    <w:rsid w:val="00CB6717"/>
    <w:rsid w:val="00CC6457"/>
    <w:rsid w:val="00CE6540"/>
    <w:rsid w:val="00CE6655"/>
    <w:rsid w:val="00CF43BC"/>
    <w:rsid w:val="00D514B7"/>
    <w:rsid w:val="00D86CE9"/>
    <w:rsid w:val="00DA3552"/>
    <w:rsid w:val="00DB1A13"/>
    <w:rsid w:val="00DB5FDD"/>
    <w:rsid w:val="00DE5CDC"/>
    <w:rsid w:val="00DE7D23"/>
    <w:rsid w:val="00DF358E"/>
    <w:rsid w:val="00E021BF"/>
    <w:rsid w:val="00E20D8A"/>
    <w:rsid w:val="00E56DE0"/>
    <w:rsid w:val="00E64EAE"/>
    <w:rsid w:val="00E674BC"/>
    <w:rsid w:val="00E72D02"/>
    <w:rsid w:val="00E74A52"/>
    <w:rsid w:val="00E93854"/>
    <w:rsid w:val="00EB3B26"/>
    <w:rsid w:val="00EB3D7D"/>
    <w:rsid w:val="00EC10DE"/>
    <w:rsid w:val="00EC706B"/>
    <w:rsid w:val="00ED4C1E"/>
    <w:rsid w:val="00ED5E14"/>
    <w:rsid w:val="00F10B1D"/>
    <w:rsid w:val="00F25181"/>
    <w:rsid w:val="00F374D3"/>
    <w:rsid w:val="00F71AE3"/>
    <w:rsid w:val="00F7730C"/>
    <w:rsid w:val="00F83882"/>
    <w:rsid w:val="00F8584F"/>
    <w:rsid w:val="00FA2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DE0"/>
    <w:pPr>
      <w:spacing w:before="36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DB9"/>
    <w:pPr>
      <w:spacing w:before="0"/>
    </w:pPr>
    <w:rPr>
      <w:rFonts w:ascii="Tahoma" w:hAnsi="Tahoma" w:cs="Tahoma"/>
      <w:sz w:val="16"/>
      <w:szCs w:val="16"/>
    </w:rPr>
  </w:style>
  <w:style w:type="character" w:customStyle="1" w:styleId="BalloonTextChar">
    <w:name w:val="Balloon Text Char"/>
    <w:link w:val="BalloonText"/>
    <w:uiPriority w:val="99"/>
    <w:semiHidden/>
    <w:rsid w:val="006E3DB9"/>
    <w:rPr>
      <w:rFonts w:ascii="Tahoma" w:hAnsi="Tahoma" w:cs="Tahoma"/>
      <w:sz w:val="16"/>
      <w:szCs w:val="16"/>
    </w:rPr>
  </w:style>
  <w:style w:type="table" w:styleId="TableGrid">
    <w:name w:val="Table Grid"/>
    <w:basedOn w:val="TableNormal"/>
    <w:uiPriority w:val="59"/>
    <w:rsid w:val="006E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188"/>
    <w:pPr>
      <w:tabs>
        <w:tab w:val="center" w:pos="4680"/>
        <w:tab w:val="right" w:pos="9360"/>
      </w:tabs>
      <w:spacing w:before="0"/>
    </w:pPr>
  </w:style>
  <w:style w:type="character" w:customStyle="1" w:styleId="HeaderChar">
    <w:name w:val="Header Char"/>
    <w:basedOn w:val="DefaultParagraphFont"/>
    <w:link w:val="Header"/>
    <w:uiPriority w:val="99"/>
    <w:rsid w:val="00AB6188"/>
  </w:style>
  <w:style w:type="paragraph" w:styleId="Footer">
    <w:name w:val="footer"/>
    <w:basedOn w:val="Normal"/>
    <w:link w:val="FooterChar"/>
    <w:uiPriority w:val="99"/>
    <w:unhideWhenUsed/>
    <w:rsid w:val="00AB6188"/>
    <w:pPr>
      <w:tabs>
        <w:tab w:val="center" w:pos="4680"/>
        <w:tab w:val="right" w:pos="9360"/>
      </w:tabs>
      <w:spacing w:before="0"/>
    </w:pPr>
  </w:style>
  <w:style w:type="character" w:customStyle="1" w:styleId="FooterChar">
    <w:name w:val="Footer Char"/>
    <w:basedOn w:val="DefaultParagraphFont"/>
    <w:link w:val="Footer"/>
    <w:uiPriority w:val="99"/>
    <w:rsid w:val="00AB6188"/>
  </w:style>
  <w:style w:type="paragraph" w:styleId="ListParagraph">
    <w:name w:val="List Paragraph"/>
    <w:basedOn w:val="Normal"/>
    <w:uiPriority w:val="34"/>
    <w:qFormat/>
    <w:rsid w:val="00330CD8"/>
    <w:pPr>
      <w:spacing w:before="0" w:after="200" w:line="276" w:lineRule="auto"/>
      <w:ind w:left="720"/>
      <w:contextualSpacing/>
    </w:pPr>
    <w:rPr>
      <w:rFonts w:asciiTheme="minorHAnsi" w:eastAsiaTheme="minorHAnsi" w:hAnsiTheme="minorHAnsi" w:cstheme="minorBidi"/>
      <w:lang w:val="en-GB"/>
    </w:rPr>
  </w:style>
  <w:style w:type="paragraph" w:customStyle="1" w:styleId="Default">
    <w:name w:val="Default"/>
    <w:rsid w:val="00ED5E14"/>
    <w:pPr>
      <w:autoSpaceDE w:val="0"/>
      <w:autoSpaceDN w:val="0"/>
      <w:adjustRightInd w:val="0"/>
    </w:pPr>
    <w:rPr>
      <w:rFonts w:ascii="Georgia" w:eastAsiaTheme="minorHAnsi" w:hAnsi="Georgia" w:cs="Georg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DE0"/>
    <w:pPr>
      <w:spacing w:before="36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DB9"/>
    <w:pPr>
      <w:spacing w:before="0"/>
    </w:pPr>
    <w:rPr>
      <w:rFonts w:ascii="Tahoma" w:hAnsi="Tahoma" w:cs="Tahoma"/>
      <w:sz w:val="16"/>
      <w:szCs w:val="16"/>
    </w:rPr>
  </w:style>
  <w:style w:type="character" w:customStyle="1" w:styleId="BalloonTextChar">
    <w:name w:val="Balloon Text Char"/>
    <w:link w:val="BalloonText"/>
    <w:uiPriority w:val="99"/>
    <w:semiHidden/>
    <w:rsid w:val="006E3DB9"/>
    <w:rPr>
      <w:rFonts w:ascii="Tahoma" w:hAnsi="Tahoma" w:cs="Tahoma"/>
      <w:sz w:val="16"/>
      <w:szCs w:val="16"/>
    </w:rPr>
  </w:style>
  <w:style w:type="table" w:styleId="TableGrid">
    <w:name w:val="Table Grid"/>
    <w:basedOn w:val="TableNormal"/>
    <w:uiPriority w:val="59"/>
    <w:rsid w:val="006E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188"/>
    <w:pPr>
      <w:tabs>
        <w:tab w:val="center" w:pos="4680"/>
        <w:tab w:val="right" w:pos="9360"/>
      </w:tabs>
      <w:spacing w:before="0"/>
    </w:pPr>
  </w:style>
  <w:style w:type="character" w:customStyle="1" w:styleId="HeaderChar">
    <w:name w:val="Header Char"/>
    <w:basedOn w:val="DefaultParagraphFont"/>
    <w:link w:val="Header"/>
    <w:uiPriority w:val="99"/>
    <w:rsid w:val="00AB6188"/>
  </w:style>
  <w:style w:type="paragraph" w:styleId="Footer">
    <w:name w:val="footer"/>
    <w:basedOn w:val="Normal"/>
    <w:link w:val="FooterChar"/>
    <w:uiPriority w:val="99"/>
    <w:unhideWhenUsed/>
    <w:rsid w:val="00AB6188"/>
    <w:pPr>
      <w:tabs>
        <w:tab w:val="center" w:pos="4680"/>
        <w:tab w:val="right" w:pos="9360"/>
      </w:tabs>
      <w:spacing w:before="0"/>
    </w:pPr>
  </w:style>
  <w:style w:type="character" w:customStyle="1" w:styleId="FooterChar">
    <w:name w:val="Footer Char"/>
    <w:basedOn w:val="DefaultParagraphFont"/>
    <w:link w:val="Footer"/>
    <w:uiPriority w:val="99"/>
    <w:rsid w:val="00AB6188"/>
  </w:style>
  <w:style w:type="paragraph" w:styleId="ListParagraph">
    <w:name w:val="List Paragraph"/>
    <w:basedOn w:val="Normal"/>
    <w:uiPriority w:val="34"/>
    <w:qFormat/>
    <w:rsid w:val="00330CD8"/>
    <w:pPr>
      <w:spacing w:before="0" w:after="200" w:line="276" w:lineRule="auto"/>
      <w:ind w:left="720"/>
      <w:contextualSpacing/>
    </w:pPr>
    <w:rPr>
      <w:rFonts w:asciiTheme="minorHAnsi" w:eastAsiaTheme="minorHAnsi" w:hAnsiTheme="minorHAnsi" w:cstheme="minorBidi"/>
      <w:lang w:val="en-GB"/>
    </w:rPr>
  </w:style>
  <w:style w:type="paragraph" w:customStyle="1" w:styleId="Default">
    <w:name w:val="Default"/>
    <w:rsid w:val="00ED5E14"/>
    <w:pPr>
      <w:autoSpaceDE w:val="0"/>
      <w:autoSpaceDN w:val="0"/>
      <w:adjustRightInd w:val="0"/>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8FF3-1A25-472F-98EF-51E001FF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7274</Words>
  <Characters>41465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The Bank of New York Mellon Corporation</Company>
  <LinksUpToDate>false</LinksUpToDate>
  <CharactersWithSpaces>48642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Earey, Rebecca</dc:creator>
  <cp:lastModifiedBy>Baginska, Ewa</cp:lastModifiedBy>
  <cp:revision>10</cp:revision>
  <cp:lastPrinted>2014-12-12T19:34:00Z</cp:lastPrinted>
  <dcterms:created xsi:type="dcterms:W3CDTF">2015-02-19T17:02:00Z</dcterms:created>
  <dcterms:modified xsi:type="dcterms:W3CDTF">2015-02-19T18:55:00Z</dcterms:modified>
</cp:coreProperties>
</file>