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D6CD0" w:rsidP="00A35728">
            <w:pPr>
              <w:pStyle w:val="00bDBInfo"/>
              <w:rPr>
                <w:rFonts w:ascii="Arial" w:hAnsi="Arial" w:cs="Arial"/>
              </w:rPr>
            </w:pPr>
            <w:r>
              <w:rPr>
                <w:rFonts w:ascii="Arial" w:hAnsi="Arial" w:cs="Arial"/>
              </w:rPr>
              <w:t>18</w:t>
            </w:r>
            <w:r w:rsidR="004E49B0">
              <w:rPr>
                <w:rFonts w:ascii="Arial" w:hAnsi="Arial" w:cs="Arial"/>
              </w:rPr>
              <w:t xml:space="preserve"> December</w:t>
            </w:r>
            <w:r w:rsidR="00ED351E" w:rsidRPr="004E49B0">
              <w:rPr>
                <w:rFonts w:ascii="Arial" w:hAnsi="Arial" w:cs="Arial"/>
              </w:rPr>
              <w:t xml:space="preserve"> </w:t>
            </w:r>
            <w:r w:rsidR="006F4B04" w:rsidRPr="004E49B0">
              <w:rPr>
                <w:rFonts w:ascii="Arial" w:hAnsi="Arial" w:cs="Arial"/>
              </w:rPr>
              <w:t>2014</w:t>
            </w:r>
          </w:p>
        </w:tc>
      </w:tr>
    </w:tbl>
    <w:p w:rsidR="00FD7A8D" w:rsidRPr="00616B9B" w:rsidRDefault="00FD7A8D" w:rsidP="00FD7A8D">
      <w:pPr>
        <w:rPr>
          <w:rFonts w:ascii="Arial" w:hAnsi="Arial"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ascii="Arial" w:hAnsi="Arial" w:cs="Arial"/>
              </w:rPr>
            </w:pPr>
            <w:r w:rsidRPr="00616B9B">
              <w:rPr>
                <w:rFonts w:ascii="Arial" w:hAnsi="Arial" w:cs="Arial"/>
              </w:rPr>
              <w:t>Reply form</w:t>
            </w:r>
            <w:r w:rsidR="00B835D5" w:rsidRPr="00616B9B">
              <w:rPr>
                <w:rFonts w:ascii="Arial" w:hAnsi="Arial" w:cs="Arial"/>
              </w:rPr>
              <w:t xml:space="preserve"> </w:t>
            </w:r>
            <w:r w:rsidR="0043173B" w:rsidRPr="00616B9B">
              <w:rPr>
                <w:rFonts w:ascii="Arial" w:hAnsi="Arial" w:cs="Arial"/>
              </w:rPr>
              <w:t>for</w:t>
            </w:r>
            <w:r w:rsidR="00027ECF" w:rsidRPr="00616B9B">
              <w:rPr>
                <w:rFonts w:ascii="Arial" w:hAnsi="Arial" w:cs="Arial"/>
              </w:rPr>
              <w:t xml:space="preserve"> the </w:t>
            </w:r>
          </w:p>
          <w:p w:rsidR="00422A7D" w:rsidRPr="00616B9B" w:rsidRDefault="00A35728" w:rsidP="00C000A5">
            <w:pPr>
              <w:pStyle w:val="01aDBTitle"/>
              <w:rPr>
                <w:rFonts w:ascii="Arial" w:hAnsi="Arial" w:cs="Arial"/>
              </w:rPr>
            </w:pPr>
            <w:r w:rsidRPr="00616B9B">
              <w:rPr>
                <w:rFonts w:ascii="Arial" w:hAnsi="Arial" w:cs="Arial"/>
              </w:rPr>
              <w:t>Technical Advice under the CSDR</w:t>
            </w:r>
            <w:r w:rsidR="00422A7D" w:rsidRPr="00616B9B">
              <w:rPr>
                <w:rFonts w:ascii="Arial" w:hAnsi="Arial" w:cs="Arial"/>
              </w:rPr>
              <w:t xml:space="preserve"> </w:t>
            </w:r>
          </w:p>
          <w:p w:rsidR="00791EB4" w:rsidRPr="00616B9B" w:rsidRDefault="00791EB4" w:rsidP="00C000A5">
            <w:pPr>
              <w:pStyle w:val="01aDBTitle"/>
              <w:rPr>
                <w:rFonts w:ascii="Arial" w:hAnsi="Arial"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ascii="Arial" w:hAnsi="Arial"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4E49B0">
            <w:pPr>
              <w:pStyle w:val="02Date"/>
              <w:rPr>
                <w:rFonts w:ascii="Arial" w:hAnsi="Arial" w:cs="Arial"/>
              </w:rPr>
            </w:pPr>
            <w:r w:rsidRPr="004E49B0">
              <w:rPr>
                <w:rFonts w:ascii="Arial" w:hAnsi="Arial" w:cs="Arial"/>
              </w:rPr>
              <w:lastRenderedPageBreak/>
              <w:t xml:space="preserve">Date: </w:t>
            </w:r>
            <w:r w:rsidR="003D6CD0">
              <w:rPr>
                <w:rFonts w:ascii="Arial" w:hAnsi="Arial" w:cs="Arial"/>
              </w:rPr>
              <w:t>18</w:t>
            </w:r>
            <w:r w:rsidR="004E49B0" w:rsidRPr="004E49B0">
              <w:rPr>
                <w:rFonts w:ascii="Arial" w:hAnsi="Arial" w:cs="Arial"/>
              </w:rPr>
              <w:t xml:space="preserve"> December 2014</w:t>
            </w:r>
          </w:p>
        </w:tc>
      </w:tr>
    </w:tbl>
    <w:p w:rsidR="0088244C" w:rsidRPr="00616B9B" w:rsidRDefault="0088244C" w:rsidP="00F574D0">
      <w:pPr>
        <w:pStyle w:val="05HeadlinenoIndex"/>
        <w:rPr>
          <w:rFonts w:ascii="Arial" w:hAnsi="Arial" w:cs="Arial"/>
        </w:rPr>
      </w:pPr>
      <w:bookmarkStart w:id="0" w:name="_Toc280628648"/>
    </w:p>
    <w:p w:rsidR="00F574D0" w:rsidRPr="00616B9B" w:rsidRDefault="0088244C" w:rsidP="00F574D0">
      <w:pPr>
        <w:pStyle w:val="05HeadlinenoIndex"/>
        <w:rPr>
          <w:rFonts w:ascii="Arial" w:hAnsi="Arial" w:cs="Arial"/>
        </w:rPr>
      </w:pPr>
      <w:r w:rsidRPr="00616B9B">
        <w:rPr>
          <w:rFonts w:ascii="Arial" w:hAnsi="Arial" w:cs="Arial"/>
        </w:rPr>
        <w:br w:type="page"/>
      </w:r>
      <w:r w:rsidR="00F574D0" w:rsidRPr="00616B9B">
        <w:rPr>
          <w:rFonts w:ascii="Arial" w:hAnsi="Arial" w:cs="Arial"/>
        </w:rPr>
        <w:lastRenderedPageBreak/>
        <w:t xml:space="preserve">Responding to this paper </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The European Securities and Markets Authority (ESMA) invites responses to the specific questions listed in the ESMA </w:t>
      </w:r>
      <w:r w:rsidR="0060674A" w:rsidRPr="00616B9B">
        <w:rPr>
          <w:rFonts w:ascii="Arial" w:hAnsi="Arial" w:cs="Arial"/>
        </w:rPr>
        <w:t>Consultation Paper - D</w:t>
      </w:r>
      <w:r w:rsidR="00A35728" w:rsidRPr="00616B9B">
        <w:rPr>
          <w:rFonts w:ascii="Arial" w:hAnsi="Arial" w:cs="Arial"/>
        </w:rPr>
        <w:t xml:space="preserve"> Technical Advice under the CSDR</w:t>
      </w:r>
      <w:r w:rsidR="00015B5E" w:rsidRPr="00616B9B">
        <w:rPr>
          <w:rFonts w:ascii="Arial" w:hAnsi="Arial" w:cs="Arial"/>
        </w:rPr>
        <w:t>, published on the ESMA website</w:t>
      </w:r>
      <w:r w:rsidR="004E49B0">
        <w:rPr>
          <w:rFonts w:ascii="Arial" w:hAnsi="Arial" w:cs="Arial"/>
        </w:rPr>
        <w:t>.</w:t>
      </w:r>
    </w:p>
    <w:p w:rsidR="00F574D0" w:rsidRPr="00616B9B" w:rsidRDefault="00F574D0" w:rsidP="00F574D0">
      <w:pPr>
        <w:pStyle w:val="04BodyText"/>
        <w:spacing w:before="120" w:after="120"/>
        <w:rPr>
          <w:rFonts w:ascii="Arial" w:hAnsi="Arial" w:cs="Arial"/>
        </w:rPr>
      </w:pP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r w:rsidRPr="00616B9B">
        <w:rPr>
          <w:rFonts w:ascii="Arial" w:hAnsi="Arial" w:cs="Arial"/>
          <w:b/>
          <w:bCs/>
          <w:i/>
          <w:color w:val="000000"/>
          <w:szCs w:val="20"/>
          <w:lang w:eastAsia="en-GB"/>
        </w:rPr>
        <w:t>Instructions</w:t>
      </w:r>
    </w:p>
    <w:p w:rsidR="00F574D0" w:rsidRPr="00616B9B" w:rsidRDefault="00D75FEE" w:rsidP="00F574D0">
      <w:pPr>
        <w:pStyle w:val="04BodyText"/>
        <w:spacing w:before="120" w:after="120"/>
        <w:rPr>
          <w:rFonts w:ascii="Arial" w:hAnsi="Arial" w:cs="Arial"/>
        </w:rPr>
      </w:pPr>
      <w:r w:rsidRPr="00616B9B">
        <w:rPr>
          <w:rFonts w:ascii="Arial" w:hAnsi="Arial" w:cs="Arial"/>
        </w:rPr>
        <w:t>Please note that, in order to facilitate the analysis of the large number of responses expected, you are requested to use this file to send your response to ESMA so as to allow us to process it properly. Ther</w:t>
      </w:r>
      <w:r w:rsidRPr="00616B9B">
        <w:rPr>
          <w:rFonts w:ascii="Arial" w:hAnsi="Arial" w:cs="Arial"/>
        </w:rPr>
        <w:t>e</w:t>
      </w:r>
      <w:r w:rsidRPr="00616B9B">
        <w:rPr>
          <w:rFonts w:ascii="Arial" w:hAnsi="Arial" w:cs="Arial"/>
        </w:rPr>
        <w:t>fore, please follow the instructions described below</w:t>
      </w:r>
      <w:r w:rsidR="00F574D0" w:rsidRPr="00616B9B">
        <w:rPr>
          <w:rFonts w:ascii="Arial" w:hAnsi="Arial" w:cs="Arial"/>
        </w:rPr>
        <w:t>:</w:t>
      </w:r>
    </w:p>
    <w:p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use this </w:t>
      </w:r>
      <w:r w:rsidR="003F5C06" w:rsidRPr="00616B9B">
        <w:rPr>
          <w:rFonts w:ascii="Arial" w:hAnsi="Arial" w:cs="Arial"/>
        </w:rPr>
        <w:t>form</w:t>
      </w:r>
      <w:r w:rsidRPr="00616B9B">
        <w:rPr>
          <w:rFonts w:ascii="Arial" w:hAnsi="Arial" w:cs="Arial"/>
        </w:rPr>
        <w:t xml:space="preserve"> and send </w:t>
      </w:r>
      <w:r w:rsidR="00D75FEE" w:rsidRPr="00616B9B">
        <w:rPr>
          <w:rFonts w:ascii="Arial" w:hAnsi="Arial" w:cs="Arial"/>
        </w:rPr>
        <w:t>your</w:t>
      </w:r>
      <w:r w:rsidRPr="00616B9B">
        <w:rPr>
          <w:rFonts w:ascii="Arial" w:hAnsi="Arial" w:cs="Arial"/>
        </w:rPr>
        <w:t xml:space="preserve"> responses in Word format;</w:t>
      </w:r>
    </w:p>
    <w:p w:rsidR="00F574D0" w:rsidRPr="00616B9B" w:rsidRDefault="00D75FEE" w:rsidP="00F574D0">
      <w:pPr>
        <w:pStyle w:val="04bList"/>
        <w:numPr>
          <w:ilvl w:val="0"/>
          <w:numId w:val="5"/>
        </w:numPr>
        <w:spacing w:before="120" w:after="120"/>
        <w:ind w:left="720"/>
        <w:rPr>
          <w:rFonts w:ascii="Arial" w:hAnsi="Arial" w:cs="Arial"/>
        </w:rPr>
      </w:pPr>
      <w:r w:rsidRPr="00616B9B">
        <w:rPr>
          <w:rFonts w:ascii="Arial" w:hAnsi="Arial" w:cs="Arial"/>
        </w:rPr>
        <w:t xml:space="preserve">do </w:t>
      </w:r>
      <w:r w:rsidR="00F574D0" w:rsidRPr="00616B9B">
        <w:rPr>
          <w:rFonts w:ascii="Arial" w:hAnsi="Arial" w:cs="Arial"/>
        </w:rPr>
        <w:t>not remove the tags of type &lt;ESMA_QUESTION_</w:t>
      </w:r>
      <w:r w:rsidR="00C8677B" w:rsidRPr="00616B9B">
        <w:rPr>
          <w:rFonts w:ascii="Arial" w:hAnsi="Arial" w:cs="Arial"/>
        </w:rPr>
        <w:t>T</w:t>
      </w:r>
      <w:r w:rsidR="00E9344E" w:rsidRPr="00616B9B">
        <w:rPr>
          <w:rFonts w:ascii="Arial" w:hAnsi="Arial" w:cs="Arial"/>
        </w:rPr>
        <w:t>A</w:t>
      </w:r>
      <w:r w:rsidR="00A35728" w:rsidRPr="00616B9B">
        <w:rPr>
          <w:rFonts w:ascii="Arial" w:hAnsi="Arial" w:cs="Arial"/>
        </w:rPr>
        <w:t>_CSDR</w:t>
      </w:r>
      <w:r w:rsidR="00E9344E" w:rsidRPr="00616B9B">
        <w:rPr>
          <w:rFonts w:ascii="Arial" w:hAnsi="Arial" w:cs="Arial"/>
        </w:rPr>
        <w:t>_</w:t>
      </w:r>
      <w:r w:rsidR="00F574D0" w:rsidRPr="00616B9B">
        <w:rPr>
          <w:rFonts w:ascii="Arial" w:hAnsi="Arial" w:cs="Arial"/>
        </w:rPr>
        <w:t>1&gt; - i.e. the response to one question has to be framed by the 2 tags corresponding to the question; and</w:t>
      </w:r>
    </w:p>
    <w:p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if </w:t>
      </w:r>
      <w:r w:rsidR="00D75FEE" w:rsidRPr="00616B9B">
        <w:rPr>
          <w:rFonts w:ascii="Arial" w:hAnsi="Arial" w:cs="Arial"/>
        </w:rPr>
        <w:t>you do not have a</w:t>
      </w:r>
      <w:r w:rsidRPr="00616B9B">
        <w:rPr>
          <w:rFonts w:ascii="Arial" w:hAnsi="Arial" w:cs="Arial"/>
        </w:rPr>
        <w:t xml:space="preserve"> response to a question, </w:t>
      </w:r>
      <w:r w:rsidR="00D75FEE" w:rsidRPr="00616B9B">
        <w:rPr>
          <w:rFonts w:ascii="Arial" w:hAnsi="Arial" w:cs="Arial"/>
        </w:rPr>
        <w:t xml:space="preserve">do </w:t>
      </w:r>
      <w:r w:rsidRPr="00616B9B">
        <w:rPr>
          <w:rFonts w:ascii="Arial" w:hAnsi="Arial" w:cs="Arial"/>
        </w:rPr>
        <w:t>not delete it and leave the text “TYPE YOUR TEXT HERE” between the tags.</w:t>
      </w:r>
    </w:p>
    <w:p w:rsidR="00F574D0" w:rsidRPr="00616B9B" w:rsidRDefault="00F574D0" w:rsidP="00F574D0">
      <w:pPr>
        <w:pStyle w:val="04bList"/>
        <w:numPr>
          <w:ilvl w:val="0"/>
          <w:numId w:val="0"/>
        </w:numPr>
        <w:spacing w:before="120" w:after="120"/>
        <w:rPr>
          <w:rFonts w:ascii="Arial" w:hAnsi="Arial" w:cs="Arial"/>
        </w:rPr>
      </w:pPr>
      <w:r w:rsidRPr="00616B9B">
        <w:rPr>
          <w:rFonts w:ascii="Arial" w:hAnsi="Arial" w:cs="Arial"/>
        </w:rPr>
        <w:t>Responses are most helpful:</w:t>
      </w:r>
    </w:p>
    <w:p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if they respond to the question stated;</w:t>
      </w:r>
    </w:p>
    <w:p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contain a clear rationale, including on any related costs and benefits; and</w:t>
      </w:r>
    </w:p>
    <w:p w:rsidR="00A35728" w:rsidRPr="00616B9B" w:rsidRDefault="00F574D0" w:rsidP="000D17AA">
      <w:pPr>
        <w:pStyle w:val="04bList"/>
        <w:numPr>
          <w:ilvl w:val="0"/>
          <w:numId w:val="33"/>
        </w:numPr>
        <w:spacing w:before="120" w:after="120"/>
        <w:rPr>
          <w:rFonts w:ascii="Arial" w:hAnsi="Arial" w:cs="Arial"/>
        </w:rPr>
      </w:pPr>
      <w:r w:rsidRPr="00616B9B">
        <w:rPr>
          <w:rFonts w:ascii="Arial" w:hAnsi="Arial" w:cs="Arial"/>
        </w:rPr>
        <w:t>describe any alternatives that ESMA should consider</w:t>
      </w:r>
    </w:p>
    <w:p w:rsidR="000D17AA" w:rsidRPr="00616B9B" w:rsidRDefault="000D17AA" w:rsidP="000D17AA">
      <w:pPr>
        <w:pStyle w:val="04BodyText"/>
        <w:spacing w:before="120" w:after="120"/>
        <w:jc w:val="left"/>
        <w:rPr>
          <w:rFonts w:ascii="Arial" w:hAnsi="Arial" w:cs="Arial"/>
          <w:b/>
        </w:rPr>
      </w:pPr>
      <w:r w:rsidRPr="00616B9B">
        <w:rPr>
          <w:rFonts w:ascii="Arial" w:hAnsi="Arial" w:cs="Arial"/>
          <w:b/>
        </w:rPr>
        <w:t>Naming protocol:</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In order to facilitate the handling of stakeholders responses please save your document using the follo</w:t>
      </w:r>
      <w:r w:rsidRPr="00616B9B">
        <w:rPr>
          <w:rFonts w:ascii="Arial" w:hAnsi="Arial" w:cs="Arial"/>
        </w:rPr>
        <w:t>w</w:t>
      </w:r>
      <w:r w:rsidRPr="00616B9B">
        <w:rPr>
          <w:rFonts w:ascii="Arial" w:hAnsi="Arial" w:cs="Arial"/>
        </w:rPr>
        <w:t>ing format:</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ESMA_ TA_CSDR _NAMEOFCOMPANY_NAMEOFDOCUMENT.</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E.g. if the respondent were ESMA, the name of the reply form would be ESMA_ TA_CSDR _ESMA_REPLYFORM or ESMA_CE_AIFMD_ESMA_ANNEX1</w:t>
      </w:r>
    </w:p>
    <w:p w:rsidR="004E1A0F" w:rsidRPr="00616B9B" w:rsidRDefault="004E1A0F" w:rsidP="00F574D0">
      <w:pPr>
        <w:pStyle w:val="04bList"/>
        <w:numPr>
          <w:ilvl w:val="0"/>
          <w:numId w:val="0"/>
        </w:numPr>
        <w:spacing w:before="120" w:after="120"/>
        <w:rPr>
          <w:rFonts w:ascii="Arial" w:hAnsi="Arial" w:cs="Arial"/>
        </w:rPr>
      </w:pPr>
      <w:r w:rsidRPr="00616B9B">
        <w:rPr>
          <w:rFonts w:ascii="Arial" w:hAnsi="Arial" w:cs="Arial"/>
        </w:rPr>
        <w:t>To help you navigate this document more easily, bookmarks are available in “Navigation Pane” for Word 2010 and in “Document Map” for Word 2007.</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Responses must reach us by </w:t>
      </w:r>
      <w:r w:rsidR="00D43F14" w:rsidRPr="004E49B0">
        <w:rPr>
          <w:rFonts w:ascii="Arial" w:hAnsi="Arial" w:cs="Arial"/>
          <w:b/>
        </w:rPr>
        <w:t>1</w:t>
      </w:r>
      <w:r w:rsidR="004E49B0" w:rsidRPr="004E49B0">
        <w:rPr>
          <w:rFonts w:ascii="Arial" w:hAnsi="Arial" w:cs="Arial"/>
          <w:b/>
        </w:rPr>
        <w:t>9</w:t>
      </w:r>
      <w:r w:rsidR="00D43F14" w:rsidRPr="004E49B0">
        <w:rPr>
          <w:rFonts w:ascii="Arial" w:hAnsi="Arial" w:cs="Arial"/>
          <w:b/>
        </w:rPr>
        <w:t xml:space="preserve"> </w:t>
      </w:r>
      <w:r w:rsidR="004E49B0" w:rsidRPr="004E49B0">
        <w:rPr>
          <w:rFonts w:ascii="Arial" w:hAnsi="Arial" w:cs="Arial"/>
          <w:b/>
        </w:rPr>
        <w:t>February</w:t>
      </w:r>
      <w:r w:rsidR="00D43F14" w:rsidRPr="004E49B0">
        <w:rPr>
          <w:rFonts w:ascii="Arial" w:hAnsi="Arial" w:cs="Arial"/>
          <w:b/>
        </w:rPr>
        <w:t xml:space="preserve"> </w:t>
      </w:r>
      <w:r w:rsidRPr="004E49B0">
        <w:rPr>
          <w:rFonts w:ascii="Arial" w:hAnsi="Arial" w:cs="Arial"/>
          <w:b/>
        </w:rPr>
        <w:t>201</w:t>
      </w:r>
      <w:r w:rsidR="004E49B0" w:rsidRPr="004E49B0">
        <w:rPr>
          <w:rFonts w:ascii="Arial" w:hAnsi="Arial" w:cs="Arial"/>
          <w:b/>
        </w:rPr>
        <w:t>5</w:t>
      </w:r>
      <w:r w:rsidRPr="004E49B0">
        <w:rPr>
          <w:rFonts w:ascii="Arial" w:hAnsi="Arial" w:cs="Arial"/>
        </w:rPr>
        <w:t>.</w:t>
      </w:r>
      <w:r w:rsidRPr="00616B9B">
        <w:rPr>
          <w:rFonts w:ascii="Arial" w:hAnsi="Arial" w:cs="Arial"/>
        </w:rPr>
        <w:t xml:space="preserve"> </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should be submitted online at </w:t>
      </w:r>
      <w:hyperlink r:id="rId13" w:history="1">
        <w:r w:rsidRPr="00616B9B">
          <w:rPr>
            <w:rStyle w:val="Hipercze"/>
            <w:rFonts w:ascii="Arial" w:hAnsi="Arial" w:cs="Arial"/>
          </w:rPr>
          <w:t>www.esma.europa.eu</w:t>
        </w:r>
      </w:hyperlink>
      <w:r w:rsidRPr="00616B9B">
        <w:rPr>
          <w:rFonts w:ascii="Arial" w:hAnsi="Arial" w:cs="Arial"/>
        </w:rPr>
        <w:t xml:space="preserve"> under the heading ‘Your i</w:t>
      </w:r>
      <w:r w:rsidRPr="00616B9B">
        <w:rPr>
          <w:rFonts w:ascii="Arial" w:hAnsi="Arial" w:cs="Arial"/>
        </w:rPr>
        <w:t>n</w:t>
      </w:r>
      <w:r w:rsidRPr="00616B9B">
        <w:rPr>
          <w:rFonts w:ascii="Arial" w:hAnsi="Arial" w:cs="Arial"/>
        </w:rPr>
        <w:t xml:space="preserve">put/Consultations’. </w:t>
      </w: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1" w:name="_Toc335141334"/>
      <w:r w:rsidRPr="00616B9B">
        <w:rPr>
          <w:rFonts w:ascii="Arial" w:hAnsi="Arial" w:cs="Arial"/>
          <w:b/>
          <w:bCs/>
          <w:i/>
          <w:color w:val="000000"/>
          <w:szCs w:val="20"/>
          <w:lang w:eastAsia="en-GB"/>
        </w:rPr>
        <w:t>Publication of responses</w:t>
      </w:r>
      <w:bookmarkEnd w:id="1"/>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received will be published following the end of the consultation period, unless otherwise requested. </w:t>
      </w:r>
      <w:r w:rsidRPr="00616B9B">
        <w:rPr>
          <w:rFonts w:ascii="Arial" w:hAnsi="Arial"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616B9B">
        <w:rPr>
          <w:rFonts w:ascii="Arial" w:hAnsi="Arial" w:cs="Arial"/>
        </w:rPr>
        <w:t xml:space="preserve"> Note also that a confidential response may be requested from us in accordance with ESMA’s rules on access to doc</w:t>
      </w:r>
      <w:r w:rsidRPr="00616B9B">
        <w:rPr>
          <w:rFonts w:ascii="Arial" w:hAnsi="Arial" w:cs="Arial"/>
        </w:rPr>
        <w:t>u</w:t>
      </w:r>
      <w:r w:rsidRPr="00616B9B">
        <w:rPr>
          <w:rFonts w:ascii="Arial" w:hAnsi="Arial" w:cs="Arial"/>
        </w:rPr>
        <w:t>ments. We may consult you if we receive such a request. Any decision we make is reviewable by ESMA’s Board of Appeal and the European Ombudsman.</w:t>
      </w: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2" w:name="_Toc335141335"/>
      <w:r w:rsidRPr="00616B9B">
        <w:rPr>
          <w:rFonts w:ascii="Arial" w:hAnsi="Arial" w:cs="Arial"/>
          <w:b/>
          <w:bCs/>
          <w:i/>
          <w:color w:val="000000"/>
          <w:szCs w:val="20"/>
          <w:lang w:eastAsia="en-GB"/>
        </w:rPr>
        <w:t>Data protection</w:t>
      </w:r>
      <w:bookmarkEnd w:id="2"/>
    </w:p>
    <w:p w:rsidR="00F574D0" w:rsidRPr="00616B9B" w:rsidRDefault="00F574D0" w:rsidP="00F574D0">
      <w:pPr>
        <w:autoSpaceDE w:val="0"/>
        <w:autoSpaceDN w:val="0"/>
        <w:adjustRightInd w:val="0"/>
        <w:spacing w:before="120" w:after="120" w:line="276" w:lineRule="auto"/>
        <w:jc w:val="both"/>
        <w:rPr>
          <w:rFonts w:ascii="Arial" w:hAnsi="Arial" w:cs="Arial"/>
          <w:szCs w:val="20"/>
        </w:rPr>
      </w:pPr>
      <w:r w:rsidRPr="00616B9B">
        <w:rPr>
          <w:rFonts w:ascii="Arial" w:hAnsi="Arial" w:cs="Arial"/>
          <w:szCs w:val="20"/>
        </w:rPr>
        <w:t xml:space="preserve">Information on data protection can be found at </w:t>
      </w:r>
      <w:hyperlink r:id="rId14" w:history="1">
        <w:r w:rsidRPr="00616B9B">
          <w:rPr>
            <w:rStyle w:val="Hipercze"/>
            <w:rFonts w:ascii="Arial" w:hAnsi="Arial" w:cs="Arial"/>
            <w:szCs w:val="20"/>
          </w:rPr>
          <w:t>www.esma.europa.eu</w:t>
        </w:r>
      </w:hyperlink>
      <w:r w:rsidRPr="00616B9B">
        <w:rPr>
          <w:rFonts w:ascii="Arial" w:hAnsi="Arial" w:cs="Arial"/>
          <w:szCs w:val="20"/>
        </w:rPr>
        <w:t xml:space="preserve"> under the heading ‘Disclaimer’.</w:t>
      </w:r>
    </w:p>
    <w:bookmarkEnd w:id="0"/>
    <w:p w:rsidR="00C535E2" w:rsidRPr="0026621B" w:rsidRDefault="00C535E2" w:rsidP="00C535E2">
      <w:pPr>
        <w:pStyle w:val="Nagwek1"/>
        <w:numPr>
          <w:ilvl w:val="0"/>
          <w:numId w:val="0"/>
        </w:numPr>
        <w:rPr>
          <w:rFonts w:ascii="Arial" w:hAnsi="Arial"/>
          <w:sz w:val="22"/>
          <w:szCs w:val="22"/>
        </w:rPr>
      </w:pPr>
      <w:r w:rsidRPr="0026621B">
        <w:rPr>
          <w:rFonts w:ascii="Arial" w:hAnsi="Arial"/>
          <w:sz w:val="22"/>
          <w:szCs w:val="22"/>
        </w:rPr>
        <w:t>General information about respondent</w:t>
      </w:r>
    </w:p>
    <w:tbl>
      <w:tblPr>
        <w:tblStyle w:val="Tabela-Siatka"/>
        <w:tblW w:w="0" w:type="auto"/>
        <w:tblLook w:val="04A0" w:firstRow="1" w:lastRow="0" w:firstColumn="1" w:lastColumn="0" w:noHBand="0" w:noVBand="1"/>
      </w:tblPr>
      <w:tblGrid>
        <w:gridCol w:w="3510"/>
        <w:gridCol w:w="6118"/>
      </w:tblGrid>
      <w:tr w:rsidR="00F32462" w:rsidRPr="0026621B" w:rsidTr="00E66DAF">
        <w:tc>
          <w:tcPr>
            <w:tcW w:w="3510" w:type="dxa"/>
          </w:tcPr>
          <w:p w:rsidR="00F32462" w:rsidRPr="0026621B" w:rsidRDefault="00F32462" w:rsidP="00E66DAF">
            <w:pPr>
              <w:rPr>
                <w:rFonts w:ascii="Arial" w:hAnsi="Arial" w:cs="Arial"/>
                <w:sz w:val="22"/>
                <w:szCs w:val="22"/>
              </w:rPr>
            </w:pPr>
            <w:r w:rsidRPr="0026621B">
              <w:rPr>
                <w:rFonts w:ascii="Arial" w:hAnsi="Arial" w:cs="Arial"/>
                <w:sz w:val="22"/>
                <w:szCs w:val="22"/>
              </w:rPr>
              <w:t>Are you representing an associ</w:t>
            </w:r>
            <w:r w:rsidRPr="0026621B">
              <w:rPr>
                <w:rFonts w:ascii="Arial" w:hAnsi="Arial" w:cs="Arial"/>
                <w:sz w:val="22"/>
                <w:szCs w:val="22"/>
              </w:rPr>
              <w:t>a</w:t>
            </w:r>
            <w:r w:rsidRPr="0026621B">
              <w:rPr>
                <w:rFonts w:ascii="Arial" w:hAnsi="Arial" w:cs="Arial"/>
                <w:sz w:val="22"/>
                <w:szCs w:val="22"/>
              </w:rPr>
              <w:t>tion?</w:t>
            </w:r>
          </w:p>
        </w:tc>
        <w:tc>
          <w:tcPr>
            <w:tcW w:w="6118" w:type="dxa"/>
          </w:tcPr>
          <w:p w:rsidR="00F32462" w:rsidRPr="0026621B" w:rsidRDefault="008510E2" w:rsidP="00E66DAF">
            <w:pPr>
              <w:rPr>
                <w:rFonts w:ascii="Arial" w:hAnsi="Arial" w:cs="Arial"/>
                <w:sz w:val="22"/>
                <w:szCs w:val="22"/>
              </w:rPr>
            </w:pPr>
            <w:sdt>
              <w:sdtPr>
                <w:rPr>
                  <w:rFonts w:ascii="Arial" w:hAnsi="Arial" w:cs="Arial"/>
                  <w:sz w:val="22"/>
                  <w:szCs w:val="22"/>
                </w:rPr>
                <w:alias w:val="Association"/>
                <w:tag w:val="Association"/>
                <w:id w:val="-1769143793"/>
                <w:placeholder>
                  <w:docPart w:val="E7C112EB3D8041C587F3116780B1E3F3"/>
                </w:placeholder>
                <w:comboBox>
                  <w:listItem w:displayText="Yes" w:value="Yes"/>
                  <w:listItem w:displayText="No" w:value="No"/>
                </w:comboBox>
              </w:sdtPr>
              <w:sdtEndPr/>
              <w:sdtContent>
                <w:permStart w:id="238227640" w:edGrp="everyone"/>
                <w:r w:rsidR="002D3702">
                  <w:rPr>
                    <w:rFonts w:ascii="Arial" w:hAnsi="Arial" w:cs="Arial"/>
                    <w:sz w:val="22"/>
                    <w:szCs w:val="22"/>
                  </w:rPr>
                  <w:t>No</w:t>
                </w:r>
                <w:permEnd w:id="238227640"/>
              </w:sdtContent>
            </w:sdt>
          </w:p>
        </w:tc>
      </w:tr>
      <w:tr w:rsidR="00F32462" w:rsidRPr="0026621B" w:rsidTr="00E66DAF">
        <w:tc>
          <w:tcPr>
            <w:tcW w:w="3510" w:type="dxa"/>
          </w:tcPr>
          <w:p w:rsidR="00F32462" w:rsidRPr="0026621B" w:rsidRDefault="00F32462" w:rsidP="00E66DAF">
            <w:pPr>
              <w:rPr>
                <w:rFonts w:ascii="Arial" w:hAnsi="Arial" w:cs="Arial"/>
                <w:sz w:val="22"/>
                <w:szCs w:val="22"/>
              </w:rPr>
            </w:pPr>
            <w:r w:rsidRPr="0026621B">
              <w:rPr>
                <w:rFonts w:ascii="Arial" w:hAnsi="Arial" w:cs="Arial"/>
                <w:sz w:val="22"/>
                <w:szCs w:val="22"/>
              </w:rPr>
              <w:t>Activity:</w:t>
            </w:r>
          </w:p>
        </w:tc>
        <w:tc>
          <w:tcPr>
            <w:tcW w:w="6118" w:type="dxa"/>
          </w:tcPr>
          <w:p w:rsidR="00F32462" w:rsidRPr="0026621B" w:rsidRDefault="008510E2" w:rsidP="00E66DAF">
            <w:pPr>
              <w:rPr>
                <w:rFonts w:ascii="Arial" w:hAnsi="Arial" w:cs="Arial"/>
                <w:sz w:val="22"/>
                <w:szCs w:val="22"/>
              </w:rPr>
            </w:pPr>
            <w:sdt>
              <w:sdtPr>
                <w:rPr>
                  <w:rFonts w:ascii="Arial" w:hAnsi="Arial" w:cs="Arial"/>
                  <w:sz w:val="22"/>
                  <w:szCs w:val="22"/>
                </w:rPr>
                <w:alias w:val="Activity"/>
                <w:tag w:val="Activity"/>
                <w:id w:val="1654095920"/>
                <w:placeholder>
                  <w:docPart w:val="2DC1312B70F74FA0860E38BB0E84A49C"/>
                </w:placeholde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EndPr/>
              <w:sdtContent>
                <w:permStart w:id="1999334306" w:edGrp="everyone"/>
                <w:r w:rsidR="002D3702">
                  <w:rPr>
                    <w:rFonts w:ascii="Arial" w:hAnsi="Arial" w:cs="Arial"/>
                    <w:sz w:val="22"/>
                    <w:szCs w:val="22"/>
                  </w:rPr>
                  <w:t>Central Securities Depository</w:t>
                </w:r>
                <w:permEnd w:id="1999334306"/>
              </w:sdtContent>
            </w:sdt>
          </w:p>
        </w:tc>
      </w:tr>
      <w:tr w:rsidR="00F32462" w:rsidRPr="0026621B" w:rsidTr="00E66DAF">
        <w:tc>
          <w:tcPr>
            <w:tcW w:w="3510" w:type="dxa"/>
          </w:tcPr>
          <w:p w:rsidR="00F32462" w:rsidRPr="0026621B" w:rsidRDefault="00F32462" w:rsidP="00E66DAF">
            <w:pPr>
              <w:rPr>
                <w:rFonts w:ascii="Arial" w:hAnsi="Arial" w:cs="Arial"/>
                <w:sz w:val="22"/>
                <w:szCs w:val="22"/>
              </w:rPr>
            </w:pPr>
            <w:r w:rsidRPr="0026621B">
              <w:rPr>
                <w:rFonts w:ascii="Arial" w:hAnsi="Arial" w:cs="Arial"/>
                <w:sz w:val="22"/>
                <w:szCs w:val="22"/>
              </w:rPr>
              <w:t>Country/Region</w:t>
            </w:r>
          </w:p>
        </w:tc>
        <w:sdt>
          <w:sdtPr>
            <w:rPr>
              <w:rFonts w:ascii="Arial" w:hAnsi="Arial" w:cs="Arial"/>
              <w:sz w:val="22"/>
              <w:szCs w:val="22"/>
            </w:rPr>
            <w:alias w:val="Country"/>
            <w:tag w:val="Country"/>
            <w:id w:val="-1549134410"/>
            <w:placeholder>
              <w:docPart w:val="7834084FE63541599E2A38657E70D46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396251804" w:edGrp="everyone" w:displacedByCustomXml="prev"/>
            <w:tc>
              <w:tcPr>
                <w:tcW w:w="6118" w:type="dxa"/>
              </w:tcPr>
              <w:p w:rsidR="00F32462" w:rsidRPr="0026621B" w:rsidRDefault="002D3702" w:rsidP="00E66DAF">
                <w:pPr>
                  <w:rPr>
                    <w:rFonts w:ascii="Arial" w:hAnsi="Arial" w:cs="Arial"/>
                    <w:sz w:val="22"/>
                    <w:szCs w:val="22"/>
                  </w:rPr>
                </w:pPr>
                <w:r>
                  <w:rPr>
                    <w:rFonts w:ascii="Arial" w:hAnsi="Arial" w:cs="Arial"/>
                    <w:sz w:val="22"/>
                    <w:szCs w:val="22"/>
                  </w:rPr>
                  <w:t>Poland</w:t>
                </w:r>
              </w:p>
            </w:tc>
            <w:permEnd w:id="1396251804" w:displacedByCustomXml="next"/>
          </w:sdtContent>
        </w:sdt>
      </w:tr>
    </w:tbl>
    <w:p w:rsidR="00F32462" w:rsidRDefault="00F32462">
      <w:pPr>
        <w:rPr>
          <w:rFonts w:ascii="Arial" w:hAnsi="Arial" w:cs="Arial"/>
          <w:b/>
          <w:sz w:val="22"/>
          <w:szCs w:val="22"/>
          <w:lang w:eastAsia="en-US"/>
        </w:rPr>
      </w:pPr>
      <w:r>
        <w:rPr>
          <w:rFonts w:ascii="Arial" w:hAnsi="Arial" w:cs="Arial"/>
          <w:szCs w:val="22"/>
        </w:rPr>
        <w:br w:type="page"/>
      </w:r>
    </w:p>
    <w:p w:rsidR="00A35728" w:rsidRPr="00616B9B" w:rsidRDefault="00A35728" w:rsidP="00A35728">
      <w:pPr>
        <w:pStyle w:val="Questions-ESMA"/>
        <w:rPr>
          <w:rFonts w:ascii="Arial" w:hAnsi="Arial" w:cs="Arial"/>
          <w:szCs w:val="22"/>
        </w:rPr>
      </w:pPr>
      <w:r w:rsidRPr="00616B9B">
        <w:rPr>
          <w:rFonts w:ascii="Arial" w:hAnsi="Arial" w:cs="Arial"/>
          <w:szCs w:val="22"/>
        </w:rPr>
        <w:t xml:space="preserve">Q1: </w:t>
      </w:r>
      <w:r w:rsidRPr="00616B9B">
        <w:rPr>
          <w:rFonts w:ascii="Arial" w:hAnsi="Arial" w:cs="Arial"/>
          <w:szCs w:val="22"/>
        </w:rPr>
        <w:tab/>
        <w:t xml:space="preserve">What are your views on the proposed basis for the cash penalty calculation? </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&lt;ESMA_QUESTION_TA_CSDR_1&gt;</w:t>
      </w:r>
    </w:p>
    <w:p w:rsidR="00072B7C" w:rsidRPr="003E3F01" w:rsidRDefault="00072B7C" w:rsidP="00072B7C">
      <w:pPr>
        <w:pStyle w:val="Default"/>
        <w:spacing w:line="276" w:lineRule="auto"/>
        <w:jc w:val="both"/>
        <w:rPr>
          <w:rFonts w:ascii="Arial" w:hAnsi="Arial" w:cs="Arial"/>
          <w:bCs/>
          <w:color w:val="auto"/>
          <w:sz w:val="22"/>
          <w:szCs w:val="22"/>
          <w:lang w:val="en-US"/>
        </w:rPr>
      </w:pPr>
      <w:permStart w:id="821186939" w:edGrp="everyone"/>
      <w:r w:rsidRPr="003E3F01">
        <w:rPr>
          <w:rFonts w:ascii="Arial" w:hAnsi="Arial" w:cs="Arial"/>
          <w:bCs/>
          <w:color w:val="auto"/>
          <w:sz w:val="22"/>
          <w:szCs w:val="22"/>
          <w:lang w:val="en-US"/>
        </w:rPr>
        <w:t xml:space="preserve">In our opinion the basis for the cash penalty calculation should be the same for </w:t>
      </w:r>
      <w:r w:rsidR="00FE6CEA">
        <w:rPr>
          <w:rFonts w:ascii="Arial" w:hAnsi="Arial" w:cs="Arial"/>
          <w:bCs/>
          <w:color w:val="auto"/>
          <w:sz w:val="22"/>
          <w:szCs w:val="22"/>
          <w:lang w:val="en-US"/>
        </w:rPr>
        <w:t>all the instru</w:t>
      </w:r>
      <w:r w:rsidR="00FE6CEA">
        <w:rPr>
          <w:rFonts w:ascii="Arial" w:hAnsi="Arial" w:cs="Arial"/>
          <w:bCs/>
          <w:color w:val="auto"/>
          <w:sz w:val="22"/>
          <w:szCs w:val="22"/>
          <w:lang w:val="en-US"/>
        </w:rPr>
        <w:t>c</w:t>
      </w:r>
      <w:r w:rsidR="00FE6CEA">
        <w:rPr>
          <w:rFonts w:ascii="Arial" w:hAnsi="Arial" w:cs="Arial"/>
          <w:bCs/>
          <w:color w:val="auto"/>
          <w:sz w:val="22"/>
          <w:szCs w:val="22"/>
          <w:lang w:val="en-US"/>
        </w:rPr>
        <w:t xml:space="preserve">tions </w:t>
      </w:r>
      <w:r w:rsidRPr="003E3F01">
        <w:rPr>
          <w:rFonts w:ascii="Arial" w:hAnsi="Arial" w:cs="Arial"/>
          <w:bCs/>
          <w:color w:val="auto"/>
          <w:sz w:val="22"/>
          <w:szCs w:val="22"/>
          <w:lang w:val="en-US"/>
        </w:rPr>
        <w:t>o</w:t>
      </w:r>
      <w:r w:rsidR="00FE6CEA">
        <w:rPr>
          <w:rFonts w:ascii="Arial" w:hAnsi="Arial" w:cs="Arial"/>
          <w:bCs/>
          <w:color w:val="auto"/>
          <w:sz w:val="22"/>
          <w:szCs w:val="22"/>
          <w:lang w:val="en-US"/>
        </w:rPr>
        <w:t>n the same</w:t>
      </w:r>
      <w:r w:rsidRPr="003E3F01">
        <w:rPr>
          <w:rFonts w:ascii="Arial" w:hAnsi="Arial" w:cs="Arial"/>
          <w:bCs/>
          <w:color w:val="auto"/>
          <w:sz w:val="22"/>
          <w:szCs w:val="22"/>
          <w:lang w:val="en-US"/>
        </w:rPr>
        <w:t xml:space="preserve"> financial instruments which are failed to be delivered on a given ISD day. The value of the instruction that fails to settle should be calibrated not on the price </w:t>
      </w:r>
      <w:r w:rsidR="00FE6CEA">
        <w:rPr>
          <w:rFonts w:ascii="Arial" w:hAnsi="Arial" w:cs="Arial"/>
          <w:bCs/>
          <w:color w:val="auto"/>
          <w:sz w:val="22"/>
          <w:szCs w:val="22"/>
          <w:lang w:val="en-US"/>
        </w:rPr>
        <w:t>used in</w:t>
      </w:r>
      <w:r w:rsidRPr="003E3F01">
        <w:rPr>
          <w:rFonts w:ascii="Arial" w:hAnsi="Arial" w:cs="Arial"/>
          <w:bCs/>
          <w:color w:val="auto"/>
          <w:sz w:val="22"/>
          <w:szCs w:val="22"/>
          <w:lang w:val="en-US"/>
        </w:rPr>
        <w:t xml:space="preserve"> the speci</w:t>
      </w:r>
      <w:r w:rsidRPr="003E3F01">
        <w:rPr>
          <w:rFonts w:ascii="Arial" w:hAnsi="Arial" w:cs="Arial"/>
          <w:bCs/>
          <w:color w:val="auto"/>
          <w:sz w:val="22"/>
          <w:szCs w:val="22"/>
          <w:lang w:val="en-US"/>
        </w:rPr>
        <w:t>f</w:t>
      </w:r>
      <w:r w:rsidRPr="003E3F01">
        <w:rPr>
          <w:rFonts w:ascii="Arial" w:hAnsi="Arial" w:cs="Arial"/>
          <w:bCs/>
          <w:color w:val="auto"/>
          <w:sz w:val="22"/>
          <w:szCs w:val="22"/>
          <w:lang w:val="en-US"/>
        </w:rPr>
        <w:t>ic instru</w:t>
      </w:r>
      <w:r w:rsidRPr="003E3F01">
        <w:rPr>
          <w:rFonts w:ascii="Arial" w:hAnsi="Arial" w:cs="Arial"/>
          <w:bCs/>
          <w:color w:val="auto"/>
          <w:sz w:val="22"/>
          <w:szCs w:val="22"/>
          <w:lang w:val="en-US"/>
        </w:rPr>
        <w:t>c</w:t>
      </w:r>
      <w:r w:rsidRPr="003E3F01">
        <w:rPr>
          <w:rFonts w:ascii="Arial" w:hAnsi="Arial" w:cs="Arial"/>
          <w:bCs/>
          <w:color w:val="auto"/>
          <w:sz w:val="22"/>
          <w:szCs w:val="22"/>
          <w:lang w:val="en-US"/>
        </w:rPr>
        <w:t xml:space="preserve">tion that is failing, but on a reference price of the instrument involved. </w:t>
      </w:r>
    </w:p>
    <w:p w:rsidR="00072B7C" w:rsidRPr="003E3F01" w:rsidRDefault="00072B7C" w:rsidP="00072B7C">
      <w:pPr>
        <w:pStyle w:val="Default"/>
        <w:spacing w:line="276" w:lineRule="auto"/>
        <w:jc w:val="both"/>
        <w:rPr>
          <w:rFonts w:ascii="Arial" w:hAnsi="Arial" w:cs="Arial"/>
          <w:bCs/>
          <w:color w:val="auto"/>
          <w:sz w:val="22"/>
          <w:szCs w:val="22"/>
          <w:lang w:val="en-US"/>
        </w:rPr>
      </w:pPr>
      <w:r w:rsidRPr="003E3F01">
        <w:rPr>
          <w:rFonts w:ascii="Arial" w:hAnsi="Arial" w:cs="Arial"/>
          <w:bCs/>
          <w:color w:val="auto"/>
          <w:sz w:val="22"/>
          <w:szCs w:val="22"/>
          <w:lang w:val="en-US"/>
        </w:rPr>
        <w:t>In case of partial settlement in our opinion the penalty should be always applicable to the failing part of settlement instruction</w:t>
      </w:r>
      <w:r w:rsidR="00FE6CEA">
        <w:rPr>
          <w:rFonts w:ascii="Arial" w:hAnsi="Arial" w:cs="Arial"/>
          <w:bCs/>
          <w:color w:val="auto"/>
          <w:sz w:val="22"/>
          <w:szCs w:val="22"/>
          <w:lang w:val="en-US"/>
        </w:rPr>
        <w:t>,</w:t>
      </w:r>
      <w:r w:rsidRPr="003E3F01">
        <w:rPr>
          <w:rFonts w:ascii="Arial" w:hAnsi="Arial" w:cs="Arial"/>
          <w:bCs/>
          <w:color w:val="auto"/>
          <w:sz w:val="22"/>
          <w:szCs w:val="22"/>
          <w:lang w:val="en-US"/>
        </w:rPr>
        <w:t xml:space="preserve"> irrespective of the fact that the impossibility to settle </w:t>
      </w:r>
      <w:r w:rsidR="00FE6CEA" w:rsidRPr="003E3F01">
        <w:rPr>
          <w:rFonts w:ascii="Arial" w:hAnsi="Arial" w:cs="Arial"/>
          <w:bCs/>
          <w:color w:val="auto"/>
          <w:sz w:val="22"/>
          <w:szCs w:val="22"/>
          <w:lang w:val="en-US"/>
        </w:rPr>
        <w:t>partial</w:t>
      </w:r>
      <w:r w:rsidR="00FE6CEA">
        <w:rPr>
          <w:rFonts w:ascii="Arial" w:hAnsi="Arial" w:cs="Arial"/>
          <w:bCs/>
          <w:color w:val="auto"/>
          <w:sz w:val="22"/>
          <w:szCs w:val="22"/>
          <w:lang w:val="en-US"/>
        </w:rPr>
        <w:t>ly</w:t>
      </w:r>
      <w:r w:rsidR="00FE6CEA" w:rsidRPr="003E3F01">
        <w:rPr>
          <w:rFonts w:ascii="Arial" w:hAnsi="Arial" w:cs="Arial"/>
          <w:bCs/>
          <w:color w:val="auto"/>
          <w:sz w:val="22"/>
          <w:szCs w:val="22"/>
          <w:lang w:val="en-US"/>
        </w:rPr>
        <w:t xml:space="preserve"> </w:t>
      </w:r>
      <w:r w:rsidRPr="003E3F01">
        <w:rPr>
          <w:rFonts w:ascii="Arial" w:hAnsi="Arial" w:cs="Arial"/>
          <w:bCs/>
          <w:color w:val="auto"/>
          <w:sz w:val="22"/>
          <w:szCs w:val="22"/>
          <w:lang w:val="en-US"/>
        </w:rPr>
        <w:t>is due to the choice of the receiving or delivering participant. The other approach is not appropriate and costly.</w:t>
      </w:r>
    </w:p>
    <w:permEnd w:id="821186939"/>
    <w:p w:rsidR="00A35728" w:rsidRDefault="00A35728" w:rsidP="00A35728">
      <w:pPr>
        <w:rPr>
          <w:rFonts w:ascii="Arial" w:hAnsi="Arial" w:cs="Arial"/>
          <w:sz w:val="22"/>
          <w:szCs w:val="22"/>
        </w:rPr>
      </w:pPr>
      <w:r w:rsidRPr="00616B9B">
        <w:rPr>
          <w:rFonts w:ascii="Arial" w:hAnsi="Arial" w:cs="Arial"/>
          <w:sz w:val="22"/>
          <w:szCs w:val="22"/>
        </w:rPr>
        <w:t>&lt;ESMA_QUESTION_TA_CSDR_1&gt;</w:t>
      </w:r>
    </w:p>
    <w:p w:rsidR="00682E4A" w:rsidRPr="00616B9B" w:rsidRDefault="00682E4A"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Q2:</w:t>
      </w:r>
      <w:r w:rsidRPr="00616B9B">
        <w:rPr>
          <w:rFonts w:ascii="Arial" w:hAnsi="Arial" w:cs="Arial"/>
          <w:szCs w:val="22"/>
        </w:rPr>
        <w:tab/>
        <w:t>What are your views on the proposed approach regarding the categories of fina</w:t>
      </w:r>
      <w:r w:rsidRPr="00616B9B">
        <w:rPr>
          <w:rFonts w:ascii="Arial" w:hAnsi="Arial" w:cs="Arial"/>
          <w:szCs w:val="22"/>
        </w:rPr>
        <w:t>n</w:t>
      </w:r>
      <w:r w:rsidRPr="00616B9B">
        <w:rPr>
          <w:rFonts w:ascii="Arial" w:hAnsi="Arial" w:cs="Arial"/>
          <w:szCs w:val="22"/>
        </w:rPr>
        <w:t>cial instruments and the penalty rates?</w:t>
      </w:r>
      <w:r w:rsidR="006F08DC" w:rsidRPr="00616B9B">
        <w:rPr>
          <w:rFonts w:ascii="Arial" w:hAnsi="Arial" w:cs="Arial"/>
          <w:szCs w:val="22"/>
        </w:rPr>
        <w:t xml:space="preserve"> In particular, do you consider that these penalty rates could dis-incentivise trading in small caps? Please provide evidence to support your views.</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&lt;ESMA_QUESTION_TA_CSDR_2&gt;</w:t>
      </w:r>
    </w:p>
    <w:p w:rsidR="00072B7C" w:rsidRPr="003E3F01" w:rsidRDefault="00072B7C" w:rsidP="00072B7C">
      <w:pPr>
        <w:pStyle w:val="Default"/>
        <w:spacing w:line="276" w:lineRule="auto"/>
        <w:rPr>
          <w:rFonts w:ascii="Arial" w:hAnsi="Arial" w:cs="Arial"/>
          <w:bCs/>
          <w:color w:val="auto"/>
          <w:sz w:val="22"/>
          <w:szCs w:val="22"/>
          <w:lang w:val="en-US"/>
        </w:rPr>
      </w:pPr>
      <w:permStart w:id="948403102" w:edGrp="everyone"/>
      <w:r w:rsidRPr="003E3F01">
        <w:rPr>
          <w:rFonts w:ascii="Arial" w:hAnsi="Arial" w:cs="Arial"/>
          <w:bCs/>
          <w:color w:val="auto"/>
          <w:sz w:val="22"/>
          <w:szCs w:val="22"/>
          <w:lang w:val="en-US"/>
        </w:rPr>
        <w:t xml:space="preserve">In our opinion the penalty rate should be considered </w:t>
      </w:r>
      <w:r w:rsidR="005343C1">
        <w:rPr>
          <w:rFonts w:ascii="Arial" w:hAnsi="Arial" w:cs="Arial"/>
          <w:bCs/>
          <w:color w:val="auto"/>
          <w:sz w:val="22"/>
          <w:szCs w:val="22"/>
          <w:lang w:val="en-US"/>
        </w:rPr>
        <w:t xml:space="preserve">on the basis of </w:t>
      </w:r>
      <w:r w:rsidRPr="003E3F01">
        <w:rPr>
          <w:rFonts w:ascii="Arial" w:hAnsi="Arial" w:cs="Arial"/>
          <w:bCs/>
          <w:color w:val="auto"/>
          <w:sz w:val="22"/>
          <w:szCs w:val="22"/>
          <w:lang w:val="en-US"/>
        </w:rPr>
        <w:t>the asset type/liquidity. We agree with the proposal to limit the number of categories of rates for automation re</w:t>
      </w:r>
      <w:r w:rsidRPr="003E3F01">
        <w:rPr>
          <w:rFonts w:ascii="Arial" w:hAnsi="Arial" w:cs="Arial"/>
          <w:bCs/>
          <w:color w:val="auto"/>
          <w:sz w:val="22"/>
          <w:szCs w:val="22"/>
          <w:lang w:val="en-US"/>
        </w:rPr>
        <w:t>a</w:t>
      </w:r>
      <w:r w:rsidRPr="003E3F01">
        <w:rPr>
          <w:rFonts w:ascii="Arial" w:hAnsi="Arial" w:cs="Arial"/>
          <w:bCs/>
          <w:color w:val="auto"/>
          <w:sz w:val="22"/>
          <w:szCs w:val="22"/>
          <w:lang w:val="en-US"/>
        </w:rPr>
        <w:t xml:space="preserve">sons and </w:t>
      </w:r>
      <w:r w:rsidR="005343C1">
        <w:rPr>
          <w:rFonts w:ascii="Arial" w:hAnsi="Arial" w:cs="Arial"/>
          <w:bCs/>
          <w:color w:val="auto"/>
          <w:sz w:val="22"/>
          <w:szCs w:val="22"/>
          <w:lang w:val="en-US"/>
        </w:rPr>
        <w:t xml:space="preserve">propose to </w:t>
      </w:r>
      <w:r w:rsidRPr="003E3F01">
        <w:rPr>
          <w:rFonts w:ascii="Arial" w:hAnsi="Arial" w:cs="Arial"/>
          <w:bCs/>
          <w:color w:val="auto"/>
          <w:sz w:val="22"/>
          <w:szCs w:val="22"/>
          <w:lang w:val="en-US"/>
        </w:rPr>
        <w:t xml:space="preserve">specify </w:t>
      </w:r>
      <w:r w:rsidR="005343C1">
        <w:rPr>
          <w:rFonts w:ascii="Arial" w:hAnsi="Arial" w:cs="Arial"/>
          <w:bCs/>
          <w:color w:val="auto"/>
          <w:sz w:val="22"/>
          <w:szCs w:val="22"/>
          <w:lang w:val="en-US"/>
        </w:rPr>
        <w:t xml:space="preserve">the </w:t>
      </w:r>
      <w:r w:rsidRPr="003E3F01">
        <w:rPr>
          <w:rFonts w:ascii="Arial" w:hAnsi="Arial" w:cs="Arial"/>
          <w:bCs/>
          <w:color w:val="auto"/>
          <w:sz w:val="22"/>
          <w:szCs w:val="22"/>
          <w:lang w:val="en-US"/>
        </w:rPr>
        <w:t xml:space="preserve">following asset classes: </w:t>
      </w:r>
    </w:p>
    <w:p w:rsidR="00072B7C" w:rsidRPr="003E3F01" w:rsidRDefault="00072B7C" w:rsidP="00072B7C">
      <w:pPr>
        <w:pStyle w:val="Default"/>
        <w:numPr>
          <w:ilvl w:val="0"/>
          <w:numId w:val="42"/>
        </w:numPr>
        <w:spacing w:line="276" w:lineRule="auto"/>
        <w:rPr>
          <w:rFonts w:ascii="Arial" w:hAnsi="Arial" w:cs="Arial"/>
          <w:bCs/>
          <w:color w:val="auto"/>
          <w:sz w:val="22"/>
          <w:szCs w:val="22"/>
          <w:lang w:val="en-US"/>
        </w:rPr>
      </w:pPr>
      <w:r w:rsidRPr="003E3F01">
        <w:rPr>
          <w:rFonts w:ascii="Arial" w:hAnsi="Arial" w:cs="Arial"/>
          <w:bCs/>
          <w:color w:val="auto"/>
          <w:sz w:val="22"/>
          <w:szCs w:val="22"/>
          <w:lang w:val="en-US"/>
        </w:rPr>
        <w:t>equities and others,</w:t>
      </w:r>
    </w:p>
    <w:p w:rsidR="00072B7C" w:rsidRPr="003E3F01" w:rsidRDefault="00072B7C" w:rsidP="00072B7C">
      <w:pPr>
        <w:pStyle w:val="Default"/>
        <w:numPr>
          <w:ilvl w:val="0"/>
          <w:numId w:val="42"/>
        </w:numPr>
        <w:spacing w:line="276" w:lineRule="auto"/>
        <w:rPr>
          <w:rFonts w:ascii="Arial" w:hAnsi="Arial" w:cs="Arial"/>
          <w:bCs/>
          <w:color w:val="auto"/>
          <w:sz w:val="22"/>
          <w:szCs w:val="22"/>
          <w:lang w:val="en-US"/>
        </w:rPr>
      </w:pPr>
      <w:r w:rsidRPr="003E3F01">
        <w:rPr>
          <w:rFonts w:ascii="Arial" w:hAnsi="Arial" w:cs="Arial"/>
          <w:bCs/>
          <w:color w:val="auto"/>
          <w:sz w:val="22"/>
          <w:szCs w:val="22"/>
          <w:lang w:val="en-US"/>
        </w:rPr>
        <w:t>government bonds</w:t>
      </w:r>
    </w:p>
    <w:p w:rsidR="00072B7C" w:rsidRPr="003E3F01" w:rsidRDefault="00072B7C" w:rsidP="00072B7C">
      <w:pPr>
        <w:pStyle w:val="Default"/>
        <w:numPr>
          <w:ilvl w:val="0"/>
          <w:numId w:val="42"/>
        </w:numPr>
        <w:spacing w:line="276" w:lineRule="auto"/>
        <w:rPr>
          <w:rFonts w:ascii="Arial" w:hAnsi="Arial" w:cs="Arial"/>
          <w:bCs/>
          <w:color w:val="auto"/>
          <w:sz w:val="22"/>
          <w:szCs w:val="22"/>
          <w:lang w:val="en-US"/>
        </w:rPr>
      </w:pPr>
      <w:proofErr w:type="gramStart"/>
      <w:r w:rsidRPr="003E3F01">
        <w:rPr>
          <w:rFonts w:ascii="Arial" w:hAnsi="Arial" w:cs="Arial"/>
          <w:bCs/>
          <w:color w:val="auto"/>
          <w:sz w:val="22"/>
          <w:szCs w:val="22"/>
          <w:lang w:val="en-US"/>
        </w:rPr>
        <w:t>corporate</w:t>
      </w:r>
      <w:proofErr w:type="gramEnd"/>
      <w:r w:rsidRPr="003E3F01">
        <w:rPr>
          <w:rFonts w:ascii="Arial" w:hAnsi="Arial" w:cs="Arial"/>
          <w:bCs/>
          <w:color w:val="auto"/>
          <w:sz w:val="22"/>
          <w:szCs w:val="22"/>
          <w:lang w:val="en-US"/>
        </w:rPr>
        <w:t xml:space="preserve"> bonds. </w:t>
      </w:r>
    </w:p>
    <w:p w:rsidR="00072B7C" w:rsidRDefault="00072B7C" w:rsidP="00072B7C">
      <w:pPr>
        <w:pStyle w:val="Default"/>
        <w:spacing w:line="276" w:lineRule="auto"/>
        <w:jc w:val="both"/>
        <w:rPr>
          <w:rFonts w:ascii="Arial" w:hAnsi="Arial" w:cs="Arial"/>
          <w:bCs/>
          <w:color w:val="auto"/>
          <w:sz w:val="22"/>
          <w:szCs w:val="22"/>
          <w:lang w:val="en-US"/>
        </w:rPr>
      </w:pPr>
      <w:r w:rsidRPr="003E3F01">
        <w:rPr>
          <w:rFonts w:ascii="Arial" w:hAnsi="Arial" w:cs="Arial"/>
          <w:bCs/>
          <w:color w:val="auto"/>
          <w:sz w:val="22"/>
          <w:szCs w:val="22"/>
          <w:lang w:val="en-US"/>
        </w:rPr>
        <w:t xml:space="preserve">However in our opinion the size of transaction is not a key issue, because the penalty rate is proportional. </w:t>
      </w:r>
      <w:r w:rsidR="005343C1">
        <w:rPr>
          <w:rFonts w:ascii="Arial" w:hAnsi="Arial" w:cs="Arial"/>
          <w:bCs/>
          <w:color w:val="auto"/>
          <w:sz w:val="22"/>
          <w:szCs w:val="22"/>
          <w:lang w:val="en-US"/>
        </w:rPr>
        <w:t>Moreover, i</w:t>
      </w:r>
      <w:r w:rsidRPr="003E3F01">
        <w:rPr>
          <w:rFonts w:ascii="Arial" w:hAnsi="Arial" w:cs="Arial"/>
          <w:bCs/>
          <w:color w:val="auto"/>
          <w:sz w:val="22"/>
          <w:szCs w:val="22"/>
          <w:lang w:val="en-US"/>
        </w:rPr>
        <w:t>n order to facilitate and simplify the calculation of penalties, the daily cash pena</w:t>
      </w:r>
      <w:r w:rsidRPr="003E3F01">
        <w:rPr>
          <w:rFonts w:ascii="Arial" w:hAnsi="Arial" w:cs="Arial"/>
          <w:bCs/>
          <w:color w:val="auto"/>
          <w:sz w:val="22"/>
          <w:szCs w:val="22"/>
          <w:lang w:val="en-US"/>
        </w:rPr>
        <w:t>l</w:t>
      </w:r>
      <w:r w:rsidRPr="003E3F01">
        <w:rPr>
          <w:rFonts w:ascii="Arial" w:hAnsi="Arial" w:cs="Arial"/>
          <w:bCs/>
          <w:color w:val="auto"/>
          <w:sz w:val="22"/>
          <w:szCs w:val="22"/>
          <w:lang w:val="en-US"/>
        </w:rPr>
        <w:t xml:space="preserve">ty rate related to settlement instructions that fail to settle on ISD should be the same in the case of lack of cash and lack of securities. </w:t>
      </w:r>
    </w:p>
    <w:p w:rsidR="00072B7C" w:rsidRPr="003E3F01" w:rsidRDefault="005343C1" w:rsidP="00072B7C">
      <w:pPr>
        <w:pStyle w:val="Default"/>
        <w:spacing w:line="276" w:lineRule="auto"/>
        <w:jc w:val="both"/>
        <w:rPr>
          <w:rFonts w:ascii="Arial" w:hAnsi="Arial" w:cs="Arial"/>
          <w:bCs/>
          <w:color w:val="auto"/>
          <w:sz w:val="22"/>
          <w:szCs w:val="22"/>
          <w:lang w:val="en-US"/>
        </w:rPr>
      </w:pPr>
      <w:r>
        <w:rPr>
          <w:rFonts w:ascii="Arial" w:hAnsi="Arial" w:cs="Arial"/>
          <w:bCs/>
          <w:color w:val="auto"/>
          <w:sz w:val="22"/>
          <w:szCs w:val="22"/>
          <w:lang w:val="en-US"/>
        </w:rPr>
        <w:t>The p</w:t>
      </w:r>
      <w:r w:rsidR="00072B7C" w:rsidRPr="00072B7C">
        <w:rPr>
          <w:rFonts w:ascii="Arial" w:hAnsi="Arial" w:cs="Arial"/>
          <w:bCs/>
          <w:color w:val="auto"/>
          <w:sz w:val="22"/>
          <w:szCs w:val="22"/>
          <w:lang w:val="en-US"/>
        </w:rPr>
        <w:t>roposed settlement penalty rates do not take into account diversity of European securities ma</w:t>
      </w:r>
      <w:r w:rsidR="00072B7C" w:rsidRPr="00072B7C">
        <w:rPr>
          <w:rFonts w:ascii="Arial" w:hAnsi="Arial" w:cs="Arial"/>
          <w:bCs/>
          <w:color w:val="auto"/>
          <w:sz w:val="22"/>
          <w:szCs w:val="22"/>
          <w:lang w:val="en-US"/>
        </w:rPr>
        <w:t>r</w:t>
      </w:r>
      <w:r w:rsidR="00072B7C" w:rsidRPr="00072B7C">
        <w:rPr>
          <w:rFonts w:ascii="Arial" w:hAnsi="Arial" w:cs="Arial"/>
          <w:bCs/>
          <w:color w:val="auto"/>
          <w:sz w:val="22"/>
          <w:szCs w:val="22"/>
          <w:lang w:val="en-US"/>
        </w:rPr>
        <w:t xml:space="preserve">kets and they do not refer (in every market) to real costs of securities lending concluded to liquidate settlement fail. It is necessary to remember </w:t>
      </w:r>
      <w:r>
        <w:rPr>
          <w:rFonts w:ascii="Arial" w:hAnsi="Arial" w:cs="Arial"/>
          <w:bCs/>
          <w:color w:val="auto"/>
          <w:sz w:val="22"/>
          <w:szCs w:val="22"/>
          <w:lang w:val="en-US"/>
        </w:rPr>
        <w:t>the</w:t>
      </w:r>
      <w:r w:rsidR="00072B7C" w:rsidRPr="00072B7C">
        <w:rPr>
          <w:rFonts w:ascii="Arial" w:hAnsi="Arial" w:cs="Arial"/>
          <w:bCs/>
          <w:color w:val="auto"/>
          <w:sz w:val="22"/>
          <w:szCs w:val="22"/>
          <w:lang w:val="en-US"/>
        </w:rPr>
        <w:t xml:space="preserve"> very important </w:t>
      </w:r>
      <w:r>
        <w:rPr>
          <w:rFonts w:ascii="Arial" w:hAnsi="Arial" w:cs="Arial"/>
          <w:bCs/>
          <w:color w:val="auto"/>
          <w:sz w:val="22"/>
          <w:szCs w:val="22"/>
          <w:lang w:val="en-US"/>
        </w:rPr>
        <w:t>factor, which are the</w:t>
      </w:r>
      <w:r w:rsidR="00072B7C" w:rsidRPr="00072B7C">
        <w:rPr>
          <w:rFonts w:ascii="Arial" w:hAnsi="Arial" w:cs="Arial"/>
          <w:bCs/>
          <w:color w:val="auto"/>
          <w:sz w:val="22"/>
          <w:szCs w:val="22"/>
          <w:lang w:val="en-US"/>
        </w:rPr>
        <w:t xml:space="preserve"> securities len</w:t>
      </w:r>
      <w:r w:rsidR="00072B7C" w:rsidRPr="00072B7C">
        <w:rPr>
          <w:rFonts w:ascii="Arial" w:hAnsi="Arial" w:cs="Arial"/>
          <w:bCs/>
          <w:color w:val="auto"/>
          <w:sz w:val="22"/>
          <w:szCs w:val="22"/>
          <w:lang w:val="en-US"/>
        </w:rPr>
        <w:t>d</w:t>
      </w:r>
      <w:r w:rsidR="00072B7C" w:rsidRPr="00072B7C">
        <w:rPr>
          <w:rFonts w:ascii="Arial" w:hAnsi="Arial" w:cs="Arial"/>
          <w:bCs/>
          <w:color w:val="auto"/>
          <w:sz w:val="22"/>
          <w:szCs w:val="22"/>
          <w:lang w:val="en-US"/>
        </w:rPr>
        <w:t>ing costs</w:t>
      </w:r>
      <w:r>
        <w:rPr>
          <w:rFonts w:ascii="Arial" w:hAnsi="Arial" w:cs="Arial"/>
          <w:bCs/>
          <w:color w:val="auto"/>
          <w:sz w:val="22"/>
          <w:szCs w:val="22"/>
          <w:lang w:val="en-US"/>
        </w:rPr>
        <w:t>.</w:t>
      </w:r>
      <w:r w:rsidR="00072B7C" w:rsidRPr="00072B7C">
        <w:rPr>
          <w:rFonts w:ascii="Arial" w:hAnsi="Arial" w:cs="Arial"/>
          <w:bCs/>
          <w:color w:val="auto"/>
          <w:sz w:val="22"/>
          <w:szCs w:val="22"/>
          <w:lang w:val="en-US"/>
        </w:rPr>
        <w:t xml:space="preserve"> </w:t>
      </w:r>
      <w:r>
        <w:rPr>
          <w:rFonts w:ascii="Arial" w:hAnsi="Arial" w:cs="Arial"/>
          <w:bCs/>
          <w:color w:val="auto"/>
          <w:sz w:val="22"/>
          <w:szCs w:val="22"/>
          <w:lang w:val="en-US"/>
        </w:rPr>
        <w:t xml:space="preserve">The </w:t>
      </w:r>
      <w:r w:rsidR="00072B7C" w:rsidRPr="00072B7C">
        <w:rPr>
          <w:rFonts w:ascii="Arial" w:hAnsi="Arial" w:cs="Arial"/>
          <w:bCs/>
          <w:color w:val="auto"/>
          <w:sz w:val="22"/>
          <w:szCs w:val="22"/>
          <w:lang w:val="en-US"/>
        </w:rPr>
        <w:t xml:space="preserve">fee for securities lending supplier should be higher in case of </w:t>
      </w:r>
      <w:r>
        <w:rPr>
          <w:rFonts w:ascii="Arial" w:hAnsi="Arial" w:cs="Arial"/>
          <w:bCs/>
          <w:color w:val="auto"/>
          <w:sz w:val="22"/>
          <w:szCs w:val="22"/>
          <w:lang w:val="en-US"/>
        </w:rPr>
        <w:t xml:space="preserve">the </w:t>
      </w:r>
      <w:r w:rsidR="00072B7C" w:rsidRPr="00072B7C">
        <w:rPr>
          <w:rFonts w:ascii="Arial" w:hAnsi="Arial" w:cs="Arial"/>
          <w:bCs/>
          <w:color w:val="auto"/>
          <w:sz w:val="22"/>
          <w:szCs w:val="22"/>
          <w:lang w:val="en-US"/>
        </w:rPr>
        <w:t>“last resort” securities lending than in case of market securities lending</w:t>
      </w:r>
      <w:r>
        <w:rPr>
          <w:rFonts w:ascii="Arial" w:hAnsi="Arial" w:cs="Arial"/>
          <w:bCs/>
          <w:color w:val="auto"/>
          <w:sz w:val="22"/>
          <w:szCs w:val="22"/>
          <w:lang w:val="en-US"/>
        </w:rPr>
        <w:t>, but</w:t>
      </w:r>
      <w:r w:rsidR="00072B7C" w:rsidRPr="00072B7C">
        <w:rPr>
          <w:rFonts w:ascii="Arial" w:hAnsi="Arial" w:cs="Arial"/>
          <w:bCs/>
          <w:color w:val="auto"/>
          <w:sz w:val="22"/>
          <w:szCs w:val="22"/>
          <w:lang w:val="en-US"/>
        </w:rPr>
        <w:t xml:space="preserve"> lower than settl</w:t>
      </w:r>
      <w:r w:rsidR="00072B7C" w:rsidRPr="00072B7C">
        <w:rPr>
          <w:rFonts w:ascii="Arial" w:hAnsi="Arial" w:cs="Arial"/>
          <w:bCs/>
          <w:color w:val="auto"/>
          <w:sz w:val="22"/>
          <w:szCs w:val="22"/>
          <w:lang w:val="en-US"/>
        </w:rPr>
        <w:t>e</w:t>
      </w:r>
      <w:r w:rsidR="00072B7C" w:rsidRPr="00072B7C">
        <w:rPr>
          <w:rFonts w:ascii="Arial" w:hAnsi="Arial" w:cs="Arial"/>
          <w:bCs/>
          <w:color w:val="auto"/>
          <w:sz w:val="22"/>
          <w:szCs w:val="22"/>
          <w:lang w:val="en-US"/>
        </w:rPr>
        <w:t>ment penalty rates for settlement fail on ISD.  Moreover</w:t>
      </w:r>
      <w:r>
        <w:rPr>
          <w:rFonts w:ascii="Arial" w:hAnsi="Arial" w:cs="Arial"/>
          <w:bCs/>
          <w:color w:val="auto"/>
          <w:sz w:val="22"/>
          <w:szCs w:val="22"/>
          <w:lang w:val="en-US"/>
        </w:rPr>
        <w:t>,</w:t>
      </w:r>
      <w:r w:rsidR="00072B7C" w:rsidRPr="00072B7C">
        <w:rPr>
          <w:rFonts w:ascii="Arial" w:hAnsi="Arial" w:cs="Arial"/>
          <w:bCs/>
          <w:color w:val="auto"/>
          <w:sz w:val="22"/>
          <w:szCs w:val="22"/>
          <w:lang w:val="en-US"/>
        </w:rPr>
        <w:t xml:space="preserve"> the fee</w:t>
      </w:r>
      <w:r>
        <w:rPr>
          <w:rFonts w:ascii="Arial" w:hAnsi="Arial" w:cs="Arial"/>
          <w:bCs/>
          <w:color w:val="auto"/>
          <w:sz w:val="22"/>
          <w:szCs w:val="22"/>
          <w:lang w:val="en-US"/>
        </w:rPr>
        <w:t>s</w:t>
      </w:r>
      <w:r w:rsidR="00072B7C" w:rsidRPr="00072B7C">
        <w:rPr>
          <w:rFonts w:ascii="Arial" w:hAnsi="Arial" w:cs="Arial"/>
          <w:bCs/>
          <w:color w:val="auto"/>
          <w:sz w:val="22"/>
          <w:szCs w:val="22"/>
          <w:lang w:val="en-US"/>
        </w:rPr>
        <w:t xml:space="preserve"> for securities lending supplier may depend on the type of assets which are used as collateral and the way the supplier may use it. Therefore in our opinion the settlement penalty rates </w:t>
      </w:r>
      <w:r w:rsidRPr="00072B7C">
        <w:rPr>
          <w:rFonts w:ascii="Arial" w:hAnsi="Arial" w:cs="Arial"/>
          <w:bCs/>
          <w:color w:val="auto"/>
          <w:sz w:val="22"/>
          <w:szCs w:val="22"/>
          <w:lang w:val="en-US"/>
        </w:rPr>
        <w:t>proposed</w:t>
      </w:r>
      <w:r w:rsidRPr="00072B7C">
        <w:rPr>
          <w:rFonts w:ascii="Arial" w:hAnsi="Arial" w:cs="Arial"/>
          <w:bCs/>
          <w:color w:val="auto"/>
          <w:sz w:val="22"/>
          <w:szCs w:val="22"/>
          <w:lang w:val="en-US"/>
        </w:rPr>
        <w:t xml:space="preserve"> </w:t>
      </w:r>
      <w:r>
        <w:rPr>
          <w:rFonts w:ascii="Arial" w:hAnsi="Arial" w:cs="Arial"/>
          <w:bCs/>
          <w:color w:val="auto"/>
          <w:sz w:val="22"/>
          <w:szCs w:val="22"/>
          <w:lang w:val="en-US"/>
        </w:rPr>
        <w:t>in the Technical A</w:t>
      </w:r>
      <w:r>
        <w:rPr>
          <w:rFonts w:ascii="Arial" w:hAnsi="Arial" w:cs="Arial"/>
          <w:bCs/>
          <w:color w:val="auto"/>
          <w:sz w:val="22"/>
          <w:szCs w:val="22"/>
          <w:lang w:val="en-US"/>
        </w:rPr>
        <w:t>d</w:t>
      </w:r>
      <w:r>
        <w:rPr>
          <w:rFonts w:ascii="Arial" w:hAnsi="Arial" w:cs="Arial"/>
          <w:bCs/>
          <w:color w:val="auto"/>
          <w:sz w:val="22"/>
          <w:szCs w:val="22"/>
          <w:lang w:val="en-US"/>
        </w:rPr>
        <w:t xml:space="preserve">vice </w:t>
      </w:r>
      <w:r w:rsidR="00072B7C" w:rsidRPr="00072B7C">
        <w:rPr>
          <w:rFonts w:ascii="Arial" w:hAnsi="Arial" w:cs="Arial"/>
          <w:bCs/>
          <w:color w:val="auto"/>
          <w:sz w:val="22"/>
          <w:szCs w:val="22"/>
          <w:lang w:val="en-US"/>
        </w:rPr>
        <w:t xml:space="preserve">may </w:t>
      </w:r>
      <w:r>
        <w:rPr>
          <w:rFonts w:ascii="Arial" w:hAnsi="Arial" w:cs="Arial"/>
          <w:bCs/>
          <w:color w:val="auto"/>
          <w:sz w:val="22"/>
          <w:szCs w:val="22"/>
          <w:lang w:val="en-US"/>
        </w:rPr>
        <w:t xml:space="preserve">not </w:t>
      </w:r>
      <w:r w:rsidR="00072B7C" w:rsidRPr="00072B7C">
        <w:rPr>
          <w:rFonts w:ascii="Arial" w:hAnsi="Arial" w:cs="Arial"/>
          <w:bCs/>
          <w:color w:val="auto"/>
          <w:sz w:val="22"/>
          <w:szCs w:val="22"/>
          <w:lang w:val="en-US"/>
        </w:rPr>
        <w:t>be found dete</w:t>
      </w:r>
      <w:r w:rsidR="00072B7C" w:rsidRPr="00072B7C">
        <w:rPr>
          <w:rFonts w:ascii="Arial" w:hAnsi="Arial" w:cs="Arial"/>
          <w:bCs/>
          <w:color w:val="auto"/>
          <w:sz w:val="22"/>
          <w:szCs w:val="22"/>
          <w:lang w:val="en-US"/>
        </w:rPr>
        <w:t>r</w:t>
      </w:r>
      <w:r w:rsidR="00072B7C" w:rsidRPr="00072B7C">
        <w:rPr>
          <w:rFonts w:ascii="Arial" w:hAnsi="Arial" w:cs="Arial"/>
          <w:bCs/>
          <w:color w:val="auto"/>
          <w:sz w:val="22"/>
          <w:szCs w:val="22"/>
          <w:lang w:val="en-US"/>
        </w:rPr>
        <w:t>rent on some, especially smaller markets.</w:t>
      </w:r>
    </w:p>
    <w:permEnd w:id="948403102"/>
    <w:p w:rsidR="00A35728" w:rsidRDefault="00A35728" w:rsidP="00A35728">
      <w:pPr>
        <w:rPr>
          <w:rFonts w:ascii="Arial" w:hAnsi="Arial" w:cs="Arial"/>
          <w:sz w:val="22"/>
          <w:szCs w:val="22"/>
        </w:rPr>
      </w:pPr>
      <w:r w:rsidRPr="00F32462">
        <w:rPr>
          <w:rFonts w:ascii="Arial" w:hAnsi="Arial" w:cs="Arial"/>
          <w:sz w:val="22"/>
          <w:szCs w:val="22"/>
        </w:rPr>
        <w:t>&lt;ESMA_QUESTION_TA_CSDR_2&gt;</w:t>
      </w:r>
    </w:p>
    <w:p w:rsidR="00682E4A" w:rsidRPr="00F32462" w:rsidRDefault="00682E4A"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Q3:</w:t>
      </w:r>
      <w:r w:rsidRPr="00616B9B">
        <w:rPr>
          <w:rFonts w:ascii="Arial" w:hAnsi="Arial" w:cs="Arial"/>
          <w:szCs w:val="22"/>
        </w:rPr>
        <w:tab/>
        <w:t>What are your views on the proposed approach regarding the increase and redu</w:t>
      </w:r>
      <w:r w:rsidRPr="00616B9B">
        <w:rPr>
          <w:rFonts w:ascii="Arial" w:hAnsi="Arial" w:cs="Arial"/>
          <w:szCs w:val="22"/>
        </w:rPr>
        <w:t>c</w:t>
      </w:r>
      <w:r w:rsidRPr="00616B9B">
        <w:rPr>
          <w:rFonts w:ascii="Arial" w:hAnsi="Arial" w:cs="Arial"/>
          <w:szCs w:val="22"/>
        </w:rPr>
        <w:t>tion of the basic penalty amount?</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&lt;ESMA_QUESTION_TA_CSDR_3&gt;</w:t>
      </w:r>
    </w:p>
    <w:p w:rsidR="00F77F5A" w:rsidRDefault="00F77F5A" w:rsidP="00A35728">
      <w:pPr>
        <w:rPr>
          <w:rFonts w:ascii="Arial" w:eastAsia="Calibri" w:hAnsi="Arial" w:cs="Arial"/>
          <w:bCs/>
          <w:sz w:val="22"/>
          <w:szCs w:val="22"/>
          <w:lang w:val="en-US" w:eastAsia="en-US"/>
        </w:rPr>
      </w:pPr>
      <w:permStart w:id="1926712838" w:edGrp="everyone"/>
      <w:r w:rsidRPr="00F77F5A">
        <w:rPr>
          <w:rFonts w:ascii="Arial" w:eastAsia="Calibri" w:hAnsi="Arial" w:cs="Arial"/>
          <w:bCs/>
          <w:sz w:val="22"/>
          <w:szCs w:val="22"/>
          <w:lang w:val="en-US" w:eastAsia="en-US"/>
        </w:rPr>
        <w:t>In our opinion the full amount of the collected penalty should be redistributed to the suffering participant. The possibility of a reduction or an increase of the basic penalties would break the balance of the system and make its implementation and management</w:t>
      </w:r>
      <w:r w:rsidR="005343C1" w:rsidRPr="005343C1">
        <w:rPr>
          <w:rFonts w:ascii="Arial" w:eastAsia="Calibri" w:hAnsi="Arial" w:cs="Arial"/>
          <w:bCs/>
          <w:sz w:val="22"/>
          <w:szCs w:val="22"/>
          <w:lang w:val="en-US" w:eastAsia="en-US"/>
        </w:rPr>
        <w:t xml:space="preserve"> </w:t>
      </w:r>
      <w:r w:rsidR="005343C1" w:rsidRPr="00F77F5A">
        <w:rPr>
          <w:rFonts w:ascii="Arial" w:eastAsia="Calibri" w:hAnsi="Arial" w:cs="Arial"/>
          <w:bCs/>
          <w:sz w:val="22"/>
          <w:szCs w:val="22"/>
          <w:lang w:val="en-US" w:eastAsia="en-US"/>
        </w:rPr>
        <w:t>more complex</w:t>
      </w:r>
      <w:r w:rsidRPr="00F77F5A">
        <w:rPr>
          <w:rFonts w:ascii="Arial" w:eastAsia="Calibri" w:hAnsi="Arial" w:cs="Arial"/>
          <w:bCs/>
          <w:sz w:val="22"/>
          <w:szCs w:val="22"/>
          <w:lang w:val="en-US" w:eastAsia="en-US"/>
        </w:rPr>
        <w:t xml:space="preserve">. </w:t>
      </w:r>
    </w:p>
    <w:permEnd w:id="1926712838"/>
    <w:p w:rsidR="00A35728" w:rsidRDefault="00A35728" w:rsidP="00A35728">
      <w:pPr>
        <w:rPr>
          <w:rFonts w:ascii="Arial" w:hAnsi="Arial" w:cs="Arial"/>
          <w:sz w:val="22"/>
          <w:szCs w:val="22"/>
        </w:rPr>
      </w:pPr>
      <w:r w:rsidRPr="00616B9B">
        <w:rPr>
          <w:rFonts w:ascii="Arial" w:hAnsi="Arial" w:cs="Arial"/>
          <w:sz w:val="22"/>
          <w:szCs w:val="22"/>
        </w:rPr>
        <w:t>&lt;ESMA_QUESTION_TA_CSDR_3&gt;</w:t>
      </w:r>
    </w:p>
    <w:p w:rsidR="009A7E2F" w:rsidRPr="00616B9B" w:rsidRDefault="009A7E2F"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Q4:</w:t>
      </w:r>
      <w:r w:rsidRPr="00616B9B">
        <w:rPr>
          <w:rFonts w:ascii="Arial" w:hAnsi="Arial" w:cs="Arial"/>
          <w:szCs w:val="22"/>
        </w:rPr>
        <w:tab/>
        <w:t>What are your views on the proposed approach regarding the cash penalties in the context of chains of interdependent transactions?</w:t>
      </w:r>
      <w:r w:rsidRPr="00616B9B">
        <w:rPr>
          <w:rFonts w:ascii="Arial" w:hAnsi="Arial" w:cs="Arial"/>
          <w:szCs w:val="22"/>
        </w:rPr>
        <w:tab/>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&lt;ESMA_QUESTION_TA_CSDR_4&gt;</w:t>
      </w:r>
    </w:p>
    <w:p w:rsidR="005343C1" w:rsidRDefault="00F77F5A" w:rsidP="00A35728">
      <w:pPr>
        <w:rPr>
          <w:rFonts w:ascii="Arial" w:hAnsi="Arial" w:cs="Arial"/>
          <w:bCs/>
          <w:sz w:val="22"/>
          <w:szCs w:val="22"/>
          <w:lang w:val="en-US"/>
        </w:rPr>
      </w:pPr>
      <w:permStart w:id="334592498" w:edGrp="everyone"/>
      <w:r w:rsidRPr="003E3F01">
        <w:rPr>
          <w:rFonts w:ascii="Arial" w:hAnsi="Arial" w:cs="Arial"/>
          <w:bCs/>
          <w:sz w:val="22"/>
          <w:szCs w:val="22"/>
          <w:lang w:val="en-US"/>
        </w:rPr>
        <w:t xml:space="preserve">We agree with the assumption that the penalty regime should </w:t>
      </w:r>
      <w:proofErr w:type="spellStart"/>
      <w:r w:rsidRPr="003E3F01">
        <w:rPr>
          <w:rFonts w:ascii="Arial" w:hAnsi="Arial" w:cs="Arial"/>
          <w:bCs/>
          <w:sz w:val="22"/>
          <w:szCs w:val="22"/>
          <w:lang w:val="en-US"/>
        </w:rPr>
        <w:t>disincentiv</w:t>
      </w:r>
      <w:r w:rsidR="005343C1">
        <w:rPr>
          <w:rFonts w:ascii="Arial" w:hAnsi="Arial" w:cs="Arial"/>
          <w:bCs/>
          <w:sz w:val="22"/>
          <w:szCs w:val="22"/>
          <w:lang w:val="en-US"/>
        </w:rPr>
        <w:t>i</w:t>
      </w:r>
      <w:r w:rsidRPr="003E3F01">
        <w:rPr>
          <w:rFonts w:ascii="Arial" w:hAnsi="Arial" w:cs="Arial"/>
          <w:bCs/>
          <w:sz w:val="22"/>
          <w:szCs w:val="22"/>
          <w:lang w:val="en-US"/>
        </w:rPr>
        <w:t>s</w:t>
      </w:r>
      <w:r w:rsidR="005343C1">
        <w:rPr>
          <w:rFonts w:ascii="Arial" w:hAnsi="Arial" w:cs="Arial"/>
          <w:bCs/>
          <w:sz w:val="22"/>
          <w:szCs w:val="22"/>
          <w:lang w:val="en-US"/>
        </w:rPr>
        <w:t>e</w:t>
      </w:r>
      <w:proofErr w:type="spellEnd"/>
      <w:r w:rsidRPr="003E3F01">
        <w:rPr>
          <w:rFonts w:ascii="Arial" w:hAnsi="Arial" w:cs="Arial"/>
          <w:bCs/>
          <w:sz w:val="22"/>
          <w:szCs w:val="22"/>
          <w:lang w:val="en-US"/>
        </w:rPr>
        <w:t xml:space="preserve"> the original fails, which are the root cause of the issue. The mechanism of penalties should allow the redistrib</w:t>
      </w:r>
      <w:r w:rsidRPr="003E3F01">
        <w:rPr>
          <w:rFonts w:ascii="Arial" w:hAnsi="Arial" w:cs="Arial"/>
          <w:bCs/>
          <w:sz w:val="22"/>
          <w:szCs w:val="22"/>
          <w:lang w:val="en-US"/>
        </w:rPr>
        <w:t>u</w:t>
      </w:r>
      <w:r w:rsidRPr="003E3F01">
        <w:rPr>
          <w:rFonts w:ascii="Arial" w:hAnsi="Arial" w:cs="Arial"/>
          <w:bCs/>
          <w:sz w:val="22"/>
          <w:szCs w:val="22"/>
          <w:lang w:val="en-US"/>
        </w:rPr>
        <w:t>tion of the collected penalty from the failing party to the suffering participant.</w:t>
      </w:r>
    </w:p>
    <w:permEnd w:id="334592498"/>
    <w:p w:rsidR="00A35728" w:rsidRPr="00616B9B" w:rsidRDefault="00A35728" w:rsidP="00A35728">
      <w:pPr>
        <w:rPr>
          <w:rFonts w:ascii="Arial" w:hAnsi="Arial" w:cs="Arial"/>
          <w:sz w:val="22"/>
          <w:szCs w:val="22"/>
        </w:rPr>
      </w:pPr>
      <w:r w:rsidRPr="00616B9B">
        <w:rPr>
          <w:rFonts w:ascii="Arial" w:hAnsi="Arial" w:cs="Arial"/>
          <w:sz w:val="22"/>
          <w:szCs w:val="22"/>
        </w:rPr>
        <w:t>&lt;ESMA_QUESTION_TA_CSDR_4&gt;</w:t>
      </w:r>
    </w:p>
    <w:p w:rsidR="00A35728" w:rsidRPr="00616B9B" w:rsidRDefault="00A35728"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Q5:</w:t>
      </w:r>
      <w:r w:rsidRPr="00616B9B">
        <w:rPr>
          <w:rFonts w:ascii="Arial" w:hAnsi="Arial" w:cs="Arial"/>
          <w:szCs w:val="22"/>
        </w:rPr>
        <w:tab/>
        <w:t>Do you agree with the proposed frequency of one year for the assessment of the substantial importance of a CSD in another Member State?</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&lt;ESMA_QUESTION_TA_CSDR_5&gt;</w:t>
      </w:r>
    </w:p>
    <w:p w:rsidR="00FC3B25" w:rsidRDefault="00FC3B25" w:rsidP="00FC3B25">
      <w:pPr>
        <w:rPr>
          <w:rFonts w:ascii="Arial" w:hAnsi="Arial" w:cs="Arial"/>
          <w:sz w:val="22"/>
          <w:szCs w:val="22"/>
          <w:lang w:val="en-US"/>
        </w:rPr>
      </w:pPr>
      <w:permStart w:id="874399669" w:edGrp="everyone"/>
      <w:r w:rsidRPr="00FC3B25">
        <w:rPr>
          <w:rFonts w:ascii="Arial" w:hAnsi="Arial" w:cs="Arial"/>
          <w:sz w:val="22"/>
          <w:szCs w:val="22"/>
          <w:lang w:val="en-US"/>
        </w:rPr>
        <w:t>In general, we agree with the ESMA approach that the substantial importance should be a</w:t>
      </w:r>
      <w:r w:rsidRPr="00FC3B25">
        <w:rPr>
          <w:rFonts w:ascii="Arial" w:hAnsi="Arial" w:cs="Arial"/>
          <w:sz w:val="22"/>
          <w:szCs w:val="22"/>
          <w:lang w:val="en-US"/>
        </w:rPr>
        <w:t>s</w:t>
      </w:r>
      <w:r w:rsidRPr="00FC3B25">
        <w:rPr>
          <w:rFonts w:ascii="Arial" w:hAnsi="Arial" w:cs="Arial"/>
          <w:sz w:val="22"/>
          <w:szCs w:val="22"/>
          <w:lang w:val="en-US"/>
        </w:rPr>
        <w:t>sessed from the perspective of the host Member State and that the thresholds should not lead to an over-excessive number of cooperation arrangements. In our opinion, the substantial i</w:t>
      </w:r>
      <w:r w:rsidRPr="00FC3B25">
        <w:rPr>
          <w:rFonts w:ascii="Arial" w:hAnsi="Arial" w:cs="Arial"/>
          <w:sz w:val="22"/>
          <w:szCs w:val="22"/>
          <w:lang w:val="en-US"/>
        </w:rPr>
        <w:t>m</w:t>
      </w:r>
      <w:r w:rsidRPr="00FC3B25">
        <w:rPr>
          <w:rFonts w:ascii="Arial" w:hAnsi="Arial" w:cs="Arial"/>
          <w:sz w:val="22"/>
          <w:szCs w:val="22"/>
          <w:lang w:val="en-US"/>
        </w:rPr>
        <w:t>portance should not be assessed in relation to all the core services of a CSD, but, as defined in article 23 of the Level 1 of the CSD Regulation, in relation to provision of the core services r</w:t>
      </w:r>
      <w:r w:rsidRPr="00FC3B25">
        <w:rPr>
          <w:rFonts w:ascii="Arial" w:hAnsi="Arial" w:cs="Arial"/>
          <w:sz w:val="22"/>
          <w:szCs w:val="22"/>
          <w:lang w:val="en-US"/>
        </w:rPr>
        <w:t>e</w:t>
      </w:r>
      <w:r w:rsidRPr="00FC3B25">
        <w:rPr>
          <w:rFonts w:ascii="Arial" w:hAnsi="Arial" w:cs="Arial"/>
          <w:sz w:val="22"/>
          <w:szCs w:val="22"/>
          <w:lang w:val="en-US"/>
        </w:rPr>
        <w:t>ferred to in points 1 and 2 of Section A of the Annex or setting up a branch in another Member State.</w:t>
      </w:r>
    </w:p>
    <w:p w:rsidR="00FC3B25" w:rsidRPr="0063232A" w:rsidRDefault="00FC3B25" w:rsidP="00FC3B25">
      <w:pPr>
        <w:rPr>
          <w:lang w:val="en-US"/>
        </w:rPr>
      </w:pPr>
      <w:r w:rsidRPr="00FC3B25">
        <w:rPr>
          <w:rFonts w:ascii="Arial" w:hAnsi="Arial" w:cs="Arial"/>
          <w:sz w:val="22"/>
          <w:szCs w:val="22"/>
          <w:lang w:val="en-US"/>
        </w:rPr>
        <w:t>We agree with the proposed frequency of one year for the assessment of the substantial i</w:t>
      </w:r>
      <w:r w:rsidRPr="00FC3B25">
        <w:rPr>
          <w:rFonts w:ascii="Arial" w:hAnsi="Arial" w:cs="Arial"/>
          <w:sz w:val="22"/>
          <w:szCs w:val="22"/>
          <w:lang w:val="en-US"/>
        </w:rPr>
        <w:t>m</w:t>
      </w:r>
      <w:r w:rsidRPr="00FC3B25">
        <w:rPr>
          <w:rFonts w:ascii="Arial" w:hAnsi="Arial" w:cs="Arial"/>
          <w:sz w:val="22"/>
          <w:szCs w:val="22"/>
          <w:lang w:val="en-US"/>
        </w:rPr>
        <w:t>portance of a CSD in another Member State.</w:t>
      </w:r>
    </w:p>
    <w:permEnd w:id="874399669"/>
    <w:p w:rsidR="00A35728" w:rsidRPr="00616B9B" w:rsidRDefault="00A35728" w:rsidP="00A35728">
      <w:pPr>
        <w:rPr>
          <w:rFonts w:ascii="Arial" w:hAnsi="Arial" w:cs="Arial"/>
          <w:sz w:val="22"/>
          <w:szCs w:val="22"/>
        </w:rPr>
      </w:pPr>
      <w:r w:rsidRPr="00616B9B">
        <w:rPr>
          <w:rFonts w:ascii="Arial" w:hAnsi="Arial" w:cs="Arial"/>
          <w:sz w:val="22"/>
          <w:szCs w:val="22"/>
        </w:rPr>
        <w:t>&lt;ESMA_QUESTION_TA_CSDR_5&gt;</w:t>
      </w:r>
    </w:p>
    <w:p w:rsidR="00A35728" w:rsidRPr="00616B9B" w:rsidRDefault="00A35728"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 xml:space="preserve">Q6: </w:t>
      </w:r>
      <w:r w:rsidRPr="00616B9B">
        <w:rPr>
          <w:rFonts w:ascii="Arial" w:hAnsi="Arial" w:cs="Arial"/>
          <w:szCs w:val="22"/>
        </w:rPr>
        <w:tab/>
        <w:t xml:space="preserve">What are your views on the proposed indicators? </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&lt;ESMA_QUESTION_TA_CSDR_6&gt;</w:t>
      </w:r>
    </w:p>
    <w:p w:rsidR="005F0AE3" w:rsidRPr="005F0AE3" w:rsidRDefault="005F0AE3" w:rsidP="005F0AE3">
      <w:pPr>
        <w:rPr>
          <w:rFonts w:ascii="Arial" w:hAnsi="Arial" w:cs="Arial"/>
          <w:sz w:val="22"/>
          <w:szCs w:val="22"/>
          <w:lang w:val="en-US"/>
        </w:rPr>
      </w:pPr>
      <w:permStart w:id="1508582334" w:edGrp="everyone"/>
      <w:r w:rsidRPr="005F0AE3">
        <w:rPr>
          <w:rFonts w:ascii="Arial" w:hAnsi="Arial" w:cs="Arial"/>
          <w:sz w:val="22"/>
          <w:szCs w:val="22"/>
          <w:lang w:val="en-US"/>
        </w:rPr>
        <w:t>We have no reservations to the assessment of the ‘substantial importance’ of notary services (p. 3.3 pages 19-20).</w:t>
      </w:r>
    </w:p>
    <w:p w:rsidR="005F0AE3" w:rsidRPr="005F0AE3" w:rsidRDefault="005F0AE3" w:rsidP="005F0AE3">
      <w:pPr>
        <w:rPr>
          <w:rFonts w:ascii="Arial" w:hAnsi="Arial" w:cs="Arial"/>
          <w:sz w:val="22"/>
          <w:szCs w:val="22"/>
          <w:lang w:val="en-US"/>
        </w:rPr>
      </w:pPr>
      <w:r w:rsidRPr="005F0AE3">
        <w:rPr>
          <w:rFonts w:ascii="Arial" w:hAnsi="Arial" w:cs="Arial"/>
          <w:sz w:val="22"/>
          <w:szCs w:val="22"/>
          <w:lang w:val="en-US"/>
        </w:rPr>
        <w:t>As regards the assessment of the ‘substantial importance’ of central maintenance services (p. 3.4 pages 20-22) KDPW supports ESMA’s decision not to include collateral management se</w:t>
      </w:r>
      <w:r w:rsidRPr="005F0AE3">
        <w:rPr>
          <w:rFonts w:ascii="Arial" w:hAnsi="Arial" w:cs="Arial"/>
          <w:sz w:val="22"/>
          <w:szCs w:val="22"/>
          <w:lang w:val="en-US"/>
        </w:rPr>
        <w:t>r</w:t>
      </w:r>
      <w:r w:rsidRPr="005F0AE3">
        <w:rPr>
          <w:rFonts w:ascii="Arial" w:hAnsi="Arial" w:cs="Arial"/>
          <w:sz w:val="22"/>
          <w:szCs w:val="22"/>
          <w:lang w:val="en-US"/>
        </w:rPr>
        <w:t>vices in the assessment of the threshold.</w:t>
      </w:r>
    </w:p>
    <w:p w:rsidR="005F0AE3" w:rsidRPr="005F0AE3" w:rsidRDefault="005F0AE3" w:rsidP="005F0AE3">
      <w:pPr>
        <w:rPr>
          <w:rFonts w:ascii="Arial" w:hAnsi="Arial" w:cs="Arial"/>
          <w:sz w:val="22"/>
          <w:szCs w:val="22"/>
        </w:rPr>
      </w:pPr>
      <w:r w:rsidRPr="005F0AE3">
        <w:rPr>
          <w:rFonts w:ascii="Arial" w:hAnsi="Arial" w:cs="Arial"/>
          <w:sz w:val="22"/>
          <w:szCs w:val="22"/>
        </w:rPr>
        <w:t>We cannot agree, though, with the assumption that the country of establishment of CSD partic</w:t>
      </w:r>
      <w:r w:rsidRPr="005F0AE3">
        <w:rPr>
          <w:rFonts w:ascii="Arial" w:hAnsi="Arial" w:cs="Arial"/>
          <w:sz w:val="22"/>
          <w:szCs w:val="22"/>
        </w:rPr>
        <w:t>i</w:t>
      </w:r>
      <w:r w:rsidRPr="005F0AE3">
        <w:rPr>
          <w:rFonts w:ascii="Arial" w:hAnsi="Arial" w:cs="Arial"/>
          <w:sz w:val="22"/>
          <w:szCs w:val="22"/>
        </w:rPr>
        <w:t>pants is a good indicator. Indeed, it is perfectly possible for a foreign intermediary (CSD partic</w:t>
      </w:r>
      <w:r w:rsidRPr="005F0AE3">
        <w:rPr>
          <w:rFonts w:ascii="Arial" w:hAnsi="Arial" w:cs="Arial"/>
          <w:sz w:val="22"/>
          <w:szCs w:val="22"/>
        </w:rPr>
        <w:t>i</w:t>
      </w:r>
      <w:r w:rsidRPr="005F0AE3">
        <w:rPr>
          <w:rFonts w:ascii="Arial" w:hAnsi="Arial" w:cs="Arial"/>
          <w:sz w:val="22"/>
          <w:szCs w:val="22"/>
        </w:rPr>
        <w:t>pant) to hold securities primarily for domestic end investors, and vice-versa to hold securities for investors which are established in foreign countries (EU and non-EU) different from that where the participant is established. Since the criteria and thresholds to be defined by ESMA for d</w:t>
      </w:r>
      <w:r w:rsidRPr="005F0AE3">
        <w:rPr>
          <w:rFonts w:ascii="Arial" w:hAnsi="Arial" w:cs="Arial"/>
          <w:sz w:val="22"/>
          <w:szCs w:val="22"/>
        </w:rPr>
        <w:t>e</w:t>
      </w:r>
      <w:r w:rsidRPr="005F0AE3">
        <w:rPr>
          <w:rFonts w:ascii="Arial" w:hAnsi="Arial" w:cs="Arial"/>
          <w:sz w:val="22"/>
          <w:szCs w:val="22"/>
        </w:rPr>
        <w:t>termining “substantial importance” are meant to involve host authorities from a safety/investor protection perspective, the “nationality” of CSD participants is actually largely irrelevant, since it might be totally different from that of the actual holders of the security.</w:t>
      </w:r>
      <w:r w:rsidRPr="005F0AE3">
        <w:rPr>
          <w:rFonts w:ascii="Arial" w:hAnsi="Arial" w:cs="Arial"/>
          <w:sz w:val="22"/>
          <w:szCs w:val="22"/>
          <w:lang w:val="en-US"/>
        </w:rPr>
        <w:t xml:space="preserve"> </w:t>
      </w:r>
      <w:r w:rsidRPr="005F0AE3">
        <w:rPr>
          <w:rFonts w:ascii="Arial" w:hAnsi="Arial" w:cs="Arial"/>
          <w:sz w:val="22"/>
          <w:szCs w:val="22"/>
        </w:rPr>
        <w:t>We recognise the difficu</w:t>
      </w:r>
      <w:r w:rsidRPr="005F0AE3">
        <w:rPr>
          <w:rFonts w:ascii="Arial" w:hAnsi="Arial" w:cs="Arial"/>
          <w:sz w:val="22"/>
          <w:szCs w:val="22"/>
        </w:rPr>
        <w:t>l</w:t>
      </w:r>
      <w:r w:rsidRPr="005F0AE3">
        <w:rPr>
          <w:rFonts w:ascii="Arial" w:hAnsi="Arial" w:cs="Arial"/>
          <w:sz w:val="22"/>
          <w:szCs w:val="22"/>
        </w:rPr>
        <w:t xml:space="preserve">ty of establishing a workable thresholds in those cases where CSDs have no information on the country of establishment of their participant’s clients, but we think this limitation should not be a reason to use an inaccurate </w:t>
      </w:r>
      <w:bookmarkStart w:id="3" w:name="_GoBack"/>
      <w:bookmarkEnd w:id="3"/>
      <w:r w:rsidRPr="005F0AE3">
        <w:rPr>
          <w:rFonts w:ascii="Arial" w:hAnsi="Arial" w:cs="Arial"/>
          <w:sz w:val="22"/>
          <w:szCs w:val="22"/>
        </w:rPr>
        <w:t>threshold that will not accommodate the natural evol</w:t>
      </w:r>
      <w:r w:rsidRPr="005F0AE3">
        <w:rPr>
          <w:rFonts w:ascii="Arial" w:hAnsi="Arial" w:cs="Arial"/>
          <w:sz w:val="22"/>
          <w:szCs w:val="22"/>
        </w:rPr>
        <w:t>u</w:t>
      </w:r>
      <w:r w:rsidRPr="005F0AE3">
        <w:rPr>
          <w:rFonts w:ascii="Arial" w:hAnsi="Arial" w:cs="Arial"/>
          <w:sz w:val="22"/>
          <w:szCs w:val="22"/>
        </w:rPr>
        <w:t>tion of the EU single market.</w:t>
      </w:r>
    </w:p>
    <w:p w:rsidR="005F0AE3" w:rsidRDefault="005F0AE3" w:rsidP="005F0AE3">
      <w:pPr>
        <w:rPr>
          <w:rFonts w:ascii="Arial" w:hAnsi="Arial" w:cs="Arial"/>
          <w:bCs/>
          <w:sz w:val="22"/>
          <w:szCs w:val="22"/>
        </w:rPr>
      </w:pPr>
      <w:r w:rsidRPr="005F0AE3">
        <w:rPr>
          <w:rFonts w:ascii="Arial" w:hAnsi="Arial" w:cs="Arial"/>
          <w:bCs/>
          <w:sz w:val="22"/>
          <w:szCs w:val="22"/>
        </w:rPr>
        <w:t>As a result, KDPW thinks that the indicators included in Section 3.4 of the Consultation Paper as regards the central maintenance service (p.20-22) are not adequate and should be reviewed.</w:t>
      </w:r>
    </w:p>
    <w:p w:rsidR="005F0AE3" w:rsidRPr="005F0AE3" w:rsidRDefault="005F0AE3" w:rsidP="005F0AE3">
      <w:pPr>
        <w:rPr>
          <w:rFonts w:ascii="Arial" w:hAnsi="Arial" w:cs="Arial"/>
          <w:sz w:val="22"/>
          <w:szCs w:val="22"/>
        </w:rPr>
      </w:pPr>
      <w:r w:rsidRPr="005F0AE3">
        <w:rPr>
          <w:rFonts w:ascii="Arial" w:hAnsi="Arial" w:cs="Arial"/>
          <w:sz w:val="22"/>
          <w:szCs w:val="22"/>
        </w:rPr>
        <w:t>As regards the assessment of the ‘substantial importance’ of settlement services (p. 3.5 pages 22-24), KDPW is of the opinion, in line with the approach taken in article 23 of the Level 1 of the CSD Regulation, that the notion of “provision of services” should be limited to cases where the CSD has set up a branch in another Member State or provides notary and/or central maint</w:t>
      </w:r>
      <w:r w:rsidRPr="005F0AE3">
        <w:rPr>
          <w:rFonts w:ascii="Arial" w:hAnsi="Arial" w:cs="Arial"/>
          <w:sz w:val="22"/>
          <w:szCs w:val="22"/>
        </w:rPr>
        <w:t>e</w:t>
      </w:r>
      <w:r w:rsidRPr="005F0AE3">
        <w:rPr>
          <w:rFonts w:ascii="Arial" w:hAnsi="Arial" w:cs="Arial"/>
          <w:sz w:val="22"/>
          <w:szCs w:val="22"/>
        </w:rPr>
        <w:t xml:space="preserve">nance services in that country, i.e. excluding the settlement service. </w:t>
      </w:r>
    </w:p>
    <w:p w:rsidR="001246A7" w:rsidRPr="005F0AE3" w:rsidRDefault="005F0AE3" w:rsidP="005F0AE3">
      <w:pPr>
        <w:rPr>
          <w:rFonts w:ascii="Arial" w:hAnsi="Arial" w:cs="Arial"/>
          <w:sz w:val="22"/>
          <w:szCs w:val="22"/>
        </w:rPr>
      </w:pPr>
      <w:r w:rsidRPr="005F0AE3">
        <w:rPr>
          <w:rFonts w:ascii="Arial" w:hAnsi="Arial" w:cs="Arial"/>
          <w:sz w:val="22"/>
          <w:szCs w:val="22"/>
        </w:rPr>
        <w:t>We thus disagree with Section 3.5 of the ESMA Consultation Paper on technical advice (p.22-24) and believe that the "settlement indicator" is not appropriate.</w:t>
      </w:r>
    </w:p>
    <w:permEnd w:id="1508582334"/>
    <w:p w:rsidR="00A35728" w:rsidRPr="00616B9B" w:rsidRDefault="00A35728" w:rsidP="00A35728">
      <w:pPr>
        <w:rPr>
          <w:rFonts w:ascii="Arial" w:hAnsi="Arial" w:cs="Arial"/>
          <w:sz w:val="22"/>
          <w:szCs w:val="22"/>
        </w:rPr>
      </w:pPr>
      <w:r w:rsidRPr="00616B9B">
        <w:rPr>
          <w:rFonts w:ascii="Arial" w:hAnsi="Arial" w:cs="Arial"/>
          <w:sz w:val="22"/>
          <w:szCs w:val="22"/>
        </w:rPr>
        <w:t>&lt;ESMA_QUESTION_TA_CSDR_6&gt;</w:t>
      </w:r>
    </w:p>
    <w:p w:rsidR="00A35728" w:rsidRPr="00616B9B" w:rsidRDefault="00A35728" w:rsidP="00A35728">
      <w:pPr>
        <w:rPr>
          <w:rFonts w:ascii="Arial" w:hAnsi="Arial" w:cs="Arial"/>
          <w:sz w:val="22"/>
          <w:szCs w:val="22"/>
        </w:rPr>
      </w:pPr>
    </w:p>
    <w:p w:rsidR="00A35728" w:rsidRPr="00616B9B" w:rsidRDefault="00A35728" w:rsidP="00A35728">
      <w:pPr>
        <w:pStyle w:val="Questions-ESMA"/>
        <w:rPr>
          <w:rFonts w:ascii="Arial" w:hAnsi="Arial" w:cs="Arial"/>
          <w:szCs w:val="22"/>
        </w:rPr>
      </w:pPr>
      <w:r w:rsidRPr="00616B9B">
        <w:rPr>
          <w:rFonts w:ascii="Arial" w:hAnsi="Arial" w:cs="Arial"/>
          <w:szCs w:val="22"/>
        </w:rPr>
        <w:t xml:space="preserve">Q7: </w:t>
      </w:r>
      <w:r w:rsidRPr="00616B9B">
        <w:rPr>
          <w:rFonts w:ascii="Arial" w:hAnsi="Arial" w:cs="Arial"/>
          <w:szCs w:val="22"/>
        </w:rPr>
        <w:tab/>
        <w:t>What are your views on the proposed thresholds?</w:t>
      </w:r>
    </w:p>
    <w:p w:rsidR="00A35728" w:rsidRPr="00616B9B" w:rsidRDefault="00A35728" w:rsidP="00A35728">
      <w:pPr>
        <w:rPr>
          <w:rFonts w:ascii="Arial" w:hAnsi="Arial" w:cs="Arial"/>
          <w:sz w:val="22"/>
          <w:szCs w:val="22"/>
        </w:rPr>
      </w:pPr>
      <w:r w:rsidRPr="00616B9B">
        <w:rPr>
          <w:rFonts w:ascii="Arial" w:hAnsi="Arial" w:cs="Arial"/>
          <w:sz w:val="22"/>
          <w:szCs w:val="22"/>
        </w:rPr>
        <w:t>&lt;ESMA_QUESTION_TA_CSDR_7&gt;</w:t>
      </w:r>
    </w:p>
    <w:p w:rsidR="001246A7" w:rsidRDefault="001246A7" w:rsidP="00A35728">
      <w:pPr>
        <w:rPr>
          <w:rFonts w:ascii="Arial" w:hAnsi="Arial" w:cs="Arial"/>
          <w:sz w:val="22"/>
          <w:szCs w:val="22"/>
          <w:lang w:val="en-US"/>
        </w:rPr>
      </w:pPr>
      <w:permStart w:id="896093053" w:edGrp="everyone"/>
      <w:r w:rsidRPr="001246A7">
        <w:rPr>
          <w:rFonts w:ascii="Arial" w:hAnsi="Arial" w:cs="Arial"/>
          <w:sz w:val="22"/>
          <w:szCs w:val="22"/>
          <w:lang w:val="en-US"/>
        </w:rPr>
        <w:t>We have no reservations to the 15% level of threshol</w:t>
      </w:r>
      <w:r>
        <w:rPr>
          <w:rFonts w:ascii="Arial" w:hAnsi="Arial" w:cs="Arial"/>
          <w:sz w:val="22"/>
          <w:szCs w:val="22"/>
          <w:lang w:val="en-US"/>
        </w:rPr>
        <w:t>d</w:t>
      </w:r>
      <w:r w:rsidRPr="001246A7">
        <w:rPr>
          <w:rFonts w:ascii="Arial" w:hAnsi="Arial" w:cs="Arial"/>
          <w:sz w:val="22"/>
          <w:szCs w:val="22"/>
          <w:lang w:val="en-US"/>
        </w:rPr>
        <w:t>s.</w:t>
      </w:r>
    </w:p>
    <w:permEnd w:id="896093053"/>
    <w:p w:rsidR="00A35728" w:rsidRPr="00616B9B" w:rsidRDefault="00A35728" w:rsidP="00A35728">
      <w:pPr>
        <w:rPr>
          <w:rFonts w:ascii="Arial" w:hAnsi="Arial" w:cs="Arial"/>
          <w:sz w:val="22"/>
          <w:szCs w:val="22"/>
        </w:rPr>
      </w:pPr>
      <w:r w:rsidRPr="00616B9B">
        <w:rPr>
          <w:rFonts w:ascii="Arial" w:hAnsi="Arial" w:cs="Arial"/>
          <w:sz w:val="22"/>
          <w:szCs w:val="22"/>
        </w:rPr>
        <w:t>&lt;ESMA_QUESTION_TA_CSDR_7&gt;</w:t>
      </w:r>
    </w:p>
    <w:p w:rsidR="00A35728" w:rsidRPr="00616B9B" w:rsidRDefault="00A35728" w:rsidP="00A35728">
      <w:pPr>
        <w:rPr>
          <w:rFonts w:ascii="Arial" w:hAnsi="Arial" w:cs="Arial"/>
          <w:sz w:val="22"/>
          <w:szCs w:val="22"/>
        </w:rPr>
      </w:pPr>
    </w:p>
    <w:p w:rsidR="006F08DC" w:rsidRPr="00616B9B" w:rsidRDefault="006F08DC" w:rsidP="006F08DC">
      <w:pPr>
        <w:pStyle w:val="Questions-ESMA"/>
        <w:rPr>
          <w:rFonts w:ascii="Arial" w:hAnsi="Arial" w:cs="Arial"/>
          <w:szCs w:val="22"/>
        </w:rPr>
      </w:pPr>
      <w:r w:rsidRPr="00616B9B">
        <w:rPr>
          <w:rFonts w:ascii="Arial" w:hAnsi="Arial" w:cs="Arial"/>
          <w:szCs w:val="22"/>
        </w:rPr>
        <w:t xml:space="preserve">Q8: </w:t>
      </w:r>
      <w:r w:rsidRPr="00616B9B">
        <w:rPr>
          <w:rFonts w:ascii="Arial" w:hAnsi="Arial" w:cs="Arial"/>
          <w:szCs w:val="22"/>
        </w:rPr>
        <w:tab/>
        <w:t>Do you believe that the proposed indicators and thresholds are relevant in the case of government bonds? If not, please provide details and arguments.</w:t>
      </w:r>
    </w:p>
    <w:p w:rsidR="006F08DC" w:rsidRPr="00616B9B" w:rsidRDefault="006F08DC" w:rsidP="006F08DC">
      <w:pPr>
        <w:rPr>
          <w:rFonts w:ascii="Arial" w:hAnsi="Arial" w:cs="Arial"/>
          <w:sz w:val="22"/>
          <w:szCs w:val="22"/>
        </w:rPr>
      </w:pPr>
      <w:r w:rsidRPr="00616B9B">
        <w:rPr>
          <w:rFonts w:ascii="Arial" w:hAnsi="Arial" w:cs="Arial"/>
          <w:sz w:val="22"/>
          <w:szCs w:val="22"/>
        </w:rPr>
        <w:t>&lt;ESMA_QUESTION_TA_CSDR_8&gt;</w:t>
      </w:r>
    </w:p>
    <w:p w:rsidR="006F08DC" w:rsidRPr="00616B9B" w:rsidRDefault="00BA73DC" w:rsidP="006F08DC">
      <w:pPr>
        <w:rPr>
          <w:rFonts w:ascii="Arial" w:hAnsi="Arial" w:cs="Arial"/>
          <w:sz w:val="22"/>
          <w:szCs w:val="22"/>
        </w:rPr>
      </w:pPr>
      <w:permStart w:id="1187067722" w:edGrp="everyone"/>
      <w:r>
        <w:rPr>
          <w:rFonts w:ascii="Arial" w:hAnsi="Arial" w:cs="Arial"/>
          <w:sz w:val="22"/>
          <w:szCs w:val="22"/>
        </w:rPr>
        <w:t>We believe that the proposed indicators are relevant in the case of the government bonds.</w:t>
      </w:r>
    </w:p>
    <w:permEnd w:id="1187067722"/>
    <w:p w:rsidR="003A6E9A" w:rsidRPr="00616B9B" w:rsidRDefault="006F08DC" w:rsidP="00B156CF">
      <w:pPr>
        <w:rPr>
          <w:rFonts w:ascii="Arial" w:hAnsi="Arial" w:cs="Arial"/>
          <w:sz w:val="22"/>
          <w:szCs w:val="22"/>
        </w:rPr>
      </w:pPr>
      <w:r w:rsidRPr="00616B9B">
        <w:rPr>
          <w:rFonts w:ascii="Arial" w:hAnsi="Arial" w:cs="Arial"/>
          <w:sz w:val="22"/>
          <w:szCs w:val="22"/>
        </w:rPr>
        <w:t>&lt;ESMA_QUESTION_TA_CSDR_8&gt;</w:t>
      </w:r>
    </w:p>
    <w:sectPr w:rsidR="003A6E9A" w:rsidRPr="00616B9B" w:rsidSect="000D17AA">
      <w:headerReference w:type="even" r:id="rId15"/>
      <w:headerReference w:type="first" r:id="rId16"/>
      <w:footerReference w:type="first" r:id="rId17"/>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0E8" w:rsidRDefault="001470E8">
      <w:r>
        <w:separator/>
      </w:r>
    </w:p>
    <w:p w:rsidR="001470E8" w:rsidRDefault="001470E8"/>
  </w:endnote>
  <w:endnote w:type="continuationSeparator" w:id="0">
    <w:p w:rsidR="001470E8" w:rsidRDefault="001470E8">
      <w:r>
        <w:continuationSeparator/>
      </w:r>
    </w:p>
    <w:p w:rsidR="001470E8" w:rsidRDefault="001470E8"/>
  </w:endnote>
  <w:endnote w:type="continuationNotice" w:id="1">
    <w:p w:rsidR="001470E8" w:rsidRDefault="00147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ascii="Arial" w:hAnsi="Arial" w:cs="Arial"/>
              <w:sz w:val="22"/>
              <w:szCs w:val="22"/>
            </w:rPr>
          </w:pPr>
          <w:r w:rsidRPr="00616B9B">
            <w:rPr>
              <w:rFonts w:ascii="Arial" w:hAnsi="Arial" w:cs="Arial"/>
              <w:sz w:val="22"/>
              <w:szCs w:val="22"/>
            </w:rPr>
            <w:fldChar w:fldCharType="begin"/>
          </w:r>
          <w:r w:rsidRPr="00616B9B">
            <w:rPr>
              <w:rFonts w:ascii="Arial" w:hAnsi="Arial" w:cs="Arial"/>
              <w:sz w:val="22"/>
              <w:szCs w:val="22"/>
            </w:rPr>
            <w:instrText xml:space="preserve"> PAGE </w:instrText>
          </w:r>
          <w:r w:rsidRPr="00616B9B">
            <w:rPr>
              <w:rFonts w:ascii="Arial" w:hAnsi="Arial" w:cs="Arial"/>
              <w:sz w:val="22"/>
              <w:szCs w:val="22"/>
            </w:rPr>
            <w:fldChar w:fldCharType="separate"/>
          </w:r>
          <w:r w:rsidR="008510E2">
            <w:rPr>
              <w:rFonts w:ascii="Arial" w:hAnsi="Arial" w:cs="Arial"/>
              <w:noProof/>
              <w:sz w:val="22"/>
              <w:szCs w:val="22"/>
            </w:rPr>
            <w:t>6</w:t>
          </w:r>
          <w:r w:rsidRPr="00616B9B">
            <w:rPr>
              <w:rFonts w:ascii="Arial" w:hAnsi="Arial" w:cs="Arial"/>
              <w:noProof/>
              <w:sz w:val="22"/>
              <w:szCs w:val="22"/>
            </w:rPr>
            <w:fldChar w:fldCharType="end"/>
          </w:r>
        </w:p>
      </w:tc>
    </w:tr>
  </w:tbl>
  <w:p w:rsidR="00811EDA" w:rsidRDefault="00811ED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0E8" w:rsidRDefault="001470E8">
      <w:r>
        <w:separator/>
      </w:r>
    </w:p>
    <w:p w:rsidR="001470E8" w:rsidRDefault="001470E8"/>
  </w:footnote>
  <w:footnote w:type="continuationSeparator" w:id="0">
    <w:p w:rsidR="001470E8" w:rsidRDefault="001470E8">
      <w:r>
        <w:continuationSeparator/>
      </w:r>
    </w:p>
    <w:p w:rsidR="001470E8" w:rsidRDefault="001470E8"/>
  </w:footnote>
  <w:footnote w:type="continuationNotice" w:id="1">
    <w:p w:rsidR="001470E8" w:rsidRDefault="001470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Nagwek"/>
    </w:pPr>
    <w:r>
      <w:rPr>
        <w:noProof/>
        <w:lang w:val="pl-PL" w:eastAsia="pl-PL"/>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eastAsia="pl-PL"/>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Nagwek"/>
      <w:jc w:val="right"/>
    </w:pPr>
    <w:r>
      <w:rPr>
        <w:noProof/>
        <w:lang w:val="pl-PL" w:eastAsia="pl-PL"/>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eastAsia="pl-PL"/>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Nagwek"/>
      <w:rPr>
        <w:lang w:val="fr-FR"/>
      </w:rPr>
    </w:pPr>
  </w:p>
  <w:p w:rsidR="00811EDA" w:rsidRPr="002F4496" w:rsidRDefault="00811EDA" w:rsidP="000C06C9">
    <w:pPr>
      <w:pStyle w:val="Nagwek"/>
      <w:tabs>
        <w:tab w:val="clear" w:pos="4536"/>
        <w:tab w:val="clear" w:pos="9072"/>
        <w:tab w:val="left" w:pos="8227"/>
      </w:tabs>
      <w:rPr>
        <w:lang w:val="fr-FR"/>
      </w:rPr>
    </w:pPr>
  </w:p>
  <w:p w:rsidR="00811EDA" w:rsidRPr="002F4496" w:rsidRDefault="00811EDA" w:rsidP="000C06C9">
    <w:pPr>
      <w:pStyle w:val="Nagwek"/>
      <w:tabs>
        <w:tab w:val="clear" w:pos="4536"/>
        <w:tab w:val="clear" w:pos="9072"/>
        <w:tab w:val="left" w:pos="8227"/>
      </w:tabs>
      <w:rPr>
        <w:lang w:val="fr-FR"/>
      </w:rPr>
    </w:pPr>
  </w:p>
  <w:p w:rsidR="00811EDA" w:rsidRPr="002F4496" w:rsidRDefault="00811EDA">
    <w:pPr>
      <w:pStyle w:val="Nagwek"/>
      <w:rPr>
        <w:lang w:val="fr-FR"/>
      </w:rPr>
    </w:pPr>
  </w:p>
  <w:p w:rsidR="00811EDA" w:rsidRPr="002F4496" w:rsidRDefault="00811EDA">
    <w:pPr>
      <w:pStyle w:val="Nagwek"/>
      <w:rPr>
        <w:lang w:val="fr-FR"/>
      </w:rPr>
    </w:pPr>
  </w:p>
  <w:p w:rsidR="00811EDA" w:rsidRPr="002F4496" w:rsidRDefault="00811EDA">
    <w:pPr>
      <w:pStyle w:val="Nagwek"/>
      <w:rPr>
        <w:lang w:val="fr-FR"/>
      </w:rPr>
    </w:pPr>
  </w:p>
  <w:p w:rsidR="00811EDA" w:rsidRPr="002F4496" w:rsidRDefault="00811EDA">
    <w:pPr>
      <w:pStyle w:val="Nagwek"/>
      <w:rPr>
        <w:lang w:val="fr-FR"/>
      </w:rPr>
    </w:pPr>
  </w:p>
  <w:p w:rsidR="00811EDA" w:rsidRPr="002F4496" w:rsidRDefault="00811EDA">
    <w:pPr>
      <w:pStyle w:val="Nagwek"/>
      <w:rPr>
        <w:highlight w:val="yellow"/>
        <w:lang w:val="fr-FR"/>
      </w:rPr>
    </w:pPr>
  </w:p>
  <w:p w:rsidR="00811EDA" w:rsidRDefault="00DE66EB">
    <w:pPr>
      <w:pStyle w:val="Nagwek"/>
    </w:pPr>
    <w:r>
      <w:rPr>
        <w:noProof/>
        <w:lang w:val="pl-PL" w:eastAsia="pl-PL"/>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pl-PL" w:eastAsia="pl-PL"/>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apunktowan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Tekstpodstawowy"/>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apunktowan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apunktowan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4ED16875"/>
    <w:multiLevelType w:val="hybridMultilevel"/>
    <w:tmpl w:val="468AAC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DE60E9"/>
    <w:multiLevelType w:val="hybridMultilevel"/>
    <w:tmpl w:val="1084069A"/>
    <w:lvl w:ilvl="0" w:tplc="B532C018">
      <w:start w:val="2"/>
      <w:numFmt w:val="upperRoman"/>
      <w:pStyle w:val="Nagwe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Nagwe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anumerowana"/>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8">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20"/>
  </w:num>
  <w:num w:numId="3">
    <w:abstractNumId w:val="13"/>
  </w:num>
  <w:num w:numId="4">
    <w:abstractNumId w:val="25"/>
  </w:num>
  <w:num w:numId="5">
    <w:abstractNumId w:val="3"/>
  </w:num>
  <w:num w:numId="6">
    <w:abstractNumId w:val="27"/>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2"/>
  </w:num>
  <w:num w:numId="15">
    <w:abstractNumId w:val="23"/>
  </w:num>
  <w:num w:numId="16">
    <w:abstractNumId w:val="11"/>
  </w:num>
  <w:num w:numId="17">
    <w:abstractNumId w:val="1"/>
  </w:num>
  <w:num w:numId="18">
    <w:abstractNumId w:val="15"/>
  </w:num>
  <w:num w:numId="19">
    <w:abstractNumId w:val="16"/>
  </w:num>
  <w:num w:numId="20">
    <w:abstractNumId w:val="18"/>
  </w:num>
  <w:num w:numId="21">
    <w:abstractNumId w:val="28"/>
  </w:num>
  <w:num w:numId="22">
    <w:abstractNumId w:val="35"/>
  </w:num>
  <w:num w:numId="23">
    <w:abstractNumId w:val="26"/>
  </w:num>
  <w:num w:numId="24">
    <w:abstractNumId w:val="10"/>
  </w:num>
  <w:num w:numId="25">
    <w:abstractNumId w:val="31"/>
  </w:num>
  <w:num w:numId="26">
    <w:abstractNumId w:val="30"/>
  </w:num>
  <w:num w:numId="27">
    <w:abstractNumId w:val="21"/>
  </w:num>
  <w:num w:numId="28">
    <w:abstractNumId w:val="34"/>
  </w:num>
  <w:num w:numId="29">
    <w:abstractNumId w:val="37"/>
  </w:num>
  <w:num w:numId="30">
    <w:abstractNumId w:val="8"/>
  </w:num>
  <w:num w:numId="31">
    <w:abstractNumId w:val="4"/>
  </w:num>
  <w:num w:numId="32">
    <w:abstractNumId w:val="22"/>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2"/>
  </w:num>
  <w:num w:numId="3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5"/>
  </w:num>
  <w:num w:numId="42">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doNotDisplayPageBoundarie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Z4QBOZoeFLhVtdr+5Kzp0nq4F6s=" w:salt="3M9yBqqYhiFxTLTQeQgxbg=="/>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2B7C"/>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46A7"/>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0E8"/>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70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6591"/>
    <w:rsid w:val="003A6E9A"/>
    <w:rsid w:val="003B08C8"/>
    <w:rsid w:val="003B2567"/>
    <w:rsid w:val="003B381A"/>
    <w:rsid w:val="003B4976"/>
    <w:rsid w:val="003B4B3F"/>
    <w:rsid w:val="003B6258"/>
    <w:rsid w:val="003B7A99"/>
    <w:rsid w:val="003C0343"/>
    <w:rsid w:val="003C126E"/>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CD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3C1"/>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0AE3"/>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2E4A"/>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0E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96E43"/>
    <w:rsid w:val="009A07A6"/>
    <w:rsid w:val="009A0D56"/>
    <w:rsid w:val="009A31B9"/>
    <w:rsid w:val="009A4D4F"/>
    <w:rsid w:val="009A53D8"/>
    <w:rsid w:val="009A597F"/>
    <w:rsid w:val="009A7B72"/>
    <w:rsid w:val="009A7E2F"/>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FBE"/>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3DC"/>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5D34"/>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D43"/>
    <w:rsid w:val="00F77F5A"/>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3B25"/>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E6CEA"/>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136F4"/>
    <w:rPr>
      <w:rFonts w:ascii="Georgia" w:hAnsi="Georgia"/>
      <w:szCs w:val="24"/>
      <w:lang w:eastAsia="de-DE"/>
    </w:rPr>
  </w:style>
  <w:style w:type="paragraph" w:styleId="Nagwek1">
    <w:name w:val="heading 1"/>
    <w:basedOn w:val="Normalny"/>
    <w:next w:val="Normalny"/>
    <w:link w:val="Nagwek1Znak"/>
    <w:qFormat/>
    <w:rsid w:val="009E7724"/>
    <w:pPr>
      <w:keepNext/>
      <w:numPr>
        <w:numId w:val="6"/>
      </w:numPr>
      <w:spacing w:before="240" w:after="60"/>
      <w:outlineLvl w:val="0"/>
    </w:pPr>
    <w:rPr>
      <w:rFonts w:cs="Arial"/>
      <w:b/>
      <w:bCs/>
      <w:kern w:val="32"/>
      <w:sz w:val="24"/>
      <w:szCs w:val="32"/>
    </w:rPr>
  </w:style>
  <w:style w:type="paragraph" w:styleId="Nagwek2">
    <w:name w:val="heading 2"/>
    <w:basedOn w:val="Normalny"/>
    <w:next w:val="Normalny"/>
    <w:link w:val="Nagwek2Znak"/>
    <w:qFormat/>
    <w:rsid w:val="00886A60"/>
    <w:pPr>
      <w:keepNext/>
      <w:keepLines/>
      <w:spacing w:before="200" w:after="120"/>
      <w:outlineLvl w:val="1"/>
    </w:pPr>
    <w:rPr>
      <w:b/>
      <w:bCs/>
      <w:szCs w:val="26"/>
    </w:rPr>
  </w:style>
  <w:style w:type="paragraph" w:styleId="Nagwek3">
    <w:name w:val="heading 3"/>
    <w:basedOn w:val="Normalny"/>
    <w:next w:val="Normalny"/>
    <w:link w:val="Nagwek3Znak"/>
    <w:qFormat/>
    <w:rsid w:val="003865E5"/>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Nagwek5">
    <w:name w:val="heading 5"/>
    <w:aliases w:val="Questions"/>
    <w:basedOn w:val="Normalny"/>
    <w:next w:val="Normalny"/>
    <w:link w:val="Nagwek5Znak"/>
    <w:qFormat/>
    <w:rsid w:val="00E9344E"/>
    <w:pPr>
      <w:keepNext/>
      <w:keepLines/>
      <w:numPr>
        <w:numId w:val="14"/>
      </w:numPr>
      <w:spacing w:before="200"/>
      <w:jc w:val="both"/>
      <w:outlineLvl w:val="4"/>
    </w:pPr>
    <w:rPr>
      <w:b/>
    </w:rPr>
  </w:style>
  <w:style w:type="paragraph" w:styleId="Nagwek6">
    <w:name w:val="heading 6"/>
    <w:basedOn w:val="Normalny"/>
    <w:next w:val="Normalny"/>
    <w:link w:val="Nagwek6Znak"/>
    <w:qFormat/>
    <w:rsid w:val="003609B6"/>
    <w:pPr>
      <w:numPr>
        <w:ilvl w:val="5"/>
        <w:numId w:val="4"/>
      </w:numPr>
      <w:spacing w:before="240" w:after="60"/>
      <w:outlineLvl w:val="5"/>
    </w:pPr>
    <w:rPr>
      <w:rFonts w:ascii="Times New Roman" w:hAnsi="Times New Roman"/>
      <w:b/>
      <w:bCs/>
      <w:szCs w:val="22"/>
    </w:rPr>
  </w:style>
  <w:style w:type="paragraph" w:styleId="Nagwek7">
    <w:name w:val="heading 7"/>
    <w:basedOn w:val="Normalny"/>
    <w:next w:val="Normalny"/>
    <w:link w:val="Nagwek7Znak"/>
    <w:unhideWhenUsed/>
    <w:qFormat/>
    <w:rsid w:val="002D6E1A"/>
    <w:pPr>
      <w:spacing w:before="240" w:after="60"/>
      <w:ind w:left="1296" w:hanging="1296"/>
      <w:outlineLvl w:val="6"/>
    </w:pPr>
    <w:rPr>
      <w:rFonts w:ascii="Times New Roman" w:hAnsi="Times New Roman"/>
    </w:rPr>
  </w:style>
  <w:style w:type="paragraph" w:styleId="Nagwek8">
    <w:name w:val="heading 8"/>
    <w:basedOn w:val="Normalny"/>
    <w:next w:val="Normalny"/>
    <w:link w:val="Nagwek8Znak"/>
    <w:qFormat/>
    <w:rsid w:val="003609B6"/>
    <w:pPr>
      <w:numPr>
        <w:ilvl w:val="7"/>
        <w:numId w:val="4"/>
      </w:numPr>
      <w:spacing w:before="240" w:after="60"/>
      <w:outlineLvl w:val="7"/>
    </w:pPr>
    <w:rPr>
      <w:rFonts w:ascii="Times New Roman" w:hAnsi="Times New Roman"/>
      <w:i/>
      <w:iCs/>
    </w:rPr>
  </w:style>
  <w:style w:type="paragraph" w:styleId="Nagwek9">
    <w:name w:val="heading 9"/>
    <w:basedOn w:val="Normalny"/>
    <w:next w:val="Normalny"/>
    <w:link w:val="Nagwek9Znak"/>
    <w:qFormat/>
    <w:rsid w:val="00A06867"/>
    <w:pPr>
      <w:tabs>
        <w:tab w:val="num" w:pos="1584"/>
      </w:tabs>
      <w:spacing w:before="240" w:after="60"/>
      <w:ind w:left="1584" w:hanging="1584"/>
      <w:outlineLvl w:val="8"/>
    </w:pPr>
    <w:rPr>
      <w:rFonts w:ascii="Arial" w:hAnsi="Arial"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B64CB"/>
    <w:pPr>
      <w:tabs>
        <w:tab w:val="center" w:pos="4536"/>
        <w:tab w:val="right" w:pos="9072"/>
      </w:tabs>
    </w:pPr>
  </w:style>
  <w:style w:type="paragraph" w:styleId="Stopka">
    <w:name w:val="footer"/>
    <w:basedOn w:val="Normalny"/>
    <w:link w:val="StopkaZnak"/>
    <w:rsid w:val="005B64CB"/>
    <w:pPr>
      <w:tabs>
        <w:tab w:val="center" w:pos="4536"/>
        <w:tab w:val="right" w:pos="9072"/>
      </w:tabs>
    </w:pPr>
  </w:style>
  <w:style w:type="table" w:styleId="Tabela-Siatka">
    <w:name w:val="Table Grid"/>
    <w:basedOn w:val="Standardowy"/>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ny"/>
    <w:rsid w:val="003E3ACA"/>
    <w:pPr>
      <w:spacing w:line="200" w:lineRule="exact"/>
    </w:pPr>
    <w:rPr>
      <w:color w:val="2D4190"/>
      <w:sz w:val="16"/>
    </w:rPr>
  </w:style>
  <w:style w:type="paragraph" w:customStyle="1" w:styleId="05aTitle">
    <w:name w:val="05a_Title"/>
    <w:basedOn w:val="Normalny"/>
    <w:rsid w:val="00791EB4"/>
    <w:pPr>
      <w:spacing w:line="340" w:lineRule="exact"/>
    </w:pPr>
    <w:rPr>
      <w:b/>
      <w:color w:val="000000"/>
      <w:sz w:val="28"/>
    </w:rPr>
  </w:style>
  <w:style w:type="paragraph" w:customStyle="1" w:styleId="02Date">
    <w:name w:val="02_Date"/>
    <w:basedOn w:val="Normalny"/>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ny"/>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strony">
    <w:name w:val="page number"/>
    <w:basedOn w:val="Domylnaczcionkaakapitu"/>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pistreci1">
    <w:name w:val="toc 1"/>
    <w:basedOn w:val="Normalny"/>
    <w:next w:val="Normalny"/>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cz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kstprzypisudolnego">
    <w:name w:val="footnote text"/>
    <w:aliases w:val="Char3, Char3,Fußnotentextf,Fußnotentextr,stile 1,Footnote1,Footnote2,Footnote3,Footnote4,Footnote5,Footnote6,Footnote7,Footnote8,Footnote9,Footnote10,Footnote11,Footnote21,Footnote31,Footnote41,Footnote51,Footnote61,Footnote71"/>
    <w:basedOn w:val="Normalny"/>
    <w:link w:val="TekstprzypisudolnegoZnak"/>
    <w:uiPriority w:val="99"/>
    <w:rsid w:val="001725A5"/>
    <w:pPr>
      <w:spacing w:line="200" w:lineRule="exact"/>
    </w:pPr>
    <w:rPr>
      <w:sz w:val="16"/>
      <w:szCs w:val="20"/>
    </w:rPr>
  </w:style>
  <w:style w:type="character" w:styleId="Odwoanieprzypisudolnego">
    <w:name w:val="footnote reference"/>
    <w:aliases w:val="SUPERS,Footnote reference number,Footnote symbol,note TESI,-E Fußnotenzeichen,number,BVI fnr,Footnote,Footnote Reference Superscript,(Footnote Reference),EN Footnote Reference,Voetnootverwijzing,Times 10 Point,Exposant 3 Poi"/>
    <w:uiPriority w:val="99"/>
    <w:rsid w:val="00C274F3"/>
    <w:rPr>
      <w:vertAlign w:val="superscript"/>
    </w:rPr>
  </w:style>
  <w:style w:type="paragraph" w:styleId="Spistreci2">
    <w:name w:val="toc 2"/>
    <w:basedOn w:val="Normalny"/>
    <w:next w:val="Normalny"/>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ny"/>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Odwoaniedokomentarza">
    <w:name w:val="annotation reference"/>
    <w:rsid w:val="004B1E61"/>
    <w:rPr>
      <w:sz w:val="16"/>
      <w:szCs w:val="16"/>
    </w:rPr>
  </w:style>
  <w:style w:type="paragraph" w:styleId="Tekstkomentarza">
    <w:name w:val="annotation text"/>
    <w:basedOn w:val="Normalny"/>
    <w:link w:val="TekstkomentarzaZnak"/>
    <w:rsid w:val="004B1E61"/>
    <w:rPr>
      <w:szCs w:val="20"/>
    </w:rPr>
  </w:style>
  <w:style w:type="character" w:customStyle="1" w:styleId="TekstkomentarzaZnak">
    <w:name w:val="Tekst komentarza Znak"/>
    <w:link w:val="Tekstkomentarza"/>
    <w:uiPriority w:val="99"/>
    <w:rsid w:val="004B1E61"/>
    <w:rPr>
      <w:rFonts w:ascii="Georgia" w:hAnsi="Georgia"/>
      <w:lang w:eastAsia="de-DE"/>
    </w:rPr>
  </w:style>
  <w:style w:type="paragraph" w:styleId="Tematkomentarza">
    <w:name w:val="annotation subject"/>
    <w:basedOn w:val="Tekstkomentarza"/>
    <w:next w:val="Tekstkomentarza"/>
    <w:link w:val="TematkomentarzaZnak"/>
    <w:rsid w:val="004B1E61"/>
    <w:rPr>
      <w:b/>
      <w:bCs/>
    </w:rPr>
  </w:style>
  <w:style w:type="character" w:customStyle="1" w:styleId="TematkomentarzaZnak">
    <w:name w:val="Temat komentarza Znak"/>
    <w:link w:val="Tematkomentarza"/>
    <w:rsid w:val="004B1E61"/>
    <w:rPr>
      <w:rFonts w:ascii="Georgia" w:hAnsi="Georgia"/>
      <w:b/>
      <w:bCs/>
      <w:lang w:eastAsia="de-DE"/>
    </w:rPr>
  </w:style>
  <w:style w:type="paragraph" w:styleId="Tekstdymka">
    <w:name w:val="Balloon Text"/>
    <w:basedOn w:val="Normalny"/>
    <w:link w:val="TekstdymkaZnak"/>
    <w:rsid w:val="004B1E61"/>
    <w:rPr>
      <w:rFonts w:ascii="Tahoma" w:hAnsi="Tahoma" w:cs="Tahoma"/>
      <w:sz w:val="16"/>
      <w:szCs w:val="16"/>
    </w:rPr>
  </w:style>
  <w:style w:type="character" w:customStyle="1" w:styleId="TekstdymkaZnak">
    <w:name w:val="Tekst dymka Znak"/>
    <w:link w:val="Tekstdymka"/>
    <w:rsid w:val="004B1E61"/>
    <w:rPr>
      <w:rFonts w:ascii="Tahoma" w:hAnsi="Tahoma" w:cs="Tahoma"/>
      <w:sz w:val="16"/>
      <w:szCs w:val="16"/>
      <w:lang w:eastAsia="de-DE"/>
    </w:rPr>
  </w:style>
  <w:style w:type="paragraph" w:styleId="Akapitzlist">
    <w:name w:val="List Paragraph"/>
    <w:aliases w:val="Paragraphe EI,Paragraphe de liste1,EC"/>
    <w:basedOn w:val="Normalny"/>
    <w:link w:val="AkapitzlistZnak"/>
    <w:uiPriority w:val="34"/>
    <w:qFormat/>
    <w:rsid w:val="002A0C82"/>
    <w:pPr>
      <w:ind w:left="720"/>
      <w:contextualSpacing/>
    </w:pPr>
  </w:style>
  <w:style w:type="paragraph" w:styleId="Nagwekspisutreci">
    <w:name w:val="TOC Heading"/>
    <w:basedOn w:val="Nagwek1"/>
    <w:next w:val="Normalny"/>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kstprzypisudolnegoZnak">
    <w:name w:val="Tekst przypisu dolnego Znak"/>
    <w:aliases w:val="Char3 Znak, Char3 Znak,Fußnotentextf Znak,Fußnotentextr Znak,stile 1 Znak,Footnote1 Znak,Footnote2 Znak,Footnote3 Znak,Footnote4 Znak,Footnote5 Znak,Footnote6 Znak,Footnote7 Znak,Footnote8 Znak,Footnote9 Znak,Footnote10 Znak"/>
    <w:link w:val="Tekstprzypisudolnego"/>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omylnaczcionkaakapitu"/>
    <w:rsid w:val="008E1B6A"/>
  </w:style>
  <w:style w:type="paragraph" w:customStyle="1" w:styleId="ManualNumPar1">
    <w:name w:val="Manual NumPar 1"/>
    <w:basedOn w:val="Normalny"/>
    <w:next w:val="Normalny"/>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Nagwek1Znak">
    <w:name w:val="Nagłówek 1 Znak"/>
    <w:link w:val="Nagwek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Uwydatnienie">
    <w:name w:val="Emphasis"/>
    <w:uiPriority w:val="20"/>
    <w:qFormat/>
    <w:rsid w:val="005F028E"/>
    <w:rPr>
      <w:i/>
      <w:iCs/>
    </w:rPr>
  </w:style>
  <w:style w:type="paragraph" w:styleId="Poprawka">
    <w:name w:val="Revision"/>
    <w:link w:val="PoprawkaZnak"/>
    <w:hidden/>
    <w:uiPriority w:val="99"/>
    <w:semiHidden/>
    <w:rsid w:val="008E6A37"/>
    <w:rPr>
      <w:rFonts w:ascii="Georgia" w:hAnsi="Georgia"/>
      <w:sz w:val="22"/>
      <w:szCs w:val="24"/>
      <w:lang w:eastAsia="de-DE"/>
    </w:rPr>
  </w:style>
  <w:style w:type="paragraph" w:styleId="Spistreci3">
    <w:name w:val="toc 3"/>
    <w:basedOn w:val="Normalny"/>
    <w:next w:val="Normalny"/>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ny"/>
    <w:next w:val="Normalny"/>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ny"/>
    <w:next w:val="Normalny"/>
    <w:uiPriority w:val="99"/>
    <w:rsid w:val="00F377CD"/>
    <w:pPr>
      <w:autoSpaceDE w:val="0"/>
      <w:autoSpaceDN w:val="0"/>
      <w:adjustRightInd w:val="0"/>
    </w:pPr>
    <w:rPr>
      <w:rFonts w:ascii="EUAlbertina" w:eastAsia="Calibri" w:hAnsi="EUAlbertina"/>
      <w:sz w:val="24"/>
      <w:lang w:val="fr-FR" w:eastAsia="en-US"/>
    </w:rPr>
  </w:style>
  <w:style w:type="paragraph" w:styleId="Spistreci4">
    <w:name w:val="toc 4"/>
    <w:basedOn w:val="Normalny"/>
    <w:next w:val="Normalny"/>
    <w:autoRedefine/>
    <w:uiPriority w:val="39"/>
    <w:unhideWhenUsed/>
    <w:rsid w:val="00F377CD"/>
    <w:pPr>
      <w:spacing w:after="100" w:line="276" w:lineRule="auto"/>
      <w:ind w:left="660"/>
    </w:pPr>
    <w:rPr>
      <w:rFonts w:ascii="Calibri" w:hAnsi="Calibri"/>
      <w:szCs w:val="22"/>
      <w:lang w:eastAsia="en-GB"/>
    </w:rPr>
  </w:style>
  <w:style w:type="paragraph" w:styleId="Spistreci5">
    <w:name w:val="toc 5"/>
    <w:basedOn w:val="Normalny"/>
    <w:next w:val="Normalny"/>
    <w:autoRedefine/>
    <w:uiPriority w:val="39"/>
    <w:unhideWhenUsed/>
    <w:rsid w:val="00F377CD"/>
    <w:pPr>
      <w:spacing w:after="100" w:line="276" w:lineRule="auto"/>
      <w:ind w:left="880"/>
    </w:pPr>
    <w:rPr>
      <w:rFonts w:ascii="Calibri" w:hAnsi="Calibri"/>
      <w:szCs w:val="22"/>
      <w:lang w:eastAsia="en-GB"/>
    </w:rPr>
  </w:style>
  <w:style w:type="paragraph" w:styleId="Spistreci6">
    <w:name w:val="toc 6"/>
    <w:basedOn w:val="Normalny"/>
    <w:next w:val="Normalny"/>
    <w:autoRedefine/>
    <w:uiPriority w:val="39"/>
    <w:unhideWhenUsed/>
    <w:rsid w:val="00F377CD"/>
    <w:pPr>
      <w:spacing w:after="100" w:line="276" w:lineRule="auto"/>
      <w:ind w:left="1100"/>
    </w:pPr>
    <w:rPr>
      <w:rFonts w:ascii="Calibri" w:hAnsi="Calibri"/>
      <w:szCs w:val="22"/>
      <w:lang w:eastAsia="en-GB"/>
    </w:rPr>
  </w:style>
  <w:style w:type="paragraph" w:styleId="Spistreci7">
    <w:name w:val="toc 7"/>
    <w:basedOn w:val="Normalny"/>
    <w:next w:val="Normalny"/>
    <w:autoRedefine/>
    <w:uiPriority w:val="39"/>
    <w:unhideWhenUsed/>
    <w:rsid w:val="00F377CD"/>
    <w:pPr>
      <w:spacing w:after="100" w:line="276" w:lineRule="auto"/>
      <w:ind w:left="1320"/>
    </w:pPr>
    <w:rPr>
      <w:rFonts w:ascii="Calibri" w:hAnsi="Calibri"/>
      <w:szCs w:val="22"/>
      <w:lang w:eastAsia="en-GB"/>
    </w:rPr>
  </w:style>
  <w:style w:type="paragraph" w:styleId="Spistreci8">
    <w:name w:val="toc 8"/>
    <w:basedOn w:val="Normalny"/>
    <w:next w:val="Normalny"/>
    <w:autoRedefine/>
    <w:uiPriority w:val="39"/>
    <w:unhideWhenUsed/>
    <w:rsid w:val="00F377CD"/>
    <w:pPr>
      <w:spacing w:after="100" w:line="276" w:lineRule="auto"/>
      <w:ind w:left="1540"/>
    </w:pPr>
    <w:rPr>
      <w:rFonts w:ascii="Calibri" w:hAnsi="Calibri"/>
      <w:szCs w:val="22"/>
      <w:lang w:eastAsia="en-GB"/>
    </w:rPr>
  </w:style>
  <w:style w:type="paragraph" w:styleId="Spistreci9">
    <w:name w:val="toc 9"/>
    <w:basedOn w:val="Normalny"/>
    <w:next w:val="Normalny"/>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egenda">
    <w:name w:val="caption"/>
    <w:basedOn w:val="Normalny"/>
    <w:next w:val="Normalny"/>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nyWeb">
    <w:name w:val="Normal (Web)"/>
    <w:basedOn w:val="Normalny"/>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okumentu">
    <w:name w:val="Document Map"/>
    <w:basedOn w:val="Normalny"/>
    <w:link w:val="MapadokumentuZnak"/>
    <w:rsid w:val="00AA016B"/>
    <w:rPr>
      <w:rFonts w:ascii="Tahoma" w:hAnsi="Tahoma" w:cs="Tahoma"/>
      <w:sz w:val="16"/>
      <w:szCs w:val="16"/>
    </w:rPr>
  </w:style>
  <w:style w:type="character" w:customStyle="1" w:styleId="MapadokumentuZnak">
    <w:name w:val="Mapa dokumentu Znak"/>
    <w:link w:val="Mapadokumentu"/>
    <w:rsid w:val="00AA016B"/>
    <w:rPr>
      <w:rFonts w:ascii="Tahoma" w:hAnsi="Tahoma" w:cs="Tahoma"/>
      <w:sz w:val="16"/>
      <w:szCs w:val="16"/>
      <w:lang w:eastAsia="de-DE"/>
    </w:rPr>
  </w:style>
  <w:style w:type="paragraph" w:styleId="Zwykytekst">
    <w:name w:val="Plain Text"/>
    <w:basedOn w:val="Normalny"/>
    <w:link w:val="ZwykytekstZnak"/>
    <w:unhideWhenUsed/>
    <w:rsid w:val="00AA016B"/>
    <w:rPr>
      <w:rFonts w:ascii="Consolas" w:hAnsi="Consolas"/>
      <w:sz w:val="21"/>
      <w:szCs w:val="21"/>
      <w:lang w:val="de-DE"/>
    </w:rPr>
  </w:style>
  <w:style w:type="character" w:customStyle="1" w:styleId="ZwykytekstZnak">
    <w:name w:val="Zwykły tekst Znak"/>
    <w:link w:val="Zwykytekst"/>
    <w:rsid w:val="00AA016B"/>
    <w:rPr>
      <w:rFonts w:ascii="Consolas" w:hAnsi="Consolas"/>
      <w:sz w:val="21"/>
      <w:szCs w:val="21"/>
      <w:lang w:val="de-DE" w:eastAsia="de-DE"/>
    </w:rPr>
  </w:style>
  <w:style w:type="paragraph" w:styleId="Tekstpodstawowy">
    <w:name w:val="Body Text"/>
    <w:basedOn w:val="Normalny"/>
    <w:link w:val="TekstpodstawowyZnak"/>
    <w:unhideWhenUsed/>
    <w:rsid w:val="00AA016B"/>
    <w:pPr>
      <w:numPr>
        <w:numId w:val="9"/>
      </w:numPr>
      <w:spacing w:after="240"/>
      <w:jc w:val="both"/>
    </w:pPr>
    <w:rPr>
      <w:rFonts w:ascii="Times New Roman" w:hAnsi="Times New Roman"/>
      <w:sz w:val="24"/>
      <w:szCs w:val="20"/>
      <w:lang w:eastAsia="en-GB"/>
    </w:rPr>
  </w:style>
  <w:style w:type="character" w:customStyle="1" w:styleId="TekstpodstawowyZnak">
    <w:name w:val="Tekst podstawowy Znak"/>
    <w:link w:val="Tekstpodstawowy"/>
    <w:rsid w:val="00AA016B"/>
    <w:rPr>
      <w:sz w:val="24"/>
    </w:rPr>
  </w:style>
  <w:style w:type="paragraph" w:customStyle="1" w:styleId="ListParagraph1">
    <w:name w:val="List Paragraph1"/>
    <w:basedOn w:val="Normalny"/>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Pogrubienie">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Nagwek2Znak">
    <w:name w:val="Nagłówek 2 Znak"/>
    <w:link w:val="Nagwek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Nagwek9Znak">
    <w:name w:val="Nagłówek 9 Znak"/>
    <w:link w:val="Nagwe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ny"/>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Nagwek7Znak">
    <w:name w:val="Nagłówek 7 Znak"/>
    <w:link w:val="Nagwek7"/>
    <w:rsid w:val="002D6E1A"/>
    <w:rPr>
      <w:sz w:val="22"/>
      <w:szCs w:val="24"/>
      <w:lang w:eastAsia="de-DE"/>
    </w:rPr>
  </w:style>
  <w:style w:type="character" w:customStyle="1" w:styleId="Nagwek6Znak">
    <w:name w:val="Nagłówek 6 Znak"/>
    <w:link w:val="Nagwek6"/>
    <w:rsid w:val="002D6E1A"/>
    <w:rPr>
      <w:b/>
      <w:bCs/>
      <w:szCs w:val="22"/>
      <w:lang w:eastAsia="de-DE"/>
    </w:rPr>
  </w:style>
  <w:style w:type="character" w:customStyle="1" w:styleId="Nagwek8Znak">
    <w:name w:val="Nagłówek 8 Znak"/>
    <w:link w:val="Nagwek8"/>
    <w:rsid w:val="002D6E1A"/>
    <w:rPr>
      <w:i/>
      <w:iCs/>
      <w:szCs w:val="24"/>
      <w:lang w:eastAsia="de-DE"/>
    </w:rPr>
  </w:style>
  <w:style w:type="numbering" w:customStyle="1" w:styleId="NoList1">
    <w:name w:val="No List1"/>
    <w:next w:val="Bezlisty"/>
    <w:uiPriority w:val="99"/>
    <w:semiHidden/>
    <w:unhideWhenUsed/>
    <w:rsid w:val="002D6E1A"/>
  </w:style>
  <w:style w:type="character" w:styleId="UyteHipercze">
    <w:name w:val="FollowedHyperlink"/>
    <w:unhideWhenUsed/>
    <w:rsid w:val="002D6E1A"/>
    <w:rPr>
      <w:color w:val="800080"/>
      <w:u w:val="single"/>
    </w:rPr>
  </w:style>
  <w:style w:type="character" w:customStyle="1" w:styleId="NagwekZnak">
    <w:name w:val="Nagłówek Znak"/>
    <w:link w:val="Nagwek"/>
    <w:rsid w:val="002D6E1A"/>
    <w:rPr>
      <w:rFonts w:ascii="Georgia" w:hAnsi="Georgia"/>
      <w:sz w:val="22"/>
      <w:szCs w:val="24"/>
      <w:lang w:eastAsia="de-DE"/>
    </w:rPr>
  </w:style>
  <w:style w:type="character" w:customStyle="1" w:styleId="StopkaZnak">
    <w:name w:val="Stopka Znak"/>
    <w:link w:val="Stopka"/>
    <w:rsid w:val="002D6E1A"/>
    <w:rPr>
      <w:rFonts w:ascii="Georgia" w:hAnsi="Georgia"/>
      <w:sz w:val="22"/>
      <w:szCs w:val="24"/>
      <w:lang w:eastAsia="de-DE"/>
    </w:rPr>
  </w:style>
  <w:style w:type="paragraph" w:styleId="Tekstprzypisukocowego">
    <w:name w:val="endnote text"/>
    <w:basedOn w:val="Normalny"/>
    <w:link w:val="TekstprzypisukocowegoZnak"/>
    <w:unhideWhenUsed/>
    <w:rsid w:val="002D6E1A"/>
    <w:rPr>
      <w:szCs w:val="20"/>
    </w:rPr>
  </w:style>
  <w:style w:type="character" w:customStyle="1" w:styleId="TekstprzypisukocowegoZnak">
    <w:name w:val="Tekst przypisu końcowego Znak"/>
    <w:link w:val="Tekstprzypisukocowego"/>
    <w:rsid w:val="002D6E1A"/>
    <w:rPr>
      <w:rFonts w:ascii="Georgia" w:hAnsi="Georgia"/>
      <w:lang w:eastAsia="de-DE"/>
    </w:rPr>
  </w:style>
  <w:style w:type="paragraph" w:styleId="Listanumerowana">
    <w:name w:val="List Number"/>
    <w:basedOn w:val="Normalny"/>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AkapitzlistZnak">
    <w:name w:val="Akapit z listą Znak"/>
    <w:aliases w:val="Paragraphe EI Znak,Paragraphe de liste1 Znak,EC Znak"/>
    <w:link w:val="Akapitzlist"/>
    <w:uiPriority w:val="34"/>
    <w:locked/>
    <w:rsid w:val="002D6E1A"/>
    <w:rPr>
      <w:rFonts w:ascii="Georgia" w:hAnsi="Georgia"/>
      <w:sz w:val="22"/>
      <w:szCs w:val="24"/>
      <w:lang w:eastAsia="de-DE"/>
    </w:rPr>
  </w:style>
  <w:style w:type="paragraph" w:customStyle="1" w:styleId="04anumbering0">
    <w:name w:val="04anumbering"/>
    <w:basedOn w:val="Normalny"/>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ny"/>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Akapitzlist"/>
    <w:link w:val="DPChar"/>
    <w:qFormat/>
    <w:rsid w:val="002D6E1A"/>
    <w:pPr>
      <w:ind w:left="708"/>
      <w:contextualSpacing w:val="0"/>
      <w:jc w:val="both"/>
    </w:pPr>
    <w:rPr>
      <w:b/>
      <w:szCs w:val="20"/>
      <w:u w:val="single"/>
    </w:rPr>
  </w:style>
  <w:style w:type="paragraph" w:customStyle="1" w:styleId="Bullet">
    <w:name w:val="Bullet"/>
    <w:basedOn w:val="Normalny"/>
    <w:rsid w:val="002D6E1A"/>
    <w:pPr>
      <w:numPr>
        <w:numId w:val="12"/>
      </w:numPr>
      <w:tabs>
        <w:tab w:val="left" w:pos="708"/>
      </w:tabs>
      <w:spacing w:before="120" w:after="120" w:line="276" w:lineRule="auto"/>
      <w:jc w:val="both"/>
    </w:pPr>
    <w:rPr>
      <w:szCs w:val="20"/>
      <w:lang w:eastAsia="en-GB"/>
    </w:rPr>
  </w:style>
  <w:style w:type="character" w:styleId="Odwoanieprzypisukocowego">
    <w:name w:val="endnote reference"/>
    <w:unhideWhenUsed/>
    <w:rsid w:val="002D6E1A"/>
    <w:rPr>
      <w:vertAlign w:val="superscript"/>
    </w:rPr>
  </w:style>
  <w:style w:type="character" w:styleId="Tekstzastpczy">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Standardowy"/>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listy"/>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wiersza">
    <w:name w:val="line number"/>
    <w:basedOn w:val="Domylnaczcionkaakapitu"/>
    <w:uiPriority w:val="99"/>
    <w:unhideWhenUsed/>
    <w:rsid w:val="00952F2C"/>
  </w:style>
  <w:style w:type="paragraph" w:customStyle="1" w:styleId="aStyle">
    <w:name w:val="a) Style"/>
    <w:basedOn w:val="Normalny"/>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egend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ny"/>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Nagwek5Znak">
    <w:name w:val="Nagłówek 5 Znak"/>
    <w:aliases w:val="Questions Znak"/>
    <w:link w:val="Nagwek5"/>
    <w:rsid w:val="00E9344E"/>
    <w:rPr>
      <w:rFonts w:ascii="Georgia" w:hAnsi="Georgia"/>
      <w:b/>
      <w:szCs w:val="24"/>
      <w:lang w:eastAsia="de-DE"/>
    </w:rPr>
  </w:style>
  <w:style w:type="character" w:customStyle="1" w:styleId="Nagwek3Znak">
    <w:name w:val="Nagłówek 3 Znak"/>
    <w:link w:val="Nagwek3"/>
    <w:rsid w:val="003865E5"/>
    <w:rPr>
      <w:rFonts w:ascii="Cambria" w:eastAsia="Times New Roman" w:hAnsi="Cambria" w:cs="Times New Roman"/>
      <w:b/>
      <w:bCs/>
      <w:color w:val="4F81BD"/>
      <w:sz w:val="22"/>
      <w:szCs w:val="24"/>
      <w:lang w:eastAsia="de-DE"/>
    </w:rPr>
  </w:style>
  <w:style w:type="character" w:customStyle="1" w:styleId="Nagwek4Znak">
    <w:name w:val="Nagłówek 4 Znak"/>
    <w:link w:val="Nagwek4"/>
    <w:rsid w:val="00CB7286"/>
    <w:rPr>
      <w:b/>
      <w:bCs/>
      <w:sz w:val="28"/>
      <w:szCs w:val="28"/>
      <w:lang w:eastAsia="de-DE"/>
    </w:rPr>
  </w:style>
  <w:style w:type="table" w:styleId="Jasnalistaakcent3">
    <w:name w:val="Light List Accent 3"/>
    <w:basedOn w:val="Standardowy"/>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rdowy"/>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ny"/>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ny"/>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Nagwek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Nagwek1"/>
    <w:next w:val="Normalny"/>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ny"/>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ny"/>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ny"/>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ny"/>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ny"/>
    <w:next w:val="Normalny"/>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ny"/>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ny"/>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ny"/>
    <w:rsid w:val="000D2D0B"/>
    <w:rPr>
      <w:szCs w:val="20"/>
    </w:rPr>
  </w:style>
  <w:style w:type="paragraph" w:customStyle="1" w:styleId="Sbuchead">
    <w:name w:val="Sbuchead"/>
    <w:basedOn w:val="Normalny"/>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ny"/>
    <w:next w:val="Fait"/>
    <w:rsid w:val="000D2D0B"/>
    <w:pPr>
      <w:spacing w:before="480" w:after="120"/>
      <w:jc w:val="both"/>
    </w:pPr>
    <w:rPr>
      <w:rFonts w:ascii="Times New Roman" w:hAnsi="Times New Roman"/>
      <w:sz w:val="24"/>
      <w:lang w:eastAsia="en-US"/>
    </w:rPr>
  </w:style>
  <w:style w:type="paragraph" w:customStyle="1" w:styleId="Fait">
    <w:name w:val="Fait à"/>
    <w:basedOn w:val="Normalny"/>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ny"/>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ny"/>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ny"/>
    <w:next w:val="Normalny"/>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ny"/>
    <w:next w:val="Normalny"/>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ny"/>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ny"/>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ny"/>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ny"/>
    <w:rsid w:val="000D2D0B"/>
    <w:pPr>
      <w:spacing w:before="120" w:after="120"/>
      <w:ind w:left="850"/>
      <w:jc w:val="both"/>
    </w:pPr>
    <w:rPr>
      <w:rFonts w:ascii="Times New Roman" w:hAnsi="Times New Roman"/>
      <w:sz w:val="24"/>
      <w:lang w:eastAsia="en-US"/>
    </w:rPr>
  </w:style>
  <w:style w:type="paragraph" w:customStyle="1" w:styleId="Text2">
    <w:name w:val="Text 2"/>
    <w:basedOn w:val="Normalny"/>
    <w:rsid w:val="000D2D0B"/>
    <w:pPr>
      <w:spacing w:before="120" w:after="120"/>
      <w:ind w:left="1417"/>
      <w:jc w:val="both"/>
    </w:pPr>
    <w:rPr>
      <w:rFonts w:ascii="Times New Roman" w:hAnsi="Times New Roman"/>
      <w:sz w:val="24"/>
      <w:lang w:eastAsia="en-US"/>
    </w:rPr>
  </w:style>
  <w:style w:type="paragraph" w:customStyle="1" w:styleId="Text3">
    <w:name w:val="Text 3"/>
    <w:basedOn w:val="Normalny"/>
    <w:rsid w:val="000D2D0B"/>
    <w:pPr>
      <w:spacing w:before="120" w:after="120"/>
      <w:ind w:left="1984"/>
      <w:jc w:val="both"/>
    </w:pPr>
    <w:rPr>
      <w:rFonts w:ascii="Times New Roman" w:hAnsi="Times New Roman"/>
      <w:sz w:val="24"/>
      <w:lang w:eastAsia="en-US"/>
    </w:rPr>
  </w:style>
  <w:style w:type="paragraph" w:customStyle="1" w:styleId="Text4">
    <w:name w:val="Text 4"/>
    <w:basedOn w:val="Normalny"/>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ny"/>
    <w:rsid w:val="000D2D0B"/>
    <w:pPr>
      <w:spacing w:before="120" w:after="120"/>
      <w:jc w:val="center"/>
    </w:pPr>
    <w:rPr>
      <w:rFonts w:ascii="Times New Roman" w:hAnsi="Times New Roman"/>
      <w:sz w:val="24"/>
      <w:lang w:eastAsia="en-US"/>
    </w:rPr>
  </w:style>
  <w:style w:type="paragraph" w:customStyle="1" w:styleId="NormalLeft">
    <w:name w:val="Normal Left"/>
    <w:basedOn w:val="Normalny"/>
    <w:rsid w:val="000D2D0B"/>
    <w:pPr>
      <w:spacing w:before="120" w:after="120"/>
    </w:pPr>
    <w:rPr>
      <w:rFonts w:ascii="Times New Roman" w:hAnsi="Times New Roman"/>
      <w:sz w:val="24"/>
      <w:lang w:eastAsia="en-US"/>
    </w:rPr>
  </w:style>
  <w:style w:type="paragraph" w:customStyle="1" w:styleId="NormalRight">
    <w:name w:val="Normal Right"/>
    <w:basedOn w:val="Normalny"/>
    <w:rsid w:val="000D2D0B"/>
    <w:pPr>
      <w:spacing w:before="120" w:after="120"/>
      <w:jc w:val="right"/>
    </w:pPr>
    <w:rPr>
      <w:rFonts w:ascii="Times New Roman" w:hAnsi="Times New Roman"/>
      <w:sz w:val="24"/>
      <w:lang w:eastAsia="en-US"/>
    </w:rPr>
  </w:style>
  <w:style w:type="paragraph" w:customStyle="1" w:styleId="QuotedText">
    <w:name w:val="Quoted Text"/>
    <w:basedOn w:val="Normalny"/>
    <w:rsid w:val="000D2D0B"/>
    <w:pPr>
      <w:spacing w:before="120" w:after="120"/>
      <w:ind w:left="1417"/>
      <w:jc w:val="both"/>
    </w:pPr>
    <w:rPr>
      <w:rFonts w:ascii="Times New Roman" w:hAnsi="Times New Roman"/>
      <w:sz w:val="24"/>
      <w:lang w:eastAsia="en-US"/>
    </w:rPr>
  </w:style>
  <w:style w:type="paragraph" w:customStyle="1" w:styleId="Point0">
    <w:name w:val="Point 0"/>
    <w:basedOn w:val="Normalny"/>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ny"/>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ny"/>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ny"/>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ny"/>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ny"/>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ny"/>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ny"/>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ny"/>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ny"/>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ny"/>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ny"/>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ny"/>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ny"/>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ny"/>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ny"/>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ny"/>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ny"/>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ny"/>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ny"/>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ny"/>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ny"/>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ny"/>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ny"/>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ny"/>
    <w:next w:val="Normalny"/>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ny"/>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ny"/>
    <w:next w:val="Nagwe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ny"/>
    <w:next w:val="Normalny"/>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ny"/>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ny"/>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ny"/>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ny"/>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ny"/>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ny"/>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ny"/>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ny"/>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ny"/>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ny"/>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ny"/>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ny"/>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ny"/>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ny"/>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ny"/>
    <w:next w:val="Normalny"/>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ny"/>
    <w:next w:val="Normalny"/>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ny"/>
    <w:next w:val="Normalny"/>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ny"/>
    <w:next w:val="Normalny"/>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ny"/>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ny"/>
    <w:next w:val="Normalny"/>
    <w:rsid w:val="000D2D0B"/>
    <w:pPr>
      <w:spacing w:after="240"/>
    </w:pPr>
    <w:rPr>
      <w:rFonts w:ascii="Times New Roman" w:hAnsi="Times New Roman"/>
      <w:sz w:val="24"/>
      <w:lang w:eastAsia="en-US"/>
    </w:rPr>
  </w:style>
  <w:style w:type="paragraph" w:customStyle="1" w:styleId="Datedadoption">
    <w:name w:val="Date d'adoption"/>
    <w:basedOn w:val="Normalny"/>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ny"/>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ny"/>
    <w:next w:val="Normalny"/>
    <w:rsid w:val="000D2D0B"/>
    <w:pPr>
      <w:keepNext/>
      <w:spacing w:before="600" w:after="120"/>
      <w:jc w:val="both"/>
    </w:pPr>
    <w:rPr>
      <w:rFonts w:ascii="Times New Roman" w:hAnsi="Times New Roman"/>
      <w:sz w:val="24"/>
      <w:lang w:eastAsia="en-US"/>
    </w:rPr>
  </w:style>
  <w:style w:type="paragraph" w:customStyle="1" w:styleId="Langue">
    <w:name w:val="Langue"/>
    <w:basedOn w:val="Normalny"/>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ny"/>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ny"/>
    <w:next w:val="Emission"/>
    <w:rsid w:val="000D2D0B"/>
    <w:rPr>
      <w:rFonts w:ascii="Arial" w:hAnsi="Arial" w:cs="Arial"/>
      <w:sz w:val="24"/>
      <w:lang w:eastAsia="en-US"/>
    </w:rPr>
  </w:style>
  <w:style w:type="paragraph" w:customStyle="1" w:styleId="Rfrenceinstitutionnelle">
    <w:name w:val="Référence institutionnelle"/>
    <w:basedOn w:val="Normalny"/>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ny"/>
    <w:next w:val="Statut"/>
    <w:rsid w:val="000D2D0B"/>
    <w:pPr>
      <w:ind w:left="5103"/>
    </w:pPr>
    <w:rPr>
      <w:rFonts w:ascii="Times New Roman" w:hAnsi="Times New Roman"/>
      <w:sz w:val="24"/>
      <w:lang w:eastAsia="en-US"/>
    </w:rPr>
  </w:style>
  <w:style w:type="paragraph" w:customStyle="1" w:styleId="Rfrenceinterne">
    <w:name w:val="Référence interne"/>
    <w:basedOn w:val="Normalny"/>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ny"/>
    <w:rsid w:val="000D2D0B"/>
    <w:pPr>
      <w:jc w:val="center"/>
    </w:pPr>
    <w:rPr>
      <w:rFonts w:ascii="Times New Roman" w:hAnsi="Times New Roman"/>
      <w:b/>
      <w:sz w:val="24"/>
      <w:lang w:eastAsia="en-US"/>
    </w:rPr>
  </w:style>
  <w:style w:type="paragraph" w:customStyle="1" w:styleId="Statut">
    <w:name w:val="Statut"/>
    <w:basedOn w:val="Normalny"/>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ny"/>
    <w:next w:val="Normalny"/>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ny"/>
    <w:next w:val="Normalny"/>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ny"/>
    <w:next w:val="Normalny"/>
    <w:rsid w:val="000D2D0B"/>
    <w:pPr>
      <w:spacing w:before="120" w:after="120"/>
      <w:jc w:val="both"/>
    </w:pPr>
    <w:rPr>
      <w:rFonts w:ascii="Times New Roman" w:hAnsi="Times New Roman"/>
      <w:sz w:val="24"/>
      <w:lang w:eastAsia="en-US"/>
    </w:rPr>
  </w:style>
  <w:style w:type="paragraph" w:customStyle="1" w:styleId="Supertitre">
    <w:name w:val="Supertitre"/>
    <w:basedOn w:val="Normalny"/>
    <w:next w:val="Normalny"/>
    <w:rsid w:val="000D2D0B"/>
    <w:pPr>
      <w:spacing w:after="600"/>
      <w:jc w:val="center"/>
    </w:pPr>
    <w:rPr>
      <w:rFonts w:ascii="Times New Roman" w:hAnsi="Times New Roman"/>
      <w:b/>
      <w:sz w:val="24"/>
      <w:lang w:eastAsia="en-US"/>
    </w:rPr>
  </w:style>
  <w:style w:type="paragraph" w:customStyle="1" w:styleId="Languesfaisantfoi">
    <w:name w:val="Langues faisant foi"/>
    <w:basedOn w:val="Normalny"/>
    <w:next w:val="Normalny"/>
    <w:rsid w:val="000D2D0B"/>
    <w:pPr>
      <w:spacing w:before="360"/>
      <w:jc w:val="center"/>
    </w:pPr>
    <w:rPr>
      <w:rFonts w:ascii="Times New Roman" w:hAnsi="Times New Roman"/>
      <w:sz w:val="24"/>
      <w:lang w:eastAsia="en-US"/>
    </w:rPr>
  </w:style>
  <w:style w:type="paragraph" w:customStyle="1" w:styleId="Rfrencecroise">
    <w:name w:val="Référence croisée"/>
    <w:basedOn w:val="Normalny"/>
    <w:rsid w:val="000D2D0B"/>
    <w:pPr>
      <w:jc w:val="center"/>
    </w:pPr>
    <w:rPr>
      <w:rFonts w:ascii="Times New Roman" w:hAnsi="Times New Roman"/>
      <w:sz w:val="24"/>
      <w:lang w:eastAsia="en-US"/>
    </w:rPr>
  </w:style>
  <w:style w:type="paragraph" w:customStyle="1" w:styleId="Fichefinanciretitre">
    <w:name w:val="Fiche financière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ny"/>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ny"/>
    <w:rsid w:val="000D2D0B"/>
    <w:pPr>
      <w:spacing w:after="240"/>
    </w:pPr>
  </w:style>
  <w:style w:type="paragraph" w:customStyle="1" w:styleId="Accompagnant">
    <w:name w:val="Accompagnant"/>
    <w:basedOn w:val="Normalny"/>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ny"/>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ny"/>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ny"/>
    <w:next w:val="Normalny"/>
    <w:rsid w:val="000D2D0B"/>
    <w:pPr>
      <w:spacing w:before="360"/>
      <w:jc w:val="center"/>
    </w:pPr>
    <w:rPr>
      <w:rFonts w:ascii="Times New Roman" w:hAnsi="Times New Roman"/>
      <w:sz w:val="24"/>
      <w:lang w:eastAsia="en-US"/>
    </w:rPr>
  </w:style>
  <w:style w:type="paragraph" w:styleId="Listanumerowana2">
    <w:name w:val="List Number 2"/>
    <w:basedOn w:val="Normalny"/>
    <w:rsid w:val="000D2D0B"/>
    <w:pPr>
      <w:tabs>
        <w:tab w:val="num" w:pos="643"/>
      </w:tabs>
      <w:spacing w:before="120" w:after="120"/>
      <w:ind w:left="643" w:hanging="360"/>
      <w:jc w:val="both"/>
    </w:pPr>
    <w:rPr>
      <w:rFonts w:ascii="Times New Roman" w:hAnsi="Times New Roman"/>
      <w:sz w:val="24"/>
      <w:lang w:eastAsia="en-US"/>
    </w:rPr>
  </w:style>
  <w:style w:type="paragraph" w:styleId="Listanumerowana3">
    <w:name w:val="List Number 3"/>
    <w:basedOn w:val="Normalny"/>
    <w:rsid w:val="000D2D0B"/>
    <w:pPr>
      <w:tabs>
        <w:tab w:val="num" w:pos="926"/>
      </w:tabs>
      <w:spacing w:before="120" w:after="120"/>
      <w:ind w:left="926" w:hanging="360"/>
      <w:jc w:val="both"/>
    </w:pPr>
    <w:rPr>
      <w:rFonts w:ascii="Times New Roman" w:hAnsi="Times New Roman"/>
      <w:sz w:val="24"/>
      <w:lang w:eastAsia="en-US"/>
    </w:rPr>
  </w:style>
  <w:style w:type="paragraph" w:styleId="Listanumerowana4">
    <w:name w:val="List Number 4"/>
    <w:basedOn w:val="Normalny"/>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punktowana">
    <w:name w:val="List Bullet"/>
    <w:basedOn w:val="Normalny"/>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apunktowana2">
    <w:name w:val="List Bullet 2"/>
    <w:basedOn w:val="Normalny"/>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punktowana3">
    <w:name w:val="List Bullet 3"/>
    <w:basedOn w:val="Normalny"/>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apunktowana4">
    <w:name w:val="List Bullet 4"/>
    <w:basedOn w:val="Normalny"/>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Spisilustracji">
    <w:name w:val="table of figures"/>
    <w:basedOn w:val="Normalny"/>
    <w:next w:val="Normalny"/>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ny"/>
    <w:rsid w:val="000D2D0B"/>
    <w:pPr>
      <w:ind w:left="720"/>
      <w:contextualSpacing/>
    </w:pPr>
    <w:rPr>
      <w:rFonts w:ascii="Cambria" w:hAnsi="Cambria"/>
      <w:sz w:val="24"/>
      <w:lang w:val="en-US" w:eastAsia="en-US"/>
    </w:rPr>
  </w:style>
  <w:style w:type="paragraph" w:customStyle="1" w:styleId="Listeavsnitt1">
    <w:name w:val="Listeavsnitt1"/>
    <w:basedOn w:val="Normalny"/>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ny"/>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ny"/>
    <w:uiPriority w:val="99"/>
    <w:rsid w:val="000D2D0B"/>
    <w:pPr>
      <w:ind w:left="720"/>
      <w:contextualSpacing/>
    </w:pPr>
    <w:rPr>
      <w:rFonts w:ascii="Cambria" w:hAnsi="Cambria"/>
      <w:sz w:val="24"/>
      <w:lang w:val="en-US" w:eastAsia="en-US"/>
    </w:rPr>
  </w:style>
  <w:style w:type="paragraph" w:customStyle="1" w:styleId="ListParagraph2">
    <w:name w:val="List Paragraph2"/>
    <w:basedOn w:val="Normalny"/>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Nagwek1"/>
    <w:next w:val="Normalny"/>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ny"/>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ny"/>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ny"/>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ny"/>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ny"/>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ny"/>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ytu">
    <w:name w:val="Title"/>
    <w:basedOn w:val="Normalny"/>
    <w:next w:val="Normalny"/>
    <w:link w:val="TytuZnak"/>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ytuZnak">
    <w:name w:val="Tytuł Znak"/>
    <w:link w:val="Tytu"/>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ny"/>
    <w:rsid w:val="000D2D0B"/>
    <w:pPr>
      <w:spacing w:before="320" w:line="260" w:lineRule="exact"/>
      <w:jc w:val="both"/>
    </w:pPr>
    <w:rPr>
      <w:rFonts w:ascii="Myriad Pro Light" w:hAnsi="Myriad Pro Light"/>
      <w:b/>
      <w:sz w:val="21"/>
      <w:szCs w:val="20"/>
      <w:lang w:val="es-ES" w:eastAsia="es-ES"/>
    </w:rPr>
  </w:style>
  <w:style w:type="character" w:customStyle="1" w:styleId="PoprawkaZnak">
    <w:name w:val="Poprawka Znak"/>
    <w:link w:val="Poprawka"/>
    <w:uiPriority w:val="99"/>
    <w:semiHidden/>
    <w:locked/>
    <w:rsid w:val="000D2D0B"/>
    <w:rPr>
      <w:rFonts w:ascii="Georgia" w:hAnsi="Georgia"/>
      <w:sz w:val="22"/>
      <w:szCs w:val="24"/>
      <w:lang w:eastAsia="de-DE"/>
    </w:rPr>
  </w:style>
  <w:style w:type="table" w:customStyle="1" w:styleId="TableGrid2">
    <w:name w:val="Table Grid2"/>
    <w:basedOn w:val="Standardowy"/>
    <w:next w:val="Tabela-Siatk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aliases w:val="Question"/>
    <w:uiPriority w:val="19"/>
    <w:qFormat/>
    <w:rsid w:val="003A6E9A"/>
    <w:rPr>
      <w:b/>
      <w:i w:val="0"/>
      <w:iCs/>
      <w:sz w:val="20"/>
    </w:rPr>
  </w:style>
  <w:style w:type="paragraph" w:customStyle="1" w:styleId="NEW-Paragraph-Level1">
    <w:name w:val="NEW-Paragraph-Level1"/>
    <w:basedOn w:val="Normalny"/>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ny"/>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ny"/>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ny"/>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ny"/>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ny"/>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ny"/>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ny"/>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ny"/>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ny"/>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ny"/>
    <w:link w:val="Questions-ESMAChar"/>
    <w:qFormat/>
    <w:rsid w:val="00682E4A"/>
    <w:pPr>
      <w:spacing w:after="120" w:line="264" w:lineRule="auto"/>
      <w:ind w:left="703" w:hanging="703"/>
      <w:jc w:val="both"/>
      <w:outlineLvl w:val="1"/>
    </w:pPr>
    <w:rPr>
      <w:rFonts w:ascii="Calibri" w:hAnsi="Calibri"/>
      <w:b/>
      <w:sz w:val="22"/>
      <w:szCs w:val="20"/>
      <w:lang w:eastAsia="en-US"/>
    </w:rPr>
  </w:style>
  <w:style w:type="character" w:customStyle="1" w:styleId="Questions-ESMAChar">
    <w:name w:val="Questions-ESMA Char"/>
    <w:link w:val="Questions-ESMA"/>
    <w:rsid w:val="00682E4A"/>
    <w:rPr>
      <w:rFonts w:ascii="Calibri" w:hAnsi="Calibr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136F4"/>
    <w:rPr>
      <w:rFonts w:ascii="Georgia" w:hAnsi="Georgia"/>
      <w:szCs w:val="24"/>
      <w:lang w:eastAsia="de-DE"/>
    </w:rPr>
  </w:style>
  <w:style w:type="paragraph" w:styleId="Nagwek1">
    <w:name w:val="heading 1"/>
    <w:basedOn w:val="Normalny"/>
    <w:next w:val="Normalny"/>
    <w:link w:val="Nagwek1Znak"/>
    <w:qFormat/>
    <w:rsid w:val="009E7724"/>
    <w:pPr>
      <w:keepNext/>
      <w:numPr>
        <w:numId w:val="6"/>
      </w:numPr>
      <w:spacing w:before="240" w:after="60"/>
      <w:outlineLvl w:val="0"/>
    </w:pPr>
    <w:rPr>
      <w:rFonts w:cs="Arial"/>
      <w:b/>
      <w:bCs/>
      <w:kern w:val="32"/>
      <w:sz w:val="24"/>
      <w:szCs w:val="32"/>
    </w:rPr>
  </w:style>
  <w:style w:type="paragraph" w:styleId="Nagwek2">
    <w:name w:val="heading 2"/>
    <w:basedOn w:val="Normalny"/>
    <w:next w:val="Normalny"/>
    <w:link w:val="Nagwek2Znak"/>
    <w:qFormat/>
    <w:rsid w:val="00886A60"/>
    <w:pPr>
      <w:keepNext/>
      <w:keepLines/>
      <w:spacing w:before="200" w:after="120"/>
      <w:outlineLvl w:val="1"/>
    </w:pPr>
    <w:rPr>
      <w:b/>
      <w:bCs/>
      <w:szCs w:val="26"/>
    </w:rPr>
  </w:style>
  <w:style w:type="paragraph" w:styleId="Nagwek3">
    <w:name w:val="heading 3"/>
    <w:basedOn w:val="Normalny"/>
    <w:next w:val="Normalny"/>
    <w:link w:val="Nagwek3Znak"/>
    <w:qFormat/>
    <w:rsid w:val="003865E5"/>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Nagwek5">
    <w:name w:val="heading 5"/>
    <w:aliases w:val="Questions"/>
    <w:basedOn w:val="Normalny"/>
    <w:next w:val="Normalny"/>
    <w:link w:val="Nagwek5Znak"/>
    <w:qFormat/>
    <w:rsid w:val="00E9344E"/>
    <w:pPr>
      <w:keepNext/>
      <w:keepLines/>
      <w:numPr>
        <w:numId w:val="14"/>
      </w:numPr>
      <w:spacing w:before="200"/>
      <w:jc w:val="both"/>
      <w:outlineLvl w:val="4"/>
    </w:pPr>
    <w:rPr>
      <w:b/>
    </w:rPr>
  </w:style>
  <w:style w:type="paragraph" w:styleId="Nagwek6">
    <w:name w:val="heading 6"/>
    <w:basedOn w:val="Normalny"/>
    <w:next w:val="Normalny"/>
    <w:link w:val="Nagwek6Znak"/>
    <w:qFormat/>
    <w:rsid w:val="003609B6"/>
    <w:pPr>
      <w:numPr>
        <w:ilvl w:val="5"/>
        <w:numId w:val="4"/>
      </w:numPr>
      <w:spacing w:before="240" w:after="60"/>
      <w:outlineLvl w:val="5"/>
    </w:pPr>
    <w:rPr>
      <w:rFonts w:ascii="Times New Roman" w:hAnsi="Times New Roman"/>
      <w:b/>
      <w:bCs/>
      <w:szCs w:val="22"/>
    </w:rPr>
  </w:style>
  <w:style w:type="paragraph" w:styleId="Nagwek7">
    <w:name w:val="heading 7"/>
    <w:basedOn w:val="Normalny"/>
    <w:next w:val="Normalny"/>
    <w:link w:val="Nagwek7Znak"/>
    <w:unhideWhenUsed/>
    <w:qFormat/>
    <w:rsid w:val="002D6E1A"/>
    <w:pPr>
      <w:spacing w:before="240" w:after="60"/>
      <w:ind w:left="1296" w:hanging="1296"/>
      <w:outlineLvl w:val="6"/>
    </w:pPr>
    <w:rPr>
      <w:rFonts w:ascii="Times New Roman" w:hAnsi="Times New Roman"/>
    </w:rPr>
  </w:style>
  <w:style w:type="paragraph" w:styleId="Nagwek8">
    <w:name w:val="heading 8"/>
    <w:basedOn w:val="Normalny"/>
    <w:next w:val="Normalny"/>
    <w:link w:val="Nagwek8Znak"/>
    <w:qFormat/>
    <w:rsid w:val="003609B6"/>
    <w:pPr>
      <w:numPr>
        <w:ilvl w:val="7"/>
        <w:numId w:val="4"/>
      </w:numPr>
      <w:spacing w:before="240" w:after="60"/>
      <w:outlineLvl w:val="7"/>
    </w:pPr>
    <w:rPr>
      <w:rFonts w:ascii="Times New Roman" w:hAnsi="Times New Roman"/>
      <w:i/>
      <w:iCs/>
    </w:rPr>
  </w:style>
  <w:style w:type="paragraph" w:styleId="Nagwek9">
    <w:name w:val="heading 9"/>
    <w:basedOn w:val="Normalny"/>
    <w:next w:val="Normalny"/>
    <w:link w:val="Nagwek9Znak"/>
    <w:qFormat/>
    <w:rsid w:val="00A06867"/>
    <w:pPr>
      <w:tabs>
        <w:tab w:val="num" w:pos="1584"/>
      </w:tabs>
      <w:spacing w:before="240" w:after="60"/>
      <w:ind w:left="1584" w:hanging="1584"/>
      <w:outlineLvl w:val="8"/>
    </w:pPr>
    <w:rPr>
      <w:rFonts w:ascii="Arial" w:hAnsi="Arial"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B64CB"/>
    <w:pPr>
      <w:tabs>
        <w:tab w:val="center" w:pos="4536"/>
        <w:tab w:val="right" w:pos="9072"/>
      </w:tabs>
    </w:pPr>
  </w:style>
  <w:style w:type="paragraph" w:styleId="Stopka">
    <w:name w:val="footer"/>
    <w:basedOn w:val="Normalny"/>
    <w:link w:val="StopkaZnak"/>
    <w:rsid w:val="005B64CB"/>
    <w:pPr>
      <w:tabs>
        <w:tab w:val="center" w:pos="4536"/>
        <w:tab w:val="right" w:pos="9072"/>
      </w:tabs>
    </w:pPr>
  </w:style>
  <w:style w:type="table" w:styleId="Tabela-Siatka">
    <w:name w:val="Table Grid"/>
    <w:basedOn w:val="Standardowy"/>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ny"/>
    <w:rsid w:val="003E3ACA"/>
    <w:pPr>
      <w:spacing w:line="200" w:lineRule="exact"/>
    </w:pPr>
    <w:rPr>
      <w:color w:val="2D4190"/>
      <w:sz w:val="16"/>
    </w:rPr>
  </w:style>
  <w:style w:type="paragraph" w:customStyle="1" w:styleId="05aTitle">
    <w:name w:val="05a_Title"/>
    <w:basedOn w:val="Normalny"/>
    <w:rsid w:val="00791EB4"/>
    <w:pPr>
      <w:spacing w:line="340" w:lineRule="exact"/>
    </w:pPr>
    <w:rPr>
      <w:b/>
      <w:color w:val="000000"/>
      <w:sz w:val="28"/>
    </w:rPr>
  </w:style>
  <w:style w:type="paragraph" w:customStyle="1" w:styleId="02Date">
    <w:name w:val="02_Date"/>
    <w:basedOn w:val="Normalny"/>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ny"/>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strony">
    <w:name w:val="page number"/>
    <w:basedOn w:val="Domylnaczcionkaakapitu"/>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pistreci1">
    <w:name w:val="toc 1"/>
    <w:basedOn w:val="Normalny"/>
    <w:next w:val="Normalny"/>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cz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kstprzypisudolnego">
    <w:name w:val="footnote text"/>
    <w:aliases w:val="Char3, Char3,Fußnotentextf,Fußnotentextr,stile 1,Footnote1,Footnote2,Footnote3,Footnote4,Footnote5,Footnote6,Footnote7,Footnote8,Footnote9,Footnote10,Footnote11,Footnote21,Footnote31,Footnote41,Footnote51,Footnote61,Footnote71"/>
    <w:basedOn w:val="Normalny"/>
    <w:link w:val="TekstprzypisudolnegoZnak"/>
    <w:uiPriority w:val="99"/>
    <w:rsid w:val="001725A5"/>
    <w:pPr>
      <w:spacing w:line="200" w:lineRule="exact"/>
    </w:pPr>
    <w:rPr>
      <w:sz w:val="16"/>
      <w:szCs w:val="20"/>
    </w:rPr>
  </w:style>
  <w:style w:type="character" w:styleId="Odwoanieprzypisudolnego">
    <w:name w:val="footnote reference"/>
    <w:aliases w:val="SUPERS,Footnote reference number,Footnote symbol,note TESI,-E Fußnotenzeichen,number,BVI fnr,Footnote,Footnote Reference Superscript,(Footnote Reference),EN Footnote Reference,Voetnootverwijzing,Times 10 Point,Exposant 3 Poi"/>
    <w:uiPriority w:val="99"/>
    <w:rsid w:val="00C274F3"/>
    <w:rPr>
      <w:vertAlign w:val="superscript"/>
    </w:rPr>
  </w:style>
  <w:style w:type="paragraph" w:styleId="Spistreci2">
    <w:name w:val="toc 2"/>
    <w:basedOn w:val="Normalny"/>
    <w:next w:val="Normalny"/>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ny"/>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Odwoaniedokomentarza">
    <w:name w:val="annotation reference"/>
    <w:rsid w:val="004B1E61"/>
    <w:rPr>
      <w:sz w:val="16"/>
      <w:szCs w:val="16"/>
    </w:rPr>
  </w:style>
  <w:style w:type="paragraph" w:styleId="Tekstkomentarza">
    <w:name w:val="annotation text"/>
    <w:basedOn w:val="Normalny"/>
    <w:link w:val="TekstkomentarzaZnak"/>
    <w:rsid w:val="004B1E61"/>
    <w:rPr>
      <w:szCs w:val="20"/>
    </w:rPr>
  </w:style>
  <w:style w:type="character" w:customStyle="1" w:styleId="TekstkomentarzaZnak">
    <w:name w:val="Tekst komentarza Znak"/>
    <w:link w:val="Tekstkomentarza"/>
    <w:uiPriority w:val="99"/>
    <w:rsid w:val="004B1E61"/>
    <w:rPr>
      <w:rFonts w:ascii="Georgia" w:hAnsi="Georgia"/>
      <w:lang w:eastAsia="de-DE"/>
    </w:rPr>
  </w:style>
  <w:style w:type="paragraph" w:styleId="Tematkomentarza">
    <w:name w:val="annotation subject"/>
    <w:basedOn w:val="Tekstkomentarza"/>
    <w:next w:val="Tekstkomentarza"/>
    <w:link w:val="TematkomentarzaZnak"/>
    <w:rsid w:val="004B1E61"/>
    <w:rPr>
      <w:b/>
      <w:bCs/>
    </w:rPr>
  </w:style>
  <w:style w:type="character" w:customStyle="1" w:styleId="TematkomentarzaZnak">
    <w:name w:val="Temat komentarza Znak"/>
    <w:link w:val="Tematkomentarza"/>
    <w:rsid w:val="004B1E61"/>
    <w:rPr>
      <w:rFonts w:ascii="Georgia" w:hAnsi="Georgia"/>
      <w:b/>
      <w:bCs/>
      <w:lang w:eastAsia="de-DE"/>
    </w:rPr>
  </w:style>
  <w:style w:type="paragraph" w:styleId="Tekstdymka">
    <w:name w:val="Balloon Text"/>
    <w:basedOn w:val="Normalny"/>
    <w:link w:val="TekstdymkaZnak"/>
    <w:rsid w:val="004B1E61"/>
    <w:rPr>
      <w:rFonts w:ascii="Tahoma" w:hAnsi="Tahoma" w:cs="Tahoma"/>
      <w:sz w:val="16"/>
      <w:szCs w:val="16"/>
    </w:rPr>
  </w:style>
  <w:style w:type="character" w:customStyle="1" w:styleId="TekstdymkaZnak">
    <w:name w:val="Tekst dymka Znak"/>
    <w:link w:val="Tekstdymka"/>
    <w:rsid w:val="004B1E61"/>
    <w:rPr>
      <w:rFonts w:ascii="Tahoma" w:hAnsi="Tahoma" w:cs="Tahoma"/>
      <w:sz w:val="16"/>
      <w:szCs w:val="16"/>
      <w:lang w:eastAsia="de-DE"/>
    </w:rPr>
  </w:style>
  <w:style w:type="paragraph" w:styleId="Akapitzlist">
    <w:name w:val="List Paragraph"/>
    <w:aliases w:val="Paragraphe EI,Paragraphe de liste1,EC"/>
    <w:basedOn w:val="Normalny"/>
    <w:link w:val="AkapitzlistZnak"/>
    <w:uiPriority w:val="34"/>
    <w:qFormat/>
    <w:rsid w:val="002A0C82"/>
    <w:pPr>
      <w:ind w:left="720"/>
      <w:contextualSpacing/>
    </w:pPr>
  </w:style>
  <w:style w:type="paragraph" w:styleId="Nagwekspisutreci">
    <w:name w:val="TOC Heading"/>
    <w:basedOn w:val="Nagwek1"/>
    <w:next w:val="Normalny"/>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kstprzypisudolnegoZnak">
    <w:name w:val="Tekst przypisu dolnego Znak"/>
    <w:aliases w:val="Char3 Znak, Char3 Znak,Fußnotentextf Znak,Fußnotentextr Znak,stile 1 Znak,Footnote1 Znak,Footnote2 Znak,Footnote3 Znak,Footnote4 Znak,Footnote5 Znak,Footnote6 Znak,Footnote7 Znak,Footnote8 Znak,Footnote9 Znak,Footnote10 Znak"/>
    <w:link w:val="Tekstprzypisudolnego"/>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omylnaczcionkaakapitu"/>
    <w:rsid w:val="008E1B6A"/>
  </w:style>
  <w:style w:type="paragraph" w:customStyle="1" w:styleId="ManualNumPar1">
    <w:name w:val="Manual NumPar 1"/>
    <w:basedOn w:val="Normalny"/>
    <w:next w:val="Normalny"/>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Nagwek1Znak">
    <w:name w:val="Nagłówek 1 Znak"/>
    <w:link w:val="Nagwek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Uwydatnienie">
    <w:name w:val="Emphasis"/>
    <w:uiPriority w:val="20"/>
    <w:qFormat/>
    <w:rsid w:val="005F028E"/>
    <w:rPr>
      <w:i/>
      <w:iCs/>
    </w:rPr>
  </w:style>
  <w:style w:type="paragraph" w:styleId="Poprawka">
    <w:name w:val="Revision"/>
    <w:link w:val="PoprawkaZnak"/>
    <w:hidden/>
    <w:uiPriority w:val="99"/>
    <w:semiHidden/>
    <w:rsid w:val="008E6A37"/>
    <w:rPr>
      <w:rFonts w:ascii="Georgia" w:hAnsi="Georgia"/>
      <w:sz w:val="22"/>
      <w:szCs w:val="24"/>
      <w:lang w:eastAsia="de-DE"/>
    </w:rPr>
  </w:style>
  <w:style w:type="paragraph" w:styleId="Spistreci3">
    <w:name w:val="toc 3"/>
    <w:basedOn w:val="Normalny"/>
    <w:next w:val="Normalny"/>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ny"/>
    <w:next w:val="Normalny"/>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ny"/>
    <w:next w:val="Normalny"/>
    <w:uiPriority w:val="99"/>
    <w:rsid w:val="00F377CD"/>
    <w:pPr>
      <w:autoSpaceDE w:val="0"/>
      <w:autoSpaceDN w:val="0"/>
      <w:adjustRightInd w:val="0"/>
    </w:pPr>
    <w:rPr>
      <w:rFonts w:ascii="EUAlbertina" w:eastAsia="Calibri" w:hAnsi="EUAlbertina"/>
      <w:sz w:val="24"/>
      <w:lang w:val="fr-FR" w:eastAsia="en-US"/>
    </w:rPr>
  </w:style>
  <w:style w:type="paragraph" w:styleId="Spistreci4">
    <w:name w:val="toc 4"/>
    <w:basedOn w:val="Normalny"/>
    <w:next w:val="Normalny"/>
    <w:autoRedefine/>
    <w:uiPriority w:val="39"/>
    <w:unhideWhenUsed/>
    <w:rsid w:val="00F377CD"/>
    <w:pPr>
      <w:spacing w:after="100" w:line="276" w:lineRule="auto"/>
      <w:ind w:left="660"/>
    </w:pPr>
    <w:rPr>
      <w:rFonts w:ascii="Calibri" w:hAnsi="Calibri"/>
      <w:szCs w:val="22"/>
      <w:lang w:eastAsia="en-GB"/>
    </w:rPr>
  </w:style>
  <w:style w:type="paragraph" w:styleId="Spistreci5">
    <w:name w:val="toc 5"/>
    <w:basedOn w:val="Normalny"/>
    <w:next w:val="Normalny"/>
    <w:autoRedefine/>
    <w:uiPriority w:val="39"/>
    <w:unhideWhenUsed/>
    <w:rsid w:val="00F377CD"/>
    <w:pPr>
      <w:spacing w:after="100" w:line="276" w:lineRule="auto"/>
      <w:ind w:left="880"/>
    </w:pPr>
    <w:rPr>
      <w:rFonts w:ascii="Calibri" w:hAnsi="Calibri"/>
      <w:szCs w:val="22"/>
      <w:lang w:eastAsia="en-GB"/>
    </w:rPr>
  </w:style>
  <w:style w:type="paragraph" w:styleId="Spistreci6">
    <w:name w:val="toc 6"/>
    <w:basedOn w:val="Normalny"/>
    <w:next w:val="Normalny"/>
    <w:autoRedefine/>
    <w:uiPriority w:val="39"/>
    <w:unhideWhenUsed/>
    <w:rsid w:val="00F377CD"/>
    <w:pPr>
      <w:spacing w:after="100" w:line="276" w:lineRule="auto"/>
      <w:ind w:left="1100"/>
    </w:pPr>
    <w:rPr>
      <w:rFonts w:ascii="Calibri" w:hAnsi="Calibri"/>
      <w:szCs w:val="22"/>
      <w:lang w:eastAsia="en-GB"/>
    </w:rPr>
  </w:style>
  <w:style w:type="paragraph" w:styleId="Spistreci7">
    <w:name w:val="toc 7"/>
    <w:basedOn w:val="Normalny"/>
    <w:next w:val="Normalny"/>
    <w:autoRedefine/>
    <w:uiPriority w:val="39"/>
    <w:unhideWhenUsed/>
    <w:rsid w:val="00F377CD"/>
    <w:pPr>
      <w:spacing w:after="100" w:line="276" w:lineRule="auto"/>
      <w:ind w:left="1320"/>
    </w:pPr>
    <w:rPr>
      <w:rFonts w:ascii="Calibri" w:hAnsi="Calibri"/>
      <w:szCs w:val="22"/>
      <w:lang w:eastAsia="en-GB"/>
    </w:rPr>
  </w:style>
  <w:style w:type="paragraph" w:styleId="Spistreci8">
    <w:name w:val="toc 8"/>
    <w:basedOn w:val="Normalny"/>
    <w:next w:val="Normalny"/>
    <w:autoRedefine/>
    <w:uiPriority w:val="39"/>
    <w:unhideWhenUsed/>
    <w:rsid w:val="00F377CD"/>
    <w:pPr>
      <w:spacing w:after="100" w:line="276" w:lineRule="auto"/>
      <w:ind w:left="1540"/>
    </w:pPr>
    <w:rPr>
      <w:rFonts w:ascii="Calibri" w:hAnsi="Calibri"/>
      <w:szCs w:val="22"/>
      <w:lang w:eastAsia="en-GB"/>
    </w:rPr>
  </w:style>
  <w:style w:type="paragraph" w:styleId="Spistreci9">
    <w:name w:val="toc 9"/>
    <w:basedOn w:val="Normalny"/>
    <w:next w:val="Normalny"/>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egenda">
    <w:name w:val="caption"/>
    <w:basedOn w:val="Normalny"/>
    <w:next w:val="Normalny"/>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nyWeb">
    <w:name w:val="Normal (Web)"/>
    <w:basedOn w:val="Normalny"/>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okumentu">
    <w:name w:val="Document Map"/>
    <w:basedOn w:val="Normalny"/>
    <w:link w:val="MapadokumentuZnak"/>
    <w:rsid w:val="00AA016B"/>
    <w:rPr>
      <w:rFonts w:ascii="Tahoma" w:hAnsi="Tahoma" w:cs="Tahoma"/>
      <w:sz w:val="16"/>
      <w:szCs w:val="16"/>
    </w:rPr>
  </w:style>
  <w:style w:type="character" w:customStyle="1" w:styleId="MapadokumentuZnak">
    <w:name w:val="Mapa dokumentu Znak"/>
    <w:link w:val="Mapadokumentu"/>
    <w:rsid w:val="00AA016B"/>
    <w:rPr>
      <w:rFonts w:ascii="Tahoma" w:hAnsi="Tahoma" w:cs="Tahoma"/>
      <w:sz w:val="16"/>
      <w:szCs w:val="16"/>
      <w:lang w:eastAsia="de-DE"/>
    </w:rPr>
  </w:style>
  <w:style w:type="paragraph" w:styleId="Zwykytekst">
    <w:name w:val="Plain Text"/>
    <w:basedOn w:val="Normalny"/>
    <w:link w:val="ZwykytekstZnak"/>
    <w:unhideWhenUsed/>
    <w:rsid w:val="00AA016B"/>
    <w:rPr>
      <w:rFonts w:ascii="Consolas" w:hAnsi="Consolas"/>
      <w:sz w:val="21"/>
      <w:szCs w:val="21"/>
      <w:lang w:val="de-DE"/>
    </w:rPr>
  </w:style>
  <w:style w:type="character" w:customStyle="1" w:styleId="ZwykytekstZnak">
    <w:name w:val="Zwykły tekst Znak"/>
    <w:link w:val="Zwykytekst"/>
    <w:rsid w:val="00AA016B"/>
    <w:rPr>
      <w:rFonts w:ascii="Consolas" w:hAnsi="Consolas"/>
      <w:sz w:val="21"/>
      <w:szCs w:val="21"/>
      <w:lang w:val="de-DE" w:eastAsia="de-DE"/>
    </w:rPr>
  </w:style>
  <w:style w:type="paragraph" w:styleId="Tekstpodstawowy">
    <w:name w:val="Body Text"/>
    <w:basedOn w:val="Normalny"/>
    <w:link w:val="TekstpodstawowyZnak"/>
    <w:unhideWhenUsed/>
    <w:rsid w:val="00AA016B"/>
    <w:pPr>
      <w:numPr>
        <w:numId w:val="9"/>
      </w:numPr>
      <w:spacing w:after="240"/>
      <w:jc w:val="both"/>
    </w:pPr>
    <w:rPr>
      <w:rFonts w:ascii="Times New Roman" w:hAnsi="Times New Roman"/>
      <w:sz w:val="24"/>
      <w:szCs w:val="20"/>
      <w:lang w:eastAsia="en-GB"/>
    </w:rPr>
  </w:style>
  <w:style w:type="character" w:customStyle="1" w:styleId="TekstpodstawowyZnak">
    <w:name w:val="Tekst podstawowy Znak"/>
    <w:link w:val="Tekstpodstawowy"/>
    <w:rsid w:val="00AA016B"/>
    <w:rPr>
      <w:sz w:val="24"/>
    </w:rPr>
  </w:style>
  <w:style w:type="paragraph" w:customStyle="1" w:styleId="ListParagraph1">
    <w:name w:val="List Paragraph1"/>
    <w:basedOn w:val="Normalny"/>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Pogrubienie">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Nagwek2Znak">
    <w:name w:val="Nagłówek 2 Znak"/>
    <w:link w:val="Nagwek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Nagwek9Znak">
    <w:name w:val="Nagłówek 9 Znak"/>
    <w:link w:val="Nagwe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ny"/>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Nagwek7Znak">
    <w:name w:val="Nagłówek 7 Znak"/>
    <w:link w:val="Nagwek7"/>
    <w:rsid w:val="002D6E1A"/>
    <w:rPr>
      <w:sz w:val="22"/>
      <w:szCs w:val="24"/>
      <w:lang w:eastAsia="de-DE"/>
    </w:rPr>
  </w:style>
  <w:style w:type="character" w:customStyle="1" w:styleId="Nagwek6Znak">
    <w:name w:val="Nagłówek 6 Znak"/>
    <w:link w:val="Nagwek6"/>
    <w:rsid w:val="002D6E1A"/>
    <w:rPr>
      <w:b/>
      <w:bCs/>
      <w:szCs w:val="22"/>
      <w:lang w:eastAsia="de-DE"/>
    </w:rPr>
  </w:style>
  <w:style w:type="character" w:customStyle="1" w:styleId="Nagwek8Znak">
    <w:name w:val="Nagłówek 8 Znak"/>
    <w:link w:val="Nagwek8"/>
    <w:rsid w:val="002D6E1A"/>
    <w:rPr>
      <w:i/>
      <w:iCs/>
      <w:szCs w:val="24"/>
      <w:lang w:eastAsia="de-DE"/>
    </w:rPr>
  </w:style>
  <w:style w:type="numbering" w:customStyle="1" w:styleId="NoList1">
    <w:name w:val="No List1"/>
    <w:next w:val="Bezlisty"/>
    <w:uiPriority w:val="99"/>
    <w:semiHidden/>
    <w:unhideWhenUsed/>
    <w:rsid w:val="002D6E1A"/>
  </w:style>
  <w:style w:type="character" w:styleId="UyteHipercze">
    <w:name w:val="FollowedHyperlink"/>
    <w:unhideWhenUsed/>
    <w:rsid w:val="002D6E1A"/>
    <w:rPr>
      <w:color w:val="800080"/>
      <w:u w:val="single"/>
    </w:rPr>
  </w:style>
  <w:style w:type="character" w:customStyle="1" w:styleId="NagwekZnak">
    <w:name w:val="Nagłówek Znak"/>
    <w:link w:val="Nagwek"/>
    <w:rsid w:val="002D6E1A"/>
    <w:rPr>
      <w:rFonts w:ascii="Georgia" w:hAnsi="Georgia"/>
      <w:sz w:val="22"/>
      <w:szCs w:val="24"/>
      <w:lang w:eastAsia="de-DE"/>
    </w:rPr>
  </w:style>
  <w:style w:type="character" w:customStyle="1" w:styleId="StopkaZnak">
    <w:name w:val="Stopka Znak"/>
    <w:link w:val="Stopka"/>
    <w:rsid w:val="002D6E1A"/>
    <w:rPr>
      <w:rFonts w:ascii="Georgia" w:hAnsi="Georgia"/>
      <w:sz w:val="22"/>
      <w:szCs w:val="24"/>
      <w:lang w:eastAsia="de-DE"/>
    </w:rPr>
  </w:style>
  <w:style w:type="paragraph" w:styleId="Tekstprzypisukocowego">
    <w:name w:val="endnote text"/>
    <w:basedOn w:val="Normalny"/>
    <w:link w:val="TekstprzypisukocowegoZnak"/>
    <w:unhideWhenUsed/>
    <w:rsid w:val="002D6E1A"/>
    <w:rPr>
      <w:szCs w:val="20"/>
    </w:rPr>
  </w:style>
  <w:style w:type="character" w:customStyle="1" w:styleId="TekstprzypisukocowegoZnak">
    <w:name w:val="Tekst przypisu końcowego Znak"/>
    <w:link w:val="Tekstprzypisukocowego"/>
    <w:rsid w:val="002D6E1A"/>
    <w:rPr>
      <w:rFonts w:ascii="Georgia" w:hAnsi="Georgia"/>
      <w:lang w:eastAsia="de-DE"/>
    </w:rPr>
  </w:style>
  <w:style w:type="paragraph" w:styleId="Listanumerowana">
    <w:name w:val="List Number"/>
    <w:basedOn w:val="Normalny"/>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AkapitzlistZnak">
    <w:name w:val="Akapit z listą Znak"/>
    <w:aliases w:val="Paragraphe EI Znak,Paragraphe de liste1 Znak,EC Znak"/>
    <w:link w:val="Akapitzlist"/>
    <w:uiPriority w:val="34"/>
    <w:locked/>
    <w:rsid w:val="002D6E1A"/>
    <w:rPr>
      <w:rFonts w:ascii="Georgia" w:hAnsi="Georgia"/>
      <w:sz w:val="22"/>
      <w:szCs w:val="24"/>
      <w:lang w:eastAsia="de-DE"/>
    </w:rPr>
  </w:style>
  <w:style w:type="paragraph" w:customStyle="1" w:styleId="04anumbering0">
    <w:name w:val="04anumbering"/>
    <w:basedOn w:val="Normalny"/>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ny"/>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Akapitzlist"/>
    <w:link w:val="DPChar"/>
    <w:qFormat/>
    <w:rsid w:val="002D6E1A"/>
    <w:pPr>
      <w:ind w:left="708"/>
      <w:contextualSpacing w:val="0"/>
      <w:jc w:val="both"/>
    </w:pPr>
    <w:rPr>
      <w:b/>
      <w:szCs w:val="20"/>
      <w:u w:val="single"/>
    </w:rPr>
  </w:style>
  <w:style w:type="paragraph" w:customStyle="1" w:styleId="Bullet">
    <w:name w:val="Bullet"/>
    <w:basedOn w:val="Normalny"/>
    <w:rsid w:val="002D6E1A"/>
    <w:pPr>
      <w:numPr>
        <w:numId w:val="12"/>
      </w:numPr>
      <w:tabs>
        <w:tab w:val="left" w:pos="708"/>
      </w:tabs>
      <w:spacing w:before="120" w:after="120" w:line="276" w:lineRule="auto"/>
      <w:jc w:val="both"/>
    </w:pPr>
    <w:rPr>
      <w:szCs w:val="20"/>
      <w:lang w:eastAsia="en-GB"/>
    </w:rPr>
  </w:style>
  <w:style w:type="character" w:styleId="Odwoanieprzypisukocowego">
    <w:name w:val="endnote reference"/>
    <w:unhideWhenUsed/>
    <w:rsid w:val="002D6E1A"/>
    <w:rPr>
      <w:vertAlign w:val="superscript"/>
    </w:rPr>
  </w:style>
  <w:style w:type="character" w:styleId="Tekstzastpczy">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Standardowy"/>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listy"/>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wiersza">
    <w:name w:val="line number"/>
    <w:basedOn w:val="Domylnaczcionkaakapitu"/>
    <w:uiPriority w:val="99"/>
    <w:unhideWhenUsed/>
    <w:rsid w:val="00952F2C"/>
  </w:style>
  <w:style w:type="paragraph" w:customStyle="1" w:styleId="aStyle">
    <w:name w:val="a) Style"/>
    <w:basedOn w:val="Normalny"/>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egend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ny"/>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Nagwek5Znak">
    <w:name w:val="Nagłówek 5 Znak"/>
    <w:aliases w:val="Questions Znak"/>
    <w:link w:val="Nagwek5"/>
    <w:rsid w:val="00E9344E"/>
    <w:rPr>
      <w:rFonts w:ascii="Georgia" w:hAnsi="Georgia"/>
      <w:b/>
      <w:szCs w:val="24"/>
      <w:lang w:eastAsia="de-DE"/>
    </w:rPr>
  </w:style>
  <w:style w:type="character" w:customStyle="1" w:styleId="Nagwek3Znak">
    <w:name w:val="Nagłówek 3 Znak"/>
    <w:link w:val="Nagwek3"/>
    <w:rsid w:val="003865E5"/>
    <w:rPr>
      <w:rFonts w:ascii="Cambria" w:eastAsia="Times New Roman" w:hAnsi="Cambria" w:cs="Times New Roman"/>
      <w:b/>
      <w:bCs/>
      <w:color w:val="4F81BD"/>
      <w:sz w:val="22"/>
      <w:szCs w:val="24"/>
      <w:lang w:eastAsia="de-DE"/>
    </w:rPr>
  </w:style>
  <w:style w:type="character" w:customStyle="1" w:styleId="Nagwek4Znak">
    <w:name w:val="Nagłówek 4 Znak"/>
    <w:link w:val="Nagwek4"/>
    <w:rsid w:val="00CB7286"/>
    <w:rPr>
      <w:b/>
      <w:bCs/>
      <w:sz w:val="28"/>
      <w:szCs w:val="28"/>
      <w:lang w:eastAsia="de-DE"/>
    </w:rPr>
  </w:style>
  <w:style w:type="table" w:styleId="Jasnalistaakcent3">
    <w:name w:val="Light List Accent 3"/>
    <w:basedOn w:val="Standardowy"/>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rdowy"/>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ny"/>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ny"/>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Nagwek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Nagwek1"/>
    <w:next w:val="Normalny"/>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ny"/>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ny"/>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ny"/>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ny"/>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ny"/>
    <w:next w:val="Normalny"/>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ny"/>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ny"/>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ny"/>
    <w:rsid w:val="000D2D0B"/>
    <w:rPr>
      <w:szCs w:val="20"/>
    </w:rPr>
  </w:style>
  <w:style w:type="paragraph" w:customStyle="1" w:styleId="Sbuchead">
    <w:name w:val="Sbuchead"/>
    <w:basedOn w:val="Normalny"/>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ny"/>
    <w:next w:val="Fait"/>
    <w:rsid w:val="000D2D0B"/>
    <w:pPr>
      <w:spacing w:before="480" w:after="120"/>
      <w:jc w:val="both"/>
    </w:pPr>
    <w:rPr>
      <w:rFonts w:ascii="Times New Roman" w:hAnsi="Times New Roman"/>
      <w:sz w:val="24"/>
      <w:lang w:eastAsia="en-US"/>
    </w:rPr>
  </w:style>
  <w:style w:type="paragraph" w:customStyle="1" w:styleId="Fait">
    <w:name w:val="Fait à"/>
    <w:basedOn w:val="Normalny"/>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ny"/>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ny"/>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ny"/>
    <w:next w:val="Normalny"/>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ny"/>
    <w:next w:val="Normalny"/>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ny"/>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ny"/>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ny"/>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ny"/>
    <w:rsid w:val="000D2D0B"/>
    <w:pPr>
      <w:spacing w:before="120" w:after="120"/>
      <w:ind w:left="850"/>
      <w:jc w:val="both"/>
    </w:pPr>
    <w:rPr>
      <w:rFonts w:ascii="Times New Roman" w:hAnsi="Times New Roman"/>
      <w:sz w:val="24"/>
      <w:lang w:eastAsia="en-US"/>
    </w:rPr>
  </w:style>
  <w:style w:type="paragraph" w:customStyle="1" w:styleId="Text2">
    <w:name w:val="Text 2"/>
    <w:basedOn w:val="Normalny"/>
    <w:rsid w:val="000D2D0B"/>
    <w:pPr>
      <w:spacing w:before="120" w:after="120"/>
      <w:ind w:left="1417"/>
      <w:jc w:val="both"/>
    </w:pPr>
    <w:rPr>
      <w:rFonts w:ascii="Times New Roman" w:hAnsi="Times New Roman"/>
      <w:sz w:val="24"/>
      <w:lang w:eastAsia="en-US"/>
    </w:rPr>
  </w:style>
  <w:style w:type="paragraph" w:customStyle="1" w:styleId="Text3">
    <w:name w:val="Text 3"/>
    <w:basedOn w:val="Normalny"/>
    <w:rsid w:val="000D2D0B"/>
    <w:pPr>
      <w:spacing w:before="120" w:after="120"/>
      <w:ind w:left="1984"/>
      <w:jc w:val="both"/>
    </w:pPr>
    <w:rPr>
      <w:rFonts w:ascii="Times New Roman" w:hAnsi="Times New Roman"/>
      <w:sz w:val="24"/>
      <w:lang w:eastAsia="en-US"/>
    </w:rPr>
  </w:style>
  <w:style w:type="paragraph" w:customStyle="1" w:styleId="Text4">
    <w:name w:val="Text 4"/>
    <w:basedOn w:val="Normalny"/>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ny"/>
    <w:rsid w:val="000D2D0B"/>
    <w:pPr>
      <w:spacing w:before="120" w:after="120"/>
      <w:jc w:val="center"/>
    </w:pPr>
    <w:rPr>
      <w:rFonts w:ascii="Times New Roman" w:hAnsi="Times New Roman"/>
      <w:sz w:val="24"/>
      <w:lang w:eastAsia="en-US"/>
    </w:rPr>
  </w:style>
  <w:style w:type="paragraph" w:customStyle="1" w:styleId="NormalLeft">
    <w:name w:val="Normal Left"/>
    <w:basedOn w:val="Normalny"/>
    <w:rsid w:val="000D2D0B"/>
    <w:pPr>
      <w:spacing w:before="120" w:after="120"/>
    </w:pPr>
    <w:rPr>
      <w:rFonts w:ascii="Times New Roman" w:hAnsi="Times New Roman"/>
      <w:sz w:val="24"/>
      <w:lang w:eastAsia="en-US"/>
    </w:rPr>
  </w:style>
  <w:style w:type="paragraph" w:customStyle="1" w:styleId="NormalRight">
    <w:name w:val="Normal Right"/>
    <w:basedOn w:val="Normalny"/>
    <w:rsid w:val="000D2D0B"/>
    <w:pPr>
      <w:spacing w:before="120" w:after="120"/>
      <w:jc w:val="right"/>
    </w:pPr>
    <w:rPr>
      <w:rFonts w:ascii="Times New Roman" w:hAnsi="Times New Roman"/>
      <w:sz w:val="24"/>
      <w:lang w:eastAsia="en-US"/>
    </w:rPr>
  </w:style>
  <w:style w:type="paragraph" w:customStyle="1" w:styleId="QuotedText">
    <w:name w:val="Quoted Text"/>
    <w:basedOn w:val="Normalny"/>
    <w:rsid w:val="000D2D0B"/>
    <w:pPr>
      <w:spacing w:before="120" w:after="120"/>
      <w:ind w:left="1417"/>
      <w:jc w:val="both"/>
    </w:pPr>
    <w:rPr>
      <w:rFonts w:ascii="Times New Roman" w:hAnsi="Times New Roman"/>
      <w:sz w:val="24"/>
      <w:lang w:eastAsia="en-US"/>
    </w:rPr>
  </w:style>
  <w:style w:type="paragraph" w:customStyle="1" w:styleId="Point0">
    <w:name w:val="Point 0"/>
    <w:basedOn w:val="Normalny"/>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ny"/>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ny"/>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ny"/>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ny"/>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ny"/>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ny"/>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ny"/>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ny"/>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ny"/>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ny"/>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ny"/>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ny"/>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ny"/>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ny"/>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ny"/>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ny"/>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ny"/>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ny"/>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ny"/>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ny"/>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ny"/>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ny"/>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ny"/>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ny"/>
    <w:next w:val="Normalny"/>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ny"/>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ny"/>
    <w:next w:val="Nagwe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ny"/>
    <w:next w:val="Normalny"/>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ny"/>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ny"/>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ny"/>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ny"/>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ny"/>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ny"/>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ny"/>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ny"/>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ny"/>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ny"/>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ny"/>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ny"/>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ny"/>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ny"/>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ny"/>
    <w:next w:val="Normalny"/>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ny"/>
    <w:next w:val="Normalny"/>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ny"/>
    <w:next w:val="Normalny"/>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ny"/>
    <w:next w:val="Normalny"/>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ny"/>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ny"/>
    <w:next w:val="Normalny"/>
    <w:rsid w:val="000D2D0B"/>
    <w:pPr>
      <w:spacing w:after="240"/>
    </w:pPr>
    <w:rPr>
      <w:rFonts w:ascii="Times New Roman" w:hAnsi="Times New Roman"/>
      <w:sz w:val="24"/>
      <w:lang w:eastAsia="en-US"/>
    </w:rPr>
  </w:style>
  <w:style w:type="paragraph" w:customStyle="1" w:styleId="Datedadoption">
    <w:name w:val="Date d'adoption"/>
    <w:basedOn w:val="Normalny"/>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ny"/>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ny"/>
    <w:next w:val="Normalny"/>
    <w:rsid w:val="000D2D0B"/>
    <w:pPr>
      <w:keepNext/>
      <w:spacing w:before="600" w:after="120"/>
      <w:jc w:val="both"/>
    </w:pPr>
    <w:rPr>
      <w:rFonts w:ascii="Times New Roman" w:hAnsi="Times New Roman"/>
      <w:sz w:val="24"/>
      <w:lang w:eastAsia="en-US"/>
    </w:rPr>
  </w:style>
  <w:style w:type="paragraph" w:customStyle="1" w:styleId="Langue">
    <w:name w:val="Langue"/>
    <w:basedOn w:val="Normalny"/>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ny"/>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ny"/>
    <w:next w:val="Emission"/>
    <w:rsid w:val="000D2D0B"/>
    <w:rPr>
      <w:rFonts w:ascii="Arial" w:hAnsi="Arial" w:cs="Arial"/>
      <w:sz w:val="24"/>
      <w:lang w:eastAsia="en-US"/>
    </w:rPr>
  </w:style>
  <w:style w:type="paragraph" w:customStyle="1" w:styleId="Rfrenceinstitutionnelle">
    <w:name w:val="Référence institutionnelle"/>
    <w:basedOn w:val="Normalny"/>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ny"/>
    <w:next w:val="Statut"/>
    <w:rsid w:val="000D2D0B"/>
    <w:pPr>
      <w:ind w:left="5103"/>
    </w:pPr>
    <w:rPr>
      <w:rFonts w:ascii="Times New Roman" w:hAnsi="Times New Roman"/>
      <w:sz w:val="24"/>
      <w:lang w:eastAsia="en-US"/>
    </w:rPr>
  </w:style>
  <w:style w:type="paragraph" w:customStyle="1" w:styleId="Rfrenceinterne">
    <w:name w:val="Référence interne"/>
    <w:basedOn w:val="Normalny"/>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ny"/>
    <w:rsid w:val="000D2D0B"/>
    <w:pPr>
      <w:jc w:val="center"/>
    </w:pPr>
    <w:rPr>
      <w:rFonts w:ascii="Times New Roman" w:hAnsi="Times New Roman"/>
      <w:b/>
      <w:sz w:val="24"/>
      <w:lang w:eastAsia="en-US"/>
    </w:rPr>
  </w:style>
  <w:style w:type="paragraph" w:customStyle="1" w:styleId="Statut">
    <w:name w:val="Statut"/>
    <w:basedOn w:val="Normalny"/>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ny"/>
    <w:next w:val="Normalny"/>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ny"/>
    <w:next w:val="Normalny"/>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ny"/>
    <w:next w:val="Normalny"/>
    <w:rsid w:val="000D2D0B"/>
    <w:pPr>
      <w:spacing w:before="120" w:after="120"/>
      <w:jc w:val="both"/>
    </w:pPr>
    <w:rPr>
      <w:rFonts w:ascii="Times New Roman" w:hAnsi="Times New Roman"/>
      <w:sz w:val="24"/>
      <w:lang w:eastAsia="en-US"/>
    </w:rPr>
  </w:style>
  <w:style w:type="paragraph" w:customStyle="1" w:styleId="Supertitre">
    <w:name w:val="Supertitre"/>
    <w:basedOn w:val="Normalny"/>
    <w:next w:val="Normalny"/>
    <w:rsid w:val="000D2D0B"/>
    <w:pPr>
      <w:spacing w:after="600"/>
      <w:jc w:val="center"/>
    </w:pPr>
    <w:rPr>
      <w:rFonts w:ascii="Times New Roman" w:hAnsi="Times New Roman"/>
      <w:b/>
      <w:sz w:val="24"/>
      <w:lang w:eastAsia="en-US"/>
    </w:rPr>
  </w:style>
  <w:style w:type="paragraph" w:customStyle="1" w:styleId="Languesfaisantfoi">
    <w:name w:val="Langues faisant foi"/>
    <w:basedOn w:val="Normalny"/>
    <w:next w:val="Normalny"/>
    <w:rsid w:val="000D2D0B"/>
    <w:pPr>
      <w:spacing w:before="360"/>
      <w:jc w:val="center"/>
    </w:pPr>
    <w:rPr>
      <w:rFonts w:ascii="Times New Roman" w:hAnsi="Times New Roman"/>
      <w:sz w:val="24"/>
      <w:lang w:eastAsia="en-US"/>
    </w:rPr>
  </w:style>
  <w:style w:type="paragraph" w:customStyle="1" w:styleId="Rfrencecroise">
    <w:name w:val="Référence croisée"/>
    <w:basedOn w:val="Normalny"/>
    <w:rsid w:val="000D2D0B"/>
    <w:pPr>
      <w:jc w:val="center"/>
    </w:pPr>
    <w:rPr>
      <w:rFonts w:ascii="Times New Roman" w:hAnsi="Times New Roman"/>
      <w:sz w:val="24"/>
      <w:lang w:eastAsia="en-US"/>
    </w:rPr>
  </w:style>
  <w:style w:type="paragraph" w:customStyle="1" w:styleId="Fichefinanciretitre">
    <w:name w:val="Fiche financière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ny"/>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ny"/>
    <w:rsid w:val="000D2D0B"/>
    <w:pPr>
      <w:spacing w:after="240"/>
    </w:pPr>
  </w:style>
  <w:style w:type="paragraph" w:customStyle="1" w:styleId="Accompagnant">
    <w:name w:val="Accompagnant"/>
    <w:basedOn w:val="Normalny"/>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ny"/>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ny"/>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ny"/>
    <w:next w:val="Normalny"/>
    <w:rsid w:val="000D2D0B"/>
    <w:pPr>
      <w:spacing w:before="360"/>
      <w:jc w:val="center"/>
    </w:pPr>
    <w:rPr>
      <w:rFonts w:ascii="Times New Roman" w:hAnsi="Times New Roman"/>
      <w:sz w:val="24"/>
      <w:lang w:eastAsia="en-US"/>
    </w:rPr>
  </w:style>
  <w:style w:type="paragraph" w:styleId="Listanumerowana2">
    <w:name w:val="List Number 2"/>
    <w:basedOn w:val="Normalny"/>
    <w:rsid w:val="000D2D0B"/>
    <w:pPr>
      <w:tabs>
        <w:tab w:val="num" w:pos="643"/>
      </w:tabs>
      <w:spacing w:before="120" w:after="120"/>
      <w:ind w:left="643" w:hanging="360"/>
      <w:jc w:val="both"/>
    </w:pPr>
    <w:rPr>
      <w:rFonts w:ascii="Times New Roman" w:hAnsi="Times New Roman"/>
      <w:sz w:val="24"/>
      <w:lang w:eastAsia="en-US"/>
    </w:rPr>
  </w:style>
  <w:style w:type="paragraph" w:styleId="Listanumerowana3">
    <w:name w:val="List Number 3"/>
    <w:basedOn w:val="Normalny"/>
    <w:rsid w:val="000D2D0B"/>
    <w:pPr>
      <w:tabs>
        <w:tab w:val="num" w:pos="926"/>
      </w:tabs>
      <w:spacing w:before="120" w:after="120"/>
      <w:ind w:left="926" w:hanging="360"/>
      <w:jc w:val="both"/>
    </w:pPr>
    <w:rPr>
      <w:rFonts w:ascii="Times New Roman" w:hAnsi="Times New Roman"/>
      <w:sz w:val="24"/>
      <w:lang w:eastAsia="en-US"/>
    </w:rPr>
  </w:style>
  <w:style w:type="paragraph" w:styleId="Listanumerowana4">
    <w:name w:val="List Number 4"/>
    <w:basedOn w:val="Normalny"/>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punktowana">
    <w:name w:val="List Bullet"/>
    <w:basedOn w:val="Normalny"/>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apunktowana2">
    <w:name w:val="List Bullet 2"/>
    <w:basedOn w:val="Normalny"/>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punktowana3">
    <w:name w:val="List Bullet 3"/>
    <w:basedOn w:val="Normalny"/>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apunktowana4">
    <w:name w:val="List Bullet 4"/>
    <w:basedOn w:val="Normalny"/>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Spisilustracji">
    <w:name w:val="table of figures"/>
    <w:basedOn w:val="Normalny"/>
    <w:next w:val="Normalny"/>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ny"/>
    <w:rsid w:val="000D2D0B"/>
    <w:pPr>
      <w:ind w:left="720"/>
      <w:contextualSpacing/>
    </w:pPr>
    <w:rPr>
      <w:rFonts w:ascii="Cambria" w:hAnsi="Cambria"/>
      <w:sz w:val="24"/>
      <w:lang w:val="en-US" w:eastAsia="en-US"/>
    </w:rPr>
  </w:style>
  <w:style w:type="paragraph" w:customStyle="1" w:styleId="Listeavsnitt1">
    <w:name w:val="Listeavsnitt1"/>
    <w:basedOn w:val="Normalny"/>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ny"/>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ny"/>
    <w:uiPriority w:val="99"/>
    <w:rsid w:val="000D2D0B"/>
    <w:pPr>
      <w:ind w:left="720"/>
      <w:contextualSpacing/>
    </w:pPr>
    <w:rPr>
      <w:rFonts w:ascii="Cambria" w:hAnsi="Cambria"/>
      <w:sz w:val="24"/>
      <w:lang w:val="en-US" w:eastAsia="en-US"/>
    </w:rPr>
  </w:style>
  <w:style w:type="paragraph" w:customStyle="1" w:styleId="ListParagraph2">
    <w:name w:val="List Paragraph2"/>
    <w:basedOn w:val="Normalny"/>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Nagwek1"/>
    <w:next w:val="Normalny"/>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ny"/>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ny"/>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ny"/>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ny"/>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ny"/>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ny"/>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ytu">
    <w:name w:val="Title"/>
    <w:basedOn w:val="Normalny"/>
    <w:next w:val="Normalny"/>
    <w:link w:val="TytuZnak"/>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ytuZnak">
    <w:name w:val="Tytuł Znak"/>
    <w:link w:val="Tytu"/>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ny"/>
    <w:rsid w:val="000D2D0B"/>
    <w:pPr>
      <w:spacing w:before="320" w:line="260" w:lineRule="exact"/>
      <w:jc w:val="both"/>
    </w:pPr>
    <w:rPr>
      <w:rFonts w:ascii="Myriad Pro Light" w:hAnsi="Myriad Pro Light"/>
      <w:b/>
      <w:sz w:val="21"/>
      <w:szCs w:val="20"/>
      <w:lang w:val="es-ES" w:eastAsia="es-ES"/>
    </w:rPr>
  </w:style>
  <w:style w:type="character" w:customStyle="1" w:styleId="PoprawkaZnak">
    <w:name w:val="Poprawka Znak"/>
    <w:link w:val="Poprawka"/>
    <w:uiPriority w:val="99"/>
    <w:semiHidden/>
    <w:locked/>
    <w:rsid w:val="000D2D0B"/>
    <w:rPr>
      <w:rFonts w:ascii="Georgia" w:hAnsi="Georgia"/>
      <w:sz w:val="22"/>
      <w:szCs w:val="24"/>
      <w:lang w:eastAsia="de-DE"/>
    </w:rPr>
  </w:style>
  <w:style w:type="table" w:customStyle="1" w:styleId="TableGrid2">
    <w:name w:val="Table Grid2"/>
    <w:basedOn w:val="Standardowy"/>
    <w:next w:val="Tabela-Siatk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aliases w:val="Question"/>
    <w:uiPriority w:val="19"/>
    <w:qFormat/>
    <w:rsid w:val="003A6E9A"/>
    <w:rPr>
      <w:b/>
      <w:i w:val="0"/>
      <w:iCs/>
      <w:sz w:val="20"/>
    </w:rPr>
  </w:style>
  <w:style w:type="paragraph" w:customStyle="1" w:styleId="NEW-Paragraph-Level1">
    <w:name w:val="NEW-Paragraph-Level1"/>
    <w:basedOn w:val="Normalny"/>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ny"/>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ny"/>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ny"/>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ny"/>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ny"/>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ny"/>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ny"/>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ny"/>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ny"/>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ny"/>
    <w:link w:val="Questions-ESMAChar"/>
    <w:qFormat/>
    <w:rsid w:val="00682E4A"/>
    <w:pPr>
      <w:spacing w:after="120" w:line="264" w:lineRule="auto"/>
      <w:ind w:left="703" w:hanging="703"/>
      <w:jc w:val="both"/>
      <w:outlineLvl w:val="1"/>
    </w:pPr>
    <w:rPr>
      <w:rFonts w:ascii="Calibri" w:hAnsi="Calibri"/>
      <w:b/>
      <w:sz w:val="22"/>
      <w:szCs w:val="20"/>
      <w:lang w:eastAsia="en-US"/>
    </w:rPr>
  </w:style>
  <w:style w:type="character" w:customStyle="1" w:styleId="Questions-ESMAChar">
    <w:name w:val="Questions-ESMA Char"/>
    <w:link w:val="Questions-ESMA"/>
    <w:rsid w:val="00682E4A"/>
    <w:rPr>
      <w:rFonts w:ascii="Calibri" w:hAnsi="Calibr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C112EB3D8041C587F3116780B1E3F3"/>
        <w:category>
          <w:name w:val="General"/>
          <w:gallery w:val="placeholder"/>
        </w:category>
        <w:types>
          <w:type w:val="bbPlcHdr"/>
        </w:types>
        <w:behaviors>
          <w:behavior w:val="content"/>
        </w:behaviors>
        <w:guid w:val="{A063AFDD-5E61-41F9-B9CC-C85989D5E1BA}"/>
      </w:docPartPr>
      <w:docPartBody>
        <w:p w:rsidR="00464746" w:rsidRDefault="00ED03BC" w:rsidP="00ED03BC">
          <w:pPr>
            <w:pStyle w:val="E7C112EB3D8041C587F3116780B1E3F3"/>
          </w:pPr>
          <w:r w:rsidRPr="000E3791">
            <w:rPr>
              <w:rStyle w:val="Tekstzastpczy"/>
            </w:rPr>
            <w:t>Choose an item.</w:t>
          </w:r>
        </w:p>
      </w:docPartBody>
    </w:docPart>
    <w:docPart>
      <w:docPartPr>
        <w:name w:val="2DC1312B70F74FA0860E38BB0E84A49C"/>
        <w:category>
          <w:name w:val="General"/>
          <w:gallery w:val="placeholder"/>
        </w:category>
        <w:types>
          <w:type w:val="bbPlcHdr"/>
        </w:types>
        <w:behaviors>
          <w:behavior w:val="content"/>
        </w:behaviors>
        <w:guid w:val="{4F83A857-F4BD-484F-BCBF-AEE5FC66B414}"/>
      </w:docPartPr>
      <w:docPartBody>
        <w:p w:rsidR="00464746" w:rsidRDefault="00ED03BC" w:rsidP="00ED03BC">
          <w:pPr>
            <w:pStyle w:val="2DC1312B70F74FA0860E38BB0E84A49C"/>
          </w:pPr>
          <w:r w:rsidRPr="000E3791">
            <w:rPr>
              <w:rStyle w:val="Tekstzastpczy"/>
            </w:rPr>
            <w:t>Choose an item.</w:t>
          </w:r>
        </w:p>
      </w:docPartBody>
    </w:docPart>
    <w:docPart>
      <w:docPartPr>
        <w:name w:val="7834084FE63541599E2A38657E70D469"/>
        <w:category>
          <w:name w:val="General"/>
          <w:gallery w:val="placeholder"/>
        </w:category>
        <w:types>
          <w:type w:val="bbPlcHdr"/>
        </w:types>
        <w:behaviors>
          <w:behavior w:val="content"/>
        </w:behaviors>
        <w:guid w:val="{208ECCFC-3D8D-4356-B1C9-40528A99061A}"/>
      </w:docPartPr>
      <w:docPartBody>
        <w:p w:rsidR="00464746" w:rsidRDefault="00ED03BC" w:rsidP="00ED03BC">
          <w:pPr>
            <w:pStyle w:val="7834084FE63541599E2A38657E70D469"/>
          </w:pPr>
          <w:r w:rsidRPr="000E3791">
            <w:rPr>
              <w:rStyle w:val="Tekstzastpczy"/>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0F"/>
    <w:rsid w:val="002D3005"/>
    <w:rsid w:val="00392976"/>
    <w:rsid w:val="00464746"/>
    <w:rsid w:val="0072030F"/>
    <w:rsid w:val="00E923C1"/>
    <w:rsid w:val="00ED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D03BC"/>
    <w:rPr>
      <w:color w:val="808080"/>
    </w:rPr>
  </w:style>
  <w:style w:type="paragraph" w:customStyle="1" w:styleId="D8FE2C1CFBC64DA085CEB68206EC4D5F">
    <w:name w:val="D8FE2C1CFBC64DA085CEB68206EC4D5F"/>
    <w:rsid w:val="0072030F"/>
  </w:style>
  <w:style w:type="paragraph" w:customStyle="1" w:styleId="0081D286CDF0459F9B97CC72A4311E14">
    <w:name w:val="0081D286CDF0459F9B97CC72A4311E14"/>
    <w:rsid w:val="0072030F"/>
  </w:style>
  <w:style w:type="paragraph" w:customStyle="1" w:styleId="953C28196CA0444E89CB3C4F46FF034D">
    <w:name w:val="953C28196CA0444E89CB3C4F46FF034D"/>
    <w:rsid w:val="0072030F"/>
  </w:style>
  <w:style w:type="paragraph" w:customStyle="1" w:styleId="840B1874448842BA8A0739FDBCC2D7D6">
    <w:name w:val="840B1874448842BA8A0739FDBCC2D7D6"/>
    <w:rsid w:val="0072030F"/>
  </w:style>
  <w:style w:type="paragraph" w:customStyle="1" w:styleId="B8A8F59C81394C7EA1B533D9AD21C18C">
    <w:name w:val="B8A8F59C81394C7EA1B533D9AD21C18C"/>
    <w:rsid w:val="0072030F"/>
  </w:style>
  <w:style w:type="paragraph" w:customStyle="1" w:styleId="244991D339784149A998E73649C9BA3F">
    <w:name w:val="244991D339784149A998E73649C9BA3F"/>
    <w:rsid w:val="0072030F"/>
  </w:style>
  <w:style w:type="paragraph" w:customStyle="1" w:styleId="E7C112EB3D8041C587F3116780B1E3F3">
    <w:name w:val="E7C112EB3D8041C587F3116780B1E3F3"/>
    <w:rsid w:val="00ED03BC"/>
  </w:style>
  <w:style w:type="paragraph" w:customStyle="1" w:styleId="2DC1312B70F74FA0860E38BB0E84A49C">
    <w:name w:val="2DC1312B70F74FA0860E38BB0E84A49C"/>
    <w:rsid w:val="00ED03BC"/>
  </w:style>
  <w:style w:type="paragraph" w:customStyle="1" w:styleId="7834084FE63541599E2A38657E70D469">
    <w:name w:val="7834084FE63541599E2A38657E70D469"/>
    <w:rsid w:val="00ED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D03BC"/>
    <w:rPr>
      <w:color w:val="808080"/>
    </w:rPr>
  </w:style>
  <w:style w:type="paragraph" w:customStyle="1" w:styleId="D8FE2C1CFBC64DA085CEB68206EC4D5F">
    <w:name w:val="D8FE2C1CFBC64DA085CEB68206EC4D5F"/>
    <w:rsid w:val="0072030F"/>
  </w:style>
  <w:style w:type="paragraph" w:customStyle="1" w:styleId="0081D286CDF0459F9B97CC72A4311E14">
    <w:name w:val="0081D286CDF0459F9B97CC72A4311E14"/>
    <w:rsid w:val="0072030F"/>
  </w:style>
  <w:style w:type="paragraph" w:customStyle="1" w:styleId="953C28196CA0444E89CB3C4F46FF034D">
    <w:name w:val="953C28196CA0444E89CB3C4F46FF034D"/>
    <w:rsid w:val="0072030F"/>
  </w:style>
  <w:style w:type="paragraph" w:customStyle="1" w:styleId="840B1874448842BA8A0739FDBCC2D7D6">
    <w:name w:val="840B1874448842BA8A0739FDBCC2D7D6"/>
    <w:rsid w:val="0072030F"/>
  </w:style>
  <w:style w:type="paragraph" w:customStyle="1" w:styleId="B8A8F59C81394C7EA1B533D9AD21C18C">
    <w:name w:val="B8A8F59C81394C7EA1B533D9AD21C18C"/>
    <w:rsid w:val="0072030F"/>
  </w:style>
  <w:style w:type="paragraph" w:customStyle="1" w:styleId="244991D339784149A998E73649C9BA3F">
    <w:name w:val="244991D339784149A998E73649C9BA3F"/>
    <w:rsid w:val="0072030F"/>
  </w:style>
  <w:style w:type="paragraph" w:customStyle="1" w:styleId="E7C112EB3D8041C587F3116780B1E3F3">
    <w:name w:val="E7C112EB3D8041C587F3116780B1E3F3"/>
    <w:rsid w:val="00ED03BC"/>
  </w:style>
  <w:style w:type="paragraph" w:customStyle="1" w:styleId="2DC1312B70F74FA0860E38BB0E84A49C">
    <w:name w:val="2DC1312B70F74FA0860E38BB0E84A49C"/>
    <w:rsid w:val="00ED03BC"/>
  </w:style>
  <w:style w:type="paragraph" w:customStyle="1" w:styleId="7834084FE63541599E2A38657E70D469">
    <w:name w:val="7834084FE63541599E2A38657E70D469"/>
    <w:rsid w:val="00ED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6CF51-C0C0-46CD-9237-3FEB97F2A53E}">
  <ds:schemaRefs>
    <ds:schemaRef ds:uri="http://schemas.openxmlformats.org/officeDocument/2006/bibliography"/>
  </ds:schemaRefs>
</ds:datastoreItem>
</file>

<file path=customXml/itemProps2.xml><?xml version="1.0" encoding="utf-8"?>
<ds:datastoreItem xmlns:ds="http://schemas.openxmlformats.org/officeDocument/2006/customXml" ds:itemID="{9AADB680-EE28-42B4-B979-7FA1B8E60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1534</Words>
  <Characters>8452</Characters>
  <Application>Microsoft Office Word</Application>
  <DocSecurity>8</DocSecurity>
  <Lines>70</Lines>
  <Paragraphs>19</Paragraphs>
  <ScaleCrop>false</ScaleCrop>
  <HeadingPairs>
    <vt:vector size="12" baseType="variant">
      <vt:variant>
        <vt:lpstr>Tytuł</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MiFID II/MiFIR Consultation Paper</vt:lpstr>
      <vt:lpstr>Reply form for the MiFID II/MiFIR Consultation Paper</vt:lpstr>
      <vt:lpstr>20110000</vt:lpstr>
      <vt:lpstr>20110000</vt:lpstr>
      <vt:lpstr>20110000</vt:lpstr>
      <vt:lpstr>20110000</vt:lpstr>
    </vt:vector>
  </TitlesOfParts>
  <Company>ESMA</Company>
  <LinksUpToDate>false</LinksUpToDate>
  <CharactersWithSpaces>9967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Zielińska Anna</cp:lastModifiedBy>
  <cp:revision>4</cp:revision>
  <cp:lastPrinted>2014-05-08T16:06:00Z</cp:lastPrinted>
  <dcterms:created xsi:type="dcterms:W3CDTF">2015-02-17T15:47:00Z</dcterms:created>
  <dcterms:modified xsi:type="dcterms:W3CDTF">2015-02-17T16:01:00Z</dcterms:modified>
</cp:coreProperties>
</file>