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D6CD0" w:rsidP="00A35728">
            <w:pPr>
              <w:pStyle w:val="00bDBInfo"/>
              <w:rPr>
                <w:rFonts w:ascii="Arial" w:hAnsi="Arial" w:cs="Arial"/>
              </w:rPr>
            </w:pPr>
            <w:r>
              <w:rPr>
                <w:rFonts w:ascii="Arial" w:hAnsi="Arial" w:cs="Arial"/>
              </w:rPr>
              <w:t>18</w:t>
            </w:r>
            <w:r w:rsidR="004E49B0">
              <w:rPr>
                <w:rFonts w:ascii="Arial" w:hAnsi="Arial" w:cs="Arial"/>
              </w:rPr>
              <w:t xml:space="preserve"> December</w:t>
            </w:r>
            <w:r w:rsidR="00ED351E" w:rsidRPr="004E49B0">
              <w:rPr>
                <w:rFonts w:ascii="Arial" w:hAnsi="Arial" w:cs="Arial"/>
              </w:rPr>
              <w:t xml:space="preserve"> </w:t>
            </w:r>
            <w:r w:rsidR="006F4B04" w:rsidRPr="004E49B0">
              <w:rPr>
                <w:rFonts w:ascii="Arial" w:hAnsi="Arial" w:cs="Arial"/>
              </w:rPr>
              <w:t>2014</w:t>
            </w:r>
          </w:p>
        </w:tc>
      </w:tr>
    </w:tbl>
    <w:p w:rsidR="00FD7A8D" w:rsidRPr="00616B9B" w:rsidRDefault="00FD7A8D" w:rsidP="00FD7A8D">
      <w:pPr>
        <w:rPr>
          <w:rFonts w:ascii="Arial" w:hAnsi="Arial"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ascii="Arial" w:hAnsi="Arial" w:cs="Arial"/>
              </w:rPr>
            </w:pPr>
            <w:r w:rsidRPr="00616B9B">
              <w:rPr>
                <w:rFonts w:ascii="Arial" w:hAnsi="Arial" w:cs="Arial"/>
              </w:rPr>
              <w:t>Reply form</w:t>
            </w:r>
            <w:r w:rsidR="00B835D5" w:rsidRPr="00616B9B">
              <w:rPr>
                <w:rFonts w:ascii="Arial" w:hAnsi="Arial" w:cs="Arial"/>
              </w:rPr>
              <w:t xml:space="preserve"> </w:t>
            </w:r>
            <w:r w:rsidR="0043173B" w:rsidRPr="00616B9B">
              <w:rPr>
                <w:rFonts w:ascii="Arial" w:hAnsi="Arial" w:cs="Arial"/>
              </w:rPr>
              <w:t>for</w:t>
            </w:r>
            <w:r w:rsidR="00027ECF" w:rsidRPr="00616B9B">
              <w:rPr>
                <w:rFonts w:ascii="Arial" w:hAnsi="Arial" w:cs="Arial"/>
              </w:rPr>
              <w:t xml:space="preserve"> the </w:t>
            </w:r>
          </w:p>
          <w:p w:rsidR="00422A7D" w:rsidRPr="00616B9B" w:rsidRDefault="00A35728" w:rsidP="00C000A5">
            <w:pPr>
              <w:pStyle w:val="01aDBTitle"/>
              <w:rPr>
                <w:rFonts w:ascii="Arial" w:hAnsi="Arial" w:cs="Arial"/>
              </w:rPr>
            </w:pPr>
            <w:r w:rsidRPr="00616B9B">
              <w:rPr>
                <w:rFonts w:ascii="Arial" w:hAnsi="Arial" w:cs="Arial"/>
              </w:rPr>
              <w:t>Technical Advice under the CSDR</w:t>
            </w:r>
            <w:r w:rsidR="00422A7D" w:rsidRPr="00616B9B">
              <w:rPr>
                <w:rFonts w:ascii="Arial" w:hAnsi="Arial" w:cs="Arial"/>
              </w:rPr>
              <w:t xml:space="preserve"> </w:t>
            </w:r>
          </w:p>
          <w:p w:rsidR="00791EB4" w:rsidRPr="00616B9B" w:rsidRDefault="00791EB4" w:rsidP="00C000A5">
            <w:pPr>
              <w:pStyle w:val="01aDBTitle"/>
              <w:rPr>
                <w:rFonts w:ascii="Arial" w:hAnsi="Arial"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ascii="Arial" w:hAnsi="Arial"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4E49B0">
            <w:pPr>
              <w:pStyle w:val="02Date"/>
              <w:rPr>
                <w:rFonts w:ascii="Arial" w:hAnsi="Arial" w:cs="Arial"/>
              </w:rPr>
            </w:pPr>
            <w:r w:rsidRPr="004E49B0">
              <w:rPr>
                <w:rFonts w:ascii="Arial" w:hAnsi="Arial" w:cs="Arial"/>
              </w:rPr>
              <w:lastRenderedPageBreak/>
              <w:t xml:space="preserve">Date: </w:t>
            </w:r>
            <w:r w:rsidR="003D6CD0">
              <w:rPr>
                <w:rFonts w:ascii="Arial" w:hAnsi="Arial" w:cs="Arial"/>
              </w:rPr>
              <w:t>18</w:t>
            </w:r>
            <w:r w:rsidR="004E49B0" w:rsidRPr="004E49B0">
              <w:rPr>
                <w:rFonts w:ascii="Arial" w:hAnsi="Arial" w:cs="Arial"/>
              </w:rPr>
              <w:t xml:space="preserve"> December 2014</w:t>
            </w:r>
          </w:p>
        </w:tc>
      </w:tr>
    </w:tbl>
    <w:p w:rsidR="0088244C" w:rsidRPr="00616B9B" w:rsidRDefault="0088244C" w:rsidP="00F574D0">
      <w:pPr>
        <w:pStyle w:val="05HeadlinenoIndex"/>
        <w:rPr>
          <w:rFonts w:ascii="Arial" w:hAnsi="Arial" w:cs="Arial"/>
        </w:rPr>
      </w:pPr>
      <w:bookmarkStart w:id="0" w:name="_Toc280628648"/>
    </w:p>
    <w:p w:rsidR="00F574D0" w:rsidRPr="00616B9B" w:rsidRDefault="0088244C" w:rsidP="00F574D0">
      <w:pPr>
        <w:pStyle w:val="05HeadlinenoIndex"/>
        <w:rPr>
          <w:rFonts w:ascii="Arial" w:hAnsi="Arial" w:cs="Arial"/>
        </w:rPr>
      </w:pPr>
      <w:r w:rsidRPr="00616B9B">
        <w:rPr>
          <w:rFonts w:ascii="Arial" w:hAnsi="Arial" w:cs="Arial"/>
        </w:rPr>
        <w:br w:type="page"/>
      </w:r>
      <w:r w:rsidR="00F574D0" w:rsidRPr="00616B9B">
        <w:rPr>
          <w:rFonts w:ascii="Arial" w:hAnsi="Arial" w:cs="Arial"/>
        </w:rPr>
        <w:lastRenderedPageBreak/>
        <w:t xml:space="preserve">Responding to this paper </w:t>
      </w:r>
    </w:p>
    <w:p w:rsidR="00F574D0" w:rsidRPr="00616B9B" w:rsidRDefault="00F574D0" w:rsidP="00F574D0">
      <w:pPr>
        <w:pStyle w:val="04BodyText"/>
        <w:spacing w:before="120" w:after="120"/>
        <w:rPr>
          <w:rFonts w:ascii="Arial" w:hAnsi="Arial" w:cs="Arial"/>
        </w:rPr>
      </w:pPr>
      <w:r w:rsidRPr="00616B9B">
        <w:rPr>
          <w:rFonts w:ascii="Arial" w:hAnsi="Arial" w:cs="Arial"/>
        </w:rPr>
        <w:t xml:space="preserve">The European Securities and Markets Authority (ESMA) invites responses to the specific questions listed in the ESMA </w:t>
      </w:r>
      <w:r w:rsidR="0060674A" w:rsidRPr="00616B9B">
        <w:rPr>
          <w:rFonts w:ascii="Arial" w:hAnsi="Arial" w:cs="Arial"/>
        </w:rPr>
        <w:t>Consultation Paper - D</w:t>
      </w:r>
      <w:r w:rsidR="00A35728" w:rsidRPr="00616B9B">
        <w:rPr>
          <w:rFonts w:ascii="Arial" w:hAnsi="Arial" w:cs="Arial"/>
        </w:rPr>
        <w:t xml:space="preserve"> Technical Advice under the CSDR</w:t>
      </w:r>
      <w:r w:rsidR="00015B5E" w:rsidRPr="00616B9B">
        <w:rPr>
          <w:rFonts w:ascii="Arial" w:hAnsi="Arial" w:cs="Arial"/>
        </w:rPr>
        <w:t>, published on the ESMA website</w:t>
      </w:r>
      <w:r w:rsidR="004E49B0">
        <w:rPr>
          <w:rFonts w:ascii="Arial" w:hAnsi="Arial" w:cs="Arial"/>
        </w:rPr>
        <w:t>.</w:t>
      </w:r>
    </w:p>
    <w:p w:rsidR="00F574D0" w:rsidRPr="00616B9B" w:rsidRDefault="00F574D0" w:rsidP="00F574D0">
      <w:pPr>
        <w:pStyle w:val="04BodyText"/>
        <w:spacing w:before="120" w:after="120"/>
        <w:rPr>
          <w:rFonts w:ascii="Arial" w:hAnsi="Arial" w:cs="Arial"/>
        </w:rPr>
      </w:pPr>
    </w:p>
    <w:p w:rsidR="00F574D0" w:rsidRPr="00616B9B" w:rsidRDefault="00F574D0" w:rsidP="00F574D0">
      <w:pPr>
        <w:autoSpaceDE w:val="0"/>
        <w:autoSpaceDN w:val="0"/>
        <w:adjustRightInd w:val="0"/>
        <w:spacing w:before="120" w:after="120" w:line="276" w:lineRule="auto"/>
        <w:jc w:val="both"/>
        <w:rPr>
          <w:rFonts w:ascii="Arial" w:hAnsi="Arial" w:cs="Arial"/>
          <w:b/>
          <w:bCs/>
          <w:i/>
          <w:color w:val="000000"/>
          <w:szCs w:val="20"/>
          <w:lang w:eastAsia="en-GB"/>
        </w:rPr>
      </w:pPr>
      <w:r w:rsidRPr="00616B9B">
        <w:rPr>
          <w:rFonts w:ascii="Arial" w:hAnsi="Arial" w:cs="Arial"/>
          <w:b/>
          <w:bCs/>
          <w:i/>
          <w:color w:val="000000"/>
          <w:szCs w:val="20"/>
          <w:lang w:eastAsia="en-GB"/>
        </w:rPr>
        <w:t>Instructions</w:t>
      </w:r>
    </w:p>
    <w:p w:rsidR="00F574D0" w:rsidRPr="00616B9B" w:rsidRDefault="00D75FEE" w:rsidP="00F574D0">
      <w:pPr>
        <w:pStyle w:val="04BodyText"/>
        <w:spacing w:before="120" w:after="120"/>
        <w:rPr>
          <w:rFonts w:ascii="Arial" w:hAnsi="Arial" w:cs="Arial"/>
        </w:rPr>
      </w:pPr>
      <w:r w:rsidRPr="00616B9B">
        <w:rPr>
          <w:rFonts w:ascii="Arial" w:hAnsi="Arial" w:cs="Arial"/>
        </w:rPr>
        <w:t>Please note that, in order to facilitate the analysis of the large number of responses expected, you are requested to use this file to send your response to ESMA so as to allow us to process it properly. Therefore, please follow the instructions described below</w:t>
      </w:r>
      <w:r w:rsidR="00F574D0" w:rsidRPr="00616B9B">
        <w:rPr>
          <w:rFonts w:ascii="Arial" w:hAnsi="Arial" w:cs="Arial"/>
        </w:rPr>
        <w:t>:</w:t>
      </w:r>
    </w:p>
    <w:p w:rsidR="00F574D0" w:rsidRPr="00616B9B" w:rsidRDefault="00F574D0" w:rsidP="00F574D0">
      <w:pPr>
        <w:pStyle w:val="04bList"/>
        <w:numPr>
          <w:ilvl w:val="0"/>
          <w:numId w:val="5"/>
        </w:numPr>
        <w:spacing w:before="120" w:after="120"/>
        <w:ind w:left="720"/>
        <w:rPr>
          <w:rFonts w:ascii="Arial" w:hAnsi="Arial" w:cs="Arial"/>
        </w:rPr>
      </w:pPr>
      <w:r w:rsidRPr="00616B9B">
        <w:rPr>
          <w:rFonts w:ascii="Arial" w:hAnsi="Arial" w:cs="Arial"/>
        </w:rPr>
        <w:t xml:space="preserve">use this </w:t>
      </w:r>
      <w:r w:rsidR="003F5C06" w:rsidRPr="00616B9B">
        <w:rPr>
          <w:rFonts w:ascii="Arial" w:hAnsi="Arial" w:cs="Arial"/>
        </w:rPr>
        <w:t>form</w:t>
      </w:r>
      <w:r w:rsidRPr="00616B9B">
        <w:rPr>
          <w:rFonts w:ascii="Arial" w:hAnsi="Arial" w:cs="Arial"/>
        </w:rPr>
        <w:t xml:space="preserve"> and send </w:t>
      </w:r>
      <w:r w:rsidR="00D75FEE" w:rsidRPr="00616B9B">
        <w:rPr>
          <w:rFonts w:ascii="Arial" w:hAnsi="Arial" w:cs="Arial"/>
        </w:rPr>
        <w:t>your</w:t>
      </w:r>
      <w:r w:rsidRPr="00616B9B">
        <w:rPr>
          <w:rFonts w:ascii="Arial" w:hAnsi="Arial" w:cs="Arial"/>
        </w:rPr>
        <w:t xml:space="preserve"> responses in Word format;</w:t>
      </w:r>
    </w:p>
    <w:p w:rsidR="00F574D0" w:rsidRPr="00616B9B" w:rsidRDefault="00D75FEE" w:rsidP="00F574D0">
      <w:pPr>
        <w:pStyle w:val="04bList"/>
        <w:numPr>
          <w:ilvl w:val="0"/>
          <w:numId w:val="5"/>
        </w:numPr>
        <w:spacing w:before="120" w:after="120"/>
        <w:ind w:left="720"/>
        <w:rPr>
          <w:rFonts w:ascii="Arial" w:hAnsi="Arial" w:cs="Arial"/>
        </w:rPr>
      </w:pPr>
      <w:r w:rsidRPr="00616B9B">
        <w:rPr>
          <w:rFonts w:ascii="Arial" w:hAnsi="Arial" w:cs="Arial"/>
        </w:rPr>
        <w:t xml:space="preserve">do </w:t>
      </w:r>
      <w:r w:rsidR="00F574D0" w:rsidRPr="00616B9B">
        <w:rPr>
          <w:rFonts w:ascii="Arial" w:hAnsi="Arial" w:cs="Arial"/>
        </w:rPr>
        <w:t>not remove the tags of type &lt;ESMA_QUESTION_</w:t>
      </w:r>
      <w:r w:rsidR="00C8677B" w:rsidRPr="00616B9B">
        <w:rPr>
          <w:rFonts w:ascii="Arial" w:hAnsi="Arial" w:cs="Arial"/>
        </w:rPr>
        <w:t>T</w:t>
      </w:r>
      <w:r w:rsidR="00E9344E" w:rsidRPr="00616B9B">
        <w:rPr>
          <w:rFonts w:ascii="Arial" w:hAnsi="Arial" w:cs="Arial"/>
        </w:rPr>
        <w:t>A</w:t>
      </w:r>
      <w:r w:rsidR="00A35728" w:rsidRPr="00616B9B">
        <w:rPr>
          <w:rFonts w:ascii="Arial" w:hAnsi="Arial" w:cs="Arial"/>
        </w:rPr>
        <w:t>_CSDR</w:t>
      </w:r>
      <w:r w:rsidR="00E9344E" w:rsidRPr="00616B9B">
        <w:rPr>
          <w:rFonts w:ascii="Arial" w:hAnsi="Arial" w:cs="Arial"/>
        </w:rPr>
        <w:t>_</w:t>
      </w:r>
      <w:r w:rsidR="00F574D0" w:rsidRPr="00616B9B">
        <w:rPr>
          <w:rFonts w:ascii="Arial" w:hAnsi="Arial" w:cs="Arial"/>
        </w:rPr>
        <w:t>1&gt; - i.e. the response to one question has to be framed by the 2 tags corresponding to the question; and</w:t>
      </w:r>
    </w:p>
    <w:p w:rsidR="00F574D0" w:rsidRPr="00616B9B" w:rsidRDefault="00F574D0" w:rsidP="00F574D0">
      <w:pPr>
        <w:pStyle w:val="04bList"/>
        <w:numPr>
          <w:ilvl w:val="0"/>
          <w:numId w:val="5"/>
        </w:numPr>
        <w:spacing w:before="120" w:after="120"/>
        <w:ind w:left="720"/>
        <w:rPr>
          <w:rFonts w:ascii="Arial" w:hAnsi="Arial" w:cs="Arial"/>
        </w:rPr>
      </w:pPr>
      <w:r w:rsidRPr="00616B9B">
        <w:rPr>
          <w:rFonts w:ascii="Arial" w:hAnsi="Arial" w:cs="Arial"/>
        </w:rPr>
        <w:t xml:space="preserve">if </w:t>
      </w:r>
      <w:r w:rsidR="00D75FEE" w:rsidRPr="00616B9B">
        <w:rPr>
          <w:rFonts w:ascii="Arial" w:hAnsi="Arial" w:cs="Arial"/>
        </w:rPr>
        <w:t>you do not have a</w:t>
      </w:r>
      <w:r w:rsidRPr="00616B9B">
        <w:rPr>
          <w:rFonts w:ascii="Arial" w:hAnsi="Arial" w:cs="Arial"/>
        </w:rPr>
        <w:t xml:space="preserve"> response to a question, </w:t>
      </w:r>
      <w:r w:rsidR="00D75FEE" w:rsidRPr="00616B9B">
        <w:rPr>
          <w:rFonts w:ascii="Arial" w:hAnsi="Arial" w:cs="Arial"/>
        </w:rPr>
        <w:t xml:space="preserve">do </w:t>
      </w:r>
      <w:r w:rsidRPr="00616B9B">
        <w:rPr>
          <w:rFonts w:ascii="Arial" w:hAnsi="Arial" w:cs="Arial"/>
        </w:rPr>
        <w:t>not delete it and leave the text “TYPE YOUR TEXT HERE” between the tags.</w:t>
      </w:r>
    </w:p>
    <w:p w:rsidR="00F574D0" w:rsidRPr="00616B9B" w:rsidRDefault="00F574D0" w:rsidP="00F574D0">
      <w:pPr>
        <w:pStyle w:val="04bList"/>
        <w:numPr>
          <w:ilvl w:val="0"/>
          <w:numId w:val="0"/>
        </w:numPr>
        <w:spacing w:before="120" w:after="120"/>
        <w:rPr>
          <w:rFonts w:ascii="Arial" w:hAnsi="Arial" w:cs="Arial"/>
        </w:rPr>
      </w:pPr>
      <w:r w:rsidRPr="00616B9B">
        <w:rPr>
          <w:rFonts w:ascii="Arial" w:hAnsi="Arial" w:cs="Arial"/>
        </w:rPr>
        <w:t>Responses are most helpful:</w:t>
      </w:r>
    </w:p>
    <w:p w:rsidR="00F574D0" w:rsidRPr="00616B9B" w:rsidRDefault="00F574D0" w:rsidP="002067BA">
      <w:pPr>
        <w:pStyle w:val="04bList"/>
        <w:numPr>
          <w:ilvl w:val="0"/>
          <w:numId w:val="33"/>
        </w:numPr>
        <w:spacing w:before="120" w:after="120"/>
        <w:rPr>
          <w:rFonts w:ascii="Arial" w:hAnsi="Arial" w:cs="Arial"/>
        </w:rPr>
      </w:pPr>
      <w:r w:rsidRPr="00616B9B">
        <w:rPr>
          <w:rFonts w:ascii="Arial" w:hAnsi="Arial" w:cs="Arial"/>
        </w:rPr>
        <w:t>if they respond to the question stated;</w:t>
      </w:r>
    </w:p>
    <w:p w:rsidR="00F574D0" w:rsidRPr="00616B9B" w:rsidRDefault="00F574D0" w:rsidP="002067BA">
      <w:pPr>
        <w:pStyle w:val="04bList"/>
        <w:numPr>
          <w:ilvl w:val="0"/>
          <w:numId w:val="33"/>
        </w:numPr>
        <w:spacing w:before="120" w:after="120"/>
        <w:rPr>
          <w:rFonts w:ascii="Arial" w:hAnsi="Arial" w:cs="Arial"/>
        </w:rPr>
      </w:pPr>
      <w:r w:rsidRPr="00616B9B">
        <w:rPr>
          <w:rFonts w:ascii="Arial" w:hAnsi="Arial" w:cs="Arial"/>
        </w:rPr>
        <w:t>contain a clear rationale, including on any related costs and benefits; and</w:t>
      </w:r>
    </w:p>
    <w:p w:rsidR="00A35728" w:rsidRPr="00616B9B" w:rsidRDefault="00F574D0" w:rsidP="000D17AA">
      <w:pPr>
        <w:pStyle w:val="04bList"/>
        <w:numPr>
          <w:ilvl w:val="0"/>
          <w:numId w:val="33"/>
        </w:numPr>
        <w:spacing w:before="120" w:after="120"/>
        <w:rPr>
          <w:rFonts w:ascii="Arial" w:hAnsi="Arial" w:cs="Arial"/>
        </w:rPr>
      </w:pPr>
      <w:r w:rsidRPr="00616B9B">
        <w:rPr>
          <w:rFonts w:ascii="Arial" w:hAnsi="Arial" w:cs="Arial"/>
        </w:rPr>
        <w:t>describe any alternatives that ESMA should consider</w:t>
      </w:r>
    </w:p>
    <w:p w:rsidR="000D17AA" w:rsidRPr="00616B9B" w:rsidRDefault="000D17AA" w:rsidP="000D17AA">
      <w:pPr>
        <w:pStyle w:val="04BodyText"/>
        <w:spacing w:before="120" w:after="120"/>
        <w:jc w:val="left"/>
        <w:rPr>
          <w:rFonts w:ascii="Arial" w:hAnsi="Arial" w:cs="Arial"/>
          <w:b/>
        </w:rPr>
      </w:pPr>
      <w:r w:rsidRPr="00616B9B">
        <w:rPr>
          <w:rFonts w:ascii="Arial" w:hAnsi="Arial" w:cs="Arial"/>
          <w:b/>
        </w:rPr>
        <w:t>Naming protocol:</w:t>
      </w:r>
    </w:p>
    <w:p w:rsidR="000D17AA" w:rsidRPr="00616B9B" w:rsidRDefault="000D17AA" w:rsidP="000D17AA">
      <w:pPr>
        <w:pStyle w:val="04BodyText"/>
        <w:spacing w:before="120" w:after="120"/>
        <w:jc w:val="left"/>
        <w:rPr>
          <w:rFonts w:ascii="Arial" w:hAnsi="Arial" w:cs="Arial"/>
        </w:rPr>
      </w:pPr>
      <w:r w:rsidRPr="00616B9B">
        <w:rPr>
          <w:rFonts w:ascii="Arial" w:hAnsi="Arial" w:cs="Arial"/>
        </w:rPr>
        <w:t>In order to facilitate the handling of stakeholders responses please save your document using the following format:</w:t>
      </w:r>
    </w:p>
    <w:p w:rsidR="000D17AA" w:rsidRPr="00616B9B" w:rsidRDefault="000D17AA" w:rsidP="000D17AA">
      <w:pPr>
        <w:pStyle w:val="04BodyText"/>
        <w:spacing w:before="120" w:after="120"/>
        <w:jc w:val="left"/>
        <w:rPr>
          <w:rFonts w:ascii="Arial" w:hAnsi="Arial" w:cs="Arial"/>
        </w:rPr>
      </w:pPr>
      <w:r w:rsidRPr="00616B9B">
        <w:rPr>
          <w:rFonts w:ascii="Arial" w:hAnsi="Arial" w:cs="Arial"/>
        </w:rPr>
        <w:t>ESMA_ TA_CSDR _NAMEOFCOMPANY_NAMEOFDOCUMENT.</w:t>
      </w:r>
    </w:p>
    <w:p w:rsidR="000D17AA" w:rsidRPr="00616B9B" w:rsidRDefault="000D17AA" w:rsidP="000D17AA">
      <w:pPr>
        <w:pStyle w:val="04BodyText"/>
        <w:spacing w:before="120" w:after="120"/>
        <w:jc w:val="left"/>
        <w:rPr>
          <w:rFonts w:ascii="Arial" w:hAnsi="Arial" w:cs="Arial"/>
        </w:rPr>
      </w:pPr>
      <w:r w:rsidRPr="00616B9B">
        <w:rPr>
          <w:rFonts w:ascii="Arial" w:hAnsi="Arial" w:cs="Arial"/>
        </w:rPr>
        <w:t>E.g. if the respondent were ESMA, the name of the reply form would be ESMA_ TA_CSDR _ESMA_REPLYFORM or ESMA_CE_AIFMD_ESMA_ANNEX1</w:t>
      </w:r>
    </w:p>
    <w:p w:rsidR="004E1A0F" w:rsidRPr="00616B9B" w:rsidRDefault="004E1A0F" w:rsidP="00F574D0">
      <w:pPr>
        <w:pStyle w:val="04bList"/>
        <w:numPr>
          <w:ilvl w:val="0"/>
          <w:numId w:val="0"/>
        </w:numPr>
        <w:spacing w:before="120" w:after="120"/>
        <w:rPr>
          <w:rFonts w:ascii="Arial" w:hAnsi="Arial" w:cs="Arial"/>
        </w:rPr>
      </w:pPr>
      <w:r w:rsidRPr="00616B9B">
        <w:rPr>
          <w:rFonts w:ascii="Arial" w:hAnsi="Arial" w:cs="Arial"/>
        </w:rPr>
        <w:t>To help you navigate this document more easily, bookmarks are available in “Navigation Pane” for Word 2010 and in “Document Map” for Word 2007.</w:t>
      </w:r>
    </w:p>
    <w:p w:rsidR="00F574D0" w:rsidRPr="00616B9B" w:rsidRDefault="00F574D0" w:rsidP="00F574D0">
      <w:pPr>
        <w:pStyle w:val="04BodyText"/>
        <w:spacing w:before="120" w:after="120"/>
        <w:rPr>
          <w:rFonts w:ascii="Arial" w:hAnsi="Arial" w:cs="Arial"/>
        </w:rPr>
      </w:pPr>
      <w:r w:rsidRPr="00616B9B">
        <w:rPr>
          <w:rFonts w:ascii="Arial" w:hAnsi="Arial" w:cs="Arial"/>
        </w:rPr>
        <w:t xml:space="preserve">Responses must reach us by </w:t>
      </w:r>
      <w:r w:rsidR="00D43F14" w:rsidRPr="004E49B0">
        <w:rPr>
          <w:rFonts w:ascii="Arial" w:hAnsi="Arial" w:cs="Arial"/>
          <w:b/>
        </w:rPr>
        <w:t>1</w:t>
      </w:r>
      <w:r w:rsidR="004E49B0" w:rsidRPr="004E49B0">
        <w:rPr>
          <w:rFonts w:ascii="Arial" w:hAnsi="Arial" w:cs="Arial"/>
          <w:b/>
        </w:rPr>
        <w:t>9</w:t>
      </w:r>
      <w:r w:rsidR="00D43F14" w:rsidRPr="004E49B0">
        <w:rPr>
          <w:rFonts w:ascii="Arial" w:hAnsi="Arial" w:cs="Arial"/>
          <w:b/>
        </w:rPr>
        <w:t xml:space="preserve"> </w:t>
      </w:r>
      <w:r w:rsidR="004E49B0" w:rsidRPr="004E49B0">
        <w:rPr>
          <w:rFonts w:ascii="Arial" w:hAnsi="Arial" w:cs="Arial"/>
          <w:b/>
        </w:rPr>
        <w:t>February</w:t>
      </w:r>
      <w:r w:rsidR="00D43F14" w:rsidRPr="004E49B0">
        <w:rPr>
          <w:rFonts w:ascii="Arial" w:hAnsi="Arial" w:cs="Arial"/>
          <w:b/>
        </w:rPr>
        <w:t xml:space="preserve"> </w:t>
      </w:r>
      <w:r w:rsidRPr="004E49B0">
        <w:rPr>
          <w:rFonts w:ascii="Arial" w:hAnsi="Arial" w:cs="Arial"/>
          <w:b/>
        </w:rPr>
        <w:t>201</w:t>
      </w:r>
      <w:r w:rsidR="004E49B0" w:rsidRPr="004E49B0">
        <w:rPr>
          <w:rFonts w:ascii="Arial" w:hAnsi="Arial" w:cs="Arial"/>
          <w:b/>
        </w:rPr>
        <w:t>5</w:t>
      </w:r>
      <w:r w:rsidRPr="004E49B0">
        <w:rPr>
          <w:rFonts w:ascii="Arial" w:hAnsi="Arial" w:cs="Arial"/>
        </w:rPr>
        <w:t>.</w:t>
      </w:r>
      <w:r w:rsidRPr="00616B9B">
        <w:rPr>
          <w:rFonts w:ascii="Arial" w:hAnsi="Arial" w:cs="Arial"/>
        </w:rPr>
        <w:t xml:space="preserve"> </w:t>
      </w:r>
    </w:p>
    <w:p w:rsidR="00F574D0" w:rsidRPr="00616B9B" w:rsidRDefault="00F574D0" w:rsidP="00F574D0">
      <w:pPr>
        <w:pStyle w:val="04BodyText"/>
        <w:spacing w:before="120" w:after="120"/>
        <w:rPr>
          <w:rFonts w:ascii="Arial" w:hAnsi="Arial" w:cs="Arial"/>
        </w:rPr>
      </w:pPr>
      <w:r w:rsidRPr="00616B9B">
        <w:rPr>
          <w:rFonts w:ascii="Arial" w:hAnsi="Arial" w:cs="Arial"/>
        </w:rPr>
        <w:t xml:space="preserve">All contributions should be submitted online at </w:t>
      </w:r>
      <w:hyperlink r:id="rId12" w:history="1">
        <w:r w:rsidRPr="00616B9B">
          <w:rPr>
            <w:rStyle w:val="Hyperlink"/>
            <w:rFonts w:ascii="Arial" w:hAnsi="Arial" w:cs="Arial"/>
          </w:rPr>
          <w:t>www.esma.europa.eu</w:t>
        </w:r>
      </w:hyperlink>
      <w:r w:rsidRPr="00616B9B">
        <w:rPr>
          <w:rFonts w:ascii="Arial" w:hAnsi="Arial" w:cs="Arial"/>
        </w:rPr>
        <w:t xml:space="preserve"> under the heading ‘Your input/Consultations’. </w:t>
      </w:r>
    </w:p>
    <w:p w:rsidR="00F574D0" w:rsidRPr="00616B9B" w:rsidRDefault="00F574D0" w:rsidP="00F574D0">
      <w:pPr>
        <w:autoSpaceDE w:val="0"/>
        <w:autoSpaceDN w:val="0"/>
        <w:adjustRightInd w:val="0"/>
        <w:spacing w:before="120" w:after="120" w:line="276" w:lineRule="auto"/>
        <w:jc w:val="both"/>
        <w:rPr>
          <w:rFonts w:ascii="Arial" w:hAnsi="Arial" w:cs="Arial"/>
          <w:b/>
          <w:bCs/>
          <w:i/>
          <w:color w:val="000000"/>
          <w:szCs w:val="20"/>
          <w:lang w:eastAsia="en-GB"/>
        </w:rPr>
      </w:pPr>
      <w:bookmarkStart w:id="1" w:name="_Toc335141334"/>
      <w:r w:rsidRPr="00616B9B">
        <w:rPr>
          <w:rFonts w:ascii="Arial" w:hAnsi="Arial" w:cs="Arial"/>
          <w:b/>
          <w:bCs/>
          <w:i/>
          <w:color w:val="000000"/>
          <w:szCs w:val="20"/>
          <w:lang w:eastAsia="en-GB"/>
        </w:rPr>
        <w:t>Publication of responses</w:t>
      </w:r>
      <w:bookmarkEnd w:id="1"/>
    </w:p>
    <w:p w:rsidR="00F574D0" w:rsidRPr="00616B9B" w:rsidRDefault="00F574D0" w:rsidP="00F574D0">
      <w:pPr>
        <w:pStyle w:val="04BodyText"/>
        <w:spacing w:before="120" w:after="120"/>
        <w:rPr>
          <w:rFonts w:ascii="Arial" w:hAnsi="Arial" w:cs="Arial"/>
        </w:rPr>
      </w:pPr>
      <w:r w:rsidRPr="00616B9B">
        <w:rPr>
          <w:rFonts w:ascii="Arial" w:hAnsi="Arial" w:cs="Arial"/>
        </w:rPr>
        <w:t xml:space="preserve">All contributions received will be published following the end of the consultation period, unless otherwise requested. </w:t>
      </w:r>
      <w:r w:rsidRPr="00616B9B">
        <w:rPr>
          <w:rFonts w:ascii="Arial" w:hAnsi="Arial"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616B9B">
        <w:rPr>
          <w:rFonts w:ascii="Arial" w:hAnsi="Arial"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616B9B" w:rsidRDefault="00F574D0" w:rsidP="00F574D0">
      <w:pPr>
        <w:autoSpaceDE w:val="0"/>
        <w:autoSpaceDN w:val="0"/>
        <w:adjustRightInd w:val="0"/>
        <w:spacing w:before="120" w:after="120" w:line="276" w:lineRule="auto"/>
        <w:jc w:val="both"/>
        <w:rPr>
          <w:rFonts w:ascii="Arial" w:hAnsi="Arial" w:cs="Arial"/>
          <w:b/>
          <w:bCs/>
          <w:i/>
          <w:color w:val="000000"/>
          <w:szCs w:val="20"/>
          <w:lang w:eastAsia="en-GB"/>
        </w:rPr>
      </w:pPr>
      <w:bookmarkStart w:id="2" w:name="_Toc335141335"/>
      <w:r w:rsidRPr="00616B9B">
        <w:rPr>
          <w:rFonts w:ascii="Arial" w:hAnsi="Arial" w:cs="Arial"/>
          <w:b/>
          <w:bCs/>
          <w:i/>
          <w:color w:val="000000"/>
          <w:szCs w:val="20"/>
          <w:lang w:eastAsia="en-GB"/>
        </w:rPr>
        <w:t>Data protection</w:t>
      </w:r>
      <w:bookmarkEnd w:id="2"/>
    </w:p>
    <w:p w:rsidR="00F574D0" w:rsidRPr="00616B9B" w:rsidRDefault="00F574D0" w:rsidP="00F574D0">
      <w:pPr>
        <w:autoSpaceDE w:val="0"/>
        <w:autoSpaceDN w:val="0"/>
        <w:adjustRightInd w:val="0"/>
        <w:spacing w:before="120" w:after="120" w:line="276" w:lineRule="auto"/>
        <w:jc w:val="both"/>
        <w:rPr>
          <w:rFonts w:ascii="Arial" w:hAnsi="Arial" w:cs="Arial"/>
          <w:szCs w:val="20"/>
        </w:rPr>
      </w:pPr>
      <w:r w:rsidRPr="00616B9B">
        <w:rPr>
          <w:rFonts w:ascii="Arial" w:hAnsi="Arial" w:cs="Arial"/>
          <w:szCs w:val="20"/>
        </w:rPr>
        <w:t xml:space="preserve">Information on data protection can be found at </w:t>
      </w:r>
      <w:hyperlink r:id="rId13" w:history="1">
        <w:r w:rsidRPr="00616B9B">
          <w:rPr>
            <w:rStyle w:val="Hyperlink"/>
            <w:rFonts w:ascii="Arial" w:hAnsi="Arial" w:cs="Arial"/>
            <w:szCs w:val="20"/>
          </w:rPr>
          <w:t>www.esma.europa.eu</w:t>
        </w:r>
      </w:hyperlink>
      <w:r w:rsidRPr="00616B9B">
        <w:rPr>
          <w:rFonts w:ascii="Arial" w:hAnsi="Arial" w:cs="Arial"/>
          <w:szCs w:val="20"/>
        </w:rPr>
        <w:t xml:space="preserve"> under the heading ‘Disclaimer’.</w:t>
      </w:r>
    </w:p>
    <w:bookmarkEnd w:id="0"/>
    <w:p w:rsidR="00C535E2" w:rsidRPr="0026621B" w:rsidRDefault="00C535E2" w:rsidP="00C535E2">
      <w:pPr>
        <w:pStyle w:val="Heading1"/>
        <w:numPr>
          <w:ilvl w:val="0"/>
          <w:numId w:val="0"/>
        </w:numPr>
        <w:rPr>
          <w:rFonts w:ascii="Arial" w:hAnsi="Arial"/>
          <w:sz w:val="22"/>
          <w:szCs w:val="22"/>
        </w:rPr>
      </w:pPr>
      <w:r w:rsidRPr="0026621B">
        <w:rPr>
          <w:rFonts w:ascii="Arial" w:hAnsi="Arial"/>
          <w:sz w:val="22"/>
          <w:szCs w:val="22"/>
        </w:rPr>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F32462" w:rsidRPr="0026621B" w:rsidTr="00E66DAF">
        <w:tc>
          <w:tcPr>
            <w:tcW w:w="3510" w:type="dxa"/>
          </w:tcPr>
          <w:p w:rsidR="00F32462" w:rsidRPr="0026621B" w:rsidRDefault="00F32462" w:rsidP="00E66DAF">
            <w:pPr>
              <w:rPr>
                <w:rFonts w:ascii="Arial" w:hAnsi="Arial" w:cs="Arial"/>
                <w:sz w:val="22"/>
                <w:szCs w:val="22"/>
              </w:rPr>
            </w:pPr>
            <w:r w:rsidRPr="0026621B">
              <w:rPr>
                <w:rFonts w:ascii="Arial" w:hAnsi="Arial" w:cs="Arial"/>
                <w:sz w:val="22"/>
                <w:szCs w:val="22"/>
              </w:rPr>
              <w:t>Are you representing an association?</w:t>
            </w:r>
          </w:p>
        </w:tc>
        <w:tc>
          <w:tcPr>
            <w:tcW w:w="6118" w:type="dxa"/>
          </w:tcPr>
          <w:p w:rsidR="00F32462" w:rsidRPr="0026621B" w:rsidRDefault="0078441A" w:rsidP="00E66DAF">
            <w:pPr>
              <w:rPr>
                <w:rFonts w:ascii="Arial" w:hAnsi="Arial" w:cs="Arial"/>
                <w:sz w:val="22"/>
                <w:szCs w:val="22"/>
              </w:rPr>
            </w:pPr>
            <w:sdt>
              <w:sdtPr>
                <w:rPr>
                  <w:rFonts w:ascii="Arial" w:hAnsi="Arial" w:cs="Arial"/>
                  <w:sz w:val="22"/>
                  <w:szCs w:val="22"/>
                </w:rPr>
                <w:alias w:val="Association"/>
                <w:tag w:val="Association"/>
                <w:id w:val="-1769143793"/>
                <w:placeholder>
                  <w:docPart w:val="E7C112EB3D8041C587F3116780B1E3F3"/>
                </w:placeholder>
                <w:comboBox>
                  <w:listItem w:displayText="Yes" w:value="Yes"/>
                  <w:listItem w:displayText="No" w:value="No"/>
                </w:comboBox>
              </w:sdtPr>
              <w:sdtEndPr/>
              <w:sdtContent>
                <w:permStart w:id="241640583" w:edGrp="everyone"/>
                <w:r w:rsidR="000E4F47">
                  <w:rPr>
                    <w:rFonts w:ascii="Arial" w:hAnsi="Arial" w:cs="Arial"/>
                    <w:sz w:val="22"/>
                    <w:szCs w:val="22"/>
                  </w:rPr>
                  <w:t>Yes</w:t>
                </w:r>
                <w:permEnd w:id="241640583"/>
              </w:sdtContent>
            </w:sdt>
          </w:p>
        </w:tc>
      </w:tr>
      <w:tr w:rsidR="00F32462" w:rsidRPr="0026621B" w:rsidTr="00E66DAF">
        <w:tc>
          <w:tcPr>
            <w:tcW w:w="3510" w:type="dxa"/>
          </w:tcPr>
          <w:p w:rsidR="00F32462" w:rsidRPr="0026621B" w:rsidRDefault="00F32462" w:rsidP="00E66DAF">
            <w:pPr>
              <w:rPr>
                <w:rFonts w:ascii="Arial" w:hAnsi="Arial" w:cs="Arial"/>
                <w:sz w:val="22"/>
                <w:szCs w:val="22"/>
              </w:rPr>
            </w:pPr>
            <w:r w:rsidRPr="0026621B">
              <w:rPr>
                <w:rFonts w:ascii="Arial" w:hAnsi="Arial" w:cs="Arial"/>
                <w:sz w:val="22"/>
                <w:szCs w:val="22"/>
              </w:rPr>
              <w:t>Activity:</w:t>
            </w:r>
          </w:p>
        </w:tc>
        <w:tc>
          <w:tcPr>
            <w:tcW w:w="6118" w:type="dxa"/>
          </w:tcPr>
          <w:p w:rsidR="00F32462" w:rsidRPr="0026621B" w:rsidRDefault="0078441A" w:rsidP="00E66DAF">
            <w:pPr>
              <w:rPr>
                <w:rFonts w:ascii="Arial" w:hAnsi="Arial" w:cs="Arial"/>
                <w:sz w:val="22"/>
                <w:szCs w:val="22"/>
              </w:rPr>
            </w:pPr>
            <w:sdt>
              <w:sdtPr>
                <w:rPr>
                  <w:rFonts w:ascii="Arial" w:hAnsi="Arial" w:cs="Arial"/>
                  <w:sz w:val="22"/>
                  <w:szCs w:val="22"/>
                </w:rPr>
                <w:alias w:val="Activity"/>
                <w:tag w:val="Activity"/>
                <w:id w:val="1654095920"/>
                <w:placeholder>
                  <w:docPart w:val="2DC1312B70F74FA0860E38BB0E84A49C"/>
                </w:placeholder>
                <w:comboBox>
                  <w:listItem w:value="Choose an item."/>
                  <w:listItem w:displayText="Central Securities Depository" w:value="Central Securities Depository"/>
                  <w:listItem w:displayText="Central Counterparty" w:value="Central Counterparty"/>
                  <w:listItem w:displayText="Government, Regulatory and Enforcement" w:value="Government, Regulatory and Enforcement"/>
                  <w:listItem w:displayText="Investment Firm" w:value="Investment Firm"/>
                  <w:listItem w:displayText="Credit Institution" w:value="Credit Institution"/>
                  <w:listItem w:displayText="Fund/Investment Company" w:value="Fund/Investment Company"/>
                  <w:listItem w:displayText="Trading Venue" w:value="Trading Venue"/>
                  <w:listItem w:displayText="Service Provider" w:value="Service Provider"/>
                  <w:listItem w:displayText="Issuer" w:value="Issuer"/>
                  <w:listItem w:displayText="Professional Advisor" w:value="Professional Advisor"/>
                  <w:listItem w:displayText="Other" w:value="Other"/>
                </w:comboBox>
              </w:sdtPr>
              <w:sdtEndPr/>
              <w:sdtContent>
                <w:permStart w:id="1368533139" w:edGrp="everyone"/>
                <w:r w:rsidR="000E4F47">
                  <w:rPr>
                    <w:rFonts w:ascii="Arial" w:hAnsi="Arial" w:cs="Arial"/>
                    <w:sz w:val="22"/>
                    <w:szCs w:val="22"/>
                  </w:rPr>
                  <w:t>Other</w:t>
                </w:r>
                <w:permEnd w:id="1368533139"/>
              </w:sdtContent>
            </w:sdt>
          </w:p>
        </w:tc>
      </w:tr>
      <w:tr w:rsidR="00F32462" w:rsidRPr="0026621B" w:rsidTr="00E66DAF">
        <w:tc>
          <w:tcPr>
            <w:tcW w:w="3510" w:type="dxa"/>
          </w:tcPr>
          <w:p w:rsidR="00F32462" w:rsidRPr="0026621B" w:rsidRDefault="00F32462" w:rsidP="00E66DAF">
            <w:pPr>
              <w:rPr>
                <w:rFonts w:ascii="Arial" w:hAnsi="Arial" w:cs="Arial"/>
                <w:sz w:val="22"/>
                <w:szCs w:val="22"/>
              </w:rPr>
            </w:pPr>
            <w:r w:rsidRPr="0026621B">
              <w:rPr>
                <w:rFonts w:ascii="Arial" w:hAnsi="Arial" w:cs="Arial"/>
                <w:sz w:val="22"/>
                <w:szCs w:val="22"/>
              </w:rPr>
              <w:t>Country/Region</w:t>
            </w:r>
          </w:p>
        </w:tc>
        <w:sdt>
          <w:sdtPr>
            <w:rPr>
              <w:rFonts w:ascii="Arial" w:hAnsi="Arial" w:cs="Arial"/>
              <w:sz w:val="22"/>
              <w:szCs w:val="22"/>
            </w:rPr>
            <w:alias w:val="Country"/>
            <w:tag w:val="Country"/>
            <w:id w:val="-1549134410"/>
            <w:placeholder>
              <w:docPart w:val="7834084FE63541599E2A38657E70D46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672675466" w:edGrp="everyone" w:displacedByCustomXml="prev"/>
            <w:tc>
              <w:tcPr>
                <w:tcW w:w="6118" w:type="dxa"/>
              </w:tcPr>
              <w:p w:rsidR="00F32462" w:rsidRPr="0026621B" w:rsidRDefault="000E4F47" w:rsidP="00E66DAF">
                <w:pPr>
                  <w:rPr>
                    <w:rFonts w:ascii="Arial" w:hAnsi="Arial" w:cs="Arial"/>
                    <w:sz w:val="22"/>
                    <w:szCs w:val="22"/>
                  </w:rPr>
                </w:pPr>
                <w:r>
                  <w:rPr>
                    <w:rFonts w:ascii="Arial" w:hAnsi="Arial" w:cs="Arial"/>
                    <w:sz w:val="22"/>
                    <w:szCs w:val="22"/>
                  </w:rPr>
                  <w:t>Belgium</w:t>
                </w:r>
              </w:p>
            </w:tc>
            <w:permEnd w:id="1672675466" w:displacedByCustomXml="next"/>
          </w:sdtContent>
        </w:sdt>
      </w:tr>
    </w:tbl>
    <w:p w:rsidR="00F32462" w:rsidRDefault="00F32462">
      <w:pPr>
        <w:rPr>
          <w:rFonts w:ascii="Arial" w:hAnsi="Arial" w:cs="Arial"/>
          <w:b/>
          <w:sz w:val="22"/>
          <w:szCs w:val="22"/>
          <w:lang w:eastAsia="en-US"/>
        </w:rPr>
      </w:pPr>
      <w:r>
        <w:rPr>
          <w:rFonts w:ascii="Arial" w:hAnsi="Arial" w:cs="Arial"/>
          <w:szCs w:val="22"/>
        </w:rPr>
        <w:br w:type="page"/>
      </w:r>
    </w:p>
    <w:p w:rsidR="00A35728" w:rsidRPr="00616B9B" w:rsidRDefault="00A35728" w:rsidP="00A35728">
      <w:pPr>
        <w:pStyle w:val="Questions-ESMA"/>
        <w:rPr>
          <w:rFonts w:ascii="Arial" w:hAnsi="Arial" w:cs="Arial"/>
          <w:szCs w:val="22"/>
        </w:rPr>
      </w:pPr>
      <w:r w:rsidRPr="00616B9B">
        <w:rPr>
          <w:rFonts w:ascii="Arial" w:hAnsi="Arial" w:cs="Arial"/>
          <w:szCs w:val="22"/>
        </w:rPr>
        <w:lastRenderedPageBreak/>
        <w:t xml:space="preserve">Q1: </w:t>
      </w:r>
      <w:r w:rsidRPr="00616B9B">
        <w:rPr>
          <w:rFonts w:ascii="Arial" w:hAnsi="Arial" w:cs="Arial"/>
          <w:szCs w:val="22"/>
        </w:rPr>
        <w:tab/>
        <w:t xml:space="preserve">What are your views on the proposed basis for the cash penalty calculation? </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&lt;ESMA_QUESTION_TA_CSDR_1&gt;</w:t>
      </w:r>
    </w:p>
    <w:p w:rsidR="000E4F47" w:rsidRPr="000E4F47" w:rsidRDefault="000E4F47" w:rsidP="000E4F47">
      <w:pPr>
        <w:rPr>
          <w:rFonts w:ascii="Arial" w:hAnsi="Arial" w:cs="Arial"/>
          <w:sz w:val="22"/>
          <w:szCs w:val="22"/>
        </w:rPr>
      </w:pPr>
      <w:permStart w:id="1137925934" w:edGrp="everyone"/>
      <w:r w:rsidRPr="000E4F47">
        <w:rPr>
          <w:rFonts w:ascii="Arial" w:hAnsi="Arial" w:cs="Arial"/>
          <w:sz w:val="22"/>
          <w:szCs w:val="22"/>
        </w:rPr>
        <w:t xml:space="preserve">EBF agrees with the proposed approach. </w:t>
      </w:r>
    </w:p>
    <w:p w:rsidR="000E4F47" w:rsidRPr="000E4F47" w:rsidRDefault="000E4F47" w:rsidP="000E4F47">
      <w:pPr>
        <w:rPr>
          <w:rFonts w:ascii="Arial" w:hAnsi="Arial" w:cs="Arial"/>
          <w:sz w:val="22"/>
          <w:szCs w:val="22"/>
        </w:rPr>
      </w:pPr>
      <w:r w:rsidRPr="000E4F47">
        <w:rPr>
          <w:rFonts w:ascii="Arial" w:hAnsi="Arial" w:cs="Arial"/>
          <w:sz w:val="22"/>
          <w:szCs w:val="22"/>
        </w:rPr>
        <w:t xml:space="preserve">We consider that the concept of a reference price is the best imaginable way of taking into account the objectives of the penalty system. In particular, it provides the most effective and fair results where a chain of transactions is involved and parties in the middle of the chain are both to pay and to collect penalty amounts.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However, we note that populating and distributing reference prices daily will be a challenge. It is essential that reference prices are determined – either by sourcing or by calculation – uniquely and timely. Hence, the determination should take place centrally</w:t>
      </w:r>
      <w:proofErr w:type="gramStart"/>
      <w:r w:rsidRPr="000E4F47">
        <w:rPr>
          <w:rFonts w:ascii="Arial" w:hAnsi="Arial" w:cs="Arial"/>
          <w:sz w:val="22"/>
          <w:szCs w:val="22"/>
        </w:rPr>
        <w:t>..</w:t>
      </w:r>
      <w:proofErr w:type="gramEnd"/>
      <w:r w:rsidRPr="000E4F47">
        <w:rPr>
          <w:rFonts w:ascii="Arial" w:hAnsi="Arial" w:cs="Arial"/>
          <w:sz w:val="22"/>
          <w:szCs w:val="22"/>
        </w:rPr>
        <w:t xml:space="preserve"> Any decentralised determination could lead to differing outcomes; the time needed for a solution of differences would be prohibitive.</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As set out in our answer to Question 6 of the consultation on the Technical Standards, we believe that ESMA should ensure that the following information be publicly available:</w:t>
      </w:r>
    </w:p>
    <w:p w:rsidR="000E4F47" w:rsidRPr="000E4F47" w:rsidRDefault="000E4F47" w:rsidP="000E4F47">
      <w:pPr>
        <w:rPr>
          <w:rFonts w:ascii="Arial" w:hAnsi="Arial" w:cs="Arial"/>
          <w:sz w:val="22"/>
          <w:szCs w:val="22"/>
        </w:rPr>
      </w:pPr>
    </w:p>
    <w:p w:rsidR="000E4F47" w:rsidRPr="000E4F47" w:rsidRDefault="000E4F47" w:rsidP="000E4F47">
      <w:pPr>
        <w:numPr>
          <w:ilvl w:val="0"/>
          <w:numId w:val="42"/>
        </w:numPr>
        <w:rPr>
          <w:rFonts w:ascii="Arial" w:hAnsi="Arial" w:cs="Arial"/>
          <w:sz w:val="22"/>
          <w:szCs w:val="22"/>
          <w:lang w:val="en-US"/>
        </w:rPr>
      </w:pPr>
      <w:r w:rsidRPr="000E4F47">
        <w:rPr>
          <w:rFonts w:ascii="Arial" w:hAnsi="Arial" w:cs="Arial"/>
          <w:sz w:val="22"/>
          <w:szCs w:val="22"/>
          <w:lang w:val="en-US"/>
        </w:rPr>
        <w:t>a list of the ISINs of all the securities that are subject to penalty fines;</w:t>
      </w:r>
    </w:p>
    <w:p w:rsidR="000E4F47" w:rsidRPr="000E4F47" w:rsidRDefault="000E4F47" w:rsidP="000E4F47">
      <w:pPr>
        <w:numPr>
          <w:ilvl w:val="0"/>
          <w:numId w:val="42"/>
        </w:numPr>
        <w:rPr>
          <w:rFonts w:ascii="Arial" w:hAnsi="Arial" w:cs="Arial"/>
          <w:sz w:val="22"/>
          <w:szCs w:val="22"/>
          <w:lang w:val="en-US"/>
        </w:rPr>
      </w:pPr>
      <w:proofErr w:type="gramStart"/>
      <w:r w:rsidRPr="000E4F47">
        <w:rPr>
          <w:rFonts w:ascii="Arial" w:hAnsi="Arial" w:cs="Arial"/>
          <w:sz w:val="22"/>
          <w:szCs w:val="22"/>
          <w:lang w:val="en-US"/>
        </w:rPr>
        <w:t>for</w:t>
      </w:r>
      <w:proofErr w:type="gramEnd"/>
      <w:r w:rsidRPr="000E4F47">
        <w:rPr>
          <w:rFonts w:ascii="Arial" w:hAnsi="Arial" w:cs="Arial"/>
          <w:sz w:val="22"/>
          <w:szCs w:val="22"/>
          <w:lang w:val="en-US"/>
        </w:rPr>
        <w:t xml:space="preserve"> each ISIN, and for each business day, the price to be used for the calculation of penalties.</w:t>
      </w:r>
    </w:p>
    <w:p w:rsidR="000E4F47" w:rsidRPr="000E4F47" w:rsidRDefault="000E4F47" w:rsidP="000E4F47">
      <w:pPr>
        <w:numPr>
          <w:ilvl w:val="0"/>
          <w:numId w:val="42"/>
        </w:numPr>
        <w:rPr>
          <w:rFonts w:ascii="Arial" w:hAnsi="Arial" w:cs="Arial"/>
          <w:sz w:val="22"/>
          <w:szCs w:val="22"/>
          <w:lang w:val="en-US"/>
        </w:rPr>
      </w:pPr>
      <w:r w:rsidRPr="000E4F47">
        <w:rPr>
          <w:rFonts w:ascii="Arial" w:hAnsi="Arial" w:cs="Arial"/>
          <w:sz w:val="22"/>
          <w:szCs w:val="22"/>
          <w:lang w:val="en-US"/>
        </w:rPr>
        <w:t>in addition the penalty rate to be applied for a specific ISIN</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 xml:space="preserve">We underline that portfolio transfers have to be excluded from the penalty calculation. Even when delivered through a chain of intermediaries, the initial deliverer and ultimate receiver of the portfolio is the same. Application of the penalty regime on portfolio transfers could – in case of failed deliveries – lead to enormous penalty amounts to be channelled throughout the chain without any effect, as the ultimate payer of the penalty and the ultimate payee are the </w:t>
      </w:r>
      <w:proofErr w:type="gramStart"/>
      <w:r w:rsidRPr="000E4F47">
        <w:rPr>
          <w:rFonts w:ascii="Arial" w:hAnsi="Arial" w:cs="Arial"/>
          <w:sz w:val="22"/>
          <w:szCs w:val="22"/>
        </w:rPr>
        <w:t>same.</w:t>
      </w:r>
      <w:proofErr w:type="gramEnd"/>
    </w:p>
    <w:permEnd w:id="1137925934"/>
    <w:p w:rsidR="00A35728" w:rsidRDefault="00A35728" w:rsidP="00A35728">
      <w:pPr>
        <w:rPr>
          <w:rFonts w:ascii="Arial" w:hAnsi="Arial" w:cs="Arial"/>
          <w:sz w:val="22"/>
          <w:szCs w:val="22"/>
        </w:rPr>
      </w:pPr>
      <w:r w:rsidRPr="00616B9B">
        <w:rPr>
          <w:rFonts w:ascii="Arial" w:hAnsi="Arial" w:cs="Arial"/>
          <w:sz w:val="22"/>
          <w:szCs w:val="22"/>
        </w:rPr>
        <w:t>&lt;ESMA_QUESTION_TA_CSDR_1&gt;</w:t>
      </w:r>
    </w:p>
    <w:p w:rsidR="00682E4A" w:rsidRPr="00616B9B" w:rsidRDefault="00682E4A"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Q2:</w:t>
      </w:r>
      <w:r w:rsidRPr="00616B9B">
        <w:rPr>
          <w:rFonts w:ascii="Arial" w:hAnsi="Arial" w:cs="Arial"/>
          <w:szCs w:val="22"/>
        </w:rPr>
        <w:tab/>
        <w:t>What are your views on the proposed approach regarding the categories of financial instruments and the penalty rates?</w:t>
      </w:r>
      <w:r w:rsidR="006F08DC" w:rsidRPr="00616B9B">
        <w:rPr>
          <w:rFonts w:ascii="Arial" w:hAnsi="Arial" w:cs="Arial"/>
          <w:szCs w:val="22"/>
        </w:rPr>
        <w:t xml:space="preserve"> In particular, do you consider that these penalty rates could dis-incentivise trading in small caps? Please provide evidence to support your views.</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&lt;ESMA_QUESTION_TA_CSDR_2&gt;</w:t>
      </w:r>
    </w:p>
    <w:p w:rsidR="000E4F47" w:rsidRPr="000E4F47" w:rsidRDefault="000E4F47" w:rsidP="000E4F47">
      <w:pPr>
        <w:rPr>
          <w:rFonts w:ascii="Arial" w:hAnsi="Arial" w:cs="Arial"/>
          <w:sz w:val="22"/>
          <w:szCs w:val="22"/>
        </w:rPr>
      </w:pPr>
      <w:permStart w:id="1870738948" w:edGrp="everyone"/>
      <w:r w:rsidRPr="000E4F47">
        <w:rPr>
          <w:rFonts w:ascii="Arial" w:hAnsi="Arial" w:cs="Arial"/>
          <w:sz w:val="22"/>
          <w:szCs w:val="22"/>
        </w:rPr>
        <w:t xml:space="preserve">The EBF does not believe that ESMA’s proposed categories are appropriate. We believe that the proposal fails to adequately account for SME and illiquid securities as required under the Level 1. This will adversely impact the liquidity profiles of these securities to the detriment of all market participants.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i/>
          <w:sz w:val="22"/>
          <w:szCs w:val="22"/>
        </w:rPr>
      </w:pPr>
      <w:r w:rsidRPr="000E4F47">
        <w:rPr>
          <w:rFonts w:ascii="Arial" w:hAnsi="Arial" w:cs="Arial"/>
          <w:sz w:val="22"/>
          <w:szCs w:val="22"/>
        </w:rPr>
        <w:t xml:space="preserve">The objective of designing a settlement penalty regime which incentivises good behaviour whilst not damaging the market in illiquid securities is a key objective of the CSDR. This is specifically identified in recital 15 of the CSDR which states </w:t>
      </w:r>
      <w:r w:rsidRPr="000E4F47">
        <w:rPr>
          <w:rFonts w:ascii="Arial" w:hAnsi="Arial" w:cs="Arial"/>
          <w:i/>
          <w:sz w:val="22"/>
          <w:szCs w:val="22"/>
        </w:rPr>
        <w:t>“Those rules should be adapted to the specificities of different securities markets, certain trading venues such as SME growth markets as defined in Directive 2014/65/EU “</w:t>
      </w:r>
      <w:r w:rsidRPr="000E4F47">
        <w:rPr>
          <w:rFonts w:ascii="Arial" w:hAnsi="Arial" w:cs="Arial"/>
          <w:sz w:val="22"/>
          <w:szCs w:val="22"/>
        </w:rPr>
        <w:t>.  Further, recital 16 goes onto say “</w:t>
      </w:r>
      <w:r w:rsidRPr="000E4F47">
        <w:rPr>
          <w:rFonts w:ascii="Arial" w:hAnsi="Arial" w:cs="Arial"/>
          <w:i/>
          <w:sz w:val="22"/>
          <w:szCs w:val="22"/>
        </w:rPr>
        <w:t>The procedures and penalties relating to settlement fails should be commensurate with the scale and seriousness of such fails whilst being scaled in such a way that maintains and protects the liquidity of the relevant financial instruments”.</w:t>
      </w:r>
    </w:p>
    <w:p w:rsidR="000E4F47" w:rsidRPr="000E4F47" w:rsidRDefault="000E4F47" w:rsidP="000E4F47">
      <w:pPr>
        <w:rPr>
          <w:rFonts w:ascii="Arial" w:hAnsi="Arial" w:cs="Arial"/>
          <w:i/>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lastRenderedPageBreak/>
        <w:t xml:space="preserve">The EBF does not accept that an extended buy-in period alone for illiquid securities meets these objectives; rather, an explicit set of categories in regards to the penalty rates that accounts for the unique characteristics of illiquid securities is required.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i/>
          <w:sz w:val="22"/>
          <w:szCs w:val="22"/>
        </w:rPr>
        <w:t xml:space="preserve">Potential impact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ESMA’s assertion that “</w:t>
      </w:r>
      <w:r w:rsidRPr="000E4F47">
        <w:rPr>
          <w:rFonts w:ascii="Arial" w:hAnsi="Arial" w:cs="Arial"/>
          <w:i/>
          <w:sz w:val="22"/>
          <w:szCs w:val="22"/>
        </w:rPr>
        <w:t xml:space="preserve">Equities should be the least problematic to source on the market” </w:t>
      </w:r>
      <w:r w:rsidRPr="000E4F47">
        <w:rPr>
          <w:rFonts w:ascii="Arial" w:hAnsi="Arial" w:cs="Arial"/>
          <w:sz w:val="22"/>
          <w:szCs w:val="22"/>
        </w:rPr>
        <w:t xml:space="preserve">(paragraph 45 of the technical advice) fails to account for the very different characteristics and challenges present by illiquid shares, the most common of which are issued by small-and-medium sized public companies.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 xml:space="preserve">It is true that trading in liquid shares is characterised by high volume sizes and often transacted in long chains. Single fail size in these cases is modest compared to volumes, and in notional terms relatively small.  However this is not the case for less liquid shares and SME’s for which sourcing replacement securities is complex with shorter settlement chains and a shallow liquidity pool.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 xml:space="preserve">ESMA acknowledges the very real challenges of buying-in illiquid securities in its proposed buy-in and extension regime: for liquid stocks, ISD + 4 then a 4 day buy-in period; for less liquid stocks, ISD + 7 then a 7 day buy-in period; and for SME growth markets,  ISD + 15, then again 7 days.  By failing to carry this acknowledgment over to the design of the penalty regime, ESMA is acting contrary to its intended objective of not adversely impacting illiquid securities.  This is especially so when the outcome of the buy-in regime timeframes is considered in conjunction with the penalty regime.  Were the full length of time available for an SME equities-buy-in utilised, this could mean up to 22 days of fines falling on a market participant at 1.0bp </w:t>
      </w:r>
      <w:r w:rsidRPr="000E4F47">
        <w:rPr>
          <w:rFonts w:ascii="Arial" w:hAnsi="Arial" w:cs="Arial"/>
          <w:i/>
          <w:sz w:val="22"/>
          <w:szCs w:val="22"/>
        </w:rPr>
        <w:t xml:space="preserve">per day </w:t>
      </w:r>
      <w:r w:rsidRPr="000E4F47">
        <w:rPr>
          <w:rFonts w:ascii="Arial" w:hAnsi="Arial" w:cs="Arial"/>
          <w:sz w:val="22"/>
          <w:szCs w:val="22"/>
        </w:rPr>
        <w:t xml:space="preserve">(in the case of illiquid securities, commonly a market maker).  For less-liquid corporate bonds – an absolutely vital source of company funding in the EU, and the focus of considerable policy discussion in the Capital Markets Union initiative - participants could be liable for 14 days of fines at 0.5bp </w:t>
      </w:r>
      <w:r w:rsidRPr="000E4F47">
        <w:rPr>
          <w:rFonts w:ascii="Arial" w:hAnsi="Arial" w:cs="Arial"/>
          <w:i/>
          <w:sz w:val="22"/>
          <w:szCs w:val="22"/>
        </w:rPr>
        <w:t>per day</w:t>
      </w:r>
      <w:r w:rsidRPr="000E4F47">
        <w:rPr>
          <w:rFonts w:ascii="Arial" w:hAnsi="Arial" w:cs="Arial"/>
          <w:sz w:val="22"/>
          <w:szCs w:val="22"/>
        </w:rPr>
        <w:t xml:space="preserve">.  This represents an enormous potential cost to market-makers and market participants and would have a chilling effect on trading behaviour.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 xml:space="preserve">ESMA must account for these less liquid securities in the design of its categories.  The EBF believe that a more appropriate categorisation regime would be: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i/>
          <w:sz w:val="22"/>
          <w:szCs w:val="22"/>
        </w:rPr>
      </w:pPr>
      <w:r w:rsidRPr="000E4F47">
        <w:rPr>
          <w:rFonts w:ascii="Arial" w:hAnsi="Arial" w:cs="Arial"/>
          <w:i/>
          <w:sz w:val="22"/>
          <w:szCs w:val="22"/>
        </w:rPr>
        <w:t xml:space="preserve">Equities </w:t>
      </w:r>
    </w:p>
    <w:p w:rsidR="000E4F47" w:rsidRPr="000E4F47" w:rsidRDefault="000E4F47" w:rsidP="000E4F47">
      <w:pPr>
        <w:rPr>
          <w:rFonts w:ascii="Arial" w:hAnsi="Arial" w:cs="Arial"/>
          <w:sz w:val="22"/>
          <w:szCs w:val="22"/>
        </w:rPr>
      </w:pPr>
    </w:p>
    <w:p w:rsidR="000E4F47" w:rsidRPr="000E4F47" w:rsidRDefault="000E4F47" w:rsidP="000E4F47">
      <w:pPr>
        <w:numPr>
          <w:ilvl w:val="0"/>
          <w:numId w:val="43"/>
        </w:numPr>
        <w:rPr>
          <w:rFonts w:ascii="Arial" w:hAnsi="Arial" w:cs="Arial"/>
          <w:sz w:val="22"/>
          <w:szCs w:val="22"/>
        </w:rPr>
      </w:pPr>
      <w:r w:rsidRPr="000E4F47">
        <w:rPr>
          <w:rFonts w:ascii="Arial" w:hAnsi="Arial" w:cs="Arial"/>
          <w:sz w:val="22"/>
          <w:szCs w:val="22"/>
        </w:rPr>
        <w:t xml:space="preserve">Liquid Shares: </w:t>
      </w:r>
    </w:p>
    <w:p w:rsidR="000E4F47" w:rsidRPr="000E4F47" w:rsidRDefault="000E4F47" w:rsidP="000E4F47">
      <w:pPr>
        <w:numPr>
          <w:ilvl w:val="0"/>
          <w:numId w:val="43"/>
        </w:numPr>
        <w:rPr>
          <w:rFonts w:ascii="Arial" w:hAnsi="Arial" w:cs="Arial"/>
          <w:sz w:val="22"/>
          <w:szCs w:val="22"/>
        </w:rPr>
      </w:pPr>
      <w:r w:rsidRPr="000E4F47">
        <w:rPr>
          <w:rFonts w:ascii="Arial" w:hAnsi="Arial" w:cs="Arial"/>
          <w:sz w:val="22"/>
          <w:szCs w:val="22"/>
        </w:rPr>
        <w:t xml:space="preserve">Less Liquid Shares: </w:t>
      </w:r>
    </w:p>
    <w:p w:rsidR="000E4F47" w:rsidRPr="000E4F47" w:rsidRDefault="000E4F47" w:rsidP="000E4F47">
      <w:pPr>
        <w:numPr>
          <w:ilvl w:val="0"/>
          <w:numId w:val="43"/>
        </w:numPr>
        <w:rPr>
          <w:rFonts w:ascii="Arial" w:hAnsi="Arial" w:cs="Arial"/>
          <w:sz w:val="22"/>
          <w:szCs w:val="22"/>
        </w:rPr>
      </w:pPr>
      <w:r w:rsidRPr="000E4F47">
        <w:rPr>
          <w:rFonts w:ascii="Arial" w:hAnsi="Arial" w:cs="Arial"/>
          <w:sz w:val="22"/>
          <w:szCs w:val="22"/>
        </w:rPr>
        <w:t>SME’s Shares</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i/>
          <w:sz w:val="22"/>
          <w:szCs w:val="22"/>
        </w:rPr>
      </w:pPr>
      <w:r w:rsidRPr="000E4F47">
        <w:rPr>
          <w:rFonts w:ascii="Arial" w:hAnsi="Arial" w:cs="Arial"/>
          <w:i/>
          <w:sz w:val="22"/>
          <w:szCs w:val="22"/>
        </w:rPr>
        <w:t>Fixed Income</w:t>
      </w:r>
    </w:p>
    <w:p w:rsidR="000E4F47" w:rsidRPr="000E4F47" w:rsidRDefault="000E4F47" w:rsidP="000E4F47">
      <w:pPr>
        <w:rPr>
          <w:rFonts w:ascii="Arial" w:hAnsi="Arial" w:cs="Arial"/>
          <w:i/>
          <w:sz w:val="22"/>
          <w:szCs w:val="22"/>
        </w:rPr>
      </w:pPr>
    </w:p>
    <w:p w:rsidR="000E4F47" w:rsidRPr="000E4F47" w:rsidRDefault="000E4F47" w:rsidP="000E4F47">
      <w:pPr>
        <w:numPr>
          <w:ilvl w:val="0"/>
          <w:numId w:val="44"/>
        </w:numPr>
        <w:rPr>
          <w:rFonts w:ascii="Arial" w:hAnsi="Arial" w:cs="Arial"/>
          <w:sz w:val="22"/>
          <w:szCs w:val="22"/>
        </w:rPr>
      </w:pPr>
      <w:r w:rsidRPr="000E4F47">
        <w:rPr>
          <w:rFonts w:ascii="Arial" w:hAnsi="Arial" w:cs="Arial"/>
          <w:sz w:val="22"/>
          <w:szCs w:val="22"/>
        </w:rPr>
        <w:t>Government bonds</w:t>
      </w:r>
    </w:p>
    <w:p w:rsidR="000E4F47" w:rsidRPr="000E4F47" w:rsidRDefault="000E4F47" w:rsidP="000E4F47">
      <w:pPr>
        <w:numPr>
          <w:ilvl w:val="0"/>
          <w:numId w:val="44"/>
        </w:numPr>
        <w:rPr>
          <w:rFonts w:ascii="Arial" w:hAnsi="Arial" w:cs="Arial"/>
          <w:sz w:val="22"/>
          <w:szCs w:val="22"/>
        </w:rPr>
      </w:pPr>
      <w:r w:rsidRPr="000E4F47">
        <w:rPr>
          <w:rFonts w:ascii="Arial" w:hAnsi="Arial" w:cs="Arial"/>
          <w:sz w:val="22"/>
          <w:szCs w:val="22"/>
        </w:rPr>
        <w:t>Corporate and other bonds (e.g. municipal)</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i/>
          <w:sz w:val="22"/>
          <w:szCs w:val="22"/>
        </w:rPr>
      </w:pPr>
      <w:r w:rsidRPr="000E4F47">
        <w:rPr>
          <w:rFonts w:ascii="Arial" w:hAnsi="Arial" w:cs="Arial"/>
          <w:i/>
          <w:sz w:val="22"/>
          <w:szCs w:val="22"/>
        </w:rPr>
        <w:t>Other</w:t>
      </w:r>
    </w:p>
    <w:p w:rsidR="000E4F47" w:rsidRPr="000E4F47" w:rsidRDefault="000E4F47" w:rsidP="000E4F47">
      <w:pPr>
        <w:rPr>
          <w:rFonts w:ascii="Arial" w:hAnsi="Arial" w:cs="Arial"/>
          <w:i/>
          <w:sz w:val="22"/>
          <w:szCs w:val="22"/>
        </w:rPr>
      </w:pPr>
    </w:p>
    <w:p w:rsidR="000E4F47" w:rsidRPr="000E4F47" w:rsidRDefault="000E4F47" w:rsidP="000E4F47">
      <w:pPr>
        <w:numPr>
          <w:ilvl w:val="0"/>
          <w:numId w:val="43"/>
        </w:numPr>
        <w:rPr>
          <w:rFonts w:ascii="Arial" w:hAnsi="Arial" w:cs="Arial"/>
          <w:sz w:val="22"/>
          <w:szCs w:val="22"/>
        </w:rPr>
      </w:pPr>
      <w:r w:rsidRPr="000E4F47">
        <w:rPr>
          <w:rFonts w:ascii="Arial" w:hAnsi="Arial" w:cs="Arial"/>
          <w:sz w:val="22"/>
          <w:szCs w:val="22"/>
        </w:rPr>
        <w:t>DR’s, ETF, Certificates</w:t>
      </w:r>
    </w:p>
    <w:p w:rsidR="000E4F47" w:rsidRPr="000E4F47" w:rsidRDefault="000E4F47" w:rsidP="000E4F47">
      <w:pPr>
        <w:numPr>
          <w:ilvl w:val="0"/>
          <w:numId w:val="43"/>
        </w:numPr>
        <w:rPr>
          <w:rFonts w:ascii="Arial" w:hAnsi="Arial" w:cs="Arial"/>
          <w:sz w:val="22"/>
          <w:szCs w:val="22"/>
        </w:rPr>
      </w:pPr>
      <w:r w:rsidRPr="000E4F47">
        <w:rPr>
          <w:rFonts w:ascii="Arial" w:hAnsi="Arial" w:cs="Arial"/>
          <w:sz w:val="22"/>
          <w:szCs w:val="22"/>
        </w:rPr>
        <w:t>Cash</w:t>
      </w:r>
    </w:p>
    <w:p w:rsidR="000E4F47" w:rsidRPr="000E4F47" w:rsidRDefault="000E4F47" w:rsidP="000E4F47">
      <w:pPr>
        <w:rPr>
          <w:rFonts w:ascii="Arial" w:hAnsi="Arial" w:cs="Arial"/>
          <w:i/>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lastRenderedPageBreak/>
        <w:t>Of equal importance to the design on the penalty regime is the daily penalty rate. Again, the EBF believes that ESMA has failed to take into account the requirement to not adversely impact market functioning in less and SME markets.  The EBF recommends that an escalating scale be employed, with SME and less liquid securities and shares at the lower end of the scale, moving higher for securities with more liquid trading profiles.  The following rates should be applied to the categories above:</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 xml:space="preserve">Liquid Shares: </w:t>
      </w:r>
      <w:r w:rsidRPr="000E4F47">
        <w:rPr>
          <w:rFonts w:ascii="Arial" w:hAnsi="Arial" w:cs="Arial"/>
          <w:sz w:val="22"/>
          <w:szCs w:val="22"/>
        </w:rPr>
        <w:tab/>
      </w:r>
      <w:r w:rsidRPr="000E4F47">
        <w:rPr>
          <w:rFonts w:ascii="Arial" w:hAnsi="Arial" w:cs="Arial"/>
          <w:sz w:val="22"/>
          <w:szCs w:val="22"/>
        </w:rPr>
        <w:tab/>
      </w:r>
      <w:r w:rsidRPr="000E4F47">
        <w:rPr>
          <w:rFonts w:ascii="Arial" w:hAnsi="Arial" w:cs="Arial"/>
          <w:b/>
          <w:sz w:val="22"/>
          <w:szCs w:val="22"/>
        </w:rPr>
        <w:t>1.0bp</w:t>
      </w:r>
    </w:p>
    <w:p w:rsidR="000E4F47" w:rsidRPr="000E4F47" w:rsidRDefault="000E4F47" w:rsidP="000E4F47">
      <w:pPr>
        <w:rPr>
          <w:rFonts w:ascii="Arial" w:hAnsi="Arial" w:cs="Arial"/>
          <w:sz w:val="22"/>
          <w:szCs w:val="22"/>
        </w:rPr>
      </w:pPr>
      <w:r w:rsidRPr="000E4F47">
        <w:rPr>
          <w:rFonts w:ascii="Arial" w:hAnsi="Arial" w:cs="Arial"/>
          <w:sz w:val="22"/>
          <w:szCs w:val="22"/>
        </w:rPr>
        <w:t xml:space="preserve">Less Liquid Shares: </w:t>
      </w:r>
      <w:r w:rsidRPr="000E4F47">
        <w:rPr>
          <w:rFonts w:ascii="Arial" w:hAnsi="Arial" w:cs="Arial"/>
          <w:sz w:val="22"/>
          <w:szCs w:val="22"/>
        </w:rPr>
        <w:tab/>
      </w:r>
      <w:r w:rsidRPr="000E4F47">
        <w:rPr>
          <w:rFonts w:ascii="Arial" w:hAnsi="Arial" w:cs="Arial"/>
          <w:sz w:val="22"/>
          <w:szCs w:val="22"/>
        </w:rPr>
        <w:tab/>
      </w:r>
      <w:r w:rsidRPr="000E4F47">
        <w:rPr>
          <w:rFonts w:ascii="Arial" w:hAnsi="Arial" w:cs="Arial"/>
          <w:b/>
          <w:sz w:val="22"/>
          <w:szCs w:val="22"/>
        </w:rPr>
        <w:t>0.5</w:t>
      </w:r>
      <w:proofErr w:type="spellStart"/>
      <w:r w:rsidRPr="000E4F47">
        <w:rPr>
          <w:rFonts w:ascii="Arial" w:hAnsi="Arial" w:cs="Arial"/>
          <w:b/>
          <w:bCs/>
          <w:sz w:val="22"/>
          <w:szCs w:val="22"/>
          <w:lang w:val="en-IE"/>
        </w:rPr>
        <w:t>bp</w:t>
      </w:r>
      <w:proofErr w:type="spellEnd"/>
    </w:p>
    <w:p w:rsidR="000E4F47" w:rsidRPr="000E4F47" w:rsidRDefault="000E4F47" w:rsidP="000E4F47">
      <w:pPr>
        <w:rPr>
          <w:rFonts w:ascii="Arial" w:hAnsi="Arial" w:cs="Arial"/>
          <w:b/>
          <w:bCs/>
          <w:sz w:val="22"/>
          <w:szCs w:val="22"/>
          <w:lang w:val="en-IE"/>
        </w:rPr>
      </w:pPr>
      <w:r w:rsidRPr="000E4F47">
        <w:rPr>
          <w:rFonts w:ascii="Arial" w:hAnsi="Arial" w:cs="Arial"/>
          <w:sz w:val="22"/>
          <w:szCs w:val="22"/>
        </w:rPr>
        <w:t>SME’s Shares</w:t>
      </w:r>
      <w:r>
        <w:rPr>
          <w:rFonts w:ascii="Arial" w:hAnsi="Arial" w:cs="Arial"/>
          <w:b/>
          <w:bCs/>
          <w:sz w:val="22"/>
          <w:szCs w:val="22"/>
          <w:lang w:val="en-IE"/>
        </w:rPr>
        <w:t xml:space="preserve">: </w:t>
      </w:r>
      <w:r>
        <w:rPr>
          <w:rFonts w:ascii="Arial" w:hAnsi="Arial" w:cs="Arial"/>
          <w:b/>
          <w:bCs/>
          <w:sz w:val="22"/>
          <w:szCs w:val="22"/>
          <w:lang w:val="en-IE"/>
        </w:rPr>
        <w:tab/>
      </w:r>
      <w:r>
        <w:rPr>
          <w:rFonts w:ascii="Arial" w:hAnsi="Arial" w:cs="Arial"/>
          <w:b/>
          <w:bCs/>
          <w:sz w:val="22"/>
          <w:szCs w:val="22"/>
          <w:lang w:val="en-IE"/>
        </w:rPr>
        <w:tab/>
      </w:r>
      <w:r w:rsidRPr="000E4F47">
        <w:rPr>
          <w:rFonts w:ascii="Arial" w:hAnsi="Arial" w:cs="Arial"/>
          <w:b/>
          <w:bCs/>
          <w:sz w:val="22"/>
          <w:szCs w:val="22"/>
          <w:lang w:val="en-IE"/>
        </w:rPr>
        <w:t>0.25bp</w:t>
      </w:r>
    </w:p>
    <w:p w:rsidR="000E4F47" w:rsidRPr="000E4F47" w:rsidRDefault="000E4F47" w:rsidP="000E4F47">
      <w:pPr>
        <w:rPr>
          <w:rFonts w:ascii="Arial" w:hAnsi="Arial" w:cs="Arial"/>
          <w:sz w:val="22"/>
          <w:szCs w:val="22"/>
        </w:rPr>
      </w:pPr>
      <w:r w:rsidRPr="000E4F47">
        <w:rPr>
          <w:rFonts w:ascii="Arial" w:hAnsi="Arial" w:cs="Arial"/>
          <w:sz w:val="22"/>
          <w:szCs w:val="22"/>
        </w:rPr>
        <w:t xml:space="preserve">Government bonds: </w:t>
      </w:r>
      <w:r w:rsidRPr="000E4F47">
        <w:rPr>
          <w:rFonts w:ascii="Arial" w:hAnsi="Arial" w:cs="Arial"/>
          <w:sz w:val="22"/>
          <w:szCs w:val="22"/>
        </w:rPr>
        <w:tab/>
      </w:r>
      <w:r w:rsidRPr="000E4F47">
        <w:rPr>
          <w:rFonts w:ascii="Arial" w:hAnsi="Arial" w:cs="Arial"/>
          <w:sz w:val="22"/>
          <w:szCs w:val="22"/>
        </w:rPr>
        <w:tab/>
      </w:r>
      <w:r w:rsidRPr="000E4F47">
        <w:rPr>
          <w:rFonts w:ascii="Arial" w:hAnsi="Arial" w:cs="Arial"/>
          <w:b/>
          <w:bCs/>
          <w:sz w:val="22"/>
          <w:szCs w:val="22"/>
          <w:lang w:val="en-IE"/>
        </w:rPr>
        <w:t>0.25bp</w:t>
      </w:r>
    </w:p>
    <w:p w:rsidR="000E4F47" w:rsidRPr="000E4F47" w:rsidRDefault="000E4F47" w:rsidP="000E4F47">
      <w:pPr>
        <w:rPr>
          <w:rFonts w:ascii="Arial" w:hAnsi="Arial" w:cs="Arial"/>
          <w:b/>
          <w:bCs/>
          <w:sz w:val="22"/>
          <w:szCs w:val="22"/>
          <w:lang w:val="en-IE"/>
        </w:rPr>
      </w:pPr>
      <w:r w:rsidRPr="000E4F47">
        <w:rPr>
          <w:rFonts w:ascii="Arial" w:hAnsi="Arial" w:cs="Arial"/>
          <w:sz w:val="22"/>
          <w:szCs w:val="22"/>
        </w:rPr>
        <w:t xml:space="preserve">Corporate &amp; other bonds: </w:t>
      </w:r>
      <w:r w:rsidRPr="000E4F47">
        <w:rPr>
          <w:rFonts w:ascii="Arial" w:hAnsi="Arial" w:cs="Arial"/>
          <w:sz w:val="22"/>
          <w:szCs w:val="22"/>
        </w:rPr>
        <w:tab/>
      </w:r>
      <w:r w:rsidRPr="000E4F47">
        <w:rPr>
          <w:rFonts w:ascii="Arial" w:hAnsi="Arial" w:cs="Arial"/>
          <w:b/>
          <w:bCs/>
          <w:sz w:val="22"/>
          <w:szCs w:val="22"/>
          <w:lang w:val="en-IE"/>
        </w:rPr>
        <w:t>0.3bp</w:t>
      </w:r>
    </w:p>
    <w:p w:rsidR="000E4F47" w:rsidRPr="000E4F47" w:rsidRDefault="000E4F47" w:rsidP="000E4F47">
      <w:pPr>
        <w:rPr>
          <w:rFonts w:ascii="Arial" w:hAnsi="Arial" w:cs="Arial"/>
          <w:sz w:val="22"/>
          <w:szCs w:val="22"/>
        </w:rPr>
      </w:pPr>
      <w:r w:rsidRPr="000E4F47">
        <w:rPr>
          <w:rFonts w:ascii="Arial" w:hAnsi="Arial" w:cs="Arial"/>
          <w:sz w:val="22"/>
          <w:szCs w:val="22"/>
        </w:rPr>
        <w:t xml:space="preserve">Cash: </w:t>
      </w:r>
      <w:r w:rsidRPr="000E4F47">
        <w:rPr>
          <w:rFonts w:ascii="Arial" w:hAnsi="Arial" w:cs="Arial"/>
          <w:sz w:val="22"/>
          <w:szCs w:val="22"/>
        </w:rPr>
        <w:tab/>
      </w:r>
      <w:r w:rsidRPr="000E4F47">
        <w:rPr>
          <w:rFonts w:ascii="Arial" w:hAnsi="Arial" w:cs="Arial"/>
          <w:sz w:val="22"/>
          <w:szCs w:val="22"/>
        </w:rPr>
        <w:tab/>
      </w:r>
      <w:r w:rsidRPr="000E4F47">
        <w:rPr>
          <w:rFonts w:ascii="Arial" w:hAnsi="Arial" w:cs="Arial"/>
          <w:sz w:val="22"/>
          <w:szCs w:val="22"/>
        </w:rPr>
        <w:tab/>
      </w:r>
      <w:r w:rsidRPr="000E4F47">
        <w:rPr>
          <w:rFonts w:ascii="Arial" w:hAnsi="Arial" w:cs="Arial"/>
          <w:sz w:val="22"/>
          <w:szCs w:val="22"/>
        </w:rPr>
        <w:tab/>
      </w:r>
      <w:r w:rsidRPr="000E4F47">
        <w:rPr>
          <w:rFonts w:ascii="Arial" w:hAnsi="Arial" w:cs="Arial"/>
          <w:b/>
          <w:sz w:val="22"/>
          <w:szCs w:val="22"/>
        </w:rPr>
        <w:t xml:space="preserve"> Discount rate per currency</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When discussing about the categorisation regime, EBF would recommend ESMA to rely on the definition of liquid securities included in the MiFID 2. EBF also believes ESMA would be best placed to manage these categories.</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As also suggested in the reply to Q14 ESMA draft RTS on CSD, EBF would like to recommend starting the implementation of the new settlement discipline regime with a simulation phase, during which CSDs would have the system in place and would calculate the penalties, however without actually charging them. This would provide a window of opportunity to properly calibrate the regime in order to avoid market distortions.</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 xml:space="preserve">Additionally EBF believes the system to be put in place should be as simple as straight forward as possible in order to guarantee a correct implementation.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bCs/>
          <w:sz w:val="22"/>
          <w:szCs w:val="22"/>
          <w:lang w:val="en-US"/>
        </w:rPr>
      </w:pPr>
      <w:r w:rsidRPr="000E4F47">
        <w:rPr>
          <w:rFonts w:ascii="Arial" w:hAnsi="Arial" w:cs="Arial"/>
          <w:sz w:val="22"/>
          <w:szCs w:val="22"/>
        </w:rPr>
        <w:t xml:space="preserve">The EBF would support the ad valorem approach as this helps immunize parties in the middle of the settlement chain. </w:t>
      </w:r>
    </w:p>
    <w:permEnd w:id="1870738948"/>
    <w:p w:rsidR="00A35728" w:rsidRDefault="00A35728" w:rsidP="00A35728">
      <w:pPr>
        <w:rPr>
          <w:rFonts w:ascii="Arial" w:hAnsi="Arial" w:cs="Arial"/>
          <w:sz w:val="22"/>
          <w:szCs w:val="22"/>
        </w:rPr>
      </w:pPr>
      <w:r w:rsidRPr="00F32462">
        <w:rPr>
          <w:rFonts w:ascii="Arial" w:hAnsi="Arial" w:cs="Arial"/>
          <w:sz w:val="22"/>
          <w:szCs w:val="22"/>
        </w:rPr>
        <w:t>&lt;ESMA_QUESTION_TA_CSDR_2&gt;</w:t>
      </w:r>
    </w:p>
    <w:p w:rsidR="00682E4A" w:rsidRPr="00F32462" w:rsidRDefault="00682E4A"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Q3:</w:t>
      </w:r>
      <w:r w:rsidRPr="00616B9B">
        <w:rPr>
          <w:rFonts w:ascii="Arial" w:hAnsi="Arial" w:cs="Arial"/>
          <w:szCs w:val="22"/>
        </w:rPr>
        <w:tab/>
        <w:t>What are your views on the proposed approach regarding the increase and reduction of the basic penalty amount?</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&lt;ESMA_QUESTION_TA_CSDR_3&gt;</w:t>
      </w:r>
    </w:p>
    <w:p w:rsidR="000E4F47" w:rsidRPr="000E4F47" w:rsidRDefault="000E4F47" w:rsidP="000E4F47">
      <w:pPr>
        <w:rPr>
          <w:rFonts w:ascii="Arial" w:hAnsi="Arial" w:cs="Arial"/>
          <w:sz w:val="22"/>
          <w:szCs w:val="22"/>
        </w:rPr>
      </w:pPr>
      <w:permStart w:id="175337966" w:edGrp="everyone"/>
      <w:r w:rsidRPr="000E4F47">
        <w:rPr>
          <w:rFonts w:ascii="Arial" w:hAnsi="Arial" w:cs="Arial"/>
          <w:sz w:val="22"/>
          <w:szCs w:val="22"/>
        </w:rPr>
        <w:t>The EBF supports the view expressed by ESMA in paragraph 59 that for standard activity, and under standard circumstances, the system should be simple, and that no increase or decrease should be used.</w:t>
      </w:r>
    </w:p>
    <w:p w:rsidR="000E4F47" w:rsidRPr="000E4F47" w:rsidRDefault="000E4F47" w:rsidP="000E4F47">
      <w:pPr>
        <w:rPr>
          <w:rFonts w:ascii="Arial" w:hAnsi="Arial" w:cs="Arial"/>
          <w:sz w:val="22"/>
          <w:szCs w:val="22"/>
        </w:rPr>
      </w:pPr>
      <w:r w:rsidRPr="000E4F47">
        <w:rPr>
          <w:rFonts w:ascii="Arial" w:hAnsi="Arial" w:cs="Arial"/>
          <w:sz w:val="22"/>
          <w:szCs w:val="22"/>
        </w:rPr>
        <w:t xml:space="preserve">In paragraph 60, ESMA provides some examples of situations when the penalty could be reduced to zero. EBF would like to express its support for this approach. However, EBF would like to ask ESMA to provide clearer guidance on the exact cases where the penalty rate can be reduced to zero. A harmonised approach on this policy would exclude that different markets follow their own rules resulting in a non-level playing field in the EU and possibly in regulatory arbitrage.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 xml:space="preserve">Furthermore, from the point of view of necessary IT developments to implement the cash penalties regime, there needs to be absolute clarity, across all EU CSDs, on the exact cases when the cash penalties should be applied. In this respect, EBF would like to propose to ESMA that penalties should be charged only for fails with a fail reason “Lack of securities”, “Lack of cash” and “Settlement instructions on party/counterparty hold”; on all other fails, penalties on instructions should not be charged. This proposal has the benefit that it will provide clarity to CSDs for implementing initially a simplified cash penalties regime, which is easier to implement in practice. </w:t>
      </w:r>
      <w:r w:rsidRPr="000E4F47">
        <w:rPr>
          <w:rFonts w:ascii="Arial" w:hAnsi="Arial" w:cs="Arial"/>
          <w:sz w:val="22"/>
          <w:szCs w:val="22"/>
        </w:rPr>
        <w:lastRenderedPageBreak/>
        <w:t xml:space="preserve">Such a simplified initial approach does not prevent ESMA from extending the cash penalties to failing instructions, which fail for other reasons at a later stage if it considers that this limited scope of reasons for fails is abused by the CSD participants. In particular, there are currently almost 20 standard ISO reasons codes (see our reply to Q23 of Consultation on RTS on CSDR) that are used to identify the reason a transaction is failing and there are multiple codes which are provided in certain cases. In each case there should be enough guidance from ESMA for each reason: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 xml:space="preserve">1) What penalty rate should be applied?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 xml:space="preserve">And </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2) Which party to the transaction should be charged?</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While these are straightforward and covered by ESMA for the separate reasons “Lack of securities” and “Lack of cash” in the table provided in para 52, no such information is provided for the other cases of the same table. In particular, information is lacking on who should be charged with what amount in case the instruction is “on party hold”.</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sz w:val="22"/>
          <w:szCs w:val="22"/>
        </w:rPr>
      </w:pPr>
      <w:r w:rsidRPr="000E4F47">
        <w:rPr>
          <w:rFonts w:ascii="Arial" w:hAnsi="Arial" w:cs="Arial"/>
          <w:sz w:val="22"/>
          <w:szCs w:val="22"/>
        </w:rPr>
        <w:t>Finally, ESMA could provide further clarifications in the cases of pending instructions put “on hold” by CSDs/CCPs on which “buyer protection” has been exercised. A buyer protection reflects the buyer’s choice of proceeds (on a pending transaction related to an optional corporate action) where the buyer has not yet received the securities on his account. EBF is of the opinion that when settlement instructions are put “on hold” as a result of buyer protection rules by CSDs or CCPs, no penalties should apply on such instructions “on hold”. This is because a pending instruction subject to buyer protection will eventually be cancelled by the CSDs/CCPs and converted into one or more new instructions by the CSD/CCP (in accordance with the EU corporate action standards).</w:t>
      </w:r>
    </w:p>
    <w:permEnd w:id="175337966"/>
    <w:p w:rsidR="00A35728" w:rsidRDefault="00A35728" w:rsidP="00A35728">
      <w:pPr>
        <w:rPr>
          <w:rFonts w:ascii="Arial" w:hAnsi="Arial" w:cs="Arial"/>
          <w:sz w:val="22"/>
          <w:szCs w:val="22"/>
        </w:rPr>
      </w:pPr>
      <w:r w:rsidRPr="00616B9B">
        <w:rPr>
          <w:rFonts w:ascii="Arial" w:hAnsi="Arial" w:cs="Arial"/>
          <w:sz w:val="22"/>
          <w:szCs w:val="22"/>
        </w:rPr>
        <w:t>&lt;ESMA_QUESTION_TA_CSDR_3&gt;</w:t>
      </w:r>
    </w:p>
    <w:p w:rsidR="009A7E2F" w:rsidRPr="00616B9B" w:rsidRDefault="009A7E2F"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Q4:</w:t>
      </w:r>
      <w:r w:rsidRPr="00616B9B">
        <w:rPr>
          <w:rFonts w:ascii="Arial" w:hAnsi="Arial" w:cs="Arial"/>
          <w:szCs w:val="22"/>
        </w:rPr>
        <w:tab/>
        <w:t>What are your views on the proposed approach regarding the cash penalties in the context of chains of interdependent transactions?</w:t>
      </w:r>
      <w:r w:rsidRPr="00616B9B">
        <w:rPr>
          <w:rFonts w:ascii="Arial" w:hAnsi="Arial" w:cs="Arial"/>
          <w:szCs w:val="22"/>
        </w:rPr>
        <w:tab/>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&lt;ESMA_QUESTION_TA_CSDR_4&gt;</w:t>
      </w:r>
    </w:p>
    <w:p w:rsidR="000E4F47" w:rsidRPr="000E4F47" w:rsidRDefault="000E4F47" w:rsidP="000E4F47">
      <w:pPr>
        <w:rPr>
          <w:rFonts w:ascii="Arial" w:hAnsi="Arial" w:cs="Arial"/>
          <w:sz w:val="22"/>
          <w:szCs w:val="22"/>
        </w:rPr>
      </w:pPr>
      <w:permStart w:id="838141913" w:edGrp="everyone"/>
      <w:r w:rsidRPr="000E4F47">
        <w:rPr>
          <w:rFonts w:ascii="Arial" w:hAnsi="Arial" w:cs="Arial"/>
          <w:sz w:val="22"/>
          <w:szCs w:val="22"/>
        </w:rPr>
        <w:t xml:space="preserve">EBF fully supports this approach. We welcome the fact that ESMA has built a regime based on the fundamental principle that a non-defaulter should be immunized. In this context it is well noted that intermediaries in the delivery chain of interdependent transactions should </w:t>
      </w:r>
      <w:proofErr w:type="gramStart"/>
      <w:r w:rsidRPr="000E4F47">
        <w:rPr>
          <w:rFonts w:ascii="Arial" w:hAnsi="Arial" w:cs="Arial"/>
          <w:sz w:val="22"/>
          <w:szCs w:val="22"/>
        </w:rPr>
        <w:t>not  be</w:t>
      </w:r>
      <w:proofErr w:type="gramEnd"/>
      <w:r w:rsidRPr="000E4F47">
        <w:rPr>
          <w:rFonts w:ascii="Arial" w:hAnsi="Arial" w:cs="Arial"/>
          <w:sz w:val="22"/>
          <w:szCs w:val="22"/>
        </w:rPr>
        <w:t xml:space="preserve"> affected </w:t>
      </w:r>
      <w:bookmarkStart w:id="3" w:name="_GoBack"/>
      <w:bookmarkEnd w:id="3"/>
      <w:r w:rsidRPr="000E4F47">
        <w:rPr>
          <w:rFonts w:ascii="Arial" w:hAnsi="Arial" w:cs="Arial"/>
          <w:sz w:val="22"/>
          <w:szCs w:val="22"/>
        </w:rPr>
        <w:t>by a penalty if their position is flat.</w:t>
      </w:r>
    </w:p>
    <w:p w:rsidR="000E4F47" w:rsidRPr="000E4F47" w:rsidRDefault="000E4F47" w:rsidP="000E4F47">
      <w:pPr>
        <w:rPr>
          <w:rFonts w:ascii="Arial" w:hAnsi="Arial" w:cs="Arial"/>
          <w:sz w:val="22"/>
          <w:szCs w:val="22"/>
        </w:rPr>
      </w:pPr>
    </w:p>
    <w:p w:rsidR="000E4F47" w:rsidRPr="000E4F47" w:rsidRDefault="000E4F47" w:rsidP="000E4F47">
      <w:pPr>
        <w:rPr>
          <w:rFonts w:ascii="Arial" w:hAnsi="Arial" w:cs="Arial"/>
          <w:bCs/>
          <w:sz w:val="22"/>
          <w:szCs w:val="22"/>
          <w:lang w:val="en-US"/>
        </w:rPr>
      </w:pPr>
      <w:r w:rsidRPr="000E4F47">
        <w:rPr>
          <w:rFonts w:ascii="Arial" w:hAnsi="Arial" w:cs="Arial"/>
          <w:bCs/>
          <w:sz w:val="22"/>
          <w:szCs w:val="22"/>
          <w:lang w:val="en-US"/>
        </w:rPr>
        <w:t>Indeed to be acceptable and understandable by anyone the penalty regime should firstly be fair. Undue penalties will leave room to claims from participants and also from their clients and difficulties to pass on the fines.</w:t>
      </w:r>
      <w:r w:rsidRPr="000E4F47">
        <w:rPr>
          <w:rFonts w:ascii="Arial" w:hAnsi="Arial" w:cs="Arial"/>
          <w:sz w:val="22"/>
          <w:szCs w:val="22"/>
        </w:rPr>
        <w:t xml:space="preserve"> </w:t>
      </w:r>
      <w:r w:rsidRPr="000E4F47">
        <w:rPr>
          <w:rFonts w:ascii="Arial" w:hAnsi="Arial" w:cs="Arial"/>
          <w:bCs/>
          <w:sz w:val="22"/>
          <w:szCs w:val="22"/>
          <w:lang w:val="en-US"/>
        </w:rPr>
        <w:t>As a result, an unfair regime might set the wrong incentives and even promote short selling.</w:t>
      </w:r>
    </w:p>
    <w:permEnd w:id="838141913"/>
    <w:p w:rsidR="00A35728" w:rsidRPr="00616B9B" w:rsidRDefault="00A35728" w:rsidP="00A35728">
      <w:pPr>
        <w:rPr>
          <w:rFonts w:ascii="Arial" w:hAnsi="Arial" w:cs="Arial"/>
          <w:sz w:val="22"/>
          <w:szCs w:val="22"/>
        </w:rPr>
      </w:pPr>
      <w:r w:rsidRPr="00616B9B">
        <w:rPr>
          <w:rFonts w:ascii="Arial" w:hAnsi="Arial" w:cs="Arial"/>
          <w:sz w:val="22"/>
          <w:szCs w:val="22"/>
        </w:rPr>
        <w:t>&lt;ESMA_QUESTION_TA_CSDR_4&gt;</w:t>
      </w:r>
    </w:p>
    <w:p w:rsidR="00A35728" w:rsidRPr="00616B9B" w:rsidRDefault="00A35728"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Q5:</w:t>
      </w:r>
      <w:r w:rsidRPr="00616B9B">
        <w:rPr>
          <w:rFonts w:ascii="Arial" w:hAnsi="Arial" w:cs="Arial"/>
          <w:szCs w:val="22"/>
        </w:rPr>
        <w:tab/>
        <w:t>Do you agree with the proposed frequency of one year for the assessment of the substantial importance of a CSD in another Member State?</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&lt;ESMA_QUESTION_TA_CSDR_5&gt;</w:t>
      </w:r>
    </w:p>
    <w:p w:rsidR="00A35728" w:rsidRPr="00616B9B" w:rsidRDefault="00A35728" w:rsidP="00A35728">
      <w:pPr>
        <w:rPr>
          <w:rFonts w:ascii="Arial" w:hAnsi="Arial" w:cs="Arial"/>
          <w:sz w:val="22"/>
          <w:szCs w:val="22"/>
        </w:rPr>
      </w:pPr>
      <w:permStart w:id="1630093151" w:edGrp="everyone"/>
      <w:r w:rsidRPr="00616B9B">
        <w:rPr>
          <w:rFonts w:ascii="Arial" w:hAnsi="Arial" w:cs="Arial"/>
          <w:sz w:val="22"/>
          <w:szCs w:val="22"/>
        </w:rPr>
        <w:t>TYPE YOUR TEXT HERE</w:t>
      </w:r>
    </w:p>
    <w:permEnd w:id="1630093151"/>
    <w:p w:rsidR="00A35728" w:rsidRPr="00616B9B" w:rsidRDefault="00A35728" w:rsidP="00A35728">
      <w:pPr>
        <w:rPr>
          <w:rFonts w:ascii="Arial" w:hAnsi="Arial" w:cs="Arial"/>
          <w:sz w:val="22"/>
          <w:szCs w:val="22"/>
        </w:rPr>
      </w:pPr>
      <w:r w:rsidRPr="00616B9B">
        <w:rPr>
          <w:rFonts w:ascii="Arial" w:hAnsi="Arial" w:cs="Arial"/>
          <w:sz w:val="22"/>
          <w:szCs w:val="22"/>
        </w:rPr>
        <w:t>&lt;ESMA_QUESTION_TA_CSDR_5&gt;</w:t>
      </w:r>
    </w:p>
    <w:p w:rsidR="00A35728" w:rsidRPr="00616B9B" w:rsidRDefault="00A35728"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lastRenderedPageBreak/>
        <w:t xml:space="preserve">Q6: </w:t>
      </w:r>
      <w:r w:rsidRPr="00616B9B">
        <w:rPr>
          <w:rFonts w:ascii="Arial" w:hAnsi="Arial" w:cs="Arial"/>
          <w:szCs w:val="22"/>
        </w:rPr>
        <w:tab/>
        <w:t xml:space="preserve">What are your views on the proposed indicators? </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&lt;ESMA_QUESTION_TA_CSDR_6&gt;</w:t>
      </w:r>
    </w:p>
    <w:p w:rsidR="00A35728" w:rsidRPr="00616B9B" w:rsidRDefault="00A35728" w:rsidP="00A35728">
      <w:pPr>
        <w:rPr>
          <w:rFonts w:ascii="Arial" w:hAnsi="Arial" w:cs="Arial"/>
          <w:sz w:val="22"/>
          <w:szCs w:val="22"/>
        </w:rPr>
      </w:pPr>
      <w:permStart w:id="1013658935" w:edGrp="everyone"/>
      <w:r w:rsidRPr="00616B9B">
        <w:rPr>
          <w:rFonts w:ascii="Arial" w:hAnsi="Arial" w:cs="Arial"/>
          <w:sz w:val="22"/>
          <w:szCs w:val="22"/>
        </w:rPr>
        <w:t>TYPE YOUR TEXT HERE</w:t>
      </w:r>
    </w:p>
    <w:permEnd w:id="1013658935"/>
    <w:p w:rsidR="00A35728" w:rsidRPr="00616B9B" w:rsidRDefault="00A35728" w:rsidP="00A35728">
      <w:pPr>
        <w:rPr>
          <w:rFonts w:ascii="Arial" w:hAnsi="Arial" w:cs="Arial"/>
          <w:sz w:val="22"/>
          <w:szCs w:val="22"/>
        </w:rPr>
      </w:pPr>
      <w:r w:rsidRPr="00616B9B">
        <w:rPr>
          <w:rFonts w:ascii="Arial" w:hAnsi="Arial" w:cs="Arial"/>
          <w:sz w:val="22"/>
          <w:szCs w:val="22"/>
        </w:rPr>
        <w:t>&lt;ESMA_QUESTION_TA_CSDR_6&gt;</w:t>
      </w:r>
    </w:p>
    <w:p w:rsidR="00A35728" w:rsidRPr="00616B9B" w:rsidRDefault="00A35728"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 xml:space="preserve">Q7: </w:t>
      </w:r>
      <w:r w:rsidRPr="00616B9B">
        <w:rPr>
          <w:rFonts w:ascii="Arial" w:hAnsi="Arial" w:cs="Arial"/>
          <w:szCs w:val="22"/>
        </w:rPr>
        <w:tab/>
        <w:t>What are your views on the proposed thresholds?</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&lt;ESMA_QUESTION_TA_CSDR_7&gt;</w:t>
      </w:r>
    </w:p>
    <w:p w:rsidR="00A35728" w:rsidRPr="00616B9B" w:rsidRDefault="00A35728" w:rsidP="00A35728">
      <w:pPr>
        <w:rPr>
          <w:rFonts w:ascii="Arial" w:hAnsi="Arial" w:cs="Arial"/>
          <w:sz w:val="22"/>
          <w:szCs w:val="22"/>
        </w:rPr>
      </w:pPr>
      <w:permStart w:id="44566287" w:edGrp="everyone"/>
      <w:r w:rsidRPr="00616B9B">
        <w:rPr>
          <w:rFonts w:ascii="Arial" w:hAnsi="Arial" w:cs="Arial"/>
          <w:sz w:val="22"/>
          <w:szCs w:val="22"/>
        </w:rPr>
        <w:t>TYPE YOUR TEXT HERE</w:t>
      </w:r>
    </w:p>
    <w:permEnd w:id="44566287"/>
    <w:p w:rsidR="00A35728" w:rsidRPr="00616B9B" w:rsidRDefault="00A35728" w:rsidP="00A35728">
      <w:pPr>
        <w:rPr>
          <w:rFonts w:ascii="Arial" w:hAnsi="Arial" w:cs="Arial"/>
          <w:sz w:val="22"/>
          <w:szCs w:val="22"/>
        </w:rPr>
      </w:pPr>
      <w:r w:rsidRPr="00616B9B">
        <w:rPr>
          <w:rFonts w:ascii="Arial" w:hAnsi="Arial" w:cs="Arial"/>
          <w:sz w:val="22"/>
          <w:szCs w:val="22"/>
        </w:rPr>
        <w:t>&lt;ESMA_QUESTION_TA_CSDR_7&gt;</w:t>
      </w:r>
    </w:p>
    <w:p w:rsidR="00A35728" w:rsidRPr="00616B9B" w:rsidRDefault="00A35728" w:rsidP="00A35728">
      <w:pPr>
        <w:rPr>
          <w:rFonts w:ascii="Arial" w:hAnsi="Arial" w:cs="Arial"/>
          <w:sz w:val="22"/>
          <w:szCs w:val="22"/>
        </w:rPr>
      </w:pPr>
    </w:p>
    <w:p w:rsidR="006F08DC" w:rsidRPr="00616B9B" w:rsidRDefault="006F08DC" w:rsidP="006F08DC">
      <w:pPr>
        <w:pStyle w:val="Questions-ESMA"/>
        <w:rPr>
          <w:rFonts w:ascii="Arial" w:hAnsi="Arial" w:cs="Arial"/>
          <w:szCs w:val="22"/>
        </w:rPr>
      </w:pPr>
      <w:r w:rsidRPr="00616B9B">
        <w:rPr>
          <w:rFonts w:ascii="Arial" w:hAnsi="Arial" w:cs="Arial"/>
          <w:szCs w:val="22"/>
        </w:rPr>
        <w:t xml:space="preserve">Q8: </w:t>
      </w:r>
      <w:r w:rsidRPr="00616B9B">
        <w:rPr>
          <w:rFonts w:ascii="Arial" w:hAnsi="Arial" w:cs="Arial"/>
          <w:szCs w:val="22"/>
        </w:rPr>
        <w:tab/>
        <w:t>Do you believe that the proposed indicators and thresholds are relevant in the case of government bonds? If not, please provide details and arguments.</w:t>
      </w:r>
    </w:p>
    <w:p w:rsidR="006F08DC" w:rsidRPr="00616B9B" w:rsidRDefault="006F08DC" w:rsidP="006F08DC">
      <w:pPr>
        <w:rPr>
          <w:rFonts w:ascii="Arial" w:hAnsi="Arial" w:cs="Arial"/>
          <w:sz w:val="22"/>
          <w:szCs w:val="22"/>
        </w:rPr>
      </w:pPr>
      <w:r w:rsidRPr="00616B9B">
        <w:rPr>
          <w:rFonts w:ascii="Arial" w:hAnsi="Arial" w:cs="Arial"/>
          <w:sz w:val="22"/>
          <w:szCs w:val="22"/>
        </w:rPr>
        <w:t>&lt;ESMA_QUESTION_TA_CSDR_8&gt;</w:t>
      </w:r>
    </w:p>
    <w:p w:rsidR="006F08DC" w:rsidRPr="00616B9B" w:rsidRDefault="006F08DC" w:rsidP="006F08DC">
      <w:pPr>
        <w:rPr>
          <w:rFonts w:ascii="Arial" w:hAnsi="Arial" w:cs="Arial"/>
          <w:sz w:val="22"/>
          <w:szCs w:val="22"/>
        </w:rPr>
      </w:pPr>
      <w:permStart w:id="327685254" w:edGrp="everyone"/>
      <w:r w:rsidRPr="00616B9B">
        <w:rPr>
          <w:rFonts w:ascii="Arial" w:hAnsi="Arial" w:cs="Arial"/>
          <w:sz w:val="22"/>
          <w:szCs w:val="22"/>
        </w:rPr>
        <w:t>TYPE YOUR TEXT HERE</w:t>
      </w:r>
    </w:p>
    <w:permEnd w:id="327685254"/>
    <w:p w:rsidR="003A6E9A" w:rsidRPr="00616B9B" w:rsidRDefault="006F08DC" w:rsidP="00B156CF">
      <w:pPr>
        <w:rPr>
          <w:rFonts w:ascii="Arial" w:hAnsi="Arial" w:cs="Arial"/>
          <w:sz w:val="22"/>
          <w:szCs w:val="22"/>
        </w:rPr>
      </w:pPr>
      <w:r w:rsidRPr="00616B9B">
        <w:rPr>
          <w:rFonts w:ascii="Arial" w:hAnsi="Arial" w:cs="Arial"/>
          <w:sz w:val="22"/>
          <w:szCs w:val="22"/>
        </w:rPr>
        <w:t>&lt;ESMA_QUESTION_TA_CSDR_8&gt;</w:t>
      </w:r>
    </w:p>
    <w:sectPr w:rsidR="003A6E9A" w:rsidRPr="00616B9B" w:rsidSect="000D17AA">
      <w:headerReference w:type="even" r:id="rId14"/>
      <w:headerReference w:type="first" r:id="rId15"/>
      <w:footerReference w:type="first" r:id="rId16"/>
      <w:pgSz w:w="11906" w:h="16838" w:code="9"/>
      <w:pgMar w:top="2552"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41A" w:rsidRDefault="0078441A">
      <w:r>
        <w:separator/>
      </w:r>
    </w:p>
    <w:p w:rsidR="0078441A" w:rsidRDefault="0078441A"/>
  </w:endnote>
  <w:endnote w:type="continuationSeparator" w:id="0">
    <w:p w:rsidR="0078441A" w:rsidRDefault="0078441A">
      <w:r>
        <w:continuationSeparator/>
      </w:r>
    </w:p>
    <w:p w:rsidR="0078441A" w:rsidRDefault="0078441A"/>
  </w:endnote>
  <w:endnote w:type="continuationNotice" w:id="1">
    <w:p w:rsidR="0078441A" w:rsidRDefault="00784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ascii="Arial" w:hAnsi="Arial" w:cs="Arial"/>
              <w:sz w:val="22"/>
              <w:szCs w:val="22"/>
            </w:rPr>
          </w:pPr>
          <w:r w:rsidRPr="00616B9B">
            <w:rPr>
              <w:rFonts w:ascii="Arial" w:hAnsi="Arial" w:cs="Arial"/>
              <w:sz w:val="22"/>
              <w:szCs w:val="22"/>
            </w:rPr>
            <w:fldChar w:fldCharType="begin"/>
          </w:r>
          <w:r w:rsidRPr="00616B9B">
            <w:rPr>
              <w:rFonts w:ascii="Arial" w:hAnsi="Arial" w:cs="Arial"/>
              <w:sz w:val="22"/>
              <w:szCs w:val="22"/>
            </w:rPr>
            <w:instrText xml:space="preserve"> PAGE </w:instrText>
          </w:r>
          <w:r w:rsidRPr="00616B9B">
            <w:rPr>
              <w:rFonts w:ascii="Arial" w:hAnsi="Arial" w:cs="Arial"/>
              <w:sz w:val="22"/>
              <w:szCs w:val="22"/>
            </w:rPr>
            <w:fldChar w:fldCharType="separate"/>
          </w:r>
          <w:r w:rsidR="000E4F47">
            <w:rPr>
              <w:rFonts w:ascii="Arial" w:hAnsi="Arial" w:cs="Arial"/>
              <w:noProof/>
              <w:sz w:val="22"/>
              <w:szCs w:val="22"/>
            </w:rPr>
            <w:t>9</w:t>
          </w:r>
          <w:r w:rsidRPr="00616B9B">
            <w:rPr>
              <w:rFonts w:ascii="Arial" w:hAnsi="Arial"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41A" w:rsidRDefault="0078441A">
      <w:r>
        <w:separator/>
      </w:r>
    </w:p>
    <w:p w:rsidR="0078441A" w:rsidRDefault="0078441A"/>
  </w:footnote>
  <w:footnote w:type="continuationSeparator" w:id="0">
    <w:p w:rsidR="0078441A" w:rsidRDefault="0078441A">
      <w:r>
        <w:continuationSeparator/>
      </w:r>
    </w:p>
    <w:p w:rsidR="0078441A" w:rsidRDefault="0078441A"/>
  </w:footnote>
  <w:footnote w:type="continuationNotice" w:id="1">
    <w:p w:rsidR="0078441A" w:rsidRDefault="007844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5E70"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AD62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C08D3"/>
    <w:multiLevelType w:val="hybridMultilevel"/>
    <w:tmpl w:val="8CD8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CD71DE"/>
    <w:multiLevelType w:val="hybridMultilevel"/>
    <w:tmpl w:val="5074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9">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5">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CD03F35"/>
    <w:multiLevelType w:val="hybridMultilevel"/>
    <w:tmpl w:val="37F6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0">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22"/>
  </w:num>
  <w:num w:numId="3">
    <w:abstractNumId w:val="15"/>
  </w:num>
  <w:num w:numId="4">
    <w:abstractNumId w:val="26"/>
  </w:num>
  <w:num w:numId="5">
    <w:abstractNumId w:val="5"/>
  </w:num>
  <w:num w:numId="6">
    <w:abstractNumId w:val="28"/>
  </w:num>
  <w:num w:numId="7">
    <w:abstractNumId w:val="0"/>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3"/>
  </w:num>
  <w:num w:numId="15">
    <w:abstractNumId w:val="25"/>
  </w:num>
  <w:num w:numId="16">
    <w:abstractNumId w:val="13"/>
  </w:num>
  <w:num w:numId="17">
    <w:abstractNumId w:val="1"/>
  </w:num>
  <w:num w:numId="18">
    <w:abstractNumId w:val="17"/>
  </w:num>
  <w:num w:numId="19">
    <w:abstractNumId w:val="18"/>
  </w:num>
  <w:num w:numId="20">
    <w:abstractNumId w:val="20"/>
  </w:num>
  <w:num w:numId="21">
    <w:abstractNumId w:val="29"/>
  </w:num>
  <w:num w:numId="22">
    <w:abstractNumId w:val="37"/>
  </w:num>
  <w:num w:numId="23">
    <w:abstractNumId w:val="27"/>
  </w:num>
  <w:num w:numId="24">
    <w:abstractNumId w:val="12"/>
  </w:num>
  <w:num w:numId="25">
    <w:abstractNumId w:val="32"/>
  </w:num>
  <w:num w:numId="26">
    <w:abstractNumId w:val="31"/>
  </w:num>
  <w:num w:numId="27">
    <w:abstractNumId w:val="23"/>
  </w:num>
  <w:num w:numId="28">
    <w:abstractNumId w:val="35"/>
  </w:num>
  <w:num w:numId="29">
    <w:abstractNumId w:val="39"/>
  </w:num>
  <w:num w:numId="30">
    <w:abstractNumId w:val="10"/>
  </w:num>
  <w:num w:numId="31">
    <w:abstractNumId w:val="6"/>
  </w:num>
  <w:num w:numId="32">
    <w:abstractNumId w:val="24"/>
  </w:num>
  <w:num w:numId="33">
    <w:abstractNumId w:val="2"/>
  </w:num>
  <w:num w:numId="34">
    <w:abstractNumId w:val="6"/>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6"/>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4"/>
  </w:num>
  <w:num w:numId="3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7"/>
  </w:num>
  <w:num w:numId="42">
    <w:abstractNumId w:val="36"/>
  </w:num>
  <w:num w:numId="43">
    <w:abstractNumId w:val="4"/>
  </w:num>
  <w:num w:numId="44">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Z4QBOZoeFLhVtdr+5Kzp0nq4F6s=" w:salt="3M9yBqqYhiFxTLTQeQgxb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4F47"/>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0E8"/>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CD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2E4A"/>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441A"/>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96E43"/>
    <w:rsid w:val="009A07A6"/>
    <w:rsid w:val="009A0D56"/>
    <w:rsid w:val="009A31B9"/>
    <w:rsid w:val="009A4D4F"/>
    <w:rsid w:val="009A53D8"/>
    <w:rsid w:val="009A597F"/>
    <w:rsid w:val="009A7B72"/>
    <w:rsid w:val="009A7E2F"/>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DFDC1C5B-F51D-43B5-BE38-DAF920AC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682E4A"/>
    <w:pPr>
      <w:spacing w:after="120" w:line="264" w:lineRule="auto"/>
      <w:ind w:left="703" w:hanging="703"/>
      <w:jc w:val="both"/>
      <w:outlineLvl w:val="1"/>
    </w:pPr>
    <w:rPr>
      <w:rFonts w:ascii="Calibri" w:hAnsi="Calibri"/>
      <w:b/>
      <w:sz w:val="22"/>
      <w:szCs w:val="20"/>
      <w:lang w:eastAsia="en-US"/>
    </w:rPr>
  </w:style>
  <w:style w:type="character" w:customStyle="1" w:styleId="Questions-ESMAChar">
    <w:name w:val="Questions-ESMA Char"/>
    <w:link w:val="Questions-ESMA"/>
    <w:rsid w:val="00682E4A"/>
    <w:rPr>
      <w:rFonts w:ascii="Calibri" w:hAnsi="Calibr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C112EB3D8041C587F3116780B1E3F3"/>
        <w:category>
          <w:name w:val="General"/>
          <w:gallery w:val="placeholder"/>
        </w:category>
        <w:types>
          <w:type w:val="bbPlcHdr"/>
        </w:types>
        <w:behaviors>
          <w:behavior w:val="content"/>
        </w:behaviors>
        <w:guid w:val="{A063AFDD-5E61-41F9-B9CC-C85989D5E1BA}"/>
      </w:docPartPr>
      <w:docPartBody>
        <w:p w:rsidR="00464746" w:rsidRDefault="00ED03BC" w:rsidP="00ED03BC">
          <w:pPr>
            <w:pStyle w:val="E7C112EB3D8041C587F3116780B1E3F3"/>
          </w:pPr>
          <w:r w:rsidRPr="000E3791">
            <w:rPr>
              <w:rStyle w:val="PlaceholderText"/>
            </w:rPr>
            <w:t>Choose an item.</w:t>
          </w:r>
        </w:p>
      </w:docPartBody>
    </w:docPart>
    <w:docPart>
      <w:docPartPr>
        <w:name w:val="2DC1312B70F74FA0860E38BB0E84A49C"/>
        <w:category>
          <w:name w:val="General"/>
          <w:gallery w:val="placeholder"/>
        </w:category>
        <w:types>
          <w:type w:val="bbPlcHdr"/>
        </w:types>
        <w:behaviors>
          <w:behavior w:val="content"/>
        </w:behaviors>
        <w:guid w:val="{4F83A857-F4BD-484F-BCBF-AEE5FC66B414}"/>
      </w:docPartPr>
      <w:docPartBody>
        <w:p w:rsidR="00464746" w:rsidRDefault="00ED03BC" w:rsidP="00ED03BC">
          <w:pPr>
            <w:pStyle w:val="2DC1312B70F74FA0860E38BB0E84A49C"/>
          </w:pPr>
          <w:r w:rsidRPr="000E3791">
            <w:rPr>
              <w:rStyle w:val="PlaceholderText"/>
            </w:rPr>
            <w:t>Choose an item.</w:t>
          </w:r>
        </w:p>
      </w:docPartBody>
    </w:docPart>
    <w:docPart>
      <w:docPartPr>
        <w:name w:val="7834084FE63541599E2A38657E70D469"/>
        <w:category>
          <w:name w:val="General"/>
          <w:gallery w:val="placeholder"/>
        </w:category>
        <w:types>
          <w:type w:val="bbPlcHdr"/>
        </w:types>
        <w:behaviors>
          <w:behavior w:val="content"/>
        </w:behaviors>
        <w:guid w:val="{208ECCFC-3D8D-4356-B1C9-40528A99061A}"/>
      </w:docPartPr>
      <w:docPartBody>
        <w:p w:rsidR="00464746" w:rsidRDefault="00ED03BC" w:rsidP="00ED03BC">
          <w:pPr>
            <w:pStyle w:val="7834084FE63541599E2A38657E70D469"/>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30F"/>
    <w:rsid w:val="002D3005"/>
    <w:rsid w:val="00392976"/>
    <w:rsid w:val="00464746"/>
    <w:rsid w:val="004B01C7"/>
    <w:rsid w:val="0072030F"/>
    <w:rsid w:val="00E923C1"/>
    <w:rsid w:val="00ED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BC"/>
    <w:rPr>
      <w:color w:val="808080"/>
    </w:rPr>
  </w:style>
  <w:style w:type="paragraph" w:customStyle="1" w:styleId="D8FE2C1CFBC64DA085CEB68206EC4D5F">
    <w:name w:val="D8FE2C1CFBC64DA085CEB68206EC4D5F"/>
    <w:rsid w:val="0072030F"/>
  </w:style>
  <w:style w:type="paragraph" w:customStyle="1" w:styleId="0081D286CDF0459F9B97CC72A4311E14">
    <w:name w:val="0081D286CDF0459F9B97CC72A4311E14"/>
    <w:rsid w:val="0072030F"/>
  </w:style>
  <w:style w:type="paragraph" w:customStyle="1" w:styleId="953C28196CA0444E89CB3C4F46FF034D">
    <w:name w:val="953C28196CA0444E89CB3C4F46FF034D"/>
    <w:rsid w:val="0072030F"/>
  </w:style>
  <w:style w:type="paragraph" w:customStyle="1" w:styleId="840B1874448842BA8A0739FDBCC2D7D6">
    <w:name w:val="840B1874448842BA8A0739FDBCC2D7D6"/>
    <w:rsid w:val="0072030F"/>
  </w:style>
  <w:style w:type="paragraph" w:customStyle="1" w:styleId="B8A8F59C81394C7EA1B533D9AD21C18C">
    <w:name w:val="B8A8F59C81394C7EA1B533D9AD21C18C"/>
    <w:rsid w:val="0072030F"/>
  </w:style>
  <w:style w:type="paragraph" w:customStyle="1" w:styleId="244991D339784149A998E73649C9BA3F">
    <w:name w:val="244991D339784149A998E73649C9BA3F"/>
    <w:rsid w:val="0072030F"/>
  </w:style>
  <w:style w:type="paragraph" w:customStyle="1" w:styleId="E7C112EB3D8041C587F3116780B1E3F3">
    <w:name w:val="E7C112EB3D8041C587F3116780B1E3F3"/>
    <w:rsid w:val="00ED03BC"/>
  </w:style>
  <w:style w:type="paragraph" w:customStyle="1" w:styleId="2DC1312B70F74FA0860E38BB0E84A49C">
    <w:name w:val="2DC1312B70F74FA0860E38BB0E84A49C"/>
    <w:rsid w:val="00ED03BC"/>
  </w:style>
  <w:style w:type="paragraph" w:customStyle="1" w:styleId="7834084FE63541599E2A38657E70D469">
    <w:name w:val="7834084FE63541599E2A38657E70D469"/>
    <w:rsid w:val="00ED0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24AA1-C849-479C-BCDA-FC2B9ABCBD7F}">
  <ds:schemaRefs>
    <ds:schemaRef ds:uri="http://schemas.openxmlformats.org/officeDocument/2006/bibliography"/>
  </ds:schemaRefs>
</ds:datastoreItem>
</file>

<file path=customXml/itemProps2.xml><?xml version="1.0" encoding="utf-8"?>
<ds:datastoreItem xmlns:ds="http://schemas.openxmlformats.org/officeDocument/2006/customXml" ds:itemID="{40BC22DF-1894-4949-B366-DBA75E57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2218</Words>
  <Characters>12646</Characters>
  <Application>Microsoft Office Word</Application>
  <DocSecurity>8</DocSecurity>
  <Lines>105</Lines>
  <Paragraphs>29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14835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Daniele De Gennaro</cp:lastModifiedBy>
  <cp:revision>2</cp:revision>
  <cp:lastPrinted>2014-05-08T16:06:00Z</cp:lastPrinted>
  <dcterms:created xsi:type="dcterms:W3CDTF">2015-02-20T10:41:00Z</dcterms:created>
  <dcterms:modified xsi:type="dcterms:W3CDTF">2015-02-20T10:41:00Z</dcterms:modified>
</cp:coreProperties>
</file>