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3D6CD0" w:rsidP="00A35728">
            <w:pPr>
              <w:pStyle w:val="00bDBInfo"/>
              <w:rPr>
                <w:rFonts w:ascii="Arial" w:hAnsi="Arial" w:cs="Arial"/>
              </w:rPr>
            </w:pPr>
            <w:r>
              <w:rPr>
                <w:rFonts w:ascii="Arial" w:hAnsi="Arial" w:cs="Arial"/>
              </w:rPr>
              <w:t>18</w:t>
            </w:r>
            <w:r w:rsidR="004E49B0">
              <w:rPr>
                <w:rFonts w:ascii="Arial" w:hAnsi="Arial" w:cs="Arial"/>
              </w:rPr>
              <w:t xml:space="preserve"> December</w:t>
            </w:r>
            <w:r w:rsidR="00ED351E" w:rsidRPr="004E49B0">
              <w:rPr>
                <w:rFonts w:ascii="Arial" w:hAnsi="Arial" w:cs="Arial"/>
              </w:rPr>
              <w:t xml:space="preserve"> </w:t>
            </w:r>
            <w:r w:rsidR="006F4B04" w:rsidRPr="004E49B0">
              <w:rPr>
                <w:rFonts w:ascii="Arial" w:hAnsi="Arial" w:cs="Arial"/>
              </w:rPr>
              <w:t>2014</w:t>
            </w:r>
          </w:p>
        </w:tc>
      </w:tr>
    </w:tbl>
    <w:p w:rsidR="00FD7A8D" w:rsidRPr="00616B9B" w:rsidRDefault="00FD7A8D" w:rsidP="00FD7A8D">
      <w:pPr>
        <w:rPr>
          <w:rFonts w:ascii="Arial" w:hAnsi="Arial"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ascii="Arial" w:hAnsi="Arial" w:cs="Arial"/>
              </w:rPr>
            </w:pPr>
            <w:r w:rsidRPr="00616B9B">
              <w:rPr>
                <w:rFonts w:ascii="Arial" w:hAnsi="Arial" w:cs="Arial"/>
              </w:rPr>
              <w:t>Reply form</w:t>
            </w:r>
            <w:r w:rsidR="00B835D5" w:rsidRPr="00616B9B">
              <w:rPr>
                <w:rFonts w:ascii="Arial" w:hAnsi="Arial" w:cs="Arial"/>
              </w:rPr>
              <w:t xml:space="preserve"> </w:t>
            </w:r>
            <w:r w:rsidR="0043173B" w:rsidRPr="00616B9B">
              <w:rPr>
                <w:rFonts w:ascii="Arial" w:hAnsi="Arial" w:cs="Arial"/>
              </w:rPr>
              <w:t>for</w:t>
            </w:r>
            <w:r w:rsidR="00027ECF" w:rsidRPr="00616B9B">
              <w:rPr>
                <w:rFonts w:ascii="Arial" w:hAnsi="Arial" w:cs="Arial"/>
              </w:rPr>
              <w:t xml:space="preserve"> the </w:t>
            </w:r>
          </w:p>
          <w:p w:rsidR="00422A7D" w:rsidRPr="00616B9B" w:rsidRDefault="00A35728" w:rsidP="00C000A5">
            <w:pPr>
              <w:pStyle w:val="01aDBTitle"/>
              <w:rPr>
                <w:rFonts w:ascii="Arial" w:hAnsi="Arial" w:cs="Arial"/>
              </w:rPr>
            </w:pPr>
            <w:r w:rsidRPr="00616B9B">
              <w:rPr>
                <w:rFonts w:ascii="Arial" w:hAnsi="Arial" w:cs="Arial"/>
              </w:rPr>
              <w:t>Technical Advice under the CSDR</w:t>
            </w:r>
            <w:r w:rsidR="00422A7D" w:rsidRPr="00616B9B">
              <w:rPr>
                <w:rFonts w:ascii="Arial" w:hAnsi="Arial" w:cs="Arial"/>
              </w:rPr>
              <w:t xml:space="preserve"> </w:t>
            </w:r>
          </w:p>
          <w:p w:rsidR="00791EB4" w:rsidRPr="00616B9B" w:rsidRDefault="00791EB4" w:rsidP="00C000A5">
            <w:pPr>
              <w:pStyle w:val="01aDBTitle"/>
              <w:rPr>
                <w:rFonts w:ascii="Arial" w:hAnsi="Arial"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ascii="Arial" w:hAnsi="Arial"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4E49B0">
            <w:pPr>
              <w:pStyle w:val="02Date"/>
              <w:rPr>
                <w:rFonts w:ascii="Arial" w:hAnsi="Arial" w:cs="Arial"/>
              </w:rPr>
            </w:pPr>
            <w:r w:rsidRPr="004E49B0">
              <w:rPr>
                <w:rFonts w:ascii="Arial" w:hAnsi="Arial" w:cs="Arial"/>
              </w:rPr>
              <w:lastRenderedPageBreak/>
              <w:t xml:space="preserve">Date: </w:t>
            </w:r>
            <w:r w:rsidR="003D6CD0">
              <w:rPr>
                <w:rFonts w:ascii="Arial" w:hAnsi="Arial" w:cs="Arial"/>
              </w:rPr>
              <w:t>18</w:t>
            </w:r>
            <w:r w:rsidR="004E49B0" w:rsidRPr="004E49B0">
              <w:rPr>
                <w:rFonts w:ascii="Arial" w:hAnsi="Arial" w:cs="Arial"/>
              </w:rPr>
              <w:t xml:space="preserve"> December 2014</w:t>
            </w:r>
          </w:p>
        </w:tc>
      </w:tr>
    </w:tbl>
    <w:p w:rsidR="0088244C" w:rsidRPr="00616B9B" w:rsidRDefault="0088244C" w:rsidP="00F574D0">
      <w:pPr>
        <w:pStyle w:val="05HeadlinenoIndex"/>
        <w:rPr>
          <w:rFonts w:ascii="Arial" w:hAnsi="Arial" w:cs="Arial"/>
        </w:rPr>
      </w:pPr>
      <w:bookmarkStart w:id="0" w:name="_Toc280628648"/>
    </w:p>
    <w:p w:rsidR="00F574D0" w:rsidRPr="00616B9B" w:rsidRDefault="0088244C" w:rsidP="00F574D0">
      <w:pPr>
        <w:pStyle w:val="05HeadlinenoIndex"/>
        <w:rPr>
          <w:rFonts w:ascii="Arial" w:hAnsi="Arial" w:cs="Arial"/>
        </w:rPr>
      </w:pPr>
      <w:r w:rsidRPr="00616B9B">
        <w:rPr>
          <w:rFonts w:ascii="Arial" w:hAnsi="Arial" w:cs="Arial"/>
        </w:rPr>
        <w:br w:type="page"/>
      </w:r>
      <w:r w:rsidR="00F574D0" w:rsidRPr="00616B9B">
        <w:rPr>
          <w:rFonts w:ascii="Arial" w:hAnsi="Arial" w:cs="Arial"/>
        </w:rPr>
        <w:lastRenderedPageBreak/>
        <w:t xml:space="preserve">Responding to this paper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The European Securities and Markets Authority (ESMA) invites responses to the specific questions listed in the ESMA </w:t>
      </w:r>
      <w:r w:rsidR="0060674A" w:rsidRPr="00616B9B">
        <w:rPr>
          <w:rFonts w:ascii="Arial" w:hAnsi="Arial" w:cs="Arial"/>
        </w:rPr>
        <w:t>Consultation Paper - D</w:t>
      </w:r>
      <w:r w:rsidR="00A35728" w:rsidRPr="00616B9B">
        <w:rPr>
          <w:rFonts w:ascii="Arial" w:hAnsi="Arial" w:cs="Arial"/>
        </w:rPr>
        <w:t xml:space="preserve"> Technical Advice under the CSDR</w:t>
      </w:r>
      <w:r w:rsidR="00015B5E" w:rsidRPr="00616B9B">
        <w:rPr>
          <w:rFonts w:ascii="Arial" w:hAnsi="Arial" w:cs="Arial"/>
        </w:rPr>
        <w:t>, published on the ESMA website</w:t>
      </w:r>
      <w:r w:rsidR="004E49B0">
        <w:rPr>
          <w:rFonts w:ascii="Arial" w:hAnsi="Arial" w:cs="Arial"/>
        </w:rPr>
        <w:t>.</w:t>
      </w:r>
    </w:p>
    <w:p w:rsidR="00F574D0" w:rsidRPr="00616B9B" w:rsidRDefault="00F574D0" w:rsidP="00F574D0">
      <w:pPr>
        <w:pStyle w:val="04BodyText"/>
        <w:spacing w:before="120" w:after="120"/>
        <w:rPr>
          <w:rFonts w:ascii="Arial" w:hAnsi="Arial" w:cs="Arial"/>
        </w:rPr>
      </w:pP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r w:rsidRPr="00616B9B">
        <w:rPr>
          <w:rFonts w:ascii="Arial" w:hAnsi="Arial" w:cs="Arial"/>
          <w:b/>
          <w:bCs/>
          <w:i/>
          <w:color w:val="000000"/>
          <w:szCs w:val="20"/>
          <w:lang w:eastAsia="en-GB"/>
        </w:rPr>
        <w:t>Instructions</w:t>
      </w:r>
    </w:p>
    <w:p w:rsidR="00F574D0" w:rsidRPr="00616B9B" w:rsidRDefault="00D75FEE" w:rsidP="00F574D0">
      <w:pPr>
        <w:pStyle w:val="04BodyText"/>
        <w:spacing w:before="120" w:after="120"/>
        <w:rPr>
          <w:rFonts w:ascii="Arial" w:hAnsi="Arial" w:cs="Arial"/>
        </w:rPr>
      </w:pPr>
      <w:r w:rsidRPr="00616B9B">
        <w:rPr>
          <w:rFonts w:ascii="Arial" w:hAnsi="Arial" w:cs="Arial"/>
        </w:rPr>
        <w:t>Please note that, in order to facilitate the analysis of the large number of responses expected, you are requested to use this file to send your response to ESMA so as to allow us to process it properly. Ther</w:t>
      </w:r>
      <w:r w:rsidRPr="00616B9B">
        <w:rPr>
          <w:rFonts w:ascii="Arial" w:hAnsi="Arial" w:cs="Arial"/>
        </w:rPr>
        <w:t>e</w:t>
      </w:r>
      <w:r w:rsidRPr="00616B9B">
        <w:rPr>
          <w:rFonts w:ascii="Arial" w:hAnsi="Arial" w:cs="Arial"/>
        </w:rPr>
        <w:t>fore, please follow the instructions described below</w:t>
      </w:r>
      <w:r w:rsidR="00F574D0" w:rsidRPr="00616B9B">
        <w:rPr>
          <w:rFonts w:ascii="Arial" w:hAnsi="Arial" w:cs="Arial"/>
        </w:rPr>
        <w:t>:</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use this </w:t>
      </w:r>
      <w:r w:rsidR="003F5C06" w:rsidRPr="00616B9B">
        <w:rPr>
          <w:rFonts w:ascii="Arial" w:hAnsi="Arial" w:cs="Arial"/>
        </w:rPr>
        <w:t>form</w:t>
      </w:r>
      <w:r w:rsidRPr="00616B9B">
        <w:rPr>
          <w:rFonts w:ascii="Arial" w:hAnsi="Arial" w:cs="Arial"/>
        </w:rPr>
        <w:t xml:space="preserve"> and send </w:t>
      </w:r>
      <w:r w:rsidR="00D75FEE" w:rsidRPr="00616B9B">
        <w:rPr>
          <w:rFonts w:ascii="Arial" w:hAnsi="Arial" w:cs="Arial"/>
        </w:rPr>
        <w:t>your</w:t>
      </w:r>
      <w:r w:rsidRPr="00616B9B">
        <w:rPr>
          <w:rFonts w:ascii="Arial" w:hAnsi="Arial" w:cs="Arial"/>
        </w:rPr>
        <w:t xml:space="preserve"> responses in Word format;</w:t>
      </w:r>
    </w:p>
    <w:p w:rsidR="00F574D0" w:rsidRPr="00616B9B" w:rsidRDefault="00D75FEE" w:rsidP="00F574D0">
      <w:pPr>
        <w:pStyle w:val="04bList"/>
        <w:numPr>
          <w:ilvl w:val="0"/>
          <w:numId w:val="5"/>
        </w:numPr>
        <w:spacing w:before="120" w:after="120"/>
        <w:ind w:left="720"/>
        <w:rPr>
          <w:rFonts w:ascii="Arial" w:hAnsi="Arial" w:cs="Arial"/>
        </w:rPr>
      </w:pPr>
      <w:r w:rsidRPr="00616B9B">
        <w:rPr>
          <w:rFonts w:ascii="Arial" w:hAnsi="Arial" w:cs="Arial"/>
        </w:rPr>
        <w:t xml:space="preserve">do </w:t>
      </w:r>
      <w:r w:rsidR="00F574D0" w:rsidRPr="00616B9B">
        <w:rPr>
          <w:rFonts w:ascii="Arial" w:hAnsi="Arial" w:cs="Arial"/>
        </w:rPr>
        <w:t>not remove the tags of type &lt;ESMA_QUESTION_</w:t>
      </w:r>
      <w:r w:rsidR="00C8677B" w:rsidRPr="00616B9B">
        <w:rPr>
          <w:rFonts w:ascii="Arial" w:hAnsi="Arial" w:cs="Arial"/>
        </w:rPr>
        <w:t>T</w:t>
      </w:r>
      <w:r w:rsidR="00E9344E" w:rsidRPr="00616B9B">
        <w:rPr>
          <w:rFonts w:ascii="Arial" w:hAnsi="Arial" w:cs="Arial"/>
        </w:rPr>
        <w:t>A</w:t>
      </w:r>
      <w:r w:rsidR="00A35728" w:rsidRPr="00616B9B">
        <w:rPr>
          <w:rFonts w:ascii="Arial" w:hAnsi="Arial" w:cs="Arial"/>
        </w:rPr>
        <w:t>_CSDR</w:t>
      </w:r>
      <w:r w:rsidR="00E9344E" w:rsidRPr="00616B9B">
        <w:rPr>
          <w:rFonts w:ascii="Arial" w:hAnsi="Arial" w:cs="Arial"/>
        </w:rPr>
        <w:t>_</w:t>
      </w:r>
      <w:r w:rsidR="00F574D0" w:rsidRPr="00616B9B">
        <w:rPr>
          <w:rFonts w:ascii="Arial" w:hAnsi="Arial" w:cs="Arial"/>
        </w:rPr>
        <w:t>1&gt; - i.e. the response to one question has to be framed by the 2 tags corresponding to the question; and</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if </w:t>
      </w:r>
      <w:r w:rsidR="00D75FEE" w:rsidRPr="00616B9B">
        <w:rPr>
          <w:rFonts w:ascii="Arial" w:hAnsi="Arial" w:cs="Arial"/>
        </w:rPr>
        <w:t>you do not have a</w:t>
      </w:r>
      <w:r w:rsidRPr="00616B9B">
        <w:rPr>
          <w:rFonts w:ascii="Arial" w:hAnsi="Arial" w:cs="Arial"/>
        </w:rPr>
        <w:t xml:space="preserve"> response to a question, </w:t>
      </w:r>
      <w:r w:rsidR="00D75FEE" w:rsidRPr="00616B9B">
        <w:rPr>
          <w:rFonts w:ascii="Arial" w:hAnsi="Arial" w:cs="Arial"/>
        </w:rPr>
        <w:t xml:space="preserve">do </w:t>
      </w:r>
      <w:r w:rsidRPr="00616B9B">
        <w:rPr>
          <w:rFonts w:ascii="Arial" w:hAnsi="Arial" w:cs="Arial"/>
        </w:rPr>
        <w:t>not delete it and leave the text “TYPE YOUR TEXT HERE” between the tags.</w:t>
      </w:r>
    </w:p>
    <w:p w:rsidR="00F574D0" w:rsidRPr="00616B9B" w:rsidRDefault="00F574D0" w:rsidP="00F574D0">
      <w:pPr>
        <w:pStyle w:val="04bList"/>
        <w:numPr>
          <w:ilvl w:val="0"/>
          <w:numId w:val="0"/>
        </w:numPr>
        <w:spacing w:before="120" w:after="120"/>
        <w:rPr>
          <w:rFonts w:ascii="Arial" w:hAnsi="Arial" w:cs="Arial"/>
        </w:rPr>
      </w:pPr>
      <w:r w:rsidRPr="00616B9B">
        <w:rPr>
          <w:rFonts w:ascii="Arial" w:hAnsi="Arial" w:cs="Arial"/>
        </w:rPr>
        <w:t>Responses are most helpful:</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if they respond to the question stated;</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contain a clear rationale, including on any related costs and benefits; and</w:t>
      </w:r>
    </w:p>
    <w:p w:rsidR="00A35728" w:rsidRPr="00616B9B" w:rsidRDefault="00F574D0" w:rsidP="000D17AA">
      <w:pPr>
        <w:pStyle w:val="04bList"/>
        <w:numPr>
          <w:ilvl w:val="0"/>
          <w:numId w:val="33"/>
        </w:numPr>
        <w:spacing w:before="120" w:after="120"/>
        <w:rPr>
          <w:rFonts w:ascii="Arial" w:hAnsi="Arial" w:cs="Arial"/>
        </w:rPr>
      </w:pPr>
      <w:r w:rsidRPr="00616B9B">
        <w:rPr>
          <w:rFonts w:ascii="Arial" w:hAnsi="Arial" w:cs="Arial"/>
        </w:rPr>
        <w:t>describe any alternatives that ESMA should consider</w:t>
      </w:r>
    </w:p>
    <w:p w:rsidR="000D17AA" w:rsidRPr="00616B9B" w:rsidRDefault="000D17AA" w:rsidP="000D17AA">
      <w:pPr>
        <w:pStyle w:val="04BodyText"/>
        <w:spacing w:before="120" w:after="120"/>
        <w:jc w:val="left"/>
        <w:rPr>
          <w:rFonts w:ascii="Arial" w:hAnsi="Arial" w:cs="Arial"/>
          <w:b/>
        </w:rPr>
      </w:pPr>
      <w:r w:rsidRPr="00616B9B">
        <w:rPr>
          <w:rFonts w:ascii="Arial" w:hAnsi="Arial" w:cs="Arial"/>
          <w:b/>
        </w:rPr>
        <w:t>Naming protocol:</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In order to facilitate the handling of stakeholders responses please save your document using the follo</w:t>
      </w:r>
      <w:r w:rsidRPr="00616B9B">
        <w:rPr>
          <w:rFonts w:ascii="Arial" w:hAnsi="Arial" w:cs="Arial"/>
        </w:rPr>
        <w:t>w</w:t>
      </w:r>
      <w:r w:rsidRPr="00616B9B">
        <w:rPr>
          <w:rFonts w:ascii="Arial" w:hAnsi="Arial" w:cs="Arial"/>
        </w:rPr>
        <w:t>ing format: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ESMA_ TA_CSDR _NAMEOFCOMPANY_NAMEOFDOCUMENT.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E.g. if the respondent were ESMA, the name of the reply form would be ESMA_ TA_CSDR _ESMA_REPLYFORM or ESMA_CE_AIFMD_ESMA_ANNEX1</w:t>
      </w:r>
    </w:p>
    <w:p w:rsidR="004E1A0F" w:rsidRPr="00616B9B" w:rsidRDefault="004E1A0F" w:rsidP="00F574D0">
      <w:pPr>
        <w:pStyle w:val="04bList"/>
        <w:numPr>
          <w:ilvl w:val="0"/>
          <w:numId w:val="0"/>
        </w:numPr>
        <w:spacing w:before="120" w:after="120"/>
        <w:rPr>
          <w:rFonts w:ascii="Arial" w:hAnsi="Arial" w:cs="Arial"/>
        </w:rPr>
      </w:pPr>
      <w:r w:rsidRPr="00616B9B">
        <w:rPr>
          <w:rFonts w:ascii="Arial" w:hAnsi="Arial" w:cs="Arial"/>
        </w:rPr>
        <w:t>To help you navigate this document more easily, bookmarks are available in “Navigation Pane” for Word 2010 and in “Document Map” for Word 2007.</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Responses must reach us by </w:t>
      </w:r>
      <w:r w:rsidR="00D43F14" w:rsidRPr="004E49B0">
        <w:rPr>
          <w:rFonts w:ascii="Arial" w:hAnsi="Arial" w:cs="Arial"/>
          <w:b/>
        </w:rPr>
        <w:t>1</w:t>
      </w:r>
      <w:r w:rsidR="004E49B0" w:rsidRPr="004E49B0">
        <w:rPr>
          <w:rFonts w:ascii="Arial" w:hAnsi="Arial" w:cs="Arial"/>
          <w:b/>
        </w:rPr>
        <w:t>9</w:t>
      </w:r>
      <w:r w:rsidR="00D43F14" w:rsidRPr="004E49B0">
        <w:rPr>
          <w:rFonts w:ascii="Arial" w:hAnsi="Arial" w:cs="Arial"/>
          <w:b/>
        </w:rPr>
        <w:t xml:space="preserve"> </w:t>
      </w:r>
      <w:r w:rsidR="004E49B0" w:rsidRPr="004E49B0">
        <w:rPr>
          <w:rFonts w:ascii="Arial" w:hAnsi="Arial" w:cs="Arial"/>
          <w:b/>
        </w:rPr>
        <w:t>February</w:t>
      </w:r>
      <w:r w:rsidR="00D43F14" w:rsidRPr="004E49B0">
        <w:rPr>
          <w:rFonts w:ascii="Arial" w:hAnsi="Arial" w:cs="Arial"/>
          <w:b/>
        </w:rPr>
        <w:t xml:space="preserve"> </w:t>
      </w:r>
      <w:r w:rsidRPr="004E49B0">
        <w:rPr>
          <w:rFonts w:ascii="Arial" w:hAnsi="Arial" w:cs="Arial"/>
          <w:b/>
        </w:rPr>
        <w:t>201</w:t>
      </w:r>
      <w:r w:rsidR="004E49B0" w:rsidRPr="004E49B0">
        <w:rPr>
          <w:rFonts w:ascii="Arial" w:hAnsi="Arial" w:cs="Arial"/>
          <w:b/>
        </w:rPr>
        <w:t>5</w:t>
      </w:r>
      <w:r w:rsidRPr="004E49B0">
        <w:rPr>
          <w:rFonts w:ascii="Arial" w:hAnsi="Arial" w:cs="Arial"/>
        </w:rPr>
        <w:t>.</w:t>
      </w:r>
      <w:r w:rsidRPr="00616B9B">
        <w:rPr>
          <w:rFonts w:ascii="Arial" w:hAnsi="Arial" w:cs="Arial"/>
        </w:rPr>
        <w:t xml:space="preserve">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should be submitted online at </w:t>
      </w:r>
      <w:hyperlink r:id="rId12" w:history="1">
        <w:r w:rsidRPr="00616B9B">
          <w:rPr>
            <w:rStyle w:val="Hyperlink"/>
            <w:rFonts w:ascii="Arial" w:hAnsi="Arial" w:cs="Arial"/>
          </w:rPr>
          <w:t>www.esma.europa.eu</w:t>
        </w:r>
      </w:hyperlink>
      <w:r w:rsidRPr="00616B9B">
        <w:rPr>
          <w:rFonts w:ascii="Arial" w:hAnsi="Arial" w:cs="Arial"/>
        </w:rPr>
        <w:t xml:space="preserve"> under the heading ‘Your i</w:t>
      </w:r>
      <w:r w:rsidRPr="00616B9B">
        <w:rPr>
          <w:rFonts w:ascii="Arial" w:hAnsi="Arial" w:cs="Arial"/>
        </w:rPr>
        <w:t>n</w:t>
      </w:r>
      <w:r w:rsidRPr="00616B9B">
        <w:rPr>
          <w:rFonts w:ascii="Arial" w:hAnsi="Arial" w:cs="Arial"/>
        </w:rPr>
        <w:t xml:space="preserve">put/Consultations’. </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1" w:name="_Toc335141334"/>
      <w:r w:rsidRPr="00616B9B">
        <w:rPr>
          <w:rFonts w:ascii="Arial" w:hAnsi="Arial" w:cs="Arial"/>
          <w:b/>
          <w:bCs/>
          <w:i/>
          <w:color w:val="000000"/>
          <w:szCs w:val="20"/>
          <w:lang w:eastAsia="en-GB"/>
        </w:rPr>
        <w:t>Publication of responses</w:t>
      </w:r>
      <w:bookmarkEnd w:id="1"/>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received will be published following the end of the consultation period, unless otherwise requested. </w:t>
      </w:r>
      <w:r w:rsidRPr="00616B9B">
        <w:rPr>
          <w:rFonts w:ascii="Arial" w:hAnsi="Arial"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616B9B">
        <w:rPr>
          <w:rFonts w:ascii="Arial" w:hAnsi="Arial" w:cs="Arial"/>
        </w:rPr>
        <w:t xml:space="preserve"> Note also that a confidential response may be requested from us in accordance with ESMA’s rules on access to doc</w:t>
      </w:r>
      <w:r w:rsidRPr="00616B9B">
        <w:rPr>
          <w:rFonts w:ascii="Arial" w:hAnsi="Arial" w:cs="Arial"/>
        </w:rPr>
        <w:t>u</w:t>
      </w:r>
      <w:r w:rsidRPr="00616B9B">
        <w:rPr>
          <w:rFonts w:ascii="Arial" w:hAnsi="Arial" w:cs="Arial"/>
        </w:rPr>
        <w:t>ments. We may consult you if we receive such a request. Any decision we make is reviewable by ESMA’s Board of Appeal and the European Ombudsman.</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2" w:name="_Toc335141335"/>
      <w:r w:rsidRPr="00616B9B">
        <w:rPr>
          <w:rFonts w:ascii="Arial" w:hAnsi="Arial" w:cs="Arial"/>
          <w:b/>
          <w:bCs/>
          <w:i/>
          <w:color w:val="000000"/>
          <w:szCs w:val="20"/>
          <w:lang w:eastAsia="en-GB"/>
        </w:rPr>
        <w:t>Data protection</w:t>
      </w:r>
      <w:bookmarkEnd w:id="2"/>
    </w:p>
    <w:p w:rsidR="00F574D0" w:rsidRPr="00616B9B" w:rsidRDefault="00F574D0" w:rsidP="00F574D0">
      <w:pPr>
        <w:autoSpaceDE w:val="0"/>
        <w:autoSpaceDN w:val="0"/>
        <w:adjustRightInd w:val="0"/>
        <w:spacing w:before="120" w:after="120" w:line="276" w:lineRule="auto"/>
        <w:jc w:val="both"/>
        <w:rPr>
          <w:rFonts w:ascii="Arial" w:hAnsi="Arial" w:cs="Arial"/>
          <w:szCs w:val="20"/>
        </w:rPr>
      </w:pPr>
      <w:r w:rsidRPr="00616B9B">
        <w:rPr>
          <w:rFonts w:ascii="Arial" w:hAnsi="Arial" w:cs="Arial"/>
          <w:szCs w:val="20"/>
        </w:rPr>
        <w:t xml:space="preserve">Information on data protection can be found at </w:t>
      </w:r>
      <w:hyperlink r:id="rId13" w:history="1">
        <w:r w:rsidRPr="00616B9B">
          <w:rPr>
            <w:rStyle w:val="Hyperlink"/>
            <w:rFonts w:ascii="Arial" w:hAnsi="Arial" w:cs="Arial"/>
            <w:szCs w:val="20"/>
          </w:rPr>
          <w:t>www.esma.europa.eu</w:t>
        </w:r>
      </w:hyperlink>
      <w:r w:rsidRPr="00616B9B">
        <w:rPr>
          <w:rFonts w:ascii="Arial" w:hAnsi="Arial" w:cs="Arial"/>
          <w:szCs w:val="20"/>
        </w:rPr>
        <w:t xml:space="preserve"> under the heading ‘Disclaimer’.</w:t>
      </w:r>
    </w:p>
    <w:bookmarkEnd w:id="0"/>
    <w:p w:rsidR="00C535E2" w:rsidRPr="0026621B" w:rsidRDefault="00C535E2" w:rsidP="00C535E2">
      <w:pPr>
        <w:pStyle w:val="Heading1"/>
        <w:numPr>
          <w:ilvl w:val="0"/>
          <w:numId w:val="0"/>
        </w:numPr>
        <w:rPr>
          <w:rFonts w:ascii="Arial" w:hAnsi="Arial"/>
          <w:sz w:val="22"/>
          <w:szCs w:val="22"/>
        </w:rPr>
      </w:pPr>
      <w:r w:rsidRPr="0026621B">
        <w:rPr>
          <w:rFonts w:ascii="Arial" w:hAnsi="Arial"/>
          <w:sz w:val="22"/>
          <w:szCs w:val="22"/>
        </w:rPr>
        <w:lastRenderedPageBreak/>
        <w:t>General information about respondent</w:t>
      </w:r>
    </w:p>
    <w:tbl>
      <w:tblPr>
        <w:tblStyle w:val="TableGrid"/>
        <w:tblW w:w="0" w:type="auto"/>
        <w:tblLook w:val="04A0"/>
      </w:tblPr>
      <w:tblGrid>
        <w:gridCol w:w="3510"/>
        <w:gridCol w:w="6118"/>
      </w:tblGrid>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Are you representing an associ</w:t>
            </w:r>
            <w:r w:rsidRPr="0026621B">
              <w:rPr>
                <w:rFonts w:ascii="Arial" w:hAnsi="Arial" w:cs="Arial"/>
                <w:sz w:val="22"/>
                <w:szCs w:val="22"/>
              </w:rPr>
              <w:t>a</w:t>
            </w:r>
            <w:r w:rsidRPr="0026621B">
              <w:rPr>
                <w:rFonts w:ascii="Arial" w:hAnsi="Arial" w:cs="Arial"/>
                <w:sz w:val="22"/>
                <w:szCs w:val="22"/>
              </w:rPr>
              <w:t>tion?</w:t>
            </w:r>
          </w:p>
        </w:tc>
        <w:tc>
          <w:tcPr>
            <w:tcW w:w="6118" w:type="dxa"/>
          </w:tcPr>
          <w:p w:rsidR="00F32462" w:rsidRPr="0026621B" w:rsidRDefault="00C325A8" w:rsidP="00E66DAF">
            <w:pPr>
              <w:rPr>
                <w:rFonts w:ascii="Arial" w:hAnsi="Arial" w:cs="Arial"/>
                <w:sz w:val="22"/>
                <w:szCs w:val="22"/>
              </w:rPr>
            </w:pPr>
            <w:sdt>
              <w:sdtPr>
                <w:rPr>
                  <w:rFonts w:ascii="Arial" w:hAnsi="Arial" w:cs="Arial"/>
                  <w:sz w:val="22"/>
                  <w:szCs w:val="22"/>
                </w:rPr>
                <w:alias w:val="Association"/>
                <w:tag w:val="Association"/>
                <w:id w:val="-1769143793"/>
                <w:placeholder>
                  <w:docPart w:val="E7C112EB3D8041C587F3116780B1E3F3"/>
                </w:placeholder>
                <w:comboBox>
                  <w:listItem w:displayText="Yes" w:value="Yes"/>
                  <w:listItem w:displayText="No" w:value="No"/>
                </w:comboBox>
              </w:sdtPr>
              <w:sdtContent>
                <w:permStart w:id="0" w:edGrp="everyone"/>
                <w:r w:rsidR="00050A84">
                  <w:rPr>
                    <w:rFonts w:ascii="Arial" w:hAnsi="Arial" w:cs="Arial"/>
                    <w:sz w:val="22"/>
                    <w:szCs w:val="22"/>
                  </w:rPr>
                  <w:t>Yes</w:t>
                </w:r>
                <w:permEnd w:id="0"/>
              </w:sdtContent>
            </w:sdt>
          </w:p>
        </w:tc>
      </w:tr>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Activity:</w:t>
            </w:r>
          </w:p>
        </w:tc>
        <w:tc>
          <w:tcPr>
            <w:tcW w:w="6118" w:type="dxa"/>
          </w:tcPr>
          <w:p w:rsidR="00F32462" w:rsidRPr="0026621B" w:rsidRDefault="00C325A8" w:rsidP="00E66DAF">
            <w:pPr>
              <w:rPr>
                <w:rFonts w:ascii="Arial" w:hAnsi="Arial" w:cs="Arial"/>
                <w:sz w:val="22"/>
                <w:szCs w:val="22"/>
              </w:rPr>
            </w:pPr>
            <w:sdt>
              <w:sdtPr>
                <w:rPr>
                  <w:rFonts w:ascii="Arial" w:hAnsi="Arial" w:cs="Arial"/>
                  <w:sz w:val="22"/>
                  <w:szCs w:val="22"/>
                </w:rPr>
                <w:alias w:val="Activity"/>
                <w:tag w:val="Activity"/>
                <w:id w:val="1654095920"/>
                <w:placeholder>
                  <w:docPart w:val="2DC1312B70F74FA0860E38BB0E84A49C"/>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Content>
                <w:permStart w:id="1" w:edGrp="everyone"/>
                <w:r w:rsidR="00050A84">
                  <w:rPr>
                    <w:rFonts w:ascii="Arial" w:hAnsi="Arial" w:cs="Arial"/>
                    <w:sz w:val="22"/>
                    <w:szCs w:val="22"/>
                  </w:rPr>
                  <w:t>Credit Institution</w:t>
                </w:r>
                <w:permEnd w:id="1"/>
              </w:sdtContent>
            </w:sdt>
          </w:p>
        </w:tc>
      </w:tr>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Country/Region</w:t>
            </w:r>
          </w:p>
        </w:tc>
        <w:sdt>
          <w:sdtPr>
            <w:rPr>
              <w:rFonts w:ascii="Arial" w:hAnsi="Arial" w:cs="Arial"/>
              <w:sz w:val="22"/>
              <w:szCs w:val="22"/>
            </w:rPr>
            <w:alias w:val="Country"/>
            <w:tag w:val="Country"/>
            <w:id w:val="-1549134410"/>
            <w:placeholder>
              <w:docPart w:val="7834084FE63541599E2A38657E70D46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2" w:edGrp="everyone" w:displacedByCustomXml="prev"/>
            <w:tc>
              <w:tcPr>
                <w:tcW w:w="6118" w:type="dxa"/>
              </w:tcPr>
              <w:p w:rsidR="00F32462" w:rsidRPr="0026621B" w:rsidRDefault="00050A84" w:rsidP="00E66DAF">
                <w:pPr>
                  <w:rPr>
                    <w:rFonts w:ascii="Arial" w:hAnsi="Arial" w:cs="Arial"/>
                    <w:sz w:val="22"/>
                    <w:szCs w:val="22"/>
                  </w:rPr>
                </w:pPr>
                <w:r>
                  <w:rPr>
                    <w:rFonts w:ascii="Arial" w:hAnsi="Arial" w:cs="Arial"/>
                    <w:sz w:val="22"/>
                    <w:szCs w:val="22"/>
                  </w:rPr>
                  <w:t>Netherlands</w:t>
                </w:r>
              </w:p>
            </w:tc>
            <w:permEnd w:id="2" w:displacedByCustomXml="next"/>
          </w:sdtContent>
        </w:sdt>
      </w:tr>
    </w:tbl>
    <w:p w:rsidR="00F32462" w:rsidRDefault="00F32462">
      <w:pPr>
        <w:rPr>
          <w:rFonts w:ascii="Arial" w:hAnsi="Arial" w:cs="Arial"/>
          <w:b/>
          <w:sz w:val="22"/>
          <w:szCs w:val="22"/>
          <w:lang w:eastAsia="en-US"/>
        </w:rPr>
      </w:pPr>
      <w:r>
        <w:rPr>
          <w:rFonts w:ascii="Arial" w:hAnsi="Arial" w:cs="Arial"/>
          <w:szCs w:val="22"/>
        </w:rPr>
        <w:br w:type="page"/>
      </w:r>
    </w:p>
    <w:p w:rsidR="00A35728" w:rsidRPr="00616B9B" w:rsidRDefault="00A35728" w:rsidP="00A35728">
      <w:pPr>
        <w:pStyle w:val="Questions-ESMA"/>
        <w:rPr>
          <w:rFonts w:ascii="Arial" w:hAnsi="Arial" w:cs="Arial"/>
          <w:szCs w:val="22"/>
        </w:rPr>
      </w:pPr>
      <w:r w:rsidRPr="00616B9B">
        <w:rPr>
          <w:rFonts w:ascii="Arial" w:hAnsi="Arial" w:cs="Arial"/>
          <w:szCs w:val="22"/>
        </w:rPr>
        <w:lastRenderedPageBreak/>
        <w:t xml:space="preserve">Q1: </w:t>
      </w:r>
      <w:r w:rsidRPr="00616B9B">
        <w:rPr>
          <w:rFonts w:ascii="Arial" w:hAnsi="Arial" w:cs="Arial"/>
          <w:szCs w:val="22"/>
        </w:rPr>
        <w:tab/>
        <w:t xml:space="preserve">What are your views on the proposed basis for the cash penalty calculation?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&lt;ESMA_QUESTION_TA_CSDR_1&gt;</w:t>
      </w:r>
    </w:p>
    <w:p w:rsidR="0042172B" w:rsidRDefault="0042172B" w:rsidP="00A35728">
      <w:pPr>
        <w:rPr>
          <w:rFonts w:ascii="Arial" w:hAnsi="Arial" w:cs="Arial"/>
          <w:sz w:val="22"/>
          <w:szCs w:val="22"/>
        </w:rPr>
      </w:pPr>
      <w:permStart w:id="3" w:edGrp="everyone"/>
    </w:p>
    <w:p w:rsidR="0042172B" w:rsidRPr="0042172B" w:rsidRDefault="0042172B" w:rsidP="0042172B">
      <w:pPr>
        <w:rPr>
          <w:rFonts w:asciiTheme="minorHAnsi" w:hAnsiTheme="minorHAnsi" w:cs="Arial"/>
          <w:sz w:val="22"/>
          <w:szCs w:val="22"/>
        </w:rPr>
      </w:pPr>
      <w:r w:rsidRPr="0042172B">
        <w:rPr>
          <w:rFonts w:asciiTheme="minorHAnsi" w:hAnsiTheme="minorHAnsi" w:cs="Arial"/>
          <w:sz w:val="22"/>
          <w:szCs w:val="22"/>
        </w:rPr>
        <w:t xml:space="preserve">DACSI agrees with the proposed approach. </w:t>
      </w:r>
    </w:p>
    <w:p w:rsidR="0042172B" w:rsidRPr="0042172B" w:rsidRDefault="0042172B" w:rsidP="0042172B">
      <w:pPr>
        <w:rPr>
          <w:rFonts w:asciiTheme="minorHAnsi" w:hAnsiTheme="minorHAnsi" w:cs="Arial"/>
          <w:sz w:val="22"/>
          <w:szCs w:val="22"/>
        </w:rPr>
      </w:pPr>
      <w:r w:rsidRPr="0042172B">
        <w:rPr>
          <w:rFonts w:asciiTheme="minorHAnsi" w:hAnsiTheme="minorHAnsi" w:cs="Arial"/>
          <w:sz w:val="22"/>
          <w:szCs w:val="22"/>
        </w:rPr>
        <w:t xml:space="preserve">We consider that the concept of a reference price is the best imaginable way of taking into account the objectives of the penalty system. In particular, it provides the most effective and fair results where a chain of transactions is involved and parties in the middle of the chain are both to pay and to collect penalty amounts. </w:t>
      </w:r>
    </w:p>
    <w:p w:rsidR="0042172B" w:rsidRPr="0042172B" w:rsidRDefault="0042172B" w:rsidP="0042172B">
      <w:pPr>
        <w:rPr>
          <w:rFonts w:asciiTheme="minorHAnsi" w:hAnsiTheme="minorHAnsi" w:cs="Arial"/>
          <w:sz w:val="22"/>
          <w:szCs w:val="22"/>
        </w:rPr>
      </w:pPr>
    </w:p>
    <w:p w:rsidR="0042172B" w:rsidRPr="0042172B" w:rsidRDefault="0042172B" w:rsidP="0042172B">
      <w:pPr>
        <w:rPr>
          <w:rFonts w:asciiTheme="minorHAnsi" w:hAnsiTheme="minorHAnsi" w:cs="Arial"/>
          <w:sz w:val="22"/>
          <w:szCs w:val="22"/>
        </w:rPr>
      </w:pPr>
      <w:r w:rsidRPr="0042172B">
        <w:rPr>
          <w:rFonts w:asciiTheme="minorHAnsi" w:hAnsiTheme="minorHAnsi" w:cs="Arial"/>
          <w:sz w:val="22"/>
          <w:szCs w:val="22"/>
        </w:rPr>
        <w:t>However, we note that populating and distributing reference prices daily will be a challenge. It is esse</w:t>
      </w:r>
      <w:r w:rsidRPr="0042172B">
        <w:rPr>
          <w:rFonts w:asciiTheme="minorHAnsi" w:hAnsiTheme="minorHAnsi" w:cs="Arial"/>
          <w:sz w:val="22"/>
          <w:szCs w:val="22"/>
        </w:rPr>
        <w:t>n</w:t>
      </w:r>
      <w:r w:rsidRPr="0042172B">
        <w:rPr>
          <w:rFonts w:asciiTheme="minorHAnsi" w:hAnsiTheme="minorHAnsi" w:cs="Arial"/>
          <w:sz w:val="22"/>
          <w:szCs w:val="22"/>
        </w:rPr>
        <w:t>tial that reference prices are determined – either by sourcing or by calculation – uniquely and timely. Hence, the determin</w:t>
      </w:r>
      <w:r w:rsidRPr="0042172B">
        <w:rPr>
          <w:rFonts w:asciiTheme="minorHAnsi" w:hAnsiTheme="minorHAnsi" w:cs="Arial"/>
          <w:sz w:val="22"/>
          <w:szCs w:val="22"/>
        </w:rPr>
        <w:t>a</w:t>
      </w:r>
      <w:r w:rsidRPr="0042172B">
        <w:rPr>
          <w:rFonts w:asciiTheme="minorHAnsi" w:hAnsiTheme="minorHAnsi" w:cs="Arial"/>
          <w:sz w:val="22"/>
          <w:szCs w:val="22"/>
        </w:rPr>
        <w:t>tion should take place centrally, i.e. by the issuer CSD of the relevant instrument. Any dece</w:t>
      </w:r>
      <w:r w:rsidRPr="0042172B">
        <w:rPr>
          <w:rFonts w:asciiTheme="minorHAnsi" w:hAnsiTheme="minorHAnsi" w:cs="Arial"/>
          <w:sz w:val="22"/>
          <w:szCs w:val="22"/>
        </w:rPr>
        <w:t>n</w:t>
      </w:r>
      <w:r w:rsidRPr="0042172B">
        <w:rPr>
          <w:rFonts w:asciiTheme="minorHAnsi" w:hAnsiTheme="minorHAnsi" w:cs="Arial"/>
          <w:sz w:val="22"/>
          <w:szCs w:val="22"/>
        </w:rPr>
        <w:t>tralised determination could lead to differing outcomes; the time needed for a solution of differences would be prohibitive.</w:t>
      </w:r>
    </w:p>
    <w:p w:rsidR="0042172B" w:rsidRPr="0042172B" w:rsidRDefault="0042172B" w:rsidP="0042172B">
      <w:pPr>
        <w:jc w:val="center"/>
        <w:rPr>
          <w:rFonts w:asciiTheme="minorHAnsi" w:hAnsiTheme="minorHAnsi" w:cs="Arial"/>
          <w:sz w:val="22"/>
          <w:szCs w:val="22"/>
        </w:rPr>
      </w:pPr>
    </w:p>
    <w:p w:rsidR="0042172B" w:rsidRPr="0042172B" w:rsidRDefault="0042172B" w:rsidP="0042172B">
      <w:pPr>
        <w:rPr>
          <w:rFonts w:asciiTheme="minorHAnsi" w:hAnsiTheme="minorHAnsi" w:cs="Arial"/>
          <w:sz w:val="22"/>
          <w:szCs w:val="22"/>
        </w:rPr>
      </w:pPr>
      <w:r w:rsidRPr="0042172B">
        <w:rPr>
          <w:rFonts w:asciiTheme="minorHAnsi" w:hAnsiTheme="minorHAnsi" w:cs="Arial"/>
          <w:sz w:val="22"/>
          <w:szCs w:val="22"/>
        </w:rPr>
        <w:t>We underline that portfolio transfers (transfers of positions with the same beneficial owner</w:t>
      </w:r>
      <w:proofErr w:type="gramStart"/>
      <w:r w:rsidRPr="0042172B">
        <w:rPr>
          <w:rFonts w:asciiTheme="minorHAnsi" w:hAnsiTheme="minorHAnsi" w:cs="Arial"/>
          <w:sz w:val="22"/>
          <w:szCs w:val="22"/>
        </w:rPr>
        <w:t>)  have</w:t>
      </w:r>
      <w:proofErr w:type="gramEnd"/>
      <w:r w:rsidRPr="0042172B">
        <w:rPr>
          <w:rFonts w:asciiTheme="minorHAnsi" w:hAnsiTheme="minorHAnsi" w:cs="Arial"/>
          <w:sz w:val="22"/>
          <w:szCs w:val="22"/>
        </w:rPr>
        <w:t xml:space="preserve"> to be excluded from the penalty calculation: even when delivered through a chain of intermediaries, no other entity than the one who is essentially delivering and receiving the (set of) instruments could be harmed by any failure in the deliveries. Application of the penalty regime on portfolio transfers could – in case of failed deliveries – lead to enormous penalty amounts to be channelled through the chain without co</w:t>
      </w:r>
      <w:r w:rsidRPr="0042172B">
        <w:rPr>
          <w:rFonts w:asciiTheme="minorHAnsi" w:hAnsiTheme="minorHAnsi" w:cs="Arial"/>
          <w:sz w:val="22"/>
          <w:szCs w:val="22"/>
        </w:rPr>
        <w:t>n</w:t>
      </w:r>
      <w:r w:rsidRPr="0042172B">
        <w:rPr>
          <w:rFonts w:asciiTheme="minorHAnsi" w:hAnsiTheme="minorHAnsi" w:cs="Arial"/>
          <w:sz w:val="22"/>
          <w:szCs w:val="22"/>
        </w:rPr>
        <w:t>tributing to the objective of the regime, as no third parties can be adversely affected.</w:t>
      </w:r>
    </w:p>
    <w:p w:rsidR="0042172B" w:rsidRPr="0042172B" w:rsidRDefault="0042172B" w:rsidP="0042172B">
      <w:pPr>
        <w:rPr>
          <w:rFonts w:asciiTheme="minorHAnsi" w:hAnsiTheme="minorHAnsi" w:cs="Arial"/>
          <w:sz w:val="22"/>
          <w:szCs w:val="22"/>
        </w:rPr>
      </w:pPr>
      <w:r w:rsidRPr="0042172B">
        <w:rPr>
          <w:rFonts w:asciiTheme="minorHAnsi" w:hAnsiTheme="minorHAnsi" w:cs="Arial"/>
          <w:sz w:val="22"/>
          <w:szCs w:val="22"/>
        </w:rPr>
        <w:t>NB:   the attribute “portfolio transfer” (PORT) is already widely used in the industry and a trigger for dedicated processing.</w:t>
      </w:r>
    </w:p>
    <w:p w:rsidR="0042172B" w:rsidRDefault="0042172B" w:rsidP="00A35728">
      <w:pPr>
        <w:rPr>
          <w:rFonts w:ascii="Arial" w:hAnsi="Arial" w:cs="Arial"/>
          <w:sz w:val="22"/>
          <w:szCs w:val="22"/>
        </w:rPr>
      </w:pPr>
    </w:p>
    <w:permEnd w:id="3"/>
    <w:p w:rsidR="00A35728" w:rsidRDefault="00A35728" w:rsidP="00A35728">
      <w:pPr>
        <w:rPr>
          <w:rFonts w:ascii="Arial" w:hAnsi="Arial" w:cs="Arial"/>
          <w:sz w:val="22"/>
          <w:szCs w:val="22"/>
        </w:rPr>
      </w:pPr>
      <w:r w:rsidRPr="00616B9B">
        <w:rPr>
          <w:rFonts w:ascii="Arial" w:hAnsi="Arial" w:cs="Arial"/>
          <w:sz w:val="22"/>
          <w:szCs w:val="22"/>
        </w:rPr>
        <w:t>&lt;ESMA_QUESTION_TA_CSDR_1&gt;</w:t>
      </w:r>
    </w:p>
    <w:p w:rsidR="00682E4A" w:rsidRPr="00616B9B" w:rsidRDefault="00682E4A"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Q2:</w:t>
      </w:r>
      <w:r w:rsidRPr="00616B9B">
        <w:rPr>
          <w:rFonts w:ascii="Arial" w:hAnsi="Arial" w:cs="Arial"/>
          <w:szCs w:val="22"/>
        </w:rPr>
        <w:tab/>
        <w:t>What are your views on the proposed approach regarding the categories of fina</w:t>
      </w:r>
      <w:r w:rsidRPr="00616B9B">
        <w:rPr>
          <w:rFonts w:ascii="Arial" w:hAnsi="Arial" w:cs="Arial"/>
          <w:szCs w:val="22"/>
        </w:rPr>
        <w:t>n</w:t>
      </w:r>
      <w:r w:rsidRPr="00616B9B">
        <w:rPr>
          <w:rFonts w:ascii="Arial" w:hAnsi="Arial" w:cs="Arial"/>
          <w:szCs w:val="22"/>
        </w:rPr>
        <w:t>cial instruments and the penalty rates?</w:t>
      </w:r>
      <w:r w:rsidR="006F08DC" w:rsidRPr="00616B9B">
        <w:rPr>
          <w:rFonts w:ascii="Arial" w:hAnsi="Arial" w:cs="Arial"/>
          <w:szCs w:val="22"/>
        </w:rPr>
        <w:t xml:space="preserve"> In particular, do you consider that these penalty rates could dis-incentivise trading in small caps? Please provide evidence to support your views.</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&lt;ESMA_QUESTION_TA_CSDR_2&gt;</w:t>
      </w:r>
    </w:p>
    <w:p w:rsidR="0042172B" w:rsidRDefault="0042172B" w:rsidP="00A35728">
      <w:pPr>
        <w:rPr>
          <w:rFonts w:ascii="Arial" w:hAnsi="Arial" w:cs="Arial"/>
          <w:sz w:val="22"/>
          <w:szCs w:val="22"/>
        </w:rPr>
      </w:pPr>
      <w:permStart w:id="4" w:edGrp="everyone"/>
    </w:p>
    <w:p w:rsidR="0042172B" w:rsidRPr="0042172B" w:rsidRDefault="0042172B" w:rsidP="0042172B">
      <w:pPr>
        <w:rPr>
          <w:rFonts w:asciiTheme="minorHAnsi" w:hAnsiTheme="minorHAnsi" w:cs="Arial"/>
          <w:sz w:val="22"/>
          <w:szCs w:val="22"/>
        </w:rPr>
      </w:pPr>
      <w:r w:rsidRPr="0042172B">
        <w:rPr>
          <w:rFonts w:asciiTheme="minorHAnsi" w:hAnsiTheme="minorHAnsi" w:cs="Arial"/>
          <w:sz w:val="22"/>
          <w:szCs w:val="22"/>
        </w:rPr>
        <w:t xml:space="preserve">DACSI agrees with the proposed approach. </w:t>
      </w:r>
    </w:p>
    <w:p w:rsidR="0042172B" w:rsidRPr="0042172B" w:rsidRDefault="0042172B" w:rsidP="0042172B">
      <w:pPr>
        <w:rPr>
          <w:rFonts w:asciiTheme="minorHAnsi" w:hAnsiTheme="minorHAnsi" w:cs="Arial"/>
          <w:sz w:val="22"/>
          <w:szCs w:val="22"/>
        </w:rPr>
      </w:pPr>
      <w:r w:rsidRPr="0042172B">
        <w:rPr>
          <w:rFonts w:asciiTheme="minorHAnsi" w:hAnsiTheme="minorHAnsi" w:cs="Arial"/>
          <w:sz w:val="22"/>
          <w:szCs w:val="22"/>
        </w:rPr>
        <w:t>Although the chosen levels for the proportional penalty rates may be arbitrary and at least rough, we concur with the considerations used for defining the different instrument categories. Given these co</w:t>
      </w:r>
      <w:r w:rsidRPr="0042172B">
        <w:rPr>
          <w:rFonts w:asciiTheme="minorHAnsi" w:hAnsiTheme="minorHAnsi" w:cs="Arial"/>
          <w:sz w:val="22"/>
          <w:szCs w:val="22"/>
        </w:rPr>
        <w:t>n</w:t>
      </w:r>
      <w:r w:rsidRPr="0042172B">
        <w:rPr>
          <w:rFonts w:asciiTheme="minorHAnsi" w:hAnsiTheme="minorHAnsi" w:cs="Arial"/>
          <w:sz w:val="22"/>
          <w:szCs w:val="22"/>
        </w:rPr>
        <w:t>siderations, any rate level will be arbitrary, but the small number of categories and the relatively round numbers serve the purpose of simpli</w:t>
      </w:r>
      <w:r w:rsidRPr="0042172B">
        <w:rPr>
          <w:rFonts w:asciiTheme="minorHAnsi" w:hAnsiTheme="minorHAnsi" w:cs="Arial"/>
          <w:sz w:val="22"/>
          <w:szCs w:val="22"/>
        </w:rPr>
        <w:t>c</w:t>
      </w:r>
      <w:r w:rsidRPr="0042172B">
        <w:rPr>
          <w:rFonts w:asciiTheme="minorHAnsi" w:hAnsiTheme="minorHAnsi" w:cs="Arial"/>
          <w:sz w:val="22"/>
          <w:szCs w:val="22"/>
        </w:rPr>
        <w:t>ity quite well. In DACSI’s opinion, any addition of granularity would be unnecessary, while in conflict with simplicity and not required by the deterrence concept.</w:t>
      </w:r>
    </w:p>
    <w:p w:rsidR="0042172B" w:rsidRPr="0042172B" w:rsidRDefault="0042172B" w:rsidP="0042172B">
      <w:pPr>
        <w:rPr>
          <w:rFonts w:asciiTheme="minorHAnsi" w:hAnsiTheme="minorHAnsi" w:cs="Arial"/>
          <w:sz w:val="22"/>
          <w:szCs w:val="22"/>
        </w:rPr>
      </w:pPr>
      <w:r w:rsidRPr="0042172B">
        <w:rPr>
          <w:rFonts w:asciiTheme="minorHAnsi" w:hAnsiTheme="minorHAnsi" w:cs="Arial"/>
          <w:sz w:val="22"/>
          <w:szCs w:val="22"/>
        </w:rPr>
        <w:t xml:space="preserve">No, we do not expect that these rates would </w:t>
      </w:r>
      <w:proofErr w:type="spellStart"/>
      <w:r w:rsidRPr="0042172B">
        <w:rPr>
          <w:rFonts w:asciiTheme="minorHAnsi" w:hAnsiTheme="minorHAnsi" w:cs="Arial"/>
          <w:sz w:val="22"/>
          <w:szCs w:val="22"/>
        </w:rPr>
        <w:t>dis</w:t>
      </w:r>
      <w:proofErr w:type="spellEnd"/>
      <w:r w:rsidRPr="0042172B">
        <w:rPr>
          <w:rFonts w:asciiTheme="minorHAnsi" w:hAnsiTheme="minorHAnsi" w:cs="Arial"/>
          <w:sz w:val="22"/>
          <w:szCs w:val="22"/>
        </w:rPr>
        <w:t>-incentivise small cap trading, since in general trading in small caps is more often triggered by buy-and-hold strategies as compared to highly liquid large caps, and hence will be affected less by failed settlements and subsequent penalties.</w:t>
      </w:r>
    </w:p>
    <w:p w:rsidR="0042172B" w:rsidRDefault="0042172B" w:rsidP="00A35728">
      <w:pPr>
        <w:rPr>
          <w:rFonts w:ascii="Arial" w:hAnsi="Arial" w:cs="Arial"/>
          <w:sz w:val="22"/>
          <w:szCs w:val="22"/>
        </w:rPr>
      </w:pPr>
    </w:p>
    <w:permEnd w:id="4"/>
    <w:p w:rsidR="00A35728" w:rsidRDefault="00A35728" w:rsidP="00A35728">
      <w:pPr>
        <w:rPr>
          <w:rFonts w:ascii="Arial" w:hAnsi="Arial" w:cs="Arial"/>
          <w:sz w:val="22"/>
          <w:szCs w:val="22"/>
        </w:rPr>
      </w:pPr>
      <w:r w:rsidRPr="00F32462">
        <w:rPr>
          <w:rFonts w:ascii="Arial" w:hAnsi="Arial" w:cs="Arial"/>
          <w:sz w:val="22"/>
          <w:szCs w:val="22"/>
        </w:rPr>
        <w:t>&lt;ESMA_QUESTION_TA_CSDR_2&gt;</w:t>
      </w:r>
    </w:p>
    <w:p w:rsidR="00682E4A" w:rsidRPr="00F32462" w:rsidRDefault="00682E4A"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Q3:</w:t>
      </w:r>
      <w:r w:rsidRPr="00616B9B">
        <w:rPr>
          <w:rFonts w:ascii="Arial" w:hAnsi="Arial" w:cs="Arial"/>
          <w:szCs w:val="22"/>
        </w:rPr>
        <w:tab/>
        <w:t>What are your views on the proposed approach regarding the increase and redu</w:t>
      </w:r>
      <w:r w:rsidRPr="00616B9B">
        <w:rPr>
          <w:rFonts w:ascii="Arial" w:hAnsi="Arial" w:cs="Arial"/>
          <w:szCs w:val="22"/>
        </w:rPr>
        <w:t>c</w:t>
      </w:r>
      <w:r w:rsidRPr="00616B9B">
        <w:rPr>
          <w:rFonts w:ascii="Arial" w:hAnsi="Arial" w:cs="Arial"/>
          <w:szCs w:val="22"/>
        </w:rPr>
        <w:t>tion of the basic penalty amount?</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&lt;ESMA_QUESTION_TA_CSDR_3&gt;</w:t>
      </w:r>
    </w:p>
    <w:p w:rsidR="0042172B" w:rsidRDefault="0042172B" w:rsidP="00A35728">
      <w:pPr>
        <w:rPr>
          <w:rFonts w:ascii="Arial" w:hAnsi="Arial" w:cs="Arial"/>
          <w:sz w:val="22"/>
          <w:szCs w:val="22"/>
        </w:rPr>
      </w:pPr>
      <w:permStart w:id="5" w:edGrp="everyone"/>
    </w:p>
    <w:p w:rsidR="0042172B" w:rsidRPr="0042172B" w:rsidRDefault="0042172B" w:rsidP="0042172B">
      <w:pPr>
        <w:rPr>
          <w:rFonts w:asciiTheme="minorHAnsi" w:hAnsiTheme="minorHAnsi" w:cs="Arial"/>
          <w:sz w:val="22"/>
          <w:szCs w:val="22"/>
        </w:rPr>
      </w:pPr>
      <w:r w:rsidRPr="0042172B">
        <w:rPr>
          <w:rFonts w:asciiTheme="minorHAnsi" w:hAnsiTheme="minorHAnsi" w:cs="Arial"/>
          <w:sz w:val="22"/>
          <w:szCs w:val="22"/>
        </w:rPr>
        <w:lastRenderedPageBreak/>
        <w:t>DACSI completely agrees with the considerations in par. 58-59 and with the conclusion that no increase or redu</w:t>
      </w:r>
      <w:r w:rsidRPr="0042172B">
        <w:rPr>
          <w:rFonts w:asciiTheme="minorHAnsi" w:hAnsiTheme="minorHAnsi" w:cs="Arial"/>
          <w:sz w:val="22"/>
          <w:szCs w:val="22"/>
        </w:rPr>
        <w:t>c</w:t>
      </w:r>
      <w:r w:rsidRPr="0042172B">
        <w:rPr>
          <w:rFonts w:asciiTheme="minorHAnsi" w:hAnsiTheme="minorHAnsi" w:cs="Arial"/>
          <w:sz w:val="22"/>
          <w:szCs w:val="22"/>
        </w:rPr>
        <w:t xml:space="preserve">tion should be applied. </w:t>
      </w:r>
    </w:p>
    <w:p w:rsidR="0042172B" w:rsidRPr="0042172B" w:rsidRDefault="0042172B" w:rsidP="0042172B">
      <w:pPr>
        <w:rPr>
          <w:rFonts w:asciiTheme="minorHAnsi" w:hAnsiTheme="minorHAnsi" w:cs="Arial"/>
          <w:sz w:val="22"/>
          <w:szCs w:val="22"/>
        </w:rPr>
      </w:pPr>
    </w:p>
    <w:p w:rsidR="0042172B" w:rsidRPr="0042172B" w:rsidRDefault="0042172B" w:rsidP="0042172B">
      <w:pPr>
        <w:rPr>
          <w:rFonts w:asciiTheme="minorHAnsi" w:hAnsiTheme="minorHAnsi" w:cs="Arial"/>
          <w:sz w:val="22"/>
          <w:szCs w:val="22"/>
        </w:rPr>
      </w:pPr>
      <w:r w:rsidRPr="0042172B">
        <w:rPr>
          <w:rFonts w:asciiTheme="minorHAnsi" w:hAnsiTheme="minorHAnsi" w:cs="Arial"/>
          <w:sz w:val="22"/>
          <w:szCs w:val="22"/>
        </w:rPr>
        <w:t>In par. 60, ESMA provides some examples of situations where the penalty could be reduced to zero. DACSI would like to express its support for this approach. However, DACSI would like to ask ESMA to provide clearer guidance on the exact cases where the penalty rate can be reduced to zero. A harm</w:t>
      </w:r>
      <w:r w:rsidRPr="0042172B">
        <w:rPr>
          <w:rFonts w:asciiTheme="minorHAnsi" w:hAnsiTheme="minorHAnsi" w:cs="Arial"/>
          <w:sz w:val="22"/>
          <w:szCs w:val="22"/>
        </w:rPr>
        <w:t>o</w:t>
      </w:r>
      <w:r w:rsidRPr="0042172B">
        <w:rPr>
          <w:rFonts w:asciiTheme="minorHAnsi" w:hAnsiTheme="minorHAnsi" w:cs="Arial"/>
          <w:sz w:val="22"/>
          <w:szCs w:val="22"/>
        </w:rPr>
        <w:t>nised approach on this policy would e</w:t>
      </w:r>
      <w:r w:rsidRPr="0042172B">
        <w:rPr>
          <w:rFonts w:asciiTheme="minorHAnsi" w:hAnsiTheme="minorHAnsi" w:cs="Arial"/>
          <w:sz w:val="22"/>
          <w:szCs w:val="22"/>
        </w:rPr>
        <w:t>x</w:t>
      </w:r>
      <w:r w:rsidRPr="0042172B">
        <w:rPr>
          <w:rFonts w:asciiTheme="minorHAnsi" w:hAnsiTheme="minorHAnsi" w:cs="Arial"/>
          <w:sz w:val="22"/>
          <w:szCs w:val="22"/>
        </w:rPr>
        <w:t>clude that different markets follow their own rules resulting in a non-level playing field in the EU and possibly in regulatory arbitrage.</w:t>
      </w:r>
    </w:p>
    <w:p w:rsidR="0042172B" w:rsidRDefault="0042172B" w:rsidP="00A35728">
      <w:pPr>
        <w:rPr>
          <w:rFonts w:ascii="Arial" w:hAnsi="Arial" w:cs="Arial"/>
          <w:sz w:val="22"/>
          <w:szCs w:val="22"/>
        </w:rPr>
      </w:pPr>
    </w:p>
    <w:permEnd w:id="5"/>
    <w:p w:rsidR="00A35728" w:rsidRDefault="00A35728" w:rsidP="00A35728">
      <w:pPr>
        <w:rPr>
          <w:rFonts w:ascii="Arial" w:hAnsi="Arial" w:cs="Arial"/>
          <w:sz w:val="22"/>
          <w:szCs w:val="22"/>
        </w:rPr>
      </w:pPr>
      <w:r w:rsidRPr="00616B9B">
        <w:rPr>
          <w:rFonts w:ascii="Arial" w:hAnsi="Arial" w:cs="Arial"/>
          <w:sz w:val="22"/>
          <w:szCs w:val="22"/>
        </w:rPr>
        <w:t>&lt;ESMA_QUESTION_TA_CSDR_3&gt;</w:t>
      </w:r>
    </w:p>
    <w:p w:rsidR="009A7E2F" w:rsidRPr="00616B9B" w:rsidRDefault="009A7E2F" w:rsidP="00A35728">
      <w:pPr>
        <w:rPr>
          <w:rFonts w:ascii="Arial" w:hAnsi="Arial" w:cs="Arial"/>
          <w:sz w:val="22"/>
          <w:szCs w:val="22"/>
        </w:rPr>
      </w:pPr>
      <w:bookmarkStart w:id="3" w:name="_GoBack"/>
      <w:bookmarkEnd w:id="3"/>
    </w:p>
    <w:p w:rsidR="00A35728" w:rsidRPr="00616B9B" w:rsidRDefault="00A35728" w:rsidP="00A35728">
      <w:pPr>
        <w:pStyle w:val="Questions-ESMA"/>
        <w:rPr>
          <w:rFonts w:ascii="Arial" w:hAnsi="Arial" w:cs="Arial"/>
          <w:szCs w:val="22"/>
        </w:rPr>
      </w:pPr>
      <w:r w:rsidRPr="00616B9B">
        <w:rPr>
          <w:rFonts w:ascii="Arial" w:hAnsi="Arial" w:cs="Arial"/>
          <w:szCs w:val="22"/>
        </w:rPr>
        <w:t>Q4:</w:t>
      </w:r>
      <w:r w:rsidRPr="00616B9B">
        <w:rPr>
          <w:rFonts w:ascii="Arial" w:hAnsi="Arial" w:cs="Arial"/>
          <w:szCs w:val="22"/>
        </w:rPr>
        <w:tab/>
        <w:t>What are your views on the proposed approach regarding the cash penalties in the context of chains of interdependent transactions?</w:t>
      </w:r>
      <w:r w:rsidRPr="00616B9B">
        <w:rPr>
          <w:rFonts w:ascii="Arial" w:hAnsi="Arial" w:cs="Arial"/>
          <w:szCs w:val="22"/>
        </w:rPr>
        <w:tab/>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rsidR="0042172B" w:rsidRDefault="0042172B" w:rsidP="00A35728">
      <w:pPr>
        <w:rPr>
          <w:rFonts w:ascii="Arial" w:hAnsi="Arial" w:cs="Arial"/>
          <w:sz w:val="22"/>
          <w:szCs w:val="22"/>
        </w:rPr>
      </w:pPr>
      <w:permStart w:id="6" w:edGrp="everyone"/>
    </w:p>
    <w:p w:rsidR="0042172B" w:rsidRPr="0042172B" w:rsidRDefault="0042172B" w:rsidP="0042172B">
      <w:pPr>
        <w:rPr>
          <w:rFonts w:asciiTheme="minorHAnsi" w:hAnsiTheme="minorHAnsi" w:cs="Arial"/>
          <w:sz w:val="22"/>
          <w:szCs w:val="22"/>
        </w:rPr>
      </w:pPr>
      <w:r w:rsidRPr="0042172B">
        <w:rPr>
          <w:rFonts w:asciiTheme="minorHAnsi" w:hAnsiTheme="minorHAnsi" w:cs="Arial"/>
          <w:sz w:val="22"/>
          <w:szCs w:val="22"/>
        </w:rPr>
        <w:t xml:space="preserve">DACSI fully supports this approach. </w:t>
      </w:r>
    </w:p>
    <w:p w:rsidR="0042172B" w:rsidRPr="0042172B" w:rsidRDefault="0042172B" w:rsidP="0042172B">
      <w:pPr>
        <w:rPr>
          <w:rFonts w:asciiTheme="minorHAnsi" w:hAnsiTheme="minorHAnsi" w:cs="Arial"/>
          <w:sz w:val="22"/>
          <w:szCs w:val="22"/>
        </w:rPr>
      </w:pPr>
    </w:p>
    <w:p w:rsidR="0042172B" w:rsidRPr="0042172B" w:rsidRDefault="0042172B" w:rsidP="0042172B">
      <w:pPr>
        <w:rPr>
          <w:rFonts w:asciiTheme="minorHAnsi" w:hAnsiTheme="minorHAnsi" w:cs="Arial"/>
          <w:sz w:val="22"/>
          <w:szCs w:val="22"/>
        </w:rPr>
      </w:pPr>
      <w:r w:rsidRPr="0042172B">
        <w:rPr>
          <w:rFonts w:asciiTheme="minorHAnsi" w:hAnsiTheme="minorHAnsi" w:cs="Arial"/>
          <w:sz w:val="22"/>
          <w:szCs w:val="22"/>
        </w:rPr>
        <w:t xml:space="preserve">It is well noted that only intermediaries in the delivery chain of interdependent transactions are to </w:t>
      </w:r>
      <w:r>
        <w:rPr>
          <w:rFonts w:asciiTheme="minorHAnsi" w:hAnsiTheme="minorHAnsi" w:cs="Arial"/>
          <w:sz w:val="22"/>
          <w:szCs w:val="22"/>
        </w:rPr>
        <w:t xml:space="preserve">be </w:t>
      </w:r>
      <w:r w:rsidRPr="0042172B">
        <w:rPr>
          <w:rFonts w:asciiTheme="minorHAnsi" w:hAnsiTheme="minorHAnsi" w:cs="Arial"/>
          <w:sz w:val="22"/>
          <w:szCs w:val="22"/>
        </w:rPr>
        <w:t>part of the penalty scheme; intermediaries who act as an agent in the trading phase only, are not to be a</w:t>
      </w:r>
      <w:r w:rsidRPr="0042172B">
        <w:rPr>
          <w:rFonts w:asciiTheme="minorHAnsi" w:hAnsiTheme="minorHAnsi" w:cs="Arial"/>
          <w:sz w:val="22"/>
          <w:szCs w:val="22"/>
        </w:rPr>
        <w:t>f</w:t>
      </w:r>
      <w:r w:rsidRPr="0042172B">
        <w:rPr>
          <w:rFonts w:asciiTheme="minorHAnsi" w:hAnsiTheme="minorHAnsi" w:cs="Arial"/>
          <w:sz w:val="22"/>
          <w:szCs w:val="22"/>
        </w:rPr>
        <w:t>fected.</w:t>
      </w:r>
    </w:p>
    <w:p w:rsidR="0042172B" w:rsidRDefault="0042172B" w:rsidP="00A35728">
      <w:pPr>
        <w:rPr>
          <w:rFonts w:ascii="Arial" w:hAnsi="Arial" w:cs="Arial"/>
          <w:sz w:val="22"/>
          <w:szCs w:val="22"/>
        </w:rPr>
      </w:pPr>
    </w:p>
    <w:permEnd w:id="6"/>
    <w:p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Q5:</w:t>
      </w:r>
      <w:r w:rsidRPr="00616B9B">
        <w:rPr>
          <w:rFonts w:ascii="Arial" w:hAnsi="Arial" w:cs="Arial"/>
          <w:szCs w:val="22"/>
        </w:rPr>
        <w:tab/>
        <w:t>Do you agree with the proposed frequency of one year for the assessment of the substantial importance of a CSD in another Member State?</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&lt;ESMA_QUESTION_TA_CSDR_5&gt;</w:t>
      </w:r>
    </w:p>
    <w:p w:rsidR="00A35728" w:rsidRPr="00616B9B" w:rsidRDefault="00A35728" w:rsidP="00A35728">
      <w:pPr>
        <w:rPr>
          <w:rFonts w:ascii="Arial" w:hAnsi="Arial" w:cs="Arial"/>
          <w:sz w:val="22"/>
          <w:szCs w:val="22"/>
        </w:rPr>
      </w:pPr>
      <w:permStart w:id="7" w:edGrp="everyone"/>
      <w:r w:rsidRPr="00616B9B">
        <w:rPr>
          <w:rFonts w:ascii="Arial" w:hAnsi="Arial" w:cs="Arial"/>
          <w:sz w:val="22"/>
          <w:szCs w:val="22"/>
        </w:rPr>
        <w:t>TYPE YOUR TEXT HERE</w:t>
      </w:r>
    </w:p>
    <w:permEnd w:id="7"/>
    <w:p w:rsidR="00A35728" w:rsidRPr="00616B9B" w:rsidRDefault="00A35728" w:rsidP="00A35728">
      <w:pPr>
        <w:rPr>
          <w:rFonts w:ascii="Arial" w:hAnsi="Arial" w:cs="Arial"/>
          <w:sz w:val="22"/>
          <w:szCs w:val="22"/>
        </w:rPr>
      </w:pPr>
      <w:r w:rsidRPr="00616B9B">
        <w:rPr>
          <w:rFonts w:ascii="Arial" w:hAnsi="Arial" w:cs="Arial"/>
          <w:sz w:val="22"/>
          <w:szCs w:val="22"/>
        </w:rPr>
        <w:t>&lt;ESMA_QUESTION_TA_CSDR_5&gt;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Q6: </w:t>
      </w:r>
      <w:r w:rsidRPr="00616B9B">
        <w:rPr>
          <w:rFonts w:ascii="Arial" w:hAnsi="Arial" w:cs="Arial"/>
          <w:szCs w:val="22"/>
        </w:rPr>
        <w:tab/>
        <w:t xml:space="preserve">What are your views on the proposed indicators?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rsidR="00A35728" w:rsidRPr="00616B9B" w:rsidRDefault="00A35728" w:rsidP="00A35728">
      <w:pPr>
        <w:rPr>
          <w:rFonts w:ascii="Arial" w:hAnsi="Arial" w:cs="Arial"/>
          <w:sz w:val="22"/>
          <w:szCs w:val="22"/>
        </w:rPr>
      </w:pPr>
      <w:permStart w:id="8" w:edGrp="everyone"/>
      <w:r w:rsidRPr="00616B9B">
        <w:rPr>
          <w:rFonts w:ascii="Arial" w:hAnsi="Arial" w:cs="Arial"/>
          <w:sz w:val="22"/>
          <w:szCs w:val="22"/>
        </w:rPr>
        <w:t>TYPE YOUR TEXT HERE</w:t>
      </w:r>
    </w:p>
    <w:permEnd w:id="8"/>
    <w:p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Q7: </w:t>
      </w:r>
      <w:r w:rsidRPr="00616B9B">
        <w:rPr>
          <w:rFonts w:ascii="Arial" w:hAnsi="Arial" w:cs="Arial"/>
          <w:szCs w:val="22"/>
        </w:rPr>
        <w:tab/>
        <w:t>What are your views on the proposed thresholds?</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rsidR="00A35728" w:rsidRPr="00616B9B" w:rsidRDefault="00A35728" w:rsidP="00A35728">
      <w:pPr>
        <w:rPr>
          <w:rFonts w:ascii="Arial" w:hAnsi="Arial" w:cs="Arial"/>
          <w:sz w:val="22"/>
          <w:szCs w:val="22"/>
        </w:rPr>
      </w:pPr>
      <w:permStart w:id="9" w:edGrp="everyone"/>
      <w:r w:rsidRPr="00616B9B">
        <w:rPr>
          <w:rFonts w:ascii="Arial" w:hAnsi="Arial" w:cs="Arial"/>
          <w:sz w:val="22"/>
          <w:szCs w:val="22"/>
        </w:rPr>
        <w:t>TYPE YOUR TEXT HERE</w:t>
      </w:r>
    </w:p>
    <w:permEnd w:id="9"/>
    <w:p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rsidR="00A35728" w:rsidRPr="00616B9B" w:rsidRDefault="00A35728" w:rsidP="00A35728">
      <w:pPr>
        <w:rPr>
          <w:rFonts w:ascii="Arial" w:hAnsi="Arial" w:cs="Arial"/>
          <w:sz w:val="22"/>
          <w:szCs w:val="22"/>
        </w:rPr>
      </w:pPr>
    </w:p>
    <w:p w:rsidR="006F08DC" w:rsidRPr="00616B9B" w:rsidRDefault="006F08DC" w:rsidP="006F08DC">
      <w:pPr>
        <w:pStyle w:val="Questions-ESMA"/>
        <w:rPr>
          <w:rFonts w:ascii="Arial" w:hAnsi="Arial" w:cs="Arial"/>
          <w:szCs w:val="22"/>
        </w:rPr>
      </w:pPr>
      <w:r w:rsidRPr="00616B9B">
        <w:rPr>
          <w:rFonts w:ascii="Arial" w:hAnsi="Arial" w:cs="Arial"/>
          <w:szCs w:val="22"/>
        </w:rPr>
        <w:t xml:space="preserve">Q8: </w:t>
      </w:r>
      <w:r w:rsidRPr="00616B9B">
        <w:rPr>
          <w:rFonts w:ascii="Arial" w:hAnsi="Arial" w:cs="Arial"/>
          <w:szCs w:val="22"/>
        </w:rPr>
        <w:tab/>
        <w:t>Do you believe that the proposed indicators and thresholds are relevant in the case of government bonds? If not, please provide details and arguments.</w:t>
      </w:r>
    </w:p>
    <w:p w:rsidR="006F08DC" w:rsidRPr="00616B9B" w:rsidRDefault="006F08DC" w:rsidP="006F08DC">
      <w:pPr>
        <w:rPr>
          <w:rFonts w:ascii="Arial" w:hAnsi="Arial" w:cs="Arial"/>
          <w:sz w:val="22"/>
          <w:szCs w:val="22"/>
        </w:rPr>
      </w:pPr>
      <w:r w:rsidRPr="00616B9B">
        <w:rPr>
          <w:rFonts w:ascii="Arial" w:hAnsi="Arial" w:cs="Arial"/>
          <w:sz w:val="22"/>
          <w:szCs w:val="22"/>
        </w:rPr>
        <w:t>&lt;ESMA_QUESTION_TA_CSDR_8&gt;</w:t>
      </w:r>
    </w:p>
    <w:p w:rsidR="006F08DC" w:rsidRPr="00616B9B" w:rsidRDefault="006F08DC" w:rsidP="006F08DC">
      <w:pPr>
        <w:rPr>
          <w:rFonts w:ascii="Arial" w:hAnsi="Arial" w:cs="Arial"/>
          <w:sz w:val="22"/>
          <w:szCs w:val="22"/>
        </w:rPr>
      </w:pPr>
      <w:permStart w:id="10" w:edGrp="everyone"/>
      <w:r w:rsidRPr="00616B9B">
        <w:rPr>
          <w:rFonts w:ascii="Arial" w:hAnsi="Arial" w:cs="Arial"/>
          <w:sz w:val="22"/>
          <w:szCs w:val="22"/>
        </w:rPr>
        <w:t>TYPE YOUR TEXT HERE</w:t>
      </w:r>
    </w:p>
    <w:permEnd w:id="10"/>
    <w:p w:rsidR="003A6E9A" w:rsidRPr="00616B9B" w:rsidRDefault="006F08DC" w:rsidP="00B156CF">
      <w:pPr>
        <w:rPr>
          <w:rFonts w:ascii="Arial" w:hAnsi="Arial" w:cs="Arial"/>
          <w:sz w:val="22"/>
          <w:szCs w:val="22"/>
        </w:rPr>
      </w:pPr>
      <w:r w:rsidRPr="00616B9B">
        <w:rPr>
          <w:rFonts w:ascii="Arial" w:hAnsi="Arial" w:cs="Arial"/>
          <w:sz w:val="22"/>
          <w:szCs w:val="22"/>
        </w:rPr>
        <w:t>&lt;ESMA_QUESTION_TA_CSDR_8&gt;</w:t>
      </w:r>
    </w:p>
    <w:sectPr w:rsidR="003A6E9A" w:rsidRPr="00616B9B" w:rsidSect="000D17AA">
      <w:headerReference w:type="even" r:id="rId14"/>
      <w:headerReference w:type="first" r:id="rId15"/>
      <w:footerReference w:type="first" r:id="rId16"/>
      <w:pgSz w:w="11906" w:h="16838" w:code="9"/>
      <w:pgMar w:top="2552"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9BF" w:rsidRDefault="004619BF">
      <w:r>
        <w:separator/>
      </w:r>
    </w:p>
    <w:p w:rsidR="004619BF" w:rsidRDefault="004619BF"/>
  </w:endnote>
  <w:endnote w:type="continuationSeparator" w:id="0">
    <w:p w:rsidR="004619BF" w:rsidRDefault="004619BF">
      <w:r>
        <w:continuationSeparator/>
      </w:r>
    </w:p>
    <w:p w:rsidR="004619BF" w:rsidRDefault="004619BF"/>
  </w:endnote>
  <w:endnote w:type="continuationNotice" w:id="1">
    <w:p w:rsidR="004619BF" w:rsidRDefault="004619B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C325A8" w:rsidP="002C5B2D">
          <w:pPr>
            <w:pStyle w:val="00aPagenumber"/>
            <w:rPr>
              <w:rFonts w:ascii="Arial" w:hAnsi="Arial" w:cs="Arial"/>
              <w:sz w:val="22"/>
              <w:szCs w:val="22"/>
            </w:rPr>
          </w:pPr>
          <w:r w:rsidRPr="00616B9B">
            <w:rPr>
              <w:rFonts w:ascii="Arial" w:hAnsi="Arial" w:cs="Arial"/>
              <w:sz w:val="22"/>
              <w:szCs w:val="22"/>
            </w:rPr>
            <w:fldChar w:fldCharType="begin"/>
          </w:r>
          <w:r w:rsidR="00811EDA" w:rsidRPr="00616B9B">
            <w:rPr>
              <w:rFonts w:ascii="Arial" w:hAnsi="Arial" w:cs="Arial"/>
              <w:sz w:val="22"/>
              <w:szCs w:val="22"/>
            </w:rPr>
            <w:instrText xml:space="preserve"> PAGE </w:instrText>
          </w:r>
          <w:r w:rsidRPr="00616B9B">
            <w:rPr>
              <w:rFonts w:ascii="Arial" w:hAnsi="Arial" w:cs="Arial"/>
              <w:sz w:val="22"/>
              <w:szCs w:val="22"/>
            </w:rPr>
            <w:fldChar w:fldCharType="separate"/>
          </w:r>
          <w:r w:rsidR="00E37CD3">
            <w:rPr>
              <w:rFonts w:ascii="Arial" w:hAnsi="Arial" w:cs="Arial"/>
              <w:noProof/>
              <w:sz w:val="22"/>
              <w:szCs w:val="22"/>
            </w:rPr>
            <w:t>3</w:t>
          </w:r>
          <w:r w:rsidRPr="00616B9B">
            <w:rPr>
              <w:rFonts w:ascii="Arial" w:hAnsi="Arial" w:cs="Arial"/>
              <w:noProof/>
              <w:sz w:val="22"/>
              <w:szCs w:val="22"/>
            </w:rPr>
            <w:fldChar w:fldCharType="end"/>
          </w:r>
        </w:p>
      </w:tc>
    </w:tr>
  </w:tbl>
  <w:p w:rsidR="00811EDA" w:rsidRDefault="00811E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9BF" w:rsidRDefault="004619BF">
      <w:r>
        <w:separator/>
      </w:r>
    </w:p>
    <w:p w:rsidR="004619BF" w:rsidRDefault="004619BF"/>
  </w:footnote>
  <w:footnote w:type="continuationSeparator" w:id="0">
    <w:p w:rsidR="004619BF" w:rsidRDefault="004619BF">
      <w:r>
        <w:continuationSeparator/>
      </w:r>
    </w:p>
    <w:p w:rsidR="004619BF" w:rsidRDefault="004619BF"/>
  </w:footnote>
  <w:footnote w:type="continuationNotice" w:id="1">
    <w:p w:rsidR="004619BF" w:rsidRDefault="004619B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pPr>
      <w:pStyle w:val="Header"/>
    </w:pPr>
    <w:r>
      <w:rPr>
        <w:noProof/>
        <w:lang w:val="nl-NL" w:eastAsia="nl-NL"/>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C325A8" w:rsidRPr="00C325A8">
      <w:rPr>
        <w:noProof/>
        <w:lang w:eastAsia="en-GB"/>
      </w:rPr>
      <w:pict>
        <v:line id="Line 16" o:spid="_x0000_s4098" style="position:absolute;z-index:251656192;visibility:visible;mso-wrap-distance-left:3.17486mm;mso-wrap-distance-right:3.17486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rsidP="00013CCE">
    <w:pPr>
      <w:pStyle w:val="Header"/>
      <w:jc w:val="right"/>
    </w:pPr>
    <w:r>
      <w:rPr>
        <w:noProof/>
        <w:lang w:val="nl-NL" w:eastAsia="nl-NL"/>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nl-NL" w:eastAsia="nl-NL"/>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rsidR="00811EDA">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C325A8">
    <w:pPr>
      <w:pStyle w:val="Header"/>
    </w:pPr>
    <w:r w:rsidRPr="00C325A8">
      <w:rPr>
        <w:noProof/>
        <w:lang w:eastAsia="en-GB"/>
      </w:rPr>
      <w:pict>
        <v:line id="Straight Connector 138" o:spid="_x0000_s4097" style="position:absolute;z-index:251660288;visibility:visible;mso-wrap-distance-left:3.17497mm;mso-wrap-distance-right:3.17497mm;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DE66EB">
      <w:rPr>
        <w:noProof/>
        <w:lang w:val="nl-NL" w:eastAsia="nl-NL"/>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6"/>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1"/>
  <w:documentProtection w:edit="readOnly" w:enforcement="1" w:cryptProviderType="rsaFull" w:cryptAlgorithmClass="hash" w:cryptAlgorithmType="typeAny" w:cryptAlgorithmSid="4" w:cryptSpinCount="100000" w:hash="Z4QBOZoeFLhVtdr+5Kzp0nq4F6s=" w:salt="3M9yBqqYhiFxTLTQeQgxbg=="/>
  <w:defaultTabStop w:val="709"/>
  <w:autoHyphenation/>
  <w:hyphenationZone w:val="567"/>
  <w:characterSpacingControl w:val="doNotCompress"/>
  <w:hdrShapeDefaults>
    <o:shapedefaults v:ext="edit" spidmax="7170">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0A84"/>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0E8"/>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CD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172B"/>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9BF"/>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1E62"/>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2E4A"/>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0D79"/>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96E43"/>
    <w:rsid w:val="009A07A6"/>
    <w:rsid w:val="009A0D56"/>
    <w:rsid w:val="009A31B9"/>
    <w:rsid w:val="009A4D4F"/>
    <w:rsid w:val="009A53D8"/>
    <w:rsid w:val="009A597F"/>
    <w:rsid w:val="009A7B72"/>
    <w:rsid w:val="009A7E2F"/>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A8"/>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76A"/>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CD3"/>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rPr>
  </w:style>
  <w:style w:type="character" w:customStyle="1" w:styleId="aStyle1Char">
    <w:name w:val="a. Style1 Char"/>
    <w:link w:val="aStyle1"/>
    <w:rsid w:val="000D2D0B"/>
    <w:rPr>
      <w:rFonts w:ascii="Georgia" w:hAnsi="Georgia"/>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682E4A"/>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682E4A"/>
    <w:rPr>
      <w:rFonts w:ascii="Calibri" w:hAnsi="Calibr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682E4A"/>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682E4A"/>
    <w:rPr>
      <w:rFonts w:ascii="Calibri" w:hAnsi="Calibri"/>
      <w:b/>
      <w:sz w:val="22"/>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7C112EB3D8041C587F3116780B1E3F3"/>
        <w:category>
          <w:name w:val="General"/>
          <w:gallery w:val="placeholder"/>
        </w:category>
        <w:types>
          <w:type w:val="bbPlcHdr"/>
        </w:types>
        <w:behaviors>
          <w:behavior w:val="content"/>
        </w:behaviors>
        <w:guid w:val="{A063AFDD-5E61-41F9-B9CC-C85989D5E1BA}"/>
      </w:docPartPr>
      <w:docPartBody>
        <w:p w:rsidR="00464746" w:rsidRDefault="00ED03BC" w:rsidP="00ED03BC">
          <w:pPr>
            <w:pStyle w:val="E7C112EB3D8041C587F3116780B1E3F3"/>
          </w:pPr>
          <w:r w:rsidRPr="000E3791">
            <w:rPr>
              <w:rStyle w:val="PlaceholderText"/>
            </w:rPr>
            <w:t>Choose an item.</w:t>
          </w:r>
        </w:p>
      </w:docPartBody>
    </w:docPart>
    <w:docPart>
      <w:docPartPr>
        <w:name w:val="2DC1312B70F74FA0860E38BB0E84A49C"/>
        <w:category>
          <w:name w:val="General"/>
          <w:gallery w:val="placeholder"/>
        </w:category>
        <w:types>
          <w:type w:val="bbPlcHdr"/>
        </w:types>
        <w:behaviors>
          <w:behavior w:val="content"/>
        </w:behaviors>
        <w:guid w:val="{4F83A857-F4BD-484F-BCBF-AEE5FC66B414}"/>
      </w:docPartPr>
      <w:docPartBody>
        <w:p w:rsidR="00464746" w:rsidRDefault="00ED03BC" w:rsidP="00ED03BC">
          <w:pPr>
            <w:pStyle w:val="2DC1312B70F74FA0860E38BB0E84A49C"/>
          </w:pPr>
          <w:r w:rsidRPr="000E3791">
            <w:rPr>
              <w:rStyle w:val="PlaceholderText"/>
            </w:rPr>
            <w:t>Choose an item.</w:t>
          </w:r>
        </w:p>
      </w:docPartBody>
    </w:docPart>
    <w:docPart>
      <w:docPartPr>
        <w:name w:val="7834084FE63541599E2A38657E70D469"/>
        <w:category>
          <w:name w:val="General"/>
          <w:gallery w:val="placeholder"/>
        </w:category>
        <w:types>
          <w:type w:val="bbPlcHdr"/>
        </w:types>
        <w:behaviors>
          <w:behavior w:val="content"/>
        </w:behaviors>
        <w:guid w:val="{208ECCFC-3D8D-4356-B1C9-40528A99061A}"/>
      </w:docPartPr>
      <w:docPartBody>
        <w:p w:rsidR="00464746" w:rsidRDefault="00ED03BC" w:rsidP="00ED03BC">
          <w:pPr>
            <w:pStyle w:val="7834084FE63541599E2A38657E70D469"/>
          </w:pPr>
          <w:r w:rsidRPr="000E379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hyphenationZone w:val="425"/>
  <w:characterSpacingControl w:val="doNotCompress"/>
  <w:compat>
    <w:useFELayout/>
  </w:compat>
  <w:rsids>
    <w:rsidRoot w:val="0072030F"/>
    <w:rsid w:val="00027D7D"/>
    <w:rsid w:val="002D3005"/>
    <w:rsid w:val="00392976"/>
    <w:rsid w:val="00464746"/>
    <w:rsid w:val="006A104E"/>
    <w:rsid w:val="0072030F"/>
    <w:rsid w:val="00E923C1"/>
    <w:rsid w:val="00ED03B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3B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0C8DE-0986-4515-A253-CE844F4AB05C}">
  <ds:schemaRefs>
    <ds:schemaRef ds:uri="http://schemas.openxmlformats.org/officeDocument/2006/bibliography"/>
  </ds:schemaRefs>
</ds:datastoreItem>
</file>

<file path=customXml/itemProps2.xml><?xml version="1.0" encoding="utf-8"?>
<ds:datastoreItem xmlns:ds="http://schemas.openxmlformats.org/officeDocument/2006/customXml" ds:itemID="{6E0D3286-A15A-4388-A92D-51C6BD3E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1160</Words>
  <Characters>6384</Characters>
  <Application>Microsoft Office Word</Application>
  <DocSecurity>8</DocSecurity>
  <Lines>53</Lines>
  <Paragraphs>15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7529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Henk Bruggeman</cp:lastModifiedBy>
  <cp:revision>2</cp:revision>
  <cp:lastPrinted>2014-05-08T16:06:00Z</cp:lastPrinted>
  <dcterms:created xsi:type="dcterms:W3CDTF">2015-02-18T11:36:00Z</dcterms:created>
  <dcterms:modified xsi:type="dcterms:W3CDTF">2015-02-18T11:36:00Z</dcterms:modified>
</cp:coreProperties>
</file>