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AA" w:rsidRPr="00E53A8C" w:rsidRDefault="00FD1FAA" w:rsidP="00FD1FAA">
      <w:pPr>
        <w:spacing w:before="0"/>
        <w:jc w:val="right"/>
        <w:rPr>
          <w:rFonts w:ascii="Arial" w:hAnsi="Arial" w:cs="Arial"/>
        </w:rPr>
      </w:pPr>
      <w:r w:rsidRPr="00E53A8C">
        <w:rPr>
          <w:rFonts w:ascii="Arial" w:hAnsi="Arial" w:cs="Arial"/>
        </w:rPr>
        <w:t>19 February 2015</w:t>
      </w:r>
    </w:p>
    <w:p w:rsidR="00FD1FAA" w:rsidRPr="00E53A8C" w:rsidRDefault="00FD1FAA" w:rsidP="00FD1FAA">
      <w:pPr>
        <w:spacing w:before="0"/>
        <w:jc w:val="both"/>
        <w:rPr>
          <w:rFonts w:ascii="Arial" w:hAnsi="Arial" w:cs="Arial"/>
        </w:rPr>
      </w:pPr>
    </w:p>
    <w:p w:rsidR="00FD1FAA" w:rsidRPr="00E53A8C" w:rsidRDefault="00FD1FAA" w:rsidP="00FD1FAA">
      <w:pPr>
        <w:spacing w:before="0"/>
        <w:jc w:val="both"/>
        <w:rPr>
          <w:rFonts w:ascii="Arial" w:hAnsi="Arial" w:cs="Arial"/>
        </w:rPr>
      </w:pPr>
      <w:r w:rsidRPr="00E53A8C">
        <w:rPr>
          <w:rFonts w:ascii="Arial" w:hAnsi="Arial" w:cs="Arial"/>
        </w:rPr>
        <w:t>ESMA</w:t>
      </w:r>
    </w:p>
    <w:p w:rsidR="00FD1FAA" w:rsidRPr="00E53A8C" w:rsidRDefault="00FD1FAA" w:rsidP="00FD1FAA">
      <w:pPr>
        <w:spacing w:before="0"/>
        <w:jc w:val="both"/>
        <w:rPr>
          <w:rFonts w:ascii="Arial" w:hAnsi="Arial" w:cs="Arial"/>
        </w:rPr>
      </w:pPr>
      <w:r w:rsidRPr="00E53A8C">
        <w:rPr>
          <w:rFonts w:ascii="Arial" w:hAnsi="Arial" w:cs="Arial"/>
        </w:rPr>
        <w:t>CS 60747</w:t>
      </w:r>
    </w:p>
    <w:p w:rsidR="00FD1FAA" w:rsidRPr="00E53A8C" w:rsidRDefault="00FD1FAA" w:rsidP="00FD1FAA">
      <w:pPr>
        <w:spacing w:before="0"/>
        <w:jc w:val="both"/>
        <w:rPr>
          <w:rFonts w:ascii="Arial" w:hAnsi="Arial" w:cs="Arial"/>
        </w:rPr>
      </w:pPr>
      <w:r w:rsidRPr="00E53A8C">
        <w:rPr>
          <w:rFonts w:ascii="Arial" w:hAnsi="Arial" w:cs="Arial"/>
        </w:rPr>
        <w:t xml:space="preserve">103 rue de </w:t>
      </w:r>
      <w:proofErr w:type="spellStart"/>
      <w:r w:rsidRPr="00E53A8C">
        <w:rPr>
          <w:rFonts w:ascii="Arial" w:hAnsi="Arial" w:cs="Arial"/>
        </w:rPr>
        <w:t>Grenelle</w:t>
      </w:r>
      <w:proofErr w:type="spellEnd"/>
    </w:p>
    <w:p w:rsidR="00FD1FAA" w:rsidRPr="00E53A8C" w:rsidRDefault="00FD1FAA" w:rsidP="00FD1FAA">
      <w:pPr>
        <w:spacing w:before="0"/>
        <w:jc w:val="both"/>
        <w:rPr>
          <w:rFonts w:ascii="Arial" w:hAnsi="Arial" w:cs="Arial"/>
        </w:rPr>
      </w:pPr>
      <w:r w:rsidRPr="00E53A8C">
        <w:rPr>
          <w:rFonts w:ascii="Arial" w:hAnsi="Arial" w:cs="Arial"/>
        </w:rPr>
        <w:t xml:space="preserve">75345 Paris </w:t>
      </w:r>
      <w:proofErr w:type="spellStart"/>
      <w:r w:rsidRPr="00E53A8C">
        <w:rPr>
          <w:rFonts w:ascii="Arial" w:hAnsi="Arial" w:cs="Arial"/>
        </w:rPr>
        <w:t>Cedex</w:t>
      </w:r>
      <w:proofErr w:type="spellEnd"/>
      <w:r w:rsidRPr="00E53A8C">
        <w:rPr>
          <w:rFonts w:ascii="Arial" w:hAnsi="Arial" w:cs="Arial"/>
        </w:rPr>
        <w:t xml:space="preserve"> 07</w:t>
      </w:r>
    </w:p>
    <w:p w:rsidR="00FD1FAA" w:rsidRPr="00E53A8C" w:rsidRDefault="00FD1FAA" w:rsidP="00FD1FAA">
      <w:pPr>
        <w:spacing w:before="0"/>
        <w:jc w:val="both"/>
        <w:rPr>
          <w:rFonts w:ascii="Arial" w:hAnsi="Arial" w:cs="Arial"/>
        </w:rPr>
      </w:pPr>
      <w:r w:rsidRPr="00E53A8C">
        <w:rPr>
          <w:rFonts w:ascii="Arial" w:hAnsi="Arial" w:cs="Arial"/>
        </w:rPr>
        <w:t>FRANCE</w:t>
      </w:r>
    </w:p>
    <w:p w:rsidR="00FD1FAA" w:rsidRPr="00E53A8C" w:rsidRDefault="00FD1FAA" w:rsidP="00FD1FAA">
      <w:pPr>
        <w:spacing w:before="0"/>
        <w:jc w:val="both"/>
        <w:rPr>
          <w:rFonts w:ascii="Arial" w:hAnsi="Arial" w:cs="Arial"/>
          <w:i/>
        </w:rPr>
      </w:pPr>
    </w:p>
    <w:p w:rsidR="00FD1FAA" w:rsidRPr="00E53A8C" w:rsidRDefault="00FD1FAA" w:rsidP="00FD1FAA">
      <w:pPr>
        <w:spacing w:before="0"/>
        <w:jc w:val="both"/>
        <w:rPr>
          <w:rFonts w:ascii="Arial" w:hAnsi="Arial" w:cs="Arial"/>
          <w:i/>
        </w:rPr>
      </w:pPr>
      <w:r w:rsidRPr="00E53A8C">
        <w:rPr>
          <w:rFonts w:ascii="Arial" w:hAnsi="Arial" w:cs="Arial"/>
          <w:i/>
        </w:rPr>
        <w:t>(</w:t>
      </w:r>
      <w:proofErr w:type="gramStart"/>
      <w:r w:rsidRPr="00E53A8C">
        <w:rPr>
          <w:rFonts w:ascii="Arial" w:hAnsi="Arial" w:cs="Arial"/>
          <w:i/>
        </w:rPr>
        <w:t>submitted</w:t>
      </w:r>
      <w:proofErr w:type="gramEnd"/>
      <w:r w:rsidRPr="00E53A8C">
        <w:rPr>
          <w:rFonts w:ascii="Arial" w:hAnsi="Arial" w:cs="Arial"/>
          <w:i/>
        </w:rPr>
        <w:t xml:space="preserve"> via ESMA website)</w:t>
      </w:r>
    </w:p>
    <w:p w:rsidR="00FD1FAA" w:rsidRPr="00E53A8C" w:rsidRDefault="00FD1FAA" w:rsidP="00FD1FAA">
      <w:pPr>
        <w:spacing w:before="0"/>
        <w:jc w:val="both"/>
        <w:rPr>
          <w:rFonts w:ascii="Arial" w:hAnsi="Arial" w:cs="Arial"/>
        </w:rPr>
      </w:pPr>
    </w:p>
    <w:p w:rsidR="00FD1FAA" w:rsidRPr="00E53A8C" w:rsidRDefault="00FD1FAA" w:rsidP="00FD1FAA">
      <w:pPr>
        <w:spacing w:before="0"/>
        <w:jc w:val="both"/>
        <w:rPr>
          <w:rFonts w:ascii="Arial" w:hAnsi="Arial" w:cs="Arial"/>
          <w:b/>
        </w:rPr>
      </w:pPr>
    </w:p>
    <w:p w:rsidR="00FD1FAA" w:rsidRPr="00E53A8C" w:rsidRDefault="00FD1FAA" w:rsidP="00FD1FAA">
      <w:pPr>
        <w:spacing w:before="0"/>
        <w:jc w:val="both"/>
        <w:rPr>
          <w:rFonts w:ascii="Arial" w:hAnsi="Arial" w:cs="Arial"/>
          <w:b/>
        </w:rPr>
      </w:pPr>
    </w:p>
    <w:p w:rsidR="00FD1FAA" w:rsidRPr="00E53A8C" w:rsidRDefault="00FD1FAA" w:rsidP="00FD1FAA">
      <w:pPr>
        <w:spacing w:before="0"/>
        <w:rPr>
          <w:rFonts w:ascii="Arial" w:hAnsi="Arial" w:cs="Arial"/>
          <w:b/>
        </w:rPr>
      </w:pPr>
      <w:r w:rsidRPr="00E53A8C">
        <w:rPr>
          <w:rFonts w:ascii="Arial" w:hAnsi="Arial" w:cs="Arial"/>
          <w:b/>
        </w:rPr>
        <w:t xml:space="preserve">Re: </w:t>
      </w:r>
      <w:r w:rsidR="00BF19D8" w:rsidRPr="00E53A8C">
        <w:rPr>
          <w:rFonts w:ascii="Arial" w:hAnsi="Arial" w:cs="Arial"/>
          <w:b/>
        </w:rPr>
        <w:t xml:space="preserve">BNY Mellon CSD response on the ESMA Technical Standards under the CSD Regulation </w:t>
      </w:r>
      <w:r w:rsidRPr="00E53A8C">
        <w:rPr>
          <w:rFonts w:ascii="Arial" w:hAnsi="Arial" w:cs="Arial"/>
          <w:b/>
        </w:rPr>
        <w:t>(ESMA/2014/1563)</w:t>
      </w:r>
    </w:p>
    <w:p w:rsidR="00FD1FAA" w:rsidRPr="00E53A8C" w:rsidRDefault="00FD1FAA" w:rsidP="00FD1FAA">
      <w:pPr>
        <w:spacing w:before="0"/>
        <w:jc w:val="both"/>
        <w:rPr>
          <w:rFonts w:ascii="Arial" w:hAnsi="Arial" w:cs="Arial"/>
          <w:b/>
          <w:u w:val="single"/>
        </w:rPr>
      </w:pPr>
    </w:p>
    <w:p w:rsidR="00FD1FAA" w:rsidRPr="00E53A8C" w:rsidRDefault="00FD1FAA" w:rsidP="00FD1FAA">
      <w:pPr>
        <w:spacing w:before="0"/>
        <w:jc w:val="both"/>
        <w:rPr>
          <w:rFonts w:ascii="Arial" w:hAnsi="Arial" w:cs="Arial"/>
          <w:b/>
          <w:u w:val="single"/>
        </w:rPr>
      </w:pPr>
    </w:p>
    <w:p w:rsidR="00FD1FAA" w:rsidRPr="00E53A8C" w:rsidRDefault="00FD1FAA" w:rsidP="00FD1FAA">
      <w:pPr>
        <w:spacing w:before="0"/>
        <w:jc w:val="both"/>
        <w:rPr>
          <w:rFonts w:ascii="Arial" w:hAnsi="Arial" w:cs="Arial"/>
          <w:b/>
          <w:u w:val="single"/>
        </w:rPr>
      </w:pPr>
      <w:r w:rsidRPr="00E53A8C">
        <w:rPr>
          <w:rFonts w:ascii="Arial" w:hAnsi="Arial" w:cs="Arial"/>
          <w:b/>
          <w:u w:val="single"/>
        </w:rPr>
        <w:t>Introduction</w:t>
      </w:r>
    </w:p>
    <w:p w:rsidR="00FD1FAA" w:rsidRPr="00E53A8C" w:rsidRDefault="00FD1FAA" w:rsidP="00FD1FAA">
      <w:pPr>
        <w:spacing w:before="0"/>
        <w:jc w:val="both"/>
        <w:rPr>
          <w:rFonts w:ascii="Arial" w:hAnsi="Arial" w:cs="Arial"/>
        </w:rPr>
      </w:pPr>
    </w:p>
    <w:p w:rsidR="00BF19D8" w:rsidRPr="00D06009" w:rsidRDefault="00BF19D8" w:rsidP="00FD1FAA">
      <w:pPr>
        <w:spacing w:before="0"/>
        <w:jc w:val="both"/>
        <w:rPr>
          <w:rFonts w:ascii="Arial" w:hAnsi="Arial" w:cs="Arial"/>
        </w:rPr>
      </w:pPr>
      <w:r w:rsidRPr="00E53A8C">
        <w:rPr>
          <w:rFonts w:ascii="Arial" w:hAnsi="Arial" w:cs="Arial"/>
        </w:rPr>
        <w:t>BNY Mellon CSD would like to thank the ESMA for the opp</w:t>
      </w:r>
      <w:r w:rsidR="00591649">
        <w:rPr>
          <w:rFonts w:ascii="Arial" w:hAnsi="Arial" w:cs="Arial"/>
        </w:rPr>
        <w:t>ortunity it is given to comment</w:t>
      </w:r>
      <w:r w:rsidRPr="00E53A8C">
        <w:rPr>
          <w:rFonts w:ascii="Arial" w:hAnsi="Arial" w:cs="Arial"/>
        </w:rPr>
        <w:t xml:space="preserve"> on the work undertaken by the ESMA with respect to the Technical Standards ESMA has been required to draft under the CSDR.</w:t>
      </w:r>
      <w:r w:rsidR="00846FE2" w:rsidRPr="00E53A8C">
        <w:rPr>
          <w:rFonts w:ascii="Arial" w:hAnsi="Arial" w:cs="Arial"/>
        </w:rPr>
        <w:t xml:space="preserve"> </w:t>
      </w:r>
      <w:r w:rsidRPr="00E53A8C">
        <w:rPr>
          <w:rFonts w:ascii="Arial" w:hAnsi="Arial" w:cs="Arial"/>
        </w:rPr>
        <w:t>We hope that our contribution will be helpful to the ESMA in understanding where and why BNY Mellon CSD is supportive of the ESMA proposed approach and where BNY Mellon CSD wants to draw the ESMA attention to concerns/point of attention.</w:t>
      </w:r>
    </w:p>
    <w:p w:rsidR="00D06009" w:rsidRDefault="00D06009" w:rsidP="00BF19D8">
      <w:pPr>
        <w:spacing w:before="0"/>
        <w:jc w:val="both"/>
        <w:rPr>
          <w:rFonts w:ascii="Arial" w:hAnsi="Arial" w:cs="Arial"/>
          <w:b/>
          <w:u w:val="single"/>
        </w:rPr>
      </w:pPr>
    </w:p>
    <w:p w:rsidR="00D27291" w:rsidRPr="00D27291" w:rsidRDefault="00D27291" w:rsidP="00BF19D8">
      <w:pPr>
        <w:spacing w:before="0"/>
        <w:jc w:val="both"/>
        <w:rPr>
          <w:rFonts w:ascii="Arial" w:hAnsi="Arial" w:cs="Arial"/>
          <w:b/>
          <w:u w:val="single"/>
        </w:rPr>
      </w:pPr>
      <w:r w:rsidRPr="00D27291">
        <w:rPr>
          <w:rFonts w:ascii="Arial" w:hAnsi="Arial" w:cs="Arial"/>
          <w:b/>
          <w:u w:val="single"/>
        </w:rPr>
        <w:t xml:space="preserve">BNY Mellon </w:t>
      </w:r>
      <w:proofErr w:type="spellStart"/>
      <w:r w:rsidRPr="00D27291">
        <w:rPr>
          <w:rFonts w:ascii="Arial" w:hAnsi="Arial" w:cs="Arial"/>
          <w:b/>
          <w:u w:val="single"/>
        </w:rPr>
        <w:t>CSD</w:t>
      </w:r>
      <w:proofErr w:type="spellEnd"/>
    </w:p>
    <w:p w:rsidR="00D27291" w:rsidRDefault="00D27291" w:rsidP="00BF19D8">
      <w:pPr>
        <w:spacing w:before="0"/>
        <w:jc w:val="both"/>
        <w:rPr>
          <w:rFonts w:ascii="Arial" w:hAnsi="Arial" w:cs="Arial"/>
        </w:rPr>
      </w:pPr>
    </w:p>
    <w:p w:rsidR="00BF19D8" w:rsidRPr="00E53A8C" w:rsidRDefault="00BF19D8" w:rsidP="00BF19D8">
      <w:pPr>
        <w:spacing w:before="0"/>
        <w:jc w:val="both"/>
        <w:rPr>
          <w:rFonts w:ascii="Arial" w:hAnsi="Arial" w:cs="Arial"/>
        </w:rPr>
      </w:pPr>
      <w:r w:rsidRPr="00E53A8C">
        <w:rPr>
          <w:rFonts w:ascii="Arial" w:hAnsi="Arial" w:cs="Arial"/>
        </w:rPr>
        <w:t xml:space="preserve">BNY Mellon CSD is a separate and fully-owned subsidiary of The Bank of New York Mellon Corporation, a company registered in Delaware, </w:t>
      </w:r>
      <w:r w:rsidR="00846FE2" w:rsidRPr="00E53A8C">
        <w:rPr>
          <w:rFonts w:ascii="Arial" w:hAnsi="Arial" w:cs="Arial"/>
        </w:rPr>
        <w:t xml:space="preserve">US as Non-banking Corporation. </w:t>
      </w:r>
      <w:r w:rsidRPr="00E53A8C">
        <w:rPr>
          <w:rFonts w:ascii="Arial" w:hAnsi="Arial" w:cs="Arial"/>
        </w:rPr>
        <w:t xml:space="preserve">Its purpose is be </w:t>
      </w:r>
      <w:proofErr w:type="spellStart"/>
      <w:r w:rsidRPr="00E53A8C">
        <w:rPr>
          <w:rFonts w:ascii="Arial" w:hAnsi="Arial" w:cs="Arial"/>
        </w:rPr>
        <w:t>authorised</w:t>
      </w:r>
      <w:proofErr w:type="spellEnd"/>
      <w:r w:rsidRPr="00E53A8C">
        <w:rPr>
          <w:rFonts w:ascii="Arial" w:hAnsi="Arial" w:cs="Arial"/>
        </w:rPr>
        <w:t xml:space="preserve"> as a Central Securities Depository and also operate a Securities Settlement System specifically for supplying notary, settlement and safe keeping services, initially under commercial bank money and in the future offering central bank money settlement of transactions.</w:t>
      </w:r>
    </w:p>
    <w:p w:rsidR="00BF19D8" w:rsidRPr="00E53A8C" w:rsidRDefault="00BF19D8" w:rsidP="00BF19D8">
      <w:pPr>
        <w:spacing w:before="0"/>
        <w:jc w:val="both"/>
        <w:rPr>
          <w:rFonts w:ascii="Arial" w:hAnsi="Arial" w:cs="Arial"/>
        </w:rPr>
      </w:pPr>
    </w:p>
    <w:p w:rsidR="00BF19D8" w:rsidRPr="00E53A8C" w:rsidRDefault="00BF19D8" w:rsidP="00BF19D8">
      <w:pPr>
        <w:spacing w:before="0"/>
        <w:jc w:val="both"/>
        <w:rPr>
          <w:rFonts w:ascii="Arial" w:hAnsi="Arial" w:cs="Arial"/>
        </w:rPr>
      </w:pPr>
      <w:r w:rsidRPr="00E53A8C">
        <w:rPr>
          <w:rFonts w:ascii="Arial" w:hAnsi="Arial" w:cs="Arial"/>
        </w:rPr>
        <w:t xml:space="preserve">BNY Mellon CSD performs its activities of CSD under the Belgian legal framework, after its approval as a CSD under section 1.1 of Royal Decree no. 62 and the designation of the Securities Settlement System operated by BNY Mellon CSD under section 2, §5 of the Act of 28 April 1999 implementing 1998/26/EC Directive on Settlement Finality in payment and </w:t>
      </w:r>
      <w:r w:rsidR="00846FE2" w:rsidRPr="00E53A8C">
        <w:rPr>
          <w:rFonts w:ascii="Arial" w:hAnsi="Arial" w:cs="Arial"/>
        </w:rPr>
        <w:t xml:space="preserve">securities settlement systems. </w:t>
      </w:r>
      <w:r w:rsidRPr="00E53A8C">
        <w:rPr>
          <w:rFonts w:ascii="Arial" w:hAnsi="Arial" w:cs="Arial"/>
        </w:rPr>
        <w:t xml:space="preserve">BNY Mellon CSD SA/NV was officially established in December 2012 and the first Royal Decree, that </w:t>
      </w:r>
      <w:proofErr w:type="spellStart"/>
      <w:r w:rsidRPr="00E53A8C">
        <w:rPr>
          <w:rFonts w:ascii="Arial" w:hAnsi="Arial" w:cs="Arial"/>
        </w:rPr>
        <w:t>recognises</w:t>
      </w:r>
      <w:proofErr w:type="spellEnd"/>
      <w:r w:rsidRPr="00E53A8C">
        <w:rPr>
          <w:rFonts w:ascii="Arial" w:hAnsi="Arial" w:cs="Arial"/>
        </w:rPr>
        <w:t xml:space="preserve"> BNY Mellon </w:t>
      </w:r>
      <w:proofErr w:type="spellStart"/>
      <w:r w:rsidRPr="00E53A8C">
        <w:rPr>
          <w:rFonts w:ascii="Arial" w:hAnsi="Arial" w:cs="Arial"/>
        </w:rPr>
        <w:t>CSD</w:t>
      </w:r>
      <w:proofErr w:type="spellEnd"/>
      <w:r w:rsidRPr="00E53A8C">
        <w:rPr>
          <w:rFonts w:ascii="Arial" w:hAnsi="Arial" w:cs="Arial"/>
        </w:rPr>
        <w:t xml:space="preserve"> as a Belgian CSD, was disclosed as well in December 2012</w:t>
      </w:r>
      <w:r w:rsidR="00D67E57" w:rsidRPr="00E53A8C">
        <w:rPr>
          <w:rFonts w:ascii="Arial" w:hAnsi="Arial" w:cs="Arial"/>
        </w:rPr>
        <w:t>.</w:t>
      </w:r>
    </w:p>
    <w:p w:rsidR="00D06009" w:rsidRDefault="00D06009" w:rsidP="00BF19D8">
      <w:pPr>
        <w:spacing w:before="0"/>
        <w:jc w:val="both"/>
        <w:rPr>
          <w:rFonts w:ascii="Arial" w:hAnsi="Arial" w:cs="Arial"/>
          <w:b/>
          <w:u w:val="single"/>
        </w:rPr>
      </w:pPr>
    </w:p>
    <w:p w:rsidR="00D67E57" w:rsidRPr="00E53A8C" w:rsidRDefault="00D67E57" w:rsidP="00BF19D8">
      <w:pPr>
        <w:spacing w:before="0"/>
        <w:jc w:val="both"/>
        <w:rPr>
          <w:rFonts w:ascii="Arial" w:hAnsi="Arial" w:cs="Arial"/>
          <w:b/>
          <w:u w:val="single"/>
        </w:rPr>
      </w:pPr>
      <w:r w:rsidRPr="00E53A8C">
        <w:rPr>
          <w:rFonts w:ascii="Arial" w:hAnsi="Arial" w:cs="Arial"/>
          <w:b/>
          <w:u w:val="single"/>
        </w:rPr>
        <w:t>Our Approach to Responding to this Consultation</w:t>
      </w:r>
    </w:p>
    <w:p w:rsidR="00D67E57" w:rsidRPr="00E53A8C" w:rsidRDefault="00D67E57" w:rsidP="00BF19D8">
      <w:pPr>
        <w:spacing w:before="0"/>
        <w:jc w:val="both"/>
        <w:rPr>
          <w:rFonts w:ascii="Arial" w:hAnsi="Arial" w:cs="Arial"/>
        </w:rPr>
      </w:pPr>
    </w:p>
    <w:p w:rsidR="00AF07E4" w:rsidRPr="000310E2" w:rsidRDefault="00AF07E4" w:rsidP="00AF07E4">
      <w:pPr>
        <w:spacing w:before="0"/>
        <w:jc w:val="both"/>
        <w:rPr>
          <w:rFonts w:ascii="Arial" w:eastAsia="Arial" w:hAnsi="Arial" w:cs="Times New Roman"/>
        </w:rPr>
      </w:pPr>
      <w:r w:rsidRPr="000310E2">
        <w:rPr>
          <w:rFonts w:ascii="Arial" w:eastAsia="Arial" w:hAnsi="Arial" w:cs="Times New Roman"/>
        </w:rPr>
        <w:t>The BNY Mellon group is submitting two separate responses to this Consultation Paper. This response focuses on issues that relate directly to BNY Mellon CSD as a CSD; there is a separate BNY Mellon response that focuses more on issues that relate to BNY Mellon as an intermediary.</w:t>
      </w:r>
    </w:p>
    <w:p w:rsidR="00FD1FAA" w:rsidRPr="000310E2" w:rsidRDefault="00FD1FAA" w:rsidP="00FD1FAA">
      <w:pPr>
        <w:spacing w:before="0"/>
        <w:jc w:val="both"/>
        <w:rPr>
          <w:rFonts w:ascii="Arial" w:hAnsi="Arial" w:cs="Arial"/>
        </w:rPr>
      </w:pPr>
    </w:p>
    <w:p w:rsidR="00AF07E4" w:rsidRPr="000310E2" w:rsidRDefault="00AF07E4" w:rsidP="00AF07E4">
      <w:pPr>
        <w:spacing w:before="0"/>
        <w:jc w:val="both"/>
        <w:rPr>
          <w:rFonts w:ascii="Arial" w:eastAsia="Arial" w:hAnsi="Arial" w:cs="Times New Roman"/>
        </w:rPr>
      </w:pPr>
      <w:r w:rsidRPr="000310E2">
        <w:rPr>
          <w:rFonts w:ascii="Arial" w:eastAsia="Arial" w:hAnsi="Arial" w:cs="Times New Roman"/>
        </w:rPr>
        <w:t xml:space="preserve">BNY Mellon CSD </w:t>
      </w:r>
      <w:r w:rsidR="00B06C5F" w:rsidRPr="000310E2">
        <w:rPr>
          <w:rFonts w:ascii="Arial" w:eastAsia="Arial" w:hAnsi="Arial" w:cs="Times New Roman"/>
        </w:rPr>
        <w:t xml:space="preserve">is a member of the T2S Advisory Group, which has also submitted a response. BNY Mellon CSD </w:t>
      </w:r>
      <w:r w:rsidRPr="000310E2">
        <w:rPr>
          <w:rFonts w:ascii="Arial" w:eastAsia="Arial" w:hAnsi="Arial" w:cs="Times New Roman"/>
        </w:rPr>
        <w:t xml:space="preserve">has also </w:t>
      </w:r>
      <w:r w:rsidR="00B06C5F" w:rsidRPr="000310E2">
        <w:rPr>
          <w:rFonts w:ascii="Arial" w:eastAsia="Arial" w:hAnsi="Arial" w:cs="Times New Roman"/>
        </w:rPr>
        <w:t xml:space="preserve">contributed </w:t>
      </w:r>
      <w:r w:rsidRPr="000310E2">
        <w:rPr>
          <w:rFonts w:ascii="Arial" w:eastAsia="Arial" w:hAnsi="Arial" w:cs="Times New Roman"/>
        </w:rPr>
        <w:t>to the ECSDA response</w:t>
      </w:r>
      <w:r w:rsidR="00B06C5F" w:rsidRPr="000310E2">
        <w:rPr>
          <w:rFonts w:ascii="Arial" w:eastAsia="Arial" w:hAnsi="Arial" w:cs="Times New Roman"/>
        </w:rPr>
        <w:t>.</w:t>
      </w:r>
    </w:p>
    <w:p w:rsidR="004E32F3" w:rsidRPr="000310E2" w:rsidRDefault="004E32F3" w:rsidP="00FD1FAA">
      <w:pPr>
        <w:spacing w:before="0"/>
        <w:jc w:val="both"/>
        <w:rPr>
          <w:rFonts w:ascii="Arial" w:hAnsi="Arial" w:cs="Arial"/>
          <w:b/>
          <w:u w:val="single"/>
        </w:rPr>
      </w:pPr>
    </w:p>
    <w:p w:rsidR="00D67E57" w:rsidRPr="000310E2" w:rsidRDefault="00FE1CD9" w:rsidP="00FD1FAA">
      <w:pPr>
        <w:spacing w:before="0"/>
        <w:jc w:val="both"/>
        <w:rPr>
          <w:rFonts w:ascii="Arial" w:hAnsi="Arial" w:cs="Arial"/>
          <w:b/>
          <w:u w:val="single"/>
        </w:rPr>
      </w:pPr>
      <w:r w:rsidRPr="000310E2">
        <w:rPr>
          <w:rFonts w:ascii="Arial" w:hAnsi="Arial" w:cs="Arial"/>
          <w:b/>
          <w:u w:val="single"/>
        </w:rPr>
        <w:t>Main High Level Comments</w:t>
      </w:r>
    </w:p>
    <w:p w:rsidR="00BF19D8" w:rsidRPr="000310E2" w:rsidRDefault="00BF19D8" w:rsidP="00FD1FAA">
      <w:pPr>
        <w:spacing w:before="0"/>
        <w:jc w:val="both"/>
        <w:rPr>
          <w:rFonts w:ascii="Arial" w:hAnsi="Arial" w:cs="Arial"/>
          <w:b/>
          <w:u w:val="single"/>
        </w:rPr>
      </w:pPr>
    </w:p>
    <w:p w:rsidR="00FE1CD9" w:rsidRPr="000310E2" w:rsidRDefault="00FE1CD9" w:rsidP="00BF19D8">
      <w:pPr>
        <w:spacing w:before="0"/>
        <w:jc w:val="both"/>
        <w:rPr>
          <w:rFonts w:ascii="Arial" w:hAnsi="Arial" w:cs="Arial"/>
        </w:rPr>
      </w:pPr>
      <w:r w:rsidRPr="000310E2">
        <w:rPr>
          <w:rFonts w:ascii="Arial" w:hAnsi="Arial" w:cs="Arial"/>
        </w:rPr>
        <w:t xml:space="preserve">BNY Mellon </w:t>
      </w:r>
      <w:r w:rsidR="00F20AC1" w:rsidRPr="000310E2">
        <w:rPr>
          <w:rFonts w:ascii="Arial" w:hAnsi="Arial" w:cs="Arial"/>
        </w:rPr>
        <w:t xml:space="preserve">CSD </w:t>
      </w:r>
      <w:r w:rsidRPr="000310E2">
        <w:rPr>
          <w:rFonts w:ascii="Arial" w:hAnsi="Arial" w:cs="Arial"/>
        </w:rPr>
        <w:t>makes the following general comments in regard to this consultation paper, as this supports the approach we have taken in responding to the specific questions asked by ESMA.</w:t>
      </w:r>
    </w:p>
    <w:p w:rsidR="00FE1CD9" w:rsidRPr="000310E2" w:rsidRDefault="00FE1CD9" w:rsidP="00BF19D8">
      <w:pPr>
        <w:spacing w:before="0"/>
        <w:jc w:val="both"/>
        <w:rPr>
          <w:rFonts w:ascii="Arial" w:hAnsi="Arial" w:cs="Arial"/>
        </w:rPr>
      </w:pPr>
    </w:p>
    <w:p w:rsidR="00B06C5F" w:rsidRPr="000310E2" w:rsidRDefault="00BF19D8" w:rsidP="00BF19D8">
      <w:pPr>
        <w:spacing w:before="0"/>
        <w:jc w:val="both"/>
        <w:rPr>
          <w:rFonts w:ascii="Arial" w:hAnsi="Arial" w:cs="Arial"/>
        </w:rPr>
      </w:pPr>
      <w:r w:rsidRPr="000310E2">
        <w:rPr>
          <w:rFonts w:ascii="Arial" w:hAnsi="Arial" w:cs="Arial"/>
        </w:rPr>
        <w:lastRenderedPageBreak/>
        <w:t>CSDR</w:t>
      </w:r>
      <w:r w:rsidR="00B06C5F" w:rsidRPr="000310E2">
        <w:rPr>
          <w:rFonts w:ascii="Arial" w:hAnsi="Arial" w:cs="Arial"/>
        </w:rPr>
        <w:t>, both the level 1 text, and the more detailed level 2 implementing measures, are, by the nature of what they cover, of critical importance to BNY Mellon CSD.</w:t>
      </w:r>
    </w:p>
    <w:p w:rsidR="00B06C5F" w:rsidRPr="000310E2" w:rsidRDefault="00B06C5F" w:rsidP="00BF19D8">
      <w:pPr>
        <w:spacing w:before="0"/>
        <w:jc w:val="both"/>
        <w:rPr>
          <w:rFonts w:ascii="Arial" w:hAnsi="Arial" w:cs="Arial"/>
        </w:rPr>
      </w:pPr>
    </w:p>
    <w:p w:rsidR="00F20AC1" w:rsidRPr="000310E2" w:rsidRDefault="00B06C5F" w:rsidP="00BF19D8">
      <w:pPr>
        <w:spacing w:before="0"/>
        <w:jc w:val="both"/>
        <w:rPr>
          <w:rFonts w:ascii="Arial" w:hAnsi="Arial" w:cs="Arial"/>
        </w:rPr>
      </w:pPr>
      <w:r w:rsidRPr="000310E2">
        <w:rPr>
          <w:rFonts w:ascii="Arial" w:hAnsi="Arial" w:cs="Arial"/>
        </w:rPr>
        <w:t xml:space="preserve">BNY Mellon CSD </w:t>
      </w:r>
      <w:r w:rsidR="009A2A42" w:rsidRPr="000310E2">
        <w:rPr>
          <w:rFonts w:ascii="Arial" w:hAnsi="Arial" w:cs="Arial"/>
        </w:rPr>
        <w:t xml:space="preserve">believes that </w:t>
      </w:r>
      <w:r w:rsidRPr="000310E2">
        <w:rPr>
          <w:rFonts w:ascii="Arial" w:hAnsi="Arial" w:cs="Arial"/>
        </w:rPr>
        <w:t xml:space="preserve">CSDR </w:t>
      </w:r>
      <w:r w:rsidR="009A2A42" w:rsidRPr="000310E2">
        <w:rPr>
          <w:rFonts w:ascii="Arial" w:hAnsi="Arial" w:cs="Arial"/>
        </w:rPr>
        <w:t xml:space="preserve">is absolutely necessary European legislation, </w:t>
      </w:r>
      <w:r w:rsidR="00F20AC1" w:rsidRPr="000310E2">
        <w:rPr>
          <w:rFonts w:ascii="Arial" w:hAnsi="Arial" w:cs="Arial"/>
        </w:rPr>
        <w:t xml:space="preserve">both because </w:t>
      </w:r>
      <w:r w:rsidR="009A2A42" w:rsidRPr="000310E2">
        <w:rPr>
          <w:rFonts w:ascii="Arial" w:hAnsi="Arial" w:cs="Arial"/>
        </w:rPr>
        <w:t>it ensures common standards and requirements across all CSDs in Europe</w:t>
      </w:r>
      <w:r w:rsidR="00F20AC1" w:rsidRPr="000310E2">
        <w:rPr>
          <w:rFonts w:ascii="Arial" w:hAnsi="Arial" w:cs="Arial"/>
        </w:rPr>
        <w:t>, and because it complements the T2S project</w:t>
      </w:r>
      <w:r w:rsidR="009A2A42" w:rsidRPr="000310E2">
        <w:rPr>
          <w:rFonts w:ascii="Arial" w:hAnsi="Arial" w:cs="Arial"/>
        </w:rPr>
        <w:t>.</w:t>
      </w:r>
    </w:p>
    <w:p w:rsidR="00F20AC1" w:rsidRPr="000310E2" w:rsidRDefault="00F20AC1" w:rsidP="00BF19D8">
      <w:pPr>
        <w:spacing w:before="0"/>
        <w:jc w:val="both"/>
        <w:rPr>
          <w:rFonts w:ascii="Arial" w:hAnsi="Arial" w:cs="Arial"/>
        </w:rPr>
      </w:pPr>
    </w:p>
    <w:p w:rsidR="00F20AC1" w:rsidRPr="000310E2" w:rsidRDefault="00F20AC1" w:rsidP="00BF19D8">
      <w:pPr>
        <w:spacing w:before="0"/>
        <w:jc w:val="both"/>
        <w:rPr>
          <w:rFonts w:ascii="Arial" w:hAnsi="Arial" w:cs="Arial"/>
        </w:rPr>
      </w:pPr>
      <w:r w:rsidRPr="000310E2">
        <w:rPr>
          <w:rFonts w:ascii="Arial" w:hAnsi="Arial" w:cs="Arial"/>
        </w:rPr>
        <w:t>A key aspect of CSDR and T2S is that both projects contribute to systemic stability and safety, and both projects also open up European securities markets, and allow issuers and investors access to a broader range of service providers.</w:t>
      </w:r>
    </w:p>
    <w:p w:rsidR="00F20AC1" w:rsidRPr="000310E2" w:rsidRDefault="00F20AC1" w:rsidP="00BF19D8">
      <w:pPr>
        <w:spacing w:before="0"/>
        <w:jc w:val="both"/>
        <w:rPr>
          <w:rFonts w:ascii="Arial" w:hAnsi="Arial" w:cs="Arial"/>
        </w:rPr>
      </w:pPr>
    </w:p>
    <w:p w:rsidR="00F20AC1" w:rsidRPr="000310E2" w:rsidRDefault="00F20AC1" w:rsidP="00BF19D8">
      <w:pPr>
        <w:spacing w:before="0"/>
        <w:jc w:val="both"/>
        <w:rPr>
          <w:rFonts w:ascii="Arial" w:hAnsi="Arial" w:cs="Arial"/>
        </w:rPr>
      </w:pPr>
      <w:r w:rsidRPr="000310E2">
        <w:rPr>
          <w:rFonts w:ascii="Arial" w:hAnsi="Arial" w:cs="Arial"/>
        </w:rPr>
        <w:t xml:space="preserve">BNY Mellon CSD believes that the CSDR aspects of market-opening, and of lowering barriers to new entrants, need to be fully realized in the </w:t>
      </w:r>
      <w:r w:rsidR="00E66005" w:rsidRPr="000310E2">
        <w:rPr>
          <w:rFonts w:ascii="Arial" w:hAnsi="Arial" w:cs="Arial"/>
        </w:rPr>
        <w:t>level 2 implementing measures.</w:t>
      </w:r>
    </w:p>
    <w:p w:rsidR="00E66005" w:rsidRPr="000310E2" w:rsidRDefault="00E66005" w:rsidP="00BF19D8">
      <w:pPr>
        <w:spacing w:before="0"/>
        <w:jc w:val="both"/>
        <w:rPr>
          <w:rFonts w:ascii="Arial" w:hAnsi="Arial" w:cs="Arial"/>
        </w:rPr>
      </w:pPr>
    </w:p>
    <w:p w:rsidR="00E66005" w:rsidRPr="000310E2" w:rsidRDefault="00E66005" w:rsidP="00BF19D8">
      <w:pPr>
        <w:spacing w:before="0"/>
        <w:jc w:val="both"/>
        <w:rPr>
          <w:rFonts w:ascii="Arial" w:hAnsi="Arial" w:cs="Arial"/>
        </w:rPr>
      </w:pPr>
      <w:r w:rsidRPr="000310E2">
        <w:rPr>
          <w:rFonts w:ascii="Arial" w:hAnsi="Arial" w:cs="Arial"/>
        </w:rPr>
        <w:t>BNY Mellon CSD believes that several elements of the proposals are unnecessarily restrictive, would have the effect of limiting market access, and would have the effect of reducing the efficiency of the core service offering of CSDs.</w:t>
      </w:r>
    </w:p>
    <w:p w:rsidR="00E66005" w:rsidRPr="000310E2" w:rsidRDefault="00E66005" w:rsidP="00BF19D8">
      <w:pPr>
        <w:spacing w:before="0"/>
        <w:jc w:val="both"/>
        <w:rPr>
          <w:rFonts w:ascii="Arial" w:hAnsi="Arial" w:cs="Arial"/>
        </w:rPr>
      </w:pPr>
    </w:p>
    <w:p w:rsidR="00E66005" w:rsidRPr="000310E2" w:rsidRDefault="00E66005" w:rsidP="00BF19D8">
      <w:pPr>
        <w:spacing w:before="0"/>
        <w:jc w:val="both"/>
        <w:rPr>
          <w:rFonts w:ascii="Arial" w:hAnsi="Arial" w:cs="Arial"/>
        </w:rPr>
      </w:pPr>
      <w:r w:rsidRPr="000310E2">
        <w:rPr>
          <w:rFonts w:ascii="Arial" w:hAnsi="Arial" w:cs="Arial"/>
        </w:rPr>
        <w:t xml:space="preserve">In this context, BNY Mellon CSD notes in particular the proposals relating to the role of CSDs in the buy-in process.  </w:t>
      </w:r>
    </w:p>
    <w:p w:rsidR="00FD1FAA" w:rsidRPr="000310E2" w:rsidRDefault="00FD1FAA" w:rsidP="00FD1FAA">
      <w:pPr>
        <w:spacing w:before="0"/>
        <w:jc w:val="both"/>
        <w:rPr>
          <w:rFonts w:ascii="Arial" w:hAnsi="Arial" w:cs="Arial"/>
        </w:rPr>
      </w:pPr>
    </w:p>
    <w:p w:rsidR="00FD1FAA" w:rsidRPr="000310E2" w:rsidRDefault="00FD1FAA" w:rsidP="00FD1FAA">
      <w:pPr>
        <w:spacing w:before="0"/>
        <w:jc w:val="both"/>
        <w:rPr>
          <w:rFonts w:ascii="Arial" w:hAnsi="Arial" w:cs="Arial"/>
          <w:b/>
          <w:u w:val="single"/>
        </w:rPr>
      </w:pPr>
      <w:r w:rsidRPr="000310E2">
        <w:rPr>
          <w:rFonts w:ascii="Arial" w:hAnsi="Arial" w:cs="Arial"/>
          <w:b/>
          <w:u w:val="single"/>
        </w:rPr>
        <w:t>Responses to Specific Questions</w:t>
      </w:r>
    </w:p>
    <w:p w:rsidR="00FD1FAA" w:rsidRPr="000310E2" w:rsidRDefault="00FD1FAA" w:rsidP="00FD1FAA">
      <w:pPr>
        <w:spacing w:before="0"/>
        <w:jc w:val="both"/>
        <w:rPr>
          <w:rFonts w:ascii="Arial" w:hAnsi="Arial" w:cs="Arial"/>
        </w:rPr>
      </w:pPr>
    </w:p>
    <w:p w:rsidR="00FD1FAA" w:rsidRPr="000310E2" w:rsidRDefault="00DD1984" w:rsidP="00FD1FAA">
      <w:pPr>
        <w:spacing w:before="0"/>
        <w:jc w:val="both"/>
        <w:rPr>
          <w:rFonts w:ascii="Arial" w:hAnsi="Arial" w:cs="Arial"/>
        </w:rPr>
      </w:pPr>
      <w:r w:rsidRPr="000310E2">
        <w:rPr>
          <w:rFonts w:ascii="Arial" w:hAnsi="Arial" w:cs="Arial"/>
        </w:rPr>
        <w:t xml:space="preserve">BNY Mellon is responding to ESMA using ESMA’s “Form to Reply” document, which we are submitting online. However, for convenience, our responses to questions are also contained in this document in </w:t>
      </w:r>
      <w:r w:rsidRPr="000310E2">
        <w:rPr>
          <w:rFonts w:ascii="Arial" w:hAnsi="Arial" w:cs="Arial"/>
          <w:b/>
        </w:rPr>
        <w:t>Annex 1</w:t>
      </w:r>
      <w:r w:rsidRPr="000310E2">
        <w:rPr>
          <w:rFonts w:ascii="Arial" w:hAnsi="Arial" w:cs="Arial"/>
        </w:rPr>
        <w:t xml:space="preserve"> below.</w:t>
      </w:r>
    </w:p>
    <w:p w:rsidR="00FD1FAA" w:rsidRPr="000310E2" w:rsidRDefault="00FD1FAA" w:rsidP="00FD1FAA">
      <w:pPr>
        <w:spacing w:before="0"/>
        <w:jc w:val="both"/>
        <w:rPr>
          <w:rFonts w:ascii="Arial" w:hAnsi="Arial" w:cs="Arial"/>
        </w:rPr>
      </w:pPr>
    </w:p>
    <w:p w:rsidR="00FD1FAA" w:rsidRPr="000310E2" w:rsidRDefault="00FD1FAA" w:rsidP="00FD1FAA">
      <w:pPr>
        <w:spacing w:before="0"/>
        <w:jc w:val="both"/>
        <w:rPr>
          <w:rFonts w:ascii="Arial" w:hAnsi="Arial" w:cs="Arial"/>
        </w:rPr>
      </w:pPr>
      <w:r w:rsidRPr="000310E2">
        <w:rPr>
          <w:rFonts w:ascii="Arial" w:hAnsi="Arial" w:cs="Arial"/>
        </w:rPr>
        <w:t>BNY Mellon</w:t>
      </w:r>
      <w:r w:rsidR="00E04EAB" w:rsidRPr="000310E2">
        <w:rPr>
          <w:rFonts w:ascii="Arial" w:hAnsi="Arial" w:cs="Arial"/>
        </w:rPr>
        <w:t xml:space="preserve"> CSD</w:t>
      </w:r>
      <w:r w:rsidRPr="000310E2">
        <w:rPr>
          <w:rFonts w:ascii="Arial" w:hAnsi="Arial" w:cs="Arial"/>
        </w:rPr>
        <w:t xml:space="preserve"> looks forward to further engagement with the ESMA in regard to this Consultation Paper and any future consultation papers on this topic.</w:t>
      </w:r>
    </w:p>
    <w:p w:rsidR="00FD1FAA" w:rsidRPr="000310E2" w:rsidRDefault="00FD1FAA" w:rsidP="00FD1FAA">
      <w:pPr>
        <w:spacing w:before="0"/>
        <w:jc w:val="both"/>
        <w:rPr>
          <w:rFonts w:ascii="Arial" w:hAnsi="Arial" w:cs="Arial"/>
        </w:rPr>
      </w:pPr>
    </w:p>
    <w:p w:rsidR="00FD1FAA" w:rsidRPr="000310E2" w:rsidRDefault="00FD1FAA" w:rsidP="00FD1FAA">
      <w:pPr>
        <w:spacing w:before="0"/>
        <w:jc w:val="both"/>
        <w:rPr>
          <w:rFonts w:ascii="Arial" w:hAnsi="Arial" w:cs="Arial"/>
        </w:rPr>
      </w:pPr>
    </w:p>
    <w:p w:rsidR="00FD1FAA" w:rsidRPr="000310E2" w:rsidRDefault="00FD1FAA" w:rsidP="00FD1FAA">
      <w:pPr>
        <w:spacing w:before="0"/>
        <w:jc w:val="both"/>
        <w:rPr>
          <w:rFonts w:ascii="Arial" w:hAnsi="Arial" w:cs="Arial"/>
        </w:rPr>
      </w:pPr>
    </w:p>
    <w:p w:rsidR="00FB4E32" w:rsidRPr="000310E2" w:rsidRDefault="00FB4E32" w:rsidP="00FD1FAA">
      <w:pPr>
        <w:spacing w:before="0"/>
        <w:jc w:val="both"/>
        <w:rPr>
          <w:rFonts w:ascii="Arial" w:hAnsi="Arial" w:cs="Arial"/>
        </w:rPr>
      </w:pPr>
    </w:p>
    <w:p w:rsidR="00FB4E32" w:rsidRPr="000310E2" w:rsidRDefault="00FB4E32" w:rsidP="00FD1FAA">
      <w:pPr>
        <w:spacing w:before="0"/>
        <w:jc w:val="both"/>
        <w:rPr>
          <w:rFonts w:ascii="Arial" w:hAnsi="Arial" w:cs="Arial"/>
        </w:rPr>
      </w:pPr>
    </w:p>
    <w:p w:rsidR="00FB4E32" w:rsidRPr="000310E2" w:rsidRDefault="00FB4E32" w:rsidP="00FD1FAA">
      <w:pPr>
        <w:spacing w:before="0"/>
        <w:jc w:val="both"/>
        <w:rPr>
          <w:rFonts w:ascii="Arial" w:hAnsi="Arial" w:cs="Arial"/>
        </w:rPr>
      </w:pPr>
    </w:p>
    <w:p w:rsidR="00E04EAB" w:rsidRPr="000310E2" w:rsidRDefault="00E04EAB" w:rsidP="00FD1FAA">
      <w:pPr>
        <w:autoSpaceDE w:val="0"/>
        <w:autoSpaceDN w:val="0"/>
        <w:adjustRightInd w:val="0"/>
        <w:spacing w:before="0"/>
        <w:rPr>
          <w:rFonts w:ascii="Arial" w:hAnsi="Arial" w:cs="Arial"/>
          <w:color w:val="000000"/>
          <w:lang w:val="en-GB" w:eastAsia="en-GB"/>
        </w:rPr>
      </w:pPr>
      <w:r w:rsidRPr="000310E2">
        <w:rPr>
          <w:rFonts w:ascii="Arial" w:hAnsi="Arial" w:cs="Arial"/>
          <w:color w:val="000000"/>
          <w:lang w:val="en-GB" w:eastAsia="en-GB"/>
        </w:rPr>
        <w:t>Chris Prior-Willeard</w:t>
      </w:r>
    </w:p>
    <w:p w:rsidR="00E04EAB" w:rsidRPr="000310E2" w:rsidRDefault="00E04EAB" w:rsidP="00FD1FAA">
      <w:pPr>
        <w:autoSpaceDE w:val="0"/>
        <w:autoSpaceDN w:val="0"/>
        <w:adjustRightInd w:val="0"/>
        <w:spacing w:before="0"/>
        <w:rPr>
          <w:rFonts w:ascii="Arial" w:hAnsi="Arial" w:cs="Arial"/>
          <w:color w:val="000000"/>
          <w:lang w:val="en-GB" w:eastAsia="en-GB"/>
        </w:rPr>
      </w:pPr>
      <w:r w:rsidRPr="000310E2">
        <w:rPr>
          <w:rFonts w:ascii="Arial" w:hAnsi="Arial" w:cs="Arial"/>
          <w:color w:val="000000"/>
          <w:lang w:val="en-GB" w:eastAsia="en-GB"/>
        </w:rPr>
        <w:t>Chief Executive Officer</w:t>
      </w:r>
    </w:p>
    <w:p w:rsidR="00E04EAB" w:rsidRPr="00E53A8C" w:rsidRDefault="00E04EAB" w:rsidP="00FD1FAA">
      <w:pPr>
        <w:autoSpaceDE w:val="0"/>
        <w:autoSpaceDN w:val="0"/>
        <w:adjustRightInd w:val="0"/>
        <w:spacing w:before="0"/>
        <w:rPr>
          <w:rFonts w:ascii="Arial" w:hAnsi="Arial" w:cs="Arial"/>
          <w:color w:val="000000"/>
          <w:lang w:val="en-GB" w:eastAsia="en-GB"/>
        </w:rPr>
      </w:pPr>
      <w:r w:rsidRPr="000310E2">
        <w:rPr>
          <w:rFonts w:ascii="Arial" w:hAnsi="Arial" w:cs="Arial"/>
          <w:color w:val="000000"/>
          <w:lang w:val="en-GB" w:eastAsia="en-GB"/>
        </w:rPr>
        <w:t>BNY Mellon CSD SA/NV</w:t>
      </w:r>
    </w:p>
    <w:p w:rsidR="00FD1FAA" w:rsidRPr="00E53A8C" w:rsidRDefault="00FD1FAA" w:rsidP="00FD1FAA">
      <w:pPr>
        <w:spacing w:before="0"/>
        <w:rPr>
          <w:rFonts w:ascii="Arial" w:hAnsi="Arial" w:cs="Arial"/>
        </w:rPr>
      </w:pPr>
      <w:r w:rsidRPr="00E53A8C">
        <w:rPr>
          <w:rFonts w:ascii="Arial" w:hAnsi="Arial" w:cs="Arial"/>
        </w:rPr>
        <w:br w:type="page"/>
      </w:r>
    </w:p>
    <w:p w:rsidR="00FD1FAA" w:rsidRPr="00292847" w:rsidRDefault="00FD1FAA" w:rsidP="00FD1FAA">
      <w:pPr>
        <w:spacing w:before="0"/>
        <w:rPr>
          <w:rFonts w:ascii="Arial" w:hAnsi="Arial" w:cs="Arial"/>
          <w:b/>
        </w:rPr>
      </w:pPr>
      <w:r w:rsidRPr="00292847">
        <w:rPr>
          <w:rFonts w:ascii="Arial" w:hAnsi="Arial" w:cs="Arial"/>
          <w:b/>
        </w:rPr>
        <w:lastRenderedPageBreak/>
        <w:t xml:space="preserve">ANNEX 1 – Responses to Specific Questions </w:t>
      </w:r>
    </w:p>
    <w:p w:rsidR="00292847" w:rsidRPr="00292847" w:rsidRDefault="00292847" w:rsidP="00292847">
      <w:pPr>
        <w:spacing w:before="0"/>
        <w:jc w:val="both"/>
        <w:rPr>
          <w:rFonts w:ascii="Arial" w:hAnsi="Arial" w:cs="Arial"/>
          <w:b/>
        </w:rPr>
      </w:pPr>
    </w:p>
    <w:p w:rsidR="00292847" w:rsidRPr="00292847" w:rsidRDefault="00292847" w:rsidP="00292847">
      <w:pPr>
        <w:spacing w:before="0"/>
        <w:jc w:val="both"/>
        <w:rPr>
          <w:rFonts w:ascii="Arial" w:hAnsi="Arial" w:cs="Arial"/>
          <w:b/>
        </w:rPr>
      </w:pPr>
      <w:proofErr w:type="spellStart"/>
      <w:r w:rsidRPr="00292847">
        <w:rPr>
          <w:rFonts w:ascii="Arial" w:hAnsi="Arial" w:cs="Arial"/>
          <w:b/>
        </w:rPr>
        <w:t>Q2</w:t>
      </w:r>
      <w:proofErr w:type="spellEnd"/>
      <w:r w:rsidRPr="00292847">
        <w:rPr>
          <w:rFonts w:ascii="Arial" w:hAnsi="Arial" w:cs="Arial"/>
          <w:b/>
        </w:rPr>
        <w:t xml:space="preserve">: Do you agree with the cases when matching would not be necessary, as specified under Article 3(2) of the draft </w:t>
      </w:r>
      <w:proofErr w:type="spellStart"/>
      <w:r w:rsidRPr="00292847">
        <w:rPr>
          <w:rFonts w:ascii="Arial" w:hAnsi="Arial" w:cs="Arial"/>
          <w:b/>
        </w:rPr>
        <w:t>RTS</w:t>
      </w:r>
      <w:proofErr w:type="spellEnd"/>
      <w:r w:rsidRPr="00292847">
        <w:rPr>
          <w:rFonts w:ascii="Arial" w:hAnsi="Arial" w:cs="Arial"/>
          <w:b/>
        </w:rPr>
        <w:t>?</w:t>
      </w:r>
    </w:p>
    <w:p w:rsidR="00292847" w:rsidRPr="00292847" w:rsidRDefault="00292847" w:rsidP="00292847">
      <w:pPr>
        <w:spacing w:before="0"/>
        <w:jc w:val="both"/>
        <w:rPr>
          <w:rFonts w:ascii="Arial" w:hAnsi="Arial" w:cs="Arial"/>
          <w:b/>
        </w:rPr>
      </w:pPr>
      <w:r w:rsidRPr="00292847">
        <w:rPr>
          <w:rFonts w:ascii="Arial" w:hAnsi="Arial" w:cs="Arial"/>
          <w:b/>
        </w:rPr>
        <w:t>Should other cases be included? Please provide details and evidence for any proposed case.</w:t>
      </w:r>
    </w:p>
    <w:p w:rsidR="00292847" w:rsidRDefault="00292847" w:rsidP="00292847">
      <w:pPr>
        <w:spacing w:before="0"/>
        <w:jc w:val="both"/>
        <w:rPr>
          <w:rFonts w:ascii="Arial" w:hAnsi="Arial" w:cs="Arial"/>
          <w:b/>
        </w:rPr>
      </w:pPr>
    </w:p>
    <w:p w:rsidR="00292847" w:rsidRPr="00292847" w:rsidRDefault="00292847" w:rsidP="00292847">
      <w:pPr>
        <w:pStyle w:val="NoSpacing"/>
        <w:jc w:val="both"/>
        <w:rPr>
          <w:rFonts w:ascii="Arial" w:hAnsi="Arial" w:cs="Arial"/>
        </w:rPr>
      </w:pPr>
      <w:r w:rsidRPr="00292847">
        <w:rPr>
          <w:rFonts w:ascii="Arial" w:hAnsi="Arial" w:cs="Arial"/>
        </w:rPr>
        <w:t xml:space="preserve">We understand from art. 3(2) of the draft </w:t>
      </w:r>
      <w:proofErr w:type="spellStart"/>
      <w:r w:rsidRPr="00292847">
        <w:rPr>
          <w:rFonts w:ascii="Arial" w:hAnsi="Arial" w:cs="Arial"/>
        </w:rPr>
        <w:t>RTS</w:t>
      </w:r>
      <w:proofErr w:type="spellEnd"/>
      <w:r w:rsidRPr="00292847">
        <w:rPr>
          <w:rFonts w:ascii="Arial" w:hAnsi="Arial" w:cs="Arial"/>
        </w:rPr>
        <w:t xml:space="preserve"> that matching would:</w:t>
      </w:r>
    </w:p>
    <w:p w:rsidR="00292847" w:rsidRPr="00292847" w:rsidRDefault="00292847" w:rsidP="00292847">
      <w:pPr>
        <w:pStyle w:val="NoSpacing"/>
        <w:numPr>
          <w:ilvl w:val="0"/>
          <w:numId w:val="3"/>
        </w:numPr>
        <w:jc w:val="both"/>
        <w:rPr>
          <w:rFonts w:ascii="Arial" w:hAnsi="Arial" w:cs="Arial"/>
        </w:rPr>
      </w:pPr>
      <w:r w:rsidRPr="00292847">
        <w:rPr>
          <w:rFonts w:ascii="Arial" w:hAnsi="Arial" w:cs="Arial"/>
        </w:rPr>
        <w:t xml:space="preserve">be mandatory where the settlement instruction, i.e. transfer order, is </w:t>
      </w:r>
      <w:r w:rsidRPr="00292847">
        <w:rPr>
          <w:rFonts w:ascii="Arial" w:hAnsi="Arial" w:cs="Arial"/>
          <w:b/>
        </w:rPr>
        <w:t>the result of “an instruction by a participant to transfer title to, or interest in, a security or securities by means of a book entry on a register, or otherwise</w:t>
      </w:r>
      <w:r w:rsidRPr="00292847">
        <w:rPr>
          <w:rFonts w:ascii="Arial" w:hAnsi="Arial" w:cs="Arial"/>
        </w:rPr>
        <w:t>” (</w:t>
      </w:r>
      <w:proofErr w:type="spellStart"/>
      <w:r w:rsidRPr="00292847">
        <w:rPr>
          <w:rFonts w:ascii="Arial" w:hAnsi="Arial" w:cs="Arial"/>
        </w:rPr>
        <w:t>Art.2</w:t>
      </w:r>
      <w:proofErr w:type="spellEnd"/>
      <w:r w:rsidRPr="00292847">
        <w:rPr>
          <w:rFonts w:ascii="Arial" w:hAnsi="Arial" w:cs="Arial"/>
        </w:rPr>
        <w:t xml:space="preserve"> (</w:t>
      </w:r>
      <w:proofErr w:type="spellStart"/>
      <w:r w:rsidRPr="00292847">
        <w:rPr>
          <w:rFonts w:ascii="Arial" w:hAnsi="Arial" w:cs="Arial"/>
        </w:rPr>
        <w:t>i</w:t>
      </w:r>
      <w:proofErr w:type="spellEnd"/>
      <w:r w:rsidRPr="00292847">
        <w:rPr>
          <w:rFonts w:ascii="Arial" w:hAnsi="Arial" w:cs="Arial"/>
        </w:rPr>
        <w:t>) of Directive 98/26/EC, so-called Settlement Finality Directive);</w:t>
      </w:r>
    </w:p>
    <w:p w:rsidR="00292847" w:rsidRPr="00292847" w:rsidRDefault="00292847" w:rsidP="00292847">
      <w:pPr>
        <w:pStyle w:val="NoSpacing"/>
        <w:numPr>
          <w:ilvl w:val="0"/>
          <w:numId w:val="3"/>
        </w:numPr>
        <w:jc w:val="both"/>
        <w:rPr>
          <w:rFonts w:ascii="Arial" w:hAnsi="Arial" w:cs="Arial"/>
        </w:rPr>
      </w:pPr>
      <w:proofErr w:type="gramStart"/>
      <w:r w:rsidRPr="00292847">
        <w:rPr>
          <w:rFonts w:ascii="Arial" w:hAnsi="Arial" w:cs="Arial"/>
        </w:rPr>
        <w:t>not</w:t>
      </w:r>
      <w:proofErr w:type="gramEnd"/>
      <w:r w:rsidRPr="00292847">
        <w:rPr>
          <w:rFonts w:ascii="Arial" w:hAnsi="Arial" w:cs="Arial"/>
        </w:rPr>
        <w:t xml:space="preserve"> be mandatory in the case of already matched instructions and of some FOP instructions.</w:t>
      </w:r>
    </w:p>
    <w:p w:rsidR="00292847" w:rsidRPr="00292847" w:rsidRDefault="00292847" w:rsidP="00292847">
      <w:pPr>
        <w:pStyle w:val="NoSpacing"/>
        <w:jc w:val="both"/>
        <w:rPr>
          <w:rFonts w:ascii="Arial" w:hAnsi="Arial" w:cs="Arial"/>
        </w:rPr>
      </w:pPr>
    </w:p>
    <w:p w:rsidR="00292847" w:rsidRPr="00292847" w:rsidRDefault="00292847" w:rsidP="00292847">
      <w:pPr>
        <w:pStyle w:val="NoSpacing"/>
        <w:jc w:val="both"/>
        <w:rPr>
          <w:rFonts w:ascii="Arial" w:hAnsi="Arial" w:cs="Arial"/>
        </w:rPr>
      </w:pPr>
      <w:r w:rsidRPr="00292847">
        <w:rPr>
          <w:rFonts w:ascii="Arial" w:hAnsi="Arial" w:cs="Arial"/>
        </w:rPr>
        <w:t xml:space="preserve">BNY Mellon </w:t>
      </w:r>
      <w:proofErr w:type="spellStart"/>
      <w:r w:rsidRPr="00292847">
        <w:rPr>
          <w:rFonts w:ascii="Arial" w:hAnsi="Arial" w:cs="Arial"/>
        </w:rPr>
        <w:t>CSD</w:t>
      </w:r>
      <w:proofErr w:type="spellEnd"/>
      <w:r w:rsidRPr="00292847">
        <w:rPr>
          <w:rFonts w:ascii="Arial" w:hAnsi="Arial" w:cs="Arial"/>
        </w:rPr>
        <w:t xml:space="preserve"> agrees with this proposed approach, provided it is clear that instructions initiated </w:t>
      </w:r>
      <w:r w:rsidRPr="00292847">
        <w:rPr>
          <w:rFonts w:ascii="Arial" w:hAnsi="Arial" w:cs="Arial"/>
          <w:b/>
        </w:rPr>
        <w:t xml:space="preserve">by the </w:t>
      </w:r>
      <w:proofErr w:type="spellStart"/>
      <w:r w:rsidRPr="00292847">
        <w:rPr>
          <w:rFonts w:ascii="Arial" w:hAnsi="Arial" w:cs="Arial"/>
          <w:b/>
        </w:rPr>
        <w:t>CSD</w:t>
      </w:r>
      <w:proofErr w:type="spellEnd"/>
      <w:r w:rsidRPr="00292847">
        <w:rPr>
          <w:rFonts w:ascii="Arial" w:hAnsi="Arial" w:cs="Arial"/>
        </w:rPr>
        <w:t xml:space="preserve"> (e.g. distribution of shares as a result of corporate events) are not considered as “settlement in</w:t>
      </w:r>
      <w:r w:rsidRPr="00292847">
        <w:rPr>
          <w:rFonts w:ascii="Arial" w:hAnsi="Arial" w:cs="Arial"/>
        </w:rPr>
        <w:t xml:space="preserve">structions” under the draft </w:t>
      </w:r>
      <w:proofErr w:type="spellStart"/>
      <w:r w:rsidRPr="00292847">
        <w:rPr>
          <w:rFonts w:ascii="Arial" w:hAnsi="Arial" w:cs="Arial"/>
        </w:rPr>
        <w:t>RTS.</w:t>
      </w:r>
      <w:proofErr w:type="spellEnd"/>
    </w:p>
    <w:p w:rsidR="00292847" w:rsidRPr="00292847" w:rsidRDefault="00292847" w:rsidP="00292847">
      <w:pPr>
        <w:pStyle w:val="NoSpacing"/>
        <w:jc w:val="both"/>
        <w:rPr>
          <w:rFonts w:ascii="Arial" w:hAnsi="Arial" w:cs="Arial"/>
        </w:rPr>
      </w:pPr>
    </w:p>
    <w:p w:rsidR="00292847" w:rsidRPr="00292847" w:rsidRDefault="00292847" w:rsidP="00292847">
      <w:pPr>
        <w:pStyle w:val="NoSpacing"/>
        <w:jc w:val="both"/>
        <w:rPr>
          <w:rFonts w:ascii="Arial" w:hAnsi="Arial" w:cs="Arial"/>
        </w:rPr>
      </w:pPr>
      <w:r w:rsidRPr="00292847">
        <w:rPr>
          <w:rFonts w:ascii="Arial" w:hAnsi="Arial" w:cs="Arial"/>
        </w:rPr>
        <w:t xml:space="preserve">We would be concerned if Article 3(2) were read as prohibiting matching by a </w:t>
      </w:r>
      <w:proofErr w:type="spellStart"/>
      <w:r w:rsidRPr="00292847">
        <w:rPr>
          <w:rFonts w:ascii="Arial" w:hAnsi="Arial" w:cs="Arial"/>
        </w:rPr>
        <w:t>CSD</w:t>
      </w:r>
      <w:proofErr w:type="spellEnd"/>
      <w:r w:rsidRPr="00292847">
        <w:rPr>
          <w:rFonts w:ascii="Arial" w:hAnsi="Arial" w:cs="Arial"/>
        </w:rPr>
        <w:t xml:space="preserve"> in the case set out in sub b. It should be possible for </w:t>
      </w:r>
      <w:proofErr w:type="spellStart"/>
      <w:r w:rsidRPr="00292847">
        <w:rPr>
          <w:rFonts w:ascii="Arial" w:hAnsi="Arial" w:cs="Arial"/>
        </w:rPr>
        <w:t>CSDs</w:t>
      </w:r>
      <w:proofErr w:type="spellEnd"/>
      <w:r w:rsidRPr="00292847">
        <w:rPr>
          <w:rFonts w:ascii="Arial" w:hAnsi="Arial" w:cs="Arial"/>
        </w:rPr>
        <w:t xml:space="preserve"> to match such instructions if they are sent to the </w:t>
      </w:r>
      <w:proofErr w:type="spellStart"/>
      <w:r w:rsidRPr="00292847">
        <w:rPr>
          <w:rFonts w:ascii="Arial" w:hAnsi="Arial" w:cs="Arial"/>
        </w:rPr>
        <w:t>CSD</w:t>
      </w:r>
      <w:proofErr w:type="spellEnd"/>
      <w:r w:rsidRPr="00292847">
        <w:rPr>
          <w:rFonts w:ascii="Arial" w:hAnsi="Arial" w:cs="Arial"/>
        </w:rPr>
        <w:t xml:space="preserve"> as unmatched instructions.</w:t>
      </w:r>
    </w:p>
    <w:p w:rsidR="00292847" w:rsidRDefault="00292847" w:rsidP="00292847">
      <w:pPr>
        <w:spacing w:before="0"/>
        <w:jc w:val="both"/>
        <w:rPr>
          <w:rFonts w:ascii="Arial" w:hAnsi="Arial" w:cs="Arial"/>
          <w:b/>
        </w:rPr>
      </w:pPr>
    </w:p>
    <w:p w:rsidR="00292847" w:rsidRPr="00292847" w:rsidRDefault="00292847" w:rsidP="00292847">
      <w:pPr>
        <w:spacing w:before="0"/>
        <w:jc w:val="both"/>
        <w:rPr>
          <w:rFonts w:ascii="Arial" w:hAnsi="Arial" w:cs="Arial"/>
          <w:b/>
        </w:rPr>
      </w:pPr>
      <w:proofErr w:type="spellStart"/>
      <w:r w:rsidRPr="00292847">
        <w:rPr>
          <w:rFonts w:ascii="Arial" w:hAnsi="Arial" w:cs="Arial"/>
          <w:b/>
        </w:rPr>
        <w:t>Q3</w:t>
      </w:r>
      <w:proofErr w:type="spellEnd"/>
      <w:r w:rsidRPr="00292847">
        <w:rPr>
          <w:rFonts w:ascii="Arial" w:hAnsi="Arial" w:cs="Arial"/>
          <w:b/>
        </w:rPr>
        <w:t xml:space="preserve">: What are your views on the proposed approach under Article 3(11) of the draft </w:t>
      </w:r>
      <w:proofErr w:type="spellStart"/>
      <w:r w:rsidRPr="00292847">
        <w:rPr>
          <w:rFonts w:ascii="Arial" w:hAnsi="Arial" w:cs="Arial"/>
          <w:b/>
        </w:rPr>
        <w:t>RTS</w:t>
      </w:r>
      <w:proofErr w:type="spellEnd"/>
      <w:r w:rsidRPr="00292847">
        <w:rPr>
          <w:rFonts w:ascii="Arial" w:hAnsi="Arial" w:cs="Arial"/>
          <w:b/>
        </w:rPr>
        <w:t xml:space="preserve"> included in Chapter II of Annex I?</w:t>
      </w:r>
    </w:p>
    <w:p w:rsidR="00292847" w:rsidRPr="00292847" w:rsidRDefault="00292847" w:rsidP="00292847">
      <w:pPr>
        <w:spacing w:before="0"/>
        <w:jc w:val="both"/>
        <w:rPr>
          <w:rFonts w:ascii="Arial" w:hAnsi="Arial" w:cs="Arial"/>
          <w:b/>
        </w:rPr>
      </w:pPr>
      <w:r w:rsidRPr="00292847">
        <w:rPr>
          <w:rFonts w:ascii="Arial" w:hAnsi="Arial" w:cs="Arial"/>
          <w:b/>
        </w:rPr>
        <w:t>Do you think that the 0.5% settlement fails threshold (i.e. 99.5% settlement efficiency rate) is adequate? If not, what would be an adequate threshold? Please provide details and arguments.</w:t>
      </w:r>
    </w:p>
    <w:p w:rsidR="00292847" w:rsidRDefault="00292847" w:rsidP="00292847">
      <w:pPr>
        <w:spacing w:before="0"/>
        <w:jc w:val="both"/>
        <w:rPr>
          <w:rFonts w:ascii="Arial" w:hAnsi="Arial" w:cs="Arial"/>
          <w:b/>
        </w:rPr>
      </w:pPr>
      <w:r w:rsidRPr="00292847">
        <w:rPr>
          <w:rFonts w:ascii="Arial" w:hAnsi="Arial" w:cs="Arial"/>
          <w:b/>
        </w:rPr>
        <w:t>Do you think that the 2</w:t>
      </w:r>
      <w:proofErr w:type="gramStart"/>
      <w:r w:rsidRPr="00292847">
        <w:rPr>
          <w:rFonts w:ascii="Arial" w:hAnsi="Arial" w:cs="Arial"/>
          <w:b/>
        </w:rPr>
        <w:t>,5</w:t>
      </w:r>
      <w:proofErr w:type="gramEnd"/>
      <w:r w:rsidRPr="00292847">
        <w:rPr>
          <w:rFonts w:ascii="Arial" w:hAnsi="Arial" w:cs="Arial"/>
          <w:b/>
        </w:rPr>
        <w:t xml:space="preserve"> billion EUR/year in terms of the value of settlement fails for a securities settlement system operated by a </w:t>
      </w:r>
      <w:proofErr w:type="spellStart"/>
      <w:r w:rsidRPr="00292847">
        <w:rPr>
          <w:rFonts w:ascii="Arial" w:hAnsi="Arial" w:cs="Arial"/>
          <w:b/>
        </w:rPr>
        <w:t>CSD</w:t>
      </w:r>
      <w:proofErr w:type="spellEnd"/>
      <w:r w:rsidRPr="00292847">
        <w:rPr>
          <w:rFonts w:ascii="Arial" w:hAnsi="Arial" w:cs="Arial"/>
          <w:b/>
        </w:rPr>
        <w:t xml:space="preserve"> is adequate? If not, what would be an adequate threshold? Please provide details and arguments.</w:t>
      </w:r>
    </w:p>
    <w:p w:rsidR="00292847" w:rsidRPr="00292847" w:rsidRDefault="00292847" w:rsidP="00292847">
      <w:pPr>
        <w:jc w:val="both"/>
        <w:rPr>
          <w:rFonts w:ascii="Arial" w:hAnsi="Arial" w:cs="Arial"/>
        </w:rPr>
      </w:pPr>
      <w:r w:rsidRPr="00292847">
        <w:rPr>
          <w:rFonts w:ascii="Arial" w:hAnsi="Arial" w:cs="Arial"/>
        </w:rPr>
        <w:t xml:space="preserve">BNY Mellon </w:t>
      </w:r>
      <w:proofErr w:type="spellStart"/>
      <w:r w:rsidRPr="00292847">
        <w:rPr>
          <w:rFonts w:ascii="Arial" w:hAnsi="Arial" w:cs="Arial"/>
        </w:rPr>
        <w:t>CSD</w:t>
      </w:r>
      <w:proofErr w:type="spellEnd"/>
      <w:r w:rsidRPr="00292847">
        <w:rPr>
          <w:rFonts w:ascii="Arial" w:hAnsi="Arial" w:cs="Arial"/>
        </w:rPr>
        <w:t xml:space="preserve"> is of the opinion that participants to </w:t>
      </w:r>
      <w:proofErr w:type="spellStart"/>
      <w:r w:rsidRPr="00292847">
        <w:rPr>
          <w:rFonts w:ascii="Arial" w:hAnsi="Arial" w:cs="Arial"/>
        </w:rPr>
        <w:t>CSDs</w:t>
      </w:r>
      <w:proofErr w:type="spellEnd"/>
      <w:r w:rsidRPr="00292847">
        <w:rPr>
          <w:rFonts w:ascii="Arial" w:hAnsi="Arial" w:cs="Arial"/>
        </w:rPr>
        <w:t xml:space="preserve"> should be given the possibility for hold/release and </w:t>
      </w:r>
      <w:proofErr w:type="spellStart"/>
      <w:r w:rsidRPr="00292847">
        <w:rPr>
          <w:rFonts w:ascii="Arial" w:hAnsi="Arial" w:cs="Arial"/>
        </w:rPr>
        <w:t>partialling</w:t>
      </w:r>
      <w:proofErr w:type="spellEnd"/>
      <w:r w:rsidRPr="00292847">
        <w:rPr>
          <w:rFonts w:ascii="Arial" w:hAnsi="Arial" w:cs="Arial"/>
        </w:rPr>
        <w:t xml:space="preserve"> mechanism, whatever the settlement efficiency is on the securities settlement system. We therefore consider thresholds as unnecessary.</w:t>
      </w:r>
    </w:p>
    <w:p w:rsidR="00292847" w:rsidRPr="00292847" w:rsidRDefault="00292847" w:rsidP="00292847">
      <w:pPr>
        <w:jc w:val="both"/>
        <w:rPr>
          <w:rFonts w:ascii="Arial" w:hAnsi="Arial" w:cs="Arial"/>
        </w:rPr>
      </w:pPr>
      <w:r w:rsidRPr="00292847">
        <w:rPr>
          <w:rFonts w:ascii="Arial" w:hAnsi="Arial" w:cs="Arial"/>
        </w:rPr>
        <w:t xml:space="preserve">Moreover, should ESMA consider further the ability for </w:t>
      </w:r>
      <w:proofErr w:type="spellStart"/>
      <w:r w:rsidRPr="00292847">
        <w:rPr>
          <w:rFonts w:ascii="Arial" w:hAnsi="Arial" w:cs="Arial"/>
        </w:rPr>
        <w:t>CSDs</w:t>
      </w:r>
      <w:proofErr w:type="spellEnd"/>
      <w:r w:rsidRPr="00292847">
        <w:rPr>
          <w:rFonts w:ascii="Arial" w:hAnsi="Arial" w:cs="Arial"/>
        </w:rPr>
        <w:t xml:space="preserve"> to apply thresholds for the purpose of hold/release and </w:t>
      </w:r>
      <w:proofErr w:type="spellStart"/>
      <w:r w:rsidRPr="00292847">
        <w:rPr>
          <w:rFonts w:ascii="Arial" w:hAnsi="Arial" w:cs="Arial"/>
        </w:rPr>
        <w:t>partialling</w:t>
      </w:r>
      <w:proofErr w:type="spellEnd"/>
      <w:r w:rsidRPr="00292847">
        <w:rPr>
          <w:rFonts w:ascii="Arial" w:hAnsi="Arial" w:cs="Arial"/>
        </w:rPr>
        <w:t xml:space="preserve"> mechanism, we would like to highlight the potential issue to be faced by participants: enabling for distinct regime could potentially be difficult to implement at </w:t>
      </w:r>
      <w:proofErr w:type="spellStart"/>
      <w:r w:rsidRPr="00292847">
        <w:rPr>
          <w:rFonts w:ascii="Arial" w:hAnsi="Arial" w:cs="Arial"/>
        </w:rPr>
        <w:t>CSDs</w:t>
      </w:r>
      <w:proofErr w:type="spellEnd"/>
      <w:r w:rsidRPr="00292847">
        <w:rPr>
          <w:rFonts w:ascii="Arial" w:hAnsi="Arial" w:cs="Arial"/>
        </w:rPr>
        <w:t>’ participants level, since it will result, depending on the place of settlement, in different settlement rules to be applied by participants (</w:t>
      </w:r>
      <w:proofErr w:type="spellStart"/>
      <w:r w:rsidRPr="00292847">
        <w:rPr>
          <w:rFonts w:ascii="Arial" w:hAnsi="Arial" w:cs="Arial"/>
        </w:rPr>
        <w:t>T2S</w:t>
      </w:r>
      <w:proofErr w:type="spellEnd"/>
      <w:r w:rsidRPr="00292847">
        <w:rPr>
          <w:rFonts w:ascii="Arial" w:hAnsi="Arial" w:cs="Arial"/>
        </w:rPr>
        <w:t xml:space="preserve"> rules, </w:t>
      </w:r>
      <w:proofErr w:type="spellStart"/>
      <w:r w:rsidRPr="00292847">
        <w:rPr>
          <w:rFonts w:ascii="Arial" w:hAnsi="Arial" w:cs="Arial"/>
        </w:rPr>
        <w:t>CSD</w:t>
      </w:r>
      <w:proofErr w:type="spellEnd"/>
      <w:r w:rsidRPr="00292847">
        <w:rPr>
          <w:rFonts w:ascii="Arial" w:hAnsi="Arial" w:cs="Arial"/>
        </w:rPr>
        <w:t xml:space="preserve"> enabling hold/release or </w:t>
      </w:r>
      <w:proofErr w:type="spellStart"/>
      <w:r w:rsidRPr="00292847">
        <w:rPr>
          <w:rFonts w:ascii="Arial" w:hAnsi="Arial" w:cs="Arial"/>
        </w:rPr>
        <w:t>partialling</w:t>
      </w:r>
      <w:proofErr w:type="spellEnd"/>
      <w:r w:rsidRPr="00292847">
        <w:rPr>
          <w:rFonts w:ascii="Arial" w:hAnsi="Arial" w:cs="Arial"/>
        </w:rPr>
        <w:t xml:space="preserve"> versus </w:t>
      </w:r>
      <w:proofErr w:type="spellStart"/>
      <w:r w:rsidRPr="00292847">
        <w:rPr>
          <w:rFonts w:ascii="Arial" w:hAnsi="Arial" w:cs="Arial"/>
        </w:rPr>
        <w:t>CSD</w:t>
      </w:r>
      <w:proofErr w:type="spellEnd"/>
      <w:r w:rsidRPr="00292847">
        <w:rPr>
          <w:rFonts w:ascii="Arial" w:hAnsi="Arial" w:cs="Arial"/>
        </w:rPr>
        <w:t xml:space="preserve"> that don’t).</w:t>
      </w:r>
    </w:p>
    <w:p w:rsidR="00292847" w:rsidRPr="00292847" w:rsidRDefault="00292847" w:rsidP="00292847">
      <w:pPr>
        <w:jc w:val="both"/>
        <w:rPr>
          <w:rFonts w:ascii="Arial" w:hAnsi="Arial" w:cs="Arial"/>
        </w:rPr>
      </w:pPr>
      <w:r w:rsidRPr="00292847">
        <w:rPr>
          <w:rFonts w:ascii="Arial" w:hAnsi="Arial" w:cs="Arial"/>
        </w:rPr>
        <w:t xml:space="preserve">Regarding the possible exemption to recycling, BNY Mellon </w:t>
      </w:r>
      <w:proofErr w:type="spellStart"/>
      <w:r w:rsidRPr="00292847">
        <w:rPr>
          <w:rFonts w:ascii="Arial" w:hAnsi="Arial" w:cs="Arial"/>
        </w:rPr>
        <w:t>CSD</w:t>
      </w:r>
      <w:proofErr w:type="spellEnd"/>
      <w:r w:rsidRPr="00292847">
        <w:rPr>
          <w:rFonts w:ascii="Arial" w:hAnsi="Arial" w:cs="Arial"/>
        </w:rPr>
        <w:t xml:space="preserve"> is of the opinion that such an exemption would be counterproductive and therefore not allowed. As a result of such exemption, </w:t>
      </w:r>
      <w:proofErr w:type="spellStart"/>
      <w:r w:rsidRPr="00292847">
        <w:rPr>
          <w:rFonts w:ascii="Arial" w:hAnsi="Arial" w:cs="Arial"/>
        </w:rPr>
        <w:t>CSDs</w:t>
      </w:r>
      <w:proofErr w:type="spellEnd"/>
      <w:r w:rsidRPr="00292847">
        <w:rPr>
          <w:rFonts w:ascii="Arial" w:hAnsi="Arial" w:cs="Arial"/>
        </w:rPr>
        <w:t xml:space="preserve"> would have to cancel failed settlement instruction at the end of the settlement day and require participant to re-instruct. In addition, such a cancellation would make it difficult in case of corporate action scenario, where market claim on pending instruction would disappear.</w:t>
      </w:r>
    </w:p>
    <w:p w:rsidR="00292847" w:rsidRPr="00292847" w:rsidRDefault="00292847" w:rsidP="00292847">
      <w:pPr>
        <w:jc w:val="both"/>
        <w:rPr>
          <w:rFonts w:ascii="Arial" w:hAnsi="Arial" w:cs="Arial"/>
        </w:rPr>
      </w:pPr>
      <w:r w:rsidRPr="00292847">
        <w:rPr>
          <w:rFonts w:ascii="Arial" w:hAnsi="Arial" w:cs="Arial"/>
        </w:rPr>
        <w:t xml:space="preserve">As a result, we propose to remove art. </w:t>
      </w:r>
      <w:proofErr w:type="gramStart"/>
      <w:r w:rsidRPr="00292847">
        <w:rPr>
          <w:rFonts w:ascii="Arial" w:hAnsi="Arial" w:cs="Arial"/>
        </w:rPr>
        <w:t>3(11), (12) and (13).</w:t>
      </w:r>
      <w:proofErr w:type="gramEnd"/>
    </w:p>
    <w:p w:rsidR="00292847" w:rsidRPr="00292847" w:rsidRDefault="00292847" w:rsidP="00292847">
      <w:pPr>
        <w:spacing w:before="0"/>
        <w:jc w:val="both"/>
        <w:rPr>
          <w:rFonts w:ascii="Arial" w:hAnsi="Arial" w:cs="Arial"/>
          <w:b/>
        </w:rPr>
      </w:pPr>
    </w:p>
    <w:p w:rsidR="00D862B4" w:rsidRDefault="00292847" w:rsidP="00D862B4">
      <w:pPr>
        <w:spacing w:before="0"/>
        <w:jc w:val="both"/>
        <w:rPr>
          <w:rFonts w:ascii="Arial" w:hAnsi="Arial" w:cs="Arial"/>
          <w:b/>
        </w:rPr>
      </w:pPr>
      <w:proofErr w:type="spellStart"/>
      <w:r w:rsidRPr="00292847">
        <w:rPr>
          <w:rFonts w:ascii="Arial" w:hAnsi="Arial" w:cs="Arial"/>
          <w:b/>
        </w:rPr>
        <w:t>Q4</w:t>
      </w:r>
      <w:proofErr w:type="spellEnd"/>
      <w:r w:rsidRPr="00292847">
        <w:rPr>
          <w:rFonts w:ascii="Arial" w:hAnsi="Arial" w:cs="Arial"/>
          <w:b/>
        </w:rPr>
        <w:t xml:space="preserve">: What are your views on the proposed draft </w:t>
      </w:r>
      <w:proofErr w:type="spellStart"/>
      <w:r w:rsidRPr="00292847">
        <w:rPr>
          <w:rFonts w:ascii="Arial" w:hAnsi="Arial" w:cs="Arial"/>
          <w:b/>
        </w:rPr>
        <w:t>RTS</w:t>
      </w:r>
      <w:proofErr w:type="spellEnd"/>
      <w:r w:rsidRPr="00292847">
        <w:rPr>
          <w:rFonts w:ascii="Arial" w:hAnsi="Arial" w:cs="Arial"/>
          <w:b/>
        </w:rPr>
        <w:t xml:space="preserve"> included in Chapter II of Annex I?</w:t>
      </w:r>
    </w:p>
    <w:p w:rsidR="00D862B4" w:rsidRPr="00D862B4" w:rsidRDefault="00D862B4" w:rsidP="00D862B4">
      <w:pPr>
        <w:spacing w:before="0"/>
        <w:jc w:val="both"/>
        <w:rPr>
          <w:rFonts w:ascii="Arial" w:hAnsi="Arial" w:cs="Arial"/>
          <w:b/>
        </w:rPr>
      </w:pP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3(1) - Automated processing</w:t>
      </w:r>
    </w:p>
    <w:p w:rsidR="00D862B4" w:rsidRDefault="00D862B4" w:rsidP="00D862B4">
      <w:pPr>
        <w:jc w:val="both"/>
        <w:rPr>
          <w:rFonts w:ascii="Arial" w:hAnsi="Arial" w:cs="Arial"/>
        </w:rPr>
      </w:pPr>
      <w:r w:rsidRPr="00D862B4">
        <w:rPr>
          <w:rFonts w:ascii="Arial" w:hAnsi="Arial" w:cs="Arial"/>
        </w:rPr>
        <w:t xml:space="preserve">While BNY Mellon </w:t>
      </w:r>
      <w:proofErr w:type="spellStart"/>
      <w:r w:rsidRPr="00D862B4">
        <w:rPr>
          <w:rFonts w:ascii="Arial" w:hAnsi="Arial" w:cs="Arial"/>
        </w:rPr>
        <w:t>CSD</w:t>
      </w:r>
      <w:proofErr w:type="spellEnd"/>
      <w:r w:rsidRPr="00D862B4">
        <w:rPr>
          <w:rFonts w:ascii="Arial" w:hAnsi="Arial" w:cs="Arial"/>
        </w:rPr>
        <w:t xml:space="preserve"> fully supports the requirement to have automated settlement process, it would like to stress that such an automated process may be (partially) suspended in case of, for instance, contingency process being involved. The way the settlement process would be undertaken in such a </w:t>
      </w:r>
      <w:r w:rsidRPr="00D862B4">
        <w:rPr>
          <w:rFonts w:ascii="Arial" w:hAnsi="Arial" w:cs="Arial"/>
        </w:rPr>
        <w:lastRenderedPageBreak/>
        <w:t xml:space="preserve">scenario is described in the operational procedures of the relevant </w:t>
      </w:r>
      <w:proofErr w:type="spellStart"/>
      <w:r w:rsidRPr="00D862B4">
        <w:rPr>
          <w:rFonts w:ascii="Arial" w:hAnsi="Arial" w:cs="Arial"/>
        </w:rPr>
        <w:t>CSDs</w:t>
      </w:r>
      <w:proofErr w:type="spellEnd"/>
      <w:r w:rsidRPr="00D862B4">
        <w:rPr>
          <w:rFonts w:ascii="Arial" w:hAnsi="Arial" w:cs="Arial"/>
        </w:rPr>
        <w:t>.  We therefore suggest re-drafting art. 3(1) according to the below:</w:t>
      </w:r>
    </w:p>
    <w:p w:rsidR="00D862B4" w:rsidRDefault="00D862B4" w:rsidP="00D862B4">
      <w:pPr>
        <w:jc w:val="both"/>
        <w:rPr>
          <w:rFonts w:ascii="Arial" w:hAnsi="Arial" w:cs="Arial"/>
          <w:i/>
        </w:rPr>
      </w:pPr>
      <w:r w:rsidRPr="00D862B4">
        <w:rPr>
          <w:rFonts w:ascii="Arial" w:hAnsi="Arial" w:cs="Arial"/>
          <w:i/>
        </w:rPr>
        <w:t xml:space="preserve">“A </w:t>
      </w:r>
      <w:proofErr w:type="spellStart"/>
      <w:r w:rsidRPr="00D862B4">
        <w:rPr>
          <w:rFonts w:ascii="Arial" w:hAnsi="Arial" w:cs="Arial"/>
          <w:i/>
        </w:rPr>
        <w:t>CSD</w:t>
      </w:r>
      <w:proofErr w:type="spellEnd"/>
      <w:r w:rsidRPr="00D862B4">
        <w:rPr>
          <w:rFonts w:ascii="Arial" w:hAnsi="Arial" w:cs="Arial"/>
          <w:i/>
        </w:rPr>
        <w:t xml:space="preserve"> shall process settlement instructions on an automated basis, except in those circumstances that are covered in </w:t>
      </w:r>
      <w:proofErr w:type="spellStart"/>
      <w:r w:rsidRPr="00D862B4">
        <w:rPr>
          <w:rFonts w:ascii="Arial" w:hAnsi="Arial" w:cs="Arial"/>
          <w:i/>
        </w:rPr>
        <w:t>art.41</w:t>
      </w:r>
      <w:proofErr w:type="spellEnd"/>
      <w:r w:rsidRPr="00D862B4">
        <w:rPr>
          <w:rFonts w:ascii="Arial" w:hAnsi="Arial" w:cs="Arial"/>
          <w:i/>
        </w:rPr>
        <w:t xml:space="preserve"> and </w:t>
      </w:r>
      <w:proofErr w:type="spellStart"/>
      <w:r w:rsidRPr="00D862B4">
        <w:rPr>
          <w:rFonts w:ascii="Arial" w:hAnsi="Arial" w:cs="Arial"/>
          <w:i/>
        </w:rPr>
        <w:t>art.45</w:t>
      </w:r>
      <w:proofErr w:type="spellEnd"/>
      <w:r w:rsidRPr="00D862B4">
        <w:rPr>
          <w:rFonts w:ascii="Arial" w:hAnsi="Arial" w:cs="Arial"/>
          <w:i/>
        </w:rPr>
        <w:t xml:space="preserve"> (3) of regulation (EU) n° 909/2014 of 23 July 2014.”</w:t>
      </w:r>
    </w:p>
    <w:p w:rsidR="00D862B4" w:rsidRPr="00D862B4" w:rsidRDefault="00D862B4" w:rsidP="00D862B4">
      <w:pPr>
        <w:spacing w:before="0"/>
        <w:jc w:val="both"/>
        <w:rPr>
          <w:rFonts w:ascii="Arial" w:hAnsi="Arial" w:cs="Arial"/>
        </w:rPr>
      </w:pPr>
      <w:r w:rsidRPr="00D862B4">
        <w:rPr>
          <w:rFonts w:ascii="Arial" w:hAnsi="Arial" w:cs="Arial"/>
          <w:i/>
        </w:rPr>
        <w:t xml:space="preserve"> </w:t>
      </w: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3(1) - Reporting of manual interventions</w:t>
      </w:r>
    </w:p>
    <w:p w:rsidR="00D862B4" w:rsidRPr="00D862B4" w:rsidRDefault="00D862B4" w:rsidP="00D862B4">
      <w:pPr>
        <w:spacing w:after="240"/>
        <w:jc w:val="both"/>
        <w:rPr>
          <w:rFonts w:ascii="Arial" w:hAnsi="Arial" w:cs="Arial"/>
        </w:rPr>
      </w:pPr>
      <w:r w:rsidRPr="00D862B4">
        <w:rPr>
          <w:rFonts w:ascii="Arial" w:hAnsi="Arial" w:cs="Arial"/>
        </w:rPr>
        <w:t xml:space="preserve">With respect to the reporting of any type of manual intervention without any delay, BNY Mellon </w:t>
      </w:r>
      <w:proofErr w:type="spellStart"/>
      <w:r w:rsidRPr="00D862B4">
        <w:rPr>
          <w:rFonts w:ascii="Arial" w:hAnsi="Arial" w:cs="Arial"/>
        </w:rPr>
        <w:t>CSD</w:t>
      </w:r>
      <w:proofErr w:type="spellEnd"/>
      <w:r w:rsidRPr="00D862B4">
        <w:rPr>
          <w:rFonts w:ascii="Arial" w:hAnsi="Arial" w:cs="Arial"/>
        </w:rPr>
        <w:t xml:space="preserve"> would like to stress that:</w:t>
      </w:r>
    </w:p>
    <w:p w:rsidR="00D862B4" w:rsidRDefault="00D862B4" w:rsidP="00D862B4">
      <w:pPr>
        <w:numPr>
          <w:ilvl w:val="0"/>
          <w:numId w:val="5"/>
        </w:numPr>
        <w:spacing w:before="0"/>
        <w:jc w:val="both"/>
        <w:rPr>
          <w:rFonts w:ascii="Arial" w:hAnsi="Arial" w:cs="Arial"/>
        </w:rPr>
      </w:pPr>
      <w:r w:rsidRPr="00D862B4">
        <w:rPr>
          <w:rFonts w:ascii="Arial" w:hAnsi="Arial" w:cs="Arial"/>
        </w:rPr>
        <w:t xml:space="preserve">As per art. 6(5) of regulation (EU) </w:t>
      </w:r>
      <w:proofErr w:type="spellStart"/>
      <w:r w:rsidRPr="00D862B4">
        <w:rPr>
          <w:rFonts w:ascii="Arial" w:hAnsi="Arial" w:cs="Arial"/>
        </w:rPr>
        <w:t>n°909</w:t>
      </w:r>
      <w:proofErr w:type="spellEnd"/>
      <w:r w:rsidRPr="00D862B4">
        <w:rPr>
          <w:rFonts w:ascii="Arial" w:hAnsi="Arial" w:cs="Arial"/>
        </w:rPr>
        <w:t xml:space="preserve">/2014 of 23 July 2014, ESMA was required to “develop draft regulatory technical standards to specify … the details of the procedures facilitating settlement referred to in paragraph 3”; we are of the opinion that imposing the </w:t>
      </w:r>
      <w:proofErr w:type="spellStart"/>
      <w:r w:rsidRPr="00D862B4">
        <w:rPr>
          <w:rFonts w:ascii="Arial" w:hAnsi="Arial" w:cs="Arial"/>
        </w:rPr>
        <w:t>CSDs</w:t>
      </w:r>
      <w:proofErr w:type="spellEnd"/>
      <w:r w:rsidRPr="00D862B4">
        <w:rPr>
          <w:rFonts w:ascii="Arial" w:hAnsi="Arial" w:cs="Arial"/>
        </w:rPr>
        <w:t xml:space="preserve"> to report, without any delay, on any manual intervention, will in no manner facilitate settlement.</w:t>
      </w:r>
    </w:p>
    <w:p w:rsidR="00D862B4" w:rsidRPr="00D862B4" w:rsidRDefault="00D862B4" w:rsidP="00D862B4">
      <w:pPr>
        <w:spacing w:before="0"/>
        <w:ind w:left="720"/>
        <w:jc w:val="both"/>
        <w:rPr>
          <w:rFonts w:ascii="Arial" w:hAnsi="Arial" w:cs="Arial"/>
        </w:rPr>
      </w:pPr>
    </w:p>
    <w:p w:rsidR="00D862B4" w:rsidRDefault="00D862B4" w:rsidP="00D862B4">
      <w:pPr>
        <w:numPr>
          <w:ilvl w:val="0"/>
          <w:numId w:val="5"/>
        </w:numPr>
        <w:spacing w:before="0"/>
        <w:jc w:val="both"/>
        <w:rPr>
          <w:rFonts w:ascii="Arial" w:hAnsi="Arial" w:cs="Arial"/>
        </w:rPr>
      </w:pPr>
      <w:r w:rsidRPr="00D862B4">
        <w:rPr>
          <w:rFonts w:ascii="Arial" w:hAnsi="Arial" w:cs="Arial"/>
        </w:rPr>
        <w:t>We find such a requirement unclear and subject to competent authority’s interpretation; for instance should “any type” be understood as each and every individual manual intervention, or should they be grouped? Regarding IT incidents, does ESMA expect reporting on each and every IT incident or should there be differentiation of the “critical” IT incidents in such a manner that they impact the level of settlement efficiency for a given period or the availability of the settlement engine?</w:t>
      </w:r>
    </w:p>
    <w:p w:rsidR="00D862B4" w:rsidRPr="00D862B4" w:rsidRDefault="00D862B4" w:rsidP="00D862B4">
      <w:pPr>
        <w:spacing w:before="0"/>
        <w:ind w:left="720"/>
        <w:jc w:val="both"/>
        <w:rPr>
          <w:rFonts w:ascii="Arial" w:hAnsi="Arial" w:cs="Arial"/>
        </w:rPr>
      </w:pPr>
    </w:p>
    <w:p w:rsidR="00D862B4" w:rsidRDefault="00D862B4" w:rsidP="00D862B4">
      <w:pPr>
        <w:numPr>
          <w:ilvl w:val="0"/>
          <w:numId w:val="5"/>
        </w:numPr>
        <w:spacing w:before="0"/>
        <w:jc w:val="both"/>
        <w:rPr>
          <w:rFonts w:ascii="Arial" w:hAnsi="Arial" w:cs="Arial"/>
        </w:rPr>
      </w:pPr>
      <w:r w:rsidRPr="00D862B4">
        <w:rPr>
          <w:rFonts w:ascii="Arial" w:hAnsi="Arial" w:cs="Arial"/>
        </w:rPr>
        <w:t xml:space="preserve">As </w:t>
      </w:r>
      <w:proofErr w:type="spellStart"/>
      <w:r w:rsidRPr="00D862B4">
        <w:rPr>
          <w:rFonts w:ascii="Arial" w:hAnsi="Arial" w:cs="Arial"/>
        </w:rPr>
        <w:t>ESMA’s</w:t>
      </w:r>
      <w:proofErr w:type="spellEnd"/>
      <w:r w:rsidRPr="00D862B4">
        <w:rPr>
          <w:rFonts w:ascii="Arial" w:hAnsi="Arial" w:cs="Arial"/>
        </w:rPr>
        <w:t xml:space="preserve"> proposal, </w:t>
      </w:r>
      <w:proofErr w:type="spellStart"/>
      <w:r w:rsidRPr="00D862B4">
        <w:rPr>
          <w:rFonts w:ascii="Arial" w:hAnsi="Arial" w:cs="Arial"/>
        </w:rPr>
        <w:t>CSDs</w:t>
      </w:r>
      <w:proofErr w:type="spellEnd"/>
      <w:r w:rsidRPr="00D862B4">
        <w:rPr>
          <w:rFonts w:ascii="Arial" w:hAnsi="Arial" w:cs="Arial"/>
        </w:rPr>
        <w:t xml:space="preserve"> will have the responsibility to report without any delay; for those </w:t>
      </w:r>
      <w:proofErr w:type="spellStart"/>
      <w:r w:rsidRPr="00D862B4">
        <w:rPr>
          <w:rFonts w:ascii="Arial" w:hAnsi="Arial" w:cs="Arial"/>
        </w:rPr>
        <w:t>CSDs</w:t>
      </w:r>
      <w:proofErr w:type="spellEnd"/>
      <w:r w:rsidRPr="00D862B4">
        <w:rPr>
          <w:rFonts w:ascii="Arial" w:hAnsi="Arial" w:cs="Arial"/>
        </w:rPr>
        <w:t xml:space="preserve"> that will be using the </w:t>
      </w:r>
      <w:proofErr w:type="spellStart"/>
      <w:r w:rsidRPr="00D862B4">
        <w:rPr>
          <w:rFonts w:ascii="Arial" w:hAnsi="Arial" w:cs="Arial"/>
        </w:rPr>
        <w:t>T2S</w:t>
      </w:r>
      <w:proofErr w:type="spellEnd"/>
      <w:r w:rsidRPr="00D862B4">
        <w:rPr>
          <w:rFonts w:ascii="Arial" w:hAnsi="Arial" w:cs="Arial"/>
        </w:rPr>
        <w:t xml:space="preserve"> platform, we would like to highlight that, in case of manual intervention in the settlement engine, and such information may be out of the control of the </w:t>
      </w:r>
      <w:proofErr w:type="spellStart"/>
      <w:r w:rsidRPr="00D862B4">
        <w:rPr>
          <w:rFonts w:ascii="Arial" w:hAnsi="Arial" w:cs="Arial"/>
        </w:rPr>
        <w:t>CSDs</w:t>
      </w:r>
      <w:proofErr w:type="spellEnd"/>
      <w:r w:rsidRPr="00D862B4">
        <w:rPr>
          <w:rFonts w:ascii="Arial" w:hAnsi="Arial" w:cs="Arial"/>
        </w:rPr>
        <w:t xml:space="preserve"> being using the </w:t>
      </w:r>
      <w:proofErr w:type="spellStart"/>
      <w:r w:rsidRPr="00D862B4">
        <w:rPr>
          <w:rFonts w:ascii="Arial" w:hAnsi="Arial" w:cs="Arial"/>
        </w:rPr>
        <w:t>T2S</w:t>
      </w:r>
      <w:proofErr w:type="spellEnd"/>
      <w:r w:rsidRPr="00D862B4">
        <w:rPr>
          <w:rFonts w:ascii="Arial" w:hAnsi="Arial" w:cs="Arial"/>
        </w:rPr>
        <w:t xml:space="preserve"> settlement engine. Does the ESMA intend to implement specific regimes regarding the deadline to report, the way </w:t>
      </w:r>
      <w:proofErr w:type="spellStart"/>
      <w:r w:rsidRPr="00D862B4">
        <w:rPr>
          <w:rFonts w:ascii="Arial" w:hAnsi="Arial" w:cs="Arial"/>
        </w:rPr>
        <w:t>CSDs</w:t>
      </w:r>
      <w:proofErr w:type="spellEnd"/>
      <w:r w:rsidRPr="00D862B4">
        <w:rPr>
          <w:rFonts w:ascii="Arial" w:hAnsi="Arial" w:cs="Arial"/>
        </w:rPr>
        <w:t xml:space="preserve"> will have to prevent such subsequent manual intervention, where the competent authority made a negative assessment? Or are the circumstances clear in which such a requirement would be appropriate? </w:t>
      </w:r>
    </w:p>
    <w:p w:rsidR="00D862B4" w:rsidRPr="00D862B4" w:rsidRDefault="00D862B4" w:rsidP="00D862B4">
      <w:pPr>
        <w:spacing w:before="0"/>
        <w:ind w:left="720"/>
        <w:jc w:val="both"/>
        <w:rPr>
          <w:rFonts w:ascii="Arial" w:hAnsi="Arial" w:cs="Arial"/>
        </w:rPr>
      </w:pPr>
    </w:p>
    <w:p w:rsidR="00D862B4" w:rsidRDefault="00D862B4" w:rsidP="00D862B4">
      <w:pPr>
        <w:numPr>
          <w:ilvl w:val="0"/>
          <w:numId w:val="5"/>
        </w:numPr>
        <w:spacing w:before="0"/>
        <w:jc w:val="both"/>
        <w:rPr>
          <w:rFonts w:ascii="Arial" w:hAnsi="Arial" w:cs="Arial"/>
        </w:rPr>
      </w:pPr>
      <w:r w:rsidRPr="00D862B4">
        <w:rPr>
          <w:rFonts w:ascii="Arial" w:hAnsi="Arial" w:cs="Arial"/>
        </w:rPr>
        <w:t xml:space="preserve">In its art. 3(1), last paragraph, ESMA would require competent authorities to consider appropriateness of manual intervention; given that </w:t>
      </w:r>
      <w:proofErr w:type="spellStart"/>
      <w:r w:rsidRPr="00D862B4">
        <w:rPr>
          <w:rFonts w:ascii="Arial" w:hAnsi="Arial" w:cs="Arial"/>
        </w:rPr>
        <w:t>CSDs</w:t>
      </w:r>
      <w:proofErr w:type="spellEnd"/>
      <w:r w:rsidRPr="00D862B4">
        <w:rPr>
          <w:rFonts w:ascii="Arial" w:hAnsi="Arial" w:cs="Arial"/>
        </w:rPr>
        <w:t xml:space="preserve"> would be required to report on any type of manual intervention, it would require the competent authority to make an assessment of the reporting made by the </w:t>
      </w:r>
      <w:proofErr w:type="spellStart"/>
      <w:r w:rsidRPr="00D862B4">
        <w:rPr>
          <w:rFonts w:ascii="Arial" w:hAnsi="Arial" w:cs="Arial"/>
        </w:rPr>
        <w:t>CSD</w:t>
      </w:r>
      <w:proofErr w:type="spellEnd"/>
      <w:r w:rsidRPr="00D862B4">
        <w:rPr>
          <w:rFonts w:ascii="Arial" w:hAnsi="Arial" w:cs="Arial"/>
        </w:rPr>
        <w:t>. We find this assessment difficult to make because (</w:t>
      </w:r>
      <w:proofErr w:type="spellStart"/>
      <w:r w:rsidRPr="00D862B4">
        <w:rPr>
          <w:rFonts w:ascii="Arial" w:hAnsi="Arial" w:cs="Arial"/>
        </w:rPr>
        <w:t>i</w:t>
      </w:r>
      <w:proofErr w:type="spellEnd"/>
      <w:r w:rsidRPr="00D862B4">
        <w:rPr>
          <w:rFonts w:ascii="Arial" w:hAnsi="Arial" w:cs="Arial"/>
        </w:rPr>
        <w:t>) number of assessment could be important and difficult to manage, (ii) proposed set of information to be reported could not be sufficient for the competent authority to make such a judgment (for instance context of the manual intervention – because of disruption at the communication process or settlement engine…).</w:t>
      </w:r>
    </w:p>
    <w:p w:rsidR="00D862B4" w:rsidRPr="00D862B4" w:rsidRDefault="00D862B4" w:rsidP="00D862B4">
      <w:pPr>
        <w:spacing w:before="0"/>
        <w:ind w:left="720"/>
        <w:jc w:val="both"/>
        <w:rPr>
          <w:rFonts w:ascii="Arial" w:hAnsi="Arial" w:cs="Arial"/>
        </w:rPr>
      </w:pPr>
    </w:p>
    <w:p w:rsidR="00D862B4" w:rsidRPr="00D862B4" w:rsidRDefault="00D862B4" w:rsidP="00D862B4">
      <w:pPr>
        <w:numPr>
          <w:ilvl w:val="0"/>
          <w:numId w:val="5"/>
        </w:numPr>
        <w:spacing w:before="0"/>
        <w:jc w:val="both"/>
        <w:rPr>
          <w:rFonts w:ascii="Arial" w:hAnsi="Arial" w:cs="Arial"/>
        </w:rPr>
      </w:pPr>
      <w:r w:rsidRPr="00D862B4">
        <w:rPr>
          <w:rFonts w:ascii="Arial" w:hAnsi="Arial" w:cs="Arial"/>
        </w:rPr>
        <w:t>Regarding the periodicity of the reporting, we are of the opinion that the requirement to report without any delay is burdensome and we would suggest</w:t>
      </w:r>
      <w:proofErr w:type="gramStart"/>
      <w:r w:rsidRPr="00D862B4">
        <w:rPr>
          <w:rFonts w:ascii="Arial" w:hAnsi="Arial" w:cs="Arial"/>
        </w:rPr>
        <w:t>,</w:t>
      </w:r>
      <w:proofErr w:type="gramEnd"/>
      <w:r w:rsidRPr="00D862B4">
        <w:rPr>
          <w:rFonts w:ascii="Arial" w:hAnsi="Arial" w:cs="Arial"/>
        </w:rPr>
        <w:t xml:space="preserve"> if such a requirement would be further considered, to require such a reporting in the way and according to the periodicity as set out in art. 5(1) of the draft </w:t>
      </w:r>
      <w:proofErr w:type="gramStart"/>
      <w:r w:rsidRPr="00D862B4">
        <w:rPr>
          <w:rFonts w:ascii="Arial" w:hAnsi="Arial" w:cs="Arial"/>
        </w:rPr>
        <w:t>ANNEX</w:t>
      </w:r>
      <w:proofErr w:type="gramEnd"/>
      <w:r w:rsidRPr="00D862B4">
        <w:rPr>
          <w:rFonts w:ascii="Arial" w:hAnsi="Arial" w:cs="Arial"/>
        </w:rPr>
        <w:t xml:space="preserve"> I – Settlement discipline.</w:t>
      </w:r>
    </w:p>
    <w:p w:rsidR="00D862B4" w:rsidRPr="00D862B4" w:rsidRDefault="00D862B4" w:rsidP="00D862B4">
      <w:pPr>
        <w:jc w:val="both"/>
        <w:rPr>
          <w:rFonts w:ascii="Arial" w:hAnsi="Arial" w:cs="Arial"/>
        </w:rPr>
      </w:pPr>
      <w:r w:rsidRPr="00D862B4">
        <w:rPr>
          <w:rFonts w:ascii="Arial" w:hAnsi="Arial" w:cs="Arial"/>
        </w:rPr>
        <w:t>We therefore suggest either:</w:t>
      </w:r>
    </w:p>
    <w:p w:rsidR="00D862B4" w:rsidRPr="00D862B4" w:rsidRDefault="00D862B4" w:rsidP="00D862B4">
      <w:pPr>
        <w:numPr>
          <w:ilvl w:val="0"/>
          <w:numId w:val="6"/>
        </w:numPr>
        <w:spacing w:before="0"/>
        <w:jc w:val="both"/>
        <w:rPr>
          <w:rFonts w:ascii="Arial" w:hAnsi="Arial" w:cs="Arial"/>
        </w:rPr>
      </w:pPr>
      <w:proofErr w:type="gramStart"/>
      <w:r w:rsidRPr="00D862B4">
        <w:rPr>
          <w:rFonts w:ascii="Arial" w:hAnsi="Arial" w:cs="Arial"/>
        </w:rPr>
        <w:t>to</w:t>
      </w:r>
      <w:proofErr w:type="gramEnd"/>
      <w:r w:rsidRPr="00D862B4">
        <w:rPr>
          <w:rFonts w:ascii="Arial" w:hAnsi="Arial" w:cs="Arial"/>
        </w:rPr>
        <w:t xml:space="preserve"> remove the sub paragraph of art. (3)1 related to reporting of manual interventions, but leaving the reporting on manual intervention as set out in art. 41 (1) (l) of Annex II – Draft </w:t>
      </w:r>
      <w:proofErr w:type="spellStart"/>
      <w:r w:rsidRPr="00D862B4">
        <w:rPr>
          <w:rFonts w:ascii="Arial" w:hAnsi="Arial" w:cs="Arial"/>
        </w:rPr>
        <w:t>RTS</w:t>
      </w:r>
      <w:proofErr w:type="spellEnd"/>
      <w:r w:rsidRPr="00D862B4">
        <w:rPr>
          <w:rFonts w:ascii="Arial" w:hAnsi="Arial" w:cs="Arial"/>
        </w:rPr>
        <w:t xml:space="preserve"> on </w:t>
      </w:r>
      <w:proofErr w:type="spellStart"/>
      <w:r w:rsidRPr="00D862B4">
        <w:rPr>
          <w:rFonts w:ascii="Arial" w:hAnsi="Arial" w:cs="Arial"/>
        </w:rPr>
        <w:t>CSD</w:t>
      </w:r>
      <w:proofErr w:type="spellEnd"/>
      <w:r w:rsidRPr="00D862B4">
        <w:rPr>
          <w:rFonts w:ascii="Arial" w:hAnsi="Arial" w:cs="Arial"/>
        </w:rPr>
        <w:t xml:space="preserve"> authorization; or</w:t>
      </w:r>
    </w:p>
    <w:p w:rsidR="00D862B4" w:rsidRPr="00D862B4" w:rsidRDefault="00D862B4" w:rsidP="00D862B4">
      <w:pPr>
        <w:numPr>
          <w:ilvl w:val="0"/>
          <w:numId w:val="6"/>
        </w:numPr>
        <w:spacing w:before="0"/>
        <w:jc w:val="both"/>
        <w:rPr>
          <w:rFonts w:ascii="Arial" w:hAnsi="Arial" w:cs="Arial"/>
        </w:rPr>
      </w:pPr>
      <w:proofErr w:type="gramStart"/>
      <w:r w:rsidRPr="00D862B4">
        <w:rPr>
          <w:rFonts w:ascii="Arial" w:hAnsi="Arial" w:cs="Arial"/>
        </w:rPr>
        <w:t>at</w:t>
      </w:r>
      <w:proofErr w:type="gramEnd"/>
      <w:r w:rsidRPr="00D862B4">
        <w:rPr>
          <w:rFonts w:ascii="Arial" w:hAnsi="Arial" w:cs="Arial"/>
        </w:rPr>
        <w:t xml:space="preserve"> least, re-drafting art. 3(1), second paragraph, according to the below:</w:t>
      </w:r>
    </w:p>
    <w:p w:rsidR="00D862B4" w:rsidRPr="00D862B4" w:rsidRDefault="00D862B4" w:rsidP="00D862B4">
      <w:pPr>
        <w:jc w:val="both"/>
        <w:rPr>
          <w:rFonts w:ascii="Arial" w:hAnsi="Arial" w:cs="Arial"/>
          <w:i/>
        </w:rPr>
      </w:pPr>
      <w:r w:rsidRPr="00D862B4">
        <w:rPr>
          <w:rFonts w:ascii="Arial" w:hAnsi="Arial" w:cs="Arial"/>
          <w:i/>
        </w:rPr>
        <w:t xml:space="preserve">“A </w:t>
      </w:r>
      <w:proofErr w:type="spellStart"/>
      <w:r w:rsidRPr="00D862B4">
        <w:rPr>
          <w:rFonts w:ascii="Arial" w:hAnsi="Arial" w:cs="Arial"/>
          <w:i/>
        </w:rPr>
        <w:t>CSD</w:t>
      </w:r>
      <w:proofErr w:type="spellEnd"/>
      <w:r w:rsidRPr="00D862B4">
        <w:rPr>
          <w:rFonts w:ascii="Arial" w:hAnsi="Arial" w:cs="Arial"/>
          <w:i/>
        </w:rPr>
        <w:t xml:space="preserve"> shall report manual interventions </w:t>
      </w:r>
      <w:r w:rsidRPr="00D862B4">
        <w:rPr>
          <w:rFonts w:ascii="Arial" w:hAnsi="Arial" w:cs="Arial"/>
          <w:b/>
          <w:i/>
        </w:rPr>
        <w:t xml:space="preserve">that were critical to the settlement efficiency or settlement engine availability </w:t>
      </w:r>
      <w:r w:rsidRPr="00D862B4">
        <w:rPr>
          <w:rFonts w:ascii="Arial" w:hAnsi="Arial" w:cs="Arial"/>
          <w:i/>
        </w:rPr>
        <w:t>to the competent authority, in a way and format agreed with its competent authority.</w:t>
      </w:r>
    </w:p>
    <w:p w:rsidR="00D862B4" w:rsidRPr="00D862B4" w:rsidRDefault="00D862B4" w:rsidP="00D862B4">
      <w:pPr>
        <w:jc w:val="both"/>
        <w:rPr>
          <w:rFonts w:ascii="Arial" w:hAnsi="Arial" w:cs="Arial"/>
          <w:i/>
        </w:rPr>
      </w:pPr>
    </w:p>
    <w:p w:rsidR="00D862B4" w:rsidRPr="00D862B4" w:rsidRDefault="00D862B4" w:rsidP="00D862B4">
      <w:pPr>
        <w:spacing w:after="240"/>
        <w:jc w:val="both"/>
        <w:rPr>
          <w:rFonts w:ascii="Arial" w:hAnsi="Arial" w:cs="Arial"/>
          <w:i/>
        </w:rPr>
      </w:pPr>
      <w:r w:rsidRPr="00D862B4">
        <w:rPr>
          <w:rFonts w:ascii="Arial" w:hAnsi="Arial" w:cs="Arial"/>
          <w:i/>
        </w:rPr>
        <w:lastRenderedPageBreak/>
        <w:t xml:space="preserve">If the competent authority, </w:t>
      </w:r>
      <w:r w:rsidRPr="00D862B4">
        <w:rPr>
          <w:rFonts w:ascii="Arial" w:hAnsi="Arial" w:cs="Arial"/>
          <w:b/>
          <w:i/>
        </w:rPr>
        <w:t xml:space="preserve">in coordination with the relevant </w:t>
      </w:r>
      <w:proofErr w:type="spellStart"/>
      <w:r w:rsidRPr="00D862B4">
        <w:rPr>
          <w:rFonts w:ascii="Arial" w:hAnsi="Arial" w:cs="Arial"/>
          <w:b/>
          <w:i/>
        </w:rPr>
        <w:t>CSD</w:t>
      </w:r>
      <w:proofErr w:type="spellEnd"/>
      <w:r w:rsidRPr="00D862B4">
        <w:rPr>
          <w:rFonts w:ascii="Arial" w:hAnsi="Arial" w:cs="Arial"/>
          <w:i/>
        </w:rPr>
        <w:t xml:space="preserve">, considers that the type of manual intervention is not appropriate for the smooth functioning of the securities settlement system, the </w:t>
      </w:r>
      <w:proofErr w:type="spellStart"/>
      <w:r w:rsidRPr="00D862B4">
        <w:rPr>
          <w:rFonts w:ascii="Arial" w:hAnsi="Arial" w:cs="Arial"/>
          <w:i/>
        </w:rPr>
        <w:t>CSD</w:t>
      </w:r>
      <w:proofErr w:type="spellEnd"/>
      <w:r w:rsidRPr="00D862B4">
        <w:rPr>
          <w:rFonts w:ascii="Arial" w:hAnsi="Arial" w:cs="Arial"/>
          <w:i/>
        </w:rPr>
        <w:t xml:space="preserve"> shall not to use such type of manual intervention in the future”.</w:t>
      </w: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3(3) – Mandatory matching fields</w:t>
      </w:r>
    </w:p>
    <w:p w:rsidR="00D862B4" w:rsidRPr="00D862B4" w:rsidRDefault="00D862B4" w:rsidP="00D862B4">
      <w:pPr>
        <w:jc w:val="both"/>
        <w:rPr>
          <w:rFonts w:ascii="Arial" w:hAnsi="Arial" w:cs="Arial"/>
        </w:rPr>
      </w:pPr>
      <w:r w:rsidRPr="00D862B4">
        <w:rPr>
          <w:rFonts w:ascii="Arial" w:hAnsi="Arial" w:cs="Arial"/>
        </w:rPr>
        <w:t xml:space="preserve">With respect to the requirement for participants to use a detailed list of mandatory matching fields, BNY Mellon </w:t>
      </w:r>
      <w:proofErr w:type="spellStart"/>
      <w:r w:rsidRPr="00D862B4">
        <w:rPr>
          <w:rFonts w:ascii="Arial" w:hAnsi="Arial" w:cs="Arial"/>
        </w:rPr>
        <w:t>CSD</w:t>
      </w:r>
      <w:proofErr w:type="spellEnd"/>
      <w:r w:rsidRPr="00D862B4">
        <w:rPr>
          <w:rFonts w:ascii="Arial" w:hAnsi="Arial" w:cs="Arial"/>
        </w:rPr>
        <w:t xml:space="preserve"> is of the opinion that the ESMA has underestimated the impact of such a requirement, both with respect to the requirements for technical implementation, and to the impact on the efficiency of the settlement engine, as an extra mandatory matching field will tend to reduce settlement efficiency.</w:t>
      </w:r>
    </w:p>
    <w:p w:rsidR="00D862B4" w:rsidRPr="00D862B4" w:rsidRDefault="00D862B4" w:rsidP="00D862B4">
      <w:pPr>
        <w:jc w:val="both"/>
        <w:rPr>
          <w:rFonts w:ascii="Arial" w:hAnsi="Arial" w:cs="Arial"/>
        </w:rPr>
      </w:pPr>
      <w:r w:rsidRPr="00D862B4">
        <w:rPr>
          <w:rFonts w:ascii="Arial" w:hAnsi="Arial" w:cs="Arial"/>
        </w:rPr>
        <w:t xml:space="preserve">For some of these proposed matching fields, new ISO codes will have to be created or others are not current agreed harmonized market practice. This is the case for instance for point (d) transaction type of art. 3(3) for those transactions further defined in art. </w:t>
      </w:r>
      <w:proofErr w:type="gramStart"/>
      <w:r w:rsidRPr="00D862B4">
        <w:rPr>
          <w:rFonts w:ascii="Arial" w:hAnsi="Arial" w:cs="Arial"/>
        </w:rPr>
        <w:t xml:space="preserve">4(2), (e) that are related to OTC, collateral management, custody related and </w:t>
      </w:r>
      <w:proofErr w:type="spellStart"/>
      <w:r w:rsidRPr="00D862B4">
        <w:rPr>
          <w:rFonts w:ascii="Arial" w:hAnsi="Arial" w:cs="Arial"/>
        </w:rPr>
        <w:t>CCP</w:t>
      </w:r>
      <w:proofErr w:type="spellEnd"/>
      <w:r w:rsidRPr="00D862B4">
        <w:rPr>
          <w:rFonts w:ascii="Arial" w:hAnsi="Arial" w:cs="Arial"/>
        </w:rPr>
        <w:t>-cleared.</w:t>
      </w:r>
      <w:proofErr w:type="gramEnd"/>
    </w:p>
    <w:p w:rsidR="00D862B4" w:rsidRPr="00D862B4" w:rsidRDefault="00D862B4" w:rsidP="00D862B4">
      <w:pPr>
        <w:jc w:val="both"/>
        <w:rPr>
          <w:rFonts w:ascii="Arial" w:hAnsi="Arial" w:cs="Arial"/>
        </w:rPr>
      </w:pPr>
      <w:r w:rsidRPr="00D862B4">
        <w:rPr>
          <w:rFonts w:ascii="Arial" w:hAnsi="Arial" w:cs="Arial"/>
        </w:rPr>
        <w:t xml:space="preserve">This means that, in addition to time constraints for having those ISO codes agreed by the market, changes to ISO standards will require testing and implementation. It will also require both the allied </w:t>
      </w:r>
      <w:proofErr w:type="spellStart"/>
      <w:r w:rsidRPr="00D862B4">
        <w:rPr>
          <w:rFonts w:ascii="Arial" w:hAnsi="Arial" w:cs="Arial"/>
        </w:rPr>
        <w:t>CSDs</w:t>
      </w:r>
      <w:proofErr w:type="spellEnd"/>
      <w:r w:rsidRPr="00D862B4">
        <w:rPr>
          <w:rFonts w:ascii="Arial" w:hAnsi="Arial" w:cs="Arial"/>
        </w:rPr>
        <w:t xml:space="preserve"> and participants to adapt their systems, being the settlement engine participant’s settlement mechanisms. Risks should not be underestimated that, as a result of the need for the market to implement the technical development, it could impact the settlement efficiency as a whole (because of increase in unmatched for instance) and would therefore result in a totally contrary effect to the objectives pursued by the </w:t>
      </w:r>
      <w:proofErr w:type="spellStart"/>
      <w:r w:rsidRPr="00D862B4">
        <w:rPr>
          <w:rFonts w:ascii="Arial" w:hAnsi="Arial" w:cs="Arial"/>
        </w:rPr>
        <w:t>CSD</w:t>
      </w:r>
      <w:proofErr w:type="spellEnd"/>
      <w:r w:rsidRPr="00D862B4">
        <w:rPr>
          <w:rFonts w:ascii="Arial" w:hAnsi="Arial" w:cs="Arial"/>
        </w:rPr>
        <w:t xml:space="preserve"> Regulation.</w:t>
      </w:r>
    </w:p>
    <w:p w:rsidR="00D862B4" w:rsidRPr="00D862B4" w:rsidRDefault="00D862B4" w:rsidP="00D862B4">
      <w:pPr>
        <w:jc w:val="both"/>
        <w:rPr>
          <w:rFonts w:ascii="Arial" w:hAnsi="Arial" w:cs="Arial"/>
        </w:rPr>
      </w:pPr>
      <w:r w:rsidRPr="00D862B4">
        <w:rPr>
          <w:rFonts w:ascii="Arial" w:hAnsi="Arial" w:cs="Arial"/>
        </w:rPr>
        <w:t xml:space="preserve">Furthermore, it is our view that the information in the matching fields must be quoted using international open communication procedures and standards for reference data. </w:t>
      </w:r>
      <w:proofErr w:type="spellStart"/>
      <w:r w:rsidRPr="00D862B4">
        <w:rPr>
          <w:rFonts w:ascii="Arial" w:hAnsi="Arial" w:cs="Arial"/>
        </w:rPr>
        <w:t>CSD</w:t>
      </w:r>
      <w:proofErr w:type="spellEnd"/>
      <w:r w:rsidRPr="00D862B4">
        <w:rPr>
          <w:rFonts w:ascii="Arial" w:hAnsi="Arial" w:cs="Arial"/>
        </w:rPr>
        <w:t>-proprietary codes for reference data should not be allowed for matching purposes.</w:t>
      </w:r>
    </w:p>
    <w:p w:rsidR="002E4ACF" w:rsidRPr="00D862B4" w:rsidRDefault="00D862B4" w:rsidP="002E4ACF">
      <w:pPr>
        <w:spacing w:after="240"/>
        <w:jc w:val="both"/>
        <w:rPr>
          <w:rFonts w:ascii="Arial" w:hAnsi="Arial" w:cs="Arial"/>
        </w:rPr>
      </w:pPr>
      <w:r w:rsidRPr="00D862B4">
        <w:rPr>
          <w:rFonts w:ascii="Arial" w:hAnsi="Arial" w:cs="Arial"/>
        </w:rPr>
        <w:t xml:space="preserve">BNY Mellon </w:t>
      </w:r>
      <w:proofErr w:type="spellStart"/>
      <w:r w:rsidRPr="00D862B4">
        <w:rPr>
          <w:rFonts w:ascii="Arial" w:hAnsi="Arial" w:cs="Arial"/>
        </w:rPr>
        <w:t>CSD</w:t>
      </w:r>
      <w:proofErr w:type="spellEnd"/>
      <w:r w:rsidRPr="00D862B4">
        <w:rPr>
          <w:rFonts w:ascii="Arial" w:hAnsi="Arial" w:cs="Arial"/>
        </w:rPr>
        <w:t xml:space="preserve"> would to bring </w:t>
      </w:r>
      <w:proofErr w:type="spellStart"/>
      <w:r w:rsidRPr="00D862B4">
        <w:rPr>
          <w:rFonts w:ascii="Arial" w:hAnsi="Arial" w:cs="Arial"/>
        </w:rPr>
        <w:t>ESMA’s</w:t>
      </w:r>
      <w:proofErr w:type="spellEnd"/>
      <w:r w:rsidRPr="00D862B4">
        <w:rPr>
          <w:rFonts w:ascii="Arial" w:hAnsi="Arial" w:cs="Arial"/>
        </w:rPr>
        <w:t xml:space="preserve"> attention on the need for further deadlines to be given in order for </w:t>
      </w:r>
      <w:proofErr w:type="spellStart"/>
      <w:r w:rsidRPr="00D862B4">
        <w:rPr>
          <w:rFonts w:ascii="Arial" w:hAnsi="Arial" w:cs="Arial"/>
        </w:rPr>
        <w:t>CSDs</w:t>
      </w:r>
      <w:proofErr w:type="spellEnd"/>
      <w:r w:rsidRPr="00D862B4">
        <w:rPr>
          <w:rFonts w:ascii="Arial" w:hAnsi="Arial" w:cs="Arial"/>
        </w:rPr>
        <w:t xml:space="preserve"> but also for the market as a whole to (</w:t>
      </w:r>
      <w:proofErr w:type="spellStart"/>
      <w:r w:rsidRPr="00D862B4">
        <w:rPr>
          <w:rFonts w:ascii="Arial" w:hAnsi="Arial" w:cs="Arial"/>
        </w:rPr>
        <w:t>i</w:t>
      </w:r>
      <w:proofErr w:type="spellEnd"/>
      <w:r w:rsidRPr="00D862B4">
        <w:rPr>
          <w:rFonts w:ascii="Arial" w:hAnsi="Arial" w:cs="Arial"/>
        </w:rPr>
        <w:t>) agree, (ii) test and (iii) implement harmonized ISO standards.</w:t>
      </w: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3(4) – Bilateral cancellation</w:t>
      </w:r>
    </w:p>
    <w:p w:rsidR="002E4ACF" w:rsidRDefault="00D862B4" w:rsidP="00D862B4">
      <w:pPr>
        <w:jc w:val="both"/>
        <w:rPr>
          <w:rFonts w:ascii="Arial" w:hAnsi="Arial" w:cs="Arial"/>
        </w:rPr>
      </w:pPr>
      <w:r w:rsidRPr="00D862B4">
        <w:rPr>
          <w:rFonts w:ascii="Arial" w:hAnsi="Arial" w:cs="Arial"/>
        </w:rPr>
        <w:t xml:space="preserve">BNY Mellon </w:t>
      </w:r>
      <w:proofErr w:type="spellStart"/>
      <w:r w:rsidRPr="00D862B4">
        <w:rPr>
          <w:rFonts w:ascii="Arial" w:hAnsi="Arial" w:cs="Arial"/>
        </w:rPr>
        <w:t>CSD</w:t>
      </w:r>
      <w:proofErr w:type="spellEnd"/>
      <w:r w:rsidRPr="00D862B4">
        <w:rPr>
          <w:rFonts w:ascii="Arial" w:hAnsi="Arial" w:cs="Arial"/>
        </w:rPr>
        <w:t xml:space="preserve"> agrees with the provision to offer participant bilateral cancellation facility. Nevertheless, we would like to stress that bilateral revocation should be required for matched instruction, while it would remain possible for participant to unilaterally cancel unmatched instructions. Moreover the </w:t>
      </w:r>
      <w:proofErr w:type="spellStart"/>
      <w:r w:rsidRPr="00D862B4">
        <w:rPr>
          <w:rFonts w:ascii="Arial" w:hAnsi="Arial" w:cs="Arial"/>
        </w:rPr>
        <w:t>CSD</w:t>
      </w:r>
      <w:proofErr w:type="spellEnd"/>
      <w:r w:rsidRPr="00D862B4">
        <w:rPr>
          <w:rFonts w:ascii="Arial" w:hAnsi="Arial" w:cs="Arial"/>
        </w:rPr>
        <w:t xml:space="preserve"> should be allowed to automatically cancel all unmatched instructions that remain pending for a certain number of days after their intended settlement date e.g. 30 calendar days after the intended settlement date all unmatched instructions will be cancelled automatically and the participant will be advised thereof.</w:t>
      </w:r>
    </w:p>
    <w:p w:rsidR="00D862B4" w:rsidRPr="00D862B4" w:rsidRDefault="00D862B4" w:rsidP="00D862B4">
      <w:pPr>
        <w:jc w:val="both"/>
        <w:rPr>
          <w:rFonts w:ascii="Arial" w:hAnsi="Arial" w:cs="Arial"/>
        </w:rPr>
      </w:pPr>
      <w:r w:rsidRPr="00D862B4">
        <w:rPr>
          <w:rFonts w:ascii="Arial" w:hAnsi="Arial" w:cs="Arial"/>
        </w:rPr>
        <w:t>We therefore propose this article to be redrafted as below:</w:t>
      </w:r>
    </w:p>
    <w:p w:rsidR="00D862B4" w:rsidRPr="002E4ACF" w:rsidRDefault="00D862B4" w:rsidP="002E4ACF">
      <w:pPr>
        <w:spacing w:after="240"/>
        <w:jc w:val="both"/>
        <w:rPr>
          <w:rFonts w:ascii="Arial" w:hAnsi="Arial" w:cs="Arial"/>
          <w:i/>
        </w:rPr>
      </w:pPr>
      <w:r w:rsidRPr="00D862B4">
        <w:rPr>
          <w:rFonts w:ascii="Arial" w:hAnsi="Arial" w:cs="Arial"/>
          <w:i/>
        </w:rPr>
        <w:t xml:space="preserve">“A </w:t>
      </w:r>
      <w:proofErr w:type="spellStart"/>
      <w:r w:rsidRPr="00D862B4">
        <w:rPr>
          <w:rFonts w:ascii="Arial" w:hAnsi="Arial" w:cs="Arial"/>
          <w:i/>
        </w:rPr>
        <w:t>CSD</w:t>
      </w:r>
      <w:proofErr w:type="spellEnd"/>
      <w:r w:rsidRPr="00D862B4">
        <w:rPr>
          <w:rFonts w:ascii="Arial" w:hAnsi="Arial" w:cs="Arial"/>
          <w:i/>
        </w:rPr>
        <w:t xml:space="preserve"> shall offer its participants a bilateral cancellation facility that enables them to bilaterally revoke </w:t>
      </w:r>
      <w:r w:rsidRPr="00D862B4">
        <w:rPr>
          <w:rFonts w:ascii="Arial" w:hAnsi="Arial" w:cs="Arial"/>
          <w:b/>
          <w:i/>
        </w:rPr>
        <w:t xml:space="preserve">matched </w:t>
      </w:r>
      <w:r w:rsidRPr="00D862B4">
        <w:rPr>
          <w:rFonts w:ascii="Arial" w:hAnsi="Arial" w:cs="Arial"/>
          <w:i/>
        </w:rPr>
        <w:t>settlement instructions that form part of the same transaction.”</w:t>
      </w: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3(8) – Information on pending instructions</w:t>
      </w:r>
    </w:p>
    <w:p w:rsidR="00D862B4" w:rsidRPr="00D862B4" w:rsidRDefault="00D862B4" w:rsidP="00D862B4">
      <w:pPr>
        <w:jc w:val="both"/>
        <w:rPr>
          <w:rFonts w:ascii="Arial" w:hAnsi="Arial" w:cs="Arial"/>
        </w:rPr>
      </w:pPr>
      <w:r w:rsidRPr="00D862B4">
        <w:rPr>
          <w:rFonts w:ascii="Arial" w:hAnsi="Arial" w:cs="Arial"/>
        </w:rPr>
        <w:t xml:space="preserve">While BNY Mellon </w:t>
      </w:r>
      <w:proofErr w:type="spellStart"/>
      <w:r w:rsidRPr="00D862B4">
        <w:rPr>
          <w:rFonts w:ascii="Arial" w:hAnsi="Arial" w:cs="Arial"/>
        </w:rPr>
        <w:t>CSD</w:t>
      </w:r>
      <w:proofErr w:type="spellEnd"/>
      <w:r w:rsidRPr="00D862B4">
        <w:rPr>
          <w:rFonts w:ascii="Arial" w:hAnsi="Arial" w:cs="Arial"/>
        </w:rPr>
        <w:t xml:space="preserve"> fully supports the rationale of such a provision, i.e. to enable its participants to have up-to-date information on their pending settlement instruction, we are of the opinion that </w:t>
      </w:r>
      <w:proofErr w:type="spellStart"/>
      <w:r w:rsidRPr="00D862B4">
        <w:rPr>
          <w:rFonts w:ascii="Arial" w:hAnsi="Arial" w:cs="Arial"/>
        </w:rPr>
        <w:t>CSD</w:t>
      </w:r>
      <w:proofErr w:type="spellEnd"/>
      <w:r w:rsidRPr="00D862B4">
        <w:rPr>
          <w:rFonts w:ascii="Arial" w:hAnsi="Arial" w:cs="Arial"/>
        </w:rPr>
        <w:t xml:space="preserve"> participants should be offered such a possibility rather than making it mandatory.</w:t>
      </w:r>
    </w:p>
    <w:p w:rsidR="00D862B4" w:rsidRPr="00D862B4" w:rsidRDefault="00D862B4" w:rsidP="00D862B4">
      <w:pPr>
        <w:jc w:val="both"/>
        <w:rPr>
          <w:rFonts w:ascii="Arial" w:hAnsi="Arial" w:cs="Arial"/>
        </w:rPr>
      </w:pPr>
    </w:p>
    <w:p w:rsidR="00D862B4" w:rsidRPr="00D862B4" w:rsidRDefault="00D862B4" w:rsidP="00D862B4">
      <w:pPr>
        <w:jc w:val="both"/>
        <w:rPr>
          <w:rFonts w:ascii="Arial" w:hAnsi="Arial" w:cs="Arial"/>
        </w:rPr>
      </w:pPr>
      <w:r w:rsidRPr="00D862B4">
        <w:rPr>
          <w:rFonts w:ascii="Arial" w:hAnsi="Arial" w:cs="Arial"/>
        </w:rPr>
        <w:lastRenderedPageBreak/>
        <w:t>The reasons for such an approach are: (</w:t>
      </w:r>
      <w:proofErr w:type="spellStart"/>
      <w:r w:rsidRPr="00D862B4">
        <w:rPr>
          <w:rFonts w:ascii="Arial" w:hAnsi="Arial" w:cs="Arial"/>
        </w:rPr>
        <w:t>i</w:t>
      </w:r>
      <w:proofErr w:type="spellEnd"/>
      <w:r w:rsidRPr="00D862B4">
        <w:rPr>
          <w:rFonts w:ascii="Arial" w:hAnsi="Arial" w:cs="Arial"/>
        </w:rPr>
        <w:t xml:space="preserve">) making such a regime mandatory may not result in </w:t>
      </w:r>
      <w:proofErr w:type="spellStart"/>
      <w:r w:rsidRPr="00D862B4">
        <w:rPr>
          <w:rFonts w:ascii="Arial" w:hAnsi="Arial" w:cs="Arial"/>
        </w:rPr>
        <w:t>CSDs</w:t>
      </w:r>
      <w:proofErr w:type="spellEnd"/>
      <w:r w:rsidRPr="00D862B4">
        <w:rPr>
          <w:rFonts w:ascii="Arial" w:hAnsi="Arial" w:cs="Arial"/>
        </w:rPr>
        <w:t xml:space="preserve"> offering such a service for free and (ii) may result in too many </w:t>
      </w:r>
      <w:proofErr w:type="spellStart"/>
      <w:r w:rsidRPr="00D862B4">
        <w:rPr>
          <w:rFonts w:ascii="Arial" w:hAnsi="Arial" w:cs="Arial"/>
        </w:rPr>
        <w:t>allegements</w:t>
      </w:r>
      <w:proofErr w:type="spellEnd"/>
      <w:r w:rsidRPr="00D862B4">
        <w:rPr>
          <w:rFonts w:ascii="Arial" w:hAnsi="Arial" w:cs="Arial"/>
        </w:rPr>
        <w:t xml:space="preserve"> considered unnecessary for those participants that take action on “initial” </w:t>
      </w:r>
      <w:proofErr w:type="spellStart"/>
      <w:r w:rsidRPr="00D862B4">
        <w:rPr>
          <w:rFonts w:ascii="Arial" w:hAnsi="Arial" w:cs="Arial"/>
        </w:rPr>
        <w:t>allegement</w:t>
      </w:r>
      <w:proofErr w:type="spellEnd"/>
      <w:r w:rsidRPr="00D862B4">
        <w:rPr>
          <w:rFonts w:ascii="Arial" w:hAnsi="Arial" w:cs="Arial"/>
        </w:rPr>
        <w:t xml:space="preserve"> notices.</w:t>
      </w:r>
    </w:p>
    <w:p w:rsidR="00D862B4" w:rsidRPr="00D862B4" w:rsidRDefault="00D862B4" w:rsidP="00D862B4">
      <w:pPr>
        <w:jc w:val="both"/>
        <w:rPr>
          <w:rFonts w:ascii="Arial" w:hAnsi="Arial" w:cs="Arial"/>
        </w:rPr>
      </w:pPr>
      <w:r w:rsidRPr="00D862B4">
        <w:rPr>
          <w:rFonts w:ascii="Arial" w:hAnsi="Arial" w:cs="Arial"/>
        </w:rPr>
        <w:t xml:space="preserve">Therefore, we propose to redraft art. 3(8) accordingly, taking also into account the </w:t>
      </w:r>
      <w:proofErr w:type="spellStart"/>
      <w:r w:rsidRPr="00D862B4">
        <w:rPr>
          <w:rFonts w:ascii="Arial" w:hAnsi="Arial" w:cs="Arial"/>
        </w:rPr>
        <w:t>T2S</w:t>
      </w:r>
      <w:proofErr w:type="spellEnd"/>
      <w:r w:rsidRPr="00D862B4">
        <w:rPr>
          <w:rFonts w:ascii="Arial" w:hAnsi="Arial" w:cs="Arial"/>
        </w:rPr>
        <w:t xml:space="preserve"> context:</w:t>
      </w:r>
    </w:p>
    <w:p w:rsidR="002E4ACF" w:rsidRPr="00D862B4" w:rsidRDefault="00D862B4" w:rsidP="002E4ACF">
      <w:pPr>
        <w:spacing w:after="240"/>
        <w:jc w:val="both"/>
        <w:rPr>
          <w:rFonts w:ascii="Arial" w:hAnsi="Arial" w:cs="Arial"/>
          <w:i/>
        </w:rPr>
      </w:pPr>
      <w:r w:rsidRPr="00D862B4">
        <w:rPr>
          <w:rFonts w:ascii="Arial" w:hAnsi="Arial" w:cs="Arial"/>
        </w:rPr>
        <w:t>“</w:t>
      </w:r>
      <w:r w:rsidRPr="00D862B4">
        <w:rPr>
          <w:rFonts w:ascii="Arial" w:hAnsi="Arial" w:cs="Arial"/>
          <w:i/>
        </w:rPr>
        <w:t xml:space="preserve">A </w:t>
      </w:r>
      <w:proofErr w:type="spellStart"/>
      <w:r w:rsidRPr="00D862B4">
        <w:rPr>
          <w:rFonts w:ascii="Arial" w:hAnsi="Arial" w:cs="Arial"/>
          <w:i/>
        </w:rPr>
        <w:t>CSD</w:t>
      </w:r>
      <w:proofErr w:type="spellEnd"/>
      <w:r w:rsidRPr="00D862B4">
        <w:rPr>
          <w:rFonts w:ascii="Arial" w:hAnsi="Arial" w:cs="Arial"/>
          <w:i/>
        </w:rPr>
        <w:t xml:space="preserve"> shall </w:t>
      </w:r>
      <w:r w:rsidRPr="00D862B4">
        <w:rPr>
          <w:rFonts w:ascii="Arial" w:hAnsi="Arial" w:cs="Arial"/>
          <w:b/>
          <w:i/>
        </w:rPr>
        <w:t xml:space="preserve">offer </w:t>
      </w:r>
      <w:r w:rsidRPr="00D862B4">
        <w:rPr>
          <w:rFonts w:ascii="Arial" w:hAnsi="Arial" w:cs="Arial"/>
          <w:i/>
        </w:rPr>
        <w:t xml:space="preserve">its participants </w:t>
      </w:r>
      <w:r w:rsidRPr="00D862B4">
        <w:rPr>
          <w:rFonts w:ascii="Arial" w:hAnsi="Arial" w:cs="Arial"/>
          <w:b/>
          <w:i/>
        </w:rPr>
        <w:t>the possibility of being informed</w:t>
      </w:r>
      <w:r w:rsidRPr="00D862B4">
        <w:rPr>
          <w:rFonts w:ascii="Arial" w:hAnsi="Arial" w:cs="Arial"/>
          <w:i/>
        </w:rPr>
        <w:t xml:space="preserve"> about pending settlement instructions of counterparties at least within 1 hour after the first unsuccessful attempt to match the instructions </w:t>
      </w:r>
      <w:r w:rsidRPr="00D862B4">
        <w:rPr>
          <w:rFonts w:ascii="Arial" w:hAnsi="Arial" w:cs="Arial"/>
          <w:b/>
          <w:i/>
        </w:rPr>
        <w:t>or</w:t>
      </w:r>
      <w:r w:rsidRPr="00D862B4">
        <w:rPr>
          <w:rFonts w:ascii="Arial" w:hAnsi="Arial" w:cs="Arial"/>
          <w:i/>
        </w:rPr>
        <w:t xml:space="preserve"> immediately if the first unsuccessful attempt to match happens in the 5 hours period before the cut-off of the intended settlement date.”</w:t>
      </w:r>
    </w:p>
    <w:p w:rsidR="00D862B4" w:rsidRPr="00D862B4" w:rsidRDefault="00D862B4" w:rsidP="00D862B4">
      <w:pPr>
        <w:numPr>
          <w:ilvl w:val="0"/>
          <w:numId w:val="4"/>
        </w:numPr>
        <w:spacing w:before="0"/>
        <w:jc w:val="both"/>
        <w:rPr>
          <w:rFonts w:ascii="Arial" w:hAnsi="Arial" w:cs="Arial"/>
          <w:u w:val="dotDash"/>
        </w:rPr>
      </w:pPr>
      <w:r w:rsidRPr="00D862B4">
        <w:rPr>
          <w:rFonts w:ascii="Arial" w:hAnsi="Arial" w:cs="Arial"/>
          <w:u w:val="dotDash"/>
        </w:rPr>
        <w:t>Art. 3(9) – Real–time access to instructions status</w:t>
      </w:r>
    </w:p>
    <w:p w:rsidR="00D862B4" w:rsidRPr="00D862B4" w:rsidRDefault="00D862B4" w:rsidP="00D862B4">
      <w:pPr>
        <w:jc w:val="both"/>
        <w:rPr>
          <w:rFonts w:ascii="Arial" w:hAnsi="Arial" w:cs="Arial"/>
        </w:rPr>
      </w:pPr>
      <w:r w:rsidRPr="00D862B4">
        <w:rPr>
          <w:rFonts w:ascii="Arial" w:hAnsi="Arial" w:cs="Arial"/>
        </w:rPr>
        <w:t xml:space="preserve">BNY Mellon agrees that </w:t>
      </w:r>
      <w:proofErr w:type="spellStart"/>
      <w:r w:rsidRPr="00D862B4">
        <w:rPr>
          <w:rFonts w:ascii="Arial" w:hAnsi="Arial" w:cs="Arial"/>
        </w:rPr>
        <w:t>CSDs</w:t>
      </w:r>
      <w:proofErr w:type="spellEnd"/>
      <w:r w:rsidRPr="00D862B4">
        <w:rPr>
          <w:rFonts w:ascii="Arial" w:hAnsi="Arial" w:cs="Arial"/>
        </w:rPr>
        <w:t xml:space="preserve"> should enable their participant to access in real-time information regarding their instructions. However, we want to draw ESMA attention to:</w:t>
      </w:r>
    </w:p>
    <w:p w:rsidR="00D862B4" w:rsidRPr="00D862B4" w:rsidRDefault="00D862B4" w:rsidP="00D862B4">
      <w:pPr>
        <w:numPr>
          <w:ilvl w:val="0"/>
          <w:numId w:val="5"/>
        </w:numPr>
        <w:spacing w:before="0"/>
        <w:jc w:val="both"/>
        <w:rPr>
          <w:rFonts w:ascii="Arial" w:hAnsi="Arial" w:cs="Arial"/>
        </w:rPr>
      </w:pPr>
      <w:r w:rsidRPr="00D862B4">
        <w:rPr>
          <w:rFonts w:ascii="Arial" w:hAnsi="Arial" w:cs="Arial"/>
        </w:rPr>
        <w:t>Such real-time access should not be offered cost-free.</w:t>
      </w:r>
    </w:p>
    <w:p w:rsidR="00D862B4" w:rsidRPr="00D862B4" w:rsidRDefault="00D862B4" w:rsidP="00D862B4">
      <w:pPr>
        <w:numPr>
          <w:ilvl w:val="0"/>
          <w:numId w:val="5"/>
        </w:numPr>
        <w:spacing w:before="0"/>
        <w:jc w:val="both"/>
        <w:rPr>
          <w:rFonts w:ascii="Arial" w:hAnsi="Arial" w:cs="Arial"/>
        </w:rPr>
      </w:pPr>
      <w:r w:rsidRPr="00D862B4">
        <w:rPr>
          <w:rFonts w:ascii="Arial" w:hAnsi="Arial" w:cs="Arial"/>
        </w:rPr>
        <w:t>Some of the proposed statuses are not ISO standard codes (for instance ISO standard codes do not exist for on hold and partially settled transactions).</w:t>
      </w:r>
    </w:p>
    <w:p w:rsidR="00D862B4" w:rsidRPr="00D862B4" w:rsidRDefault="00D862B4" w:rsidP="00D862B4">
      <w:pPr>
        <w:numPr>
          <w:ilvl w:val="0"/>
          <w:numId w:val="5"/>
        </w:numPr>
        <w:spacing w:before="0"/>
        <w:jc w:val="both"/>
        <w:rPr>
          <w:rFonts w:ascii="Arial" w:hAnsi="Arial" w:cs="Arial"/>
        </w:rPr>
      </w:pPr>
      <w:r w:rsidRPr="00D862B4">
        <w:rPr>
          <w:rFonts w:ascii="Arial" w:hAnsi="Arial" w:cs="Arial"/>
        </w:rPr>
        <w:t xml:space="preserve">Information related to the buy-in mechanism is not available to </w:t>
      </w:r>
      <w:proofErr w:type="spellStart"/>
      <w:r w:rsidRPr="00D862B4">
        <w:rPr>
          <w:rFonts w:ascii="Arial" w:hAnsi="Arial" w:cs="Arial"/>
        </w:rPr>
        <w:t>CSDs</w:t>
      </w:r>
      <w:proofErr w:type="spellEnd"/>
      <w:r w:rsidRPr="00D862B4">
        <w:rPr>
          <w:rFonts w:ascii="Arial" w:hAnsi="Arial" w:cs="Arial"/>
        </w:rPr>
        <w:t xml:space="preserve">, at a minimum where buy-ins </w:t>
      </w:r>
      <w:proofErr w:type="gramStart"/>
      <w:r w:rsidRPr="00D862B4">
        <w:rPr>
          <w:rFonts w:ascii="Arial" w:hAnsi="Arial" w:cs="Arial"/>
        </w:rPr>
        <w:t>are</w:t>
      </w:r>
      <w:proofErr w:type="gramEnd"/>
      <w:r w:rsidRPr="00D862B4">
        <w:rPr>
          <w:rFonts w:ascii="Arial" w:hAnsi="Arial" w:cs="Arial"/>
        </w:rPr>
        <w:t xml:space="preserve"> to be handled at </w:t>
      </w:r>
      <w:proofErr w:type="spellStart"/>
      <w:r w:rsidRPr="00D862B4">
        <w:rPr>
          <w:rFonts w:ascii="Arial" w:hAnsi="Arial" w:cs="Arial"/>
        </w:rPr>
        <w:t>CCP</w:t>
      </w:r>
      <w:proofErr w:type="spellEnd"/>
      <w:r w:rsidRPr="00D862B4">
        <w:rPr>
          <w:rFonts w:ascii="Arial" w:hAnsi="Arial" w:cs="Arial"/>
        </w:rPr>
        <w:t xml:space="preserve"> or trading venue level.</w:t>
      </w:r>
    </w:p>
    <w:p w:rsidR="00D862B4" w:rsidRPr="00D862B4" w:rsidRDefault="00D862B4" w:rsidP="00D862B4">
      <w:pPr>
        <w:numPr>
          <w:ilvl w:val="0"/>
          <w:numId w:val="5"/>
        </w:numPr>
        <w:spacing w:before="0"/>
        <w:jc w:val="both"/>
        <w:rPr>
          <w:rFonts w:ascii="Arial" w:hAnsi="Arial" w:cs="Arial"/>
        </w:rPr>
      </w:pPr>
      <w:r w:rsidRPr="00D862B4">
        <w:rPr>
          <w:rFonts w:ascii="Arial" w:hAnsi="Arial" w:cs="Arial"/>
        </w:rPr>
        <w:t xml:space="preserve">Information with respect to the penalty is unclear; what would be expected to be available? Would it be the result of the calculation per failed settlement instruction, </w:t>
      </w:r>
      <w:proofErr w:type="spellStart"/>
      <w:r w:rsidRPr="00D862B4">
        <w:rPr>
          <w:rFonts w:ascii="Arial" w:hAnsi="Arial" w:cs="Arial"/>
        </w:rPr>
        <w:t>ie</w:t>
      </w:r>
      <w:proofErr w:type="spellEnd"/>
      <w:r w:rsidRPr="00D862B4">
        <w:rPr>
          <w:rFonts w:ascii="Arial" w:hAnsi="Arial" w:cs="Arial"/>
        </w:rPr>
        <w:t xml:space="preserve"> gross information, which in any case will be available not real-time but after the end of  the </w:t>
      </w:r>
      <w:proofErr w:type="spellStart"/>
      <w:r w:rsidRPr="00D862B4">
        <w:rPr>
          <w:rFonts w:ascii="Arial" w:hAnsi="Arial" w:cs="Arial"/>
        </w:rPr>
        <w:t>ISD</w:t>
      </w:r>
      <w:proofErr w:type="spellEnd"/>
      <w:r w:rsidRPr="00D862B4">
        <w:rPr>
          <w:rFonts w:ascii="Arial" w:hAnsi="Arial" w:cs="Arial"/>
        </w:rPr>
        <w:t xml:space="preserve"> or the  result of monthly net balance (and in such a circumstance what is the added value of having real time access) ? Does it need to distinguish between the penalties paid versus received?</w:t>
      </w:r>
    </w:p>
    <w:p w:rsidR="00D862B4" w:rsidRPr="00D862B4" w:rsidRDefault="00D862B4" w:rsidP="00D862B4">
      <w:pPr>
        <w:jc w:val="both"/>
        <w:rPr>
          <w:rFonts w:ascii="Arial" w:hAnsi="Arial" w:cs="Arial"/>
        </w:rPr>
      </w:pPr>
      <w:r w:rsidRPr="00D862B4">
        <w:rPr>
          <w:rFonts w:ascii="Arial" w:hAnsi="Arial" w:cs="Arial"/>
        </w:rPr>
        <w:t>We propose the ESMA to redraft this article according to the below:</w:t>
      </w:r>
    </w:p>
    <w:p w:rsidR="00D862B4" w:rsidRPr="00921A8E" w:rsidRDefault="00D862B4" w:rsidP="00921A8E">
      <w:pPr>
        <w:jc w:val="both"/>
        <w:rPr>
          <w:rFonts w:ascii="Arial" w:hAnsi="Arial" w:cs="Arial"/>
          <w:i/>
        </w:rPr>
      </w:pPr>
      <w:r w:rsidRPr="00D862B4">
        <w:rPr>
          <w:rFonts w:ascii="Arial" w:hAnsi="Arial" w:cs="Arial"/>
          <w:i/>
        </w:rPr>
        <w:t xml:space="preserve">“A </w:t>
      </w:r>
      <w:proofErr w:type="spellStart"/>
      <w:r w:rsidRPr="00D862B4">
        <w:rPr>
          <w:rFonts w:ascii="Arial" w:hAnsi="Arial" w:cs="Arial"/>
          <w:i/>
        </w:rPr>
        <w:t>CSD</w:t>
      </w:r>
      <w:proofErr w:type="spellEnd"/>
      <w:r w:rsidRPr="00D862B4">
        <w:rPr>
          <w:rFonts w:ascii="Arial" w:hAnsi="Arial" w:cs="Arial"/>
          <w:i/>
        </w:rPr>
        <w:t xml:space="preserve"> shall enable its participants to have real-time access to the information regarding the intended settlement date and the status of their settlement instructions in the securities settlement system that the </w:t>
      </w:r>
      <w:proofErr w:type="spellStart"/>
      <w:r w:rsidRPr="00D862B4">
        <w:rPr>
          <w:rFonts w:ascii="Arial" w:hAnsi="Arial" w:cs="Arial"/>
          <w:i/>
        </w:rPr>
        <w:t>CSD</w:t>
      </w:r>
      <w:proofErr w:type="spellEnd"/>
      <w:r w:rsidRPr="00D862B4">
        <w:rPr>
          <w:rFonts w:ascii="Arial" w:hAnsi="Arial" w:cs="Arial"/>
          <w:i/>
        </w:rPr>
        <w:t xml:space="preserve"> operates, including per intended settlement date.”</w:t>
      </w:r>
    </w:p>
    <w:p w:rsidR="00D862B4" w:rsidRDefault="00D862B4" w:rsidP="00292847">
      <w:pPr>
        <w:spacing w:before="0"/>
        <w:jc w:val="both"/>
        <w:rPr>
          <w:rFonts w:ascii="Arial" w:hAnsi="Arial" w:cs="Arial"/>
          <w:b/>
        </w:rPr>
      </w:pPr>
    </w:p>
    <w:p w:rsidR="00921A8E" w:rsidRDefault="00292847" w:rsidP="00921A8E">
      <w:pPr>
        <w:spacing w:before="0"/>
        <w:jc w:val="both"/>
        <w:rPr>
          <w:rFonts w:ascii="Arial" w:hAnsi="Arial" w:cs="Arial"/>
          <w:b/>
        </w:rPr>
      </w:pPr>
      <w:proofErr w:type="spellStart"/>
      <w:r w:rsidRPr="00292847">
        <w:rPr>
          <w:rFonts w:ascii="Arial" w:hAnsi="Arial" w:cs="Arial"/>
          <w:b/>
        </w:rPr>
        <w:t>Q5</w:t>
      </w:r>
      <w:proofErr w:type="spellEnd"/>
      <w:r w:rsidRPr="00292847">
        <w:rPr>
          <w:rFonts w:ascii="Arial" w:hAnsi="Arial" w:cs="Arial"/>
          <w:b/>
        </w:rPr>
        <w:t xml:space="preserve">: What are your views on the proposed draft </w:t>
      </w:r>
      <w:proofErr w:type="spellStart"/>
      <w:r w:rsidRPr="00292847">
        <w:rPr>
          <w:rFonts w:ascii="Arial" w:hAnsi="Arial" w:cs="Arial"/>
          <w:b/>
        </w:rPr>
        <w:t>RTS</w:t>
      </w:r>
      <w:proofErr w:type="spellEnd"/>
      <w:r w:rsidRPr="00292847">
        <w:rPr>
          <w:rFonts w:ascii="Arial" w:hAnsi="Arial" w:cs="Arial"/>
          <w:b/>
        </w:rPr>
        <w:t xml:space="preserve"> on the monitoring of settlement fails as included in Section 1 of Chapter III of Annex I?</w:t>
      </w:r>
    </w:p>
    <w:p w:rsidR="00921A8E" w:rsidRPr="00921A8E" w:rsidRDefault="00921A8E" w:rsidP="00921A8E">
      <w:pPr>
        <w:spacing w:before="0"/>
        <w:jc w:val="both"/>
        <w:rPr>
          <w:rFonts w:ascii="Arial" w:hAnsi="Arial" w:cs="Arial"/>
          <w:b/>
        </w:rPr>
      </w:pPr>
    </w:p>
    <w:p w:rsidR="00921A8E" w:rsidRPr="00921A8E" w:rsidRDefault="00921A8E" w:rsidP="00921A8E">
      <w:pPr>
        <w:numPr>
          <w:ilvl w:val="0"/>
          <w:numId w:val="4"/>
        </w:numPr>
        <w:spacing w:before="0"/>
        <w:jc w:val="both"/>
        <w:rPr>
          <w:rFonts w:ascii="Arial" w:hAnsi="Arial" w:cs="Arial"/>
          <w:u w:val="dotDash"/>
        </w:rPr>
      </w:pPr>
      <w:r w:rsidRPr="00921A8E">
        <w:rPr>
          <w:rFonts w:ascii="Arial" w:hAnsi="Arial" w:cs="Arial"/>
          <w:u w:val="dotDash"/>
        </w:rPr>
        <w:t>Art. 4(1) - System monitoring settlement fails</w:t>
      </w:r>
    </w:p>
    <w:p w:rsidR="00921A8E" w:rsidRPr="00921A8E" w:rsidRDefault="00921A8E" w:rsidP="00921A8E">
      <w:pPr>
        <w:jc w:val="both"/>
        <w:rPr>
          <w:rFonts w:ascii="Arial" w:hAnsi="Arial" w:cs="Arial"/>
        </w:rPr>
      </w:pPr>
      <w:r w:rsidRPr="00921A8E">
        <w:rPr>
          <w:rFonts w:ascii="Arial" w:hAnsi="Arial" w:cs="Arial"/>
        </w:rPr>
        <w:t xml:space="preserve">BNY Mellon </w:t>
      </w:r>
      <w:proofErr w:type="spellStart"/>
      <w:r w:rsidRPr="00921A8E">
        <w:rPr>
          <w:rFonts w:ascii="Arial" w:hAnsi="Arial" w:cs="Arial"/>
        </w:rPr>
        <w:t>CSD</w:t>
      </w:r>
      <w:proofErr w:type="spellEnd"/>
      <w:r w:rsidRPr="00921A8E">
        <w:rPr>
          <w:rFonts w:ascii="Arial" w:hAnsi="Arial" w:cs="Arial"/>
        </w:rPr>
        <w:t xml:space="preserve"> fully supports the need for </w:t>
      </w:r>
      <w:proofErr w:type="spellStart"/>
      <w:r w:rsidRPr="00921A8E">
        <w:rPr>
          <w:rFonts w:ascii="Arial" w:hAnsi="Arial" w:cs="Arial"/>
        </w:rPr>
        <w:t>CSDs</w:t>
      </w:r>
      <w:proofErr w:type="spellEnd"/>
      <w:r w:rsidRPr="00921A8E">
        <w:rPr>
          <w:rFonts w:ascii="Arial" w:hAnsi="Arial" w:cs="Arial"/>
        </w:rPr>
        <w:t xml:space="preserve"> to be able to identify and keep records of information related to settlement instruction that have been sent to it by its participants. Such a requirement is a key component of the set of information that should be available to its participants as well as for the purpose of retrieving information in case of disruption or request from a stakeholder.</w:t>
      </w:r>
    </w:p>
    <w:p w:rsidR="00921A8E" w:rsidRPr="00921A8E" w:rsidRDefault="00921A8E" w:rsidP="00921A8E">
      <w:pPr>
        <w:jc w:val="both"/>
        <w:rPr>
          <w:rFonts w:ascii="Arial" w:hAnsi="Arial" w:cs="Arial"/>
        </w:rPr>
      </w:pPr>
      <w:r w:rsidRPr="00921A8E">
        <w:rPr>
          <w:rFonts w:ascii="Arial" w:hAnsi="Arial" w:cs="Arial"/>
        </w:rPr>
        <w:t>Nevertheless, we are also of the opinion that:</w:t>
      </w:r>
    </w:p>
    <w:p w:rsidR="00921A8E" w:rsidRPr="00921A8E" w:rsidRDefault="00921A8E" w:rsidP="00921A8E">
      <w:pPr>
        <w:numPr>
          <w:ilvl w:val="0"/>
          <w:numId w:val="7"/>
        </w:numPr>
        <w:spacing w:before="0"/>
        <w:jc w:val="both"/>
        <w:rPr>
          <w:rFonts w:ascii="Arial" w:hAnsi="Arial" w:cs="Arial"/>
        </w:rPr>
      </w:pPr>
      <w:r w:rsidRPr="00921A8E">
        <w:rPr>
          <w:rFonts w:ascii="Arial" w:hAnsi="Arial" w:cs="Arial"/>
        </w:rPr>
        <w:t xml:space="preserve">The requirement to have information kept on the status of settlement instruction per intended settlement date under art. 4(1) should be clarified as it seems to us redundant in some way with art. 4(2), (a). What would be the difference between the identification of all settlement fails under (2), (a) and the implicit ability to have such information retrieved from the data collected in </w:t>
      </w:r>
      <w:proofErr w:type="gramStart"/>
      <w:r w:rsidRPr="00921A8E">
        <w:rPr>
          <w:rFonts w:ascii="Arial" w:hAnsi="Arial" w:cs="Arial"/>
        </w:rPr>
        <w:t>art.</w:t>
      </w:r>
      <w:proofErr w:type="gramEnd"/>
      <w:r w:rsidRPr="00921A8E">
        <w:rPr>
          <w:rFonts w:ascii="Arial" w:hAnsi="Arial" w:cs="Arial"/>
        </w:rPr>
        <w:t xml:space="preserve"> 4(1)?</w:t>
      </w:r>
    </w:p>
    <w:p w:rsidR="00921A8E" w:rsidRPr="00921A8E" w:rsidRDefault="00921A8E" w:rsidP="00921A8E">
      <w:pPr>
        <w:numPr>
          <w:ilvl w:val="0"/>
          <w:numId w:val="7"/>
        </w:numPr>
        <w:spacing w:before="0"/>
        <w:jc w:val="both"/>
        <w:rPr>
          <w:rFonts w:ascii="Arial" w:hAnsi="Arial" w:cs="Arial"/>
        </w:rPr>
      </w:pPr>
      <w:r w:rsidRPr="00921A8E">
        <w:rPr>
          <w:rFonts w:ascii="Arial" w:hAnsi="Arial" w:cs="Arial"/>
        </w:rPr>
        <w:t xml:space="preserve">The requirement to have record under art. 4(1) on “recycled settlement instructions” is to us irrelevant as (a) it is correspond either to pending settlement instructions on </w:t>
      </w:r>
      <w:proofErr w:type="spellStart"/>
      <w:r w:rsidRPr="00921A8E">
        <w:rPr>
          <w:rFonts w:ascii="Arial" w:hAnsi="Arial" w:cs="Arial"/>
        </w:rPr>
        <w:t>ISD</w:t>
      </w:r>
      <w:proofErr w:type="spellEnd"/>
      <w:r w:rsidRPr="00921A8E">
        <w:rPr>
          <w:rFonts w:ascii="Arial" w:hAnsi="Arial" w:cs="Arial"/>
        </w:rPr>
        <w:t xml:space="preserve"> or failed instructions that have not yet been settled or cancelled, (b) it does not correspond to an ISO code (therefore requiring development of fields as explained under questions 4 and 7;</w:t>
      </w:r>
    </w:p>
    <w:p w:rsidR="00921A8E" w:rsidRPr="00921A8E" w:rsidRDefault="00921A8E" w:rsidP="00921A8E">
      <w:pPr>
        <w:numPr>
          <w:ilvl w:val="0"/>
          <w:numId w:val="7"/>
        </w:numPr>
        <w:spacing w:before="0"/>
        <w:jc w:val="both"/>
        <w:rPr>
          <w:rFonts w:ascii="Arial" w:hAnsi="Arial" w:cs="Arial"/>
        </w:rPr>
      </w:pPr>
      <w:r w:rsidRPr="00921A8E">
        <w:rPr>
          <w:rFonts w:ascii="Arial" w:hAnsi="Arial" w:cs="Arial"/>
        </w:rPr>
        <w:t xml:space="preserve">The requirement made with respect to buy-in does not take into account the level of information that would be available to </w:t>
      </w:r>
      <w:proofErr w:type="spellStart"/>
      <w:r w:rsidRPr="00921A8E">
        <w:rPr>
          <w:rFonts w:ascii="Arial" w:hAnsi="Arial" w:cs="Arial"/>
        </w:rPr>
        <w:t>CSDs</w:t>
      </w:r>
      <w:proofErr w:type="spellEnd"/>
      <w:r w:rsidRPr="00921A8E">
        <w:rPr>
          <w:rFonts w:ascii="Arial" w:hAnsi="Arial" w:cs="Arial"/>
        </w:rPr>
        <w:t xml:space="preserve"> on this process. </w:t>
      </w:r>
    </w:p>
    <w:p w:rsidR="00921A8E" w:rsidRPr="00921A8E" w:rsidRDefault="00921A8E" w:rsidP="00921A8E">
      <w:pPr>
        <w:jc w:val="both"/>
        <w:rPr>
          <w:rFonts w:ascii="Arial" w:hAnsi="Arial" w:cs="Arial"/>
        </w:rPr>
      </w:pPr>
    </w:p>
    <w:p w:rsidR="00921A8E" w:rsidRPr="00921A8E" w:rsidRDefault="00921A8E" w:rsidP="00921A8E">
      <w:pPr>
        <w:jc w:val="both"/>
        <w:rPr>
          <w:rFonts w:ascii="Arial" w:hAnsi="Arial" w:cs="Arial"/>
        </w:rPr>
      </w:pPr>
      <w:r w:rsidRPr="00921A8E">
        <w:rPr>
          <w:rFonts w:ascii="Arial" w:hAnsi="Arial" w:cs="Arial"/>
        </w:rPr>
        <w:t>As a result, we suggest art. 4(1) to be redrafted according to the below, as well as the relevant reporting field required under Annex I templates:</w:t>
      </w:r>
    </w:p>
    <w:p w:rsidR="00921A8E" w:rsidRPr="00921A8E" w:rsidRDefault="00921A8E" w:rsidP="00921A8E">
      <w:pPr>
        <w:jc w:val="both"/>
        <w:rPr>
          <w:rFonts w:ascii="Arial" w:hAnsi="Arial" w:cs="Arial"/>
          <w:i/>
        </w:rPr>
      </w:pPr>
      <w:r w:rsidRPr="00921A8E">
        <w:rPr>
          <w:rFonts w:ascii="Arial" w:hAnsi="Arial" w:cs="Arial"/>
        </w:rPr>
        <w:t>“</w:t>
      </w:r>
      <w:r w:rsidRPr="00921A8E">
        <w:rPr>
          <w:rFonts w:ascii="Arial" w:hAnsi="Arial" w:cs="Arial"/>
          <w:i/>
        </w:rPr>
        <w:t xml:space="preserve">A system monitoring settlement fails shall enable a </w:t>
      </w:r>
      <w:proofErr w:type="spellStart"/>
      <w:r w:rsidRPr="00921A8E">
        <w:rPr>
          <w:rFonts w:ascii="Arial" w:hAnsi="Arial" w:cs="Arial"/>
          <w:i/>
        </w:rPr>
        <w:t>CSD</w:t>
      </w:r>
      <w:proofErr w:type="spellEnd"/>
      <w:r w:rsidRPr="00921A8E">
        <w:rPr>
          <w:rFonts w:ascii="Arial" w:hAnsi="Arial" w:cs="Arial"/>
          <w:i/>
        </w:rPr>
        <w:t xml:space="preserve"> to identify and to keep a record of information about the intended settlement date and the status of settlement instructions entered into the securities settlement system that it operates, covering at least the following including per intended settlement date:</w:t>
      </w:r>
    </w:p>
    <w:p w:rsidR="00921A8E" w:rsidRPr="00921A8E" w:rsidRDefault="00921A8E" w:rsidP="00921A8E">
      <w:pPr>
        <w:spacing w:before="0"/>
        <w:jc w:val="both"/>
        <w:rPr>
          <w:rFonts w:ascii="Arial" w:hAnsi="Arial" w:cs="Arial"/>
          <w:b/>
          <w:i/>
        </w:rPr>
      </w:pPr>
      <w:r w:rsidRPr="00921A8E">
        <w:rPr>
          <w:rFonts w:ascii="Arial" w:hAnsi="Arial" w:cs="Arial"/>
          <w:i/>
        </w:rPr>
        <w:t xml:space="preserve">(a) </w:t>
      </w:r>
      <w:proofErr w:type="gramStart"/>
      <w:r w:rsidRPr="00921A8E">
        <w:rPr>
          <w:rFonts w:ascii="Arial" w:hAnsi="Arial" w:cs="Arial"/>
          <w:b/>
          <w:i/>
          <w:strike/>
        </w:rPr>
        <w:t>matched</w:t>
      </w:r>
      <w:proofErr w:type="gramEnd"/>
      <w:r w:rsidRPr="00921A8E">
        <w:rPr>
          <w:rFonts w:ascii="Arial" w:hAnsi="Arial" w:cs="Arial"/>
          <w:b/>
          <w:i/>
          <w:strike/>
        </w:rPr>
        <w:t xml:space="preserve"> settlement instructions that are not settled </w:t>
      </w:r>
      <w:r w:rsidRPr="00921A8E">
        <w:rPr>
          <w:rFonts w:ascii="Arial" w:hAnsi="Arial" w:cs="Arial"/>
          <w:b/>
          <w:i/>
        </w:rPr>
        <w:t>pending instructions, which can still settle on the intended settlement date;</w:t>
      </w:r>
    </w:p>
    <w:p w:rsidR="00921A8E" w:rsidRPr="00921A8E" w:rsidRDefault="00921A8E" w:rsidP="00921A8E">
      <w:pPr>
        <w:spacing w:before="0"/>
        <w:jc w:val="both"/>
        <w:rPr>
          <w:rFonts w:ascii="Arial" w:hAnsi="Arial" w:cs="Arial"/>
          <w:b/>
          <w:i/>
          <w:strike/>
        </w:rPr>
      </w:pPr>
      <w:r w:rsidRPr="00921A8E">
        <w:rPr>
          <w:rFonts w:ascii="Arial" w:hAnsi="Arial" w:cs="Arial"/>
          <w:b/>
          <w:i/>
          <w:strike/>
        </w:rPr>
        <w:t xml:space="preserve">(b) </w:t>
      </w:r>
      <w:proofErr w:type="gramStart"/>
      <w:r w:rsidRPr="00921A8E">
        <w:rPr>
          <w:rFonts w:ascii="Arial" w:hAnsi="Arial" w:cs="Arial"/>
          <w:b/>
          <w:i/>
          <w:strike/>
        </w:rPr>
        <w:t>settlement</w:t>
      </w:r>
      <w:proofErr w:type="gramEnd"/>
      <w:r w:rsidRPr="00921A8E">
        <w:rPr>
          <w:rFonts w:ascii="Arial" w:hAnsi="Arial" w:cs="Arial"/>
          <w:b/>
          <w:i/>
          <w:strike/>
        </w:rPr>
        <w:t xml:space="preserve"> instructions that are not matched; </w:t>
      </w:r>
    </w:p>
    <w:p w:rsidR="00921A8E" w:rsidRPr="00921A8E" w:rsidRDefault="00921A8E" w:rsidP="00921A8E">
      <w:pPr>
        <w:spacing w:before="0"/>
        <w:jc w:val="both"/>
        <w:rPr>
          <w:rFonts w:ascii="Arial" w:hAnsi="Arial" w:cs="Arial"/>
          <w:b/>
          <w:i/>
          <w:strike/>
        </w:rPr>
      </w:pPr>
      <w:r w:rsidRPr="00921A8E">
        <w:rPr>
          <w:rFonts w:ascii="Arial" w:hAnsi="Arial" w:cs="Arial"/>
          <w:b/>
          <w:i/>
          <w:strike/>
        </w:rPr>
        <w:t xml:space="preserve">(c) </w:t>
      </w:r>
      <w:proofErr w:type="gramStart"/>
      <w:r w:rsidRPr="00921A8E">
        <w:rPr>
          <w:rFonts w:ascii="Arial" w:hAnsi="Arial" w:cs="Arial"/>
          <w:b/>
          <w:i/>
          <w:strike/>
        </w:rPr>
        <w:t>settlement</w:t>
      </w:r>
      <w:proofErr w:type="gramEnd"/>
      <w:r w:rsidRPr="00921A8E">
        <w:rPr>
          <w:rFonts w:ascii="Arial" w:hAnsi="Arial" w:cs="Arial"/>
          <w:b/>
          <w:i/>
          <w:strike/>
        </w:rPr>
        <w:t xml:space="preserve"> instructions on hold;</w:t>
      </w:r>
    </w:p>
    <w:p w:rsidR="00921A8E" w:rsidRPr="00921A8E" w:rsidRDefault="00921A8E" w:rsidP="00921A8E">
      <w:pPr>
        <w:spacing w:before="0"/>
        <w:jc w:val="both"/>
        <w:rPr>
          <w:rFonts w:ascii="Arial" w:hAnsi="Arial" w:cs="Arial"/>
          <w:i/>
        </w:rPr>
      </w:pPr>
      <w:r w:rsidRPr="00921A8E">
        <w:rPr>
          <w:rFonts w:ascii="Arial" w:hAnsi="Arial" w:cs="Arial"/>
          <w:i/>
        </w:rPr>
        <w:t xml:space="preserve">(b) </w:t>
      </w:r>
      <w:proofErr w:type="gramStart"/>
      <w:r w:rsidRPr="00921A8E">
        <w:rPr>
          <w:rFonts w:ascii="Arial" w:hAnsi="Arial" w:cs="Arial"/>
          <w:i/>
        </w:rPr>
        <w:t>partially</w:t>
      </w:r>
      <w:proofErr w:type="gramEnd"/>
      <w:r w:rsidRPr="00921A8E">
        <w:rPr>
          <w:rFonts w:ascii="Arial" w:hAnsi="Arial" w:cs="Arial"/>
          <w:i/>
        </w:rPr>
        <w:t xml:space="preserve"> settled settlement instructions, including the settled part and the missing part of either securities </w:t>
      </w:r>
      <w:r w:rsidRPr="00921A8E">
        <w:rPr>
          <w:rFonts w:ascii="Arial" w:hAnsi="Arial" w:cs="Arial"/>
          <w:i/>
          <w:strike/>
        </w:rPr>
        <w:t>or cash;</w:t>
      </w:r>
    </w:p>
    <w:p w:rsidR="00921A8E" w:rsidRPr="00921A8E" w:rsidRDefault="00921A8E" w:rsidP="00921A8E">
      <w:pPr>
        <w:spacing w:before="0"/>
        <w:jc w:val="both"/>
        <w:rPr>
          <w:rFonts w:ascii="Arial" w:hAnsi="Arial" w:cs="Arial"/>
          <w:i/>
        </w:rPr>
      </w:pPr>
      <w:r w:rsidRPr="00921A8E">
        <w:rPr>
          <w:rFonts w:ascii="Arial" w:hAnsi="Arial" w:cs="Arial"/>
          <w:b/>
          <w:i/>
          <w:strike/>
        </w:rPr>
        <w:t>(e)</w:t>
      </w:r>
      <w:r w:rsidRPr="00921A8E">
        <w:rPr>
          <w:rFonts w:ascii="Arial" w:hAnsi="Arial" w:cs="Arial"/>
          <w:b/>
          <w:i/>
        </w:rPr>
        <w:t xml:space="preserve">(c) </w:t>
      </w:r>
      <w:proofErr w:type="gramStart"/>
      <w:r w:rsidRPr="00921A8E">
        <w:rPr>
          <w:rFonts w:ascii="Arial" w:hAnsi="Arial" w:cs="Arial"/>
          <w:i/>
        </w:rPr>
        <w:t>failed</w:t>
      </w:r>
      <w:proofErr w:type="gramEnd"/>
      <w:r w:rsidRPr="00921A8E">
        <w:rPr>
          <w:rFonts w:ascii="Arial" w:hAnsi="Arial" w:cs="Arial"/>
          <w:i/>
        </w:rPr>
        <w:t xml:space="preserve"> settlement instructions, </w:t>
      </w:r>
      <w:r w:rsidRPr="00921A8E">
        <w:rPr>
          <w:rFonts w:ascii="Arial" w:hAnsi="Arial" w:cs="Arial"/>
          <w:b/>
          <w:i/>
        </w:rPr>
        <w:t>which cannot settle anymore on the intended settlement date,</w:t>
      </w:r>
      <w:r w:rsidRPr="00921A8E">
        <w:rPr>
          <w:rFonts w:ascii="Arial" w:hAnsi="Arial" w:cs="Arial"/>
          <w:i/>
        </w:rPr>
        <w:t xml:space="preserve"> including,</w:t>
      </w:r>
      <w:r w:rsidRPr="00921A8E">
        <w:rPr>
          <w:rFonts w:ascii="Arial" w:hAnsi="Arial" w:cs="Arial"/>
          <w:b/>
          <w:i/>
        </w:rPr>
        <w:t xml:space="preserve"> where available,</w:t>
      </w:r>
      <w:r w:rsidRPr="00921A8E">
        <w:rPr>
          <w:rFonts w:ascii="Arial" w:hAnsi="Arial" w:cs="Arial"/>
          <w:i/>
        </w:rPr>
        <w:t xml:space="preserve"> information on: […]</w:t>
      </w:r>
    </w:p>
    <w:p w:rsidR="00921A8E" w:rsidRPr="00921A8E" w:rsidRDefault="00921A8E" w:rsidP="00921A8E">
      <w:pPr>
        <w:spacing w:before="0"/>
        <w:jc w:val="both"/>
        <w:rPr>
          <w:rFonts w:ascii="Arial" w:hAnsi="Arial" w:cs="Arial"/>
          <w:b/>
          <w:i/>
          <w:strike/>
        </w:rPr>
      </w:pPr>
      <w:r w:rsidRPr="00921A8E">
        <w:rPr>
          <w:rFonts w:ascii="Arial" w:hAnsi="Arial" w:cs="Arial"/>
          <w:b/>
          <w:i/>
          <w:strike/>
        </w:rPr>
        <w:t>(</w:t>
      </w:r>
      <w:proofErr w:type="gramStart"/>
      <w:r w:rsidRPr="00921A8E">
        <w:rPr>
          <w:rFonts w:ascii="Arial" w:hAnsi="Arial" w:cs="Arial"/>
          <w:b/>
          <w:i/>
          <w:strike/>
        </w:rPr>
        <w:t>f</w:t>
      </w:r>
      <w:proofErr w:type="gramEnd"/>
      <w:r w:rsidRPr="00921A8E">
        <w:rPr>
          <w:rFonts w:ascii="Arial" w:hAnsi="Arial" w:cs="Arial"/>
          <w:b/>
          <w:i/>
          <w:strike/>
        </w:rPr>
        <w:t>) recycled settlement instructions;</w:t>
      </w:r>
    </w:p>
    <w:p w:rsidR="00921A8E" w:rsidRPr="00921A8E" w:rsidRDefault="00921A8E" w:rsidP="00921A8E">
      <w:pPr>
        <w:spacing w:before="0"/>
        <w:jc w:val="both"/>
        <w:rPr>
          <w:rFonts w:ascii="Arial" w:hAnsi="Arial" w:cs="Arial"/>
          <w:b/>
          <w:i/>
        </w:rPr>
      </w:pPr>
      <w:r w:rsidRPr="00921A8E">
        <w:rPr>
          <w:rFonts w:ascii="Arial" w:hAnsi="Arial" w:cs="Arial"/>
          <w:b/>
          <w:i/>
          <w:strike/>
        </w:rPr>
        <w:t>(g)</w:t>
      </w:r>
      <w:r w:rsidRPr="00921A8E">
        <w:rPr>
          <w:rFonts w:ascii="Arial" w:hAnsi="Arial" w:cs="Arial"/>
          <w:i/>
        </w:rPr>
        <w:t xml:space="preserve"> </w:t>
      </w:r>
      <w:r w:rsidRPr="00921A8E">
        <w:rPr>
          <w:rFonts w:ascii="Arial" w:hAnsi="Arial" w:cs="Arial"/>
          <w:b/>
          <w:i/>
        </w:rPr>
        <w:t>(</w:t>
      </w:r>
      <w:proofErr w:type="gramStart"/>
      <w:r w:rsidRPr="00921A8E">
        <w:rPr>
          <w:rFonts w:ascii="Arial" w:hAnsi="Arial" w:cs="Arial"/>
          <w:b/>
          <w:i/>
        </w:rPr>
        <w:t>d</w:t>
      </w:r>
      <w:proofErr w:type="gramEnd"/>
      <w:r w:rsidRPr="00921A8E">
        <w:rPr>
          <w:rFonts w:ascii="Arial" w:hAnsi="Arial" w:cs="Arial"/>
          <w:b/>
          <w:i/>
        </w:rPr>
        <w:t>)</w:t>
      </w:r>
      <w:r w:rsidRPr="00921A8E">
        <w:rPr>
          <w:rFonts w:ascii="Arial" w:hAnsi="Arial" w:cs="Arial"/>
          <w:i/>
        </w:rPr>
        <w:t xml:space="preserve"> cancelled settlement instructions</w:t>
      </w:r>
      <w:r w:rsidRPr="00921A8E">
        <w:rPr>
          <w:rFonts w:ascii="Arial" w:hAnsi="Arial" w:cs="Arial"/>
          <w:b/>
          <w:i/>
        </w:rPr>
        <w:t>;, including information whether it is cancelled by the system or by the participant.</w:t>
      </w:r>
    </w:p>
    <w:p w:rsidR="00921A8E" w:rsidRPr="00921A8E" w:rsidRDefault="00921A8E" w:rsidP="00921A8E">
      <w:pPr>
        <w:spacing w:before="0"/>
        <w:jc w:val="both"/>
        <w:rPr>
          <w:rFonts w:ascii="Arial" w:hAnsi="Arial" w:cs="Arial"/>
          <w:b/>
          <w:i/>
        </w:rPr>
      </w:pPr>
      <w:r w:rsidRPr="00921A8E">
        <w:rPr>
          <w:rFonts w:ascii="Arial" w:hAnsi="Arial" w:cs="Arial"/>
          <w:b/>
          <w:i/>
          <w:strike/>
        </w:rPr>
        <w:t xml:space="preserve"> (h)</w:t>
      </w:r>
      <w:r w:rsidRPr="00921A8E">
        <w:rPr>
          <w:rFonts w:ascii="Arial" w:hAnsi="Arial" w:cs="Arial"/>
          <w:b/>
          <w:i/>
        </w:rPr>
        <w:t xml:space="preserve"> (</w:t>
      </w:r>
      <w:proofErr w:type="gramStart"/>
      <w:r w:rsidRPr="00921A8E">
        <w:rPr>
          <w:rFonts w:ascii="Arial" w:hAnsi="Arial" w:cs="Arial"/>
          <w:b/>
          <w:i/>
        </w:rPr>
        <w:t>e</w:t>
      </w:r>
      <w:proofErr w:type="gramEnd"/>
      <w:r w:rsidRPr="00921A8E">
        <w:rPr>
          <w:rFonts w:ascii="Arial" w:hAnsi="Arial" w:cs="Arial"/>
          <w:b/>
          <w:i/>
        </w:rPr>
        <w:t xml:space="preserve">) fully </w:t>
      </w:r>
      <w:r w:rsidRPr="00921A8E">
        <w:rPr>
          <w:rFonts w:ascii="Arial" w:hAnsi="Arial" w:cs="Arial"/>
          <w:i/>
        </w:rPr>
        <w:t>settled settlement instructions</w:t>
      </w:r>
      <w:r w:rsidRPr="00921A8E">
        <w:rPr>
          <w:rFonts w:ascii="Arial" w:hAnsi="Arial" w:cs="Arial"/>
          <w:b/>
          <w:i/>
        </w:rPr>
        <w:t>.;</w:t>
      </w:r>
    </w:p>
    <w:p w:rsidR="00921A8E" w:rsidRPr="00921A8E" w:rsidRDefault="00921A8E" w:rsidP="00921A8E">
      <w:pPr>
        <w:jc w:val="both"/>
        <w:rPr>
          <w:rFonts w:ascii="Arial" w:hAnsi="Arial" w:cs="Arial"/>
          <w:b/>
          <w:i/>
        </w:rPr>
      </w:pPr>
      <w:r w:rsidRPr="00921A8E">
        <w:rPr>
          <w:rFonts w:ascii="Arial" w:hAnsi="Arial" w:cs="Arial"/>
          <w:b/>
          <w:i/>
          <w:iCs/>
        </w:rPr>
        <w:t xml:space="preserve">For each of the categories of settlement instructions above, the following information should be provided: </w:t>
      </w:r>
    </w:p>
    <w:p w:rsidR="00921A8E" w:rsidRPr="00921A8E" w:rsidRDefault="00921A8E" w:rsidP="00921A8E">
      <w:pPr>
        <w:spacing w:before="0"/>
        <w:jc w:val="both"/>
        <w:rPr>
          <w:rFonts w:ascii="Arial" w:hAnsi="Arial" w:cs="Arial"/>
          <w:b/>
          <w:i/>
        </w:rPr>
      </w:pPr>
      <w:r w:rsidRPr="00921A8E">
        <w:rPr>
          <w:rFonts w:ascii="Arial" w:hAnsi="Arial" w:cs="Arial"/>
          <w:b/>
          <w:i/>
          <w:iCs/>
        </w:rPr>
        <w:t xml:space="preserve">- </w:t>
      </w:r>
      <w:proofErr w:type="gramStart"/>
      <w:r w:rsidRPr="00921A8E">
        <w:rPr>
          <w:rFonts w:ascii="Arial" w:hAnsi="Arial" w:cs="Arial"/>
          <w:b/>
          <w:i/>
          <w:iCs/>
        </w:rPr>
        <w:t>whether</w:t>
      </w:r>
      <w:proofErr w:type="gramEnd"/>
      <w:r w:rsidRPr="00921A8E">
        <w:rPr>
          <w:rFonts w:ascii="Arial" w:hAnsi="Arial" w:cs="Arial"/>
          <w:b/>
          <w:i/>
          <w:iCs/>
        </w:rPr>
        <w:t xml:space="preserve"> an instruction is matched or not matched; </w:t>
      </w:r>
    </w:p>
    <w:p w:rsidR="00921A8E" w:rsidRPr="00921A8E" w:rsidRDefault="00921A8E" w:rsidP="00921A8E">
      <w:pPr>
        <w:spacing w:before="0"/>
        <w:jc w:val="both"/>
        <w:rPr>
          <w:rFonts w:ascii="Arial" w:hAnsi="Arial" w:cs="Arial"/>
          <w:b/>
          <w:i/>
        </w:rPr>
      </w:pPr>
      <w:r w:rsidRPr="00921A8E">
        <w:rPr>
          <w:rFonts w:ascii="Arial" w:hAnsi="Arial" w:cs="Arial"/>
          <w:b/>
          <w:i/>
          <w:iCs/>
        </w:rPr>
        <w:t xml:space="preserve">- </w:t>
      </w:r>
      <w:proofErr w:type="gramStart"/>
      <w:r w:rsidRPr="00921A8E">
        <w:rPr>
          <w:rFonts w:ascii="Arial" w:hAnsi="Arial" w:cs="Arial"/>
          <w:b/>
          <w:i/>
          <w:iCs/>
        </w:rPr>
        <w:t>whether</w:t>
      </w:r>
      <w:proofErr w:type="gramEnd"/>
      <w:r w:rsidRPr="00921A8E">
        <w:rPr>
          <w:rFonts w:ascii="Arial" w:hAnsi="Arial" w:cs="Arial"/>
          <w:b/>
          <w:i/>
          <w:iCs/>
        </w:rPr>
        <w:t xml:space="preserve"> an instruction can settle partially; </w:t>
      </w:r>
    </w:p>
    <w:p w:rsidR="00921A8E" w:rsidRPr="00921A8E" w:rsidRDefault="00921A8E" w:rsidP="00921A8E">
      <w:pPr>
        <w:spacing w:before="0"/>
        <w:jc w:val="both"/>
        <w:rPr>
          <w:rFonts w:ascii="Arial" w:hAnsi="Arial" w:cs="Arial"/>
          <w:b/>
          <w:i/>
        </w:rPr>
      </w:pPr>
      <w:r w:rsidRPr="00921A8E">
        <w:rPr>
          <w:rFonts w:ascii="Arial" w:hAnsi="Arial" w:cs="Arial"/>
          <w:b/>
          <w:i/>
          <w:iCs/>
        </w:rPr>
        <w:t xml:space="preserve">- </w:t>
      </w:r>
      <w:proofErr w:type="gramStart"/>
      <w:r w:rsidRPr="00921A8E">
        <w:rPr>
          <w:rFonts w:ascii="Arial" w:hAnsi="Arial" w:cs="Arial"/>
          <w:b/>
          <w:i/>
          <w:iCs/>
        </w:rPr>
        <w:t>whether</w:t>
      </w:r>
      <w:proofErr w:type="gramEnd"/>
      <w:r w:rsidRPr="00921A8E">
        <w:rPr>
          <w:rFonts w:ascii="Arial" w:hAnsi="Arial" w:cs="Arial"/>
          <w:b/>
          <w:i/>
          <w:iCs/>
        </w:rPr>
        <w:t xml:space="preserve"> an instruction is on hold; </w:t>
      </w:r>
    </w:p>
    <w:p w:rsidR="00921A8E" w:rsidRPr="00921A8E" w:rsidRDefault="00921A8E" w:rsidP="00921A8E">
      <w:pPr>
        <w:spacing w:before="0" w:after="240"/>
        <w:jc w:val="both"/>
        <w:rPr>
          <w:rFonts w:ascii="Arial" w:hAnsi="Arial" w:cs="Arial"/>
          <w:i/>
        </w:rPr>
      </w:pPr>
      <w:r w:rsidRPr="00921A8E">
        <w:rPr>
          <w:rFonts w:ascii="Arial" w:hAnsi="Arial" w:cs="Arial"/>
          <w:b/>
          <w:i/>
          <w:iCs/>
        </w:rPr>
        <w:t>- where relevant, what are the reasons for instruction being pending or failing.”</w:t>
      </w:r>
      <w:r w:rsidRPr="00921A8E">
        <w:rPr>
          <w:rFonts w:ascii="Arial" w:hAnsi="Arial" w:cs="Arial"/>
          <w:i/>
        </w:rPr>
        <w:t xml:space="preserve"> </w:t>
      </w:r>
    </w:p>
    <w:p w:rsidR="00921A8E" w:rsidRPr="00921A8E" w:rsidRDefault="00921A8E" w:rsidP="00921A8E">
      <w:pPr>
        <w:numPr>
          <w:ilvl w:val="0"/>
          <w:numId w:val="4"/>
        </w:numPr>
        <w:spacing w:before="0"/>
        <w:jc w:val="both"/>
        <w:rPr>
          <w:rFonts w:ascii="Arial" w:hAnsi="Arial" w:cs="Arial"/>
          <w:u w:val="dotDash"/>
        </w:rPr>
      </w:pPr>
      <w:r w:rsidRPr="00921A8E">
        <w:rPr>
          <w:rFonts w:ascii="Arial" w:hAnsi="Arial" w:cs="Arial"/>
          <w:u w:val="dotDash"/>
        </w:rPr>
        <w:t>Art. 4(2)  - System monitoring settlement fails</w:t>
      </w:r>
    </w:p>
    <w:p w:rsidR="00921A8E" w:rsidRPr="00921A8E" w:rsidRDefault="00921A8E" w:rsidP="00921A8E">
      <w:pPr>
        <w:jc w:val="both"/>
        <w:rPr>
          <w:rFonts w:ascii="Arial" w:hAnsi="Arial" w:cs="Arial"/>
        </w:rPr>
      </w:pPr>
      <w:r w:rsidRPr="00921A8E">
        <w:rPr>
          <w:rFonts w:ascii="Arial" w:hAnsi="Arial" w:cs="Arial"/>
        </w:rPr>
        <w:t xml:space="preserve">BNY Mellon </w:t>
      </w:r>
      <w:proofErr w:type="spellStart"/>
      <w:r w:rsidRPr="00921A8E">
        <w:rPr>
          <w:rFonts w:ascii="Arial" w:hAnsi="Arial" w:cs="Arial"/>
        </w:rPr>
        <w:t>CSD</w:t>
      </w:r>
      <w:proofErr w:type="spellEnd"/>
      <w:r w:rsidRPr="00921A8E">
        <w:rPr>
          <w:rFonts w:ascii="Arial" w:hAnsi="Arial" w:cs="Arial"/>
        </w:rPr>
        <w:t xml:space="preserve"> would like to draw </w:t>
      </w:r>
      <w:proofErr w:type="spellStart"/>
      <w:r w:rsidRPr="00921A8E">
        <w:rPr>
          <w:rFonts w:ascii="Arial" w:hAnsi="Arial" w:cs="Arial"/>
        </w:rPr>
        <w:t>ESMA’s</w:t>
      </w:r>
      <w:proofErr w:type="spellEnd"/>
      <w:r w:rsidRPr="00921A8E">
        <w:rPr>
          <w:rFonts w:ascii="Arial" w:hAnsi="Arial" w:cs="Arial"/>
        </w:rPr>
        <w:t xml:space="preserve"> attention to several issues:</w:t>
      </w:r>
    </w:p>
    <w:p w:rsidR="00921A8E" w:rsidRPr="00921A8E" w:rsidRDefault="00921A8E" w:rsidP="00921A8E">
      <w:pPr>
        <w:numPr>
          <w:ilvl w:val="0"/>
          <w:numId w:val="8"/>
        </w:numPr>
        <w:spacing w:before="0"/>
        <w:jc w:val="both"/>
        <w:rPr>
          <w:rFonts w:ascii="Arial" w:hAnsi="Arial" w:cs="Arial"/>
        </w:rPr>
      </w:pPr>
      <w:r w:rsidRPr="00921A8E">
        <w:rPr>
          <w:rFonts w:ascii="Arial" w:hAnsi="Arial" w:cs="Arial"/>
        </w:rPr>
        <w:t xml:space="preserve">The proposed reasons for failed instructions is to us incomplete and impossible to identify by the </w:t>
      </w:r>
      <w:proofErr w:type="spellStart"/>
      <w:r w:rsidRPr="00921A8E">
        <w:rPr>
          <w:rFonts w:ascii="Arial" w:hAnsi="Arial" w:cs="Arial"/>
        </w:rPr>
        <w:t>CSDs</w:t>
      </w:r>
      <w:proofErr w:type="spellEnd"/>
      <w:r w:rsidRPr="00921A8E">
        <w:rPr>
          <w:rFonts w:ascii="Arial" w:hAnsi="Arial" w:cs="Arial"/>
        </w:rPr>
        <w:t xml:space="preserve"> in some circumstances; for instance, failed settlement may be due to settlement restrictions (as under art. 4(2), (c)), the amount of cash that caused the settlement to fail is unknown to the </w:t>
      </w:r>
      <w:proofErr w:type="spellStart"/>
      <w:r w:rsidRPr="00921A8E">
        <w:rPr>
          <w:rFonts w:ascii="Arial" w:hAnsi="Arial" w:cs="Arial"/>
        </w:rPr>
        <w:t>CSD</w:t>
      </w:r>
      <w:proofErr w:type="spellEnd"/>
      <w:r w:rsidRPr="00921A8E">
        <w:rPr>
          <w:rFonts w:ascii="Arial" w:hAnsi="Arial" w:cs="Arial"/>
        </w:rPr>
        <w:t xml:space="preserve"> (as the cash account are maintained at the central bank), linkages, instructions sent after the deadline etc..;</w:t>
      </w:r>
    </w:p>
    <w:p w:rsidR="00921A8E" w:rsidRPr="00921A8E" w:rsidRDefault="00921A8E" w:rsidP="00921A8E">
      <w:pPr>
        <w:numPr>
          <w:ilvl w:val="0"/>
          <w:numId w:val="8"/>
        </w:numPr>
        <w:spacing w:before="0"/>
        <w:jc w:val="both"/>
        <w:rPr>
          <w:rFonts w:ascii="Arial" w:hAnsi="Arial" w:cs="Arial"/>
        </w:rPr>
      </w:pPr>
      <w:r w:rsidRPr="00921A8E">
        <w:rPr>
          <w:rFonts w:ascii="Arial" w:hAnsi="Arial" w:cs="Arial"/>
        </w:rPr>
        <w:t>The type of asset classes defined under (d) are not consistent with the classes defined for the purpose of the cash penalty rate or the buy-in rules;</w:t>
      </w:r>
    </w:p>
    <w:p w:rsidR="00921A8E" w:rsidRPr="00921A8E" w:rsidRDefault="00921A8E" w:rsidP="00921A8E">
      <w:pPr>
        <w:numPr>
          <w:ilvl w:val="0"/>
          <w:numId w:val="8"/>
        </w:numPr>
        <w:spacing w:before="0"/>
        <w:jc w:val="both"/>
        <w:rPr>
          <w:rFonts w:ascii="Arial" w:hAnsi="Arial" w:cs="Arial"/>
        </w:rPr>
      </w:pPr>
      <w:r w:rsidRPr="00921A8E">
        <w:rPr>
          <w:rFonts w:ascii="Arial" w:hAnsi="Arial" w:cs="Arial"/>
        </w:rPr>
        <w:t xml:space="preserve">The type of transactions defined under (e) should be aligned with ISO standards and </w:t>
      </w:r>
      <w:proofErr w:type="spellStart"/>
      <w:r w:rsidRPr="00921A8E">
        <w:rPr>
          <w:rFonts w:ascii="Arial" w:hAnsi="Arial" w:cs="Arial"/>
        </w:rPr>
        <w:t>T2S</w:t>
      </w:r>
      <w:proofErr w:type="spellEnd"/>
      <w:r w:rsidRPr="00921A8E">
        <w:rPr>
          <w:rFonts w:ascii="Arial" w:hAnsi="Arial" w:cs="Arial"/>
        </w:rPr>
        <w:t xml:space="preserve"> requirement;</w:t>
      </w:r>
    </w:p>
    <w:p w:rsidR="00921A8E" w:rsidRPr="00921A8E" w:rsidRDefault="00921A8E" w:rsidP="00921A8E">
      <w:pPr>
        <w:numPr>
          <w:ilvl w:val="0"/>
          <w:numId w:val="8"/>
        </w:numPr>
        <w:spacing w:before="0"/>
        <w:jc w:val="both"/>
        <w:rPr>
          <w:rFonts w:ascii="Arial" w:hAnsi="Arial" w:cs="Arial"/>
        </w:rPr>
      </w:pPr>
      <w:r w:rsidRPr="00921A8E">
        <w:rPr>
          <w:rFonts w:ascii="Arial" w:hAnsi="Arial" w:cs="Arial"/>
        </w:rPr>
        <w:t xml:space="preserve">We would like to understand which situations are envisaged to be captured by “(v) </w:t>
      </w:r>
      <w:proofErr w:type="spellStart"/>
      <w:r w:rsidRPr="00921A8E">
        <w:rPr>
          <w:rFonts w:ascii="Arial" w:hAnsi="Arial" w:cs="Arial"/>
        </w:rPr>
        <w:t>CCP</w:t>
      </w:r>
      <w:proofErr w:type="spellEnd"/>
      <w:r w:rsidRPr="00921A8E">
        <w:rPr>
          <w:rFonts w:ascii="Arial" w:hAnsi="Arial" w:cs="Arial"/>
        </w:rPr>
        <w:t xml:space="preserve"> cleared transactions, other than those under (</w:t>
      </w:r>
      <w:proofErr w:type="spellStart"/>
      <w:r w:rsidRPr="00921A8E">
        <w:rPr>
          <w:rFonts w:ascii="Arial" w:hAnsi="Arial" w:cs="Arial"/>
        </w:rPr>
        <w:t>i</w:t>
      </w:r>
      <w:proofErr w:type="spellEnd"/>
      <w:r w:rsidRPr="00921A8E">
        <w:rPr>
          <w:rFonts w:ascii="Arial" w:hAnsi="Arial" w:cs="Arial"/>
        </w:rPr>
        <w:t>)—(iv</w:t>
      </w:r>
      <w:proofErr w:type="gramStart"/>
      <w:r w:rsidRPr="00921A8E">
        <w:rPr>
          <w:rFonts w:ascii="Arial" w:hAnsi="Arial" w:cs="Arial"/>
        </w:rPr>
        <w:t>) ?</w:t>
      </w:r>
      <w:proofErr w:type="gramEnd"/>
      <w:r w:rsidRPr="00921A8E">
        <w:rPr>
          <w:rFonts w:ascii="Arial" w:hAnsi="Arial" w:cs="Arial"/>
        </w:rPr>
        <w:t xml:space="preserve"> </w:t>
      </w:r>
    </w:p>
    <w:p w:rsidR="00921A8E" w:rsidRDefault="00921A8E" w:rsidP="00921A8E">
      <w:pPr>
        <w:spacing w:after="240"/>
        <w:jc w:val="both"/>
        <w:rPr>
          <w:rFonts w:ascii="Arial" w:hAnsi="Arial" w:cs="Arial"/>
        </w:rPr>
      </w:pPr>
      <w:r w:rsidRPr="00921A8E">
        <w:rPr>
          <w:rFonts w:ascii="Arial" w:hAnsi="Arial" w:cs="Arial"/>
        </w:rPr>
        <w:t>As a result, we suggest art. 4(2) to be redrafted according to the below, as well as the relevant reporting field required under Annex I templates:</w:t>
      </w:r>
    </w:p>
    <w:p w:rsidR="00921A8E" w:rsidRPr="00921A8E" w:rsidRDefault="00921A8E" w:rsidP="00921A8E">
      <w:pPr>
        <w:spacing w:before="0"/>
        <w:jc w:val="both"/>
        <w:rPr>
          <w:rFonts w:ascii="Arial" w:hAnsi="Arial" w:cs="Arial"/>
          <w:i/>
        </w:rPr>
      </w:pPr>
      <w:r w:rsidRPr="00921A8E">
        <w:rPr>
          <w:rFonts w:ascii="Arial" w:hAnsi="Arial" w:cs="Arial"/>
          <w:i/>
        </w:rPr>
        <w:t xml:space="preserve">“A system monitoring settlement fails shall allow a </w:t>
      </w:r>
      <w:proofErr w:type="spellStart"/>
      <w:r w:rsidRPr="00921A8E">
        <w:rPr>
          <w:rFonts w:ascii="Arial" w:hAnsi="Arial" w:cs="Arial"/>
          <w:i/>
        </w:rPr>
        <w:t>CSD</w:t>
      </w:r>
      <w:proofErr w:type="spellEnd"/>
      <w:r w:rsidRPr="00921A8E">
        <w:rPr>
          <w:rFonts w:ascii="Arial" w:hAnsi="Arial" w:cs="Arial"/>
          <w:i/>
        </w:rPr>
        <w:t xml:space="preserve"> to identify: </w:t>
      </w:r>
    </w:p>
    <w:p w:rsidR="00921A8E" w:rsidRPr="00921A8E" w:rsidRDefault="00921A8E" w:rsidP="00921A8E">
      <w:pPr>
        <w:spacing w:before="0"/>
        <w:jc w:val="both"/>
        <w:rPr>
          <w:rFonts w:ascii="Arial" w:hAnsi="Arial" w:cs="Arial"/>
          <w:i/>
        </w:rPr>
      </w:pPr>
      <w:r w:rsidRPr="00921A8E">
        <w:rPr>
          <w:rFonts w:ascii="Arial" w:hAnsi="Arial" w:cs="Arial"/>
          <w:i/>
        </w:rPr>
        <w:t xml:space="preserve">(a) … </w:t>
      </w:r>
    </w:p>
    <w:p w:rsidR="00921A8E" w:rsidRPr="00921A8E" w:rsidRDefault="00921A8E" w:rsidP="00921A8E">
      <w:pPr>
        <w:spacing w:before="0"/>
        <w:jc w:val="both"/>
        <w:rPr>
          <w:rFonts w:ascii="Arial" w:hAnsi="Arial" w:cs="Arial"/>
          <w:i/>
        </w:rPr>
      </w:pPr>
      <w:r w:rsidRPr="00921A8E">
        <w:rPr>
          <w:rFonts w:ascii="Arial" w:hAnsi="Arial" w:cs="Arial"/>
          <w:i/>
        </w:rPr>
        <w:t xml:space="preserve">(b) </w:t>
      </w:r>
      <w:proofErr w:type="gramStart"/>
      <w:r w:rsidRPr="00921A8E">
        <w:rPr>
          <w:rFonts w:ascii="Arial" w:hAnsi="Arial" w:cs="Arial"/>
          <w:b/>
          <w:i/>
        </w:rPr>
        <w:t>the</w:t>
      </w:r>
      <w:proofErr w:type="gramEnd"/>
      <w:r w:rsidRPr="00921A8E">
        <w:rPr>
          <w:rFonts w:ascii="Arial" w:hAnsi="Arial" w:cs="Arial"/>
          <w:b/>
          <w:i/>
        </w:rPr>
        <w:t xml:space="preserve"> reason for the settlement fail, based on available information.</w:t>
      </w:r>
      <w:r w:rsidRPr="00921A8E">
        <w:rPr>
          <w:rFonts w:ascii="Arial" w:hAnsi="Arial" w:cs="Arial"/>
          <w:i/>
        </w:rPr>
        <w:t xml:space="preserve"> </w:t>
      </w:r>
    </w:p>
    <w:p w:rsidR="00921A8E" w:rsidRPr="00921A8E" w:rsidRDefault="00921A8E" w:rsidP="00921A8E">
      <w:pPr>
        <w:spacing w:before="0"/>
        <w:jc w:val="both"/>
        <w:rPr>
          <w:rFonts w:ascii="Arial" w:hAnsi="Arial" w:cs="Arial"/>
          <w:i/>
        </w:rPr>
      </w:pPr>
      <w:r w:rsidRPr="00921A8E">
        <w:rPr>
          <w:rFonts w:ascii="Arial" w:hAnsi="Arial" w:cs="Arial"/>
          <w:i/>
        </w:rPr>
        <w:t xml:space="preserve">(c) </w:t>
      </w:r>
      <w:proofErr w:type="gramStart"/>
      <w:r w:rsidRPr="00921A8E">
        <w:rPr>
          <w:rFonts w:ascii="Arial" w:hAnsi="Arial" w:cs="Arial"/>
          <w:i/>
        </w:rPr>
        <w:t>any</w:t>
      </w:r>
      <w:proofErr w:type="gramEnd"/>
      <w:r w:rsidRPr="00921A8E">
        <w:rPr>
          <w:rFonts w:ascii="Arial" w:hAnsi="Arial" w:cs="Arial"/>
          <w:i/>
        </w:rPr>
        <w:t xml:space="preserve"> settlement restrictions. </w:t>
      </w:r>
    </w:p>
    <w:p w:rsidR="00921A8E" w:rsidRPr="00921A8E" w:rsidRDefault="00921A8E" w:rsidP="00921A8E">
      <w:pPr>
        <w:spacing w:before="0"/>
        <w:jc w:val="both"/>
        <w:rPr>
          <w:rFonts w:ascii="Arial" w:hAnsi="Arial" w:cs="Arial"/>
          <w:b/>
          <w:i/>
        </w:rPr>
      </w:pPr>
      <w:r w:rsidRPr="00921A8E">
        <w:rPr>
          <w:rFonts w:ascii="Arial" w:hAnsi="Arial" w:cs="Arial"/>
          <w:b/>
          <w:i/>
        </w:rPr>
        <w:t>(d)</w:t>
      </w:r>
      <w:r w:rsidRPr="00921A8E">
        <w:rPr>
          <w:rFonts w:ascii="Arial" w:hAnsi="Arial" w:cs="Arial"/>
          <w:b/>
        </w:rPr>
        <w:t xml:space="preserve"> </w:t>
      </w:r>
      <w:proofErr w:type="gramStart"/>
      <w:r w:rsidRPr="00921A8E">
        <w:rPr>
          <w:rFonts w:ascii="Arial" w:hAnsi="Arial" w:cs="Arial"/>
          <w:b/>
          <w:i/>
        </w:rPr>
        <w:t>the</w:t>
      </w:r>
      <w:proofErr w:type="gramEnd"/>
      <w:r w:rsidRPr="00921A8E">
        <w:rPr>
          <w:rFonts w:ascii="Arial" w:hAnsi="Arial" w:cs="Arial"/>
          <w:b/>
          <w:i/>
        </w:rPr>
        <w:t xml:space="preserve"> relevant ISO type of asset classes required for the purpose of compliance with requirements under article [penalty rates] and article [buy-in rules] of this</w:t>
      </w:r>
      <w:r w:rsidRPr="00921A8E">
        <w:rPr>
          <w:rFonts w:ascii="Arial" w:hAnsi="Arial" w:cs="Arial"/>
          <w:i/>
        </w:rPr>
        <w:t xml:space="preserve"> </w:t>
      </w:r>
      <w:r w:rsidRPr="00921A8E">
        <w:rPr>
          <w:rFonts w:ascii="Arial" w:hAnsi="Arial" w:cs="Arial"/>
          <w:b/>
          <w:i/>
        </w:rPr>
        <w:t xml:space="preserve">Regulation. </w:t>
      </w:r>
    </w:p>
    <w:p w:rsidR="00921A8E" w:rsidRPr="00921A8E" w:rsidRDefault="00921A8E" w:rsidP="00921A8E">
      <w:pPr>
        <w:spacing w:before="0"/>
        <w:jc w:val="both"/>
        <w:rPr>
          <w:rFonts w:ascii="Arial" w:hAnsi="Arial" w:cs="Arial"/>
          <w:b/>
          <w:i/>
        </w:rPr>
      </w:pPr>
      <w:r w:rsidRPr="00921A8E">
        <w:rPr>
          <w:rFonts w:ascii="Arial" w:hAnsi="Arial" w:cs="Arial"/>
          <w:b/>
          <w:i/>
        </w:rPr>
        <w:t xml:space="preserve">(e) </w:t>
      </w:r>
      <w:proofErr w:type="gramStart"/>
      <w:r w:rsidRPr="00921A8E">
        <w:rPr>
          <w:rFonts w:ascii="Arial" w:hAnsi="Arial" w:cs="Arial"/>
          <w:b/>
          <w:i/>
        </w:rPr>
        <w:t>the</w:t>
      </w:r>
      <w:proofErr w:type="gramEnd"/>
      <w:r w:rsidRPr="00921A8E">
        <w:rPr>
          <w:rFonts w:ascii="Arial" w:hAnsi="Arial" w:cs="Arial"/>
          <w:b/>
          <w:i/>
        </w:rPr>
        <w:t xml:space="preserve"> place of trading and of clearing, where applicable;” </w:t>
      </w:r>
    </w:p>
    <w:p w:rsidR="00921A8E" w:rsidRPr="00921A8E" w:rsidRDefault="00921A8E" w:rsidP="00292847">
      <w:pPr>
        <w:spacing w:before="0"/>
        <w:jc w:val="both"/>
        <w:rPr>
          <w:rFonts w:ascii="Arial" w:hAnsi="Arial" w:cs="Arial"/>
          <w:b/>
        </w:rPr>
      </w:pPr>
    </w:p>
    <w:p w:rsidR="00921A8E" w:rsidRDefault="00921A8E" w:rsidP="00292847">
      <w:pPr>
        <w:spacing w:before="0"/>
        <w:jc w:val="both"/>
        <w:rPr>
          <w:rFonts w:ascii="Arial" w:hAnsi="Arial" w:cs="Arial"/>
          <w:b/>
        </w:rPr>
      </w:pPr>
    </w:p>
    <w:p w:rsidR="00921A8E" w:rsidRDefault="00921A8E" w:rsidP="00292847">
      <w:pPr>
        <w:spacing w:before="0"/>
        <w:jc w:val="both"/>
        <w:rPr>
          <w:rFonts w:ascii="Arial" w:hAnsi="Arial" w:cs="Arial"/>
          <w:b/>
        </w:rPr>
      </w:pPr>
    </w:p>
    <w:p w:rsidR="00921A8E" w:rsidRDefault="00921A8E" w:rsidP="00292847">
      <w:pPr>
        <w:spacing w:before="0"/>
        <w:jc w:val="both"/>
        <w:rPr>
          <w:rFonts w:ascii="Arial" w:hAnsi="Arial" w:cs="Arial"/>
          <w:b/>
        </w:rPr>
      </w:pPr>
    </w:p>
    <w:p w:rsidR="00921A8E" w:rsidRDefault="00921A8E" w:rsidP="00292847">
      <w:pPr>
        <w:spacing w:before="0"/>
        <w:jc w:val="both"/>
        <w:rPr>
          <w:rFonts w:ascii="Arial" w:hAnsi="Arial" w:cs="Arial"/>
          <w:b/>
        </w:rPr>
      </w:pPr>
    </w:p>
    <w:p w:rsidR="00921A8E" w:rsidRPr="00292847" w:rsidRDefault="00921A8E" w:rsidP="00292847">
      <w:pPr>
        <w:spacing w:before="0"/>
        <w:jc w:val="both"/>
        <w:rPr>
          <w:rFonts w:ascii="Arial" w:hAnsi="Arial" w:cs="Arial"/>
          <w:b/>
        </w:rPr>
      </w:pPr>
    </w:p>
    <w:p w:rsidR="00292847" w:rsidRPr="00292847" w:rsidRDefault="00292847" w:rsidP="00292847">
      <w:pPr>
        <w:spacing w:before="0"/>
        <w:jc w:val="both"/>
        <w:rPr>
          <w:rFonts w:ascii="Arial" w:hAnsi="Arial" w:cs="Arial"/>
          <w:b/>
        </w:rPr>
      </w:pPr>
    </w:p>
    <w:p w:rsidR="00292847" w:rsidRDefault="00292847" w:rsidP="00292847">
      <w:pPr>
        <w:spacing w:before="0"/>
        <w:jc w:val="both"/>
        <w:rPr>
          <w:rFonts w:ascii="Arial" w:hAnsi="Arial" w:cs="Arial"/>
          <w:b/>
        </w:rPr>
      </w:pPr>
      <w:proofErr w:type="spellStart"/>
      <w:r w:rsidRPr="00292847">
        <w:rPr>
          <w:rFonts w:ascii="Arial" w:hAnsi="Arial" w:cs="Arial"/>
          <w:b/>
        </w:rPr>
        <w:t>Q6</w:t>
      </w:r>
      <w:proofErr w:type="spellEnd"/>
      <w:r w:rsidRPr="00292847">
        <w:rPr>
          <w:rFonts w:ascii="Arial" w:hAnsi="Arial" w:cs="Arial"/>
          <w:b/>
        </w:rPr>
        <w:t xml:space="preserve">: What are your views on the proposed draft </w:t>
      </w:r>
      <w:proofErr w:type="spellStart"/>
      <w:r w:rsidRPr="00292847">
        <w:rPr>
          <w:rFonts w:ascii="Arial" w:hAnsi="Arial" w:cs="Arial"/>
          <w:b/>
        </w:rPr>
        <w:t>RTS</w:t>
      </w:r>
      <w:proofErr w:type="spellEnd"/>
      <w:r w:rsidRPr="00292847">
        <w:rPr>
          <w:rFonts w:ascii="Arial" w:hAnsi="Arial" w:cs="Arial"/>
          <w:b/>
        </w:rPr>
        <w:t xml:space="preserve"> related to the penalty mechanism? Do you agree that when </w:t>
      </w:r>
      <w:proofErr w:type="spellStart"/>
      <w:r w:rsidRPr="00292847">
        <w:rPr>
          <w:rFonts w:ascii="Arial" w:hAnsi="Arial" w:cs="Arial"/>
          <w:b/>
        </w:rPr>
        <w:t>CSDs</w:t>
      </w:r>
      <w:proofErr w:type="spellEnd"/>
      <w:r w:rsidRPr="00292847">
        <w:rPr>
          <w:rFonts w:ascii="Arial" w:hAnsi="Arial" w:cs="Arial"/>
          <w:b/>
        </w:rPr>
        <w:t xml:space="preserve"> use a common settlement infrastructure, the procedures for cash penalties should be jointly managed?</w:t>
      </w:r>
    </w:p>
    <w:p w:rsidR="004B58B7" w:rsidRPr="004B58B7" w:rsidRDefault="004B58B7" w:rsidP="004B58B7">
      <w:pPr>
        <w:jc w:val="both"/>
        <w:rPr>
          <w:rFonts w:ascii="Arial" w:hAnsi="Arial" w:cs="Arial"/>
        </w:rPr>
      </w:pPr>
      <w:r w:rsidRPr="004B58B7">
        <w:rPr>
          <w:rFonts w:ascii="Arial" w:hAnsi="Arial" w:cs="Arial"/>
        </w:rPr>
        <w:t xml:space="preserve">BNY Mellon </w:t>
      </w:r>
      <w:proofErr w:type="spellStart"/>
      <w:r w:rsidRPr="004B58B7">
        <w:rPr>
          <w:rFonts w:ascii="Arial" w:hAnsi="Arial" w:cs="Arial"/>
        </w:rPr>
        <w:t>CSD</w:t>
      </w:r>
      <w:proofErr w:type="spellEnd"/>
      <w:r w:rsidRPr="004B58B7">
        <w:rPr>
          <w:rFonts w:ascii="Arial" w:hAnsi="Arial" w:cs="Arial"/>
        </w:rPr>
        <w:t xml:space="preserve"> views the topic of the penalty mechanism of being of major importance.</w:t>
      </w:r>
    </w:p>
    <w:p w:rsidR="004B58B7" w:rsidRPr="004B58B7" w:rsidRDefault="004B58B7" w:rsidP="004B58B7">
      <w:pPr>
        <w:spacing w:after="240"/>
        <w:jc w:val="both"/>
        <w:rPr>
          <w:rFonts w:ascii="Arial" w:hAnsi="Arial" w:cs="Arial"/>
        </w:rPr>
      </w:pPr>
      <w:r w:rsidRPr="004B58B7">
        <w:rPr>
          <w:rFonts w:ascii="Arial" w:hAnsi="Arial" w:cs="Arial"/>
        </w:rPr>
        <w:t xml:space="preserve">As other parties will be responding in detail on this topic, BNY Mellon </w:t>
      </w:r>
      <w:proofErr w:type="spellStart"/>
      <w:r w:rsidRPr="004B58B7">
        <w:rPr>
          <w:rFonts w:ascii="Arial" w:hAnsi="Arial" w:cs="Arial"/>
        </w:rPr>
        <w:t>CSD</w:t>
      </w:r>
      <w:proofErr w:type="spellEnd"/>
      <w:r w:rsidRPr="004B58B7">
        <w:rPr>
          <w:rFonts w:ascii="Arial" w:hAnsi="Arial" w:cs="Arial"/>
        </w:rPr>
        <w:t xml:space="preserve"> is limiting itself to the following more technical remarks.</w:t>
      </w:r>
    </w:p>
    <w:p w:rsidR="004B58B7" w:rsidRPr="004B58B7" w:rsidRDefault="004B58B7" w:rsidP="004B58B7">
      <w:pPr>
        <w:numPr>
          <w:ilvl w:val="0"/>
          <w:numId w:val="4"/>
        </w:numPr>
        <w:spacing w:before="0"/>
        <w:jc w:val="both"/>
        <w:rPr>
          <w:rFonts w:ascii="Arial" w:hAnsi="Arial" w:cs="Arial"/>
          <w:u w:val="dotDash"/>
        </w:rPr>
      </w:pPr>
      <w:r w:rsidRPr="004B58B7">
        <w:rPr>
          <w:rFonts w:ascii="Arial" w:hAnsi="Arial" w:cs="Arial"/>
          <w:u w:val="dotDash"/>
        </w:rPr>
        <w:t>Art. 7 – collection of cash penalties</w:t>
      </w:r>
    </w:p>
    <w:p w:rsidR="004B58B7" w:rsidRDefault="004B58B7" w:rsidP="004B58B7">
      <w:pPr>
        <w:jc w:val="both"/>
        <w:rPr>
          <w:rFonts w:ascii="Arial" w:hAnsi="Arial" w:cs="Arial"/>
        </w:rPr>
      </w:pPr>
      <w:r w:rsidRPr="004B58B7">
        <w:rPr>
          <w:rFonts w:ascii="Arial" w:hAnsi="Arial" w:cs="Arial"/>
        </w:rPr>
        <w:t xml:space="preserve">BNY Mellon </w:t>
      </w:r>
      <w:proofErr w:type="spellStart"/>
      <w:r w:rsidRPr="004B58B7">
        <w:rPr>
          <w:rFonts w:ascii="Arial" w:hAnsi="Arial" w:cs="Arial"/>
        </w:rPr>
        <w:t>CSD</w:t>
      </w:r>
      <w:proofErr w:type="spellEnd"/>
      <w:r w:rsidRPr="004B58B7">
        <w:rPr>
          <w:rFonts w:ascii="Arial" w:hAnsi="Arial" w:cs="Arial"/>
        </w:rPr>
        <w:t xml:space="preserve"> is of the opinion that calculation as per art. 7(2) should encompass the end of the settlement day in all circumstance, without the need to distinguish between </w:t>
      </w:r>
      <w:proofErr w:type="spellStart"/>
      <w:r w:rsidRPr="004B58B7">
        <w:rPr>
          <w:rFonts w:ascii="Arial" w:hAnsi="Arial" w:cs="Arial"/>
        </w:rPr>
        <w:t>DVP</w:t>
      </w:r>
      <w:proofErr w:type="spellEnd"/>
      <w:r w:rsidRPr="004B58B7">
        <w:rPr>
          <w:rFonts w:ascii="Arial" w:hAnsi="Arial" w:cs="Arial"/>
        </w:rPr>
        <w:t xml:space="preserve"> </w:t>
      </w:r>
      <w:proofErr w:type="gramStart"/>
      <w:r w:rsidRPr="004B58B7">
        <w:rPr>
          <w:rFonts w:ascii="Arial" w:hAnsi="Arial" w:cs="Arial"/>
        </w:rPr>
        <w:t>or</w:t>
      </w:r>
      <w:proofErr w:type="gramEnd"/>
      <w:r w:rsidRPr="004B58B7">
        <w:rPr>
          <w:rFonts w:ascii="Arial" w:hAnsi="Arial" w:cs="Arial"/>
        </w:rPr>
        <w:t xml:space="preserve"> FOP so as to ensure consistency in the reference price to be used for calculation.</w:t>
      </w:r>
    </w:p>
    <w:p w:rsidR="004B58B7" w:rsidRDefault="004B58B7" w:rsidP="004B58B7">
      <w:pPr>
        <w:jc w:val="both"/>
        <w:rPr>
          <w:rFonts w:ascii="Arial" w:hAnsi="Arial" w:cs="Arial"/>
        </w:rPr>
      </w:pPr>
      <w:r w:rsidRPr="004B58B7">
        <w:rPr>
          <w:rFonts w:ascii="Arial" w:hAnsi="Arial" w:cs="Arial"/>
        </w:rPr>
        <w:t>We therefore propose ESMA to redraft this article according to the below:</w:t>
      </w:r>
    </w:p>
    <w:p w:rsidR="004B58B7" w:rsidRDefault="004B58B7" w:rsidP="004B58B7">
      <w:pPr>
        <w:spacing w:before="0"/>
        <w:jc w:val="both"/>
        <w:rPr>
          <w:rFonts w:ascii="Arial" w:hAnsi="Arial" w:cs="Arial"/>
        </w:rPr>
      </w:pPr>
      <w:r w:rsidRPr="004B58B7">
        <w:rPr>
          <w:rFonts w:ascii="Arial" w:hAnsi="Arial" w:cs="Arial"/>
          <w:i/>
        </w:rPr>
        <w:t xml:space="preserve">“The penalty shall be calculated or applied on the failed settlement instructions </w:t>
      </w:r>
      <w:r w:rsidRPr="004B58B7">
        <w:rPr>
          <w:rFonts w:ascii="Arial" w:hAnsi="Arial" w:cs="Arial"/>
          <w:b/>
          <w:i/>
          <w:strike/>
        </w:rPr>
        <w:t xml:space="preserve">at the moment of the cut of time for </w:t>
      </w:r>
      <w:proofErr w:type="spellStart"/>
      <w:r w:rsidRPr="004B58B7">
        <w:rPr>
          <w:rFonts w:ascii="Arial" w:hAnsi="Arial" w:cs="Arial"/>
          <w:b/>
          <w:i/>
          <w:strike/>
        </w:rPr>
        <w:t>DVP</w:t>
      </w:r>
      <w:proofErr w:type="spellEnd"/>
      <w:r w:rsidRPr="004B58B7">
        <w:rPr>
          <w:rFonts w:ascii="Arial" w:hAnsi="Arial" w:cs="Arial"/>
          <w:b/>
          <w:i/>
          <w:strike/>
        </w:rPr>
        <w:t xml:space="preserve"> settlement instructions and</w:t>
      </w:r>
      <w:r w:rsidRPr="004B58B7">
        <w:rPr>
          <w:rFonts w:ascii="Arial" w:hAnsi="Arial" w:cs="Arial"/>
          <w:i/>
        </w:rPr>
        <w:t xml:space="preserve"> at the end of the settlement day </w:t>
      </w:r>
      <w:r w:rsidRPr="004B58B7">
        <w:rPr>
          <w:rFonts w:ascii="Arial" w:hAnsi="Arial" w:cs="Arial"/>
          <w:b/>
          <w:i/>
          <w:strike/>
        </w:rPr>
        <w:t xml:space="preserve">for </w:t>
      </w:r>
      <w:proofErr w:type="spellStart"/>
      <w:r w:rsidRPr="004B58B7">
        <w:rPr>
          <w:rFonts w:ascii="Arial" w:hAnsi="Arial" w:cs="Arial"/>
          <w:b/>
          <w:i/>
          <w:strike/>
        </w:rPr>
        <w:t>FoP</w:t>
      </w:r>
      <w:proofErr w:type="spellEnd"/>
      <w:r w:rsidRPr="004B58B7">
        <w:rPr>
          <w:rFonts w:ascii="Arial" w:hAnsi="Arial" w:cs="Arial"/>
          <w:b/>
          <w:i/>
          <w:strike/>
        </w:rPr>
        <w:t xml:space="preserve"> settlement instructions.”</w:t>
      </w:r>
    </w:p>
    <w:p w:rsidR="004B58B7" w:rsidRDefault="004B58B7" w:rsidP="004B58B7">
      <w:pPr>
        <w:spacing w:before="0"/>
        <w:jc w:val="both"/>
        <w:rPr>
          <w:rFonts w:ascii="Arial" w:hAnsi="Arial" w:cs="Arial"/>
        </w:rPr>
      </w:pPr>
    </w:p>
    <w:p w:rsidR="004B58B7" w:rsidRDefault="004B58B7" w:rsidP="004B58B7">
      <w:pPr>
        <w:spacing w:before="0"/>
        <w:jc w:val="both"/>
        <w:rPr>
          <w:rFonts w:ascii="Arial" w:hAnsi="Arial" w:cs="Arial"/>
        </w:rPr>
      </w:pPr>
      <w:proofErr w:type="gramStart"/>
      <w:r w:rsidRPr="004B58B7">
        <w:rPr>
          <w:rFonts w:ascii="Arial" w:hAnsi="Arial" w:cs="Arial"/>
        </w:rPr>
        <w:t>With respect to art.</w:t>
      </w:r>
      <w:proofErr w:type="gramEnd"/>
      <w:r w:rsidRPr="004B58B7">
        <w:rPr>
          <w:rFonts w:ascii="Arial" w:hAnsi="Arial" w:cs="Arial"/>
        </w:rPr>
        <w:t xml:space="preserve"> 7(5), BNY Mellon </w:t>
      </w:r>
      <w:proofErr w:type="spellStart"/>
      <w:r w:rsidRPr="004B58B7">
        <w:rPr>
          <w:rFonts w:ascii="Arial" w:hAnsi="Arial" w:cs="Arial"/>
        </w:rPr>
        <w:t>CSD</w:t>
      </w:r>
      <w:proofErr w:type="spellEnd"/>
      <w:r w:rsidRPr="004B58B7">
        <w:rPr>
          <w:rFonts w:ascii="Arial" w:hAnsi="Arial" w:cs="Arial"/>
        </w:rPr>
        <w:t xml:space="preserve"> would like to draw </w:t>
      </w:r>
      <w:proofErr w:type="spellStart"/>
      <w:r w:rsidRPr="004B58B7">
        <w:rPr>
          <w:rFonts w:ascii="Arial" w:hAnsi="Arial" w:cs="Arial"/>
        </w:rPr>
        <w:t>ESMA’s</w:t>
      </w:r>
      <w:proofErr w:type="spellEnd"/>
      <w:r w:rsidRPr="004B58B7">
        <w:rPr>
          <w:rFonts w:ascii="Arial" w:hAnsi="Arial" w:cs="Arial"/>
        </w:rPr>
        <w:t xml:space="preserve"> attention to the need to clarify the meaning of a dedicated cash account. It is our understanding that such a “dedicated” cash account would mean a technical account that </w:t>
      </w:r>
      <w:proofErr w:type="spellStart"/>
      <w:r w:rsidRPr="004B58B7">
        <w:rPr>
          <w:rFonts w:ascii="Arial" w:hAnsi="Arial" w:cs="Arial"/>
        </w:rPr>
        <w:t>CSDs</w:t>
      </w:r>
      <w:proofErr w:type="spellEnd"/>
      <w:r w:rsidRPr="004B58B7">
        <w:rPr>
          <w:rFonts w:ascii="Arial" w:hAnsi="Arial" w:cs="Arial"/>
        </w:rPr>
        <w:t xml:space="preserve"> would be required to open for the sole purpose of collecting and redistributing penalties from and to all their participants.</w:t>
      </w:r>
    </w:p>
    <w:p w:rsidR="004B58B7" w:rsidRDefault="004B58B7" w:rsidP="004B58B7">
      <w:pPr>
        <w:spacing w:before="0"/>
        <w:jc w:val="both"/>
        <w:rPr>
          <w:rFonts w:ascii="Arial" w:hAnsi="Arial" w:cs="Arial"/>
        </w:rPr>
      </w:pPr>
    </w:p>
    <w:p w:rsidR="004B58B7" w:rsidRPr="004B58B7" w:rsidRDefault="004B58B7" w:rsidP="004B58B7">
      <w:pPr>
        <w:spacing w:before="0"/>
        <w:jc w:val="both"/>
        <w:rPr>
          <w:rFonts w:ascii="Arial" w:hAnsi="Arial" w:cs="Arial"/>
        </w:rPr>
      </w:pPr>
      <w:r w:rsidRPr="004B58B7">
        <w:rPr>
          <w:rFonts w:ascii="Arial" w:hAnsi="Arial" w:cs="Arial"/>
        </w:rPr>
        <w:t xml:space="preserve">In addition, BNY Mellon </w:t>
      </w:r>
      <w:proofErr w:type="spellStart"/>
      <w:r w:rsidRPr="004B58B7">
        <w:rPr>
          <w:rFonts w:ascii="Arial" w:hAnsi="Arial" w:cs="Arial"/>
        </w:rPr>
        <w:t>CSD</w:t>
      </w:r>
      <w:proofErr w:type="spellEnd"/>
      <w:r w:rsidRPr="004B58B7">
        <w:rPr>
          <w:rFonts w:ascii="Arial" w:hAnsi="Arial" w:cs="Arial"/>
        </w:rPr>
        <w:t xml:space="preserve"> would like to get clarification from ESMA on how the cash to be deposited by the </w:t>
      </w:r>
      <w:proofErr w:type="spellStart"/>
      <w:r w:rsidRPr="004B58B7">
        <w:rPr>
          <w:rFonts w:ascii="Arial" w:hAnsi="Arial" w:cs="Arial"/>
        </w:rPr>
        <w:t>CSD</w:t>
      </w:r>
      <w:proofErr w:type="spellEnd"/>
      <w:r w:rsidRPr="004B58B7">
        <w:rPr>
          <w:rFonts w:ascii="Arial" w:hAnsi="Arial" w:cs="Arial"/>
        </w:rPr>
        <w:t xml:space="preserve"> on behalf of its failing participants would be handled in case of default by a failing participant, while such failing participant would have not transferred the necessary cash by the time it became insolvent, how the case would be collected in case a failing participant does not agree with the penalty applied, etc.</w:t>
      </w:r>
    </w:p>
    <w:p w:rsidR="00292847" w:rsidRPr="00292847" w:rsidRDefault="00292847" w:rsidP="00292847">
      <w:pPr>
        <w:spacing w:before="0"/>
        <w:jc w:val="both"/>
        <w:rPr>
          <w:rFonts w:ascii="Arial" w:hAnsi="Arial" w:cs="Arial"/>
          <w:b/>
        </w:rPr>
      </w:pPr>
    </w:p>
    <w:p w:rsidR="00292847" w:rsidRPr="00292847" w:rsidRDefault="00292847" w:rsidP="00292847">
      <w:pPr>
        <w:spacing w:before="0"/>
        <w:jc w:val="both"/>
        <w:rPr>
          <w:rFonts w:ascii="Arial" w:hAnsi="Arial" w:cs="Arial"/>
          <w:b/>
        </w:rPr>
      </w:pPr>
      <w:proofErr w:type="spellStart"/>
      <w:r w:rsidRPr="00292847">
        <w:rPr>
          <w:rFonts w:ascii="Arial" w:hAnsi="Arial" w:cs="Arial"/>
          <w:b/>
        </w:rPr>
        <w:t>Q7</w:t>
      </w:r>
      <w:proofErr w:type="spellEnd"/>
      <w:r w:rsidRPr="00292847">
        <w:rPr>
          <w:rFonts w:ascii="Arial" w:hAnsi="Arial" w:cs="Arial"/>
          <w:b/>
        </w:rPr>
        <w:t xml:space="preserve">: What are your views on the proposed draft </w:t>
      </w:r>
      <w:proofErr w:type="spellStart"/>
      <w:r w:rsidRPr="00292847">
        <w:rPr>
          <w:rFonts w:ascii="Arial" w:hAnsi="Arial" w:cs="Arial"/>
          <w:b/>
        </w:rPr>
        <w:t>RTS</w:t>
      </w:r>
      <w:proofErr w:type="spellEnd"/>
      <w:r w:rsidRPr="00292847">
        <w:rPr>
          <w:rFonts w:ascii="Arial" w:hAnsi="Arial" w:cs="Arial"/>
          <w:b/>
        </w:rPr>
        <w:t xml:space="preserve"> related to the buy-in process?</w:t>
      </w:r>
    </w:p>
    <w:p w:rsidR="00292847" w:rsidRPr="00292847" w:rsidRDefault="00292847" w:rsidP="00292847">
      <w:pPr>
        <w:spacing w:before="0"/>
        <w:jc w:val="both"/>
        <w:rPr>
          <w:rFonts w:ascii="Arial" w:hAnsi="Arial" w:cs="Arial"/>
          <w:b/>
        </w:rPr>
      </w:pPr>
    </w:p>
    <w:p w:rsidR="00292847" w:rsidRPr="00292847" w:rsidRDefault="00292847" w:rsidP="00292847">
      <w:pPr>
        <w:autoSpaceDE w:val="0"/>
        <w:autoSpaceDN w:val="0"/>
        <w:adjustRightInd w:val="0"/>
        <w:spacing w:before="0"/>
        <w:jc w:val="both"/>
        <w:rPr>
          <w:rFonts w:ascii="Arial" w:hAnsi="Arial" w:cs="Arial"/>
          <w:color w:val="000000"/>
          <w:lang w:val="en-GB" w:eastAsia="en-GB"/>
        </w:rPr>
      </w:pPr>
      <w:r w:rsidRPr="00292847">
        <w:rPr>
          <w:rFonts w:ascii="Arial" w:hAnsi="Arial" w:cs="Arial"/>
          <w:b/>
          <w:bCs/>
          <w:color w:val="000000"/>
          <w:lang w:val="en-GB" w:eastAsia="en-GB"/>
        </w:rPr>
        <w:t xml:space="preserve">In particular, what are your views on applying partial settlement at the end of the extension period? Do you consider that the </w:t>
      </w:r>
      <w:proofErr w:type="spellStart"/>
      <w:r w:rsidRPr="00292847">
        <w:rPr>
          <w:rFonts w:ascii="Arial" w:hAnsi="Arial" w:cs="Arial"/>
          <w:b/>
          <w:bCs/>
          <w:color w:val="000000"/>
          <w:lang w:val="en-GB" w:eastAsia="en-GB"/>
        </w:rPr>
        <w:t>partialling</w:t>
      </w:r>
      <w:proofErr w:type="spellEnd"/>
      <w:r w:rsidRPr="00292847">
        <w:rPr>
          <w:rFonts w:ascii="Arial" w:hAnsi="Arial" w:cs="Arial"/>
          <w:b/>
          <w:bCs/>
          <w:color w:val="000000"/>
          <w:lang w:val="en-GB" w:eastAsia="en-GB"/>
        </w:rPr>
        <w:t xml:space="preserve"> of the settlement instruction would impact the rights and obligations of the participants? </w:t>
      </w:r>
    </w:p>
    <w:p w:rsidR="00292847" w:rsidRPr="00292847" w:rsidRDefault="00292847" w:rsidP="00292847">
      <w:pPr>
        <w:autoSpaceDE w:val="0"/>
        <w:autoSpaceDN w:val="0"/>
        <w:adjustRightInd w:val="0"/>
        <w:spacing w:before="0"/>
        <w:jc w:val="both"/>
        <w:rPr>
          <w:rFonts w:ascii="Arial" w:hAnsi="Arial" w:cs="Arial"/>
          <w:color w:val="000000"/>
          <w:lang w:val="en-GB" w:eastAsia="en-GB"/>
        </w:rPr>
      </w:pPr>
      <w:r w:rsidRPr="00292847">
        <w:rPr>
          <w:rFonts w:ascii="Arial" w:hAnsi="Arial" w:cs="Arial"/>
          <w:b/>
          <w:bCs/>
          <w:color w:val="000000"/>
          <w:lang w:val="en-GB" w:eastAsia="en-GB"/>
        </w:rPr>
        <w:t xml:space="preserve">What do you think about the proposed approach for limiting multiple buy-in and the timing for the participant to provide the information to the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w:t>
      </w:r>
    </w:p>
    <w:p w:rsidR="00602F61" w:rsidRDefault="00602F61" w:rsidP="00602F61">
      <w:pPr>
        <w:rPr>
          <w:rFonts w:ascii="Arial" w:hAnsi="Arial" w:cs="Arial"/>
        </w:rPr>
      </w:pPr>
      <w:r w:rsidRPr="00602F61">
        <w:rPr>
          <w:rFonts w:ascii="Arial" w:hAnsi="Arial" w:cs="Arial"/>
        </w:rPr>
        <w:t xml:space="preserve">BNY Mellon </w:t>
      </w:r>
      <w:proofErr w:type="spellStart"/>
      <w:r w:rsidRPr="00602F61">
        <w:rPr>
          <w:rFonts w:ascii="Arial" w:hAnsi="Arial" w:cs="Arial"/>
        </w:rPr>
        <w:t>CSD</w:t>
      </w:r>
      <w:proofErr w:type="spellEnd"/>
      <w:r w:rsidRPr="00602F61">
        <w:rPr>
          <w:rFonts w:ascii="Arial" w:hAnsi="Arial" w:cs="Arial"/>
        </w:rPr>
        <w:t xml:space="preserve"> views the topic of the buy-in process of being of major importance.</w:t>
      </w:r>
    </w:p>
    <w:p w:rsidR="00602F61" w:rsidRDefault="00602F61" w:rsidP="00602F61">
      <w:pPr>
        <w:rPr>
          <w:rFonts w:ascii="Arial" w:hAnsi="Arial" w:cs="Arial"/>
        </w:rPr>
      </w:pPr>
      <w:r w:rsidRPr="00602F61">
        <w:rPr>
          <w:rFonts w:ascii="Arial" w:hAnsi="Arial" w:cs="Arial"/>
        </w:rPr>
        <w:t xml:space="preserve">As other parties will be responding in detail on this topic, BNY Mellon </w:t>
      </w:r>
      <w:proofErr w:type="spellStart"/>
      <w:r w:rsidRPr="00602F61">
        <w:rPr>
          <w:rFonts w:ascii="Arial" w:hAnsi="Arial" w:cs="Arial"/>
        </w:rPr>
        <w:t>CSD</w:t>
      </w:r>
      <w:proofErr w:type="spellEnd"/>
      <w:r w:rsidRPr="00602F61">
        <w:rPr>
          <w:rFonts w:ascii="Arial" w:hAnsi="Arial" w:cs="Arial"/>
        </w:rPr>
        <w:t xml:space="preserve"> is limiting itself to some brief remarks.</w:t>
      </w:r>
    </w:p>
    <w:p w:rsidR="00602F61" w:rsidRPr="00602F61" w:rsidRDefault="00602F61" w:rsidP="00602F61">
      <w:pPr>
        <w:rPr>
          <w:rFonts w:ascii="Arial" w:hAnsi="Arial" w:cs="Arial"/>
        </w:rPr>
      </w:pPr>
      <w:r w:rsidRPr="00602F61">
        <w:rPr>
          <w:rFonts w:ascii="Arial" w:hAnsi="Arial" w:cs="Arial"/>
        </w:rPr>
        <w:t xml:space="preserve">BNY Mellon </w:t>
      </w:r>
      <w:proofErr w:type="spellStart"/>
      <w:r w:rsidRPr="00602F61">
        <w:rPr>
          <w:rFonts w:ascii="Arial" w:hAnsi="Arial" w:cs="Arial"/>
        </w:rPr>
        <w:t>CSD</w:t>
      </w:r>
      <w:proofErr w:type="spellEnd"/>
      <w:r w:rsidRPr="00602F61">
        <w:rPr>
          <w:rFonts w:ascii="Arial" w:hAnsi="Arial" w:cs="Arial"/>
        </w:rPr>
        <w:t xml:space="preserve"> would like to point out that art. 7 (10)(c) requires </w:t>
      </w:r>
      <w:proofErr w:type="spellStart"/>
      <w:r w:rsidRPr="00602F61">
        <w:rPr>
          <w:rFonts w:ascii="Arial" w:hAnsi="Arial" w:cs="Arial"/>
        </w:rPr>
        <w:t>CSDs</w:t>
      </w:r>
      <w:proofErr w:type="spellEnd"/>
      <w:r w:rsidRPr="00602F61">
        <w:rPr>
          <w:rFonts w:ascii="Arial" w:hAnsi="Arial" w:cs="Arial"/>
        </w:rPr>
        <w:t xml:space="preserve"> to include in their internal rules an obligation for their participants to be subject to measures referred to in paragraph 3 to 8 (buy-ins). </w:t>
      </w:r>
      <w:proofErr w:type="spellStart"/>
      <w:r w:rsidRPr="00602F61">
        <w:rPr>
          <w:rFonts w:ascii="Arial" w:hAnsi="Arial" w:cs="Arial"/>
        </w:rPr>
        <w:t>CSD</w:t>
      </w:r>
      <w:proofErr w:type="spellEnd"/>
      <w:r w:rsidRPr="00602F61">
        <w:rPr>
          <w:rFonts w:ascii="Arial" w:hAnsi="Arial" w:cs="Arial"/>
        </w:rPr>
        <w:t xml:space="preserve"> Regulation therefore does not require </w:t>
      </w:r>
      <w:proofErr w:type="spellStart"/>
      <w:r w:rsidRPr="00602F61">
        <w:rPr>
          <w:rFonts w:ascii="Arial" w:hAnsi="Arial" w:cs="Arial"/>
        </w:rPr>
        <w:t>CSDs</w:t>
      </w:r>
      <w:proofErr w:type="spellEnd"/>
      <w:r w:rsidRPr="00602F61">
        <w:rPr>
          <w:rFonts w:ascii="Arial" w:hAnsi="Arial" w:cs="Arial"/>
        </w:rPr>
        <w:t xml:space="preserve"> to execute the buy-in. </w:t>
      </w:r>
    </w:p>
    <w:p w:rsidR="00602F61" w:rsidRPr="00602F61" w:rsidRDefault="00602F61" w:rsidP="00602F61">
      <w:pPr>
        <w:jc w:val="both"/>
        <w:rPr>
          <w:rFonts w:ascii="Arial" w:hAnsi="Arial" w:cs="Arial"/>
        </w:rPr>
      </w:pPr>
    </w:p>
    <w:p w:rsidR="00602F61" w:rsidRDefault="00602F61" w:rsidP="00602F61">
      <w:pPr>
        <w:jc w:val="both"/>
        <w:rPr>
          <w:rFonts w:ascii="Arial" w:hAnsi="Arial" w:cs="Arial"/>
        </w:rPr>
      </w:pPr>
      <w:r w:rsidRPr="00602F61">
        <w:rPr>
          <w:rFonts w:ascii="Arial" w:hAnsi="Arial" w:cs="Arial"/>
        </w:rPr>
        <w:lastRenderedPageBreak/>
        <w:t xml:space="preserve">BNY Mellon </w:t>
      </w:r>
      <w:proofErr w:type="spellStart"/>
      <w:r w:rsidRPr="00602F61">
        <w:rPr>
          <w:rFonts w:ascii="Arial" w:hAnsi="Arial" w:cs="Arial"/>
        </w:rPr>
        <w:t>CSD</w:t>
      </w:r>
      <w:proofErr w:type="spellEnd"/>
      <w:r w:rsidRPr="00602F61">
        <w:rPr>
          <w:rFonts w:ascii="Arial" w:hAnsi="Arial" w:cs="Arial"/>
        </w:rPr>
        <w:t xml:space="preserve"> therefore fully disagrees with </w:t>
      </w:r>
      <w:proofErr w:type="spellStart"/>
      <w:r w:rsidRPr="00602F61">
        <w:rPr>
          <w:rFonts w:ascii="Arial" w:hAnsi="Arial" w:cs="Arial"/>
        </w:rPr>
        <w:t>ESMA’s</w:t>
      </w:r>
      <w:proofErr w:type="spellEnd"/>
      <w:r w:rsidRPr="00602F61">
        <w:rPr>
          <w:rFonts w:ascii="Arial" w:hAnsi="Arial" w:cs="Arial"/>
        </w:rPr>
        <w:t xml:space="preserve"> approach to involve </w:t>
      </w:r>
      <w:proofErr w:type="spellStart"/>
      <w:r w:rsidRPr="00602F61">
        <w:rPr>
          <w:rFonts w:ascii="Arial" w:hAnsi="Arial" w:cs="Arial"/>
        </w:rPr>
        <w:t>CSDs</w:t>
      </w:r>
      <w:proofErr w:type="spellEnd"/>
      <w:r w:rsidRPr="00602F61">
        <w:rPr>
          <w:rFonts w:ascii="Arial" w:hAnsi="Arial" w:cs="Arial"/>
        </w:rPr>
        <w:t xml:space="preserve"> as a potential component in the execution of the buy-in process and stresses that it is inconsistent with the level 1 Regulation.</w:t>
      </w:r>
    </w:p>
    <w:p w:rsidR="00602F61" w:rsidRPr="00602F61" w:rsidRDefault="00602F61" w:rsidP="00602F61">
      <w:pPr>
        <w:jc w:val="both"/>
        <w:rPr>
          <w:rFonts w:ascii="Arial" w:hAnsi="Arial" w:cs="Arial"/>
        </w:rPr>
      </w:pPr>
      <w:r w:rsidRPr="00602F61">
        <w:rPr>
          <w:rFonts w:ascii="Arial" w:hAnsi="Arial" w:cs="Arial"/>
        </w:rPr>
        <w:t xml:space="preserve">Such an involvement would impose totally new obligations to </w:t>
      </w:r>
      <w:proofErr w:type="spellStart"/>
      <w:r w:rsidRPr="00602F61">
        <w:rPr>
          <w:rFonts w:ascii="Arial" w:hAnsi="Arial" w:cs="Arial"/>
        </w:rPr>
        <w:t>CSDs</w:t>
      </w:r>
      <w:proofErr w:type="spellEnd"/>
      <w:r w:rsidRPr="00602F61">
        <w:rPr>
          <w:rFonts w:ascii="Arial" w:hAnsi="Arial" w:cs="Arial"/>
        </w:rPr>
        <w:t xml:space="preserve">, while most of them would be very difficult to impose or achieve. Obstacles to such a regime are, </w:t>
      </w:r>
      <w:r w:rsidRPr="00602F61">
        <w:rPr>
          <w:rFonts w:ascii="Arial" w:hAnsi="Arial" w:cs="Arial"/>
          <w:i/>
        </w:rPr>
        <w:t>inter alia</w:t>
      </w:r>
      <w:r w:rsidRPr="00602F61">
        <w:rPr>
          <w:rFonts w:ascii="Arial" w:hAnsi="Arial" w:cs="Arial"/>
        </w:rPr>
        <w:t>:</w:t>
      </w:r>
    </w:p>
    <w:p w:rsidR="00602F61" w:rsidRPr="00602F61" w:rsidRDefault="00602F61" w:rsidP="00602F61">
      <w:pPr>
        <w:numPr>
          <w:ilvl w:val="0"/>
          <w:numId w:val="9"/>
        </w:numPr>
        <w:spacing w:before="0"/>
        <w:jc w:val="both"/>
        <w:rPr>
          <w:rFonts w:ascii="Arial" w:hAnsi="Arial" w:cs="Arial"/>
        </w:rPr>
      </w:pPr>
      <w:r w:rsidRPr="00602F61">
        <w:rPr>
          <w:rFonts w:ascii="Arial" w:hAnsi="Arial" w:cs="Arial"/>
        </w:rPr>
        <w:t>the need to access detailed information on buy-ins, and to be able to identify buy-ins from other securities deliveries, which in most cases cannot be done today;</w:t>
      </w:r>
    </w:p>
    <w:p w:rsidR="00602F61" w:rsidRPr="00602F61" w:rsidRDefault="00602F61" w:rsidP="00602F61">
      <w:pPr>
        <w:numPr>
          <w:ilvl w:val="0"/>
          <w:numId w:val="9"/>
        </w:numPr>
        <w:spacing w:before="0"/>
        <w:jc w:val="both"/>
        <w:rPr>
          <w:rFonts w:ascii="Arial" w:hAnsi="Arial" w:cs="Arial"/>
        </w:rPr>
      </w:pPr>
      <w:r w:rsidRPr="00602F61">
        <w:rPr>
          <w:rFonts w:ascii="Arial" w:hAnsi="Arial" w:cs="Arial"/>
        </w:rPr>
        <w:t xml:space="preserve"> “consistency tests” on the instructions </w:t>
      </w:r>
      <w:proofErr w:type="spellStart"/>
      <w:r w:rsidRPr="00602F61">
        <w:rPr>
          <w:rFonts w:ascii="Arial" w:hAnsi="Arial" w:cs="Arial"/>
        </w:rPr>
        <w:t>CSDs</w:t>
      </w:r>
      <w:proofErr w:type="spellEnd"/>
      <w:r w:rsidRPr="00602F61">
        <w:rPr>
          <w:rFonts w:ascii="Arial" w:hAnsi="Arial" w:cs="Arial"/>
        </w:rPr>
        <w:t xml:space="preserve"> receive in order to prevent multiple buy-ins seems to us very difficult to achieve;</w:t>
      </w:r>
    </w:p>
    <w:p w:rsidR="00602F61" w:rsidRPr="00602F61" w:rsidRDefault="00602F61" w:rsidP="00602F61">
      <w:pPr>
        <w:numPr>
          <w:ilvl w:val="0"/>
          <w:numId w:val="9"/>
        </w:numPr>
        <w:spacing w:before="0"/>
        <w:jc w:val="both"/>
        <w:rPr>
          <w:rFonts w:ascii="Arial" w:hAnsi="Arial" w:cs="Arial"/>
        </w:rPr>
      </w:pPr>
      <w:r w:rsidRPr="00602F61">
        <w:rPr>
          <w:rFonts w:ascii="Arial" w:hAnsi="Arial" w:cs="Arial"/>
        </w:rPr>
        <w:t xml:space="preserve">totally new communication flows will have to be implemented between </w:t>
      </w:r>
      <w:proofErr w:type="spellStart"/>
      <w:r w:rsidRPr="00602F61">
        <w:rPr>
          <w:rFonts w:ascii="Arial" w:hAnsi="Arial" w:cs="Arial"/>
        </w:rPr>
        <w:t>CSDs</w:t>
      </w:r>
      <w:proofErr w:type="spellEnd"/>
      <w:r w:rsidRPr="00602F61">
        <w:rPr>
          <w:rFonts w:ascii="Arial" w:hAnsi="Arial" w:cs="Arial"/>
        </w:rPr>
        <w:t xml:space="preserve"> and their participants (for the purpose of collecting trading information);</w:t>
      </w:r>
    </w:p>
    <w:p w:rsidR="00602F61" w:rsidRPr="00602F61" w:rsidRDefault="00602F61" w:rsidP="00602F61">
      <w:pPr>
        <w:numPr>
          <w:ilvl w:val="0"/>
          <w:numId w:val="9"/>
        </w:numPr>
        <w:spacing w:before="0"/>
        <w:jc w:val="both"/>
        <w:rPr>
          <w:rFonts w:ascii="Arial" w:hAnsi="Arial" w:cs="Arial"/>
        </w:rPr>
      </w:pPr>
      <w:proofErr w:type="gramStart"/>
      <w:r w:rsidRPr="00602F61">
        <w:rPr>
          <w:rFonts w:ascii="Arial" w:hAnsi="Arial" w:cs="Arial"/>
        </w:rPr>
        <w:t>several</w:t>
      </w:r>
      <w:proofErr w:type="gramEnd"/>
      <w:r w:rsidRPr="00602F61">
        <w:rPr>
          <w:rFonts w:ascii="Arial" w:hAnsi="Arial" w:cs="Arial"/>
        </w:rPr>
        <w:t xml:space="preserve"> proposed reporting obligations are not supported by ISO standards; they will thus take time to be implemented.</w:t>
      </w:r>
    </w:p>
    <w:p w:rsidR="00602F61" w:rsidRDefault="00602F61" w:rsidP="00292847">
      <w:pPr>
        <w:autoSpaceDE w:val="0"/>
        <w:autoSpaceDN w:val="0"/>
        <w:adjustRightInd w:val="0"/>
        <w:spacing w:before="0"/>
        <w:jc w:val="both"/>
        <w:rPr>
          <w:rFonts w:ascii="Arial" w:hAnsi="Arial" w:cs="Arial"/>
          <w:b/>
          <w:bCs/>
          <w:color w:val="000000"/>
          <w:lang w:val="en-GB" w:eastAsia="en-GB"/>
        </w:rPr>
      </w:pPr>
    </w:p>
    <w:p w:rsidR="00506689" w:rsidRDefault="00292847" w:rsidP="00506689">
      <w:pPr>
        <w:autoSpaceDE w:val="0"/>
        <w:autoSpaceDN w:val="0"/>
        <w:adjustRightInd w:val="0"/>
        <w:spacing w:before="0"/>
        <w:jc w:val="both"/>
        <w:rPr>
          <w:rFonts w:ascii="Arial" w:hAnsi="Arial" w:cs="Arial"/>
          <w:color w:val="000000"/>
          <w:lang w:val="en-GB" w:eastAsia="en-GB"/>
        </w:rPr>
      </w:pPr>
      <w:proofErr w:type="spellStart"/>
      <w:r w:rsidRPr="00292847">
        <w:rPr>
          <w:rFonts w:ascii="Arial" w:hAnsi="Arial" w:cs="Arial"/>
          <w:b/>
          <w:bCs/>
          <w:color w:val="000000"/>
          <w:lang w:val="en-GB" w:eastAsia="en-GB"/>
        </w:rPr>
        <w:t>Q9</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related to the type of operations and their timeframe that render buy-in ineffective? </w:t>
      </w:r>
    </w:p>
    <w:p w:rsidR="00506689" w:rsidRDefault="00506689" w:rsidP="00506689">
      <w:pPr>
        <w:autoSpaceDE w:val="0"/>
        <w:autoSpaceDN w:val="0"/>
        <w:adjustRightInd w:val="0"/>
        <w:spacing w:before="0"/>
        <w:jc w:val="both"/>
        <w:rPr>
          <w:rFonts w:ascii="Arial" w:hAnsi="Arial" w:cs="Arial"/>
          <w:color w:val="000000"/>
          <w:lang w:val="en-GB" w:eastAsia="en-GB"/>
        </w:rPr>
      </w:pPr>
    </w:p>
    <w:p w:rsidR="00506689" w:rsidRDefault="00506689" w:rsidP="00506689">
      <w:pPr>
        <w:autoSpaceDE w:val="0"/>
        <w:autoSpaceDN w:val="0"/>
        <w:adjustRightInd w:val="0"/>
        <w:spacing w:before="0"/>
        <w:jc w:val="both"/>
        <w:rPr>
          <w:rFonts w:ascii="Arial" w:hAnsi="Arial" w:cs="Arial"/>
          <w:color w:val="000000"/>
          <w:lang w:val="en-GB" w:eastAsia="en-GB"/>
        </w:rPr>
      </w:pPr>
      <w:r w:rsidRPr="00506689">
        <w:rPr>
          <w:rFonts w:ascii="Arial" w:hAnsi="Arial" w:cs="Arial"/>
          <w:spacing w:val="1"/>
        </w:rPr>
        <w:t xml:space="preserve">BNY Mellon </w:t>
      </w:r>
      <w:proofErr w:type="spellStart"/>
      <w:r w:rsidRPr="00506689">
        <w:rPr>
          <w:rFonts w:ascii="Arial" w:hAnsi="Arial" w:cs="Arial"/>
          <w:spacing w:val="1"/>
        </w:rPr>
        <w:t>CSD</w:t>
      </w:r>
      <w:proofErr w:type="spellEnd"/>
      <w:r w:rsidRPr="00506689">
        <w:rPr>
          <w:rFonts w:ascii="Arial" w:hAnsi="Arial" w:cs="Arial"/>
          <w:spacing w:val="1"/>
        </w:rPr>
        <w:t xml:space="preserve"> is of the opinion that requirements imposed by </w:t>
      </w:r>
      <w:proofErr w:type="spellStart"/>
      <w:r w:rsidRPr="00506689">
        <w:rPr>
          <w:rFonts w:ascii="Arial" w:hAnsi="Arial" w:cs="Arial"/>
          <w:spacing w:val="1"/>
        </w:rPr>
        <w:t>art.14</w:t>
      </w:r>
      <w:proofErr w:type="spellEnd"/>
      <w:r w:rsidRPr="00506689">
        <w:rPr>
          <w:rFonts w:ascii="Arial" w:hAnsi="Arial" w:cs="Arial"/>
          <w:spacing w:val="1"/>
        </w:rPr>
        <w:t xml:space="preserve"> will require </w:t>
      </w:r>
      <w:proofErr w:type="spellStart"/>
      <w:r w:rsidRPr="00506689">
        <w:rPr>
          <w:rFonts w:ascii="Arial" w:hAnsi="Arial" w:cs="Arial"/>
          <w:spacing w:val="1"/>
        </w:rPr>
        <w:t>CSDs</w:t>
      </w:r>
      <w:proofErr w:type="spellEnd"/>
      <w:r w:rsidRPr="00506689">
        <w:rPr>
          <w:rFonts w:ascii="Arial" w:hAnsi="Arial" w:cs="Arial"/>
          <w:spacing w:val="1"/>
        </w:rPr>
        <w:t xml:space="preserve"> to implement very costly and time-consuming IT developments as they will have to identify, in their own systems, operations composed of several transactions, often requiring additional functionalities to be built. In case transactions are linked, this information needs to come from the counterparties of the underlying trade and be populated in the settlement instructions by the respective </w:t>
      </w:r>
      <w:proofErr w:type="spellStart"/>
      <w:r w:rsidRPr="00506689">
        <w:rPr>
          <w:rFonts w:ascii="Arial" w:hAnsi="Arial" w:cs="Arial"/>
          <w:spacing w:val="1"/>
        </w:rPr>
        <w:t>CSD</w:t>
      </w:r>
      <w:proofErr w:type="spellEnd"/>
      <w:r w:rsidRPr="00506689">
        <w:rPr>
          <w:rFonts w:ascii="Arial" w:hAnsi="Arial" w:cs="Arial"/>
          <w:spacing w:val="1"/>
        </w:rPr>
        <w:t xml:space="preserve"> participants for </w:t>
      </w:r>
      <w:proofErr w:type="spellStart"/>
      <w:r w:rsidRPr="00506689">
        <w:rPr>
          <w:rFonts w:ascii="Arial" w:hAnsi="Arial" w:cs="Arial"/>
          <w:spacing w:val="1"/>
        </w:rPr>
        <w:t>CSDs</w:t>
      </w:r>
      <w:proofErr w:type="spellEnd"/>
      <w:r w:rsidRPr="00506689">
        <w:rPr>
          <w:rFonts w:ascii="Arial" w:hAnsi="Arial" w:cs="Arial"/>
          <w:spacing w:val="1"/>
        </w:rPr>
        <w:t xml:space="preserve"> to be able to identify such links. </w:t>
      </w:r>
    </w:p>
    <w:p w:rsidR="00506689" w:rsidRDefault="00506689" w:rsidP="00506689">
      <w:pPr>
        <w:autoSpaceDE w:val="0"/>
        <w:autoSpaceDN w:val="0"/>
        <w:adjustRightInd w:val="0"/>
        <w:spacing w:before="0"/>
        <w:jc w:val="both"/>
        <w:rPr>
          <w:rFonts w:ascii="Arial" w:hAnsi="Arial" w:cs="Arial"/>
          <w:color w:val="000000"/>
          <w:lang w:val="en-GB" w:eastAsia="en-GB"/>
        </w:rPr>
      </w:pPr>
    </w:p>
    <w:p w:rsidR="003543C8" w:rsidRDefault="00506689" w:rsidP="003543C8">
      <w:pPr>
        <w:autoSpaceDE w:val="0"/>
        <w:autoSpaceDN w:val="0"/>
        <w:adjustRightInd w:val="0"/>
        <w:spacing w:before="0"/>
        <w:jc w:val="both"/>
        <w:rPr>
          <w:rFonts w:ascii="Arial" w:hAnsi="Arial" w:cs="Arial"/>
          <w:color w:val="000000"/>
          <w:lang w:val="en-GB" w:eastAsia="en-GB"/>
        </w:rPr>
      </w:pPr>
      <w:r w:rsidRPr="00506689">
        <w:rPr>
          <w:rFonts w:ascii="Arial" w:hAnsi="Arial" w:cs="Arial"/>
          <w:spacing w:val="1"/>
        </w:rPr>
        <w:t xml:space="preserve">We are in agreement with </w:t>
      </w:r>
      <w:proofErr w:type="spellStart"/>
      <w:r w:rsidRPr="00506689">
        <w:rPr>
          <w:rFonts w:ascii="Arial" w:hAnsi="Arial" w:cs="Arial"/>
          <w:spacing w:val="1"/>
        </w:rPr>
        <w:t>ECSDA’s</w:t>
      </w:r>
      <w:proofErr w:type="spellEnd"/>
      <w:r w:rsidRPr="00506689">
        <w:rPr>
          <w:rFonts w:ascii="Arial" w:hAnsi="Arial" w:cs="Arial"/>
          <w:spacing w:val="1"/>
        </w:rPr>
        <w:t xml:space="preserve"> view that it will be very difficult, if not impossible, for </w:t>
      </w:r>
      <w:proofErr w:type="spellStart"/>
      <w:r w:rsidRPr="00506689">
        <w:rPr>
          <w:rFonts w:ascii="Arial" w:hAnsi="Arial" w:cs="Arial"/>
          <w:spacing w:val="1"/>
        </w:rPr>
        <w:t>CSDs</w:t>
      </w:r>
      <w:proofErr w:type="spellEnd"/>
      <w:r w:rsidRPr="00506689">
        <w:rPr>
          <w:rFonts w:ascii="Arial" w:hAnsi="Arial" w:cs="Arial"/>
          <w:spacing w:val="1"/>
        </w:rPr>
        <w:t xml:space="preserve"> to have information on the terms of the repo or whether the instruction is the first or the second leg of the repo.  In addition, while we agree that ISO messages could accommodate the inclusion of the necessary information, such an implementation would require coordination and implementation at industry level. </w:t>
      </w:r>
    </w:p>
    <w:p w:rsidR="00602F61" w:rsidRPr="003543C8" w:rsidRDefault="00506689" w:rsidP="00292847">
      <w:pPr>
        <w:autoSpaceDE w:val="0"/>
        <w:autoSpaceDN w:val="0"/>
        <w:adjustRightInd w:val="0"/>
        <w:spacing w:before="0"/>
        <w:jc w:val="both"/>
        <w:rPr>
          <w:rFonts w:ascii="Arial" w:hAnsi="Arial" w:cs="Arial"/>
          <w:color w:val="000000"/>
          <w:lang w:val="en-GB" w:eastAsia="en-GB"/>
        </w:rPr>
      </w:pPr>
      <w:r w:rsidRPr="00506689">
        <w:rPr>
          <w:rFonts w:ascii="Arial" w:hAnsi="Arial" w:cs="Arial"/>
          <w:spacing w:val="1"/>
        </w:rPr>
        <w:t xml:space="preserve">Further, we would like to draw </w:t>
      </w:r>
      <w:proofErr w:type="spellStart"/>
      <w:r w:rsidRPr="00506689">
        <w:rPr>
          <w:rFonts w:ascii="Arial" w:hAnsi="Arial" w:cs="Arial"/>
          <w:spacing w:val="1"/>
        </w:rPr>
        <w:t>ESMA’s</w:t>
      </w:r>
      <w:proofErr w:type="spellEnd"/>
      <w:r w:rsidRPr="00506689">
        <w:rPr>
          <w:rFonts w:ascii="Arial" w:hAnsi="Arial" w:cs="Arial"/>
          <w:spacing w:val="1"/>
        </w:rPr>
        <w:t xml:space="preserve"> attention to the impossibility for </w:t>
      </w:r>
      <w:proofErr w:type="spellStart"/>
      <w:r w:rsidRPr="00506689">
        <w:rPr>
          <w:rFonts w:ascii="Arial" w:hAnsi="Arial" w:cs="Arial"/>
          <w:spacing w:val="1"/>
        </w:rPr>
        <w:t>CSDs</w:t>
      </w:r>
      <w:proofErr w:type="spellEnd"/>
      <w:r w:rsidRPr="00506689">
        <w:rPr>
          <w:rFonts w:ascii="Arial" w:hAnsi="Arial" w:cs="Arial"/>
          <w:spacing w:val="1"/>
        </w:rPr>
        <w:t xml:space="preserve"> on </w:t>
      </w:r>
      <w:proofErr w:type="spellStart"/>
      <w:r w:rsidRPr="00506689">
        <w:rPr>
          <w:rFonts w:ascii="Arial" w:hAnsi="Arial" w:cs="Arial"/>
          <w:spacing w:val="1"/>
        </w:rPr>
        <w:t>T2S</w:t>
      </w:r>
      <w:proofErr w:type="spellEnd"/>
      <w:r w:rsidRPr="00506689">
        <w:rPr>
          <w:rFonts w:ascii="Arial" w:hAnsi="Arial" w:cs="Arial"/>
          <w:spacing w:val="1"/>
        </w:rPr>
        <w:t xml:space="preserve"> to comply with such a requirement since such functionality will not be available in </w:t>
      </w:r>
      <w:proofErr w:type="spellStart"/>
      <w:r w:rsidRPr="00506689">
        <w:rPr>
          <w:rFonts w:ascii="Arial" w:hAnsi="Arial" w:cs="Arial"/>
          <w:spacing w:val="1"/>
        </w:rPr>
        <w:t>T2S</w:t>
      </w:r>
      <w:proofErr w:type="spellEnd"/>
      <w:r w:rsidRPr="00506689">
        <w:rPr>
          <w:rFonts w:ascii="Arial" w:hAnsi="Arial" w:cs="Arial"/>
          <w:spacing w:val="1"/>
        </w:rPr>
        <w:t xml:space="preserve">. </w:t>
      </w:r>
    </w:p>
    <w:p w:rsidR="00602F61" w:rsidRDefault="00602F61" w:rsidP="00292847">
      <w:pPr>
        <w:autoSpaceDE w:val="0"/>
        <w:autoSpaceDN w:val="0"/>
        <w:adjustRightInd w:val="0"/>
        <w:spacing w:before="0"/>
        <w:jc w:val="both"/>
        <w:rPr>
          <w:rFonts w:ascii="Arial" w:hAnsi="Arial" w:cs="Arial"/>
          <w:b/>
          <w:bCs/>
          <w:color w:val="000000"/>
          <w:lang w:val="en-GB" w:eastAsia="en-GB"/>
        </w:rPr>
      </w:pPr>
    </w:p>
    <w:p w:rsidR="003543C8" w:rsidRDefault="00292847" w:rsidP="003543C8">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Q11</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related to the conditions for a participant to consistently and systematically fail? </w:t>
      </w:r>
    </w:p>
    <w:p w:rsidR="003543C8" w:rsidRDefault="003543C8" w:rsidP="003543C8">
      <w:pPr>
        <w:autoSpaceDE w:val="0"/>
        <w:autoSpaceDN w:val="0"/>
        <w:adjustRightInd w:val="0"/>
        <w:spacing w:before="0"/>
        <w:jc w:val="both"/>
        <w:rPr>
          <w:rFonts w:ascii="Arial" w:hAnsi="Arial" w:cs="Arial"/>
          <w:b/>
          <w:bCs/>
          <w:color w:val="000000"/>
          <w:lang w:val="en-GB" w:eastAsia="en-GB"/>
        </w:rPr>
      </w:pPr>
    </w:p>
    <w:p w:rsidR="003543C8" w:rsidRDefault="003543C8" w:rsidP="00292847">
      <w:pPr>
        <w:autoSpaceDE w:val="0"/>
        <w:autoSpaceDN w:val="0"/>
        <w:adjustRightInd w:val="0"/>
        <w:spacing w:before="0"/>
        <w:jc w:val="both"/>
        <w:rPr>
          <w:rFonts w:ascii="Arial" w:hAnsi="Arial" w:cs="Arial"/>
          <w:b/>
          <w:bCs/>
          <w:color w:val="000000"/>
          <w:lang w:val="en-GB" w:eastAsia="en-GB"/>
        </w:rPr>
      </w:pPr>
      <w:r w:rsidRPr="003543C8">
        <w:rPr>
          <w:rFonts w:ascii="Arial" w:hAnsi="Arial" w:cs="Arial"/>
        </w:rPr>
        <w:t xml:space="preserve">BNY Mellon </w:t>
      </w:r>
      <w:proofErr w:type="spellStart"/>
      <w:r w:rsidRPr="003543C8">
        <w:rPr>
          <w:rFonts w:ascii="Arial" w:hAnsi="Arial" w:cs="Arial"/>
        </w:rPr>
        <w:t>CSD</w:t>
      </w:r>
      <w:proofErr w:type="spellEnd"/>
      <w:r w:rsidRPr="003543C8">
        <w:rPr>
          <w:rFonts w:ascii="Arial" w:hAnsi="Arial" w:cs="Arial"/>
        </w:rPr>
        <w:t xml:space="preserve"> would like to draw </w:t>
      </w:r>
      <w:proofErr w:type="spellStart"/>
      <w:r w:rsidRPr="003543C8">
        <w:rPr>
          <w:rFonts w:ascii="Arial" w:hAnsi="Arial" w:cs="Arial"/>
        </w:rPr>
        <w:t>ESMA’s</w:t>
      </w:r>
      <w:proofErr w:type="spellEnd"/>
      <w:r w:rsidRPr="003543C8">
        <w:rPr>
          <w:rFonts w:ascii="Arial" w:hAnsi="Arial" w:cs="Arial"/>
        </w:rPr>
        <w:t xml:space="preserve"> attention to the need to ensure comparable methodology is implemented across </w:t>
      </w:r>
      <w:proofErr w:type="spellStart"/>
      <w:r w:rsidRPr="003543C8">
        <w:rPr>
          <w:rFonts w:ascii="Arial" w:hAnsi="Arial" w:cs="Arial"/>
        </w:rPr>
        <w:t>CSDs</w:t>
      </w:r>
      <w:proofErr w:type="spellEnd"/>
      <w:r w:rsidRPr="003543C8">
        <w:rPr>
          <w:rFonts w:ascii="Arial" w:hAnsi="Arial" w:cs="Arial"/>
        </w:rPr>
        <w:t>. Moreover, we are of the opinion that settlement efficiency will have to be further defined (per account, per family, per group, etc.).</w:t>
      </w:r>
    </w:p>
    <w:p w:rsidR="003543C8" w:rsidRPr="003543C8" w:rsidRDefault="003543C8" w:rsidP="00292847">
      <w:pPr>
        <w:autoSpaceDE w:val="0"/>
        <w:autoSpaceDN w:val="0"/>
        <w:adjustRightInd w:val="0"/>
        <w:spacing w:before="0"/>
        <w:jc w:val="both"/>
        <w:rPr>
          <w:rFonts w:ascii="Arial" w:hAnsi="Arial" w:cs="Arial"/>
          <w:b/>
          <w:bCs/>
          <w:color w:val="000000"/>
          <w:lang w:val="en-GB" w:eastAsia="en-GB"/>
        </w:rPr>
      </w:pPr>
    </w:p>
    <w:p w:rsidR="00292847" w:rsidRDefault="00292847" w:rsidP="00292847">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Q12</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related to the settlement information for </w:t>
      </w:r>
      <w:proofErr w:type="spellStart"/>
      <w:r w:rsidRPr="00292847">
        <w:rPr>
          <w:rFonts w:ascii="Arial" w:hAnsi="Arial" w:cs="Arial"/>
          <w:b/>
          <w:bCs/>
          <w:color w:val="000000"/>
          <w:lang w:val="en-GB" w:eastAsia="en-GB"/>
        </w:rPr>
        <w:t>CCPs</w:t>
      </w:r>
      <w:proofErr w:type="spellEnd"/>
      <w:r w:rsidRPr="00292847">
        <w:rPr>
          <w:rFonts w:ascii="Arial" w:hAnsi="Arial" w:cs="Arial"/>
          <w:b/>
          <w:bCs/>
          <w:color w:val="000000"/>
          <w:lang w:val="en-GB" w:eastAsia="en-GB"/>
        </w:rPr>
        <w:t xml:space="preserve"> and trading venues? </w:t>
      </w:r>
    </w:p>
    <w:p w:rsidR="003543C8" w:rsidRPr="003543C8" w:rsidRDefault="003543C8" w:rsidP="00292847">
      <w:pPr>
        <w:autoSpaceDE w:val="0"/>
        <w:autoSpaceDN w:val="0"/>
        <w:adjustRightInd w:val="0"/>
        <w:spacing w:before="0"/>
        <w:jc w:val="both"/>
        <w:rPr>
          <w:rFonts w:ascii="Arial" w:hAnsi="Arial" w:cs="Arial"/>
          <w:bCs/>
          <w:color w:val="000000"/>
          <w:lang w:val="en-GB" w:eastAsia="en-GB"/>
        </w:rPr>
      </w:pPr>
    </w:p>
    <w:p w:rsidR="003543C8" w:rsidRPr="003543C8" w:rsidRDefault="003543C8" w:rsidP="00292847">
      <w:pPr>
        <w:autoSpaceDE w:val="0"/>
        <w:autoSpaceDN w:val="0"/>
        <w:adjustRightInd w:val="0"/>
        <w:spacing w:before="0"/>
        <w:jc w:val="both"/>
        <w:rPr>
          <w:rFonts w:ascii="Arial" w:hAnsi="Arial" w:cs="Arial"/>
          <w:bCs/>
          <w:color w:val="000000"/>
          <w:lang w:val="en-GB" w:eastAsia="en-GB"/>
        </w:rPr>
      </w:pPr>
      <w:r w:rsidRPr="003543C8">
        <w:rPr>
          <w:rFonts w:ascii="Arial" w:hAnsi="Arial" w:cs="Arial"/>
          <w:bCs/>
          <w:color w:val="000000"/>
          <w:lang w:val="en-GB" w:eastAsia="en-GB"/>
        </w:rPr>
        <w:t xml:space="preserve">BNY Mellon </w:t>
      </w:r>
      <w:proofErr w:type="spellStart"/>
      <w:r w:rsidRPr="003543C8">
        <w:rPr>
          <w:rFonts w:ascii="Arial" w:hAnsi="Arial" w:cs="Arial"/>
          <w:bCs/>
          <w:color w:val="000000"/>
          <w:lang w:val="en-GB" w:eastAsia="en-GB"/>
        </w:rPr>
        <w:t>CSD</w:t>
      </w:r>
      <w:proofErr w:type="spellEnd"/>
      <w:r w:rsidRPr="003543C8">
        <w:rPr>
          <w:rFonts w:ascii="Arial" w:hAnsi="Arial" w:cs="Arial"/>
          <w:bCs/>
          <w:color w:val="000000"/>
          <w:lang w:val="en-GB" w:eastAsia="en-GB"/>
        </w:rPr>
        <w:t xml:space="preserve"> is uncertain about the process which will enable </w:t>
      </w:r>
      <w:proofErr w:type="spellStart"/>
      <w:r w:rsidRPr="003543C8">
        <w:rPr>
          <w:rFonts w:ascii="Arial" w:hAnsi="Arial" w:cs="Arial"/>
          <w:bCs/>
          <w:color w:val="000000"/>
          <w:lang w:val="en-GB" w:eastAsia="en-GB"/>
        </w:rPr>
        <w:t>CSDs</w:t>
      </w:r>
      <w:proofErr w:type="spellEnd"/>
      <w:r w:rsidRPr="003543C8">
        <w:rPr>
          <w:rFonts w:ascii="Arial" w:hAnsi="Arial" w:cs="Arial"/>
          <w:bCs/>
          <w:color w:val="000000"/>
          <w:lang w:val="en-GB" w:eastAsia="en-GB"/>
        </w:rPr>
        <w:t xml:space="preserve"> to provide trading venue with information related to the status of failed settlement as </w:t>
      </w:r>
      <w:proofErr w:type="spellStart"/>
      <w:r w:rsidRPr="003543C8">
        <w:rPr>
          <w:rFonts w:ascii="Arial" w:hAnsi="Arial" w:cs="Arial"/>
          <w:bCs/>
          <w:color w:val="000000"/>
          <w:lang w:val="en-GB" w:eastAsia="en-GB"/>
        </w:rPr>
        <w:t>CSDs</w:t>
      </w:r>
      <w:proofErr w:type="spellEnd"/>
      <w:r w:rsidRPr="003543C8">
        <w:rPr>
          <w:rFonts w:ascii="Arial" w:hAnsi="Arial" w:cs="Arial"/>
          <w:bCs/>
          <w:color w:val="000000"/>
          <w:lang w:val="en-GB" w:eastAsia="en-GB"/>
        </w:rPr>
        <w:t xml:space="preserve"> might not be in a position to identify the trading venue where the transaction that gave rise to the settlement instruction took place (mainly where there instructions are not the result of a direct trade feed between the trading venue and the </w:t>
      </w:r>
      <w:proofErr w:type="spellStart"/>
      <w:r w:rsidRPr="003543C8">
        <w:rPr>
          <w:rFonts w:ascii="Arial" w:hAnsi="Arial" w:cs="Arial"/>
          <w:bCs/>
          <w:color w:val="000000"/>
          <w:lang w:val="en-GB" w:eastAsia="en-GB"/>
        </w:rPr>
        <w:t>CSD</w:t>
      </w:r>
      <w:proofErr w:type="spellEnd"/>
      <w:r w:rsidRPr="003543C8">
        <w:rPr>
          <w:rFonts w:ascii="Arial" w:hAnsi="Arial" w:cs="Arial"/>
          <w:bCs/>
          <w:color w:val="000000"/>
          <w:lang w:val="en-GB" w:eastAsia="en-GB"/>
        </w:rPr>
        <w:t>).</w:t>
      </w:r>
    </w:p>
    <w:p w:rsidR="00292847" w:rsidRPr="00292847" w:rsidRDefault="00292847" w:rsidP="00292847">
      <w:pPr>
        <w:spacing w:before="0"/>
        <w:jc w:val="both"/>
        <w:rPr>
          <w:rFonts w:ascii="Arial" w:hAnsi="Arial" w:cs="Arial"/>
          <w:b/>
          <w:bCs/>
          <w:color w:val="000000"/>
          <w:lang w:val="en-GB" w:eastAsia="en-GB"/>
        </w:rPr>
      </w:pPr>
    </w:p>
    <w:p w:rsidR="00292847" w:rsidRPr="00292847" w:rsidRDefault="00292847" w:rsidP="00292847">
      <w:pPr>
        <w:autoSpaceDE w:val="0"/>
        <w:autoSpaceDN w:val="0"/>
        <w:adjustRightInd w:val="0"/>
        <w:spacing w:before="0"/>
        <w:jc w:val="both"/>
        <w:rPr>
          <w:rFonts w:ascii="Arial" w:hAnsi="Arial" w:cs="Arial"/>
          <w:color w:val="000000"/>
          <w:lang w:val="en-GB" w:eastAsia="en-GB"/>
        </w:rPr>
      </w:pPr>
      <w:proofErr w:type="spellStart"/>
      <w:r w:rsidRPr="00292847">
        <w:rPr>
          <w:rFonts w:ascii="Arial" w:hAnsi="Arial" w:cs="Arial"/>
          <w:b/>
          <w:bCs/>
          <w:color w:val="000000"/>
          <w:lang w:val="en-GB" w:eastAsia="en-GB"/>
        </w:rPr>
        <w:t>Q14</w:t>
      </w:r>
      <w:proofErr w:type="spellEnd"/>
      <w:r w:rsidRPr="00292847">
        <w:rPr>
          <w:rFonts w:ascii="Arial" w:hAnsi="Arial" w:cs="Arial"/>
          <w:b/>
          <w:bCs/>
          <w:color w:val="000000"/>
          <w:lang w:val="en-GB" w:eastAsia="en-GB"/>
        </w:rPr>
        <w:t xml:space="preserve">: Do you agree that 18 months would be an appropriate timeframe for the implementation of the settlement discipline regime under </w:t>
      </w:r>
      <w:proofErr w:type="spellStart"/>
      <w:r w:rsidRPr="00292847">
        <w:rPr>
          <w:rFonts w:ascii="Arial" w:hAnsi="Arial" w:cs="Arial"/>
          <w:b/>
          <w:bCs/>
          <w:color w:val="000000"/>
          <w:lang w:val="en-GB" w:eastAsia="en-GB"/>
        </w:rPr>
        <w:t>CSDR</w:t>
      </w:r>
      <w:proofErr w:type="spellEnd"/>
      <w:r w:rsidRPr="00292847">
        <w:rPr>
          <w:rFonts w:ascii="Arial" w:hAnsi="Arial" w:cs="Arial"/>
          <w:b/>
          <w:bCs/>
          <w:color w:val="000000"/>
          <w:lang w:val="en-GB" w:eastAsia="en-GB"/>
        </w:rPr>
        <w:t xml:space="preserve">? If not, what would be an appropriate timeframe in your opinion? Please provide concrete data and evidence justifying a phase-in for the settlement discipline measures and supporting your proposals. </w:t>
      </w:r>
    </w:p>
    <w:p w:rsidR="003543C8" w:rsidRDefault="003543C8" w:rsidP="00292847">
      <w:pPr>
        <w:autoSpaceDE w:val="0"/>
        <w:autoSpaceDN w:val="0"/>
        <w:adjustRightInd w:val="0"/>
        <w:spacing w:before="0"/>
        <w:jc w:val="both"/>
        <w:rPr>
          <w:rFonts w:ascii="Arial" w:hAnsi="Arial" w:cs="Arial"/>
          <w:b/>
          <w:bCs/>
          <w:color w:val="000000"/>
          <w:lang w:val="en-GB" w:eastAsia="en-GB"/>
        </w:rPr>
      </w:pPr>
    </w:p>
    <w:p w:rsidR="003543C8" w:rsidRPr="0000194C" w:rsidRDefault="003543C8" w:rsidP="00292847">
      <w:pPr>
        <w:autoSpaceDE w:val="0"/>
        <w:autoSpaceDN w:val="0"/>
        <w:adjustRightInd w:val="0"/>
        <w:spacing w:before="0"/>
        <w:jc w:val="both"/>
        <w:rPr>
          <w:rFonts w:ascii="Arial" w:hAnsi="Arial" w:cs="Arial"/>
          <w:bCs/>
          <w:color w:val="000000"/>
          <w:lang w:val="en-GB" w:eastAsia="en-GB"/>
        </w:rPr>
      </w:pPr>
      <w:r w:rsidRPr="003543C8">
        <w:rPr>
          <w:rFonts w:ascii="Arial" w:hAnsi="Arial" w:cs="Arial"/>
          <w:bCs/>
          <w:color w:val="000000"/>
          <w:lang w:val="en-GB" w:eastAsia="en-GB"/>
        </w:rPr>
        <w:t xml:space="preserve">Given </w:t>
      </w:r>
      <w:proofErr w:type="spellStart"/>
      <w:r w:rsidRPr="003543C8">
        <w:rPr>
          <w:rFonts w:ascii="Arial" w:hAnsi="Arial" w:cs="Arial"/>
          <w:bCs/>
          <w:color w:val="000000"/>
          <w:lang w:val="en-GB" w:eastAsia="en-GB"/>
        </w:rPr>
        <w:t>CSDs</w:t>
      </w:r>
      <w:proofErr w:type="spellEnd"/>
      <w:r w:rsidRPr="003543C8">
        <w:rPr>
          <w:rFonts w:ascii="Arial" w:hAnsi="Arial" w:cs="Arial"/>
          <w:bCs/>
          <w:color w:val="000000"/>
          <w:lang w:val="en-GB" w:eastAsia="en-GB"/>
        </w:rPr>
        <w:t xml:space="preserve"> and their participants will be involved in </w:t>
      </w:r>
      <w:proofErr w:type="spellStart"/>
      <w:r w:rsidRPr="003543C8">
        <w:rPr>
          <w:rFonts w:ascii="Arial" w:hAnsi="Arial" w:cs="Arial"/>
          <w:bCs/>
          <w:color w:val="000000"/>
          <w:lang w:val="en-GB" w:eastAsia="en-GB"/>
        </w:rPr>
        <w:t>T2S</w:t>
      </w:r>
      <w:proofErr w:type="spellEnd"/>
      <w:r w:rsidRPr="003543C8">
        <w:rPr>
          <w:rFonts w:ascii="Arial" w:hAnsi="Arial" w:cs="Arial"/>
          <w:bCs/>
          <w:color w:val="000000"/>
          <w:lang w:val="en-GB" w:eastAsia="en-GB"/>
        </w:rPr>
        <w:t xml:space="preserve"> migration during the coming months and years, given the IT developments and impact assessment phase that the settlement discipline regime will require, BNY Mellon </w:t>
      </w:r>
      <w:proofErr w:type="spellStart"/>
      <w:r w:rsidRPr="003543C8">
        <w:rPr>
          <w:rFonts w:ascii="Arial" w:hAnsi="Arial" w:cs="Arial"/>
          <w:bCs/>
          <w:color w:val="000000"/>
          <w:lang w:val="en-GB" w:eastAsia="en-GB"/>
        </w:rPr>
        <w:t>CSD</w:t>
      </w:r>
      <w:proofErr w:type="spellEnd"/>
      <w:r w:rsidRPr="003543C8">
        <w:rPr>
          <w:rFonts w:ascii="Arial" w:hAnsi="Arial" w:cs="Arial"/>
          <w:bCs/>
          <w:color w:val="000000"/>
          <w:lang w:val="en-GB" w:eastAsia="en-GB"/>
        </w:rPr>
        <w:t xml:space="preserve"> is of the opinion that </w:t>
      </w:r>
      <w:proofErr w:type="spellStart"/>
      <w:r w:rsidRPr="003543C8">
        <w:rPr>
          <w:rFonts w:ascii="Arial" w:hAnsi="Arial" w:cs="Arial"/>
          <w:bCs/>
          <w:color w:val="000000"/>
          <w:lang w:val="en-GB" w:eastAsia="en-GB"/>
        </w:rPr>
        <w:t>CSDs</w:t>
      </w:r>
      <w:proofErr w:type="spellEnd"/>
      <w:r w:rsidRPr="003543C8">
        <w:rPr>
          <w:rFonts w:ascii="Arial" w:hAnsi="Arial" w:cs="Arial"/>
          <w:bCs/>
          <w:color w:val="000000"/>
          <w:lang w:val="en-GB" w:eastAsia="en-GB"/>
        </w:rPr>
        <w:t xml:space="preserve">, participants and other infrastructures should be given a period of at least a 24 months for the implementation of the settlement discipline regime and the reporting obligations attached to it, especially because the </w:t>
      </w:r>
      <w:proofErr w:type="spellStart"/>
      <w:r w:rsidRPr="003543C8">
        <w:rPr>
          <w:rFonts w:ascii="Arial" w:hAnsi="Arial" w:cs="Arial"/>
          <w:bCs/>
          <w:color w:val="000000"/>
          <w:lang w:val="en-GB" w:eastAsia="en-GB"/>
        </w:rPr>
        <w:t>CSD’s</w:t>
      </w:r>
      <w:proofErr w:type="spellEnd"/>
      <w:r w:rsidRPr="003543C8">
        <w:rPr>
          <w:rFonts w:ascii="Arial" w:hAnsi="Arial" w:cs="Arial"/>
          <w:bCs/>
          <w:color w:val="000000"/>
          <w:lang w:val="en-GB" w:eastAsia="en-GB"/>
        </w:rPr>
        <w:t xml:space="preserve"> participants will </w:t>
      </w:r>
      <w:r w:rsidRPr="0000194C">
        <w:rPr>
          <w:rFonts w:ascii="Arial" w:hAnsi="Arial" w:cs="Arial"/>
          <w:bCs/>
          <w:color w:val="000000"/>
          <w:lang w:val="en-GB" w:eastAsia="en-GB"/>
        </w:rPr>
        <w:lastRenderedPageBreak/>
        <w:t xml:space="preserve">have to make significant changes to their systems as well, such an implementation will requires more consultation and education with a wide population of </w:t>
      </w:r>
      <w:proofErr w:type="spellStart"/>
      <w:r w:rsidRPr="0000194C">
        <w:rPr>
          <w:rFonts w:ascii="Arial" w:hAnsi="Arial" w:cs="Arial"/>
          <w:bCs/>
          <w:color w:val="000000"/>
          <w:lang w:val="en-GB" w:eastAsia="en-GB"/>
        </w:rPr>
        <w:t>CSDs</w:t>
      </w:r>
      <w:proofErr w:type="spellEnd"/>
      <w:r w:rsidRPr="0000194C">
        <w:rPr>
          <w:rFonts w:ascii="Arial" w:hAnsi="Arial" w:cs="Arial"/>
          <w:bCs/>
          <w:color w:val="000000"/>
          <w:lang w:val="en-GB" w:eastAsia="en-GB"/>
        </w:rPr>
        <w:t xml:space="preserve"> and </w:t>
      </w:r>
      <w:proofErr w:type="spellStart"/>
      <w:r w:rsidRPr="0000194C">
        <w:rPr>
          <w:rFonts w:ascii="Arial" w:hAnsi="Arial" w:cs="Arial"/>
          <w:bCs/>
          <w:color w:val="000000"/>
          <w:lang w:val="en-GB" w:eastAsia="en-GB"/>
        </w:rPr>
        <w:t>CSD</w:t>
      </w:r>
      <w:proofErr w:type="spellEnd"/>
      <w:r w:rsidRPr="0000194C">
        <w:rPr>
          <w:rFonts w:ascii="Arial" w:hAnsi="Arial" w:cs="Arial"/>
          <w:bCs/>
          <w:color w:val="000000"/>
          <w:lang w:val="en-GB" w:eastAsia="en-GB"/>
        </w:rPr>
        <w:t xml:space="preserve"> participants.</w:t>
      </w:r>
    </w:p>
    <w:p w:rsidR="003543C8" w:rsidRPr="0000194C" w:rsidRDefault="003543C8" w:rsidP="00292847">
      <w:pPr>
        <w:autoSpaceDE w:val="0"/>
        <w:autoSpaceDN w:val="0"/>
        <w:adjustRightInd w:val="0"/>
        <w:spacing w:before="0"/>
        <w:jc w:val="both"/>
        <w:rPr>
          <w:rFonts w:ascii="Arial" w:hAnsi="Arial" w:cs="Arial"/>
          <w:bCs/>
          <w:color w:val="000000"/>
          <w:lang w:val="en-GB" w:eastAsia="en-GB"/>
        </w:rPr>
      </w:pPr>
    </w:p>
    <w:p w:rsidR="0000194C" w:rsidRPr="0000194C" w:rsidRDefault="00292847" w:rsidP="0000194C">
      <w:pPr>
        <w:autoSpaceDE w:val="0"/>
        <w:autoSpaceDN w:val="0"/>
        <w:adjustRightInd w:val="0"/>
        <w:spacing w:before="0" w:after="240"/>
        <w:jc w:val="both"/>
        <w:rPr>
          <w:rFonts w:ascii="Arial" w:hAnsi="Arial" w:cs="Arial"/>
          <w:color w:val="000000"/>
          <w:lang w:val="en-GB" w:eastAsia="en-GB"/>
        </w:rPr>
      </w:pPr>
      <w:proofErr w:type="spellStart"/>
      <w:r w:rsidRPr="0000194C">
        <w:rPr>
          <w:rFonts w:ascii="Arial" w:hAnsi="Arial" w:cs="Arial"/>
          <w:b/>
          <w:bCs/>
          <w:color w:val="000000"/>
          <w:lang w:val="en-GB" w:eastAsia="en-GB"/>
        </w:rPr>
        <w:t>Q15</w:t>
      </w:r>
      <w:proofErr w:type="spellEnd"/>
      <w:r w:rsidRPr="0000194C">
        <w:rPr>
          <w:rFonts w:ascii="Arial" w:hAnsi="Arial" w:cs="Arial"/>
          <w:b/>
          <w:bCs/>
          <w:color w:val="000000"/>
          <w:lang w:val="en-GB" w:eastAsia="en-GB"/>
        </w:rPr>
        <w:t xml:space="preserve">: What are your views on the proposed draft </w:t>
      </w:r>
      <w:proofErr w:type="spellStart"/>
      <w:r w:rsidRPr="0000194C">
        <w:rPr>
          <w:rFonts w:ascii="Arial" w:hAnsi="Arial" w:cs="Arial"/>
          <w:b/>
          <w:bCs/>
          <w:color w:val="000000"/>
          <w:lang w:val="en-GB" w:eastAsia="en-GB"/>
        </w:rPr>
        <w:t>RTS</w:t>
      </w:r>
      <w:proofErr w:type="spellEnd"/>
      <w:r w:rsidRPr="0000194C">
        <w:rPr>
          <w:rFonts w:ascii="Arial" w:hAnsi="Arial" w:cs="Arial"/>
          <w:b/>
          <w:bCs/>
          <w:color w:val="000000"/>
          <w:lang w:val="en-GB" w:eastAsia="en-GB"/>
        </w:rPr>
        <w:t xml:space="preserve"> on </w:t>
      </w:r>
      <w:proofErr w:type="spellStart"/>
      <w:r w:rsidRPr="0000194C">
        <w:rPr>
          <w:rFonts w:ascii="Arial" w:hAnsi="Arial" w:cs="Arial"/>
          <w:b/>
          <w:bCs/>
          <w:color w:val="000000"/>
          <w:lang w:val="en-GB" w:eastAsia="en-GB"/>
        </w:rPr>
        <w:t>CSD</w:t>
      </w:r>
      <w:proofErr w:type="spellEnd"/>
      <w:r w:rsidRPr="0000194C">
        <w:rPr>
          <w:rFonts w:ascii="Arial" w:hAnsi="Arial" w:cs="Arial"/>
          <w:b/>
          <w:bCs/>
          <w:color w:val="000000"/>
          <w:lang w:val="en-GB" w:eastAsia="en-GB"/>
        </w:rPr>
        <w:t xml:space="preserve"> authorisation (Chapter II of Annex II) and draft ITS on </w:t>
      </w:r>
      <w:proofErr w:type="spellStart"/>
      <w:r w:rsidRPr="0000194C">
        <w:rPr>
          <w:rFonts w:ascii="Arial" w:hAnsi="Arial" w:cs="Arial"/>
          <w:b/>
          <w:bCs/>
          <w:color w:val="000000"/>
          <w:lang w:val="en-GB" w:eastAsia="en-GB"/>
        </w:rPr>
        <w:t>CSD</w:t>
      </w:r>
      <w:proofErr w:type="spellEnd"/>
      <w:r w:rsidRPr="0000194C">
        <w:rPr>
          <w:rFonts w:ascii="Arial" w:hAnsi="Arial" w:cs="Arial"/>
          <w:b/>
          <w:bCs/>
          <w:color w:val="000000"/>
          <w:lang w:val="en-GB" w:eastAsia="en-GB"/>
        </w:rPr>
        <w:t xml:space="preserve"> authorisation (Chapter I of Annex VI)? </w:t>
      </w:r>
    </w:p>
    <w:p w:rsidR="0000194C" w:rsidRPr="0000194C" w:rsidRDefault="0000194C" w:rsidP="0000194C">
      <w:pPr>
        <w:numPr>
          <w:ilvl w:val="0"/>
          <w:numId w:val="4"/>
        </w:numPr>
        <w:spacing w:before="0"/>
        <w:jc w:val="both"/>
        <w:rPr>
          <w:rFonts w:ascii="Arial" w:hAnsi="Arial" w:cs="Arial"/>
          <w:u w:val="dotDash"/>
        </w:rPr>
      </w:pPr>
      <w:proofErr w:type="spellStart"/>
      <w:r w:rsidRPr="0000194C">
        <w:rPr>
          <w:rFonts w:ascii="Arial" w:hAnsi="Arial" w:cs="Arial"/>
          <w:u w:val="dotDash"/>
        </w:rPr>
        <w:t>Art.3</w:t>
      </w:r>
      <w:proofErr w:type="spellEnd"/>
      <w:r w:rsidRPr="0000194C">
        <w:rPr>
          <w:rFonts w:ascii="Arial" w:hAnsi="Arial" w:cs="Arial"/>
          <w:u w:val="dotDash"/>
        </w:rPr>
        <w:t xml:space="preserve"> – Policies &amp; procedures</w:t>
      </w:r>
    </w:p>
    <w:p w:rsidR="0000194C" w:rsidRP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would like to clarify on two specific aspects of that provision and get confirmation from ESMA on our interpretation: </w:t>
      </w:r>
    </w:p>
    <w:p w:rsidR="0000194C" w:rsidRPr="0000194C" w:rsidRDefault="0000194C" w:rsidP="0000194C">
      <w:pPr>
        <w:numPr>
          <w:ilvl w:val="0"/>
          <w:numId w:val="10"/>
        </w:numPr>
        <w:spacing w:before="0"/>
        <w:jc w:val="both"/>
        <w:rPr>
          <w:rFonts w:ascii="Arial" w:hAnsi="Arial" w:cs="Arial"/>
        </w:rPr>
      </w:pPr>
      <w:r w:rsidRPr="0000194C">
        <w:rPr>
          <w:rFonts w:ascii="Arial" w:hAnsi="Arial" w:cs="Arial"/>
        </w:rPr>
        <w:t xml:space="preserve">Where ESMA proposes that a description of how compliance will be ensured and of measures in event of breach, it is our understanding that </w:t>
      </w:r>
      <w:proofErr w:type="spellStart"/>
      <w:r w:rsidRPr="0000194C">
        <w:rPr>
          <w:rFonts w:ascii="Arial" w:hAnsi="Arial" w:cs="Arial"/>
        </w:rPr>
        <w:t>CSDs</w:t>
      </w:r>
      <w:proofErr w:type="spellEnd"/>
      <w:r w:rsidRPr="0000194C">
        <w:rPr>
          <w:rFonts w:ascii="Arial" w:hAnsi="Arial" w:cs="Arial"/>
        </w:rPr>
        <w:t xml:space="preserve"> should be enabled to have such descriptions included in broader generic policies and/or procedures. Making such a requirement applicable per individual policy or procedure would require a complete review of existing policies and procedures that are available today.</w:t>
      </w:r>
    </w:p>
    <w:p w:rsidR="0000194C" w:rsidRPr="0000194C" w:rsidRDefault="0000194C" w:rsidP="0000194C">
      <w:pPr>
        <w:numPr>
          <w:ilvl w:val="0"/>
          <w:numId w:val="10"/>
        </w:numPr>
        <w:spacing w:before="0"/>
        <w:jc w:val="both"/>
        <w:rPr>
          <w:rFonts w:ascii="Arial" w:hAnsi="Arial" w:cs="Arial"/>
        </w:rPr>
      </w:pPr>
      <w:r w:rsidRPr="0000194C">
        <w:rPr>
          <w:rFonts w:ascii="Arial" w:hAnsi="Arial" w:cs="Arial"/>
        </w:rPr>
        <w:t xml:space="preserve">Also, we are of the opinion that the </w:t>
      </w:r>
      <w:proofErr w:type="gramStart"/>
      <w:r w:rsidRPr="0000194C">
        <w:rPr>
          <w:rFonts w:ascii="Arial" w:hAnsi="Arial" w:cs="Arial"/>
        </w:rPr>
        <w:t>requirements on the designation, within the policies or procedures, of the person responsible for compliance is</w:t>
      </w:r>
      <w:proofErr w:type="gramEnd"/>
      <w:r w:rsidRPr="0000194C">
        <w:rPr>
          <w:rFonts w:ascii="Arial" w:hAnsi="Arial" w:cs="Arial"/>
        </w:rPr>
        <w:t xml:space="preserve"> burdensome and we would rather propose to have a business line/department identified rather than a “person”. This is mainly driven by practical considerations, for instance in case of resignation, organizational changes… , so that updates of policies and procedures are maintained at a reasonable level.                                                                                                                                                                                                                                                                                                                                                                                                                                                                                                                                                                                                                                                                                                                                                                                                                                                                                                                                                                                                                                                                                                                                                                                                                                                                                                                                </w:t>
      </w:r>
    </w:p>
    <w:p w:rsid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therefore proposes art. 3(1</w:t>
      </w:r>
      <w:proofErr w:type="gramStart"/>
      <w:r w:rsidRPr="0000194C">
        <w:rPr>
          <w:rFonts w:ascii="Arial" w:hAnsi="Arial" w:cs="Arial"/>
        </w:rPr>
        <w:t>)(</w:t>
      </w:r>
      <w:proofErr w:type="gramEnd"/>
      <w:r w:rsidRPr="0000194C">
        <w:rPr>
          <w:rFonts w:ascii="Arial" w:hAnsi="Arial" w:cs="Arial"/>
        </w:rPr>
        <w:t>b) &amp; (c) to be redrafted according to the below:</w:t>
      </w:r>
    </w:p>
    <w:p w:rsidR="0000194C" w:rsidRPr="0000194C" w:rsidRDefault="0000194C" w:rsidP="0000194C">
      <w:pPr>
        <w:jc w:val="both"/>
        <w:rPr>
          <w:rFonts w:ascii="Arial" w:hAnsi="Arial" w:cs="Arial"/>
        </w:rPr>
      </w:pPr>
      <w:r w:rsidRPr="0000194C">
        <w:rPr>
          <w:rFonts w:ascii="Arial" w:hAnsi="Arial" w:cs="Arial"/>
          <w:i/>
        </w:rPr>
        <w:t xml:space="preserve">“Where an applicant </w:t>
      </w:r>
      <w:proofErr w:type="spellStart"/>
      <w:r w:rsidRPr="0000194C">
        <w:rPr>
          <w:rFonts w:ascii="Arial" w:hAnsi="Arial" w:cs="Arial"/>
          <w:i/>
        </w:rPr>
        <w:t>CSD</w:t>
      </w:r>
      <w:proofErr w:type="spellEnd"/>
      <w:r w:rsidRPr="0000194C">
        <w:rPr>
          <w:rFonts w:ascii="Arial" w:hAnsi="Arial" w:cs="Arial"/>
          <w:i/>
        </w:rPr>
        <w:t xml:space="preserve"> is required to provide information regarding its policies or procedures under this Regulation, it shall ensure that the policies or procedures contain or are accompanied by each of the following items: </w:t>
      </w:r>
    </w:p>
    <w:p w:rsidR="0000194C" w:rsidRDefault="0000194C" w:rsidP="0000194C">
      <w:pPr>
        <w:spacing w:before="0"/>
        <w:jc w:val="both"/>
        <w:rPr>
          <w:rFonts w:ascii="Arial" w:hAnsi="Arial" w:cs="Arial"/>
          <w:i/>
        </w:rPr>
      </w:pPr>
      <w:r w:rsidRPr="0000194C">
        <w:rPr>
          <w:rFonts w:ascii="Arial" w:hAnsi="Arial" w:cs="Arial"/>
          <w:i/>
        </w:rPr>
        <w:t xml:space="preserve">(a) </w:t>
      </w:r>
      <w:proofErr w:type="gramStart"/>
      <w:r w:rsidRPr="0000194C">
        <w:rPr>
          <w:rFonts w:ascii="Arial" w:hAnsi="Arial" w:cs="Arial"/>
          <w:i/>
        </w:rPr>
        <w:t>an</w:t>
      </w:r>
      <w:proofErr w:type="gramEnd"/>
      <w:r w:rsidRPr="0000194C">
        <w:rPr>
          <w:rFonts w:ascii="Arial" w:hAnsi="Arial" w:cs="Arial"/>
          <w:i/>
        </w:rPr>
        <w:t xml:space="preserve"> indication of the persons responsible for the approval and maintenance of the policies and procedures; </w:t>
      </w:r>
    </w:p>
    <w:p w:rsidR="0000194C" w:rsidRPr="0000194C" w:rsidRDefault="0000194C" w:rsidP="0000194C">
      <w:pPr>
        <w:spacing w:before="0"/>
        <w:jc w:val="both"/>
        <w:rPr>
          <w:rFonts w:ascii="Arial" w:hAnsi="Arial" w:cs="Arial"/>
          <w:i/>
        </w:rPr>
      </w:pPr>
      <w:r w:rsidRPr="0000194C">
        <w:rPr>
          <w:rFonts w:ascii="Arial" w:hAnsi="Arial" w:cs="Arial"/>
          <w:i/>
        </w:rPr>
        <w:t xml:space="preserve">(b) </w:t>
      </w:r>
      <w:proofErr w:type="gramStart"/>
      <w:r w:rsidRPr="0000194C">
        <w:rPr>
          <w:rFonts w:ascii="Arial" w:hAnsi="Arial" w:cs="Arial"/>
          <w:i/>
        </w:rPr>
        <w:t>a</w:t>
      </w:r>
      <w:proofErr w:type="gramEnd"/>
      <w:r w:rsidRPr="0000194C">
        <w:rPr>
          <w:rFonts w:ascii="Arial" w:hAnsi="Arial" w:cs="Arial"/>
          <w:i/>
        </w:rPr>
        <w:t xml:space="preserve"> description of how compliance with the policies and procedures will be ensured and monitored, and the </w:t>
      </w:r>
      <w:r w:rsidRPr="0000194C">
        <w:rPr>
          <w:rFonts w:ascii="Arial" w:hAnsi="Arial" w:cs="Arial"/>
          <w:i/>
          <w:strike/>
        </w:rPr>
        <w:t xml:space="preserve">person </w:t>
      </w:r>
      <w:r w:rsidRPr="0000194C">
        <w:rPr>
          <w:rFonts w:ascii="Arial" w:hAnsi="Arial" w:cs="Arial"/>
          <w:i/>
        </w:rPr>
        <w:t xml:space="preserve">department/business line responsible for compliance in that regard; </w:t>
      </w:r>
    </w:p>
    <w:p w:rsidR="0000194C" w:rsidRPr="0000194C" w:rsidRDefault="0000194C" w:rsidP="0000194C">
      <w:pPr>
        <w:spacing w:before="0"/>
        <w:jc w:val="both"/>
        <w:rPr>
          <w:rFonts w:ascii="Arial" w:hAnsi="Arial" w:cs="Arial"/>
          <w:i/>
        </w:rPr>
      </w:pPr>
      <w:r w:rsidRPr="0000194C">
        <w:rPr>
          <w:rFonts w:ascii="Arial" w:hAnsi="Arial" w:cs="Arial"/>
          <w:i/>
        </w:rPr>
        <w:t xml:space="preserve">(c) </w:t>
      </w:r>
      <w:proofErr w:type="gramStart"/>
      <w:r w:rsidRPr="0000194C">
        <w:rPr>
          <w:rFonts w:ascii="Arial" w:hAnsi="Arial" w:cs="Arial"/>
          <w:i/>
        </w:rPr>
        <w:t>a</w:t>
      </w:r>
      <w:proofErr w:type="gramEnd"/>
      <w:r w:rsidRPr="0000194C">
        <w:rPr>
          <w:rFonts w:ascii="Arial" w:hAnsi="Arial" w:cs="Arial"/>
          <w:i/>
        </w:rPr>
        <w:t xml:space="preserve"> description of the measures to adopt in the event of a breach of policies and procedure;</w:t>
      </w:r>
    </w:p>
    <w:p w:rsidR="0000194C" w:rsidRPr="0000194C" w:rsidRDefault="0000194C" w:rsidP="0000194C">
      <w:pPr>
        <w:spacing w:after="240"/>
        <w:jc w:val="both"/>
        <w:rPr>
          <w:rFonts w:ascii="Arial" w:hAnsi="Arial" w:cs="Arial"/>
          <w:i/>
        </w:rPr>
      </w:pPr>
      <w:r w:rsidRPr="0000194C">
        <w:rPr>
          <w:rFonts w:ascii="Arial" w:hAnsi="Arial" w:cs="Arial"/>
          <w:i/>
        </w:rPr>
        <w:t xml:space="preserve">With the possibility under (b) and (c) for the </w:t>
      </w:r>
      <w:proofErr w:type="spellStart"/>
      <w:r w:rsidRPr="0000194C">
        <w:rPr>
          <w:rFonts w:ascii="Arial" w:hAnsi="Arial" w:cs="Arial"/>
          <w:i/>
        </w:rPr>
        <w:t>CSD</w:t>
      </w:r>
      <w:proofErr w:type="spellEnd"/>
      <w:r w:rsidRPr="0000194C">
        <w:rPr>
          <w:rFonts w:ascii="Arial" w:hAnsi="Arial" w:cs="Arial"/>
          <w:i/>
        </w:rPr>
        <w:t xml:space="preserve"> to have these descriptions included in a separate policy or procedure.”</w:t>
      </w:r>
    </w:p>
    <w:p w:rsidR="0000194C" w:rsidRPr="0000194C" w:rsidRDefault="0000194C" w:rsidP="0000194C">
      <w:pPr>
        <w:numPr>
          <w:ilvl w:val="0"/>
          <w:numId w:val="4"/>
        </w:numPr>
        <w:spacing w:before="0"/>
        <w:jc w:val="both"/>
        <w:rPr>
          <w:rFonts w:ascii="Arial" w:hAnsi="Arial" w:cs="Arial"/>
          <w:u w:val="dotDash"/>
        </w:rPr>
      </w:pPr>
      <w:r w:rsidRPr="0000194C">
        <w:rPr>
          <w:rFonts w:ascii="Arial" w:hAnsi="Arial" w:cs="Arial"/>
          <w:u w:val="dotDash"/>
        </w:rPr>
        <w:t>Art. 4 – Information for groups</w:t>
      </w:r>
    </w:p>
    <w:p w:rsid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would like to stress that </w:t>
      </w:r>
      <w:proofErr w:type="spellStart"/>
      <w:r w:rsidRPr="0000194C">
        <w:rPr>
          <w:rFonts w:ascii="Arial" w:hAnsi="Arial" w:cs="Arial"/>
        </w:rPr>
        <w:t>art.4</w:t>
      </w:r>
      <w:proofErr w:type="spellEnd"/>
      <w:r w:rsidRPr="0000194C">
        <w:rPr>
          <w:rFonts w:ascii="Arial" w:hAnsi="Arial" w:cs="Arial"/>
        </w:rPr>
        <w:t xml:space="preserve"> is subject to misinterpretations in its current version.</w:t>
      </w:r>
    </w:p>
    <w:p w:rsidR="0000194C" w:rsidRDefault="0000194C" w:rsidP="0000194C">
      <w:pPr>
        <w:jc w:val="both"/>
        <w:rPr>
          <w:rFonts w:ascii="Arial" w:hAnsi="Arial" w:cs="Arial"/>
        </w:rPr>
      </w:pPr>
      <w:proofErr w:type="gramStart"/>
      <w:r w:rsidRPr="0000194C">
        <w:rPr>
          <w:rFonts w:ascii="Arial" w:hAnsi="Arial" w:cs="Arial"/>
        </w:rPr>
        <w:t>Under art.</w:t>
      </w:r>
      <w:proofErr w:type="gramEnd"/>
      <w:r w:rsidRPr="0000194C">
        <w:rPr>
          <w:rFonts w:ascii="Arial" w:hAnsi="Arial" w:cs="Arial"/>
        </w:rPr>
        <w:t xml:space="preserve"> 4(1)(b), it is our understanding that the competent authority should be given with information on the management and shareholders of the parent undertaking or, where such shareholders are composed by several entities, information on the management and shareholders of that group of undertakings. </w:t>
      </w:r>
    </w:p>
    <w:p w:rsidR="0000194C" w:rsidRDefault="0000194C" w:rsidP="0000194C">
      <w:pPr>
        <w:jc w:val="both"/>
        <w:rPr>
          <w:rFonts w:ascii="Arial" w:hAnsi="Arial" w:cs="Arial"/>
        </w:rPr>
      </w:pPr>
      <w:r w:rsidRPr="0000194C">
        <w:rPr>
          <w:rFonts w:ascii="Arial" w:hAnsi="Arial" w:cs="Arial"/>
        </w:rPr>
        <w:t xml:space="preserve">In parallel, we would like to raise </w:t>
      </w:r>
      <w:proofErr w:type="spellStart"/>
      <w:r w:rsidRPr="0000194C">
        <w:rPr>
          <w:rFonts w:ascii="Arial" w:hAnsi="Arial" w:cs="Arial"/>
        </w:rPr>
        <w:t>ESMA’s</w:t>
      </w:r>
      <w:proofErr w:type="spellEnd"/>
      <w:r w:rsidRPr="0000194C">
        <w:rPr>
          <w:rFonts w:ascii="Arial" w:hAnsi="Arial" w:cs="Arial"/>
        </w:rPr>
        <w:t xml:space="preserve"> attention on the below.</w:t>
      </w:r>
    </w:p>
    <w:p w:rsidR="0000194C" w:rsidRDefault="0000194C" w:rsidP="0000194C">
      <w:pPr>
        <w:jc w:val="both"/>
        <w:rPr>
          <w:rFonts w:ascii="Arial" w:hAnsi="Arial" w:cs="Arial"/>
        </w:rPr>
      </w:pPr>
      <w:proofErr w:type="gramStart"/>
      <w:r w:rsidRPr="0000194C">
        <w:rPr>
          <w:rFonts w:ascii="Arial" w:hAnsi="Arial" w:cs="Arial"/>
        </w:rPr>
        <w:t>In its art.</w:t>
      </w:r>
      <w:proofErr w:type="gramEnd"/>
      <w:r w:rsidRPr="0000194C">
        <w:rPr>
          <w:rFonts w:ascii="Arial" w:hAnsi="Arial" w:cs="Arial"/>
        </w:rPr>
        <w:t xml:space="preserve"> 2(2</w:t>
      </w:r>
      <w:proofErr w:type="gramStart"/>
      <w:r w:rsidRPr="0000194C">
        <w:rPr>
          <w:rFonts w:ascii="Arial" w:hAnsi="Arial" w:cs="Arial"/>
        </w:rPr>
        <w:t>)(</w:t>
      </w:r>
      <w:proofErr w:type="gramEnd"/>
      <w:r w:rsidRPr="0000194C">
        <w:rPr>
          <w:rFonts w:ascii="Arial" w:hAnsi="Arial" w:cs="Arial"/>
        </w:rPr>
        <w:t xml:space="preserve">n), ESMA requires the application to include the list of  outsourced services that the applicant </w:t>
      </w:r>
      <w:proofErr w:type="spellStart"/>
      <w:r w:rsidRPr="0000194C">
        <w:rPr>
          <w:rFonts w:ascii="Arial" w:hAnsi="Arial" w:cs="Arial"/>
        </w:rPr>
        <w:t>CSD</w:t>
      </w:r>
      <w:proofErr w:type="spellEnd"/>
      <w:r w:rsidRPr="0000194C">
        <w:rPr>
          <w:rFonts w:ascii="Arial" w:hAnsi="Arial" w:cs="Arial"/>
        </w:rPr>
        <w:t xml:space="preserve"> is providing or intends to provide. We agree with such a requirement as it is necessary to the competent authority for the purpose of the authorization process. </w:t>
      </w:r>
    </w:p>
    <w:p w:rsidR="0000194C" w:rsidRDefault="0000194C" w:rsidP="0000194C">
      <w:pPr>
        <w:jc w:val="both"/>
        <w:rPr>
          <w:rFonts w:ascii="Arial" w:hAnsi="Arial" w:cs="Arial"/>
        </w:rPr>
      </w:pPr>
      <w:r w:rsidRPr="0000194C">
        <w:rPr>
          <w:rFonts w:ascii="Arial" w:hAnsi="Arial" w:cs="Arial"/>
        </w:rPr>
        <w:t xml:space="preserve">In parallel, </w:t>
      </w:r>
      <w:proofErr w:type="spellStart"/>
      <w:r w:rsidRPr="0000194C">
        <w:rPr>
          <w:rFonts w:ascii="Arial" w:hAnsi="Arial" w:cs="Arial"/>
        </w:rPr>
        <w:t>ESMA’s</w:t>
      </w:r>
      <w:proofErr w:type="spellEnd"/>
      <w:r w:rsidRPr="0000194C">
        <w:rPr>
          <w:rFonts w:ascii="Arial" w:hAnsi="Arial" w:cs="Arial"/>
        </w:rPr>
        <w:t xml:space="preserve"> proposal suggests, as per its art. 4 (3) &amp; (4), that, where those services are to be “outsourced” (being intra-group or by means of an external party), the applicant </w:t>
      </w:r>
      <w:proofErr w:type="spellStart"/>
      <w:r w:rsidRPr="0000194C">
        <w:rPr>
          <w:rFonts w:ascii="Arial" w:hAnsi="Arial" w:cs="Arial"/>
        </w:rPr>
        <w:t>CSD</w:t>
      </w:r>
      <w:proofErr w:type="spellEnd"/>
      <w:r w:rsidRPr="0000194C">
        <w:rPr>
          <w:rFonts w:ascii="Arial" w:hAnsi="Arial" w:cs="Arial"/>
        </w:rPr>
        <w:t xml:space="preserve"> should provide with a description of the respective ancillary service or a description and a copy of such an outsourcing agreement.</w:t>
      </w:r>
    </w:p>
    <w:p w:rsidR="0000194C" w:rsidRPr="0000194C" w:rsidRDefault="0000194C" w:rsidP="0000194C">
      <w:pPr>
        <w:jc w:val="both"/>
        <w:rPr>
          <w:rFonts w:ascii="Arial" w:hAnsi="Arial" w:cs="Arial"/>
        </w:rPr>
      </w:pPr>
      <w:r w:rsidRPr="0000194C">
        <w:rPr>
          <w:rFonts w:ascii="Arial" w:hAnsi="Arial" w:cs="Arial"/>
        </w:rPr>
        <w:lastRenderedPageBreak/>
        <w:t xml:space="preserve">BNY Mellon </w:t>
      </w:r>
      <w:proofErr w:type="spellStart"/>
      <w:r w:rsidRPr="0000194C">
        <w:rPr>
          <w:rFonts w:ascii="Arial" w:hAnsi="Arial" w:cs="Arial"/>
        </w:rPr>
        <w:t>CSD</w:t>
      </w:r>
      <w:proofErr w:type="spellEnd"/>
      <w:r w:rsidRPr="0000194C">
        <w:rPr>
          <w:rFonts w:ascii="Arial" w:hAnsi="Arial" w:cs="Arial"/>
        </w:rPr>
        <w:t xml:space="preserve"> is of the opinion that such a requirement is:</w:t>
      </w:r>
    </w:p>
    <w:p w:rsidR="0000194C" w:rsidRPr="0000194C" w:rsidRDefault="0000194C" w:rsidP="0000194C">
      <w:pPr>
        <w:numPr>
          <w:ilvl w:val="0"/>
          <w:numId w:val="12"/>
        </w:numPr>
        <w:spacing w:before="0"/>
        <w:jc w:val="both"/>
        <w:rPr>
          <w:rFonts w:ascii="Arial" w:hAnsi="Arial" w:cs="Arial"/>
        </w:rPr>
      </w:pPr>
      <w:proofErr w:type="gramStart"/>
      <w:r w:rsidRPr="0000194C">
        <w:rPr>
          <w:rFonts w:ascii="Arial" w:hAnsi="Arial" w:cs="Arial"/>
        </w:rPr>
        <w:t>a</w:t>
      </w:r>
      <w:proofErr w:type="gramEnd"/>
      <w:r w:rsidRPr="0000194C">
        <w:rPr>
          <w:rFonts w:ascii="Arial" w:hAnsi="Arial" w:cs="Arial"/>
        </w:rPr>
        <w:t xml:space="preserve"> duplication of the requirement as defined under art. 2(2)(n); and </w:t>
      </w:r>
    </w:p>
    <w:p w:rsidR="0000194C" w:rsidRPr="0000194C" w:rsidRDefault="0000194C" w:rsidP="0000194C">
      <w:pPr>
        <w:numPr>
          <w:ilvl w:val="0"/>
          <w:numId w:val="12"/>
        </w:numPr>
        <w:spacing w:before="0"/>
        <w:jc w:val="both"/>
        <w:rPr>
          <w:rFonts w:ascii="Arial" w:hAnsi="Arial" w:cs="Arial"/>
        </w:rPr>
      </w:pPr>
      <w:r w:rsidRPr="0000194C">
        <w:rPr>
          <w:rFonts w:ascii="Arial" w:hAnsi="Arial" w:cs="Arial"/>
        </w:rPr>
        <w:t>not aligned with the level 1 Regulation that provides:</w:t>
      </w:r>
    </w:p>
    <w:p w:rsidR="0000194C" w:rsidRPr="0000194C" w:rsidRDefault="0000194C" w:rsidP="0000194C">
      <w:pPr>
        <w:numPr>
          <w:ilvl w:val="1"/>
          <w:numId w:val="12"/>
        </w:numPr>
        <w:spacing w:before="0"/>
        <w:jc w:val="both"/>
        <w:rPr>
          <w:rFonts w:ascii="Arial" w:hAnsi="Arial" w:cs="Arial"/>
        </w:rPr>
      </w:pPr>
      <w:proofErr w:type="gramStart"/>
      <w:r w:rsidRPr="0000194C">
        <w:rPr>
          <w:rFonts w:ascii="Arial" w:hAnsi="Arial" w:cs="Arial"/>
        </w:rPr>
        <w:t>in</w:t>
      </w:r>
      <w:proofErr w:type="gramEnd"/>
      <w:r w:rsidRPr="0000194C">
        <w:rPr>
          <w:rFonts w:ascii="Arial" w:hAnsi="Arial" w:cs="Arial"/>
        </w:rPr>
        <w:t xml:space="preserve"> its art. 19 (1), that only the outsourcing of core services should be subject to authorization by the competent authority.</w:t>
      </w:r>
    </w:p>
    <w:p w:rsidR="0000194C" w:rsidRPr="0000194C" w:rsidRDefault="0000194C" w:rsidP="0000194C">
      <w:pPr>
        <w:numPr>
          <w:ilvl w:val="1"/>
          <w:numId w:val="12"/>
        </w:numPr>
        <w:spacing w:before="0"/>
        <w:jc w:val="both"/>
        <w:rPr>
          <w:rFonts w:ascii="Arial" w:hAnsi="Arial" w:cs="Arial"/>
        </w:rPr>
      </w:pPr>
      <w:proofErr w:type="gramStart"/>
      <w:r w:rsidRPr="0000194C">
        <w:rPr>
          <w:rFonts w:ascii="Arial" w:hAnsi="Arial" w:cs="Arial"/>
        </w:rPr>
        <w:t>in</w:t>
      </w:r>
      <w:proofErr w:type="gramEnd"/>
      <w:r w:rsidRPr="0000194C">
        <w:rPr>
          <w:rFonts w:ascii="Arial" w:hAnsi="Arial" w:cs="Arial"/>
        </w:rPr>
        <w:t xml:space="preserve"> its art. 30(3), that “a </w:t>
      </w:r>
      <w:proofErr w:type="spellStart"/>
      <w:r w:rsidRPr="0000194C">
        <w:rPr>
          <w:rFonts w:ascii="Arial" w:hAnsi="Arial" w:cs="Arial"/>
        </w:rPr>
        <w:t>CSD</w:t>
      </w:r>
      <w:proofErr w:type="spellEnd"/>
      <w:r w:rsidRPr="0000194C">
        <w:rPr>
          <w:rFonts w:ascii="Arial" w:hAnsi="Arial" w:cs="Arial"/>
        </w:rPr>
        <w:t>…shall make available upon request to the competent authority … all information necessary to enable them to assess the compliance of the outsourced activities with the requirements of this Regulation.”</w:t>
      </w:r>
    </w:p>
    <w:p w:rsidR="0000194C" w:rsidRPr="0000194C" w:rsidRDefault="0000194C" w:rsidP="0000194C">
      <w:pPr>
        <w:spacing w:after="240"/>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therefore proposes for art. </w:t>
      </w:r>
      <w:proofErr w:type="gramStart"/>
      <w:r w:rsidRPr="0000194C">
        <w:rPr>
          <w:rFonts w:ascii="Arial" w:hAnsi="Arial" w:cs="Arial"/>
        </w:rPr>
        <w:t>4(3) and (4) to be deleted.</w:t>
      </w:r>
      <w:proofErr w:type="gramEnd"/>
    </w:p>
    <w:p w:rsidR="0000194C" w:rsidRPr="0000194C" w:rsidRDefault="0000194C" w:rsidP="0000194C">
      <w:pPr>
        <w:numPr>
          <w:ilvl w:val="0"/>
          <w:numId w:val="4"/>
        </w:numPr>
        <w:spacing w:before="0"/>
        <w:jc w:val="both"/>
        <w:rPr>
          <w:rFonts w:ascii="Arial" w:hAnsi="Arial" w:cs="Arial"/>
          <w:u w:val="dotDash"/>
        </w:rPr>
      </w:pPr>
      <w:r w:rsidRPr="0000194C">
        <w:rPr>
          <w:rFonts w:ascii="Arial" w:hAnsi="Arial" w:cs="Arial"/>
          <w:u w:val="dotDash"/>
        </w:rPr>
        <w:t xml:space="preserve">Art. 5 – Financial reporting, business plan, </w:t>
      </w:r>
      <w:proofErr w:type="spellStart"/>
      <w:r w:rsidRPr="0000194C">
        <w:rPr>
          <w:rFonts w:ascii="Arial" w:hAnsi="Arial" w:cs="Arial"/>
          <w:u w:val="dotDash"/>
        </w:rPr>
        <w:t>RRP</w:t>
      </w:r>
      <w:proofErr w:type="spellEnd"/>
    </w:p>
    <w:p w:rsidR="0000194C" w:rsidRDefault="0000194C" w:rsidP="0000194C">
      <w:pPr>
        <w:jc w:val="both"/>
        <w:rPr>
          <w:rFonts w:ascii="Arial" w:hAnsi="Arial" w:cs="Arial"/>
        </w:rPr>
      </w:pPr>
      <w:proofErr w:type="gramStart"/>
      <w:r w:rsidRPr="0000194C">
        <w:rPr>
          <w:rFonts w:ascii="Arial" w:hAnsi="Arial" w:cs="Arial"/>
        </w:rPr>
        <w:t>With respect to art.</w:t>
      </w:r>
      <w:proofErr w:type="gramEnd"/>
      <w:r w:rsidRPr="0000194C">
        <w:rPr>
          <w:rFonts w:ascii="Arial" w:hAnsi="Arial" w:cs="Arial"/>
        </w:rPr>
        <w:t xml:space="preserve"> 5(5</w:t>
      </w:r>
      <w:proofErr w:type="gramStart"/>
      <w:r w:rsidRPr="0000194C">
        <w:rPr>
          <w:rFonts w:ascii="Arial" w:hAnsi="Arial" w:cs="Arial"/>
        </w:rPr>
        <w:t>)(</w:t>
      </w:r>
      <w:proofErr w:type="gramEnd"/>
      <w:r w:rsidRPr="0000194C">
        <w:rPr>
          <w:rFonts w:ascii="Arial" w:hAnsi="Arial" w:cs="Arial"/>
        </w:rPr>
        <w:t xml:space="preserve">b), BNY Mellon </w:t>
      </w:r>
      <w:proofErr w:type="spellStart"/>
      <w:r w:rsidRPr="0000194C">
        <w:rPr>
          <w:rFonts w:ascii="Arial" w:hAnsi="Arial" w:cs="Arial"/>
        </w:rPr>
        <w:t>CSD</w:t>
      </w:r>
      <w:proofErr w:type="spellEnd"/>
      <w:r w:rsidRPr="0000194C">
        <w:rPr>
          <w:rFonts w:ascii="Arial" w:hAnsi="Arial" w:cs="Arial"/>
        </w:rPr>
        <w:t xml:space="preserve"> is of the opinion that art. 5(5</w:t>
      </w:r>
      <w:proofErr w:type="gramStart"/>
      <w:r w:rsidRPr="0000194C">
        <w:rPr>
          <w:rFonts w:ascii="Arial" w:hAnsi="Arial" w:cs="Arial"/>
        </w:rPr>
        <w:t>)(</w:t>
      </w:r>
      <w:proofErr w:type="gramEnd"/>
      <w:r w:rsidRPr="0000194C">
        <w:rPr>
          <w:rFonts w:ascii="Arial" w:hAnsi="Arial" w:cs="Arial"/>
        </w:rPr>
        <w:t xml:space="preserve">b) (i.e., the requirement for the </w:t>
      </w:r>
      <w:proofErr w:type="spellStart"/>
      <w:r w:rsidRPr="0000194C">
        <w:rPr>
          <w:rFonts w:ascii="Arial" w:hAnsi="Arial" w:cs="Arial"/>
        </w:rPr>
        <w:t>CSD</w:t>
      </w:r>
      <w:proofErr w:type="spellEnd"/>
      <w:r w:rsidRPr="0000194C">
        <w:rPr>
          <w:rFonts w:ascii="Arial" w:hAnsi="Arial" w:cs="Arial"/>
        </w:rPr>
        <w:t xml:space="preserve"> to submit the resolution plan) should be deleted. </w:t>
      </w:r>
    </w:p>
    <w:p w:rsidR="0000194C" w:rsidRDefault="0000194C" w:rsidP="0000194C">
      <w:pPr>
        <w:jc w:val="both"/>
        <w:rPr>
          <w:rFonts w:ascii="Arial" w:hAnsi="Arial" w:cs="Arial"/>
        </w:rPr>
      </w:pPr>
      <w:proofErr w:type="gramStart"/>
      <w:r w:rsidRPr="0000194C">
        <w:rPr>
          <w:rFonts w:ascii="Arial" w:hAnsi="Arial" w:cs="Arial"/>
        </w:rPr>
        <w:t xml:space="preserve">Under </w:t>
      </w:r>
      <w:proofErr w:type="spellStart"/>
      <w:r w:rsidRPr="0000194C">
        <w:rPr>
          <w:rFonts w:ascii="Arial" w:hAnsi="Arial" w:cs="Arial"/>
        </w:rPr>
        <w:t>CSDR</w:t>
      </w:r>
      <w:proofErr w:type="spellEnd"/>
      <w:r w:rsidRPr="0000194C">
        <w:rPr>
          <w:rFonts w:ascii="Arial" w:hAnsi="Arial" w:cs="Arial"/>
        </w:rPr>
        <w:t xml:space="preserve"> art.</w:t>
      </w:r>
      <w:proofErr w:type="gramEnd"/>
      <w:r w:rsidRPr="0000194C">
        <w:rPr>
          <w:rFonts w:ascii="Arial" w:hAnsi="Arial" w:cs="Arial"/>
        </w:rPr>
        <w:t xml:space="preserve"> 22(3), “the competent authority shall ensure that an adequate resolution plan is established and maintained”, and under </w:t>
      </w:r>
      <w:proofErr w:type="spellStart"/>
      <w:r w:rsidRPr="0000194C">
        <w:rPr>
          <w:rFonts w:ascii="Arial" w:hAnsi="Arial" w:cs="Arial"/>
        </w:rPr>
        <w:t>CSDR</w:t>
      </w:r>
      <w:proofErr w:type="spellEnd"/>
      <w:r w:rsidRPr="0000194C">
        <w:rPr>
          <w:rFonts w:ascii="Arial" w:hAnsi="Arial" w:cs="Arial"/>
        </w:rPr>
        <w:t xml:space="preserve"> recital (27), “… the competent authorities should ensure that an adequate resolution plan is established and maintained for each </w:t>
      </w:r>
      <w:proofErr w:type="spellStart"/>
      <w:r w:rsidRPr="0000194C">
        <w:rPr>
          <w:rFonts w:ascii="Arial" w:hAnsi="Arial" w:cs="Arial"/>
        </w:rPr>
        <w:t>CSD</w:t>
      </w:r>
      <w:proofErr w:type="spellEnd"/>
      <w:r w:rsidRPr="0000194C">
        <w:rPr>
          <w:rFonts w:ascii="Arial" w:hAnsi="Arial" w:cs="Arial"/>
        </w:rPr>
        <w:t xml:space="preserve"> in accordance with the relevant national law.”</w:t>
      </w:r>
    </w:p>
    <w:p w:rsidR="0000194C" w:rsidRDefault="0000194C" w:rsidP="0000194C">
      <w:pPr>
        <w:jc w:val="both"/>
        <w:rPr>
          <w:rFonts w:ascii="Arial" w:hAnsi="Arial" w:cs="Arial"/>
        </w:rPr>
      </w:pPr>
      <w:r w:rsidRPr="0000194C">
        <w:rPr>
          <w:rFonts w:ascii="Arial" w:hAnsi="Arial" w:cs="Arial"/>
        </w:rPr>
        <w:t xml:space="preserve">As it is the responsibility of the </w:t>
      </w:r>
      <w:r w:rsidRPr="0000194C">
        <w:rPr>
          <w:rFonts w:ascii="Arial" w:hAnsi="Arial" w:cs="Arial"/>
          <w:u w:val="single"/>
        </w:rPr>
        <w:t>competent authority</w:t>
      </w:r>
      <w:r w:rsidRPr="0000194C">
        <w:rPr>
          <w:rFonts w:ascii="Arial" w:hAnsi="Arial" w:cs="Arial"/>
        </w:rPr>
        <w:t xml:space="preserve"> to develop and establish the resolution plan (and the competent authority is the “owner” of the resolution plan), we do not believe it should be necessary, nor indeed appropriate, for the </w:t>
      </w:r>
      <w:proofErr w:type="spellStart"/>
      <w:r w:rsidRPr="0000194C">
        <w:rPr>
          <w:rFonts w:ascii="Arial" w:hAnsi="Arial" w:cs="Arial"/>
        </w:rPr>
        <w:t>CSD</w:t>
      </w:r>
      <w:proofErr w:type="spellEnd"/>
      <w:r w:rsidRPr="0000194C">
        <w:rPr>
          <w:rFonts w:ascii="Arial" w:hAnsi="Arial" w:cs="Arial"/>
        </w:rPr>
        <w:t xml:space="preserve"> to submit the resolution plan with the application for </w:t>
      </w:r>
      <w:proofErr w:type="spellStart"/>
      <w:r w:rsidRPr="0000194C">
        <w:rPr>
          <w:rFonts w:ascii="Arial" w:hAnsi="Arial" w:cs="Arial"/>
        </w:rPr>
        <w:t>authorisation.</w:t>
      </w:r>
      <w:proofErr w:type="spellEnd"/>
    </w:p>
    <w:p w:rsid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is of the opinion that references to the resolution plan in the draft ITS (Annex VI in the consultation paper) should also be deleted, for the same reasons.</w:t>
      </w:r>
    </w:p>
    <w:p w:rsidR="0000194C" w:rsidRPr="0000194C" w:rsidRDefault="0000194C" w:rsidP="0000194C">
      <w:pPr>
        <w:spacing w:after="240"/>
        <w:jc w:val="both"/>
        <w:rPr>
          <w:rFonts w:ascii="Arial" w:hAnsi="Arial" w:cs="Arial"/>
        </w:rPr>
      </w:pPr>
      <w:r w:rsidRPr="0000194C">
        <w:rPr>
          <w:rFonts w:ascii="Arial" w:hAnsi="Arial" w:cs="Arial"/>
        </w:rPr>
        <w:t>Similarly, we would suggest that art. 50(1</w:t>
      </w:r>
      <w:proofErr w:type="gramStart"/>
      <w:r w:rsidRPr="0000194C">
        <w:rPr>
          <w:rFonts w:ascii="Arial" w:hAnsi="Arial" w:cs="Arial"/>
        </w:rPr>
        <w:t>)(</w:t>
      </w:r>
      <w:proofErr w:type="gramEnd"/>
      <w:r w:rsidRPr="0000194C">
        <w:rPr>
          <w:rFonts w:ascii="Arial" w:hAnsi="Arial" w:cs="Arial"/>
        </w:rPr>
        <w:t xml:space="preserve">g), and item 10 in Annex II table B are deleted, because in that case, the competent authority can obtain the resolution plan from the relevant resolution authority pursuant to Directive 2014/59/EU. </w:t>
      </w:r>
    </w:p>
    <w:p w:rsidR="0000194C" w:rsidRPr="0000194C" w:rsidRDefault="0000194C" w:rsidP="0000194C">
      <w:pPr>
        <w:numPr>
          <w:ilvl w:val="0"/>
          <w:numId w:val="4"/>
        </w:numPr>
        <w:spacing w:before="0"/>
        <w:jc w:val="both"/>
        <w:rPr>
          <w:rFonts w:ascii="Arial" w:hAnsi="Arial" w:cs="Arial"/>
          <w:u w:val="dotDash"/>
        </w:rPr>
      </w:pPr>
      <w:r w:rsidRPr="0000194C">
        <w:rPr>
          <w:rFonts w:ascii="Arial" w:hAnsi="Arial" w:cs="Arial"/>
          <w:u w:val="dotDash"/>
        </w:rPr>
        <w:t>Art. 10 – Senior management, management body and shareholders</w:t>
      </w:r>
    </w:p>
    <w:p w:rsidR="0000194C" w:rsidRP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would like to raise </w:t>
      </w:r>
      <w:proofErr w:type="spellStart"/>
      <w:r w:rsidRPr="0000194C">
        <w:rPr>
          <w:rFonts w:ascii="Arial" w:hAnsi="Arial" w:cs="Arial"/>
        </w:rPr>
        <w:t>ESMA’s</w:t>
      </w:r>
      <w:proofErr w:type="spellEnd"/>
      <w:r w:rsidRPr="0000194C">
        <w:rPr>
          <w:rFonts w:ascii="Arial" w:hAnsi="Arial" w:cs="Arial"/>
        </w:rPr>
        <w:t xml:space="preserve"> attention on the self-declaration of any potential conflict of interest, that could become difficult to manage and redundant with other proposed requirements as per </w:t>
      </w:r>
      <w:proofErr w:type="spellStart"/>
      <w:r w:rsidRPr="0000194C">
        <w:rPr>
          <w:rFonts w:ascii="Arial" w:hAnsi="Arial" w:cs="Arial"/>
        </w:rPr>
        <w:t>ESMA’s</w:t>
      </w:r>
      <w:proofErr w:type="spellEnd"/>
      <w:r w:rsidRPr="0000194C">
        <w:rPr>
          <w:rFonts w:ascii="Arial" w:hAnsi="Arial" w:cs="Arial"/>
        </w:rPr>
        <w:t xml:space="preserve"> draft Technical Standards.</w:t>
      </w:r>
    </w:p>
    <w:p w:rsidR="0000194C" w:rsidRDefault="000A359E" w:rsidP="0000194C">
      <w:pPr>
        <w:jc w:val="both"/>
        <w:rPr>
          <w:rFonts w:ascii="Arial" w:hAnsi="Arial" w:cs="Arial"/>
        </w:rPr>
      </w:pPr>
      <w:proofErr w:type="gramStart"/>
      <w:r>
        <w:rPr>
          <w:rFonts w:ascii="Arial" w:hAnsi="Arial" w:cs="Arial"/>
        </w:rPr>
        <w:t xml:space="preserve">Under </w:t>
      </w:r>
      <w:r w:rsidR="0000194C" w:rsidRPr="0000194C">
        <w:rPr>
          <w:rFonts w:ascii="Arial" w:hAnsi="Arial" w:cs="Arial"/>
        </w:rPr>
        <w:t>art.</w:t>
      </w:r>
      <w:proofErr w:type="gramEnd"/>
      <w:r w:rsidR="0000194C" w:rsidRPr="0000194C">
        <w:rPr>
          <w:rFonts w:ascii="Arial" w:hAnsi="Arial" w:cs="Arial"/>
        </w:rPr>
        <w:t xml:space="preserve"> 10 (1</w:t>
      </w:r>
      <w:proofErr w:type="gramStart"/>
      <w:r w:rsidR="0000194C" w:rsidRPr="0000194C">
        <w:rPr>
          <w:rFonts w:ascii="Arial" w:hAnsi="Arial" w:cs="Arial"/>
        </w:rPr>
        <w:t>)(</w:t>
      </w:r>
      <w:proofErr w:type="gramEnd"/>
      <w:r w:rsidR="0000194C" w:rsidRPr="0000194C">
        <w:rPr>
          <w:rFonts w:ascii="Arial" w:hAnsi="Arial" w:cs="Arial"/>
        </w:rPr>
        <w:t>c)(x), ESMA would impose the self-declaration of good repute to include a declaration of any potential conflict of interest. We are of the opinion that such a requirement should be redrafted according to the below:</w:t>
      </w:r>
    </w:p>
    <w:p w:rsidR="0000194C" w:rsidRPr="0000194C" w:rsidRDefault="0000194C" w:rsidP="0000194C">
      <w:pPr>
        <w:jc w:val="both"/>
        <w:rPr>
          <w:rFonts w:ascii="Arial" w:hAnsi="Arial" w:cs="Arial"/>
        </w:rPr>
      </w:pPr>
      <w:r w:rsidRPr="0000194C">
        <w:rPr>
          <w:rFonts w:ascii="Arial" w:hAnsi="Arial" w:cs="Arial"/>
        </w:rPr>
        <w:t xml:space="preserve">“x. A declaration of any potential conflict of interests, at the time of the application for authorization by the </w:t>
      </w:r>
      <w:proofErr w:type="spellStart"/>
      <w:r w:rsidRPr="0000194C">
        <w:rPr>
          <w:rFonts w:ascii="Arial" w:hAnsi="Arial" w:cs="Arial"/>
        </w:rPr>
        <w:t>CSD</w:t>
      </w:r>
      <w:proofErr w:type="spellEnd"/>
      <w:r w:rsidRPr="0000194C">
        <w:rPr>
          <w:rFonts w:ascii="Arial" w:hAnsi="Arial" w:cs="Arial"/>
        </w:rPr>
        <w:t>…</w:t>
      </w:r>
      <w:r w:rsidRPr="0000194C">
        <w:rPr>
          <w:rFonts w:ascii="Arial" w:hAnsi="Arial" w:cs="Arial"/>
        </w:rPr>
        <w:t>”</w:t>
      </w:r>
    </w:p>
    <w:p w:rsidR="0000194C" w:rsidRPr="0000194C" w:rsidRDefault="0000194C" w:rsidP="0000194C">
      <w:pPr>
        <w:jc w:val="both"/>
        <w:rPr>
          <w:rFonts w:ascii="Arial" w:hAnsi="Arial" w:cs="Arial"/>
        </w:rPr>
      </w:pPr>
      <w:r w:rsidRPr="0000194C">
        <w:rPr>
          <w:rFonts w:ascii="Arial" w:hAnsi="Arial" w:cs="Arial"/>
        </w:rPr>
        <w:t xml:space="preserve"> In order </w:t>
      </w:r>
      <w:r w:rsidRPr="0000194C">
        <w:rPr>
          <w:rFonts w:ascii="Arial" w:hAnsi="Arial" w:cs="Arial"/>
        </w:rPr>
        <w:t>to:</w:t>
      </w:r>
    </w:p>
    <w:p w:rsidR="0000194C" w:rsidRPr="0000194C" w:rsidRDefault="0000194C" w:rsidP="0000194C">
      <w:pPr>
        <w:numPr>
          <w:ilvl w:val="0"/>
          <w:numId w:val="13"/>
        </w:numPr>
        <w:spacing w:before="0"/>
        <w:jc w:val="both"/>
        <w:rPr>
          <w:rFonts w:ascii="Arial" w:hAnsi="Arial" w:cs="Arial"/>
        </w:rPr>
      </w:pPr>
      <w:r w:rsidRPr="0000194C">
        <w:rPr>
          <w:rFonts w:ascii="Arial" w:hAnsi="Arial" w:cs="Arial"/>
        </w:rPr>
        <w:t>Not duplicate the regime as set out under art. 11 of ESMA draft technical standards, and</w:t>
      </w:r>
    </w:p>
    <w:p w:rsidR="0000194C" w:rsidRPr="0000194C" w:rsidRDefault="0000194C" w:rsidP="0000194C">
      <w:pPr>
        <w:numPr>
          <w:ilvl w:val="0"/>
          <w:numId w:val="13"/>
        </w:numPr>
        <w:spacing w:before="0"/>
        <w:jc w:val="both"/>
        <w:rPr>
          <w:rFonts w:ascii="Arial" w:hAnsi="Arial" w:cs="Arial"/>
        </w:rPr>
      </w:pPr>
      <w:r w:rsidRPr="0000194C">
        <w:rPr>
          <w:rFonts w:ascii="Arial" w:hAnsi="Arial" w:cs="Arial"/>
        </w:rPr>
        <w:t xml:space="preserve">Not require the need to update the self-declaration of good repute where such a potential conflict of interest would arise after the completion of the </w:t>
      </w:r>
      <w:proofErr w:type="spellStart"/>
      <w:r w:rsidRPr="0000194C">
        <w:rPr>
          <w:rFonts w:ascii="Arial" w:hAnsi="Arial" w:cs="Arial"/>
        </w:rPr>
        <w:t>authorisation</w:t>
      </w:r>
      <w:proofErr w:type="spellEnd"/>
      <w:r w:rsidRPr="0000194C">
        <w:rPr>
          <w:rFonts w:ascii="Arial" w:hAnsi="Arial" w:cs="Arial"/>
        </w:rPr>
        <w:t xml:space="preserve"> process.</w:t>
      </w:r>
    </w:p>
    <w:p w:rsidR="0000194C" w:rsidRDefault="0000194C" w:rsidP="0000194C">
      <w:pPr>
        <w:jc w:val="both"/>
        <w:rPr>
          <w:rFonts w:ascii="Arial" w:hAnsi="Arial" w:cs="Arial"/>
          <w:u w:val="dotDash"/>
        </w:rPr>
      </w:pPr>
    </w:p>
    <w:p w:rsidR="00671CF6" w:rsidRPr="0000194C" w:rsidRDefault="00671CF6" w:rsidP="0000194C">
      <w:pPr>
        <w:jc w:val="both"/>
        <w:rPr>
          <w:rFonts w:ascii="Arial" w:hAnsi="Arial" w:cs="Arial"/>
          <w:u w:val="dotDash"/>
        </w:rPr>
      </w:pPr>
    </w:p>
    <w:p w:rsidR="0000194C" w:rsidRPr="0000194C" w:rsidRDefault="0000194C" w:rsidP="0000194C">
      <w:pPr>
        <w:numPr>
          <w:ilvl w:val="0"/>
          <w:numId w:val="4"/>
        </w:numPr>
        <w:spacing w:before="0"/>
        <w:jc w:val="both"/>
        <w:rPr>
          <w:rFonts w:ascii="Arial" w:hAnsi="Arial" w:cs="Arial"/>
          <w:u w:val="dotDash"/>
        </w:rPr>
      </w:pPr>
      <w:r w:rsidRPr="0000194C">
        <w:rPr>
          <w:rFonts w:ascii="Arial" w:hAnsi="Arial" w:cs="Arial"/>
          <w:u w:val="dotDash"/>
        </w:rPr>
        <w:t>Art. 18 – Transparency</w:t>
      </w:r>
    </w:p>
    <w:p w:rsidR="0000194C" w:rsidRPr="0000194C" w:rsidRDefault="0000194C" w:rsidP="0000194C">
      <w:pPr>
        <w:jc w:val="both"/>
        <w:rPr>
          <w:rFonts w:ascii="Arial" w:hAnsi="Arial" w:cs="Arial"/>
        </w:rPr>
      </w:pPr>
      <w:proofErr w:type="gramStart"/>
      <w:r w:rsidRPr="0000194C">
        <w:rPr>
          <w:rFonts w:ascii="Arial" w:hAnsi="Arial" w:cs="Arial"/>
        </w:rPr>
        <w:t>With respect to art.</w:t>
      </w:r>
      <w:proofErr w:type="gramEnd"/>
      <w:r w:rsidRPr="0000194C">
        <w:rPr>
          <w:rFonts w:ascii="Arial" w:hAnsi="Arial" w:cs="Arial"/>
        </w:rPr>
        <w:t xml:space="preserve"> 18(1), BNY Mellon </w:t>
      </w:r>
      <w:proofErr w:type="spellStart"/>
      <w:r w:rsidRPr="0000194C">
        <w:rPr>
          <w:rFonts w:ascii="Arial" w:hAnsi="Arial" w:cs="Arial"/>
        </w:rPr>
        <w:t>CSD</w:t>
      </w:r>
      <w:proofErr w:type="spellEnd"/>
      <w:r w:rsidRPr="0000194C">
        <w:rPr>
          <w:rFonts w:ascii="Arial" w:hAnsi="Arial" w:cs="Arial"/>
        </w:rPr>
        <w:t xml:space="preserve"> would like to remind that, as per art. 34 of Regulation (EU) N° 909/2014:</w:t>
      </w:r>
    </w:p>
    <w:p w:rsidR="0000194C" w:rsidRPr="0000194C" w:rsidRDefault="0000194C" w:rsidP="0000194C">
      <w:pPr>
        <w:numPr>
          <w:ilvl w:val="0"/>
          <w:numId w:val="14"/>
        </w:numPr>
        <w:spacing w:before="0"/>
        <w:jc w:val="both"/>
        <w:rPr>
          <w:rFonts w:ascii="Arial" w:hAnsi="Arial" w:cs="Arial"/>
        </w:rPr>
      </w:pPr>
      <w:r w:rsidRPr="0000194C">
        <w:rPr>
          <w:rFonts w:ascii="Arial" w:hAnsi="Arial" w:cs="Arial"/>
        </w:rPr>
        <w:t>transparency on prices, fees and discounts/rebates applies to core service;</w:t>
      </w:r>
    </w:p>
    <w:p w:rsidR="0000194C" w:rsidRPr="0000194C" w:rsidRDefault="0000194C" w:rsidP="0000194C">
      <w:pPr>
        <w:numPr>
          <w:ilvl w:val="0"/>
          <w:numId w:val="14"/>
        </w:numPr>
        <w:spacing w:before="0"/>
        <w:jc w:val="both"/>
        <w:rPr>
          <w:rFonts w:ascii="Arial" w:hAnsi="Arial" w:cs="Arial"/>
        </w:rPr>
      </w:pPr>
      <w:r w:rsidRPr="0000194C">
        <w:rPr>
          <w:rFonts w:ascii="Arial" w:hAnsi="Arial" w:cs="Arial"/>
        </w:rPr>
        <w:t>costs and revenues of core services should be accounted separately and disclosed to the competent authority;</w:t>
      </w:r>
    </w:p>
    <w:p w:rsidR="0000194C" w:rsidRPr="0000194C" w:rsidRDefault="0000194C" w:rsidP="0000194C">
      <w:pPr>
        <w:numPr>
          <w:ilvl w:val="0"/>
          <w:numId w:val="14"/>
        </w:numPr>
        <w:spacing w:before="0"/>
        <w:jc w:val="both"/>
        <w:rPr>
          <w:rFonts w:ascii="Arial" w:hAnsi="Arial" w:cs="Arial"/>
        </w:rPr>
      </w:pPr>
      <w:proofErr w:type="gramStart"/>
      <w:r w:rsidRPr="0000194C">
        <w:rPr>
          <w:rFonts w:ascii="Arial" w:hAnsi="Arial" w:cs="Arial"/>
        </w:rPr>
        <w:t>costs</w:t>
      </w:r>
      <w:proofErr w:type="gramEnd"/>
      <w:r w:rsidRPr="0000194C">
        <w:rPr>
          <w:rFonts w:ascii="Arial" w:hAnsi="Arial" w:cs="Arial"/>
        </w:rPr>
        <w:t xml:space="preserve"> and revenues of ancillary services should be accounted as a whole and disclosed to the competent authority.</w:t>
      </w:r>
    </w:p>
    <w:p w:rsidR="00671CF6"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is of the opinion that art. 18(1) (and recital (8) subsequently) should be redrafted according to the below:</w:t>
      </w:r>
    </w:p>
    <w:p w:rsidR="0000194C" w:rsidRPr="00671CF6" w:rsidRDefault="0000194C" w:rsidP="0000194C">
      <w:pPr>
        <w:jc w:val="both"/>
        <w:rPr>
          <w:rFonts w:ascii="Arial" w:hAnsi="Arial" w:cs="Arial"/>
        </w:rPr>
      </w:pPr>
      <w:r w:rsidRPr="0000194C">
        <w:rPr>
          <w:rFonts w:ascii="Arial" w:hAnsi="Arial" w:cs="Arial"/>
          <w:i/>
        </w:rPr>
        <w:t xml:space="preserve">“1. An application for </w:t>
      </w:r>
      <w:proofErr w:type="spellStart"/>
      <w:r w:rsidRPr="0000194C">
        <w:rPr>
          <w:rFonts w:ascii="Arial" w:hAnsi="Arial" w:cs="Arial"/>
          <w:i/>
        </w:rPr>
        <w:t>authorisation</w:t>
      </w:r>
      <w:proofErr w:type="spellEnd"/>
      <w:r w:rsidRPr="0000194C">
        <w:rPr>
          <w:rFonts w:ascii="Arial" w:hAnsi="Arial" w:cs="Arial"/>
          <w:i/>
        </w:rPr>
        <w:t xml:space="preserve"> of a </w:t>
      </w:r>
      <w:proofErr w:type="spellStart"/>
      <w:r w:rsidRPr="0000194C">
        <w:rPr>
          <w:rFonts w:ascii="Arial" w:hAnsi="Arial" w:cs="Arial"/>
          <w:i/>
        </w:rPr>
        <w:t>CSD</w:t>
      </w:r>
      <w:proofErr w:type="spellEnd"/>
      <w:r w:rsidRPr="0000194C">
        <w:rPr>
          <w:rFonts w:ascii="Arial" w:hAnsi="Arial" w:cs="Arial"/>
          <w:i/>
        </w:rPr>
        <w:t xml:space="preserve"> shall contain relevant documents regarding pricing policy, including any existing discounts and rebates and conditions to benefit from such reductions for each core </w:t>
      </w:r>
      <w:r w:rsidRPr="0000194C">
        <w:rPr>
          <w:rFonts w:ascii="Arial" w:hAnsi="Arial" w:cs="Arial"/>
          <w:i/>
          <w:strike/>
        </w:rPr>
        <w:t>and ancillary</w:t>
      </w:r>
      <w:r w:rsidRPr="0000194C">
        <w:rPr>
          <w:rFonts w:ascii="Arial" w:hAnsi="Arial" w:cs="Arial"/>
          <w:i/>
        </w:rPr>
        <w:t xml:space="preserve"> services that are to be disclosed in accordance with Article 34 of Regulation (EU) No 909/2014.</w:t>
      </w:r>
    </w:p>
    <w:p w:rsidR="0000194C" w:rsidRPr="0000194C" w:rsidRDefault="0000194C" w:rsidP="0000194C">
      <w:pPr>
        <w:jc w:val="both"/>
        <w:rPr>
          <w:rFonts w:ascii="Arial" w:hAnsi="Arial" w:cs="Arial"/>
          <w:i/>
        </w:rPr>
      </w:pPr>
      <w:r w:rsidRPr="0000194C">
        <w:rPr>
          <w:rFonts w:ascii="Arial" w:hAnsi="Arial" w:cs="Arial"/>
          <w:i/>
        </w:rPr>
        <w:t xml:space="preserve">2. The applicant </w:t>
      </w:r>
      <w:proofErr w:type="spellStart"/>
      <w:r w:rsidRPr="0000194C">
        <w:rPr>
          <w:rFonts w:ascii="Arial" w:hAnsi="Arial" w:cs="Arial"/>
          <w:i/>
        </w:rPr>
        <w:t>CSD</w:t>
      </w:r>
      <w:proofErr w:type="spellEnd"/>
      <w:r w:rsidRPr="0000194C">
        <w:rPr>
          <w:rFonts w:ascii="Arial" w:hAnsi="Arial" w:cs="Arial"/>
          <w:i/>
        </w:rPr>
        <w:t xml:space="preserve"> shall provide the competent authority with a description of methods used in order to make the information available for clients and prospective clients, including a copy of the fee structure and the evidence that the </w:t>
      </w:r>
      <w:proofErr w:type="spellStart"/>
      <w:r w:rsidRPr="0000194C">
        <w:rPr>
          <w:rFonts w:ascii="Arial" w:hAnsi="Arial" w:cs="Arial"/>
          <w:i/>
        </w:rPr>
        <w:t>CSD</w:t>
      </w:r>
      <w:proofErr w:type="spellEnd"/>
      <w:r w:rsidRPr="0000194C">
        <w:rPr>
          <w:rFonts w:ascii="Arial" w:hAnsi="Arial" w:cs="Arial"/>
          <w:i/>
        </w:rPr>
        <w:t xml:space="preserve"> services are unbundled. </w:t>
      </w:r>
    </w:p>
    <w:p w:rsidR="0000194C" w:rsidRPr="00671CF6" w:rsidRDefault="0000194C" w:rsidP="00671CF6">
      <w:pPr>
        <w:spacing w:after="240"/>
        <w:jc w:val="both"/>
        <w:rPr>
          <w:rFonts w:ascii="Arial" w:hAnsi="Arial" w:cs="Arial"/>
          <w:b/>
          <w:i/>
        </w:rPr>
      </w:pPr>
      <w:r w:rsidRPr="0000194C">
        <w:rPr>
          <w:rFonts w:ascii="Arial" w:hAnsi="Arial" w:cs="Arial"/>
          <w:b/>
          <w:i/>
        </w:rPr>
        <w:t xml:space="preserve">3. The applicant </w:t>
      </w:r>
      <w:proofErr w:type="spellStart"/>
      <w:r w:rsidRPr="0000194C">
        <w:rPr>
          <w:rFonts w:ascii="Arial" w:hAnsi="Arial" w:cs="Arial"/>
          <w:b/>
          <w:i/>
        </w:rPr>
        <w:t>CSD</w:t>
      </w:r>
      <w:proofErr w:type="spellEnd"/>
      <w:r w:rsidRPr="0000194C">
        <w:rPr>
          <w:rFonts w:ascii="Arial" w:hAnsi="Arial" w:cs="Arial"/>
          <w:b/>
          <w:i/>
        </w:rPr>
        <w:t xml:space="preserve"> shall also provide the competent authority with information on the cost and revenue of ancillary services provided by the </w:t>
      </w:r>
      <w:proofErr w:type="spellStart"/>
      <w:r w:rsidRPr="0000194C">
        <w:rPr>
          <w:rFonts w:ascii="Arial" w:hAnsi="Arial" w:cs="Arial"/>
          <w:b/>
          <w:i/>
        </w:rPr>
        <w:t>CSD</w:t>
      </w:r>
      <w:proofErr w:type="spellEnd"/>
      <w:r w:rsidRPr="0000194C">
        <w:rPr>
          <w:rFonts w:ascii="Arial" w:hAnsi="Arial" w:cs="Arial"/>
          <w:b/>
          <w:i/>
        </w:rPr>
        <w:t>, taken as a whole."</w:t>
      </w:r>
    </w:p>
    <w:p w:rsidR="0000194C" w:rsidRPr="00671CF6" w:rsidRDefault="0000194C" w:rsidP="0000194C">
      <w:pPr>
        <w:numPr>
          <w:ilvl w:val="0"/>
          <w:numId w:val="4"/>
        </w:numPr>
        <w:spacing w:before="0"/>
        <w:jc w:val="both"/>
        <w:rPr>
          <w:rFonts w:ascii="Arial" w:hAnsi="Arial" w:cs="Arial"/>
          <w:u w:val="dotDash"/>
        </w:rPr>
      </w:pPr>
      <w:r w:rsidRPr="0000194C">
        <w:rPr>
          <w:rFonts w:ascii="Arial" w:hAnsi="Arial" w:cs="Arial"/>
          <w:u w:val="dotDash"/>
        </w:rPr>
        <w:t>Art. 27 – portability</w:t>
      </w:r>
    </w:p>
    <w:p w:rsidR="0000194C" w:rsidRPr="0000194C" w:rsidRDefault="0000194C" w:rsidP="0000194C">
      <w:pPr>
        <w:jc w:val="both"/>
        <w:rPr>
          <w:rFonts w:ascii="Arial" w:hAnsi="Arial" w:cs="Arial"/>
        </w:rPr>
      </w:pPr>
      <w:r w:rsidRPr="0000194C">
        <w:rPr>
          <w:rFonts w:ascii="Arial" w:hAnsi="Arial" w:cs="Arial"/>
        </w:rPr>
        <w:t xml:space="preserve">BNY Mellon </w:t>
      </w:r>
      <w:proofErr w:type="spellStart"/>
      <w:r w:rsidRPr="0000194C">
        <w:rPr>
          <w:rFonts w:ascii="Arial" w:hAnsi="Arial" w:cs="Arial"/>
        </w:rPr>
        <w:t>CSD</w:t>
      </w:r>
      <w:proofErr w:type="spellEnd"/>
      <w:r w:rsidRPr="0000194C">
        <w:rPr>
          <w:rFonts w:ascii="Arial" w:hAnsi="Arial" w:cs="Arial"/>
        </w:rPr>
        <w:t xml:space="preserve"> understands that such a provision is derived from EMIR. We would like to stress that:</w:t>
      </w:r>
    </w:p>
    <w:p w:rsidR="0000194C" w:rsidRPr="0000194C" w:rsidRDefault="0000194C" w:rsidP="0000194C">
      <w:pPr>
        <w:numPr>
          <w:ilvl w:val="0"/>
          <w:numId w:val="11"/>
        </w:numPr>
        <w:spacing w:before="0"/>
        <w:jc w:val="both"/>
        <w:rPr>
          <w:rFonts w:ascii="Arial" w:hAnsi="Arial" w:cs="Arial"/>
        </w:rPr>
      </w:pPr>
      <w:r w:rsidRPr="0000194C">
        <w:rPr>
          <w:rFonts w:ascii="Arial" w:hAnsi="Arial" w:cs="Arial"/>
        </w:rPr>
        <w:t xml:space="preserve">as per </w:t>
      </w:r>
      <w:proofErr w:type="spellStart"/>
      <w:r w:rsidRPr="0000194C">
        <w:rPr>
          <w:rFonts w:ascii="Arial" w:hAnsi="Arial" w:cs="Arial"/>
        </w:rPr>
        <w:t>CPMI</w:t>
      </w:r>
      <w:proofErr w:type="spellEnd"/>
      <w:r w:rsidRPr="0000194C">
        <w:rPr>
          <w:rFonts w:ascii="Arial" w:hAnsi="Arial" w:cs="Arial"/>
        </w:rPr>
        <w:t xml:space="preserve">-IOSCO </w:t>
      </w:r>
      <w:proofErr w:type="spellStart"/>
      <w:r w:rsidRPr="0000194C">
        <w:rPr>
          <w:rFonts w:ascii="Arial" w:hAnsi="Arial" w:cs="Arial"/>
        </w:rPr>
        <w:t>PFMIs</w:t>
      </w:r>
      <w:proofErr w:type="spellEnd"/>
      <w:r w:rsidRPr="0000194C">
        <w:rPr>
          <w:rFonts w:ascii="Arial" w:hAnsi="Arial" w:cs="Arial"/>
        </w:rPr>
        <w:t xml:space="preserve">, while portability is a principle that applies to </w:t>
      </w:r>
      <w:proofErr w:type="spellStart"/>
      <w:r w:rsidRPr="0000194C">
        <w:rPr>
          <w:rFonts w:ascii="Arial" w:hAnsi="Arial" w:cs="Arial"/>
        </w:rPr>
        <w:t>CCPs</w:t>
      </w:r>
      <w:proofErr w:type="spellEnd"/>
      <w:r w:rsidRPr="0000194C">
        <w:rPr>
          <w:rFonts w:ascii="Arial" w:hAnsi="Arial" w:cs="Arial"/>
        </w:rPr>
        <w:t xml:space="preserve">, it does not apply to </w:t>
      </w:r>
      <w:proofErr w:type="spellStart"/>
      <w:r w:rsidRPr="0000194C">
        <w:rPr>
          <w:rFonts w:ascii="Arial" w:hAnsi="Arial" w:cs="Arial"/>
        </w:rPr>
        <w:t>CSDs</w:t>
      </w:r>
      <w:proofErr w:type="spellEnd"/>
      <w:r w:rsidRPr="0000194C">
        <w:rPr>
          <w:rFonts w:ascii="Arial" w:hAnsi="Arial" w:cs="Arial"/>
        </w:rPr>
        <w:t>;</w:t>
      </w:r>
    </w:p>
    <w:p w:rsidR="00671CF6" w:rsidRPr="0000194C" w:rsidRDefault="0000194C" w:rsidP="00671CF6">
      <w:pPr>
        <w:spacing w:after="240"/>
        <w:jc w:val="both"/>
        <w:rPr>
          <w:rFonts w:ascii="Arial" w:hAnsi="Arial" w:cs="Arial"/>
        </w:rPr>
      </w:pPr>
      <w:proofErr w:type="spellStart"/>
      <w:r w:rsidRPr="0000194C">
        <w:rPr>
          <w:rFonts w:ascii="Arial" w:hAnsi="Arial" w:cs="Arial"/>
        </w:rPr>
        <w:t>CPMI_IOSCO</w:t>
      </w:r>
      <w:proofErr w:type="spellEnd"/>
      <w:r w:rsidRPr="0000194C">
        <w:rPr>
          <w:rFonts w:ascii="Arial" w:hAnsi="Arial" w:cs="Arial"/>
        </w:rPr>
        <w:t xml:space="preserve"> rather agrees that: “In the event that an </w:t>
      </w:r>
      <w:proofErr w:type="spellStart"/>
      <w:r w:rsidRPr="0000194C">
        <w:rPr>
          <w:rFonts w:ascii="Arial" w:hAnsi="Arial" w:cs="Arial"/>
        </w:rPr>
        <w:t>FMI</w:t>
      </w:r>
      <w:proofErr w:type="spellEnd"/>
      <w:r w:rsidRPr="0000194C">
        <w:rPr>
          <w:rFonts w:ascii="Arial" w:hAnsi="Arial" w:cs="Arial"/>
        </w:rPr>
        <w:t xml:space="preserve"> becomes non-viable as a going concern or insolvent, it is important that appropriate actions be taken that allow (a) the recovery of the </w:t>
      </w:r>
      <w:proofErr w:type="spellStart"/>
      <w:r w:rsidRPr="0000194C">
        <w:rPr>
          <w:rFonts w:ascii="Arial" w:hAnsi="Arial" w:cs="Arial"/>
        </w:rPr>
        <w:t>FMI</w:t>
      </w:r>
      <w:proofErr w:type="spellEnd"/>
      <w:r w:rsidRPr="0000194C">
        <w:rPr>
          <w:rFonts w:ascii="Arial" w:hAnsi="Arial" w:cs="Arial"/>
        </w:rPr>
        <w:t xml:space="preserve"> so that its critical operations and services may be sustained, or (b) the winding down of the non-viable </w:t>
      </w:r>
      <w:proofErr w:type="spellStart"/>
      <w:r w:rsidRPr="0000194C">
        <w:rPr>
          <w:rFonts w:ascii="Arial" w:hAnsi="Arial" w:cs="Arial"/>
        </w:rPr>
        <w:t>FMI</w:t>
      </w:r>
      <w:proofErr w:type="spellEnd"/>
      <w:r w:rsidRPr="0000194C">
        <w:rPr>
          <w:rFonts w:ascii="Arial" w:hAnsi="Arial" w:cs="Arial"/>
        </w:rPr>
        <w:t xml:space="preserve"> in an orderly manner, for instance by transferring the </w:t>
      </w:r>
      <w:proofErr w:type="spellStart"/>
      <w:r w:rsidRPr="0000194C">
        <w:rPr>
          <w:rFonts w:ascii="Arial" w:hAnsi="Arial" w:cs="Arial"/>
        </w:rPr>
        <w:t>FMI’s</w:t>
      </w:r>
      <w:proofErr w:type="spellEnd"/>
      <w:r w:rsidRPr="0000194C">
        <w:rPr>
          <w:rFonts w:ascii="Arial" w:hAnsi="Arial" w:cs="Arial"/>
        </w:rPr>
        <w:t xml:space="preserve"> critical operations and services to an alternate entity. Depending on the specific situation and the powers and tools available to authorities in relevant jurisdictions, these actions may be implemented by the </w:t>
      </w:r>
      <w:proofErr w:type="spellStart"/>
      <w:r w:rsidRPr="0000194C">
        <w:rPr>
          <w:rFonts w:ascii="Arial" w:hAnsi="Arial" w:cs="Arial"/>
        </w:rPr>
        <w:t>FMI</w:t>
      </w:r>
      <w:proofErr w:type="spellEnd"/>
      <w:r w:rsidRPr="0000194C">
        <w:rPr>
          <w:rFonts w:ascii="Arial" w:hAnsi="Arial" w:cs="Arial"/>
        </w:rPr>
        <w:t xml:space="preserve"> itself, by the relevant authorities, or by a combination of both.”</w:t>
      </w:r>
    </w:p>
    <w:p w:rsidR="0000194C" w:rsidRPr="00671CF6" w:rsidRDefault="0000194C" w:rsidP="00671CF6">
      <w:pPr>
        <w:numPr>
          <w:ilvl w:val="0"/>
          <w:numId w:val="11"/>
        </w:numPr>
        <w:spacing w:before="0"/>
        <w:jc w:val="both"/>
        <w:rPr>
          <w:rFonts w:ascii="Arial" w:hAnsi="Arial" w:cs="Arial"/>
        </w:rPr>
      </w:pPr>
      <w:proofErr w:type="gramStart"/>
      <w:r w:rsidRPr="0000194C">
        <w:rPr>
          <w:rFonts w:ascii="Arial" w:hAnsi="Arial" w:cs="Arial"/>
        </w:rPr>
        <w:t>there</w:t>
      </w:r>
      <w:proofErr w:type="gramEnd"/>
      <w:r w:rsidRPr="0000194C">
        <w:rPr>
          <w:rFonts w:ascii="Arial" w:hAnsi="Arial" w:cs="Arial"/>
        </w:rPr>
        <w:t xml:space="preserve"> is no requirements in the CDS Regulation to impose such a “portability” regime on </w:t>
      </w:r>
      <w:proofErr w:type="spellStart"/>
      <w:r w:rsidRPr="0000194C">
        <w:rPr>
          <w:rFonts w:ascii="Arial" w:hAnsi="Arial" w:cs="Arial"/>
        </w:rPr>
        <w:t>CSDs</w:t>
      </w:r>
      <w:proofErr w:type="spellEnd"/>
      <w:r w:rsidRPr="0000194C">
        <w:rPr>
          <w:rFonts w:ascii="Arial" w:hAnsi="Arial" w:cs="Arial"/>
        </w:rPr>
        <w:t xml:space="preserve">. </w:t>
      </w:r>
      <w:proofErr w:type="spellStart"/>
      <w:r w:rsidRPr="0000194C">
        <w:rPr>
          <w:rFonts w:ascii="Arial" w:hAnsi="Arial" w:cs="Arial"/>
        </w:rPr>
        <w:t>CSD</w:t>
      </w:r>
      <w:proofErr w:type="spellEnd"/>
      <w:r w:rsidRPr="0000194C">
        <w:rPr>
          <w:rFonts w:ascii="Arial" w:hAnsi="Arial" w:cs="Arial"/>
        </w:rPr>
        <w:t xml:space="preserve"> Regulation rather put the responsibility on the competent authorities. See:</w:t>
      </w:r>
    </w:p>
    <w:p w:rsidR="0000194C" w:rsidRPr="00671CF6" w:rsidRDefault="0000194C" w:rsidP="00671CF6">
      <w:pPr>
        <w:numPr>
          <w:ilvl w:val="2"/>
          <w:numId w:val="11"/>
        </w:numPr>
        <w:spacing w:before="0"/>
        <w:jc w:val="both"/>
        <w:rPr>
          <w:rFonts w:ascii="Arial" w:hAnsi="Arial" w:cs="Arial"/>
        </w:rPr>
      </w:pPr>
      <w:r w:rsidRPr="0000194C">
        <w:rPr>
          <w:rFonts w:ascii="Arial" w:hAnsi="Arial" w:cs="Arial"/>
        </w:rPr>
        <w:t xml:space="preserve">recital (27), which provides that “Without prejudice to Directive 2014/59/EU of the European Parliament and of the Council ( 2 ), the competent authorities should ensure that an adequate resolution plan is established and maintained for each </w:t>
      </w:r>
      <w:proofErr w:type="spellStart"/>
      <w:r w:rsidRPr="0000194C">
        <w:rPr>
          <w:rFonts w:ascii="Arial" w:hAnsi="Arial" w:cs="Arial"/>
        </w:rPr>
        <w:t>CSD</w:t>
      </w:r>
      <w:proofErr w:type="spellEnd"/>
      <w:r w:rsidRPr="0000194C">
        <w:rPr>
          <w:rFonts w:ascii="Arial" w:hAnsi="Arial" w:cs="Arial"/>
        </w:rPr>
        <w:t xml:space="preserve"> in accordance with the relevant national law.”</w:t>
      </w:r>
    </w:p>
    <w:p w:rsidR="0000194C" w:rsidRPr="0000194C" w:rsidRDefault="0000194C" w:rsidP="0000194C">
      <w:pPr>
        <w:numPr>
          <w:ilvl w:val="2"/>
          <w:numId w:val="11"/>
        </w:numPr>
        <w:spacing w:before="0"/>
        <w:jc w:val="both"/>
        <w:rPr>
          <w:rFonts w:ascii="Arial" w:hAnsi="Arial" w:cs="Arial"/>
        </w:rPr>
      </w:pPr>
      <w:r w:rsidRPr="0000194C">
        <w:rPr>
          <w:rFonts w:ascii="Arial" w:hAnsi="Arial" w:cs="Arial"/>
        </w:rPr>
        <w:t xml:space="preserve">Art. 22(3), which provides that: “The competent authority shall ensure that an adequate resolution plan is established and maintained for each </w:t>
      </w:r>
      <w:proofErr w:type="spellStart"/>
      <w:r w:rsidRPr="0000194C">
        <w:rPr>
          <w:rFonts w:ascii="Arial" w:hAnsi="Arial" w:cs="Arial"/>
        </w:rPr>
        <w:t>CSD</w:t>
      </w:r>
      <w:proofErr w:type="spellEnd"/>
      <w:r w:rsidRPr="0000194C">
        <w:rPr>
          <w:rFonts w:ascii="Arial" w:hAnsi="Arial" w:cs="Arial"/>
        </w:rPr>
        <w:t xml:space="preserve"> so as to ensure continuity of at least its core functions, having regard to the size, systemic importance, nature, scale and complexity of the activities of the </w:t>
      </w:r>
      <w:proofErr w:type="spellStart"/>
      <w:r w:rsidRPr="0000194C">
        <w:rPr>
          <w:rFonts w:ascii="Arial" w:hAnsi="Arial" w:cs="Arial"/>
        </w:rPr>
        <w:t>CSD</w:t>
      </w:r>
      <w:proofErr w:type="spellEnd"/>
      <w:r w:rsidRPr="0000194C">
        <w:rPr>
          <w:rFonts w:ascii="Arial" w:hAnsi="Arial" w:cs="Arial"/>
        </w:rPr>
        <w:t xml:space="preserve"> concerned and any relevant resolution plan established in accordance with Directive 2014/59/EU.”</w:t>
      </w:r>
    </w:p>
    <w:p w:rsidR="0000194C" w:rsidRPr="0000194C" w:rsidRDefault="0000194C" w:rsidP="0000194C">
      <w:pPr>
        <w:jc w:val="both"/>
        <w:rPr>
          <w:rFonts w:ascii="Arial" w:hAnsi="Arial" w:cs="Arial"/>
        </w:rPr>
      </w:pPr>
      <w:r w:rsidRPr="0000194C">
        <w:rPr>
          <w:rFonts w:ascii="Arial" w:hAnsi="Arial" w:cs="Arial"/>
        </w:rPr>
        <w:t>As a result, we are of the opinion that ESMA should redraft art. 27 according to the below:</w:t>
      </w:r>
    </w:p>
    <w:p w:rsidR="0000194C" w:rsidRPr="0000194C" w:rsidRDefault="0000194C" w:rsidP="0000194C">
      <w:pPr>
        <w:jc w:val="both"/>
        <w:rPr>
          <w:rFonts w:ascii="Arial" w:hAnsi="Arial" w:cs="Arial"/>
        </w:rPr>
      </w:pPr>
    </w:p>
    <w:p w:rsidR="00671CF6" w:rsidRDefault="0000194C" w:rsidP="0000194C">
      <w:pPr>
        <w:jc w:val="both"/>
        <w:rPr>
          <w:rFonts w:ascii="Arial" w:hAnsi="Arial" w:cs="Arial"/>
          <w:b/>
          <w:i/>
        </w:rPr>
      </w:pPr>
      <w:r w:rsidRPr="0000194C">
        <w:rPr>
          <w:rFonts w:ascii="Arial" w:hAnsi="Arial" w:cs="Arial"/>
          <w:b/>
          <w:i/>
        </w:rPr>
        <w:t xml:space="preserve">Transfer of participants and clients’ assets in case of a withdrawal of </w:t>
      </w:r>
      <w:proofErr w:type="spellStart"/>
      <w:r w:rsidRPr="0000194C">
        <w:rPr>
          <w:rFonts w:ascii="Arial" w:hAnsi="Arial" w:cs="Arial"/>
          <w:b/>
          <w:i/>
        </w:rPr>
        <w:t>authorisation</w:t>
      </w:r>
      <w:proofErr w:type="spellEnd"/>
      <w:r w:rsidRPr="0000194C">
        <w:rPr>
          <w:rFonts w:ascii="Arial" w:hAnsi="Arial" w:cs="Arial"/>
          <w:b/>
          <w:i/>
        </w:rPr>
        <w:t xml:space="preserve"> </w:t>
      </w:r>
    </w:p>
    <w:p w:rsidR="0000194C" w:rsidRPr="00671CF6" w:rsidRDefault="0000194C" w:rsidP="00671CF6">
      <w:pPr>
        <w:spacing w:after="240"/>
        <w:jc w:val="both"/>
        <w:rPr>
          <w:rFonts w:ascii="Arial" w:hAnsi="Arial" w:cs="Arial"/>
          <w:b/>
          <w:i/>
        </w:rPr>
      </w:pPr>
      <w:r w:rsidRPr="0000194C">
        <w:rPr>
          <w:rFonts w:ascii="Arial" w:hAnsi="Arial" w:cs="Arial"/>
          <w:i/>
        </w:rPr>
        <w:t xml:space="preserve">An application for </w:t>
      </w:r>
      <w:proofErr w:type="spellStart"/>
      <w:r w:rsidRPr="0000194C">
        <w:rPr>
          <w:rFonts w:ascii="Arial" w:hAnsi="Arial" w:cs="Arial"/>
          <w:i/>
        </w:rPr>
        <w:t>authorisation</w:t>
      </w:r>
      <w:proofErr w:type="spellEnd"/>
      <w:r w:rsidRPr="0000194C">
        <w:rPr>
          <w:rFonts w:ascii="Arial" w:hAnsi="Arial" w:cs="Arial"/>
          <w:i/>
        </w:rPr>
        <w:t xml:space="preserve"> of a </w:t>
      </w:r>
      <w:proofErr w:type="spellStart"/>
      <w:r w:rsidRPr="0000194C">
        <w:rPr>
          <w:rFonts w:ascii="Arial" w:hAnsi="Arial" w:cs="Arial"/>
          <w:i/>
        </w:rPr>
        <w:t>CSD</w:t>
      </w:r>
      <w:proofErr w:type="spellEnd"/>
      <w:r w:rsidRPr="0000194C">
        <w:rPr>
          <w:rFonts w:ascii="Arial" w:hAnsi="Arial" w:cs="Arial"/>
          <w:i/>
        </w:rPr>
        <w:t xml:space="preserve"> shall contain the procedure put in place by the applicant </w:t>
      </w:r>
      <w:proofErr w:type="spellStart"/>
      <w:r w:rsidRPr="0000194C">
        <w:rPr>
          <w:rFonts w:ascii="Arial" w:hAnsi="Arial" w:cs="Arial"/>
          <w:i/>
        </w:rPr>
        <w:t>CSD</w:t>
      </w:r>
      <w:proofErr w:type="spellEnd"/>
      <w:r w:rsidRPr="0000194C">
        <w:rPr>
          <w:rFonts w:ascii="Arial" w:hAnsi="Arial" w:cs="Arial"/>
          <w:i/>
        </w:rPr>
        <w:t xml:space="preserve"> in accordance with Article 20(5) of Regulation (EU) No 909/2014.</w:t>
      </w:r>
    </w:p>
    <w:p w:rsidR="0000194C" w:rsidRPr="0000194C" w:rsidRDefault="0000194C" w:rsidP="0000194C">
      <w:pPr>
        <w:numPr>
          <w:ilvl w:val="0"/>
          <w:numId w:val="4"/>
        </w:numPr>
        <w:spacing w:before="0"/>
        <w:jc w:val="both"/>
        <w:rPr>
          <w:rFonts w:ascii="Arial" w:hAnsi="Arial" w:cs="Arial"/>
          <w:u w:val="dotDash"/>
        </w:rPr>
      </w:pPr>
      <w:r w:rsidRPr="0000194C">
        <w:rPr>
          <w:rFonts w:ascii="Arial" w:hAnsi="Arial" w:cs="Arial"/>
          <w:u w:val="dotDash"/>
        </w:rPr>
        <w:t>Art. 30 – Operational risk</w:t>
      </w:r>
    </w:p>
    <w:p w:rsidR="0000194C" w:rsidRPr="0000194C" w:rsidRDefault="0000194C" w:rsidP="0000194C">
      <w:pPr>
        <w:jc w:val="both"/>
        <w:rPr>
          <w:rFonts w:ascii="Arial" w:hAnsi="Arial" w:cs="Arial"/>
        </w:rPr>
      </w:pPr>
      <w:proofErr w:type="gramStart"/>
      <w:r w:rsidRPr="0000194C">
        <w:rPr>
          <w:rFonts w:ascii="Arial" w:hAnsi="Arial" w:cs="Arial"/>
        </w:rPr>
        <w:t>As per art.</w:t>
      </w:r>
      <w:proofErr w:type="gramEnd"/>
      <w:r w:rsidRPr="0000194C">
        <w:rPr>
          <w:rFonts w:ascii="Arial" w:hAnsi="Arial" w:cs="Arial"/>
        </w:rPr>
        <w:t xml:space="preserve"> </w:t>
      </w:r>
      <w:proofErr w:type="gramStart"/>
      <w:r w:rsidRPr="0000194C">
        <w:rPr>
          <w:rFonts w:ascii="Arial" w:hAnsi="Arial" w:cs="Arial"/>
        </w:rPr>
        <w:t>19 (1) and art.</w:t>
      </w:r>
      <w:proofErr w:type="gramEnd"/>
      <w:r w:rsidRPr="0000194C">
        <w:rPr>
          <w:rFonts w:ascii="Arial" w:hAnsi="Arial" w:cs="Arial"/>
        </w:rPr>
        <w:t xml:space="preserve"> 30 (4) of Level 1 Regulation:</w:t>
      </w:r>
    </w:p>
    <w:p w:rsidR="0000194C" w:rsidRPr="0000194C" w:rsidRDefault="0000194C" w:rsidP="0000194C">
      <w:pPr>
        <w:numPr>
          <w:ilvl w:val="0"/>
          <w:numId w:val="9"/>
        </w:numPr>
        <w:spacing w:before="0"/>
        <w:jc w:val="both"/>
        <w:rPr>
          <w:rFonts w:ascii="Arial" w:hAnsi="Arial" w:cs="Arial"/>
        </w:rPr>
      </w:pPr>
      <w:r w:rsidRPr="0000194C">
        <w:rPr>
          <w:rFonts w:ascii="Arial" w:hAnsi="Arial" w:cs="Arial"/>
        </w:rPr>
        <w:t xml:space="preserve"> “An authorized </w:t>
      </w:r>
      <w:proofErr w:type="spellStart"/>
      <w:r w:rsidRPr="0000194C">
        <w:rPr>
          <w:rFonts w:ascii="Arial" w:hAnsi="Arial" w:cs="Arial"/>
        </w:rPr>
        <w:t>CSD</w:t>
      </w:r>
      <w:proofErr w:type="spellEnd"/>
      <w:r w:rsidRPr="0000194C">
        <w:rPr>
          <w:rFonts w:ascii="Arial" w:hAnsi="Arial" w:cs="Arial"/>
        </w:rPr>
        <w:t xml:space="preserve"> shall submit an application to the competent authority of its home member state where it wishes to outsource a core service to a third party…”</w:t>
      </w:r>
    </w:p>
    <w:p w:rsidR="0000194C" w:rsidRPr="00671CF6" w:rsidRDefault="0000194C" w:rsidP="0000194C">
      <w:pPr>
        <w:numPr>
          <w:ilvl w:val="0"/>
          <w:numId w:val="9"/>
        </w:numPr>
        <w:spacing w:before="0"/>
        <w:jc w:val="both"/>
        <w:rPr>
          <w:rFonts w:ascii="Arial" w:hAnsi="Arial" w:cs="Arial"/>
        </w:rPr>
      </w:pPr>
      <w:r w:rsidRPr="0000194C">
        <w:rPr>
          <w:rFonts w:ascii="Arial" w:hAnsi="Arial" w:cs="Arial"/>
        </w:rPr>
        <w:t>“The outsourcing of a core service shall be subject to authorization under article 19 by the competent authority.”</w:t>
      </w:r>
    </w:p>
    <w:p w:rsidR="0000194C" w:rsidRPr="0000194C" w:rsidRDefault="0000194C" w:rsidP="0000194C">
      <w:pPr>
        <w:jc w:val="both"/>
        <w:rPr>
          <w:rFonts w:ascii="Arial" w:hAnsi="Arial" w:cs="Arial"/>
        </w:rPr>
      </w:pPr>
      <w:r w:rsidRPr="0000194C">
        <w:rPr>
          <w:rFonts w:ascii="Arial" w:hAnsi="Arial" w:cs="Arial"/>
        </w:rPr>
        <w:t>We therefore suggest ESMA to redraft art. 30 (2) according to the below:</w:t>
      </w:r>
    </w:p>
    <w:p w:rsidR="0000194C" w:rsidRPr="00EB7874" w:rsidRDefault="0000194C" w:rsidP="00EB7874">
      <w:pPr>
        <w:jc w:val="both"/>
        <w:rPr>
          <w:rFonts w:ascii="Arial" w:hAnsi="Arial" w:cs="Arial"/>
          <w:i/>
        </w:rPr>
      </w:pPr>
      <w:r w:rsidRPr="0000194C">
        <w:rPr>
          <w:rFonts w:ascii="Arial" w:hAnsi="Arial" w:cs="Arial"/>
          <w:i/>
        </w:rPr>
        <w:t xml:space="preserve">“Where a </w:t>
      </w:r>
      <w:proofErr w:type="spellStart"/>
      <w:r w:rsidRPr="0000194C">
        <w:rPr>
          <w:rFonts w:ascii="Arial" w:hAnsi="Arial" w:cs="Arial"/>
          <w:i/>
        </w:rPr>
        <w:t>CSD</w:t>
      </w:r>
      <w:proofErr w:type="spellEnd"/>
      <w:r w:rsidRPr="0000194C">
        <w:rPr>
          <w:rFonts w:ascii="Arial" w:hAnsi="Arial" w:cs="Arial"/>
          <w:i/>
        </w:rPr>
        <w:t xml:space="preserve"> is willing to outsource through a third party a core service as defined under Section A of the Annex of Regulation (EU) n° 909/2014, the application for </w:t>
      </w:r>
      <w:proofErr w:type="spellStart"/>
      <w:r w:rsidRPr="0000194C">
        <w:rPr>
          <w:rFonts w:ascii="Arial" w:hAnsi="Arial" w:cs="Arial"/>
          <w:i/>
        </w:rPr>
        <w:t>authorisation</w:t>
      </w:r>
      <w:proofErr w:type="spellEnd"/>
      <w:r w:rsidRPr="0000194C">
        <w:rPr>
          <w:rFonts w:ascii="Arial" w:hAnsi="Arial" w:cs="Arial"/>
          <w:i/>
        </w:rPr>
        <w:t xml:space="preserve"> shall contain the information on these outsourcing agreements referred to in Article 30 of Regulation (EU) No 909/2014, entered into by the applicant </w:t>
      </w:r>
      <w:proofErr w:type="spellStart"/>
      <w:r w:rsidRPr="0000194C">
        <w:rPr>
          <w:rFonts w:ascii="Arial" w:hAnsi="Arial" w:cs="Arial"/>
          <w:i/>
        </w:rPr>
        <w:t>CSD</w:t>
      </w:r>
      <w:proofErr w:type="spellEnd"/>
      <w:r w:rsidRPr="0000194C">
        <w:rPr>
          <w:rFonts w:ascii="Arial" w:hAnsi="Arial" w:cs="Arial"/>
          <w:i/>
        </w:rPr>
        <w:t xml:space="preserve"> in accordance with Article 30 of Regulation (EU) No 909/2014, together with the methods employed to monitor the service level of the outsourced functions and a copy of the contracts governing such arrangements.”</w:t>
      </w:r>
    </w:p>
    <w:p w:rsidR="0000194C" w:rsidRDefault="0000194C" w:rsidP="00292847">
      <w:pPr>
        <w:autoSpaceDE w:val="0"/>
        <w:autoSpaceDN w:val="0"/>
        <w:adjustRightInd w:val="0"/>
        <w:spacing w:before="0"/>
        <w:jc w:val="both"/>
        <w:rPr>
          <w:rFonts w:ascii="Arial" w:hAnsi="Arial" w:cs="Arial"/>
          <w:b/>
          <w:bCs/>
          <w:color w:val="000000"/>
          <w:lang w:val="en-GB" w:eastAsia="en-GB"/>
        </w:rPr>
      </w:pPr>
    </w:p>
    <w:p w:rsidR="00EB7874" w:rsidRPr="00EB7874" w:rsidRDefault="00292847" w:rsidP="00EB7874">
      <w:pPr>
        <w:autoSpaceDE w:val="0"/>
        <w:autoSpaceDN w:val="0"/>
        <w:adjustRightInd w:val="0"/>
        <w:spacing w:before="0" w:after="240"/>
        <w:jc w:val="both"/>
        <w:rPr>
          <w:rFonts w:ascii="Arial" w:hAnsi="Arial" w:cs="Arial"/>
          <w:color w:val="000000"/>
          <w:lang w:val="en-GB" w:eastAsia="en-GB"/>
        </w:rPr>
      </w:pPr>
      <w:proofErr w:type="spellStart"/>
      <w:r w:rsidRPr="00292847">
        <w:rPr>
          <w:rFonts w:ascii="Arial" w:hAnsi="Arial" w:cs="Arial"/>
          <w:b/>
          <w:bCs/>
          <w:color w:val="000000"/>
          <w:lang w:val="en-GB" w:eastAsia="en-GB"/>
        </w:rPr>
        <w:t>Q16</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review and evaluation (Chapter III of Annex II) and draft ITS (Chapter II of Annex VI)? </w:t>
      </w:r>
    </w:p>
    <w:p w:rsidR="00EB7874" w:rsidRPr="00EB7874" w:rsidRDefault="00EB7874" w:rsidP="00EB7874">
      <w:pPr>
        <w:numPr>
          <w:ilvl w:val="0"/>
          <w:numId w:val="4"/>
        </w:numPr>
        <w:spacing w:before="0"/>
        <w:jc w:val="both"/>
        <w:rPr>
          <w:rFonts w:ascii="Arial" w:hAnsi="Arial" w:cs="Arial"/>
          <w:u w:val="dotDash"/>
        </w:rPr>
      </w:pPr>
      <w:r w:rsidRPr="00EB7874">
        <w:rPr>
          <w:rFonts w:ascii="Arial" w:hAnsi="Arial" w:cs="Arial"/>
          <w:u w:val="dotDash"/>
        </w:rPr>
        <w:t>Art. 38 – Access to data by the competent authority</w:t>
      </w:r>
    </w:p>
    <w:p w:rsidR="00EB7874" w:rsidRPr="00EB7874" w:rsidRDefault="00EB7874" w:rsidP="00EB7874">
      <w:pPr>
        <w:jc w:val="both"/>
        <w:rPr>
          <w:rFonts w:ascii="Arial" w:hAnsi="Arial" w:cs="Arial"/>
        </w:rPr>
      </w:pPr>
      <w:r w:rsidRPr="00EB7874">
        <w:rPr>
          <w:rFonts w:ascii="Arial" w:hAnsi="Arial" w:cs="Arial"/>
        </w:rPr>
        <w:t xml:space="preserve">BNY Mellon </w:t>
      </w:r>
      <w:proofErr w:type="spellStart"/>
      <w:r w:rsidRPr="00EB7874">
        <w:rPr>
          <w:rFonts w:ascii="Arial" w:hAnsi="Arial" w:cs="Arial"/>
        </w:rPr>
        <w:t>CSD</w:t>
      </w:r>
      <w:proofErr w:type="spellEnd"/>
      <w:r w:rsidRPr="00EB7874">
        <w:rPr>
          <w:rFonts w:ascii="Arial" w:hAnsi="Arial" w:cs="Arial"/>
        </w:rPr>
        <w:t xml:space="preserve"> reminds that according to art. 22:</w:t>
      </w:r>
    </w:p>
    <w:p w:rsidR="00EB7874" w:rsidRPr="00EB7874" w:rsidRDefault="00EB7874" w:rsidP="00EB7874">
      <w:pPr>
        <w:numPr>
          <w:ilvl w:val="0"/>
          <w:numId w:val="9"/>
        </w:numPr>
        <w:spacing w:before="0"/>
        <w:jc w:val="both"/>
        <w:rPr>
          <w:rFonts w:ascii="Arial" w:hAnsi="Arial" w:cs="Arial"/>
        </w:rPr>
      </w:pPr>
      <w:r w:rsidRPr="00EB7874">
        <w:rPr>
          <w:rFonts w:ascii="Arial" w:hAnsi="Arial" w:cs="Arial"/>
        </w:rPr>
        <w:t xml:space="preserve"> it is the responsibility of the competent authority to review and assess compliance with the Regulation (EU) n° 909/2014;</w:t>
      </w:r>
    </w:p>
    <w:p w:rsidR="00EB7874" w:rsidRPr="00EB7874" w:rsidRDefault="00EB7874" w:rsidP="00EB7874">
      <w:pPr>
        <w:numPr>
          <w:ilvl w:val="0"/>
          <w:numId w:val="9"/>
        </w:numPr>
        <w:spacing w:before="0"/>
        <w:jc w:val="both"/>
        <w:rPr>
          <w:rFonts w:ascii="Arial" w:hAnsi="Arial" w:cs="Arial"/>
        </w:rPr>
      </w:pPr>
      <w:r w:rsidRPr="00EB7874">
        <w:rPr>
          <w:rFonts w:ascii="Arial" w:hAnsi="Arial" w:cs="Arial"/>
        </w:rPr>
        <w:t xml:space="preserve">ESMA shall develop draft regulatory technical standards to specify the information that the </w:t>
      </w:r>
      <w:proofErr w:type="spellStart"/>
      <w:r w:rsidRPr="00EB7874">
        <w:rPr>
          <w:rFonts w:ascii="Arial" w:hAnsi="Arial" w:cs="Arial"/>
        </w:rPr>
        <w:t>CSD</w:t>
      </w:r>
      <w:proofErr w:type="spellEnd"/>
      <w:r w:rsidRPr="00EB7874">
        <w:rPr>
          <w:rFonts w:ascii="Arial" w:hAnsi="Arial" w:cs="Arial"/>
        </w:rPr>
        <w:t xml:space="preserve"> is to provide to the competent authority for the purpose of the review and evaluation.</w:t>
      </w:r>
    </w:p>
    <w:p w:rsidR="00EB7874" w:rsidRPr="00EB7874" w:rsidRDefault="00EB7874" w:rsidP="00EB7874">
      <w:pPr>
        <w:jc w:val="both"/>
        <w:rPr>
          <w:rFonts w:ascii="Arial" w:hAnsi="Arial" w:cs="Arial"/>
        </w:rPr>
      </w:pPr>
      <w:r w:rsidRPr="00EB7874">
        <w:rPr>
          <w:rFonts w:ascii="Arial" w:hAnsi="Arial" w:cs="Arial"/>
        </w:rPr>
        <w:t xml:space="preserve">We are therefore of the opinion that imposing additional assessment on the </w:t>
      </w:r>
      <w:proofErr w:type="spellStart"/>
      <w:r w:rsidRPr="00EB7874">
        <w:rPr>
          <w:rFonts w:ascii="Arial" w:hAnsi="Arial" w:cs="Arial"/>
        </w:rPr>
        <w:t>CSDs</w:t>
      </w:r>
      <w:proofErr w:type="spellEnd"/>
      <w:r w:rsidRPr="00EB7874">
        <w:rPr>
          <w:rFonts w:ascii="Arial" w:hAnsi="Arial" w:cs="Arial"/>
        </w:rPr>
        <w:t>:</w:t>
      </w:r>
    </w:p>
    <w:p w:rsidR="00EB7874" w:rsidRPr="00EB7874" w:rsidRDefault="00EB7874" w:rsidP="00EB7874">
      <w:pPr>
        <w:numPr>
          <w:ilvl w:val="0"/>
          <w:numId w:val="9"/>
        </w:numPr>
        <w:spacing w:before="0"/>
        <w:jc w:val="both"/>
        <w:rPr>
          <w:rFonts w:ascii="Arial" w:hAnsi="Arial" w:cs="Arial"/>
        </w:rPr>
      </w:pPr>
      <w:r w:rsidRPr="00EB7874">
        <w:rPr>
          <w:rFonts w:ascii="Arial" w:hAnsi="Arial" w:cs="Arial"/>
        </w:rPr>
        <w:t>Is contrary to the requirements as set out in the level 1 Regulation;</w:t>
      </w:r>
    </w:p>
    <w:p w:rsidR="00EB7874" w:rsidRPr="00EB7874" w:rsidRDefault="00EB7874" w:rsidP="00EB7874">
      <w:pPr>
        <w:numPr>
          <w:ilvl w:val="0"/>
          <w:numId w:val="9"/>
        </w:numPr>
        <w:spacing w:before="0"/>
        <w:jc w:val="both"/>
        <w:rPr>
          <w:rFonts w:ascii="Arial" w:hAnsi="Arial" w:cs="Arial"/>
        </w:rPr>
      </w:pPr>
      <w:r w:rsidRPr="00EB7874">
        <w:rPr>
          <w:rFonts w:ascii="Arial" w:hAnsi="Arial" w:cs="Arial"/>
        </w:rPr>
        <w:t xml:space="preserve">Is too burdensome taking into account the requirements as set out in </w:t>
      </w:r>
      <w:proofErr w:type="gramStart"/>
      <w:r w:rsidRPr="00EB7874">
        <w:rPr>
          <w:rFonts w:ascii="Arial" w:hAnsi="Arial" w:cs="Arial"/>
        </w:rPr>
        <w:t>art.</w:t>
      </w:r>
      <w:proofErr w:type="gramEnd"/>
      <w:r w:rsidRPr="00EB7874">
        <w:rPr>
          <w:rFonts w:ascii="Arial" w:hAnsi="Arial" w:cs="Arial"/>
        </w:rPr>
        <w:t xml:space="preserve"> 26 of Regulation (EU) </w:t>
      </w:r>
      <w:proofErr w:type="spellStart"/>
      <w:r w:rsidRPr="00EB7874">
        <w:rPr>
          <w:rFonts w:ascii="Arial" w:hAnsi="Arial" w:cs="Arial"/>
        </w:rPr>
        <w:t>n°909</w:t>
      </w:r>
      <w:proofErr w:type="spellEnd"/>
      <w:r w:rsidRPr="00EB7874">
        <w:rPr>
          <w:rFonts w:ascii="Arial" w:hAnsi="Arial" w:cs="Arial"/>
        </w:rPr>
        <w:t>/2014.</w:t>
      </w:r>
    </w:p>
    <w:p w:rsidR="00EB7874" w:rsidRDefault="00EB7874" w:rsidP="00EB7874">
      <w:pPr>
        <w:jc w:val="both"/>
        <w:rPr>
          <w:rFonts w:ascii="Arial" w:hAnsi="Arial" w:cs="Arial"/>
        </w:rPr>
      </w:pPr>
      <w:r w:rsidRPr="00EB7874">
        <w:rPr>
          <w:rFonts w:ascii="Arial" w:hAnsi="Arial" w:cs="Arial"/>
        </w:rPr>
        <w:t xml:space="preserve">As a result, BNY Mellon </w:t>
      </w:r>
      <w:proofErr w:type="spellStart"/>
      <w:r w:rsidRPr="00EB7874">
        <w:rPr>
          <w:rFonts w:ascii="Arial" w:hAnsi="Arial" w:cs="Arial"/>
        </w:rPr>
        <w:t>CSD</w:t>
      </w:r>
      <w:proofErr w:type="spellEnd"/>
      <w:r w:rsidRPr="00EB7874">
        <w:rPr>
          <w:rFonts w:ascii="Arial" w:hAnsi="Arial" w:cs="Arial"/>
        </w:rPr>
        <w:t xml:space="preserve"> suggests this article to be redrafted according to the below:</w:t>
      </w:r>
    </w:p>
    <w:p w:rsidR="00EB7874" w:rsidRPr="00EB7874" w:rsidRDefault="00EB7874" w:rsidP="00EB7874">
      <w:pPr>
        <w:spacing w:after="240"/>
        <w:jc w:val="both"/>
        <w:rPr>
          <w:rFonts w:ascii="Arial" w:hAnsi="Arial" w:cs="Arial"/>
        </w:rPr>
      </w:pPr>
      <w:r w:rsidRPr="00EB7874">
        <w:rPr>
          <w:rFonts w:ascii="Arial" w:hAnsi="Arial" w:cs="Arial"/>
          <w:i/>
        </w:rPr>
        <w:t xml:space="preserve">“For the purpose of the review and evaluation as referred to in Article 22(7) of Regulation (EU) No 909/2014, a </w:t>
      </w:r>
      <w:proofErr w:type="spellStart"/>
      <w:r w:rsidRPr="00EB7874">
        <w:rPr>
          <w:rFonts w:ascii="Arial" w:hAnsi="Arial" w:cs="Arial"/>
          <w:i/>
        </w:rPr>
        <w:t>CSD</w:t>
      </w:r>
      <w:proofErr w:type="spellEnd"/>
      <w:r w:rsidRPr="00EB7874">
        <w:rPr>
          <w:rFonts w:ascii="Arial" w:hAnsi="Arial" w:cs="Arial"/>
          <w:i/>
        </w:rPr>
        <w:t xml:space="preserve"> shall provide the information as defined in this chapter </w:t>
      </w:r>
      <w:r w:rsidRPr="00EB7874">
        <w:rPr>
          <w:rFonts w:ascii="Arial" w:hAnsi="Arial" w:cs="Arial"/>
          <w:b/>
          <w:i/>
          <w:strike/>
        </w:rPr>
        <w:t xml:space="preserve">together with a self-assessment on the </w:t>
      </w:r>
      <w:proofErr w:type="spellStart"/>
      <w:r w:rsidRPr="00EB7874">
        <w:rPr>
          <w:rFonts w:ascii="Arial" w:hAnsi="Arial" w:cs="Arial"/>
          <w:b/>
          <w:i/>
          <w:strike/>
        </w:rPr>
        <w:t>CSD’s</w:t>
      </w:r>
      <w:proofErr w:type="spellEnd"/>
      <w:r w:rsidRPr="00EB7874">
        <w:rPr>
          <w:rFonts w:ascii="Arial" w:hAnsi="Arial" w:cs="Arial"/>
          <w:b/>
          <w:i/>
          <w:strike/>
        </w:rPr>
        <w:t xml:space="preserve"> activities overall compliance with the provisions of Regulation (EU) No 909/2014 during the review period</w:t>
      </w:r>
      <w:r w:rsidRPr="00EB7874">
        <w:rPr>
          <w:rFonts w:ascii="Arial" w:hAnsi="Arial" w:cs="Arial"/>
          <w:i/>
        </w:rPr>
        <w:t>, and any other information as requested by the competent authority.”</w:t>
      </w:r>
    </w:p>
    <w:p w:rsidR="00EB7874" w:rsidRPr="00EB7874" w:rsidRDefault="00EB7874" w:rsidP="00EB7874">
      <w:pPr>
        <w:numPr>
          <w:ilvl w:val="0"/>
          <w:numId w:val="4"/>
        </w:numPr>
        <w:spacing w:before="0"/>
        <w:jc w:val="both"/>
        <w:rPr>
          <w:rFonts w:ascii="Arial" w:hAnsi="Arial" w:cs="Arial"/>
          <w:u w:val="dotDash"/>
        </w:rPr>
      </w:pPr>
      <w:r w:rsidRPr="00EB7874">
        <w:rPr>
          <w:rFonts w:ascii="Arial" w:hAnsi="Arial" w:cs="Arial"/>
          <w:u w:val="dotDash"/>
        </w:rPr>
        <w:t>Art. 40 – Documents submitted that have been materially modified</w:t>
      </w:r>
    </w:p>
    <w:p w:rsidR="00EB7874" w:rsidRPr="00EB7874" w:rsidRDefault="00EB7874" w:rsidP="00EB7874">
      <w:pPr>
        <w:jc w:val="both"/>
        <w:rPr>
          <w:rFonts w:ascii="Arial" w:hAnsi="Arial" w:cs="Arial"/>
        </w:rPr>
      </w:pPr>
      <w:r w:rsidRPr="00EB7874">
        <w:rPr>
          <w:rFonts w:ascii="Arial" w:hAnsi="Arial" w:cs="Arial"/>
        </w:rPr>
        <w:t xml:space="preserve">For the sake of consistency and in order for such a requirement to remain sustainable both to </w:t>
      </w:r>
      <w:proofErr w:type="spellStart"/>
      <w:r w:rsidRPr="00EB7874">
        <w:rPr>
          <w:rFonts w:ascii="Arial" w:hAnsi="Arial" w:cs="Arial"/>
        </w:rPr>
        <w:t>CSDs</w:t>
      </w:r>
      <w:proofErr w:type="spellEnd"/>
      <w:r w:rsidRPr="00EB7874">
        <w:rPr>
          <w:rFonts w:ascii="Arial" w:hAnsi="Arial" w:cs="Arial"/>
        </w:rPr>
        <w:t xml:space="preserve"> and competent authorities, we are of the opinion that this article should be redrafted according to the below:</w:t>
      </w:r>
    </w:p>
    <w:p w:rsidR="00EB7874" w:rsidRPr="00EB7874" w:rsidRDefault="00EB7874" w:rsidP="00EB7874">
      <w:pPr>
        <w:jc w:val="both"/>
        <w:rPr>
          <w:rFonts w:ascii="Arial" w:hAnsi="Arial" w:cs="Arial"/>
          <w:u w:val="dotDash"/>
        </w:rPr>
      </w:pPr>
    </w:p>
    <w:p w:rsidR="00EB7874" w:rsidRPr="00EB7874" w:rsidRDefault="00EB7874" w:rsidP="00EB7874">
      <w:pPr>
        <w:spacing w:after="240"/>
        <w:jc w:val="both"/>
        <w:rPr>
          <w:rFonts w:ascii="Arial" w:hAnsi="Arial" w:cs="Arial"/>
          <w:i/>
        </w:rPr>
      </w:pPr>
      <w:r w:rsidRPr="00EB7874">
        <w:rPr>
          <w:rFonts w:ascii="Arial" w:hAnsi="Arial" w:cs="Arial"/>
          <w:i/>
        </w:rPr>
        <w:lastRenderedPageBreak/>
        <w:t xml:space="preserve">“A </w:t>
      </w:r>
      <w:proofErr w:type="spellStart"/>
      <w:r w:rsidRPr="00EB7874">
        <w:rPr>
          <w:rFonts w:ascii="Arial" w:hAnsi="Arial" w:cs="Arial"/>
          <w:i/>
        </w:rPr>
        <w:t>CSD</w:t>
      </w:r>
      <w:proofErr w:type="spellEnd"/>
      <w:r w:rsidRPr="00EB7874">
        <w:rPr>
          <w:rFonts w:ascii="Arial" w:hAnsi="Arial" w:cs="Arial"/>
          <w:i/>
        </w:rPr>
        <w:t xml:space="preserve"> shall provide all documents submitted to the competent authority in the application for </w:t>
      </w:r>
      <w:proofErr w:type="spellStart"/>
      <w:r w:rsidRPr="00EB7874">
        <w:rPr>
          <w:rFonts w:ascii="Arial" w:hAnsi="Arial" w:cs="Arial"/>
          <w:i/>
        </w:rPr>
        <w:t>authorisation</w:t>
      </w:r>
      <w:proofErr w:type="spellEnd"/>
      <w:r w:rsidRPr="00EB7874">
        <w:rPr>
          <w:rFonts w:ascii="Arial" w:hAnsi="Arial" w:cs="Arial"/>
          <w:i/>
        </w:rPr>
        <w:t xml:space="preserve"> which </w:t>
      </w:r>
      <w:proofErr w:type="gramStart"/>
      <w:r w:rsidRPr="00EB7874">
        <w:rPr>
          <w:rFonts w:ascii="Arial" w:hAnsi="Arial" w:cs="Arial"/>
          <w:i/>
        </w:rPr>
        <w:t>have</w:t>
      </w:r>
      <w:proofErr w:type="gramEnd"/>
      <w:r w:rsidRPr="00EB7874">
        <w:rPr>
          <w:rFonts w:ascii="Arial" w:hAnsi="Arial" w:cs="Arial"/>
          <w:i/>
        </w:rPr>
        <w:t xml:space="preserve"> been </w:t>
      </w:r>
      <w:r w:rsidRPr="00EB7874">
        <w:rPr>
          <w:rFonts w:ascii="Arial" w:hAnsi="Arial" w:cs="Arial"/>
          <w:b/>
          <w:i/>
        </w:rPr>
        <w:t>materially</w:t>
      </w:r>
      <w:r w:rsidRPr="00EB7874">
        <w:rPr>
          <w:rFonts w:ascii="Arial" w:hAnsi="Arial" w:cs="Arial"/>
          <w:i/>
        </w:rPr>
        <w:t xml:space="preserve"> modified in the review period.”</w:t>
      </w:r>
    </w:p>
    <w:p w:rsidR="00EB7874" w:rsidRPr="00EB7874" w:rsidRDefault="00EB7874" w:rsidP="00EB7874">
      <w:pPr>
        <w:numPr>
          <w:ilvl w:val="0"/>
          <w:numId w:val="4"/>
        </w:numPr>
        <w:spacing w:before="0"/>
        <w:jc w:val="both"/>
        <w:rPr>
          <w:rFonts w:ascii="Arial" w:hAnsi="Arial" w:cs="Arial"/>
          <w:u w:val="dotDash"/>
        </w:rPr>
      </w:pPr>
      <w:r w:rsidRPr="00EB7874">
        <w:rPr>
          <w:rFonts w:ascii="Arial" w:hAnsi="Arial" w:cs="Arial"/>
          <w:u w:val="dotDash"/>
        </w:rPr>
        <w:t>Art. 41 – Information relating to periodic events</w:t>
      </w:r>
    </w:p>
    <w:p w:rsidR="00EB7874" w:rsidRPr="00EB7874" w:rsidRDefault="00EB7874" w:rsidP="00EB7874">
      <w:pPr>
        <w:jc w:val="both"/>
        <w:rPr>
          <w:rFonts w:ascii="Arial" w:hAnsi="Arial" w:cs="Arial"/>
        </w:rPr>
      </w:pPr>
      <w:r w:rsidRPr="00EB7874">
        <w:rPr>
          <w:rFonts w:ascii="Arial" w:hAnsi="Arial" w:cs="Arial"/>
        </w:rPr>
        <w:t>Regarding the need to report on:</w:t>
      </w:r>
    </w:p>
    <w:p w:rsidR="00EB7874" w:rsidRPr="00EB7874" w:rsidRDefault="00EB7874" w:rsidP="00EB7874">
      <w:pPr>
        <w:numPr>
          <w:ilvl w:val="0"/>
          <w:numId w:val="15"/>
        </w:numPr>
        <w:spacing w:before="0"/>
        <w:jc w:val="both"/>
        <w:rPr>
          <w:rFonts w:ascii="Arial" w:hAnsi="Arial" w:cs="Arial"/>
        </w:rPr>
      </w:pPr>
      <w:r w:rsidRPr="00EB7874">
        <w:rPr>
          <w:rFonts w:ascii="Arial" w:hAnsi="Arial" w:cs="Arial"/>
        </w:rPr>
        <w:t xml:space="preserve">any changes affecting any links of the </w:t>
      </w:r>
      <w:proofErr w:type="spellStart"/>
      <w:r w:rsidRPr="00EB7874">
        <w:rPr>
          <w:rFonts w:ascii="Arial" w:hAnsi="Arial" w:cs="Arial"/>
        </w:rPr>
        <w:t>CSD</w:t>
      </w:r>
      <w:proofErr w:type="spellEnd"/>
      <w:r w:rsidRPr="00EB7874">
        <w:rPr>
          <w:rFonts w:ascii="Arial" w:hAnsi="Arial" w:cs="Arial"/>
        </w:rPr>
        <w:t xml:space="preserve">, BNY Mellon </w:t>
      </w:r>
      <w:proofErr w:type="spellStart"/>
      <w:r w:rsidRPr="00EB7874">
        <w:rPr>
          <w:rFonts w:ascii="Arial" w:hAnsi="Arial" w:cs="Arial"/>
        </w:rPr>
        <w:t>CSD</w:t>
      </w:r>
      <w:proofErr w:type="spellEnd"/>
      <w:r w:rsidRPr="00EB7874">
        <w:rPr>
          <w:rFonts w:ascii="Arial" w:hAnsi="Arial" w:cs="Arial"/>
        </w:rPr>
        <w:t xml:space="preserve"> is of the opinion that only material changes to links will be of relevance to the competent authority;</w:t>
      </w:r>
    </w:p>
    <w:p w:rsidR="00EB7874" w:rsidRPr="00EB7874" w:rsidRDefault="00EB7874" w:rsidP="00EB7874">
      <w:pPr>
        <w:numPr>
          <w:ilvl w:val="0"/>
          <w:numId w:val="15"/>
        </w:numPr>
        <w:spacing w:before="0"/>
        <w:jc w:val="both"/>
        <w:rPr>
          <w:rFonts w:ascii="Arial" w:hAnsi="Arial" w:cs="Arial"/>
        </w:rPr>
      </w:pPr>
      <w:r w:rsidRPr="00EB7874">
        <w:rPr>
          <w:rFonts w:ascii="Arial" w:hAnsi="Arial" w:cs="Arial"/>
        </w:rPr>
        <w:t xml:space="preserve">Summary of types of manual intervention, BNY Mellon </w:t>
      </w:r>
      <w:proofErr w:type="spellStart"/>
      <w:r w:rsidRPr="00EB7874">
        <w:rPr>
          <w:rFonts w:ascii="Arial" w:hAnsi="Arial" w:cs="Arial"/>
        </w:rPr>
        <w:t>CSD</w:t>
      </w:r>
      <w:proofErr w:type="spellEnd"/>
      <w:r w:rsidRPr="00EB7874">
        <w:rPr>
          <w:rFonts w:ascii="Arial" w:hAnsi="Arial" w:cs="Arial"/>
        </w:rPr>
        <w:t xml:space="preserve"> is of the opinion that </w:t>
      </w:r>
      <w:proofErr w:type="spellStart"/>
      <w:r w:rsidRPr="00EB7874">
        <w:rPr>
          <w:rFonts w:ascii="Arial" w:hAnsi="Arial" w:cs="Arial"/>
        </w:rPr>
        <w:t>CSDs</w:t>
      </w:r>
      <w:proofErr w:type="spellEnd"/>
      <w:r w:rsidRPr="00EB7874">
        <w:rPr>
          <w:rFonts w:ascii="Arial" w:hAnsi="Arial" w:cs="Arial"/>
        </w:rPr>
        <w:t xml:space="preserve"> shall be required to report those manual interventions that are critical to the settlement efficiency or the stability of the settlement engine;</w:t>
      </w:r>
    </w:p>
    <w:p w:rsidR="00EB7874" w:rsidRPr="00EB7874" w:rsidRDefault="00EB7874" w:rsidP="00EB7874">
      <w:pPr>
        <w:numPr>
          <w:ilvl w:val="0"/>
          <w:numId w:val="15"/>
        </w:numPr>
        <w:spacing w:before="0"/>
        <w:jc w:val="both"/>
        <w:rPr>
          <w:rFonts w:ascii="Arial" w:hAnsi="Arial" w:cs="Arial"/>
        </w:rPr>
      </w:pPr>
      <w:r w:rsidRPr="00EB7874">
        <w:rPr>
          <w:rFonts w:ascii="Arial" w:hAnsi="Arial" w:cs="Arial"/>
        </w:rPr>
        <w:t xml:space="preserve">Information on measures taken to address the identified technical incidents, we are of the opinion that only those technical incidents that are </w:t>
      </w:r>
      <w:proofErr w:type="gramStart"/>
      <w:r w:rsidRPr="00EB7874">
        <w:rPr>
          <w:rFonts w:ascii="Arial" w:hAnsi="Arial" w:cs="Arial"/>
        </w:rPr>
        <w:t>critical/material</w:t>
      </w:r>
      <w:proofErr w:type="gramEnd"/>
      <w:r w:rsidRPr="00EB7874">
        <w:rPr>
          <w:rFonts w:ascii="Arial" w:hAnsi="Arial" w:cs="Arial"/>
        </w:rPr>
        <w:t xml:space="preserve"> to the services provided by </w:t>
      </w:r>
      <w:proofErr w:type="spellStart"/>
      <w:r w:rsidRPr="00EB7874">
        <w:rPr>
          <w:rFonts w:ascii="Arial" w:hAnsi="Arial" w:cs="Arial"/>
        </w:rPr>
        <w:t>CSDs</w:t>
      </w:r>
      <w:proofErr w:type="spellEnd"/>
      <w:r w:rsidRPr="00EB7874">
        <w:rPr>
          <w:rFonts w:ascii="Arial" w:hAnsi="Arial" w:cs="Arial"/>
        </w:rPr>
        <w:t xml:space="preserve">, either core or ancillary, and therefore impacted the settlement engine availability or settlement efficiency would be of relevance to the competent authority.  </w:t>
      </w:r>
    </w:p>
    <w:p w:rsidR="00EB7874" w:rsidRPr="00EB7874" w:rsidRDefault="00EB7874" w:rsidP="00EB7874">
      <w:pPr>
        <w:numPr>
          <w:ilvl w:val="0"/>
          <w:numId w:val="15"/>
        </w:numPr>
        <w:spacing w:before="0"/>
        <w:jc w:val="both"/>
        <w:rPr>
          <w:rFonts w:ascii="Arial" w:hAnsi="Arial" w:cs="Arial"/>
        </w:rPr>
      </w:pPr>
      <w:r w:rsidRPr="00EB7874">
        <w:rPr>
          <w:rFonts w:ascii="Arial" w:hAnsi="Arial" w:cs="Arial"/>
        </w:rPr>
        <w:t>Also, with respect to technical incidents, we would like clarification on</w:t>
      </w:r>
    </w:p>
    <w:p w:rsidR="00EB7874" w:rsidRPr="00EB7874" w:rsidRDefault="00EB7874" w:rsidP="00EB7874">
      <w:pPr>
        <w:pStyle w:val="ListParagraph"/>
        <w:numPr>
          <w:ilvl w:val="0"/>
          <w:numId w:val="18"/>
        </w:numPr>
        <w:jc w:val="both"/>
        <w:rPr>
          <w:rFonts w:ascii="Arial" w:hAnsi="Arial" w:cs="Arial"/>
          <w:lang w:val="en-US"/>
        </w:rPr>
      </w:pPr>
      <w:r w:rsidRPr="00EB7874">
        <w:rPr>
          <w:rFonts w:ascii="Arial" w:hAnsi="Arial" w:cs="Arial"/>
          <w:lang w:val="en-US"/>
        </w:rPr>
        <w:t xml:space="preserve">Which </w:t>
      </w:r>
      <w:proofErr w:type="gramStart"/>
      <w:r w:rsidRPr="00EB7874">
        <w:rPr>
          <w:rFonts w:ascii="Arial" w:hAnsi="Arial" w:cs="Arial"/>
          <w:lang w:val="en-US"/>
        </w:rPr>
        <w:t>type of conflicts of interest are</w:t>
      </w:r>
      <w:proofErr w:type="gramEnd"/>
      <w:r w:rsidRPr="00EB7874">
        <w:rPr>
          <w:rFonts w:ascii="Arial" w:hAnsi="Arial" w:cs="Arial"/>
          <w:lang w:val="en-US"/>
        </w:rPr>
        <w:t xml:space="preserve"> targeted here?</w:t>
      </w:r>
    </w:p>
    <w:p w:rsidR="00EB7874" w:rsidRPr="00EB7874" w:rsidRDefault="00EB7874" w:rsidP="00EB7874">
      <w:pPr>
        <w:pStyle w:val="ListParagraph"/>
        <w:numPr>
          <w:ilvl w:val="0"/>
          <w:numId w:val="18"/>
        </w:numPr>
        <w:jc w:val="both"/>
        <w:rPr>
          <w:rFonts w:ascii="Arial" w:hAnsi="Arial" w:cs="Arial"/>
          <w:lang w:val="en-US"/>
        </w:rPr>
      </w:pPr>
      <w:r w:rsidRPr="00EB7874">
        <w:rPr>
          <w:rFonts w:ascii="Arial" w:hAnsi="Arial" w:cs="Arial"/>
          <w:lang w:val="en-US"/>
        </w:rPr>
        <w:t xml:space="preserve">Which reporting would be expected from </w:t>
      </w:r>
      <w:proofErr w:type="spellStart"/>
      <w:r w:rsidRPr="00EB7874">
        <w:rPr>
          <w:rFonts w:ascii="Arial" w:hAnsi="Arial" w:cs="Arial"/>
          <w:lang w:val="en-US"/>
        </w:rPr>
        <w:t>CSDs</w:t>
      </w:r>
      <w:proofErr w:type="spellEnd"/>
      <w:r w:rsidRPr="00EB7874">
        <w:rPr>
          <w:rFonts w:ascii="Arial" w:hAnsi="Arial" w:cs="Arial"/>
          <w:lang w:val="en-US"/>
        </w:rPr>
        <w:t xml:space="preserve"> when the technical incident took place at the level of a service provider, as it can be that such a service provider will not be subject to </w:t>
      </w:r>
      <w:proofErr w:type="spellStart"/>
      <w:r w:rsidRPr="00EB7874">
        <w:rPr>
          <w:rFonts w:ascii="Arial" w:hAnsi="Arial" w:cs="Arial"/>
          <w:lang w:val="en-US"/>
        </w:rPr>
        <w:t>CSD</w:t>
      </w:r>
      <w:proofErr w:type="spellEnd"/>
      <w:r w:rsidRPr="00EB7874">
        <w:rPr>
          <w:rFonts w:ascii="Arial" w:hAnsi="Arial" w:cs="Arial"/>
          <w:lang w:val="en-US"/>
        </w:rPr>
        <w:t xml:space="preserve"> Regulation</w:t>
      </w:r>
      <w:r>
        <w:rPr>
          <w:rFonts w:ascii="Arial" w:hAnsi="Arial" w:cs="Arial"/>
          <w:lang w:val="en-US"/>
        </w:rPr>
        <w:t>.</w:t>
      </w:r>
    </w:p>
    <w:p w:rsidR="00EB7874" w:rsidRDefault="00EB7874" w:rsidP="00EB7874">
      <w:pPr>
        <w:jc w:val="both"/>
        <w:rPr>
          <w:rFonts w:ascii="Arial" w:hAnsi="Arial" w:cs="Arial"/>
        </w:rPr>
      </w:pPr>
      <w:r w:rsidRPr="00EB7874">
        <w:rPr>
          <w:rFonts w:ascii="Arial" w:hAnsi="Arial" w:cs="Arial"/>
        </w:rPr>
        <w:t xml:space="preserve">BNY Mellon </w:t>
      </w:r>
      <w:proofErr w:type="spellStart"/>
      <w:r w:rsidRPr="00EB7874">
        <w:rPr>
          <w:rFonts w:ascii="Arial" w:hAnsi="Arial" w:cs="Arial"/>
        </w:rPr>
        <w:t>CSD</w:t>
      </w:r>
      <w:proofErr w:type="spellEnd"/>
      <w:r w:rsidRPr="00EB7874">
        <w:rPr>
          <w:rFonts w:ascii="Arial" w:hAnsi="Arial" w:cs="Arial"/>
        </w:rPr>
        <w:t xml:space="preserve"> therefore proposes this article to be redrafted according to the below:</w:t>
      </w:r>
    </w:p>
    <w:p w:rsidR="00EB7874" w:rsidRDefault="00EB7874" w:rsidP="00EB7874">
      <w:pPr>
        <w:spacing w:before="0"/>
        <w:jc w:val="both"/>
        <w:rPr>
          <w:rFonts w:ascii="Arial" w:hAnsi="Arial" w:cs="Arial"/>
          <w:i/>
        </w:rPr>
      </w:pPr>
      <w:r w:rsidRPr="00EB7874">
        <w:rPr>
          <w:rFonts w:ascii="Arial" w:hAnsi="Arial" w:cs="Arial"/>
        </w:rPr>
        <w:t>“</w:t>
      </w:r>
      <w:r w:rsidRPr="00EB7874">
        <w:rPr>
          <w:rFonts w:ascii="Arial" w:hAnsi="Arial" w:cs="Arial"/>
          <w:i/>
        </w:rPr>
        <w:t xml:space="preserve">For each review and evaluation, the </w:t>
      </w:r>
      <w:proofErr w:type="spellStart"/>
      <w:r w:rsidRPr="00EB7874">
        <w:rPr>
          <w:rFonts w:ascii="Arial" w:hAnsi="Arial" w:cs="Arial"/>
          <w:i/>
        </w:rPr>
        <w:t>CSD</w:t>
      </w:r>
      <w:proofErr w:type="spellEnd"/>
      <w:r w:rsidRPr="00EB7874">
        <w:rPr>
          <w:rFonts w:ascii="Arial" w:hAnsi="Arial" w:cs="Arial"/>
          <w:i/>
        </w:rPr>
        <w:t xml:space="preserve"> shall provide to the competent authority, </w:t>
      </w:r>
      <w:r w:rsidRPr="00EB7874">
        <w:rPr>
          <w:rFonts w:ascii="Arial" w:hAnsi="Arial" w:cs="Arial"/>
          <w:b/>
          <w:i/>
        </w:rPr>
        <w:t>where relevant</w:t>
      </w:r>
      <w:r w:rsidRPr="00EB7874">
        <w:rPr>
          <w:rFonts w:ascii="Arial" w:hAnsi="Arial" w:cs="Arial"/>
          <w:i/>
        </w:rPr>
        <w:t xml:space="preserve">: </w:t>
      </w:r>
    </w:p>
    <w:p w:rsidR="00EB7874" w:rsidRPr="00EB7874" w:rsidRDefault="00EB7874" w:rsidP="00EB7874">
      <w:pPr>
        <w:spacing w:before="0"/>
        <w:jc w:val="both"/>
        <w:rPr>
          <w:rFonts w:ascii="Arial" w:hAnsi="Arial" w:cs="Arial"/>
          <w:i/>
        </w:rPr>
      </w:pPr>
      <w:r w:rsidRPr="00EB7874">
        <w:rPr>
          <w:rFonts w:ascii="Arial" w:hAnsi="Arial" w:cs="Arial"/>
          <w:i/>
        </w:rPr>
        <w:t xml:space="preserve">[…] (j) </w:t>
      </w:r>
      <w:proofErr w:type="gramStart"/>
      <w:r w:rsidRPr="00EB7874">
        <w:rPr>
          <w:rFonts w:ascii="Arial" w:hAnsi="Arial" w:cs="Arial"/>
          <w:i/>
        </w:rPr>
        <w:t>information</w:t>
      </w:r>
      <w:proofErr w:type="gramEnd"/>
      <w:r w:rsidRPr="00EB7874">
        <w:rPr>
          <w:rFonts w:ascii="Arial" w:hAnsi="Arial" w:cs="Arial"/>
          <w:i/>
        </w:rPr>
        <w:t xml:space="preserve"> on any </w:t>
      </w:r>
      <w:r w:rsidRPr="00EB7874">
        <w:rPr>
          <w:rFonts w:ascii="Arial" w:hAnsi="Arial" w:cs="Arial"/>
          <w:b/>
          <w:i/>
        </w:rPr>
        <w:t xml:space="preserve">material </w:t>
      </w:r>
      <w:r w:rsidRPr="00EB7874">
        <w:rPr>
          <w:rFonts w:ascii="Arial" w:hAnsi="Arial" w:cs="Arial"/>
          <w:i/>
        </w:rPr>
        <w:t xml:space="preserve">changes affecting any links of the </w:t>
      </w:r>
      <w:proofErr w:type="spellStart"/>
      <w:r w:rsidRPr="00EB7874">
        <w:rPr>
          <w:rFonts w:ascii="Arial" w:hAnsi="Arial" w:cs="Arial"/>
          <w:i/>
        </w:rPr>
        <w:t>CSD</w:t>
      </w:r>
      <w:proofErr w:type="spellEnd"/>
      <w:r w:rsidRPr="00EB7874">
        <w:rPr>
          <w:rFonts w:ascii="Arial" w:hAnsi="Arial" w:cs="Arial"/>
          <w:i/>
        </w:rPr>
        <w:t>, including the mechanisms and procedures used for settlement;</w:t>
      </w:r>
    </w:p>
    <w:p w:rsidR="00EB7874" w:rsidRPr="00EB7874" w:rsidRDefault="00EB7874" w:rsidP="00EB7874">
      <w:pPr>
        <w:spacing w:before="0"/>
        <w:jc w:val="both"/>
        <w:rPr>
          <w:rFonts w:ascii="Arial" w:hAnsi="Arial" w:cs="Arial"/>
          <w:i/>
        </w:rPr>
      </w:pPr>
      <w:r w:rsidRPr="00EB7874">
        <w:rPr>
          <w:rFonts w:ascii="Arial" w:hAnsi="Arial" w:cs="Arial"/>
          <w:i/>
        </w:rPr>
        <w:t xml:space="preserve"> […] (n) </w:t>
      </w:r>
      <w:proofErr w:type="gramStart"/>
      <w:r w:rsidRPr="00EB7874">
        <w:rPr>
          <w:rFonts w:ascii="Arial" w:hAnsi="Arial" w:cs="Arial"/>
          <w:i/>
        </w:rPr>
        <w:t>information</w:t>
      </w:r>
      <w:proofErr w:type="gramEnd"/>
      <w:r w:rsidRPr="00EB7874">
        <w:rPr>
          <w:rFonts w:ascii="Arial" w:hAnsi="Arial" w:cs="Arial"/>
          <w:i/>
        </w:rPr>
        <w:t xml:space="preserve"> on measures taken to address critical technical incidents </w:t>
      </w:r>
      <w:r w:rsidRPr="00EB7874">
        <w:rPr>
          <w:rFonts w:ascii="Arial" w:hAnsi="Arial" w:cs="Arial"/>
          <w:b/>
          <w:i/>
          <w:strike/>
        </w:rPr>
        <w:t>and conflicts of interest</w:t>
      </w:r>
      <w:r w:rsidRPr="00EB7874">
        <w:rPr>
          <w:rFonts w:ascii="Arial" w:hAnsi="Arial" w:cs="Arial"/>
          <w:i/>
        </w:rPr>
        <w:t xml:space="preserve"> as well as the results thereof;</w:t>
      </w:r>
    </w:p>
    <w:p w:rsidR="00EB7874" w:rsidRPr="00EB7874" w:rsidRDefault="00EB7874" w:rsidP="00EB7874">
      <w:pPr>
        <w:spacing w:before="0"/>
        <w:jc w:val="both"/>
        <w:rPr>
          <w:rFonts w:ascii="Arial" w:hAnsi="Arial" w:cs="Arial"/>
          <w:i/>
          <w:strike/>
        </w:rPr>
      </w:pPr>
      <w:r w:rsidRPr="00EB7874">
        <w:rPr>
          <w:rFonts w:ascii="Arial" w:hAnsi="Arial" w:cs="Arial"/>
          <w:i/>
        </w:rPr>
        <w:t>[…] (u)</w:t>
      </w:r>
      <w:r w:rsidRPr="00EB7874">
        <w:rPr>
          <w:rFonts w:ascii="Arial" w:hAnsi="Arial" w:cs="Arial"/>
          <w:i/>
          <w:strike/>
        </w:rPr>
        <w:t xml:space="preserve"> information on any changes to the resolution plan established and maintained for the </w:t>
      </w:r>
      <w:proofErr w:type="spellStart"/>
      <w:r w:rsidRPr="00EB7874">
        <w:rPr>
          <w:rFonts w:ascii="Arial" w:hAnsi="Arial" w:cs="Arial"/>
          <w:i/>
          <w:strike/>
        </w:rPr>
        <w:t>CSD</w:t>
      </w:r>
      <w:proofErr w:type="spellEnd"/>
      <w:r w:rsidRPr="00EB7874">
        <w:rPr>
          <w:rFonts w:ascii="Arial" w:hAnsi="Arial" w:cs="Arial"/>
          <w:i/>
          <w:strike/>
        </w:rPr>
        <w:t xml:space="preserve"> so as to ensure continuity of at least its core functions, having regard to the size, systemic importance, nature, scale and complexity of the activities of the </w:t>
      </w:r>
      <w:proofErr w:type="spellStart"/>
      <w:r w:rsidRPr="00EB7874">
        <w:rPr>
          <w:rFonts w:ascii="Arial" w:hAnsi="Arial" w:cs="Arial"/>
          <w:i/>
          <w:strike/>
        </w:rPr>
        <w:t>CSD</w:t>
      </w:r>
      <w:proofErr w:type="spellEnd"/>
      <w:r w:rsidRPr="00EB7874">
        <w:rPr>
          <w:rFonts w:ascii="Arial" w:hAnsi="Arial" w:cs="Arial"/>
          <w:i/>
          <w:strike/>
        </w:rPr>
        <w:t xml:space="preserve"> concerned, and any relevant resolution plan established in accordance with Directive 2014/59/EU; </w:t>
      </w:r>
    </w:p>
    <w:p w:rsidR="00EB7874" w:rsidRPr="00EB7874" w:rsidRDefault="00EB7874" w:rsidP="00EB7874">
      <w:pPr>
        <w:spacing w:before="0" w:after="240"/>
        <w:jc w:val="both"/>
        <w:rPr>
          <w:rFonts w:ascii="Arial" w:hAnsi="Arial" w:cs="Arial"/>
          <w:i/>
        </w:rPr>
      </w:pPr>
      <w:r w:rsidRPr="00EB7874">
        <w:rPr>
          <w:rFonts w:ascii="Arial" w:hAnsi="Arial" w:cs="Arial"/>
          <w:i/>
        </w:rPr>
        <w:t xml:space="preserve">(u) in cases where the competent authority is also the resolution authority of the </w:t>
      </w:r>
      <w:proofErr w:type="spellStart"/>
      <w:r w:rsidRPr="00EB7874">
        <w:rPr>
          <w:rFonts w:ascii="Arial" w:hAnsi="Arial" w:cs="Arial"/>
          <w:i/>
        </w:rPr>
        <w:t>CSD</w:t>
      </w:r>
      <w:proofErr w:type="spellEnd"/>
      <w:r w:rsidRPr="00EB7874">
        <w:rPr>
          <w:rFonts w:ascii="Arial" w:hAnsi="Arial" w:cs="Arial"/>
          <w:i/>
        </w:rPr>
        <w:t xml:space="preserve">, any information deemed necessary to ensure that the resolution plan established and maintained by the resolution authority ensures the continuity of at least the </w:t>
      </w:r>
      <w:proofErr w:type="spellStart"/>
      <w:r w:rsidRPr="00EB7874">
        <w:rPr>
          <w:rFonts w:ascii="Arial" w:hAnsi="Arial" w:cs="Arial"/>
          <w:i/>
        </w:rPr>
        <w:t>CSD</w:t>
      </w:r>
      <w:proofErr w:type="spellEnd"/>
      <w:r w:rsidRPr="00EB7874">
        <w:rPr>
          <w:rFonts w:ascii="Arial" w:hAnsi="Arial" w:cs="Arial"/>
          <w:i/>
        </w:rPr>
        <w:t xml:space="preserve"> core functions, having regard to the size, systemic importance, nature, scale and complexity of the activities of the </w:t>
      </w:r>
      <w:proofErr w:type="spellStart"/>
      <w:r w:rsidRPr="00EB7874">
        <w:rPr>
          <w:rFonts w:ascii="Arial" w:hAnsi="Arial" w:cs="Arial"/>
          <w:i/>
        </w:rPr>
        <w:t>CSD</w:t>
      </w:r>
      <w:proofErr w:type="spellEnd"/>
      <w:r w:rsidRPr="00EB7874">
        <w:rPr>
          <w:rFonts w:ascii="Arial" w:hAnsi="Arial" w:cs="Arial"/>
          <w:i/>
        </w:rPr>
        <w:t xml:space="preserve"> concerned, including any relevant resolution plan established in accordance with Directive 2014/59/EU;”</w:t>
      </w:r>
    </w:p>
    <w:p w:rsidR="00EB7874" w:rsidRPr="00EB7874" w:rsidRDefault="00EB7874" w:rsidP="00EB7874">
      <w:pPr>
        <w:numPr>
          <w:ilvl w:val="0"/>
          <w:numId w:val="4"/>
        </w:numPr>
        <w:spacing w:before="0"/>
        <w:jc w:val="both"/>
        <w:rPr>
          <w:rFonts w:ascii="Arial" w:hAnsi="Arial" w:cs="Arial"/>
          <w:u w:val="dotDash"/>
        </w:rPr>
      </w:pPr>
      <w:r w:rsidRPr="00EB7874">
        <w:rPr>
          <w:rFonts w:ascii="Arial" w:hAnsi="Arial" w:cs="Arial"/>
          <w:u w:val="dotDash"/>
        </w:rPr>
        <w:t>Art. 42 – Statistical data</w:t>
      </w:r>
    </w:p>
    <w:p w:rsidR="00EB7874" w:rsidRPr="00EB7874" w:rsidRDefault="00EB7874" w:rsidP="00EB7874">
      <w:pPr>
        <w:jc w:val="both"/>
        <w:rPr>
          <w:rFonts w:ascii="Arial" w:hAnsi="Arial" w:cs="Arial"/>
        </w:rPr>
      </w:pPr>
      <w:r w:rsidRPr="00EB7874">
        <w:rPr>
          <w:rFonts w:ascii="Arial" w:hAnsi="Arial" w:cs="Arial"/>
        </w:rPr>
        <w:t xml:space="preserve">As a general comment, BNY Mellon </w:t>
      </w:r>
      <w:proofErr w:type="spellStart"/>
      <w:r w:rsidRPr="00EB7874">
        <w:rPr>
          <w:rFonts w:ascii="Arial" w:hAnsi="Arial" w:cs="Arial"/>
        </w:rPr>
        <w:t>CSD</w:t>
      </w:r>
      <w:proofErr w:type="spellEnd"/>
      <w:r w:rsidRPr="00EB7874">
        <w:rPr>
          <w:rFonts w:ascii="Arial" w:hAnsi="Arial" w:cs="Arial"/>
        </w:rPr>
        <w:t xml:space="preserve"> would like to stress that:</w:t>
      </w:r>
    </w:p>
    <w:p w:rsidR="00EB7874" w:rsidRPr="00EB7874" w:rsidRDefault="00EB7874" w:rsidP="00EB7874">
      <w:pPr>
        <w:numPr>
          <w:ilvl w:val="0"/>
          <w:numId w:val="16"/>
        </w:numPr>
        <w:spacing w:before="0"/>
        <w:jc w:val="both"/>
        <w:rPr>
          <w:rFonts w:ascii="Arial" w:hAnsi="Arial" w:cs="Arial"/>
        </w:rPr>
      </w:pPr>
      <w:r w:rsidRPr="00EB7874">
        <w:rPr>
          <w:rFonts w:ascii="Arial" w:hAnsi="Arial" w:cs="Arial"/>
        </w:rPr>
        <w:t xml:space="preserve">Regulation (EU) </w:t>
      </w:r>
      <w:proofErr w:type="spellStart"/>
      <w:r w:rsidRPr="00EB7874">
        <w:rPr>
          <w:rFonts w:ascii="Arial" w:hAnsi="Arial" w:cs="Arial"/>
        </w:rPr>
        <w:t>N°909</w:t>
      </w:r>
      <w:proofErr w:type="spellEnd"/>
      <w:r w:rsidRPr="00EB7874">
        <w:rPr>
          <w:rFonts w:ascii="Arial" w:hAnsi="Arial" w:cs="Arial"/>
        </w:rPr>
        <w:t xml:space="preserve">/2014 only requires ESMA to develop regulatory technical standards to specify the information that the </w:t>
      </w:r>
      <w:proofErr w:type="spellStart"/>
      <w:r w:rsidRPr="00EB7874">
        <w:rPr>
          <w:rFonts w:ascii="Arial" w:hAnsi="Arial" w:cs="Arial"/>
        </w:rPr>
        <w:t>CSD</w:t>
      </w:r>
      <w:proofErr w:type="spellEnd"/>
      <w:r w:rsidRPr="00EB7874">
        <w:rPr>
          <w:rFonts w:ascii="Arial" w:hAnsi="Arial" w:cs="Arial"/>
        </w:rPr>
        <w:t xml:space="preserve"> is to provide to the competent authority for the purpose of the review and evaluation as referred in </w:t>
      </w:r>
      <w:proofErr w:type="spellStart"/>
      <w:r w:rsidRPr="00EB7874">
        <w:rPr>
          <w:rFonts w:ascii="Arial" w:hAnsi="Arial" w:cs="Arial"/>
        </w:rPr>
        <w:t>art.22</w:t>
      </w:r>
      <w:proofErr w:type="spellEnd"/>
      <w:r w:rsidRPr="00EB7874">
        <w:rPr>
          <w:rFonts w:ascii="Arial" w:hAnsi="Arial" w:cs="Arial"/>
        </w:rPr>
        <w:t xml:space="preserve"> of the </w:t>
      </w:r>
      <w:proofErr w:type="spellStart"/>
      <w:r w:rsidRPr="00EB7874">
        <w:rPr>
          <w:rFonts w:ascii="Arial" w:hAnsi="Arial" w:cs="Arial"/>
        </w:rPr>
        <w:t>CSD</w:t>
      </w:r>
      <w:proofErr w:type="spellEnd"/>
      <w:r w:rsidRPr="00EB7874">
        <w:rPr>
          <w:rFonts w:ascii="Arial" w:hAnsi="Arial" w:cs="Arial"/>
        </w:rPr>
        <w:t xml:space="preserve"> Regulation; we are therefore of the opinion that the statistical data as defined under </w:t>
      </w:r>
      <w:proofErr w:type="spellStart"/>
      <w:r w:rsidRPr="00EB7874">
        <w:rPr>
          <w:rFonts w:ascii="Arial" w:hAnsi="Arial" w:cs="Arial"/>
        </w:rPr>
        <w:t>art.42</w:t>
      </w:r>
      <w:proofErr w:type="spellEnd"/>
      <w:r w:rsidRPr="00EB7874">
        <w:rPr>
          <w:rFonts w:ascii="Arial" w:hAnsi="Arial" w:cs="Arial"/>
        </w:rPr>
        <w:t xml:space="preserve"> are disproportionate to the objective pursued by </w:t>
      </w:r>
      <w:proofErr w:type="spellStart"/>
      <w:r w:rsidRPr="00EB7874">
        <w:rPr>
          <w:rFonts w:ascii="Arial" w:hAnsi="Arial" w:cs="Arial"/>
        </w:rPr>
        <w:t>art.22</w:t>
      </w:r>
      <w:proofErr w:type="spellEnd"/>
      <w:r w:rsidRPr="00EB7874">
        <w:rPr>
          <w:rFonts w:ascii="Arial" w:hAnsi="Arial" w:cs="Arial"/>
        </w:rPr>
        <w:t xml:space="preserve"> of Regulation (EU) </w:t>
      </w:r>
      <w:proofErr w:type="spellStart"/>
      <w:r w:rsidRPr="00EB7874">
        <w:rPr>
          <w:rFonts w:ascii="Arial" w:hAnsi="Arial" w:cs="Arial"/>
        </w:rPr>
        <w:t>N°909</w:t>
      </w:r>
      <w:proofErr w:type="spellEnd"/>
      <w:r w:rsidRPr="00EB7874">
        <w:rPr>
          <w:rFonts w:ascii="Arial" w:hAnsi="Arial" w:cs="Arial"/>
        </w:rPr>
        <w:t>/2014</w:t>
      </w:r>
    </w:p>
    <w:p w:rsidR="00EB7874" w:rsidRPr="00EB7874" w:rsidRDefault="00EB7874" w:rsidP="00EB7874">
      <w:pPr>
        <w:numPr>
          <w:ilvl w:val="0"/>
          <w:numId w:val="16"/>
        </w:numPr>
        <w:spacing w:before="0"/>
        <w:jc w:val="both"/>
        <w:rPr>
          <w:rFonts w:ascii="Arial" w:hAnsi="Arial" w:cs="Arial"/>
        </w:rPr>
      </w:pPr>
      <w:proofErr w:type="spellStart"/>
      <w:r w:rsidRPr="00EB7874">
        <w:rPr>
          <w:rFonts w:ascii="Arial" w:hAnsi="Arial" w:cs="Arial"/>
        </w:rPr>
        <w:t>CSDs</w:t>
      </w:r>
      <w:proofErr w:type="spellEnd"/>
      <w:r w:rsidRPr="00EB7874">
        <w:rPr>
          <w:rFonts w:ascii="Arial" w:hAnsi="Arial" w:cs="Arial"/>
        </w:rPr>
        <w:t xml:space="preserve"> are already subject to reporting obligation on statistical data to </w:t>
      </w:r>
      <w:proofErr w:type="spellStart"/>
      <w:r w:rsidRPr="00EB7874">
        <w:rPr>
          <w:rFonts w:ascii="Arial" w:hAnsi="Arial" w:cs="Arial"/>
        </w:rPr>
        <w:t>ESCB</w:t>
      </w:r>
      <w:proofErr w:type="spellEnd"/>
      <w:r w:rsidRPr="00EB7874">
        <w:rPr>
          <w:rFonts w:ascii="Arial" w:hAnsi="Arial" w:cs="Arial"/>
        </w:rPr>
        <w:t xml:space="preserve"> central banks.</w:t>
      </w:r>
    </w:p>
    <w:p w:rsidR="00EB7874" w:rsidRPr="00EB7874" w:rsidRDefault="00EB7874" w:rsidP="00EB7874">
      <w:pPr>
        <w:jc w:val="both"/>
        <w:rPr>
          <w:rFonts w:ascii="Arial" w:hAnsi="Arial" w:cs="Arial"/>
        </w:rPr>
      </w:pPr>
      <w:r w:rsidRPr="00EB7874">
        <w:rPr>
          <w:rFonts w:ascii="Arial" w:hAnsi="Arial" w:cs="Arial"/>
        </w:rPr>
        <w:t>In addition, we are of the opinion to several statistical data as required under art. 42 are difficult to provide or unclear:</w:t>
      </w:r>
    </w:p>
    <w:p w:rsidR="00EB7874" w:rsidRPr="00EB7874" w:rsidRDefault="00EB7874" w:rsidP="00EB7874">
      <w:pPr>
        <w:numPr>
          <w:ilvl w:val="0"/>
          <w:numId w:val="17"/>
        </w:numPr>
        <w:spacing w:before="0"/>
        <w:jc w:val="both"/>
        <w:rPr>
          <w:rFonts w:ascii="Arial" w:hAnsi="Arial" w:cs="Arial"/>
        </w:rPr>
      </w:pPr>
      <w:r w:rsidRPr="00EB7874">
        <w:rPr>
          <w:rFonts w:ascii="Arial" w:hAnsi="Arial" w:cs="Arial"/>
        </w:rPr>
        <w:t xml:space="preserve">Provision of nominal value and market value of securities maintained/centrally maintained </w:t>
      </w:r>
      <w:r w:rsidRPr="00EB7874">
        <w:rPr>
          <w:rFonts w:ascii="Arial" w:hAnsi="Arial" w:cs="Arial"/>
          <w:b/>
        </w:rPr>
        <w:t>by asset class</w:t>
      </w:r>
      <w:r w:rsidRPr="00EB7874">
        <w:rPr>
          <w:rFonts w:ascii="Arial" w:hAnsi="Arial" w:cs="Arial"/>
        </w:rPr>
        <w:t xml:space="preserve">: if no </w:t>
      </w:r>
      <w:proofErr w:type="spellStart"/>
      <w:r w:rsidRPr="00EB7874">
        <w:rPr>
          <w:rFonts w:ascii="Arial" w:hAnsi="Arial" w:cs="Arial"/>
        </w:rPr>
        <w:t>harmonisation</w:t>
      </w:r>
      <w:proofErr w:type="spellEnd"/>
      <w:r w:rsidRPr="00EB7874">
        <w:rPr>
          <w:rFonts w:ascii="Arial" w:hAnsi="Arial" w:cs="Arial"/>
        </w:rPr>
        <w:t xml:space="preserve"> on the different asset classes is implemented across </w:t>
      </w:r>
      <w:proofErr w:type="spellStart"/>
      <w:r w:rsidRPr="00EB7874">
        <w:rPr>
          <w:rFonts w:ascii="Arial" w:hAnsi="Arial" w:cs="Arial"/>
        </w:rPr>
        <w:t>CSDs</w:t>
      </w:r>
      <w:proofErr w:type="spellEnd"/>
      <w:r w:rsidRPr="00EB7874">
        <w:rPr>
          <w:rFonts w:ascii="Arial" w:hAnsi="Arial" w:cs="Arial"/>
        </w:rPr>
        <w:t xml:space="preserve">, we are of the opinion that such a reporting will be meaningless; in parallel, we are unclear on the process to ensure that each and every </w:t>
      </w:r>
      <w:proofErr w:type="spellStart"/>
      <w:r w:rsidRPr="00EB7874">
        <w:rPr>
          <w:rFonts w:ascii="Arial" w:hAnsi="Arial" w:cs="Arial"/>
        </w:rPr>
        <w:t>ISIN</w:t>
      </w:r>
      <w:proofErr w:type="spellEnd"/>
      <w:r w:rsidRPr="00EB7874">
        <w:rPr>
          <w:rFonts w:ascii="Arial" w:hAnsi="Arial" w:cs="Arial"/>
        </w:rPr>
        <w:t xml:space="preserve"> will be assigned the same asset class classification if such a process is not centrally maintained.</w:t>
      </w:r>
    </w:p>
    <w:p w:rsidR="00EB7874" w:rsidRPr="00EB7874" w:rsidRDefault="00EB7874" w:rsidP="00EB7874">
      <w:pPr>
        <w:ind w:left="1080"/>
        <w:jc w:val="both"/>
        <w:rPr>
          <w:rFonts w:ascii="Arial" w:hAnsi="Arial" w:cs="Arial"/>
        </w:rPr>
      </w:pPr>
    </w:p>
    <w:p w:rsidR="00EB7874" w:rsidRPr="00EB7874" w:rsidRDefault="00EB7874" w:rsidP="00EB7874">
      <w:pPr>
        <w:numPr>
          <w:ilvl w:val="0"/>
          <w:numId w:val="17"/>
        </w:numPr>
        <w:spacing w:before="0"/>
        <w:jc w:val="both"/>
        <w:rPr>
          <w:rFonts w:ascii="Arial" w:hAnsi="Arial" w:cs="Arial"/>
        </w:rPr>
      </w:pPr>
      <w:r w:rsidRPr="00EB7874">
        <w:rPr>
          <w:rFonts w:ascii="Arial" w:hAnsi="Arial" w:cs="Arial"/>
        </w:rPr>
        <w:lastRenderedPageBreak/>
        <w:t xml:space="preserve">Provision of nominal value and market value: we are uncertain on how </w:t>
      </w:r>
      <w:proofErr w:type="spellStart"/>
      <w:r w:rsidRPr="00EB7874">
        <w:rPr>
          <w:rFonts w:ascii="Arial" w:hAnsi="Arial" w:cs="Arial"/>
        </w:rPr>
        <w:t>CSDs</w:t>
      </w:r>
      <w:proofErr w:type="spellEnd"/>
      <w:r w:rsidRPr="00EB7874">
        <w:rPr>
          <w:rFonts w:ascii="Arial" w:hAnsi="Arial" w:cs="Arial"/>
        </w:rPr>
        <w:t xml:space="preserve"> would be in a position to provide with a market value on some specific instruments (for instance private issued securities).</w:t>
      </w:r>
    </w:p>
    <w:p w:rsidR="00EB7874" w:rsidRPr="00EB7874" w:rsidRDefault="00EB7874" w:rsidP="00EB7874">
      <w:pPr>
        <w:numPr>
          <w:ilvl w:val="0"/>
          <w:numId w:val="17"/>
        </w:numPr>
        <w:spacing w:before="0"/>
        <w:jc w:val="both"/>
        <w:rPr>
          <w:rFonts w:ascii="Arial" w:hAnsi="Arial" w:cs="Arial"/>
        </w:rPr>
      </w:pPr>
      <w:r w:rsidRPr="00EB7874">
        <w:rPr>
          <w:rFonts w:ascii="Arial" w:hAnsi="Arial" w:cs="Arial"/>
        </w:rPr>
        <w:t xml:space="preserve">Provision of nominal value and market value of securities maintained/centrally maintained </w:t>
      </w:r>
      <w:r w:rsidRPr="00EB7874">
        <w:rPr>
          <w:rFonts w:ascii="Arial" w:hAnsi="Arial" w:cs="Arial"/>
          <w:b/>
        </w:rPr>
        <w:t xml:space="preserve">by country of incorporation of the participant/issuer: </w:t>
      </w:r>
      <w:r w:rsidRPr="00EB7874">
        <w:rPr>
          <w:rFonts w:ascii="Arial" w:hAnsi="Arial" w:cs="Arial"/>
        </w:rPr>
        <w:t xml:space="preserve">we are uncertain on the relevance of such criteria for statistical purpose. Moreover, in some instances, </w:t>
      </w:r>
      <w:proofErr w:type="spellStart"/>
      <w:r w:rsidRPr="00EB7874">
        <w:rPr>
          <w:rFonts w:ascii="Arial" w:hAnsi="Arial" w:cs="Arial"/>
        </w:rPr>
        <w:t>CSDs</w:t>
      </w:r>
      <w:proofErr w:type="spellEnd"/>
      <w:r w:rsidRPr="00EB7874">
        <w:rPr>
          <w:rFonts w:ascii="Arial" w:hAnsi="Arial" w:cs="Arial"/>
        </w:rPr>
        <w:t xml:space="preserve"> are just not informed on the country of incorporation of the issuer.</w:t>
      </w:r>
    </w:p>
    <w:p w:rsidR="00EB7874" w:rsidRPr="00EB7874" w:rsidRDefault="00EB7874" w:rsidP="00EB7874">
      <w:pPr>
        <w:numPr>
          <w:ilvl w:val="0"/>
          <w:numId w:val="17"/>
        </w:numPr>
        <w:spacing w:before="0"/>
        <w:jc w:val="both"/>
        <w:rPr>
          <w:rFonts w:ascii="Arial" w:hAnsi="Arial" w:cs="Arial"/>
        </w:rPr>
      </w:pPr>
      <w:r w:rsidRPr="00EB7874">
        <w:rPr>
          <w:rFonts w:ascii="Arial" w:hAnsi="Arial" w:cs="Arial"/>
        </w:rPr>
        <w:t xml:space="preserve">Number, nominal value and market value of buy-in transaction: </w:t>
      </w:r>
      <w:proofErr w:type="spellStart"/>
      <w:r w:rsidRPr="00EB7874">
        <w:rPr>
          <w:rFonts w:ascii="Arial" w:hAnsi="Arial" w:cs="Arial"/>
        </w:rPr>
        <w:t>CSDs</w:t>
      </w:r>
      <w:proofErr w:type="spellEnd"/>
      <w:r w:rsidRPr="00EB7874">
        <w:rPr>
          <w:rFonts w:ascii="Arial" w:hAnsi="Arial" w:cs="Arial"/>
        </w:rPr>
        <w:t xml:space="preserve"> will only be able to provide with such information when such requirements will be enforceable and where such information will be available (see our comments on the buy-in regime under question 7 and 23).</w:t>
      </w:r>
    </w:p>
    <w:p w:rsidR="000A04E5" w:rsidRDefault="000A04E5" w:rsidP="00292847">
      <w:pPr>
        <w:autoSpaceDE w:val="0"/>
        <w:autoSpaceDN w:val="0"/>
        <w:adjustRightInd w:val="0"/>
        <w:spacing w:before="0"/>
        <w:jc w:val="both"/>
        <w:rPr>
          <w:rFonts w:ascii="Arial" w:hAnsi="Arial" w:cs="Arial"/>
        </w:rPr>
      </w:pPr>
    </w:p>
    <w:p w:rsidR="000A04E5" w:rsidRPr="000A04E5" w:rsidRDefault="00292847" w:rsidP="000A04E5">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Q20</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banking type of ancillary services (Chapter VI of Annex II) and draft ITS on banking type of ancillary services (Chapter IV of Annex VI)? </w:t>
      </w:r>
      <w:r w:rsidR="000A04E5" w:rsidRPr="000A04E5">
        <w:rPr>
          <w:rFonts w:ascii="Arial" w:hAnsi="Arial" w:cs="Arial"/>
        </w:rPr>
        <w:t xml:space="preserve">BNY Mellon </w:t>
      </w:r>
      <w:proofErr w:type="spellStart"/>
      <w:r w:rsidR="000A04E5" w:rsidRPr="000A04E5">
        <w:rPr>
          <w:rFonts w:ascii="Arial" w:hAnsi="Arial" w:cs="Arial"/>
        </w:rPr>
        <w:t>CSD</w:t>
      </w:r>
      <w:proofErr w:type="spellEnd"/>
      <w:r w:rsidR="000A04E5" w:rsidRPr="000A04E5">
        <w:rPr>
          <w:rFonts w:ascii="Arial" w:hAnsi="Arial" w:cs="Arial"/>
        </w:rPr>
        <w:t xml:space="preserve"> would like to clarify that our understanding of art. 50 (3</w:t>
      </w:r>
      <w:proofErr w:type="gramStart"/>
      <w:r w:rsidR="000A04E5" w:rsidRPr="000A04E5">
        <w:rPr>
          <w:rFonts w:ascii="Arial" w:hAnsi="Arial" w:cs="Arial"/>
        </w:rPr>
        <w:t>)(</w:t>
      </w:r>
      <w:proofErr w:type="gramEnd"/>
      <w:r w:rsidR="000A04E5" w:rsidRPr="000A04E5">
        <w:rPr>
          <w:rFonts w:ascii="Arial" w:hAnsi="Arial" w:cs="Arial"/>
        </w:rPr>
        <w:t xml:space="preserve">l)(ii), </w:t>
      </w:r>
      <w:proofErr w:type="spellStart"/>
      <w:r w:rsidR="000A04E5" w:rsidRPr="000A04E5">
        <w:rPr>
          <w:rFonts w:ascii="Arial" w:hAnsi="Arial" w:cs="Arial"/>
        </w:rPr>
        <w:t>ie</w:t>
      </w:r>
      <w:proofErr w:type="spellEnd"/>
      <w:r w:rsidR="000A04E5" w:rsidRPr="000A04E5">
        <w:rPr>
          <w:rFonts w:ascii="Arial" w:hAnsi="Arial" w:cs="Arial"/>
        </w:rPr>
        <w:t xml:space="preserve"> “</w:t>
      </w:r>
      <w:r w:rsidR="000A04E5" w:rsidRPr="000A04E5">
        <w:rPr>
          <w:rFonts w:ascii="Arial" w:hAnsi="Arial" w:cs="Arial"/>
          <w:i/>
        </w:rPr>
        <w:t xml:space="preserve">a programme of operations ...The programme of operations shall include a formal written commitment by the designated credit institution that: </w:t>
      </w:r>
    </w:p>
    <w:p w:rsidR="000A04E5" w:rsidRPr="000A04E5" w:rsidRDefault="000A04E5" w:rsidP="000A04E5">
      <w:pPr>
        <w:jc w:val="both"/>
        <w:rPr>
          <w:rFonts w:ascii="Arial" w:hAnsi="Arial" w:cs="Arial"/>
          <w:i/>
        </w:rPr>
      </w:pPr>
      <w:r w:rsidRPr="000A04E5">
        <w:rPr>
          <w:rFonts w:ascii="Arial" w:hAnsi="Arial" w:cs="Arial"/>
          <w:i/>
        </w:rPr>
        <w:t>(</w:t>
      </w:r>
      <w:proofErr w:type="spellStart"/>
      <w:r w:rsidRPr="000A04E5">
        <w:rPr>
          <w:rFonts w:ascii="Arial" w:hAnsi="Arial" w:cs="Arial"/>
          <w:i/>
        </w:rPr>
        <w:t>i</w:t>
      </w:r>
      <w:proofErr w:type="spellEnd"/>
      <w:r w:rsidRPr="000A04E5">
        <w:rPr>
          <w:rFonts w:ascii="Arial" w:hAnsi="Arial" w:cs="Arial"/>
          <w:i/>
        </w:rPr>
        <w:t xml:space="preserve">) </w:t>
      </w:r>
      <w:proofErr w:type="gramStart"/>
      <w:r w:rsidRPr="000A04E5">
        <w:rPr>
          <w:rFonts w:ascii="Arial" w:hAnsi="Arial" w:cs="Arial"/>
          <w:i/>
        </w:rPr>
        <w:t>the</w:t>
      </w:r>
      <w:proofErr w:type="gramEnd"/>
      <w:r w:rsidRPr="000A04E5">
        <w:rPr>
          <w:rFonts w:ascii="Arial" w:hAnsi="Arial" w:cs="Arial"/>
          <w:i/>
        </w:rPr>
        <w:t xml:space="preserve"> credit institution shall not itself carry out any of the core </w:t>
      </w:r>
      <w:proofErr w:type="spellStart"/>
      <w:r w:rsidRPr="000A04E5">
        <w:rPr>
          <w:rFonts w:ascii="Arial" w:hAnsi="Arial" w:cs="Arial"/>
          <w:i/>
        </w:rPr>
        <w:t>CSD</w:t>
      </w:r>
      <w:proofErr w:type="spellEnd"/>
      <w:r w:rsidRPr="000A04E5">
        <w:rPr>
          <w:rFonts w:ascii="Arial" w:hAnsi="Arial" w:cs="Arial"/>
          <w:i/>
        </w:rPr>
        <w:t xml:space="preserve"> services referred to in Section A of the Annex to Regulation (EU) No 909/2014; </w:t>
      </w:r>
    </w:p>
    <w:p w:rsidR="000A04E5" w:rsidRPr="000A04E5" w:rsidRDefault="000A04E5" w:rsidP="000A04E5">
      <w:pPr>
        <w:spacing w:before="0"/>
        <w:jc w:val="both"/>
        <w:rPr>
          <w:rFonts w:ascii="Arial" w:hAnsi="Arial" w:cs="Arial"/>
          <w:i/>
        </w:rPr>
      </w:pPr>
      <w:r w:rsidRPr="000A04E5">
        <w:rPr>
          <w:rFonts w:ascii="Arial" w:hAnsi="Arial" w:cs="Arial"/>
          <w:i/>
        </w:rPr>
        <w:t xml:space="preserve">(ii) </w:t>
      </w:r>
      <w:proofErr w:type="gramStart"/>
      <w:r w:rsidRPr="000A04E5">
        <w:rPr>
          <w:rFonts w:ascii="Arial" w:hAnsi="Arial" w:cs="Arial"/>
          <w:b/>
          <w:i/>
        </w:rPr>
        <w:t>the</w:t>
      </w:r>
      <w:proofErr w:type="gramEnd"/>
      <w:r w:rsidRPr="000A04E5">
        <w:rPr>
          <w:rFonts w:ascii="Arial" w:hAnsi="Arial" w:cs="Arial"/>
          <w:b/>
          <w:i/>
        </w:rPr>
        <w:t xml:space="preserve"> </w:t>
      </w:r>
      <w:proofErr w:type="spellStart"/>
      <w:r w:rsidRPr="000A04E5">
        <w:rPr>
          <w:rFonts w:ascii="Arial" w:hAnsi="Arial" w:cs="Arial"/>
          <w:b/>
          <w:i/>
        </w:rPr>
        <w:t>authorisation</w:t>
      </w:r>
      <w:proofErr w:type="spellEnd"/>
      <w:r w:rsidRPr="000A04E5">
        <w:rPr>
          <w:rFonts w:ascii="Arial" w:hAnsi="Arial" w:cs="Arial"/>
          <w:b/>
          <w:i/>
        </w:rPr>
        <w:t xml:space="preserve"> referred to in point (b) of Article 54(2) of Regulation (EU) No 909/2014 shall be used only to provide the banking-type ancillary services and not to carry out any other activities</w:t>
      </w:r>
      <w:r w:rsidRPr="000A04E5">
        <w:rPr>
          <w:rFonts w:ascii="Arial" w:hAnsi="Arial" w:cs="Arial"/>
          <w:i/>
        </w:rPr>
        <w:t xml:space="preserve">;” </w:t>
      </w:r>
    </w:p>
    <w:p w:rsidR="000A04E5" w:rsidRDefault="000A04E5" w:rsidP="00166520">
      <w:pPr>
        <w:jc w:val="both"/>
        <w:rPr>
          <w:rFonts w:ascii="Arial" w:hAnsi="Arial" w:cs="Arial"/>
        </w:rPr>
      </w:pPr>
      <w:proofErr w:type="gramStart"/>
      <w:r w:rsidRPr="000A04E5">
        <w:rPr>
          <w:rFonts w:ascii="Arial" w:hAnsi="Arial" w:cs="Arial"/>
        </w:rPr>
        <w:t>is</w:t>
      </w:r>
      <w:proofErr w:type="gramEnd"/>
      <w:r w:rsidRPr="000A04E5">
        <w:rPr>
          <w:rFonts w:ascii="Arial" w:hAnsi="Arial" w:cs="Arial"/>
        </w:rPr>
        <w:t xml:space="preserve"> that the designated credit institutions would be allowed to perform non-banking-type ancillary services, for instance those services covered under Section B of the Annex the </w:t>
      </w:r>
      <w:proofErr w:type="spellStart"/>
      <w:r w:rsidRPr="000A04E5">
        <w:rPr>
          <w:rFonts w:ascii="Arial" w:hAnsi="Arial" w:cs="Arial"/>
        </w:rPr>
        <w:t>CSD</w:t>
      </w:r>
      <w:proofErr w:type="spellEnd"/>
      <w:r w:rsidRPr="000A04E5">
        <w:rPr>
          <w:rFonts w:ascii="Arial" w:hAnsi="Arial" w:cs="Arial"/>
        </w:rPr>
        <w:t xml:space="preserve"> Regulation.</w:t>
      </w:r>
    </w:p>
    <w:p w:rsidR="00166520" w:rsidRPr="00166520" w:rsidRDefault="00166520" w:rsidP="00166520">
      <w:pPr>
        <w:jc w:val="both"/>
        <w:rPr>
          <w:rFonts w:ascii="Arial" w:hAnsi="Arial" w:cs="Arial"/>
        </w:rPr>
      </w:pPr>
    </w:p>
    <w:p w:rsidR="00166520" w:rsidRDefault="00292847" w:rsidP="00166520">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Q22</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risk monitoring tools (Chapter III of Annex III)? </w:t>
      </w:r>
    </w:p>
    <w:p w:rsidR="00166520" w:rsidRPr="00166520" w:rsidRDefault="00166520" w:rsidP="00166520">
      <w:pPr>
        <w:autoSpaceDE w:val="0"/>
        <w:autoSpaceDN w:val="0"/>
        <w:adjustRightInd w:val="0"/>
        <w:spacing w:before="0"/>
        <w:jc w:val="both"/>
        <w:rPr>
          <w:rFonts w:ascii="Arial" w:hAnsi="Arial" w:cs="Arial"/>
          <w:b/>
          <w:bCs/>
          <w:color w:val="000000"/>
          <w:lang w:val="en-GB" w:eastAsia="en-GB"/>
        </w:rPr>
      </w:pPr>
    </w:p>
    <w:p w:rsidR="00166520" w:rsidRPr="00166520" w:rsidRDefault="00166520" w:rsidP="00166520">
      <w:pPr>
        <w:numPr>
          <w:ilvl w:val="0"/>
          <w:numId w:val="4"/>
        </w:numPr>
        <w:spacing w:before="0"/>
        <w:rPr>
          <w:rFonts w:ascii="Arial" w:hAnsi="Arial" w:cs="Arial"/>
          <w:u w:val="dotDash"/>
        </w:rPr>
      </w:pPr>
      <w:r w:rsidRPr="00166520">
        <w:rPr>
          <w:rFonts w:ascii="Arial" w:hAnsi="Arial" w:cs="Arial"/>
          <w:u w:val="dotDash"/>
        </w:rPr>
        <w:t xml:space="preserve">Art. 5 – </w:t>
      </w:r>
      <w:proofErr w:type="spellStart"/>
      <w:r w:rsidRPr="00166520">
        <w:rPr>
          <w:rFonts w:ascii="Arial" w:hAnsi="Arial" w:cs="Arial"/>
          <w:u w:val="dotDash"/>
        </w:rPr>
        <w:t>Organisational</w:t>
      </w:r>
      <w:proofErr w:type="spellEnd"/>
      <w:r w:rsidRPr="00166520">
        <w:rPr>
          <w:rFonts w:ascii="Arial" w:hAnsi="Arial" w:cs="Arial"/>
          <w:u w:val="dotDash"/>
        </w:rPr>
        <w:t xml:space="preserve"> structure</w:t>
      </w:r>
    </w:p>
    <w:p w:rsidR="00166520" w:rsidRDefault="00166520" w:rsidP="00166520">
      <w:pPr>
        <w:jc w:val="both"/>
        <w:rPr>
          <w:rFonts w:ascii="Arial" w:hAnsi="Arial" w:cs="Arial"/>
        </w:rPr>
      </w:pPr>
      <w:r w:rsidRPr="00166520">
        <w:rPr>
          <w:rFonts w:ascii="Arial" w:hAnsi="Arial" w:cs="Arial"/>
        </w:rPr>
        <w:t xml:space="preserve">BNY Mellon </w:t>
      </w:r>
      <w:proofErr w:type="spellStart"/>
      <w:r w:rsidRPr="00166520">
        <w:rPr>
          <w:rFonts w:ascii="Arial" w:hAnsi="Arial" w:cs="Arial"/>
        </w:rPr>
        <w:t>CSD</w:t>
      </w:r>
      <w:proofErr w:type="spellEnd"/>
      <w:r w:rsidRPr="00166520">
        <w:rPr>
          <w:rFonts w:ascii="Arial" w:hAnsi="Arial" w:cs="Arial"/>
        </w:rPr>
        <w:t xml:space="preserve"> would like to raise </w:t>
      </w:r>
      <w:proofErr w:type="spellStart"/>
      <w:r w:rsidRPr="00166520">
        <w:rPr>
          <w:rFonts w:ascii="Arial" w:hAnsi="Arial" w:cs="Arial"/>
        </w:rPr>
        <w:t>ESMA’s</w:t>
      </w:r>
      <w:proofErr w:type="spellEnd"/>
      <w:r w:rsidRPr="00166520">
        <w:rPr>
          <w:rFonts w:ascii="Arial" w:hAnsi="Arial" w:cs="Arial"/>
        </w:rPr>
        <w:t xml:space="preserve"> attention to the requirement set out in art. </w:t>
      </w:r>
      <w:proofErr w:type="gramStart"/>
      <w:r w:rsidRPr="00166520">
        <w:rPr>
          <w:rFonts w:ascii="Arial" w:hAnsi="Arial" w:cs="Arial"/>
        </w:rPr>
        <w:t xml:space="preserve">5 (5) (last sentence), where </w:t>
      </w:r>
      <w:proofErr w:type="spellStart"/>
      <w:r w:rsidRPr="00166520">
        <w:rPr>
          <w:rFonts w:ascii="Arial" w:hAnsi="Arial" w:cs="Arial"/>
        </w:rPr>
        <w:t>CSDs</w:t>
      </w:r>
      <w:proofErr w:type="spellEnd"/>
      <w:r w:rsidRPr="00166520">
        <w:rPr>
          <w:rFonts w:ascii="Arial" w:hAnsi="Arial" w:cs="Arial"/>
        </w:rPr>
        <w:t xml:space="preserve"> would be required to disclose the mandate and procedure of the risk committee.</w:t>
      </w:r>
      <w:proofErr w:type="gramEnd"/>
    </w:p>
    <w:p w:rsidR="00166520" w:rsidRPr="00166520" w:rsidRDefault="00166520" w:rsidP="00166520">
      <w:pPr>
        <w:jc w:val="both"/>
        <w:rPr>
          <w:rFonts w:ascii="Arial" w:hAnsi="Arial" w:cs="Arial"/>
        </w:rPr>
      </w:pPr>
      <w:r w:rsidRPr="00166520">
        <w:rPr>
          <w:rFonts w:ascii="Arial" w:hAnsi="Arial" w:cs="Arial"/>
        </w:rPr>
        <w:t>We are of the opinion that such a requirement is disproportionate and should only be communicated to the competent authority, without being made available to the public.</w:t>
      </w:r>
    </w:p>
    <w:p w:rsidR="00166520" w:rsidRPr="00166520" w:rsidRDefault="00166520" w:rsidP="00166520">
      <w:pPr>
        <w:jc w:val="both"/>
        <w:rPr>
          <w:rFonts w:ascii="Arial" w:hAnsi="Arial" w:cs="Arial"/>
        </w:rPr>
      </w:pPr>
      <w:r w:rsidRPr="00166520">
        <w:rPr>
          <w:rFonts w:ascii="Arial" w:hAnsi="Arial" w:cs="Arial"/>
        </w:rPr>
        <w:t>We therefore propose this article to be redrafted according to the below:</w:t>
      </w:r>
    </w:p>
    <w:p w:rsidR="00166520" w:rsidRPr="00166520" w:rsidRDefault="00166520" w:rsidP="00166520">
      <w:pPr>
        <w:jc w:val="both"/>
        <w:rPr>
          <w:rFonts w:ascii="Arial" w:hAnsi="Arial" w:cs="Arial"/>
          <w:i/>
        </w:rPr>
      </w:pPr>
      <w:r w:rsidRPr="00166520">
        <w:rPr>
          <w:rFonts w:ascii="Arial" w:hAnsi="Arial" w:cs="Arial"/>
          <w:i/>
        </w:rPr>
        <w:t xml:space="preserve">“5. …It shall have a clear </w:t>
      </w:r>
      <w:r w:rsidRPr="00166520">
        <w:rPr>
          <w:rFonts w:ascii="Arial" w:hAnsi="Arial" w:cs="Arial"/>
          <w:i/>
          <w:strike/>
        </w:rPr>
        <w:t>and public</w:t>
      </w:r>
      <w:r w:rsidRPr="00166520">
        <w:rPr>
          <w:rFonts w:ascii="Arial" w:hAnsi="Arial" w:cs="Arial"/>
          <w:i/>
        </w:rPr>
        <w:t xml:space="preserve"> mandate and procedures and access to external expert advice where it may find fit. “</w:t>
      </w:r>
    </w:p>
    <w:p w:rsidR="00166520" w:rsidRPr="00292847" w:rsidRDefault="00166520" w:rsidP="00292847">
      <w:pPr>
        <w:autoSpaceDE w:val="0"/>
        <w:autoSpaceDN w:val="0"/>
        <w:adjustRightInd w:val="0"/>
        <w:spacing w:before="0"/>
        <w:jc w:val="both"/>
        <w:rPr>
          <w:rFonts w:ascii="Arial" w:hAnsi="Arial" w:cs="Arial"/>
          <w:color w:val="000000"/>
          <w:lang w:val="en-GB" w:eastAsia="en-GB"/>
        </w:rPr>
      </w:pPr>
    </w:p>
    <w:p w:rsidR="00292847" w:rsidRDefault="00292847" w:rsidP="00292847">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Q23</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record keeping (Chapter IV of Annex III) and draft ITS on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record keeping (Annex VII)? </w:t>
      </w:r>
    </w:p>
    <w:p w:rsidR="00C000BC" w:rsidRDefault="00C000BC" w:rsidP="00292847">
      <w:pPr>
        <w:autoSpaceDE w:val="0"/>
        <w:autoSpaceDN w:val="0"/>
        <w:adjustRightInd w:val="0"/>
        <w:spacing w:before="0"/>
        <w:jc w:val="both"/>
        <w:rPr>
          <w:rFonts w:ascii="Arial" w:hAnsi="Arial" w:cs="Arial"/>
          <w:b/>
          <w:bCs/>
          <w:color w:val="000000"/>
          <w:lang w:val="en-GB" w:eastAsia="en-GB"/>
        </w:rPr>
      </w:pPr>
    </w:p>
    <w:p w:rsidR="00C000BC" w:rsidRPr="00C000BC" w:rsidRDefault="00C000BC" w:rsidP="00C000BC">
      <w:pPr>
        <w:pStyle w:val="NoSpacing"/>
        <w:jc w:val="both"/>
        <w:rPr>
          <w:rFonts w:ascii="Arial" w:hAnsi="Arial" w:cs="Arial"/>
        </w:rPr>
      </w:pPr>
      <w:r w:rsidRPr="00C000BC">
        <w:rPr>
          <w:rFonts w:ascii="Arial" w:hAnsi="Arial" w:cs="Arial"/>
        </w:rPr>
        <w:t xml:space="preserve">BNY Mellon </w:t>
      </w:r>
      <w:proofErr w:type="spellStart"/>
      <w:r w:rsidRPr="00C000BC">
        <w:rPr>
          <w:rFonts w:ascii="Arial" w:hAnsi="Arial" w:cs="Arial"/>
        </w:rPr>
        <w:t>CSD</w:t>
      </w:r>
      <w:proofErr w:type="spellEnd"/>
      <w:r w:rsidRPr="00C000BC">
        <w:rPr>
          <w:rFonts w:ascii="Arial" w:hAnsi="Arial" w:cs="Arial"/>
        </w:rPr>
        <w:t xml:space="preserve"> largely supports the ESMA approach towards record keeping.</w:t>
      </w:r>
    </w:p>
    <w:p w:rsidR="00C000BC" w:rsidRPr="00C000BC" w:rsidRDefault="00C000BC" w:rsidP="00C000BC">
      <w:pPr>
        <w:pStyle w:val="NoSpacing"/>
        <w:jc w:val="both"/>
        <w:rPr>
          <w:rFonts w:ascii="Arial" w:hAnsi="Arial" w:cs="Arial"/>
        </w:rPr>
      </w:pPr>
    </w:p>
    <w:p w:rsidR="00C000BC" w:rsidRPr="00C000BC" w:rsidRDefault="00C000BC" w:rsidP="00C000BC">
      <w:pPr>
        <w:pStyle w:val="NoSpacing"/>
        <w:jc w:val="both"/>
        <w:rPr>
          <w:rFonts w:ascii="Arial" w:hAnsi="Arial" w:cs="Arial"/>
        </w:rPr>
      </w:pPr>
      <w:r w:rsidRPr="00C000BC">
        <w:rPr>
          <w:rFonts w:ascii="Arial" w:hAnsi="Arial" w:cs="Arial"/>
        </w:rPr>
        <w:t xml:space="preserve">Nevertheless, we still consider that some of the proposals will be difficult to achieve in a short timeframe because of the broader impact such a requirements would have (not only on </w:t>
      </w:r>
      <w:proofErr w:type="spellStart"/>
      <w:r w:rsidRPr="00C000BC">
        <w:rPr>
          <w:rFonts w:ascii="Arial" w:hAnsi="Arial" w:cs="Arial"/>
        </w:rPr>
        <w:t>CSDs</w:t>
      </w:r>
      <w:proofErr w:type="spellEnd"/>
      <w:r w:rsidRPr="00C000BC">
        <w:rPr>
          <w:rFonts w:ascii="Arial" w:hAnsi="Arial" w:cs="Arial"/>
        </w:rPr>
        <w:t xml:space="preserve"> but their participants and </w:t>
      </w:r>
      <w:proofErr w:type="spellStart"/>
      <w:r w:rsidRPr="00C000BC">
        <w:rPr>
          <w:rFonts w:ascii="Arial" w:hAnsi="Arial" w:cs="Arial"/>
        </w:rPr>
        <w:t>T2S</w:t>
      </w:r>
      <w:proofErr w:type="spellEnd"/>
      <w:r w:rsidRPr="00C000BC">
        <w:rPr>
          <w:rFonts w:ascii="Arial" w:hAnsi="Arial" w:cs="Arial"/>
        </w:rPr>
        <w:t>):</w:t>
      </w:r>
    </w:p>
    <w:p w:rsidR="00C000BC" w:rsidRPr="00C000BC" w:rsidRDefault="00C000BC" w:rsidP="00C000BC">
      <w:pPr>
        <w:pStyle w:val="NoSpacing"/>
        <w:jc w:val="both"/>
        <w:rPr>
          <w:rFonts w:ascii="Arial" w:hAnsi="Arial" w:cs="Arial"/>
        </w:rPr>
      </w:pPr>
    </w:p>
    <w:p w:rsidR="00C000BC" w:rsidRPr="00C000BC" w:rsidRDefault="00C000BC" w:rsidP="00C000BC">
      <w:pPr>
        <w:pStyle w:val="NoSpacing"/>
        <w:numPr>
          <w:ilvl w:val="0"/>
          <w:numId w:val="4"/>
        </w:numPr>
        <w:jc w:val="both"/>
        <w:rPr>
          <w:rFonts w:ascii="Arial" w:hAnsi="Arial" w:cs="Arial"/>
          <w:u w:val="dotDash"/>
        </w:rPr>
      </w:pPr>
      <w:r w:rsidRPr="00C000BC">
        <w:rPr>
          <w:rFonts w:ascii="Arial" w:hAnsi="Arial" w:cs="Arial"/>
          <w:u w:val="dotDash"/>
        </w:rPr>
        <w:t>Art. 9(2) – Transaction/settlement instruction records</w:t>
      </w:r>
    </w:p>
    <w:p w:rsidR="00C000BC" w:rsidRPr="00C000BC" w:rsidRDefault="00C000BC" w:rsidP="00C000BC">
      <w:pPr>
        <w:pStyle w:val="NoSpacing"/>
        <w:numPr>
          <w:ilvl w:val="0"/>
          <w:numId w:val="4"/>
        </w:numPr>
        <w:jc w:val="both"/>
        <w:rPr>
          <w:rFonts w:ascii="Arial" w:hAnsi="Arial" w:cs="Arial"/>
          <w:u w:val="dotDash"/>
        </w:rPr>
      </w:pPr>
      <w:r w:rsidRPr="00C000BC">
        <w:rPr>
          <w:rFonts w:ascii="Arial" w:hAnsi="Arial" w:cs="Arial"/>
          <w:u w:val="dotDash"/>
        </w:rPr>
        <w:t xml:space="preserve">Table 1 of Annex of Draft ITS on </w:t>
      </w:r>
      <w:proofErr w:type="spellStart"/>
      <w:r w:rsidRPr="00C000BC">
        <w:rPr>
          <w:rFonts w:ascii="Arial" w:hAnsi="Arial" w:cs="Arial"/>
          <w:u w:val="dotDash"/>
        </w:rPr>
        <w:t>CSD</w:t>
      </w:r>
      <w:proofErr w:type="spellEnd"/>
      <w:r w:rsidRPr="00C000BC">
        <w:rPr>
          <w:rFonts w:ascii="Arial" w:hAnsi="Arial" w:cs="Arial"/>
          <w:u w:val="dotDash"/>
        </w:rPr>
        <w:t xml:space="preserve"> record keeping</w:t>
      </w:r>
    </w:p>
    <w:p w:rsidR="00C000BC" w:rsidRPr="00C000BC" w:rsidRDefault="00C000BC" w:rsidP="00C000BC">
      <w:pPr>
        <w:pStyle w:val="NoSpacing"/>
        <w:jc w:val="both"/>
        <w:rPr>
          <w:rFonts w:ascii="Arial" w:hAnsi="Arial" w:cs="Arial"/>
        </w:rPr>
      </w:pPr>
    </w:p>
    <w:p w:rsidR="00C000BC" w:rsidRDefault="00C000BC" w:rsidP="00C000BC">
      <w:pPr>
        <w:autoSpaceDE w:val="0"/>
        <w:autoSpaceDN w:val="0"/>
        <w:adjustRightInd w:val="0"/>
        <w:jc w:val="both"/>
        <w:rPr>
          <w:rFonts w:ascii="Arial" w:hAnsi="Arial" w:cs="Arial"/>
        </w:rPr>
      </w:pPr>
      <w:r w:rsidRPr="00C000BC">
        <w:rPr>
          <w:rFonts w:ascii="Arial" w:hAnsi="Arial" w:cs="Arial"/>
        </w:rPr>
        <w:t xml:space="preserve">The ‘transaction type’ field/row is not designed fully according to standard ISO codes (highlighted codes do not exist). In addition, regarding this field there is currently no agreed </w:t>
      </w:r>
      <w:proofErr w:type="spellStart"/>
      <w:r w:rsidRPr="00C000BC">
        <w:rPr>
          <w:rFonts w:ascii="Arial" w:hAnsi="Arial" w:cs="Arial"/>
        </w:rPr>
        <w:t>harmonised</w:t>
      </w:r>
      <w:proofErr w:type="spellEnd"/>
      <w:r w:rsidRPr="00C000BC">
        <w:rPr>
          <w:rFonts w:ascii="Arial" w:hAnsi="Arial" w:cs="Arial"/>
        </w:rPr>
        <w:t xml:space="preserve"> market practice in the EU on how to populate the transaction type field as a new mandatory matching field (i.e. what value to assign for the different types of transactions). </w:t>
      </w:r>
    </w:p>
    <w:p w:rsidR="00C000BC" w:rsidRPr="00C000BC" w:rsidRDefault="00C000BC" w:rsidP="00C000BC">
      <w:pPr>
        <w:autoSpaceDE w:val="0"/>
        <w:autoSpaceDN w:val="0"/>
        <w:adjustRightInd w:val="0"/>
        <w:jc w:val="both"/>
        <w:rPr>
          <w:rFonts w:ascii="Arial" w:hAnsi="Arial" w:cs="Arial"/>
        </w:rPr>
      </w:pPr>
    </w:p>
    <w:tbl>
      <w:tblPr>
        <w:tblStyle w:val="TableGrid"/>
        <w:tblW w:w="0" w:type="auto"/>
        <w:tblLayout w:type="fixed"/>
        <w:tblLook w:val="0000" w:firstRow="0" w:lastRow="0" w:firstColumn="0" w:lastColumn="0" w:noHBand="0" w:noVBand="0"/>
      </w:tblPr>
      <w:tblGrid>
        <w:gridCol w:w="4063"/>
        <w:gridCol w:w="4063"/>
      </w:tblGrid>
      <w:tr w:rsidR="00C000BC" w:rsidRPr="00C000BC" w:rsidTr="009A22F3">
        <w:trPr>
          <w:trHeight w:val="1602"/>
        </w:trPr>
        <w:tc>
          <w:tcPr>
            <w:tcW w:w="4063" w:type="dxa"/>
          </w:tcPr>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Reference: </w:t>
            </w:r>
            <w:proofErr w:type="spellStart"/>
            <w:r w:rsidRPr="00C000BC">
              <w:rPr>
                <w:rFonts w:ascii="Arial" w:hAnsi="Arial" w:cs="Arial"/>
              </w:rPr>
              <w:t>RTS</w:t>
            </w:r>
            <w:proofErr w:type="spellEnd"/>
            <w:r w:rsidRPr="00C000BC">
              <w:rPr>
                <w:rFonts w:ascii="Arial" w:hAnsi="Arial" w:cs="Arial"/>
              </w:rPr>
              <w:t xml:space="preserve"> on </w:t>
            </w:r>
            <w:proofErr w:type="spellStart"/>
            <w:r w:rsidRPr="00C000BC">
              <w:rPr>
                <w:rFonts w:ascii="Arial" w:hAnsi="Arial" w:cs="Arial"/>
              </w:rPr>
              <w:t>CSD</w:t>
            </w:r>
            <w:proofErr w:type="spellEnd"/>
            <w:r w:rsidRPr="00C000BC">
              <w:rPr>
                <w:rFonts w:ascii="Arial" w:hAnsi="Arial" w:cs="Arial"/>
              </w:rPr>
              <w:t xml:space="preserve"> requirements of Annex I, Article 4 (2) e) Transaction type (covering at least </w:t>
            </w:r>
            <w:proofErr w:type="gramStart"/>
            <w:r w:rsidRPr="00C000BC">
              <w:rPr>
                <w:rFonts w:ascii="Arial" w:hAnsi="Arial" w:cs="Arial"/>
              </w:rPr>
              <w:t>the  transaction</w:t>
            </w:r>
            <w:proofErr w:type="gramEnd"/>
            <w:r w:rsidRPr="00C000BC">
              <w:rPr>
                <w:rFonts w:ascii="Arial" w:hAnsi="Arial" w:cs="Arial"/>
              </w:rPr>
              <w:t xml:space="preserve"> types specified in point e) of Article 4(2) of Regulation (EU) No… [</w:t>
            </w:r>
            <w:proofErr w:type="spellStart"/>
            <w:r w:rsidRPr="00C000BC">
              <w:rPr>
                <w:rFonts w:ascii="Arial" w:hAnsi="Arial" w:cs="Arial"/>
              </w:rPr>
              <w:t>RTS</w:t>
            </w:r>
            <w:proofErr w:type="spellEnd"/>
            <w:r w:rsidRPr="00C000BC">
              <w:rPr>
                <w:rFonts w:ascii="Arial" w:hAnsi="Arial" w:cs="Arial"/>
              </w:rPr>
              <w:t xml:space="preserve"> on settlement discipline]) </w:t>
            </w:r>
          </w:p>
        </w:tc>
        <w:tc>
          <w:tcPr>
            <w:tcW w:w="4063" w:type="dxa"/>
          </w:tcPr>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rPr>
              <w:t>TRAD</w:t>
            </w:r>
            <w:proofErr w:type="spellEnd"/>
            <w:r w:rsidRPr="00C000BC">
              <w:rPr>
                <w:rFonts w:ascii="Arial" w:hAnsi="Arial" w:cs="Arial"/>
              </w:rPr>
              <w:t xml:space="preserve"> (purchase or sale of securities executed on a trading venue)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highlight w:val="cyan"/>
              </w:rPr>
              <w:t>TRAO</w:t>
            </w:r>
            <w:proofErr w:type="spellEnd"/>
            <w:r w:rsidRPr="00C000BC">
              <w:rPr>
                <w:rFonts w:ascii="Arial" w:hAnsi="Arial" w:cs="Arial"/>
                <w:highlight w:val="cyan"/>
              </w:rPr>
              <w:t xml:space="preserve"> (OTC purchase or sale of securities)</w:t>
            </w:r>
            <w:r w:rsidRPr="00C000BC">
              <w:rPr>
                <w:rFonts w:ascii="Arial" w:hAnsi="Arial" w:cs="Arial"/>
              </w:rPr>
              <w:t xml:space="preserve">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rPr>
              <w:t>SECL</w:t>
            </w:r>
            <w:proofErr w:type="spellEnd"/>
            <w:r w:rsidRPr="00C000BC">
              <w:rPr>
                <w:rFonts w:ascii="Arial" w:hAnsi="Arial" w:cs="Arial"/>
              </w:rPr>
              <w:t>/</w:t>
            </w:r>
            <w:proofErr w:type="spellStart"/>
            <w:r w:rsidRPr="00C000BC">
              <w:rPr>
                <w:rFonts w:ascii="Arial" w:hAnsi="Arial" w:cs="Arial"/>
              </w:rPr>
              <w:t>SECB</w:t>
            </w:r>
            <w:proofErr w:type="spellEnd"/>
            <w:r w:rsidRPr="00C000BC">
              <w:rPr>
                <w:rFonts w:ascii="Arial" w:hAnsi="Arial" w:cs="Arial"/>
              </w:rPr>
              <w:t xml:space="preserve"> (securities lending and borrowing)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rPr>
              <w:t>REPU</w:t>
            </w:r>
            <w:proofErr w:type="spellEnd"/>
            <w:r w:rsidRPr="00C000BC">
              <w:rPr>
                <w:rFonts w:ascii="Arial" w:hAnsi="Arial" w:cs="Arial"/>
              </w:rPr>
              <w:t>/</w:t>
            </w:r>
            <w:proofErr w:type="spellStart"/>
            <w:r w:rsidRPr="00C000BC">
              <w:rPr>
                <w:rFonts w:ascii="Arial" w:hAnsi="Arial" w:cs="Arial"/>
              </w:rPr>
              <w:t>RVPO</w:t>
            </w:r>
            <w:proofErr w:type="spellEnd"/>
            <w:r w:rsidRPr="00C000BC">
              <w:rPr>
                <w:rFonts w:ascii="Arial" w:hAnsi="Arial" w:cs="Arial"/>
              </w:rPr>
              <w:t xml:space="preserve"> (repurchase transactions)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highlight w:val="cyan"/>
              </w:rPr>
              <w:t>COLL</w:t>
            </w:r>
            <w:proofErr w:type="spellEnd"/>
            <w:r w:rsidRPr="00C000BC">
              <w:rPr>
                <w:rFonts w:ascii="Arial" w:hAnsi="Arial" w:cs="Arial"/>
                <w:highlight w:val="cyan"/>
              </w:rPr>
              <w:t xml:space="preserve"> (collateral management)</w:t>
            </w:r>
            <w:r w:rsidRPr="00C000BC">
              <w:rPr>
                <w:rFonts w:ascii="Arial" w:hAnsi="Arial" w:cs="Arial"/>
              </w:rPr>
              <w:t xml:space="preserve">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CORP (corporate actions)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highlight w:val="cyan"/>
              </w:rPr>
              <w:t>CUST</w:t>
            </w:r>
            <w:proofErr w:type="spellEnd"/>
            <w:r w:rsidRPr="00C000BC">
              <w:rPr>
                <w:rFonts w:ascii="Arial" w:hAnsi="Arial" w:cs="Arial"/>
                <w:highlight w:val="cyan"/>
              </w:rPr>
              <w:t xml:space="preserve"> (custody related operations)</w:t>
            </w:r>
            <w:r w:rsidRPr="00C000BC">
              <w:rPr>
                <w:rFonts w:ascii="Arial" w:hAnsi="Arial" w:cs="Arial"/>
              </w:rPr>
              <w:t xml:space="preserve">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 </w:t>
            </w:r>
            <w:proofErr w:type="spellStart"/>
            <w:r w:rsidRPr="00C000BC">
              <w:rPr>
                <w:rFonts w:ascii="Arial" w:hAnsi="Arial" w:cs="Arial"/>
                <w:highlight w:val="cyan"/>
              </w:rPr>
              <w:t>CCPC</w:t>
            </w:r>
            <w:proofErr w:type="spellEnd"/>
            <w:r w:rsidRPr="00C000BC">
              <w:rPr>
                <w:rFonts w:ascii="Arial" w:hAnsi="Arial" w:cs="Arial"/>
                <w:highlight w:val="cyan"/>
              </w:rPr>
              <w:t xml:space="preserve"> (</w:t>
            </w:r>
            <w:proofErr w:type="spellStart"/>
            <w:r w:rsidRPr="00C000BC">
              <w:rPr>
                <w:rFonts w:ascii="Arial" w:hAnsi="Arial" w:cs="Arial"/>
                <w:highlight w:val="cyan"/>
              </w:rPr>
              <w:t>CCP</w:t>
            </w:r>
            <w:proofErr w:type="spellEnd"/>
            <w:r w:rsidRPr="00C000BC">
              <w:rPr>
                <w:rFonts w:ascii="Arial" w:hAnsi="Arial" w:cs="Arial"/>
                <w:highlight w:val="cyan"/>
              </w:rPr>
              <w:t>-cleared transactions related to the penalties)</w:t>
            </w:r>
            <w:r w:rsidRPr="00C000BC">
              <w:rPr>
                <w:rFonts w:ascii="Arial" w:hAnsi="Arial" w:cs="Arial"/>
              </w:rPr>
              <w:t xml:space="preserve"> </w:t>
            </w:r>
          </w:p>
        </w:tc>
      </w:tr>
    </w:tbl>
    <w:p w:rsidR="00C000BC" w:rsidRPr="00C000BC" w:rsidRDefault="00C000BC" w:rsidP="00C000BC">
      <w:pPr>
        <w:pStyle w:val="NoSpacing"/>
        <w:jc w:val="both"/>
        <w:rPr>
          <w:rFonts w:ascii="Arial" w:hAnsi="Arial" w:cs="Arial"/>
          <w:lang w:val="en-US"/>
        </w:rPr>
      </w:pPr>
    </w:p>
    <w:p w:rsidR="00C000BC" w:rsidRPr="00C000BC" w:rsidRDefault="00C000BC" w:rsidP="00C000BC">
      <w:pPr>
        <w:pStyle w:val="Default"/>
        <w:jc w:val="both"/>
        <w:rPr>
          <w:color w:val="auto"/>
          <w:sz w:val="22"/>
          <w:szCs w:val="22"/>
          <w:lang w:val="en-GB"/>
        </w:rPr>
      </w:pPr>
      <w:r w:rsidRPr="00C000BC">
        <w:rPr>
          <w:color w:val="auto"/>
          <w:sz w:val="22"/>
          <w:szCs w:val="22"/>
          <w:lang w:val="en-GB"/>
        </w:rPr>
        <w:t xml:space="preserve">The “status type” codes are not designed taking into account available standard ISO codes (highlighted codes do not exist or have different acronym). </w:t>
      </w:r>
    </w:p>
    <w:p w:rsidR="00C000BC" w:rsidRPr="00C000BC" w:rsidRDefault="00C000BC" w:rsidP="00C000BC">
      <w:pPr>
        <w:pStyle w:val="Default"/>
        <w:jc w:val="both"/>
        <w:rPr>
          <w:color w:val="auto"/>
          <w:sz w:val="22"/>
          <w:szCs w:val="22"/>
          <w:lang w:val="en-GB"/>
        </w:rPr>
      </w:pPr>
    </w:p>
    <w:tbl>
      <w:tblPr>
        <w:tblStyle w:val="TableGrid"/>
        <w:tblW w:w="0" w:type="auto"/>
        <w:tblLayout w:type="fixed"/>
        <w:tblLook w:val="0000" w:firstRow="0" w:lastRow="0" w:firstColumn="0" w:lastColumn="0" w:noHBand="0" w:noVBand="0"/>
      </w:tblPr>
      <w:tblGrid>
        <w:gridCol w:w="4059"/>
        <w:gridCol w:w="4059"/>
      </w:tblGrid>
      <w:tr w:rsidR="00C000BC" w:rsidRPr="00C000BC" w:rsidTr="009A22F3">
        <w:trPr>
          <w:trHeight w:val="1786"/>
        </w:trPr>
        <w:tc>
          <w:tcPr>
            <w:tcW w:w="4059" w:type="dxa"/>
          </w:tcPr>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Status type (in accordance with Article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4(1) of Regulation (EU) No… [</w:t>
            </w:r>
            <w:proofErr w:type="spellStart"/>
            <w:r w:rsidRPr="00C000BC">
              <w:rPr>
                <w:rFonts w:ascii="Arial" w:hAnsi="Arial" w:cs="Arial"/>
              </w:rPr>
              <w:t>RTS</w:t>
            </w:r>
            <w:proofErr w:type="spellEnd"/>
            <w:r w:rsidRPr="00C000BC">
              <w:rPr>
                <w:rFonts w:ascii="Arial" w:hAnsi="Arial" w:cs="Arial"/>
              </w:rPr>
              <w:t xml:space="preserve"> on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settlement discipline]) </w:t>
            </w:r>
          </w:p>
        </w:tc>
        <w:tc>
          <w:tcPr>
            <w:tcW w:w="4059" w:type="dxa"/>
          </w:tcPr>
          <w:p w:rsidR="00C000BC" w:rsidRPr="00C000BC" w:rsidRDefault="00C000BC" w:rsidP="00C000BC">
            <w:pPr>
              <w:autoSpaceDE w:val="0"/>
              <w:autoSpaceDN w:val="0"/>
              <w:adjustRightInd w:val="0"/>
              <w:jc w:val="both"/>
              <w:rPr>
                <w:rFonts w:ascii="Arial" w:hAnsi="Arial" w:cs="Arial"/>
                <w:highlight w:val="cyan"/>
              </w:rPr>
            </w:pPr>
            <w:proofErr w:type="spellStart"/>
            <w:r w:rsidRPr="00C000BC">
              <w:rPr>
                <w:rFonts w:ascii="Arial" w:hAnsi="Arial" w:cs="Arial"/>
                <w:highlight w:val="cyan"/>
              </w:rPr>
              <w:t>MATY</w:t>
            </w:r>
            <w:proofErr w:type="spellEnd"/>
            <w:r w:rsidRPr="00C000BC">
              <w:rPr>
                <w:rFonts w:ascii="Arial" w:hAnsi="Arial" w:cs="Arial"/>
                <w:highlight w:val="cyan"/>
              </w:rPr>
              <w:t xml:space="preserve"> (matched settlement instructions that are not settled) </w:t>
            </w:r>
          </w:p>
          <w:p w:rsidR="00C000BC" w:rsidRPr="00C000BC" w:rsidRDefault="00C000BC" w:rsidP="00C000BC">
            <w:pPr>
              <w:autoSpaceDE w:val="0"/>
              <w:autoSpaceDN w:val="0"/>
              <w:adjustRightInd w:val="0"/>
              <w:jc w:val="both"/>
              <w:rPr>
                <w:rFonts w:ascii="Arial" w:hAnsi="Arial" w:cs="Arial"/>
                <w:highlight w:val="cyan"/>
              </w:rPr>
            </w:pPr>
            <w:proofErr w:type="spellStart"/>
            <w:r w:rsidRPr="00C000BC">
              <w:rPr>
                <w:rFonts w:ascii="Arial" w:hAnsi="Arial" w:cs="Arial"/>
                <w:highlight w:val="cyan"/>
              </w:rPr>
              <w:t>MATN</w:t>
            </w:r>
            <w:proofErr w:type="spellEnd"/>
            <w:r w:rsidRPr="00C000BC">
              <w:rPr>
                <w:rFonts w:ascii="Arial" w:hAnsi="Arial" w:cs="Arial"/>
                <w:highlight w:val="cyan"/>
              </w:rPr>
              <w:t xml:space="preserve"> (settlement instructions that are not matched) </w:t>
            </w:r>
          </w:p>
          <w:p w:rsidR="00C000BC" w:rsidRPr="00C000BC" w:rsidRDefault="00C000BC" w:rsidP="00C000BC">
            <w:pPr>
              <w:autoSpaceDE w:val="0"/>
              <w:autoSpaceDN w:val="0"/>
              <w:adjustRightInd w:val="0"/>
              <w:jc w:val="both"/>
              <w:rPr>
                <w:rFonts w:ascii="Arial" w:hAnsi="Arial" w:cs="Arial"/>
                <w:highlight w:val="cyan"/>
              </w:rPr>
            </w:pPr>
            <w:r w:rsidRPr="00C000BC">
              <w:rPr>
                <w:rFonts w:ascii="Arial" w:hAnsi="Arial" w:cs="Arial"/>
                <w:highlight w:val="cyan"/>
              </w:rPr>
              <w:t xml:space="preserve">HOLD (settlement instructions on hold) </w:t>
            </w:r>
          </w:p>
          <w:p w:rsidR="00C000BC" w:rsidRPr="00C000BC" w:rsidRDefault="00C000BC" w:rsidP="00C000BC">
            <w:pPr>
              <w:autoSpaceDE w:val="0"/>
              <w:autoSpaceDN w:val="0"/>
              <w:adjustRightInd w:val="0"/>
              <w:jc w:val="both"/>
              <w:rPr>
                <w:rFonts w:ascii="Arial" w:hAnsi="Arial" w:cs="Arial"/>
                <w:highlight w:val="cyan"/>
              </w:rPr>
            </w:pPr>
            <w:r w:rsidRPr="00C000BC">
              <w:rPr>
                <w:rFonts w:ascii="Arial" w:hAnsi="Arial" w:cs="Arial"/>
                <w:highlight w:val="cyan"/>
              </w:rPr>
              <w:t xml:space="preserve">PART (partially settled settlement instructions) FAIL (failed settlement instructions) </w:t>
            </w:r>
          </w:p>
          <w:p w:rsidR="00C000BC" w:rsidRPr="00C000BC" w:rsidRDefault="00C000BC" w:rsidP="00C000BC">
            <w:pPr>
              <w:autoSpaceDE w:val="0"/>
              <w:autoSpaceDN w:val="0"/>
              <w:adjustRightInd w:val="0"/>
              <w:jc w:val="both"/>
              <w:rPr>
                <w:rFonts w:ascii="Arial" w:hAnsi="Arial" w:cs="Arial"/>
              </w:rPr>
            </w:pPr>
            <w:proofErr w:type="spellStart"/>
            <w:r w:rsidRPr="00C000BC">
              <w:rPr>
                <w:rFonts w:ascii="Arial" w:hAnsi="Arial" w:cs="Arial"/>
                <w:highlight w:val="cyan"/>
              </w:rPr>
              <w:t>RECL</w:t>
            </w:r>
            <w:proofErr w:type="spellEnd"/>
            <w:r w:rsidRPr="00C000BC">
              <w:rPr>
                <w:rFonts w:ascii="Arial" w:hAnsi="Arial" w:cs="Arial"/>
                <w:highlight w:val="cyan"/>
              </w:rPr>
              <w:t xml:space="preserve"> (recycled settlement instructions) DELL (cancelled settlement instructions) </w:t>
            </w:r>
            <w:proofErr w:type="spellStart"/>
            <w:r w:rsidRPr="00C000BC">
              <w:rPr>
                <w:rFonts w:ascii="Arial" w:hAnsi="Arial" w:cs="Arial"/>
                <w:highlight w:val="cyan"/>
              </w:rPr>
              <w:t>SETL</w:t>
            </w:r>
            <w:proofErr w:type="spellEnd"/>
            <w:r w:rsidRPr="00C000BC">
              <w:rPr>
                <w:rFonts w:ascii="Arial" w:hAnsi="Arial" w:cs="Arial"/>
                <w:highlight w:val="cyan"/>
              </w:rPr>
              <w:t xml:space="preserve"> (settled settlement instructions)</w:t>
            </w:r>
            <w:r w:rsidRPr="00C000BC">
              <w:rPr>
                <w:rFonts w:ascii="Arial" w:hAnsi="Arial" w:cs="Arial"/>
              </w:rPr>
              <w:t xml:space="preserve"> </w:t>
            </w:r>
          </w:p>
        </w:tc>
      </w:tr>
    </w:tbl>
    <w:p w:rsidR="00C000BC" w:rsidRPr="00C000BC" w:rsidRDefault="00C000BC" w:rsidP="00C000BC">
      <w:pPr>
        <w:pStyle w:val="Default"/>
        <w:jc w:val="both"/>
        <w:rPr>
          <w:sz w:val="22"/>
          <w:szCs w:val="22"/>
        </w:rPr>
      </w:pPr>
    </w:p>
    <w:p w:rsidR="00C000BC" w:rsidRPr="00C000BC" w:rsidRDefault="00C000BC" w:rsidP="00C000BC">
      <w:pPr>
        <w:pStyle w:val="Default"/>
        <w:jc w:val="both"/>
        <w:rPr>
          <w:color w:val="auto"/>
          <w:sz w:val="22"/>
          <w:szCs w:val="22"/>
          <w:lang w:val="en-GB"/>
        </w:rPr>
      </w:pPr>
      <w:r w:rsidRPr="00C000BC">
        <w:rPr>
          <w:color w:val="auto"/>
          <w:sz w:val="22"/>
          <w:szCs w:val="22"/>
          <w:lang w:val="en-GB"/>
        </w:rPr>
        <w:t xml:space="preserve">There are no ISO standard fields in messages to provide required information on buy-ins: </w:t>
      </w:r>
    </w:p>
    <w:p w:rsidR="00C000BC" w:rsidRPr="00C000BC" w:rsidRDefault="00C000BC" w:rsidP="00C000BC">
      <w:pPr>
        <w:pStyle w:val="Default"/>
        <w:jc w:val="both"/>
        <w:rPr>
          <w:color w:val="auto"/>
          <w:sz w:val="22"/>
          <w:szCs w:val="22"/>
          <w:lang w:val="en-GB"/>
        </w:rPr>
      </w:pPr>
    </w:p>
    <w:tbl>
      <w:tblPr>
        <w:tblStyle w:val="TableGrid"/>
        <w:tblW w:w="0" w:type="auto"/>
        <w:tblLayout w:type="fixed"/>
        <w:tblLook w:val="0000" w:firstRow="0" w:lastRow="0" w:firstColumn="0" w:lastColumn="0" w:noHBand="0" w:noVBand="0"/>
      </w:tblPr>
      <w:tblGrid>
        <w:gridCol w:w="3531"/>
        <w:gridCol w:w="3531"/>
      </w:tblGrid>
      <w:tr w:rsidR="00C000BC" w:rsidRPr="00C000BC" w:rsidTr="009A22F3">
        <w:trPr>
          <w:trHeight w:val="1680"/>
        </w:trPr>
        <w:tc>
          <w:tcPr>
            <w:tcW w:w="3531" w:type="dxa"/>
          </w:tcPr>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Where a buy-in process is initiated for a transaction, the following details: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a) length of extension period;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b) where applicable, length of the deferral period;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c) length of the buy-in period;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d) if the buy-in is successful or not;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e) payment of cash compensation </w:t>
            </w:r>
          </w:p>
        </w:tc>
        <w:tc>
          <w:tcPr>
            <w:tcW w:w="3531" w:type="dxa"/>
          </w:tcPr>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Buy-in initiated: Y/N </w:t>
            </w:r>
          </w:p>
          <w:p w:rsidR="00C000BC" w:rsidRPr="00C000BC" w:rsidRDefault="00C000BC" w:rsidP="00C000BC">
            <w:pPr>
              <w:autoSpaceDE w:val="0"/>
              <w:autoSpaceDN w:val="0"/>
              <w:adjustRightInd w:val="0"/>
              <w:jc w:val="both"/>
              <w:rPr>
                <w:rFonts w:ascii="Arial" w:hAnsi="Arial" w:cs="Arial"/>
              </w:rPr>
            </w:pP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Length of extension period: 2 digits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Length of deferral period: 2 digits </w:t>
            </w:r>
          </w:p>
          <w:p w:rsidR="00C000BC" w:rsidRPr="00C000BC" w:rsidRDefault="00C000BC" w:rsidP="00C000BC">
            <w:pPr>
              <w:autoSpaceDE w:val="0"/>
              <w:autoSpaceDN w:val="0"/>
              <w:adjustRightInd w:val="0"/>
              <w:jc w:val="both"/>
              <w:rPr>
                <w:rFonts w:ascii="Arial" w:hAnsi="Arial" w:cs="Arial"/>
              </w:rPr>
            </w:pP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Length of the buy-in period: 2 digits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Buy-in successful: Y/N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Payment of cash compensation: </w:t>
            </w:r>
          </w:p>
          <w:p w:rsidR="00C000BC" w:rsidRPr="00C000BC" w:rsidRDefault="00C000BC" w:rsidP="00C000BC">
            <w:pPr>
              <w:autoSpaceDE w:val="0"/>
              <w:autoSpaceDN w:val="0"/>
              <w:adjustRightInd w:val="0"/>
              <w:jc w:val="both"/>
              <w:rPr>
                <w:rFonts w:ascii="Arial" w:hAnsi="Arial" w:cs="Arial"/>
              </w:rPr>
            </w:pPr>
            <w:r w:rsidRPr="00C000BC">
              <w:rPr>
                <w:rFonts w:ascii="Arial" w:hAnsi="Arial" w:cs="Arial"/>
              </w:rPr>
              <w:t xml:space="preserve">Y/N </w:t>
            </w:r>
          </w:p>
        </w:tc>
      </w:tr>
    </w:tbl>
    <w:p w:rsidR="00C000BC" w:rsidRPr="00C000BC" w:rsidRDefault="00C000BC" w:rsidP="00C000BC">
      <w:pPr>
        <w:pStyle w:val="Default"/>
        <w:jc w:val="both"/>
        <w:rPr>
          <w:sz w:val="22"/>
          <w:szCs w:val="22"/>
        </w:rPr>
      </w:pPr>
    </w:p>
    <w:p w:rsidR="00C000BC" w:rsidRPr="00C000BC" w:rsidRDefault="00C000BC" w:rsidP="00C000BC">
      <w:pPr>
        <w:pStyle w:val="NoSpacing"/>
        <w:jc w:val="both"/>
        <w:rPr>
          <w:rFonts w:ascii="Arial" w:hAnsi="Arial" w:cs="Arial"/>
          <w:lang w:val="en-US"/>
        </w:rPr>
      </w:pPr>
      <w:r w:rsidRPr="00C000BC">
        <w:rPr>
          <w:rFonts w:ascii="Arial" w:hAnsi="Arial" w:cs="Arial"/>
          <w:lang w:val="en-US"/>
        </w:rPr>
        <w:t xml:space="preserve">As a result, BNY Mellon </w:t>
      </w:r>
      <w:proofErr w:type="spellStart"/>
      <w:r w:rsidRPr="00C000BC">
        <w:rPr>
          <w:rFonts w:ascii="Arial" w:hAnsi="Arial" w:cs="Arial"/>
          <w:lang w:val="en-US"/>
        </w:rPr>
        <w:t>CSD</w:t>
      </w:r>
      <w:proofErr w:type="spellEnd"/>
      <w:r w:rsidRPr="00C000BC">
        <w:rPr>
          <w:rFonts w:ascii="Arial" w:hAnsi="Arial" w:cs="Arial"/>
          <w:lang w:val="en-US"/>
        </w:rPr>
        <w:t xml:space="preserve"> would like to stress that, should the ESMA further consider such additional ISO standards, sufficient time will be required to (</w:t>
      </w:r>
      <w:proofErr w:type="spellStart"/>
      <w:r w:rsidRPr="00C000BC">
        <w:rPr>
          <w:rFonts w:ascii="Arial" w:hAnsi="Arial" w:cs="Arial"/>
          <w:lang w:val="en-US"/>
        </w:rPr>
        <w:t>i</w:t>
      </w:r>
      <w:proofErr w:type="spellEnd"/>
      <w:r w:rsidRPr="00C000BC">
        <w:rPr>
          <w:rFonts w:ascii="Arial" w:hAnsi="Arial" w:cs="Arial"/>
          <w:lang w:val="en-US"/>
        </w:rPr>
        <w:t xml:space="preserve">) ensure harmonization of the use of these new standards and (ii) enable changes to be brought to the IT systems of both </w:t>
      </w:r>
      <w:proofErr w:type="spellStart"/>
      <w:r w:rsidRPr="00C000BC">
        <w:rPr>
          <w:rFonts w:ascii="Arial" w:hAnsi="Arial" w:cs="Arial"/>
          <w:lang w:val="en-US"/>
        </w:rPr>
        <w:t>CSDs</w:t>
      </w:r>
      <w:proofErr w:type="spellEnd"/>
      <w:r w:rsidRPr="00C000BC">
        <w:rPr>
          <w:rFonts w:ascii="Arial" w:hAnsi="Arial" w:cs="Arial"/>
          <w:lang w:val="en-US"/>
        </w:rPr>
        <w:t xml:space="preserve"> and participants.</w:t>
      </w:r>
    </w:p>
    <w:p w:rsidR="00C000BC" w:rsidRPr="00C000BC" w:rsidRDefault="00C000BC" w:rsidP="00C000BC">
      <w:pPr>
        <w:autoSpaceDE w:val="0"/>
        <w:autoSpaceDN w:val="0"/>
        <w:adjustRightInd w:val="0"/>
        <w:jc w:val="both"/>
        <w:rPr>
          <w:rFonts w:ascii="Arial" w:hAnsi="Arial" w:cs="Arial"/>
          <w:color w:val="000000"/>
        </w:rPr>
      </w:pPr>
    </w:p>
    <w:p w:rsidR="00C000BC" w:rsidRPr="00C000BC" w:rsidRDefault="00C000BC" w:rsidP="00C000BC">
      <w:pPr>
        <w:pStyle w:val="NoSpacing"/>
        <w:numPr>
          <w:ilvl w:val="0"/>
          <w:numId w:val="4"/>
        </w:numPr>
        <w:jc w:val="both"/>
        <w:rPr>
          <w:rFonts w:ascii="Arial" w:hAnsi="Arial" w:cs="Arial"/>
          <w:u w:val="dotDash"/>
          <w:lang w:val="en-US"/>
        </w:rPr>
      </w:pPr>
      <w:r w:rsidRPr="00C000BC">
        <w:rPr>
          <w:rFonts w:ascii="Arial" w:hAnsi="Arial" w:cs="Arial"/>
          <w:u w:val="dotDash"/>
          <w:lang w:val="en-US"/>
        </w:rPr>
        <w:lastRenderedPageBreak/>
        <w:t>Timing of implementation</w:t>
      </w:r>
    </w:p>
    <w:p w:rsidR="00C000BC" w:rsidRPr="00C000BC" w:rsidRDefault="00C000BC" w:rsidP="00C000BC">
      <w:pPr>
        <w:pStyle w:val="NoSpacing"/>
        <w:jc w:val="both"/>
        <w:rPr>
          <w:rFonts w:ascii="Arial" w:hAnsi="Arial" w:cs="Arial"/>
          <w:lang w:val="en-US"/>
        </w:rPr>
      </w:pPr>
    </w:p>
    <w:p w:rsidR="00C000BC" w:rsidRPr="00C000BC" w:rsidRDefault="00C000BC" w:rsidP="00C000BC">
      <w:pPr>
        <w:pStyle w:val="NoSpacing"/>
        <w:jc w:val="both"/>
        <w:rPr>
          <w:rFonts w:ascii="Arial" w:hAnsi="Arial" w:cs="Arial"/>
          <w:lang w:val="en-US"/>
        </w:rPr>
      </w:pPr>
      <w:r w:rsidRPr="00C000BC">
        <w:rPr>
          <w:rFonts w:ascii="Arial" w:hAnsi="Arial" w:cs="Arial"/>
          <w:lang w:val="en-US"/>
        </w:rPr>
        <w:t xml:space="preserve">Taking into account all the developments that will be required as a result of new ISO standards, implementation of the settlement discipline and in particular buy-in regime, BNY Mellon </w:t>
      </w:r>
      <w:proofErr w:type="spellStart"/>
      <w:r w:rsidRPr="00C000BC">
        <w:rPr>
          <w:rFonts w:ascii="Arial" w:hAnsi="Arial" w:cs="Arial"/>
          <w:lang w:val="en-US"/>
        </w:rPr>
        <w:t>CSD</w:t>
      </w:r>
      <w:proofErr w:type="spellEnd"/>
      <w:r w:rsidRPr="00C000BC">
        <w:rPr>
          <w:rFonts w:ascii="Arial" w:hAnsi="Arial" w:cs="Arial"/>
          <w:lang w:val="en-US"/>
        </w:rPr>
        <w:t xml:space="preserve"> is of the opinion that it is impossible for the </w:t>
      </w:r>
      <w:proofErr w:type="spellStart"/>
      <w:r w:rsidRPr="00C000BC">
        <w:rPr>
          <w:rFonts w:ascii="Arial" w:hAnsi="Arial" w:cs="Arial"/>
          <w:lang w:val="en-US"/>
        </w:rPr>
        <w:t>CSDs</w:t>
      </w:r>
      <w:proofErr w:type="spellEnd"/>
      <w:r w:rsidRPr="00C000BC">
        <w:rPr>
          <w:rFonts w:ascii="Arial" w:hAnsi="Arial" w:cs="Arial"/>
          <w:lang w:val="en-US"/>
        </w:rPr>
        <w:t xml:space="preserve"> and their participant to have the record-keeping requirement implemented by the end of 2016.</w:t>
      </w:r>
    </w:p>
    <w:p w:rsidR="00C000BC" w:rsidRPr="00C000BC" w:rsidRDefault="00C000BC" w:rsidP="00C000BC">
      <w:pPr>
        <w:pStyle w:val="NoSpacing"/>
        <w:jc w:val="both"/>
        <w:rPr>
          <w:rFonts w:ascii="Arial" w:hAnsi="Arial" w:cs="Arial"/>
          <w:lang w:val="en-US"/>
        </w:rPr>
      </w:pPr>
    </w:p>
    <w:p w:rsidR="00C000BC" w:rsidRPr="00C000BC" w:rsidRDefault="00C000BC" w:rsidP="00C000BC">
      <w:pPr>
        <w:pStyle w:val="NoSpacing"/>
        <w:jc w:val="both"/>
        <w:rPr>
          <w:rFonts w:ascii="Arial" w:hAnsi="Arial" w:cs="Arial"/>
          <w:lang w:val="en-US"/>
        </w:rPr>
      </w:pPr>
      <w:r w:rsidRPr="00C000BC">
        <w:rPr>
          <w:rFonts w:ascii="Arial" w:hAnsi="Arial" w:cs="Arial"/>
          <w:lang w:val="en-US"/>
        </w:rPr>
        <w:t>As a result, we are of the opinion that ESMA should propose for the alignment of the implementation of the recordkeeping requirements with the one of the settlement discipline regime.</w:t>
      </w:r>
    </w:p>
    <w:p w:rsidR="00C000BC" w:rsidRPr="00292847" w:rsidRDefault="00C000BC" w:rsidP="00292847">
      <w:pPr>
        <w:autoSpaceDE w:val="0"/>
        <w:autoSpaceDN w:val="0"/>
        <w:adjustRightInd w:val="0"/>
        <w:spacing w:before="0"/>
        <w:jc w:val="both"/>
        <w:rPr>
          <w:rFonts w:ascii="Arial" w:hAnsi="Arial" w:cs="Arial"/>
          <w:color w:val="000000"/>
          <w:lang w:val="en-GB" w:eastAsia="en-GB"/>
        </w:rPr>
      </w:pPr>
    </w:p>
    <w:p w:rsidR="00292847" w:rsidRDefault="00292847" w:rsidP="00292847">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Q25</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reconciliation measures included in Chapter V of Annex III? </w:t>
      </w:r>
    </w:p>
    <w:p w:rsidR="007E389D" w:rsidRPr="007E389D" w:rsidRDefault="007E389D" w:rsidP="007E389D">
      <w:pPr>
        <w:jc w:val="both"/>
        <w:rPr>
          <w:rFonts w:ascii="Arial" w:hAnsi="Arial" w:cs="Arial"/>
        </w:rPr>
      </w:pPr>
      <w:r w:rsidRPr="007E389D">
        <w:rPr>
          <w:rFonts w:ascii="Arial" w:hAnsi="Arial" w:cs="Arial"/>
        </w:rPr>
        <w:t xml:space="preserve">With respect to the definition of “double-entry accounting” as proposed by ESMA under art. 1 (c), and the requirement set out in art. 14(2) BNY Mellon </w:t>
      </w:r>
      <w:proofErr w:type="spellStart"/>
      <w:r w:rsidRPr="007E389D">
        <w:rPr>
          <w:rFonts w:ascii="Arial" w:hAnsi="Arial" w:cs="Arial"/>
        </w:rPr>
        <w:t>CSD</w:t>
      </w:r>
      <w:proofErr w:type="spellEnd"/>
      <w:r w:rsidRPr="007E389D">
        <w:rPr>
          <w:rFonts w:ascii="Arial" w:hAnsi="Arial" w:cs="Arial"/>
        </w:rPr>
        <w:t xml:space="preserve"> would like to stress that </w:t>
      </w:r>
      <w:proofErr w:type="spellStart"/>
      <w:r w:rsidRPr="007E389D">
        <w:rPr>
          <w:rFonts w:ascii="Arial" w:hAnsi="Arial" w:cs="Arial"/>
        </w:rPr>
        <w:t>CSD</w:t>
      </w:r>
      <w:proofErr w:type="spellEnd"/>
      <w:r w:rsidRPr="007E389D">
        <w:rPr>
          <w:rFonts w:ascii="Arial" w:hAnsi="Arial" w:cs="Arial"/>
        </w:rPr>
        <w:t xml:space="preserve"> Regulation (EU) N° 909/2014 provides in its article 3 for the need to have securities recorded in book-entry form in a </w:t>
      </w:r>
      <w:proofErr w:type="spellStart"/>
      <w:r w:rsidRPr="007E389D">
        <w:rPr>
          <w:rFonts w:ascii="Arial" w:hAnsi="Arial" w:cs="Arial"/>
        </w:rPr>
        <w:t>CSD</w:t>
      </w:r>
      <w:proofErr w:type="spellEnd"/>
      <w:r w:rsidRPr="007E389D">
        <w:rPr>
          <w:rFonts w:ascii="Arial" w:hAnsi="Arial" w:cs="Arial"/>
        </w:rPr>
        <w:t xml:space="preserve">.  </w:t>
      </w:r>
    </w:p>
    <w:p w:rsidR="007E389D" w:rsidRPr="007E389D" w:rsidRDefault="007E389D" w:rsidP="007E389D">
      <w:pPr>
        <w:jc w:val="both"/>
        <w:rPr>
          <w:rFonts w:ascii="Arial" w:hAnsi="Arial" w:cs="Arial"/>
        </w:rPr>
      </w:pPr>
      <w:r w:rsidRPr="007E389D">
        <w:rPr>
          <w:rFonts w:ascii="Arial" w:hAnsi="Arial" w:cs="Arial"/>
        </w:rPr>
        <w:t>Nevertheless:</w:t>
      </w:r>
    </w:p>
    <w:p w:rsidR="007E389D" w:rsidRPr="007E389D" w:rsidRDefault="007E389D" w:rsidP="007E389D">
      <w:pPr>
        <w:numPr>
          <w:ilvl w:val="0"/>
          <w:numId w:val="19"/>
        </w:numPr>
        <w:spacing w:before="0"/>
        <w:jc w:val="both"/>
        <w:rPr>
          <w:rFonts w:ascii="Arial" w:hAnsi="Arial" w:cs="Arial"/>
        </w:rPr>
      </w:pPr>
      <w:r w:rsidRPr="007E389D">
        <w:rPr>
          <w:rFonts w:ascii="Arial" w:hAnsi="Arial" w:cs="Arial"/>
        </w:rPr>
        <w:t xml:space="preserve">There is no formal requirement as per </w:t>
      </w:r>
      <w:proofErr w:type="spellStart"/>
      <w:r w:rsidRPr="007E389D">
        <w:rPr>
          <w:rFonts w:ascii="Arial" w:hAnsi="Arial" w:cs="Arial"/>
        </w:rPr>
        <w:t>CSDR</w:t>
      </w:r>
      <w:proofErr w:type="spellEnd"/>
      <w:r w:rsidRPr="007E389D">
        <w:rPr>
          <w:rFonts w:ascii="Arial" w:hAnsi="Arial" w:cs="Arial"/>
        </w:rPr>
        <w:t xml:space="preserve"> for ESMA to further elaborate on the need to define “double-entry booking/accounting” requirements.</w:t>
      </w:r>
    </w:p>
    <w:p w:rsidR="007E389D" w:rsidRPr="007E389D" w:rsidRDefault="007E389D" w:rsidP="007E389D">
      <w:pPr>
        <w:numPr>
          <w:ilvl w:val="0"/>
          <w:numId w:val="19"/>
        </w:numPr>
        <w:spacing w:before="0"/>
        <w:jc w:val="both"/>
        <w:rPr>
          <w:rFonts w:ascii="Arial" w:hAnsi="Arial" w:cs="Arial"/>
        </w:rPr>
      </w:pPr>
      <w:r w:rsidRPr="007E389D">
        <w:rPr>
          <w:rFonts w:ascii="Arial" w:hAnsi="Arial" w:cs="Arial"/>
        </w:rPr>
        <w:t xml:space="preserve">There are circumstances where “double entry-accounting will not fit with the formal definition as proposed by ESMA; depending on the way </w:t>
      </w:r>
      <w:proofErr w:type="spellStart"/>
      <w:r w:rsidRPr="007E389D">
        <w:rPr>
          <w:rFonts w:ascii="Arial" w:hAnsi="Arial" w:cs="Arial"/>
        </w:rPr>
        <w:t>CSDs</w:t>
      </w:r>
      <w:proofErr w:type="spellEnd"/>
      <w:r w:rsidRPr="007E389D">
        <w:rPr>
          <w:rFonts w:ascii="Arial" w:hAnsi="Arial" w:cs="Arial"/>
        </w:rPr>
        <w:t xml:space="preserve">’ infrastructure and application are built, for instance in the context of links, investor </w:t>
      </w:r>
      <w:proofErr w:type="spellStart"/>
      <w:r w:rsidRPr="007E389D">
        <w:rPr>
          <w:rFonts w:ascii="Arial" w:hAnsi="Arial" w:cs="Arial"/>
        </w:rPr>
        <w:t>CSDs</w:t>
      </w:r>
      <w:proofErr w:type="spellEnd"/>
      <w:r w:rsidRPr="007E389D">
        <w:rPr>
          <w:rFonts w:ascii="Arial" w:hAnsi="Arial" w:cs="Arial"/>
        </w:rPr>
        <w:t xml:space="preserve"> may use internal </w:t>
      </w:r>
      <w:proofErr w:type="spellStart"/>
      <w:r w:rsidRPr="007E389D">
        <w:rPr>
          <w:rFonts w:ascii="Arial" w:hAnsi="Arial" w:cs="Arial"/>
        </w:rPr>
        <w:t>nostro</w:t>
      </w:r>
      <w:proofErr w:type="spellEnd"/>
      <w:r w:rsidRPr="007E389D">
        <w:rPr>
          <w:rFonts w:ascii="Arial" w:hAnsi="Arial" w:cs="Arial"/>
        </w:rPr>
        <w:t xml:space="preserve">-types accounts that are mirroring the books of the issuer </w:t>
      </w:r>
      <w:proofErr w:type="spellStart"/>
      <w:r w:rsidRPr="007E389D">
        <w:rPr>
          <w:rFonts w:ascii="Arial" w:hAnsi="Arial" w:cs="Arial"/>
        </w:rPr>
        <w:t>CSD</w:t>
      </w:r>
      <w:proofErr w:type="spellEnd"/>
      <w:r w:rsidRPr="007E389D">
        <w:rPr>
          <w:rFonts w:ascii="Arial" w:hAnsi="Arial" w:cs="Arial"/>
        </w:rPr>
        <w:t xml:space="preserve">.  </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numPr>
          <w:ilvl w:val="0"/>
          <w:numId w:val="4"/>
        </w:numPr>
        <w:jc w:val="both"/>
        <w:rPr>
          <w:rFonts w:ascii="Arial" w:hAnsi="Arial" w:cs="Arial"/>
          <w:u w:val="dotDash"/>
          <w:lang w:val="en-US"/>
        </w:rPr>
      </w:pPr>
      <w:r w:rsidRPr="007E389D">
        <w:rPr>
          <w:rFonts w:ascii="Arial" w:hAnsi="Arial" w:cs="Arial"/>
          <w:u w:val="dotDash"/>
          <w:lang w:val="en-US"/>
        </w:rPr>
        <w:t>Art. 14 – General reconciliation  measures</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jc w:val="both"/>
        <w:rPr>
          <w:rFonts w:ascii="Arial" w:hAnsi="Arial" w:cs="Arial"/>
        </w:rPr>
      </w:pPr>
      <w:r w:rsidRPr="007E389D">
        <w:rPr>
          <w:rFonts w:ascii="Arial" w:hAnsi="Arial" w:cs="Arial"/>
          <w:lang w:val="en-US"/>
        </w:rPr>
        <w:t xml:space="preserve">As a general comment, BNY Mellon </w:t>
      </w:r>
      <w:proofErr w:type="spellStart"/>
      <w:r w:rsidRPr="007E389D">
        <w:rPr>
          <w:rFonts w:ascii="Arial" w:hAnsi="Arial" w:cs="Arial"/>
          <w:lang w:val="en-US"/>
        </w:rPr>
        <w:t>CSD</w:t>
      </w:r>
      <w:proofErr w:type="spellEnd"/>
      <w:r w:rsidRPr="007E389D">
        <w:rPr>
          <w:rFonts w:ascii="Arial" w:hAnsi="Arial" w:cs="Arial"/>
          <w:lang w:val="en-US"/>
        </w:rPr>
        <w:t xml:space="preserve"> would like to highlight its understanding of reconciliation requirements as per Regulation (EU) </w:t>
      </w:r>
      <w:proofErr w:type="spellStart"/>
      <w:r w:rsidRPr="007E389D">
        <w:rPr>
          <w:rFonts w:ascii="Arial" w:hAnsi="Arial" w:cs="Arial"/>
          <w:lang w:val="en-US"/>
        </w:rPr>
        <w:t>N°909</w:t>
      </w:r>
      <w:proofErr w:type="spellEnd"/>
      <w:r w:rsidRPr="007E389D">
        <w:rPr>
          <w:rFonts w:ascii="Arial" w:hAnsi="Arial" w:cs="Arial"/>
          <w:lang w:val="en-US"/>
        </w:rPr>
        <w:t xml:space="preserve">/2014; </w:t>
      </w:r>
      <w:proofErr w:type="gramStart"/>
      <w:r w:rsidRPr="007E389D">
        <w:rPr>
          <w:rFonts w:ascii="Arial" w:hAnsi="Arial" w:cs="Arial"/>
          <w:lang w:val="en-US"/>
        </w:rPr>
        <w:t>As</w:t>
      </w:r>
      <w:proofErr w:type="gramEnd"/>
      <w:r w:rsidRPr="007E389D">
        <w:rPr>
          <w:rFonts w:ascii="Arial" w:hAnsi="Arial" w:cs="Arial"/>
          <w:lang w:val="en-US"/>
        </w:rPr>
        <w:t xml:space="preserve"> per art. 37, </w:t>
      </w:r>
      <w:proofErr w:type="spellStart"/>
      <w:r w:rsidRPr="007E389D">
        <w:rPr>
          <w:rFonts w:ascii="Arial" w:hAnsi="Arial" w:cs="Arial"/>
          <w:lang w:val="en-US"/>
        </w:rPr>
        <w:t>CSD</w:t>
      </w:r>
      <w:proofErr w:type="spellEnd"/>
      <w:r w:rsidRPr="007E389D">
        <w:rPr>
          <w:rFonts w:ascii="Arial" w:hAnsi="Arial" w:cs="Arial"/>
          <w:lang w:val="en-US"/>
        </w:rPr>
        <w:t xml:space="preserve"> Regulation provides that “</w:t>
      </w:r>
      <w:r w:rsidRPr="007E389D">
        <w:rPr>
          <w:rFonts w:ascii="Arial" w:hAnsi="Arial" w:cs="Arial"/>
        </w:rPr>
        <w:t xml:space="preserve">A </w:t>
      </w:r>
      <w:proofErr w:type="spellStart"/>
      <w:r w:rsidRPr="007E389D">
        <w:rPr>
          <w:rFonts w:ascii="Arial" w:hAnsi="Arial" w:cs="Arial"/>
        </w:rPr>
        <w:t>CSD</w:t>
      </w:r>
      <w:proofErr w:type="spellEnd"/>
      <w:r w:rsidRPr="007E389D">
        <w:rPr>
          <w:rFonts w:ascii="Arial" w:hAnsi="Arial" w:cs="Arial"/>
        </w:rPr>
        <w:t xml:space="preserve"> shall take appropriate reconciliation measures to verify that the number of securities making up a securities issue or part of a securities issue submitted to the </w:t>
      </w:r>
      <w:proofErr w:type="spellStart"/>
      <w:r w:rsidRPr="007E389D">
        <w:rPr>
          <w:rFonts w:ascii="Arial" w:hAnsi="Arial" w:cs="Arial"/>
        </w:rPr>
        <w:t>CSD</w:t>
      </w:r>
      <w:proofErr w:type="spellEnd"/>
      <w:r w:rsidRPr="007E389D">
        <w:rPr>
          <w:rFonts w:ascii="Arial" w:hAnsi="Arial" w:cs="Arial"/>
        </w:rPr>
        <w:t xml:space="preserve"> is equal to the sum of securities recorded on the securities accounts of the participants of the securities settlement system operated by the </w:t>
      </w:r>
      <w:proofErr w:type="spellStart"/>
      <w:r w:rsidRPr="007E389D">
        <w:rPr>
          <w:rFonts w:ascii="Arial" w:hAnsi="Arial" w:cs="Arial"/>
        </w:rPr>
        <w:t>CSD</w:t>
      </w:r>
      <w:proofErr w:type="spellEnd"/>
      <w:r w:rsidRPr="007E389D">
        <w:rPr>
          <w:rFonts w:ascii="Arial" w:hAnsi="Arial" w:cs="Arial"/>
        </w:rPr>
        <w:t xml:space="preserve"> and, where relevant, on owner accounts maintained by the </w:t>
      </w:r>
      <w:proofErr w:type="spellStart"/>
      <w:r w:rsidRPr="007E389D">
        <w:rPr>
          <w:rFonts w:ascii="Arial" w:hAnsi="Arial" w:cs="Arial"/>
        </w:rPr>
        <w:t>CSD</w:t>
      </w:r>
      <w:proofErr w:type="spellEnd"/>
      <w:r w:rsidRPr="007E389D">
        <w:rPr>
          <w:rFonts w:ascii="Arial" w:hAnsi="Arial" w:cs="Arial"/>
        </w:rPr>
        <w:t xml:space="preserve">. </w:t>
      </w:r>
      <w:r w:rsidRPr="007E389D">
        <w:rPr>
          <w:rFonts w:ascii="Arial" w:hAnsi="Arial" w:cs="Arial"/>
          <w:b/>
        </w:rPr>
        <w:t>Such reconciliation measures shall be conducted at least daily</w:t>
      </w:r>
      <w:r w:rsidRPr="007E389D">
        <w:rPr>
          <w:rFonts w:ascii="Arial" w:hAnsi="Arial" w:cs="Arial"/>
        </w:rPr>
        <w:t>.”</w:t>
      </w:r>
    </w:p>
    <w:p w:rsidR="007E389D" w:rsidRPr="007E389D" w:rsidRDefault="007E389D" w:rsidP="007E389D">
      <w:pPr>
        <w:pStyle w:val="NoSpacing"/>
        <w:jc w:val="both"/>
        <w:rPr>
          <w:rFonts w:ascii="Arial" w:hAnsi="Arial" w:cs="Arial"/>
        </w:rPr>
      </w:pPr>
    </w:p>
    <w:p w:rsidR="007E389D" w:rsidRPr="007E389D" w:rsidRDefault="007E389D" w:rsidP="007E389D">
      <w:pPr>
        <w:pStyle w:val="NoSpacing"/>
        <w:jc w:val="both"/>
        <w:rPr>
          <w:rFonts w:ascii="Arial" w:hAnsi="Arial" w:cs="Arial"/>
        </w:rPr>
      </w:pPr>
      <w:r w:rsidRPr="007E389D">
        <w:rPr>
          <w:rFonts w:ascii="Arial" w:hAnsi="Arial" w:cs="Arial"/>
        </w:rPr>
        <w:t>It is our understanding that such a reconciliation process, while being performed daily, it would be performed taking into account information from previous day close of business.</w:t>
      </w:r>
    </w:p>
    <w:p w:rsidR="007E389D" w:rsidRPr="007E389D" w:rsidRDefault="007E389D" w:rsidP="007E389D">
      <w:pPr>
        <w:pStyle w:val="NoSpacing"/>
        <w:jc w:val="both"/>
        <w:rPr>
          <w:rFonts w:ascii="Arial" w:hAnsi="Arial" w:cs="Arial"/>
        </w:rPr>
      </w:pPr>
    </w:p>
    <w:p w:rsidR="007E389D" w:rsidRPr="007E389D" w:rsidRDefault="007E389D" w:rsidP="007E389D">
      <w:pPr>
        <w:pStyle w:val="NoSpacing"/>
        <w:jc w:val="both"/>
        <w:rPr>
          <w:rFonts w:ascii="Arial" w:hAnsi="Arial" w:cs="Arial"/>
          <w:u w:val="dotDash"/>
          <w:lang w:val="en-US"/>
        </w:rPr>
      </w:pPr>
      <w:r w:rsidRPr="007E389D">
        <w:rPr>
          <w:rFonts w:ascii="Arial" w:hAnsi="Arial" w:cs="Arial"/>
        </w:rPr>
        <w:t>As a result, we would like to stress that the requirement as defined under art. 14(1) should enable for reconciliation to be performed next day for previous business day, i.e. reconciliation of previous day closing balances on a daily basis.</w:t>
      </w:r>
    </w:p>
    <w:p w:rsidR="007E389D" w:rsidRPr="007E389D" w:rsidRDefault="007E389D" w:rsidP="007E389D">
      <w:pPr>
        <w:pStyle w:val="NoSpacing"/>
        <w:jc w:val="both"/>
        <w:rPr>
          <w:rFonts w:ascii="Arial" w:hAnsi="Arial" w:cs="Arial"/>
          <w:u w:val="dotDash"/>
          <w:lang w:val="en-US"/>
        </w:rPr>
      </w:pPr>
    </w:p>
    <w:p w:rsidR="007E389D" w:rsidRPr="007E389D" w:rsidRDefault="007E389D" w:rsidP="007E389D">
      <w:pPr>
        <w:pStyle w:val="NoSpacing"/>
        <w:numPr>
          <w:ilvl w:val="0"/>
          <w:numId w:val="4"/>
        </w:numPr>
        <w:jc w:val="both"/>
        <w:rPr>
          <w:rFonts w:ascii="Arial" w:hAnsi="Arial" w:cs="Arial"/>
          <w:u w:val="dotDash"/>
          <w:lang w:val="en-US"/>
        </w:rPr>
      </w:pPr>
      <w:r w:rsidRPr="007E389D">
        <w:rPr>
          <w:rFonts w:ascii="Arial" w:hAnsi="Arial" w:cs="Arial"/>
          <w:u w:val="dotDash"/>
          <w:lang w:val="en-US"/>
        </w:rPr>
        <w:t>Art. 17 - Problems related to reconciliation</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jc w:val="both"/>
        <w:rPr>
          <w:rFonts w:ascii="Arial" w:hAnsi="Arial" w:cs="Arial"/>
          <w:lang w:val="en-US"/>
        </w:rPr>
      </w:pPr>
      <w:r w:rsidRPr="007E389D">
        <w:rPr>
          <w:rFonts w:ascii="Arial" w:hAnsi="Arial" w:cs="Arial"/>
          <w:lang w:val="en-US"/>
        </w:rPr>
        <w:t xml:space="preserve">With respect to </w:t>
      </w:r>
      <w:proofErr w:type="spellStart"/>
      <w:r w:rsidRPr="007E389D">
        <w:rPr>
          <w:rFonts w:ascii="Arial" w:hAnsi="Arial" w:cs="Arial"/>
          <w:lang w:val="en-US"/>
        </w:rPr>
        <w:t>art.17</w:t>
      </w:r>
      <w:proofErr w:type="spellEnd"/>
      <w:r w:rsidRPr="007E389D">
        <w:rPr>
          <w:rFonts w:ascii="Arial" w:hAnsi="Arial" w:cs="Arial"/>
          <w:lang w:val="en-US"/>
        </w:rPr>
        <w:t xml:space="preserve"> (1), BNY Mellon </w:t>
      </w:r>
      <w:proofErr w:type="spellStart"/>
      <w:r w:rsidRPr="007E389D">
        <w:rPr>
          <w:rFonts w:ascii="Arial" w:hAnsi="Arial" w:cs="Arial"/>
          <w:lang w:val="en-US"/>
        </w:rPr>
        <w:t>CSD</w:t>
      </w:r>
      <w:proofErr w:type="spellEnd"/>
      <w:r w:rsidRPr="007E389D">
        <w:rPr>
          <w:rFonts w:ascii="Arial" w:hAnsi="Arial" w:cs="Arial"/>
          <w:lang w:val="en-US"/>
        </w:rPr>
        <w:t xml:space="preserve"> would like to draw </w:t>
      </w:r>
      <w:proofErr w:type="spellStart"/>
      <w:r w:rsidRPr="007E389D">
        <w:rPr>
          <w:rFonts w:ascii="Arial" w:hAnsi="Arial" w:cs="Arial"/>
          <w:lang w:val="en-US"/>
        </w:rPr>
        <w:t>ESMA’s</w:t>
      </w:r>
      <w:proofErr w:type="spellEnd"/>
      <w:r w:rsidRPr="007E389D">
        <w:rPr>
          <w:rFonts w:ascii="Arial" w:hAnsi="Arial" w:cs="Arial"/>
          <w:lang w:val="en-US"/>
        </w:rPr>
        <w:t xml:space="preserve"> attention to the fact that (</w:t>
      </w:r>
      <w:proofErr w:type="spellStart"/>
      <w:r w:rsidRPr="007E389D">
        <w:rPr>
          <w:rFonts w:ascii="Arial" w:hAnsi="Arial" w:cs="Arial"/>
          <w:lang w:val="en-US"/>
        </w:rPr>
        <w:t>i</w:t>
      </w:r>
      <w:proofErr w:type="spellEnd"/>
      <w:r w:rsidRPr="007E389D">
        <w:rPr>
          <w:rFonts w:ascii="Arial" w:hAnsi="Arial" w:cs="Arial"/>
          <w:lang w:val="en-US"/>
        </w:rPr>
        <w:t xml:space="preserve">) given our extended operating hours and (ii) taking into account that the reconciliation process is undertaken on a given day taking into account the information from the previous day close of business, the solving of reconciliation issue should take place “before the beginning of the settlement </w:t>
      </w:r>
      <w:r w:rsidRPr="007E389D">
        <w:rPr>
          <w:rFonts w:ascii="Arial" w:hAnsi="Arial" w:cs="Arial"/>
          <w:b/>
          <w:lang w:val="en-US"/>
        </w:rPr>
        <w:t xml:space="preserve">on the business day following the business day where the </w:t>
      </w:r>
      <w:proofErr w:type="spellStart"/>
      <w:r w:rsidRPr="007E389D">
        <w:rPr>
          <w:rFonts w:ascii="Arial" w:hAnsi="Arial" w:cs="Arial"/>
          <w:b/>
          <w:lang w:val="en-US"/>
        </w:rPr>
        <w:t>CSD</w:t>
      </w:r>
      <w:proofErr w:type="spellEnd"/>
      <w:r w:rsidRPr="007E389D">
        <w:rPr>
          <w:rFonts w:ascii="Arial" w:hAnsi="Arial" w:cs="Arial"/>
          <w:b/>
          <w:lang w:val="en-US"/>
        </w:rPr>
        <w:t xml:space="preserve"> identified a reconciliation issue.”</w:t>
      </w:r>
    </w:p>
    <w:p w:rsidR="007E389D" w:rsidRPr="007E389D" w:rsidRDefault="007E389D" w:rsidP="007E389D">
      <w:pPr>
        <w:pStyle w:val="NoSpacing"/>
        <w:jc w:val="both"/>
        <w:rPr>
          <w:rFonts w:ascii="Arial" w:hAnsi="Arial" w:cs="Arial"/>
          <w:lang w:val="en-US"/>
        </w:rPr>
      </w:pPr>
    </w:p>
    <w:p w:rsidR="007E389D" w:rsidRDefault="007E389D" w:rsidP="007E389D">
      <w:pPr>
        <w:pStyle w:val="NoSpacing"/>
        <w:jc w:val="both"/>
        <w:rPr>
          <w:rFonts w:ascii="Arial" w:hAnsi="Arial" w:cs="Arial"/>
          <w:lang w:val="en-US"/>
        </w:rPr>
      </w:pPr>
      <w:proofErr w:type="gramStart"/>
      <w:r w:rsidRPr="007E389D">
        <w:rPr>
          <w:rFonts w:ascii="Arial" w:hAnsi="Arial" w:cs="Arial"/>
          <w:lang w:val="en-US"/>
        </w:rPr>
        <w:t>Regarding art.</w:t>
      </w:r>
      <w:proofErr w:type="gramEnd"/>
      <w:r w:rsidRPr="007E389D">
        <w:rPr>
          <w:rFonts w:ascii="Arial" w:hAnsi="Arial" w:cs="Arial"/>
          <w:lang w:val="en-US"/>
        </w:rPr>
        <w:t xml:space="preserve"> 17(2), BNY Mellon </w:t>
      </w:r>
      <w:proofErr w:type="spellStart"/>
      <w:r w:rsidRPr="007E389D">
        <w:rPr>
          <w:rFonts w:ascii="Arial" w:hAnsi="Arial" w:cs="Arial"/>
          <w:lang w:val="en-US"/>
        </w:rPr>
        <w:t>CSD</w:t>
      </w:r>
      <w:proofErr w:type="spellEnd"/>
      <w:r w:rsidRPr="007E389D">
        <w:rPr>
          <w:rFonts w:ascii="Arial" w:hAnsi="Arial" w:cs="Arial"/>
          <w:lang w:val="en-US"/>
        </w:rPr>
        <w:t xml:space="preserve"> is of the opinion that suspension of settlement because of reconciliation issues as not appropriate; for instances, it could result in (</w:t>
      </w:r>
      <w:proofErr w:type="spellStart"/>
      <w:r w:rsidRPr="007E389D">
        <w:rPr>
          <w:rFonts w:ascii="Arial" w:hAnsi="Arial" w:cs="Arial"/>
          <w:lang w:val="en-US"/>
        </w:rPr>
        <w:t>i</w:t>
      </w:r>
      <w:proofErr w:type="spellEnd"/>
      <w:r w:rsidRPr="007E389D">
        <w:rPr>
          <w:rFonts w:ascii="Arial" w:hAnsi="Arial" w:cs="Arial"/>
          <w:lang w:val="en-US"/>
        </w:rPr>
        <w:t xml:space="preserve">) arbitrage whereby participant would re-direct their settlement instructions towards </w:t>
      </w:r>
      <w:proofErr w:type="spellStart"/>
      <w:r w:rsidRPr="007E389D">
        <w:rPr>
          <w:rFonts w:ascii="Arial" w:hAnsi="Arial" w:cs="Arial"/>
          <w:lang w:val="en-US"/>
        </w:rPr>
        <w:t>CSDs</w:t>
      </w:r>
      <w:proofErr w:type="spellEnd"/>
      <w:r w:rsidRPr="007E389D">
        <w:rPr>
          <w:rFonts w:ascii="Arial" w:hAnsi="Arial" w:cs="Arial"/>
          <w:lang w:val="en-US"/>
        </w:rPr>
        <w:t xml:space="preserve"> where settlement in that particular security would not be suspended, (ii) further risks posed to </w:t>
      </w:r>
      <w:proofErr w:type="spellStart"/>
      <w:r w:rsidRPr="007E389D">
        <w:rPr>
          <w:rFonts w:ascii="Arial" w:hAnsi="Arial" w:cs="Arial"/>
          <w:lang w:val="en-US"/>
        </w:rPr>
        <w:t>CCPs</w:t>
      </w:r>
      <w:proofErr w:type="spellEnd"/>
      <w:r w:rsidRPr="007E389D">
        <w:rPr>
          <w:rFonts w:ascii="Arial" w:hAnsi="Arial" w:cs="Arial"/>
          <w:lang w:val="en-US"/>
        </w:rPr>
        <w:t xml:space="preserve"> that would not be receiving the relevant securities as collateral, (iii) bias in the settlement efficiency and liquidity of markets where settlement would be suspended while trading would not, etc.</w:t>
      </w:r>
    </w:p>
    <w:p w:rsidR="00292847" w:rsidRPr="007E389D" w:rsidRDefault="00292847" w:rsidP="007E389D">
      <w:pPr>
        <w:pStyle w:val="NoSpacing"/>
        <w:jc w:val="both"/>
        <w:rPr>
          <w:rFonts w:ascii="Arial" w:hAnsi="Arial" w:cs="Arial"/>
          <w:lang w:val="en-US"/>
        </w:rPr>
      </w:pPr>
      <w:proofErr w:type="spellStart"/>
      <w:r w:rsidRPr="00292847">
        <w:rPr>
          <w:rFonts w:ascii="Arial" w:hAnsi="Arial" w:cs="Arial"/>
          <w:b/>
          <w:bCs/>
          <w:color w:val="000000"/>
          <w:lang w:eastAsia="en-GB"/>
        </w:rPr>
        <w:lastRenderedPageBreak/>
        <w:t>Q26</w:t>
      </w:r>
      <w:proofErr w:type="spellEnd"/>
      <w:r w:rsidRPr="00292847">
        <w:rPr>
          <w:rFonts w:ascii="Arial" w:hAnsi="Arial" w:cs="Arial"/>
          <w:b/>
          <w:bCs/>
          <w:color w:val="000000"/>
          <w:lang w:eastAsia="en-GB"/>
        </w:rPr>
        <w:t xml:space="preserve">: Do you believe that the proposed reconciliation measures where other entities are involved in the reconciliation process for a certain securities issue within the meaning of Article 37(2) of </w:t>
      </w:r>
      <w:proofErr w:type="spellStart"/>
      <w:r w:rsidRPr="00292847">
        <w:rPr>
          <w:rFonts w:ascii="Arial" w:hAnsi="Arial" w:cs="Arial"/>
          <w:b/>
          <w:bCs/>
          <w:color w:val="000000"/>
          <w:lang w:eastAsia="en-GB"/>
        </w:rPr>
        <w:t>CSDR</w:t>
      </w:r>
      <w:proofErr w:type="spellEnd"/>
      <w:r w:rsidRPr="00292847">
        <w:rPr>
          <w:rFonts w:ascii="Arial" w:hAnsi="Arial" w:cs="Arial"/>
          <w:b/>
          <w:bCs/>
          <w:color w:val="000000"/>
          <w:lang w:eastAsia="en-GB"/>
        </w:rPr>
        <w:t xml:space="preserve"> are adequate? Please explain if you think that any of the proposed measures would not be applicable in the case of a specific entity. Please provide examples of any additional measures that would be relevant in the case of specific entities. </w:t>
      </w:r>
    </w:p>
    <w:p w:rsidR="007E389D" w:rsidRDefault="007E389D" w:rsidP="00292847">
      <w:pPr>
        <w:autoSpaceDE w:val="0"/>
        <w:autoSpaceDN w:val="0"/>
        <w:adjustRightInd w:val="0"/>
        <w:spacing w:before="0"/>
        <w:jc w:val="both"/>
        <w:rPr>
          <w:rFonts w:ascii="Arial" w:hAnsi="Arial" w:cs="Arial"/>
          <w:b/>
          <w:bCs/>
          <w:color w:val="000000"/>
          <w:lang w:val="en-GB" w:eastAsia="en-GB"/>
        </w:rPr>
      </w:pPr>
    </w:p>
    <w:p w:rsidR="007E389D" w:rsidRPr="007E389D" w:rsidRDefault="007E389D" w:rsidP="007E389D">
      <w:pPr>
        <w:pStyle w:val="NoSpacing"/>
        <w:jc w:val="both"/>
        <w:rPr>
          <w:rFonts w:ascii="Arial" w:hAnsi="Arial" w:cs="Arial"/>
          <w:lang w:val="en-US"/>
        </w:rPr>
      </w:pPr>
      <w:r w:rsidRPr="007E389D">
        <w:rPr>
          <w:rFonts w:ascii="Arial" w:hAnsi="Arial" w:cs="Arial"/>
          <w:lang w:val="en-US"/>
        </w:rPr>
        <w:t xml:space="preserve">BNY Mellon </w:t>
      </w:r>
      <w:proofErr w:type="spellStart"/>
      <w:r w:rsidRPr="007E389D">
        <w:rPr>
          <w:rFonts w:ascii="Arial" w:hAnsi="Arial" w:cs="Arial"/>
          <w:lang w:val="en-US"/>
        </w:rPr>
        <w:t>CSD</w:t>
      </w:r>
      <w:proofErr w:type="spellEnd"/>
      <w:r w:rsidRPr="007E389D">
        <w:rPr>
          <w:rFonts w:ascii="Arial" w:hAnsi="Arial" w:cs="Arial"/>
          <w:lang w:val="en-US"/>
        </w:rPr>
        <w:t xml:space="preserve"> is of the opinion that art. 16 </w:t>
      </w:r>
      <w:proofErr w:type="gramStart"/>
      <w:r w:rsidRPr="007E389D">
        <w:rPr>
          <w:rFonts w:ascii="Arial" w:hAnsi="Arial" w:cs="Arial"/>
          <w:lang w:val="en-US"/>
        </w:rPr>
        <w:t>does</w:t>
      </w:r>
      <w:proofErr w:type="gramEnd"/>
      <w:r w:rsidRPr="007E389D">
        <w:rPr>
          <w:rFonts w:ascii="Arial" w:hAnsi="Arial" w:cs="Arial"/>
          <w:lang w:val="en-US"/>
        </w:rPr>
        <w:t xml:space="preserve"> not take into account the practical arrangements that can be implemented when it comes to the holding of securities issues through </w:t>
      </w:r>
      <w:proofErr w:type="spellStart"/>
      <w:r w:rsidRPr="007E389D">
        <w:rPr>
          <w:rFonts w:ascii="Arial" w:hAnsi="Arial" w:cs="Arial"/>
          <w:lang w:val="en-US"/>
        </w:rPr>
        <w:t>CSDs</w:t>
      </w:r>
      <w:proofErr w:type="spellEnd"/>
      <w:r w:rsidRPr="007E389D">
        <w:rPr>
          <w:rFonts w:ascii="Arial" w:hAnsi="Arial" w:cs="Arial"/>
          <w:lang w:val="en-US"/>
        </w:rPr>
        <w:t>.</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jc w:val="both"/>
        <w:rPr>
          <w:rFonts w:ascii="Arial" w:hAnsi="Arial" w:cs="Arial"/>
          <w:lang w:val="en-US"/>
        </w:rPr>
      </w:pPr>
      <w:r w:rsidRPr="007E389D">
        <w:rPr>
          <w:rFonts w:ascii="Arial" w:hAnsi="Arial" w:cs="Arial"/>
          <w:lang w:val="en-US"/>
        </w:rPr>
        <w:t>Only considering the need for reconciliation requirements as per the involvement of other entities makes the reconciliation process as described under art. 16 impossible in some circumstances, which are:</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numPr>
          <w:ilvl w:val="0"/>
          <w:numId w:val="5"/>
        </w:numPr>
        <w:jc w:val="both"/>
        <w:rPr>
          <w:rFonts w:ascii="Arial" w:hAnsi="Arial" w:cs="Arial"/>
          <w:lang w:val="en-US"/>
        </w:rPr>
      </w:pPr>
      <w:r w:rsidRPr="007E389D">
        <w:rPr>
          <w:rFonts w:ascii="Arial" w:hAnsi="Arial" w:cs="Arial"/>
          <w:lang w:val="en-US"/>
        </w:rPr>
        <w:t xml:space="preserve">Circumstances where </w:t>
      </w:r>
      <w:proofErr w:type="spellStart"/>
      <w:r w:rsidRPr="007E389D">
        <w:rPr>
          <w:rFonts w:ascii="Arial" w:hAnsi="Arial" w:cs="Arial"/>
          <w:lang w:val="en-US"/>
        </w:rPr>
        <w:t>CSDs</w:t>
      </w:r>
      <w:proofErr w:type="spellEnd"/>
      <w:r w:rsidRPr="007E389D">
        <w:rPr>
          <w:rFonts w:ascii="Arial" w:hAnsi="Arial" w:cs="Arial"/>
          <w:lang w:val="en-US"/>
        </w:rPr>
        <w:t xml:space="preserve"> are an intermediary in the custody chain (i.e. no direct link with the issuer </w:t>
      </w:r>
      <w:proofErr w:type="spellStart"/>
      <w:r w:rsidRPr="007E389D">
        <w:rPr>
          <w:rFonts w:ascii="Arial" w:hAnsi="Arial" w:cs="Arial"/>
          <w:lang w:val="en-US"/>
        </w:rPr>
        <w:t>CSD</w:t>
      </w:r>
      <w:proofErr w:type="spellEnd"/>
      <w:r w:rsidRPr="007E389D">
        <w:rPr>
          <w:rFonts w:ascii="Arial" w:hAnsi="Arial" w:cs="Arial"/>
          <w:lang w:val="en-US"/>
        </w:rPr>
        <w:t xml:space="preserve">); in such a scenario, the </w:t>
      </w:r>
      <w:proofErr w:type="spellStart"/>
      <w:r w:rsidRPr="007E389D">
        <w:rPr>
          <w:rFonts w:ascii="Arial" w:hAnsi="Arial" w:cs="Arial"/>
          <w:lang w:val="en-US"/>
        </w:rPr>
        <w:t>CSD</w:t>
      </w:r>
      <w:proofErr w:type="spellEnd"/>
      <w:r w:rsidRPr="007E389D">
        <w:rPr>
          <w:rFonts w:ascii="Arial" w:hAnsi="Arial" w:cs="Arial"/>
          <w:lang w:val="en-US"/>
        </w:rPr>
        <w:t xml:space="preserve"> will have to reconcile with the external notary (usually transfer agent) and such a reconciliation will be subject to the service level offered by such an external notary (which will not be subject to </w:t>
      </w:r>
      <w:proofErr w:type="spellStart"/>
      <w:r w:rsidRPr="007E389D">
        <w:rPr>
          <w:rFonts w:ascii="Arial" w:hAnsi="Arial" w:cs="Arial"/>
          <w:lang w:val="en-US"/>
        </w:rPr>
        <w:t>CSD</w:t>
      </w:r>
      <w:proofErr w:type="spellEnd"/>
      <w:r w:rsidRPr="007E389D">
        <w:rPr>
          <w:rFonts w:ascii="Arial" w:hAnsi="Arial" w:cs="Arial"/>
          <w:lang w:val="en-US"/>
        </w:rPr>
        <w:t xml:space="preserve"> Regulation). In addition to the periodicity of the reconciliation process, the </w:t>
      </w:r>
      <w:proofErr w:type="spellStart"/>
      <w:r w:rsidRPr="007E389D">
        <w:rPr>
          <w:rFonts w:ascii="Arial" w:hAnsi="Arial" w:cs="Arial"/>
          <w:lang w:val="en-US"/>
        </w:rPr>
        <w:t>CSD</w:t>
      </w:r>
      <w:proofErr w:type="spellEnd"/>
      <w:r w:rsidRPr="007E389D">
        <w:rPr>
          <w:rFonts w:ascii="Arial" w:hAnsi="Arial" w:cs="Arial"/>
          <w:lang w:val="en-US"/>
        </w:rPr>
        <w:t xml:space="preserve"> will not be entitled to suspend the settlement process in case of reconciliation issue.</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jc w:val="both"/>
        <w:rPr>
          <w:rFonts w:ascii="Arial" w:hAnsi="Arial" w:cs="Arial"/>
          <w:lang w:val="en-US"/>
        </w:rPr>
      </w:pPr>
      <w:r w:rsidRPr="007E389D">
        <w:rPr>
          <w:rFonts w:ascii="Arial" w:hAnsi="Arial" w:cs="Arial"/>
          <w:lang w:val="en-US"/>
        </w:rPr>
        <w:t xml:space="preserve">As a result, BNY Mellon </w:t>
      </w:r>
      <w:proofErr w:type="spellStart"/>
      <w:r w:rsidRPr="007E389D">
        <w:rPr>
          <w:rFonts w:ascii="Arial" w:hAnsi="Arial" w:cs="Arial"/>
          <w:lang w:val="en-US"/>
        </w:rPr>
        <w:t>CSD</w:t>
      </w:r>
      <w:proofErr w:type="spellEnd"/>
      <w:r w:rsidRPr="007E389D">
        <w:rPr>
          <w:rFonts w:ascii="Arial" w:hAnsi="Arial" w:cs="Arial"/>
          <w:lang w:val="en-US"/>
        </w:rPr>
        <w:t xml:space="preserve"> proposes ESMA to redraft art. 16 according to the below:</w:t>
      </w:r>
    </w:p>
    <w:p w:rsidR="007E389D" w:rsidRPr="007E389D" w:rsidRDefault="007E389D" w:rsidP="007E389D">
      <w:pPr>
        <w:pStyle w:val="NoSpacing"/>
        <w:jc w:val="both"/>
        <w:rPr>
          <w:rFonts w:ascii="Arial" w:hAnsi="Arial" w:cs="Arial"/>
          <w:lang w:val="en-US"/>
        </w:rPr>
      </w:pPr>
    </w:p>
    <w:p w:rsidR="007E389D" w:rsidRPr="007E389D" w:rsidRDefault="007E389D" w:rsidP="007E389D">
      <w:pPr>
        <w:pStyle w:val="NoSpacing"/>
        <w:jc w:val="both"/>
        <w:rPr>
          <w:rFonts w:ascii="Arial" w:hAnsi="Arial" w:cs="Arial"/>
          <w:lang w:val="en-US"/>
        </w:rPr>
      </w:pPr>
      <w:r w:rsidRPr="007E389D">
        <w:rPr>
          <w:rFonts w:ascii="Arial" w:hAnsi="Arial" w:cs="Arial"/>
          <w:lang w:val="en-US"/>
        </w:rPr>
        <w:t>“</w:t>
      </w:r>
      <w:r w:rsidRPr="007E389D">
        <w:rPr>
          <w:rFonts w:ascii="Arial" w:hAnsi="Arial" w:cs="Arial"/>
          <w:i/>
        </w:rPr>
        <w:t xml:space="preserve">Where other entities are involved in the reconciliation process for a certain securities issue within the meaning of Article 37(2) of Regulation (EU) No 909/2014 </w:t>
      </w:r>
      <w:r w:rsidRPr="007E389D">
        <w:rPr>
          <w:rFonts w:ascii="Arial" w:hAnsi="Arial" w:cs="Arial"/>
          <w:b/>
          <w:i/>
        </w:rPr>
        <w:t xml:space="preserve">and where the </w:t>
      </w:r>
      <w:proofErr w:type="spellStart"/>
      <w:r w:rsidRPr="007E389D">
        <w:rPr>
          <w:rFonts w:ascii="Arial" w:hAnsi="Arial" w:cs="Arial"/>
          <w:b/>
          <w:i/>
        </w:rPr>
        <w:t>CSD</w:t>
      </w:r>
      <w:proofErr w:type="spellEnd"/>
      <w:r w:rsidRPr="007E389D">
        <w:rPr>
          <w:rFonts w:ascii="Arial" w:hAnsi="Arial" w:cs="Arial"/>
          <w:b/>
          <w:i/>
        </w:rPr>
        <w:t xml:space="preserve"> provides the central maintenance service for that issue</w:t>
      </w:r>
      <w:r w:rsidRPr="007E389D">
        <w:rPr>
          <w:rFonts w:ascii="Arial" w:hAnsi="Arial" w:cs="Arial"/>
          <w:i/>
        </w:rPr>
        <w:t xml:space="preserve">, the measures to be taken by the </w:t>
      </w:r>
      <w:proofErr w:type="spellStart"/>
      <w:r w:rsidRPr="007E389D">
        <w:rPr>
          <w:rFonts w:ascii="Arial" w:hAnsi="Arial" w:cs="Arial"/>
          <w:i/>
        </w:rPr>
        <w:t>CSD</w:t>
      </w:r>
      <w:proofErr w:type="spellEnd"/>
      <w:r w:rsidRPr="007E389D">
        <w:rPr>
          <w:rFonts w:ascii="Arial" w:hAnsi="Arial" w:cs="Arial"/>
          <w:i/>
        </w:rPr>
        <w:t xml:space="preserve"> and those other entities to ensure the integrity of the issue shall include at least:”</w:t>
      </w:r>
    </w:p>
    <w:p w:rsidR="007E389D" w:rsidRPr="00292847" w:rsidRDefault="007E389D" w:rsidP="00292847">
      <w:pPr>
        <w:autoSpaceDE w:val="0"/>
        <w:autoSpaceDN w:val="0"/>
        <w:adjustRightInd w:val="0"/>
        <w:spacing w:before="0"/>
        <w:jc w:val="both"/>
        <w:rPr>
          <w:rFonts w:ascii="Arial" w:hAnsi="Arial" w:cs="Arial"/>
          <w:color w:val="000000"/>
          <w:lang w:val="en-GB" w:eastAsia="en-GB"/>
        </w:rPr>
      </w:pPr>
    </w:p>
    <w:p w:rsidR="00292847" w:rsidRDefault="00292847" w:rsidP="00292847">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Q27</w:t>
      </w:r>
      <w:proofErr w:type="spellEnd"/>
      <w:r w:rsidRPr="00292847">
        <w:rPr>
          <w:rFonts w:ascii="Arial" w:hAnsi="Arial" w:cs="Arial"/>
          <w:b/>
          <w:bCs/>
          <w:color w:val="000000"/>
          <w:lang w:val="en-GB" w:eastAsia="en-GB"/>
        </w:rPr>
        <w:t xml:space="preserve">: What are your views on the proposed reconciliation measures for corporate actions under Article 15 of the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included in Chapter V of Annex III? </w:t>
      </w:r>
    </w:p>
    <w:p w:rsidR="007E389D" w:rsidRDefault="007E389D" w:rsidP="00292847">
      <w:pPr>
        <w:autoSpaceDE w:val="0"/>
        <w:autoSpaceDN w:val="0"/>
        <w:adjustRightInd w:val="0"/>
        <w:spacing w:before="0"/>
        <w:jc w:val="both"/>
        <w:rPr>
          <w:rFonts w:ascii="Arial" w:hAnsi="Arial" w:cs="Arial"/>
          <w:b/>
          <w:bCs/>
          <w:color w:val="000000"/>
          <w:lang w:val="en-GB" w:eastAsia="en-GB"/>
        </w:rPr>
      </w:pPr>
    </w:p>
    <w:p w:rsidR="007E389D" w:rsidRPr="007E389D" w:rsidRDefault="007E389D" w:rsidP="00292847">
      <w:pPr>
        <w:autoSpaceDE w:val="0"/>
        <w:autoSpaceDN w:val="0"/>
        <w:adjustRightInd w:val="0"/>
        <w:spacing w:before="0"/>
        <w:jc w:val="both"/>
        <w:rPr>
          <w:rFonts w:ascii="Arial" w:hAnsi="Arial" w:cs="Arial"/>
          <w:bCs/>
          <w:color w:val="000000"/>
          <w:lang w:val="en-GB" w:eastAsia="en-GB"/>
        </w:rPr>
      </w:pPr>
      <w:r w:rsidRPr="007E389D">
        <w:rPr>
          <w:rFonts w:ascii="Arial" w:hAnsi="Arial" w:cs="Arial"/>
          <w:bCs/>
          <w:color w:val="000000"/>
          <w:lang w:val="en-GB" w:eastAsia="en-GB"/>
        </w:rPr>
        <w:t xml:space="preserve">BNY Mellon </w:t>
      </w:r>
      <w:proofErr w:type="spellStart"/>
      <w:r w:rsidRPr="007E389D">
        <w:rPr>
          <w:rFonts w:ascii="Arial" w:hAnsi="Arial" w:cs="Arial"/>
          <w:bCs/>
          <w:color w:val="000000"/>
          <w:lang w:val="en-GB" w:eastAsia="en-GB"/>
        </w:rPr>
        <w:t>CSD</w:t>
      </w:r>
      <w:proofErr w:type="spellEnd"/>
      <w:r w:rsidRPr="007E389D">
        <w:rPr>
          <w:rFonts w:ascii="Arial" w:hAnsi="Arial" w:cs="Arial"/>
          <w:bCs/>
          <w:color w:val="000000"/>
          <w:lang w:val="en-GB" w:eastAsia="en-GB"/>
        </w:rPr>
        <w:t xml:space="preserve"> believes that it is important the </w:t>
      </w:r>
      <w:proofErr w:type="spellStart"/>
      <w:r w:rsidRPr="007E389D">
        <w:rPr>
          <w:rFonts w:ascii="Arial" w:hAnsi="Arial" w:cs="Arial"/>
          <w:bCs/>
          <w:color w:val="000000"/>
          <w:lang w:val="en-GB" w:eastAsia="en-GB"/>
        </w:rPr>
        <w:t>RTS</w:t>
      </w:r>
      <w:proofErr w:type="spellEnd"/>
      <w:r w:rsidRPr="007E389D">
        <w:rPr>
          <w:rFonts w:ascii="Arial" w:hAnsi="Arial" w:cs="Arial"/>
          <w:bCs/>
          <w:color w:val="000000"/>
          <w:lang w:val="en-GB" w:eastAsia="en-GB"/>
        </w:rPr>
        <w:t xml:space="preserve"> allow </w:t>
      </w:r>
      <w:proofErr w:type="spellStart"/>
      <w:r w:rsidRPr="007E389D">
        <w:rPr>
          <w:rFonts w:ascii="Arial" w:hAnsi="Arial" w:cs="Arial"/>
          <w:bCs/>
          <w:color w:val="000000"/>
          <w:lang w:val="en-GB" w:eastAsia="en-GB"/>
        </w:rPr>
        <w:t>CSDs</w:t>
      </w:r>
      <w:proofErr w:type="spellEnd"/>
      <w:r w:rsidRPr="007E389D">
        <w:rPr>
          <w:rFonts w:ascii="Arial" w:hAnsi="Arial" w:cs="Arial"/>
          <w:bCs/>
          <w:color w:val="000000"/>
          <w:lang w:val="en-GB" w:eastAsia="en-GB"/>
        </w:rPr>
        <w:t xml:space="preserve"> to comply with the Market Standards for Corporate Actions Processing. BNY Mellon </w:t>
      </w:r>
      <w:proofErr w:type="spellStart"/>
      <w:r w:rsidRPr="007E389D">
        <w:rPr>
          <w:rFonts w:ascii="Arial" w:hAnsi="Arial" w:cs="Arial"/>
          <w:bCs/>
          <w:color w:val="000000"/>
          <w:lang w:val="en-GB" w:eastAsia="en-GB"/>
        </w:rPr>
        <w:t>CSD</w:t>
      </w:r>
      <w:proofErr w:type="spellEnd"/>
      <w:r w:rsidRPr="007E389D">
        <w:rPr>
          <w:rFonts w:ascii="Arial" w:hAnsi="Arial" w:cs="Arial"/>
          <w:bCs/>
          <w:color w:val="000000"/>
          <w:lang w:val="en-GB" w:eastAsia="en-GB"/>
        </w:rPr>
        <w:t xml:space="preserve"> believes that the current text of art. 15(1) could be interpreted in a manner that would prevent compliance. We suggest that ESMA clarifies this point.</w:t>
      </w:r>
    </w:p>
    <w:p w:rsidR="007E389D" w:rsidRDefault="007E389D" w:rsidP="00292847">
      <w:pPr>
        <w:autoSpaceDE w:val="0"/>
        <w:autoSpaceDN w:val="0"/>
        <w:adjustRightInd w:val="0"/>
        <w:spacing w:before="0"/>
        <w:jc w:val="both"/>
        <w:rPr>
          <w:rFonts w:ascii="Arial" w:hAnsi="Arial" w:cs="Arial"/>
          <w:b/>
          <w:bCs/>
          <w:color w:val="000000"/>
          <w:lang w:val="en-GB" w:eastAsia="en-GB"/>
        </w:rPr>
      </w:pPr>
    </w:p>
    <w:p w:rsidR="002C55AD" w:rsidRDefault="00292847" w:rsidP="002C55AD">
      <w:pPr>
        <w:autoSpaceDE w:val="0"/>
        <w:autoSpaceDN w:val="0"/>
        <w:adjustRightInd w:val="0"/>
        <w:spacing w:before="0"/>
        <w:jc w:val="both"/>
        <w:rPr>
          <w:rFonts w:ascii="Arial" w:hAnsi="Arial" w:cs="Arial"/>
          <w:b/>
          <w:bCs/>
          <w:color w:val="000000"/>
          <w:lang w:val="en-GB" w:eastAsia="en-GB"/>
        </w:rPr>
      </w:pPr>
      <w:proofErr w:type="spellStart"/>
      <w:r w:rsidRPr="00292847">
        <w:rPr>
          <w:rFonts w:ascii="Arial" w:hAnsi="Arial" w:cs="Arial"/>
          <w:b/>
          <w:bCs/>
          <w:color w:val="000000"/>
          <w:lang w:val="en-GB" w:eastAsia="en-GB"/>
        </w:rPr>
        <w:t>Q31</w:t>
      </w:r>
      <w:proofErr w:type="spellEnd"/>
      <w:r w:rsidRPr="00292847">
        <w:rPr>
          <w:rFonts w:ascii="Arial" w:hAnsi="Arial" w:cs="Arial"/>
          <w:b/>
          <w:bCs/>
          <w:color w:val="000000"/>
          <w:lang w:val="en-GB" w:eastAsia="en-GB"/>
        </w:rPr>
        <w:t xml:space="preserve">: What are your views on the proposed draft </w:t>
      </w:r>
      <w:proofErr w:type="spellStart"/>
      <w:r w:rsidRPr="00292847">
        <w:rPr>
          <w:rFonts w:ascii="Arial" w:hAnsi="Arial" w:cs="Arial"/>
          <w:b/>
          <w:bCs/>
          <w:color w:val="000000"/>
          <w:lang w:val="en-GB" w:eastAsia="en-GB"/>
        </w:rPr>
        <w:t>RTS</w:t>
      </w:r>
      <w:proofErr w:type="spellEnd"/>
      <w:r w:rsidRPr="00292847">
        <w:rPr>
          <w:rFonts w:ascii="Arial" w:hAnsi="Arial" w:cs="Arial"/>
          <w:b/>
          <w:bCs/>
          <w:color w:val="000000"/>
          <w:lang w:val="en-GB" w:eastAsia="en-GB"/>
        </w:rPr>
        <w:t xml:space="preserve"> on </w:t>
      </w:r>
      <w:proofErr w:type="spellStart"/>
      <w:r w:rsidRPr="00292847">
        <w:rPr>
          <w:rFonts w:ascii="Arial" w:hAnsi="Arial" w:cs="Arial"/>
          <w:b/>
          <w:bCs/>
          <w:color w:val="000000"/>
          <w:lang w:val="en-GB" w:eastAsia="en-GB"/>
        </w:rPr>
        <w:t>CSD</w:t>
      </w:r>
      <w:proofErr w:type="spellEnd"/>
      <w:r w:rsidRPr="00292847">
        <w:rPr>
          <w:rFonts w:ascii="Arial" w:hAnsi="Arial" w:cs="Arial"/>
          <w:b/>
          <w:bCs/>
          <w:color w:val="000000"/>
          <w:lang w:val="en-GB" w:eastAsia="en-GB"/>
        </w:rPr>
        <w:t xml:space="preserve"> links as included in Chapter IV of Annex IV? </w:t>
      </w:r>
    </w:p>
    <w:p w:rsidR="002C55AD" w:rsidRPr="002C55AD" w:rsidRDefault="002C55AD" w:rsidP="002C55AD">
      <w:pPr>
        <w:autoSpaceDE w:val="0"/>
        <w:autoSpaceDN w:val="0"/>
        <w:adjustRightInd w:val="0"/>
        <w:spacing w:before="0"/>
        <w:jc w:val="both"/>
        <w:rPr>
          <w:rFonts w:ascii="Arial" w:hAnsi="Arial" w:cs="Arial"/>
          <w:b/>
          <w:bCs/>
          <w:color w:val="000000"/>
          <w:lang w:val="en-GB" w:eastAsia="en-GB"/>
        </w:rPr>
      </w:pPr>
    </w:p>
    <w:p w:rsidR="002C55AD" w:rsidRPr="002C55AD" w:rsidRDefault="002C55AD" w:rsidP="002C55AD">
      <w:pPr>
        <w:pStyle w:val="NoSpacing"/>
        <w:numPr>
          <w:ilvl w:val="0"/>
          <w:numId w:val="4"/>
        </w:numPr>
        <w:jc w:val="both"/>
        <w:rPr>
          <w:rFonts w:ascii="Arial" w:hAnsi="Arial" w:cs="Arial"/>
          <w:u w:val="dotDash"/>
          <w:lang w:val="en-US"/>
        </w:rPr>
      </w:pPr>
      <w:r w:rsidRPr="002C55AD">
        <w:rPr>
          <w:rFonts w:ascii="Arial" w:hAnsi="Arial" w:cs="Arial"/>
          <w:u w:val="dotDash"/>
          <w:lang w:val="en-US"/>
        </w:rPr>
        <w:t>Art. 4 – Condition for adequate protection</w:t>
      </w:r>
    </w:p>
    <w:p w:rsidR="002C55AD" w:rsidRPr="002C55AD" w:rsidRDefault="002C55AD" w:rsidP="002C55AD">
      <w:pPr>
        <w:pStyle w:val="NoSpacing"/>
        <w:ind w:left="720"/>
        <w:jc w:val="both"/>
        <w:rPr>
          <w:rFonts w:ascii="Arial" w:hAnsi="Arial" w:cs="Arial"/>
          <w:lang w:val="en-US"/>
        </w:rPr>
      </w:pPr>
    </w:p>
    <w:p w:rsidR="002C55AD" w:rsidRPr="002C55AD" w:rsidRDefault="002C55AD" w:rsidP="002C55AD">
      <w:pPr>
        <w:pStyle w:val="NoSpacing"/>
        <w:jc w:val="both"/>
        <w:rPr>
          <w:rFonts w:ascii="Arial" w:hAnsi="Arial" w:cs="Arial"/>
        </w:rPr>
      </w:pPr>
      <w:r w:rsidRPr="002C55AD">
        <w:rPr>
          <w:rFonts w:ascii="Arial" w:hAnsi="Arial" w:cs="Arial"/>
        </w:rPr>
        <w:t xml:space="preserve">BNY Mellon </w:t>
      </w:r>
      <w:proofErr w:type="spellStart"/>
      <w:r w:rsidRPr="002C55AD">
        <w:rPr>
          <w:rFonts w:ascii="Arial" w:hAnsi="Arial" w:cs="Arial"/>
        </w:rPr>
        <w:t>CSD</w:t>
      </w:r>
      <w:proofErr w:type="spellEnd"/>
      <w:r w:rsidRPr="002C55AD">
        <w:rPr>
          <w:rFonts w:ascii="Arial" w:hAnsi="Arial" w:cs="Arial"/>
        </w:rPr>
        <w:t xml:space="preserve"> would like to raise concerns with respect to art. 4(1</w:t>
      </w:r>
      <w:proofErr w:type="gramStart"/>
      <w:r w:rsidRPr="002C55AD">
        <w:rPr>
          <w:rFonts w:ascii="Arial" w:hAnsi="Arial" w:cs="Arial"/>
        </w:rPr>
        <w:t>)(</w:t>
      </w:r>
      <w:proofErr w:type="gramEnd"/>
      <w:r w:rsidRPr="002C55AD">
        <w:rPr>
          <w:rFonts w:ascii="Arial" w:hAnsi="Arial" w:cs="Arial"/>
        </w:rPr>
        <w:t xml:space="preserve">f) that provides that “A </w:t>
      </w:r>
      <w:r w:rsidRPr="002C55AD">
        <w:rPr>
          <w:rFonts w:ascii="Arial" w:hAnsi="Arial" w:cs="Arial"/>
          <w:b/>
        </w:rPr>
        <w:t xml:space="preserve">requesting </w:t>
      </w:r>
      <w:proofErr w:type="spellStart"/>
      <w:r w:rsidRPr="002C55AD">
        <w:rPr>
          <w:rFonts w:ascii="Arial" w:hAnsi="Arial" w:cs="Arial"/>
          <w:b/>
        </w:rPr>
        <w:t>CSD</w:t>
      </w:r>
      <w:proofErr w:type="spellEnd"/>
      <w:r w:rsidRPr="002C55AD">
        <w:rPr>
          <w:rFonts w:ascii="Arial" w:hAnsi="Arial" w:cs="Arial"/>
          <w:b/>
        </w:rPr>
        <w:t xml:space="preserve"> that is not authorised to provide banking-type ancillary services</w:t>
      </w:r>
      <w:r w:rsidRPr="002C55AD">
        <w:rPr>
          <w:rFonts w:ascii="Arial" w:hAnsi="Arial" w:cs="Arial"/>
        </w:rPr>
        <w:t xml:space="preserve"> in accordance with Article 53 of Regulation (EU) No 909/2014 </w:t>
      </w:r>
      <w:r w:rsidRPr="002C55AD">
        <w:rPr>
          <w:rFonts w:ascii="Arial" w:hAnsi="Arial" w:cs="Arial"/>
          <w:b/>
        </w:rPr>
        <w:t xml:space="preserve">shall not receive banking-type of ancillary services from a receiving </w:t>
      </w:r>
      <w:proofErr w:type="spellStart"/>
      <w:r w:rsidRPr="002C55AD">
        <w:rPr>
          <w:rFonts w:ascii="Arial" w:hAnsi="Arial" w:cs="Arial"/>
          <w:b/>
        </w:rPr>
        <w:t>CSD</w:t>
      </w:r>
      <w:proofErr w:type="spellEnd"/>
      <w:r w:rsidRPr="002C55AD">
        <w:rPr>
          <w:rFonts w:ascii="Arial" w:hAnsi="Arial" w:cs="Arial"/>
          <w:b/>
        </w:rPr>
        <w:t xml:space="preserve"> authorised to provide banking-type ancillary services</w:t>
      </w:r>
      <w:r w:rsidRPr="002C55AD">
        <w:rPr>
          <w:rFonts w:ascii="Arial" w:hAnsi="Arial" w:cs="Arial"/>
        </w:rPr>
        <w:t xml:space="preserve"> in accordance with Article 53 of Regulation (EU) No 909/2014, in relation to the settlement of the cash leg to be processed through the link”.</w:t>
      </w:r>
    </w:p>
    <w:p w:rsidR="002C55AD" w:rsidRPr="002C55AD" w:rsidRDefault="002C55AD" w:rsidP="002C55AD">
      <w:pPr>
        <w:pStyle w:val="NoSpacing"/>
        <w:jc w:val="both"/>
        <w:rPr>
          <w:rFonts w:ascii="Arial" w:hAnsi="Arial" w:cs="Arial"/>
        </w:rPr>
      </w:pPr>
    </w:p>
    <w:p w:rsidR="002C55AD" w:rsidRPr="002C55AD" w:rsidRDefault="002C55AD" w:rsidP="002C55AD">
      <w:pPr>
        <w:pStyle w:val="NoSpacing"/>
        <w:jc w:val="both"/>
        <w:rPr>
          <w:rFonts w:ascii="Arial" w:hAnsi="Arial" w:cs="Arial"/>
        </w:rPr>
      </w:pPr>
      <w:r w:rsidRPr="002C55AD">
        <w:rPr>
          <w:rFonts w:ascii="Arial" w:hAnsi="Arial" w:cs="Arial"/>
        </w:rPr>
        <w:t xml:space="preserve">As per this article, it is our understanding that </w:t>
      </w:r>
      <w:proofErr w:type="spellStart"/>
      <w:r w:rsidRPr="002C55AD">
        <w:rPr>
          <w:rFonts w:ascii="Arial" w:hAnsi="Arial" w:cs="Arial"/>
        </w:rPr>
        <w:t>DvP</w:t>
      </w:r>
      <w:proofErr w:type="spellEnd"/>
      <w:r w:rsidRPr="002C55AD">
        <w:rPr>
          <w:rFonts w:ascii="Arial" w:hAnsi="Arial" w:cs="Arial"/>
        </w:rPr>
        <w:t xml:space="preserve"> links between </w:t>
      </w:r>
      <w:proofErr w:type="spellStart"/>
      <w:r w:rsidRPr="002C55AD">
        <w:rPr>
          <w:rFonts w:ascii="Arial" w:hAnsi="Arial" w:cs="Arial"/>
        </w:rPr>
        <w:t>CSD</w:t>
      </w:r>
      <w:proofErr w:type="spellEnd"/>
      <w:r w:rsidRPr="002C55AD">
        <w:rPr>
          <w:rFonts w:ascii="Arial" w:hAnsi="Arial" w:cs="Arial"/>
        </w:rPr>
        <w:t xml:space="preserve"> without a banking licence and </w:t>
      </w:r>
      <w:proofErr w:type="spellStart"/>
      <w:r w:rsidRPr="002C55AD">
        <w:rPr>
          <w:rFonts w:ascii="Arial" w:hAnsi="Arial" w:cs="Arial"/>
        </w:rPr>
        <w:t>CSD</w:t>
      </w:r>
      <w:proofErr w:type="spellEnd"/>
      <w:r w:rsidRPr="002C55AD">
        <w:rPr>
          <w:rFonts w:ascii="Arial" w:hAnsi="Arial" w:cs="Arial"/>
        </w:rPr>
        <w:t xml:space="preserve"> with banking licence would not be allowed. This is, to us, contrary to the current accepted market practice and current numerous </w:t>
      </w:r>
      <w:proofErr w:type="spellStart"/>
      <w:r w:rsidRPr="002C55AD">
        <w:rPr>
          <w:rFonts w:ascii="Arial" w:hAnsi="Arial" w:cs="Arial"/>
        </w:rPr>
        <w:t>CSD</w:t>
      </w:r>
      <w:proofErr w:type="spellEnd"/>
      <w:r w:rsidRPr="002C55AD">
        <w:rPr>
          <w:rFonts w:ascii="Arial" w:hAnsi="Arial" w:cs="Arial"/>
        </w:rPr>
        <w:t>-to-</w:t>
      </w:r>
      <w:proofErr w:type="spellStart"/>
      <w:r w:rsidRPr="002C55AD">
        <w:rPr>
          <w:rFonts w:ascii="Arial" w:hAnsi="Arial" w:cs="Arial"/>
        </w:rPr>
        <w:t>CSD</w:t>
      </w:r>
      <w:proofErr w:type="spellEnd"/>
      <w:r w:rsidRPr="002C55AD">
        <w:rPr>
          <w:rFonts w:ascii="Arial" w:hAnsi="Arial" w:cs="Arial"/>
        </w:rPr>
        <w:t xml:space="preserve"> links as authorised by the EU competent authorities.</w:t>
      </w:r>
    </w:p>
    <w:p w:rsidR="002C55AD" w:rsidRPr="002C55AD" w:rsidRDefault="002C55AD" w:rsidP="002C55AD">
      <w:pPr>
        <w:pStyle w:val="NoSpacing"/>
        <w:jc w:val="both"/>
        <w:rPr>
          <w:rFonts w:ascii="Arial" w:hAnsi="Arial" w:cs="Arial"/>
        </w:rPr>
      </w:pPr>
    </w:p>
    <w:p w:rsidR="002C55AD" w:rsidRPr="002C55AD" w:rsidRDefault="002C55AD" w:rsidP="002C55AD">
      <w:pPr>
        <w:pStyle w:val="NoSpacing"/>
        <w:numPr>
          <w:ilvl w:val="0"/>
          <w:numId w:val="4"/>
        </w:numPr>
        <w:jc w:val="both"/>
        <w:rPr>
          <w:rFonts w:ascii="Arial" w:hAnsi="Arial" w:cs="Arial"/>
          <w:u w:val="dotDash"/>
          <w:lang w:val="en-US"/>
        </w:rPr>
      </w:pPr>
      <w:r w:rsidRPr="002C55AD">
        <w:rPr>
          <w:rFonts w:ascii="Arial" w:hAnsi="Arial" w:cs="Arial"/>
          <w:u w:val="dotDash"/>
          <w:lang w:val="en-US"/>
        </w:rPr>
        <w:t>Art. 6 – Reconciliation of links</w:t>
      </w:r>
    </w:p>
    <w:p w:rsidR="002C55AD" w:rsidRPr="002C55AD" w:rsidRDefault="002C55AD" w:rsidP="002C55AD">
      <w:pPr>
        <w:pStyle w:val="NoSpacing"/>
        <w:jc w:val="both"/>
        <w:rPr>
          <w:rFonts w:ascii="Arial" w:hAnsi="Arial" w:cs="Arial"/>
          <w:color w:val="000000"/>
          <w:lang w:val="en-US"/>
        </w:rPr>
      </w:pPr>
    </w:p>
    <w:p w:rsidR="002C55AD" w:rsidRPr="002C55AD" w:rsidRDefault="002C55AD" w:rsidP="002C55AD">
      <w:pPr>
        <w:pStyle w:val="NoSpacing"/>
        <w:jc w:val="both"/>
        <w:rPr>
          <w:rFonts w:ascii="Arial" w:hAnsi="Arial" w:cs="Arial"/>
          <w:color w:val="000000"/>
          <w:lang w:val="en-US"/>
        </w:rPr>
      </w:pPr>
      <w:r w:rsidRPr="002C55AD">
        <w:rPr>
          <w:rFonts w:ascii="Arial" w:hAnsi="Arial" w:cs="Arial"/>
          <w:color w:val="000000"/>
          <w:lang w:val="en-US"/>
        </w:rPr>
        <w:t xml:space="preserve">BNY Mellon </w:t>
      </w:r>
      <w:proofErr w:type="spellStart"/>
      <w:r w:rsidRPr="002C55AD">
        <w:rPr>
          <w:rFonts w:ascii="Arial" w:hAnsi="Arial" w:cs="Arial"/>
          <w:color w:val="000000"/>
          <w:lang w:val="en-US"/>
        </w:rPr>
        <w:t>CSD</w:t>
      </w:r>
      <w:proofErr w:type="spellEnd"/>
      <w:r w:rsidRPr="002C55AD">
        <w:rPr>
          <w:rFonts w:ascii="Arial" w:hAnsi="Arial" w:cs="Arial"/>
          <w:color w:val="000000"/>
          <w:lang w:val="en-US"/>
        </w:rPr>
        <w:t xml:space="preserve"> would like to raise its concerns with respect to certain aspects of art. 6.</w:t>
      </w:r>
    </w:p>
    <w:p w:rsidR="002C55AD" w:rsidRPr="002C55AD" w:rsidRDefault="002C55AD" w:rsidP="002C55AD">
      <w:pPr>
        <w:pStyle w:val="NoSpacing"/>
        <w:jc w:val="both"/>
        <w:rPr>
          <w:rFonts w:ascii="Arial" w:hAnsi="Arial" w:cs="Arial"/>
          <w:color w:val="000000"/>
          <w:lang w:val="en-US"/>
        </w:rPr>
      </w:pPr>
    </w:p>
    <w:p w:rsidR="002C55AD" w:rsidRPr="002C55AD" w:rsidRDefault="002C55AD" w:rsidP="002C55AD">
      <w:pPr>
        <w:pStyle w:val="NoSpacing"/>
        <w:jc w:val="both"/>
        <w:rPr>
          <w:rFonts w:ascii="Arial" w:hAnsi="Arial" w:cs="Arial"/>
          <w:color w:val="000000"/>
          <w:lang w:val="en-US"/>
        </w:rPr>
      </w:pPr>
      <w:proofErr w:type="gramStart"/>
      <w:r w:rsidRPr="002C55AD">
        <w:rPr>
          <w:rFonts w:ascii="Arial" w:hAnsi="Arial" w:cs="Arial"/>
          <w:color w:val="000000"/>
          <w:lang w:val="en-US"/>
        </w:rPr>
        <w:t>Regarding art.</w:t>
      </w:r>
      <w:proofErr w:type="gramEnd"/>
      <w:r w:rsidRPr="002C55AD">
        <w:rPr>
          <w:rFonts w:ascii="Arial" w:hAnsi="Arial" w:cs="Arial"/>
          <w:color w:val="000000"/>
          <w:lang w:val="en-US"/>
        </w:rPr>
        <w:t xml:space="preserve"> 6(1</w:t>
      </w:r>
      <w:proofErr w:type="gramStart"/>
      <w:r w:rsidRPr="002C55AD">
        <w:rPr>
          <w:rFonts w:ascii="Arial" w:hAnsi="Arial" w:cs="Arial"/>
          <w:color w:val="000000"/>
          <w:lang w:val="en-US"/>
        </w:rPr>
        <w:t>)(</w:t>
      </w:r>
      <w:proofErr w:type="gramEnd"/>
      <w:r w:rsidRPr="002C55AD">
        <w:rPr>
          <w:rFonts w:ascii="Arial" w:hAnsi="Arial" w:cs="Arial"/>
          <w:color w:val="000000"/>
          <w:lang w:val="en-US"/>
        </w:rPr>
        <w:t>b), we would like to highlight that such daily reconciliation should be completed by close of business of next business day.</w:t>
      </w:r>
    </w:p>
    <w:p w:rsidR="002C55AD" w:rsidRPr="002C55AD" w:rsidRDefault="002C55AD" w:rsidP="002C55AD">
      <w:pPr>
        <w:pStyle w:val="NoSpacing"/>
        <w:jc w:val="both"/>
        <w:rPr>
          <w:rFonts w:ascii="Arial" w:hAnsi="Arial" w:cs="Arial"/>
          <w:color w:val="000000"/>
          <w:lang w:val="en-US"/>
        </w:rPr>
      </w:pPr>
    </w:p>
    <w:p w:rsidR="002C55AD" w:rsidRDefault="002C55AD" w:rsidP="002C55AD">
      <w:pPr>
        <w:pStyle w:val="NoSpacing"/>
        <w:jc w:val="both"/>
        <w:rPr>
          <w:rFonts w:ascii="Arial" w:hAnsi="Arial" w:cs="Arial"/>
          <w:color w:val="000000"/>
          <w:lang w:val="en-US"/>
        </w:rPr>
      </w:pPr>
      <w:proofErr w:type="gramStart"/>
      <w:r w:rsidRPr="002C55AD">
        <w:rPr>
          <w:rFonts w:ascii="Arial" w:hAnsi="Arial" w:cs="Arial"/>
          <w:color w:val="000000"/>
          <w:lang w:val="en-US"/>
        </w:rPr>
        <w:lastRenderedPageBreak/>
        <w:t>With respect to art.</w:t>
      </w:r>
      <w:proofErr w:type="gramEnd"/>
      <w:r w:rsidRPr="002C55AD">
        <w:rPr>
          <w:rFonts w:ascii="Arial" w:hAnsi="Arial" w:cs="Arial"/>
          <w:color w:val="000000"/>
          <w:lang w:val="en-US"/>
        </w:rPr>
        <w:t xml:space="preserve"> 6(3), BNY Mellon </w:t>
      </w:r>
      <w:proofErr w:type="spellStart"/>
      <w:r w:rsidRPr="002C55AD">
        <w:rPr>
          <w:rFonts w:ascii="Arial" w:hAnsi="Arial" w:cs="Arial"/>
          <w:color w:val="000000"/>
          <w:lang w:val="en-US"/>
        </w:rPr>
        <w:t>CSD</w:t>
      </w:r>
      <w:proofErr w:type="spellEnd"/>
      <w:r w:rsidRPr="002C55AD">
        <w:rPr>
          <w:rFonts w:ascii="Arial" w:hAnsi="Arial" w:cs="Arial"/>
          <w:color w:val="000000"/>
          <w:lang w:val="en-US"/>
        </w:rPr>
        <w:t xml:space="preserve"> is of the opinion that this requirements should be deleted as, should the suspension regime be further considered as per art. 17 of the draft </w:t>
      </w:r>
      <w:proofErr w:type="spellStart"/>
      <w:r w:rsidRPr="002C55AD">
        <w:rPr>
          <w:rFonts w:ascii="Arial" w:hAnsi="Arial" w:cs="Arial"/>
          <w:color w:val="000000"/>
          <w:lang w:val="en-US"/>
        </w:rPr>
        <w:t>RTS</w:t>
      </w:r>
      <w:proofErr w:type="spellEnd"/>
      <w:r w:rsidRPr="002C55AD">
        <w:rPr>
          <w:rFonts w:ascii="Arial" w:hAnsi="Arial" w:cs="Arial"/>
          <w:color w:val="000000"/>
          <w:lang w:val="en-US"/>
        </w:rPr>
        <w:t xml:space="preserve"> on </w:t>
      </w:r>
      <w:proofErr w:type="spellStart"/>
      <w:r w:rsidRPr="002C55AD">
        <w:rPr>
          <w:rFonts w:ascii="Arial" w:hAnsi="Arial" w:cs="Arial"/>
          <w:color w:val="000000"/>
          <w:lang w:val="en-US"/>
        </w:rPr>
        <w:t>CSD</w:t>
      </w:r>
      <w:proofErr w:type="spellEnd"/>
      <w:r w:rsidRPr="002C55AD">
        <w:rPr>
          <w:rFonts w:ascii="Arial" w:hAnsi="Arial" w:cs="Arial"/>
          <w:color w:val="000000"/>
          <w:lang w:val="en-US"/>
        </w:rPr>
        <w:t xml:space="preserve"> Requirements, it is only the </w:t>
      </w:r>
      <w:proofErr w:type="spellStart"/>
      <w:r w:rsidRPr="002C55AD">
        <w:rPr>
          <w:rFonts w:ascii="Arial" w:hAnsi="Arial" w:cs="Arial"/>
          <w:color w:val="000000"/>
          <w:lang w:val="en-US"/>
        </w:rPr>
        <w:t>CSD</w:t>
      </w:r>
      <w:proofErr w:type="spellEnd"/>
      <w:r w:rsidRPr="002C55AD">
        <w:rPr>
          <w:rFonts w:ascii="Arial" w:hAnsi="Arial" w:cs="Arial"/>
          <w:color w:val="000000"/>
          <w:lang w:val="en-US"/>
        </w:rPr>
        <w:t xml:space="preserve"> that centrally maintain the related securities that should be entitled with such a suspension. Nevertheless, we remain of the opinion that such a suspension regime would be detrimental to the settlement efficiency of the market as explained previously.</w:t>
      </w:r>
    </w:p>
    <w:p w:rsidR="002C55AD" w:rsidRPr="002C55AD" w:rsidRDefault="002C55AD" w:rsidP="002C55AD">
      <w:pPr>
        <w:pStyle w:val="NoSpacing"/>
        <w:jc w:val="both"/>
        <w:rPr>
          <w:rFonts w:ascii="Arial" w:hAnsi="Arial" w:cs="Arial"/>
          <w:color w:val="000000"/>
          <w:lang w:val="en-US"/>
        </w:rPr>
      </w:pPr>
    </w:p>
    <w:p w:rsidR="002C55AD" w:rsidRPr="002C55AD" w:rsidRDefault="002C55AD" w:rsidP="002C55AD">
      <w:pPr>
        <w:pStyle w:val="NoSpacing"/>
        <w:jc w:val="both"/>
        <w:rPr>
          <w:rFonts w:ascii="Arial" w:hAnsi="Arial" w:cs="Arial"/>
          <w:color w:val="000000"/>
          <w:lang w:val="en-US"/>
        </w:rPr>
      </w:pPr>
      <w:proofErr w:type="gramStart"/>
      <w:r w:rsidRPr="002C55AD">
        <w:rPr>
          <w:rFonts w:ascii="Arial" w:hAnsi="Arial" w:cs="Arial"/>
          <w:color w:val="000000"/>
          <w:lang w:val="en-US"/>
        </w:rPr>
        <w:t>Regarding art.</w:t>
      </w:r>
      <w:proofErr w:type="gramEnd"/>
      <w:r w:rsidRPr="002C55AD">
        <w:rPr>
          <w:rFonts w:ascii="Arial" w:hAnsi="Arial" w:cs="Arial"/>
          <w:color w:val="000000"/>
          <w:lang w:val="en-US"/>
        </w:rPr>
        <w:t xml:space="preserve"> 6(4), we would like to highlight that corporate action processing in both </w:t>
      </w:r>
      <w:proofErr w:type="spellStart"/>
      <w:r w:rsidRPr="002C55AD">
        <w:rPr>
          <w:rFonts w:ascii="Arial" w:hAnsi="Arial" w:cs="Arial"/>
          <w:color w:val="000000"/>
          <w:lang w:val="en-US"/>
        </w:rPr>
        <w:t>CSDs</w:t>
      </w:r>
      <w:proofErr w:type="spellEnd"/>
      <w:r w:rsidRPr="002C55AD">
        <w:rPr>
          <w:rFonts w:ascii="Arial" w:hAnsi="Arial" w:cs="Arial"/>
          <w:color w:val="000000"/>
          <w:lang w:val="en-US"/>
        </w:rPr>
        <w:t xml:space="preserve"> should follow the Market Standards for Corporate Actions Processing and the </w:t>
      </w:r>
      <w:proofErr w:type="spellStart"/>
      <w:r w:rsidRPr="002C55AD">
        <w:rPr>
          <w:rFonts w:ascii="Arial" w:hAnsi="Arial" w:cs="Arial"/>
          <w:color w:val="000000"/>
          <w:lang w:val="en-US"/>
        </w:rPr>
        <w:t>RTS</w:t>
      </w:r>
      <w:proofErr w:type="spellEnd"/>
      <w:r w:rsidRPr="002C55AD">
        <w:rPr>
          <w:rFonts w:ascii="Arial" w:hAnsi="Arial" w:cs="Arial"/>
          <w:color w:val="000000"/>
          <w:lang w:val="en-US"/>
        </w:rPr>
        <w:t xml:space="preserve"> should fully allow </w:t>
      </w:r>
      <w:proofErr w:type="spellStart"/>
      <w:r w:rsidRPr="002C55AD">
        <w:rPr>
          <w:rFonts w:ascii="Arial" w:hAnsi="Arial" w:cs="Arial"/>
          <w:color w:val="000000"/>
          <w:lang w:val="en-US"/>
        </w:rPr>
        <w:t>CSDs</w:t>
      </w:r>
      <w:proofErr w:type="spellEnd"/>
      <w:r w:rsidRPr="002C55AD">
        <w:rPr>
          <w:rFonts w:ascii="Arial" w:hAnsi="Arial" w:cs="Arial"/>
          <w:color w:val="000000"/>
          <w:lang w:val="en-US"/>
        </w:rPr>
        <w:t xml:space="preserve"> to comply with these Standards. We believe that ESMA should clarify the text of this article.</w:t>
      </w:r>
    </w:p>
    <w:p w:rsidR="002C55AD" w:rsidRPr="00292847" w:rsidRDefault="002C55AD" w:rsidP="00292847">
      <w:pPr>
        <w:autoSpaceDE w:val="0"/>
        <w:autoSpaceDN w:val="0"/>
        <w:adjustRightInd w:val="0"/>
        <w:spacing w:before="0"/>
        <w:jc w:val="both"/>
        <w:rPr>
          <w:rFonts w:ascii="Arial" w:hAnsi="Arial" w:cs="Arial"/>
          <w:color w:val="000000"/>
          <w:lang w:val="en-GB" w:eastAsia="en-GB"/>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604E15" w:rsidRPr="00292847" w:rsidRDefault="00604E15" w:rsidP="00292847">
      <w:pPr>
        <w:pStyle w:val="NoSpacing"/>
        <w:jc w:val="both"/>
        <w:rPr>
          <w:rFonts w:ascii="Arial" w:hAnsi="Arial" w:cs="Arial"/>
        </w:rPr>
      </w:pPr>
    </w:p>
    <w:p w:rsidR="005B5567" w:rsidRPr="00292847" w:rsidRDefault="005B5567"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D6320D" w:rsidRPr="00292847" w:rsidRDefault="00D6320D" w:rsidP="00292847">
      <w:pPr>
        <w:pStyle w:val="Footer"/>
        <w:jc w:val="both"/>
        <w:rPr>
          <w:rFonts w:ascii="Arial" w:hAnsi="Arial" w:cs="Arial"/>
          <w:b/>
        </w:rPr>
      </w:pPr>
    </w:p>
    <w:p w:rsidR="00292847" w:rsidRDefault="00292847" w:rsidP="00292847">
      <w:pPr>
        <w:pStyle w:val="Footer"/>
        <w:jc w:val="both"/>
        <w:rPr>
          <w:rFonts w:ascii="Arial" w:hAnsi="Arial" w:cs="Arial"/>
          <w:b/>
        </w:rPr>
      </w:pPr>
      <w:bookmarkStart w:id="0" w:name="_GoBack"/>
      <w:bookmarkEnd w:id="0"/>
    </w:p>
    <w:p w:rsidR="00292847" w:rsidRDefault="00292847" w:rsidP="00292847">
      <w:pPr>
        <w:pStyle w:val="Footer"/>
        <w:jc w:val="both"/>
        <w:rPr>
          <w:rFonts w:ascii="Arial" w:hAnsi="Arial" w:cs="Arial"/>
          <w:b/>
        </w:rPr>
      </w:pPr>
    </w:p>
    <w:p w:rsidR="00A3128B" w:rsidRPr="00E53A8C" w:rsidRDefault="00A3128B" w:rsidP="00292847">
      <w:pPr>
        <w:pStyle w:val="Footer"/>
        <w:jc w:val="both"/>
        <w:rPr>
          <w:rFonts w:ascii="Arial" w:hAnsi="Arial" w:cs="Arial"/>
          <w:b/>
        </w:rPr>
      </w:pPr>
    </w:p>
    <w:p w:rsidR="000E501E" w:rsidRPr="00E53A8C" w:rsidRDefault="000E501E" w:rsidP="00292847">
      <w:pPr>
        <w:pStyle w:val="Footer"/>
        <w:jc w:val="center"/>
        <w:rPr>
          <w:rFonts w:ascii="Arial" w:hAnsi="Arial" w:cs="Arial"/>
          <w:b/>
          <w:color w:val="595959" w:themeColor="text1" w:themeTint="A6"/>
        </w:rPr>
      </w:pPr>
    </w:p>
    <w:p w:rsidR="002C2E1C" w:rsidRPr="00A3128B" w:rsidRDefault="002C2E1C" w:rsidP="00292847">
      <w:pPr>
        <w:pStyle w:val="Footer"/>
        <w:jc w:val="center"/>
        <w:rPr>
          <w:rFonts w:ascii="Arial" w:hAnsi="Arial" w:cs="Arial"/>
          <w:b/>
          <w:color w:val="595959" w:themeColor="text1" w:themeTint="A6"/>
          <w:sz w:val="15"/>
          <w:szCs w:val="15"/>
        </w:rPr>
      </w:pPr>
      <w:r w:rsidRPr="00A3128B">
        <w:rPr>
          <w:rFonts w:ascii="Arial" w:hAnsi="Arial" w:cs="Arial"/>
          <w:b/>
          <w:color w:val="595959" w:themeColor="text1" w:themeTint="A6"/>
          <w:sz w:val="15"/>
          <w:szCs w:val="15"/>
        </w:rPr>
        <w:t>BNY Mellon CSD SA/NV</w:t>
      </w:r>
    </w:p>
    <w:p w:rsidR="000D6578" w:rsidRPr="00A3128B" w:rsidRDefault="000D6578" w:rsidP="00292847">
      <w:pPr>
        <w:pStyle w:val="Footer"/>
        <w:jc w:val="center"/>
        <w:rPr>
          <w:rFonts w:ascii="Arial" w:hAnsi="Arial" w:cs="Arial"/>
          <w:b/>
          <w:color w:val="595959" w:themeColor="text1" w:themeTint="A6"/>
          <w:sz w:val="15"/>
          <w:szCs w:val="15"/>
        </w:rPr>
      </w:pPr>
      <w:r w:rsidRPr="00A3128B">
        <w:rPr>
          <w:rFonts w:ascii="Arial" w:hAnsi="Arial" w:cs="Arial"/>
          <w:b/>
          <w:color w:val="595959" w:themeColor="text1" w:themeTint="A6"/>
          <w:sz w:val="15"/>
          <w:szCs w:val="15"/>
        </w:rPr>
        <w:t>Rue Montoyerstraat 46, B-1000 Brussels, Belgium</w:t>
      </w:r>
    </w:p>
    <w:p w:rsidR="002C2E1C" w:rsidRPr="00A3128B" w:rsidRDefault="000D6578" w:rsidP="00292847">
      <w:pPr>
        <w:pStyle w:val="Footer"/>
        <w:jc w:val="center"/>
        <w:rPr>
          <w:rFonts w:ascii="Arial" w:hAnsi="Arial" w:cs="Arial"/>
          <w:b/>
          <w:color w:val="595959" w:themeColor="text1" w:themeTint="A6"/>
          <w:sz w:val="15"/>
          <w:szCs w:val="15"/>
        </w:rPr>
      </w:pPr>
      <w:r w:rsidRPr="00A3128B">
        <w:rPr>
          <w:rFonts w:ascii="Arial" w:hAnsi="Arial" w:cs="Arial"/>
          <w:b/>
          <w:color w:val="595959" w:themeColor="text1" w:themeTint="A6"/>
          <w:sz w:val="15"/>
          <w:szCs w:val="15"/>
        </w:rPr>
        <w:t xml:space="preserve">Tel. (32) 2 545 </w:t>
      </w:r>
      <w:r w:rsidR="002C2E1C" w:rsidRPr="00A3128B">
        <w:rPr>
          <w:rFonts w:ascii="Arial" w:hAnsi="Arial" w:cs="Arial"/>
          <w:b/>
          <w:color w:val="595959" w:themeColor="text1" w:themeTint="A6"/>
          <w:sz w:val="15"/>
          <w:szCs w:val="15"/>
        </w:rPr>
        <w:t>4430</w:t>
      </w:r>
    </w:p>
    <w:p w:rsidR="002C2E1C" w:rsidRPr="00A3128B" w:rsidRDefault="002C2E1C" w:rsidP="00292847">
      <w:pPr>
        <w:pStyle w:val="Footer"/>
        <w:jc w:val="center"/>
        <w:rPr>
          <w:rFonts w:ascii="Arial" w:hAnsi="Arial" w:cs="Arial"/>
          <w:b/>
          <w:color w:val="595959" w:themeColor="text1" w:themeTint="A6"/>
          <w:sz w:val="15"/>
          <w:szCs w:val="15"/>
        </w:rPr>
      </w:pPr>
    </w:p>
    <w:p w:rsidR="000D6578" w:rsidRPr="00A3128B" w:rsidRDefault="000D6578" w:rsidP="00292847">
      <w:pPr>
        <w:pStyle w:val="Footer"/>
        <w:jc w:val="center"/>
        <w:rPr>
          <w:rFonts w:ascii="Arial" w:eastAsia="Arial" w:hAnsi="Arial" w:cs="Arial"/>
          <w:b/>
          <w:color w:val="595959" w:themeColor="text1" w:themeTint="A6"/>
          <w:sz w:val="15"/>
          <w:szCs w:val="15"/>
        </w:rPr>
      </w:pPr>
      <w:r w:rsidRPr="00A3128B">
        <w:rPr>
          <w:rFonts w:ascii="Arial" w:hAnsi="Arial" w:cs="Arial"/>
          <w:b/>
          <w:bCs/>
          <w:color w:val="595959" w:themeColor="text1" w:themeTint="A6"/>
          <w:sz w:val="15"/>
          <w:szCs w:val="15"/>
        </w:rPr>
        <w:t>V.A.T. BE 0501.804.457 – Company No. 0501.804.457 Brussels RPM</w:t>
      </w:r>
    </w:p>
    <w:sectPr w:rsidR="000D6578" w:rsidRPr="00A3128B" w:rsidSect="007F24D2">
      <w:headerReference w:type="default" r:id="rId9"/>
      <w:headerReference w:type="first" r:id="rId10"/>
      <w:pgSz w:w="11907" w:h="16839" w:code="9"/>
      <w:pgMar w:top="720" w:right="992" w:bottom="720" w:left="99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59" w:rsidRDefault="00D12459" w:rsidP="00AB6188">
      <w:pPr>
        <w:spacing w:before="0"/>
      </w:pPr>
      <w:r>
        <w:separator/>
      </w:r>
    </w:p>
  </w:endnote>
  <w:endnote w:type="continuationSeparator" w:id="0">
    <w:p w:rsidR="00D12459" w:rsidRDefault="00D12459" w:rsidP="00AB61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59" w:rsidRDefault="00D12459" w:rsidP="00AB6188">
      <w:pPr>
        <w:spacing w:before="0"/>
      </w:pPr>
      <w:r>
        <w:separator/>
      </w:r>
    </w:p>
  </w:footnote>
  <w:footnote w:type="continuationSeparator" w:id="0">
    <w:p w:rsidR="00D12459" w:rsidRDefault="00D12459" w:rsidP="00AB618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88" w:rsidRDefault="00AB6188" w:rsidP="00AB6188">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00"/>
      <w:gridCol w:w="2377"/>
      <w:gridCol w:w="2749"/>
      <w:gridCol w:w="2510"/>
    </w:tblGrid>
    <w:tr w:rsidR="00240E66" w:rsidTr="000E501E">
      <w:trPr>
        <w:trHeight w:val="1260"/>
      </w:trPr>
      <w:tc>
        <w:tcPr>
          <w:tcW w:w="2900" w:type="dxa"/>
        </w:tcPr>
        <w:p w:rsidR="00AB6188" w:rsidRDefault="00AB6188" w:rsidP="00704AF6">
          <w:pPr>
            <w:ind w:left="-90"/>
          </w:pPr>
          <w:r>
            <w:rPr>
              <w:noProof/>
              <w:lang w:val="en-GB" w:eastAsia="en-GB"/>
            </w:rPr>
            <w:drawing>
              <wp:inline distT="0" distB="0" distL="0" distR="0" wp14:anchorId="5503FCD7" wp14:editId="1507B147">
                <wp:extent cx="1590675" cy="674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m_4cp_pos.jpg"/>
                        <pic:cNvPicPr/>
                      </pic:nvPicPr>
                      <pic:blipFill rotWithShape="1">
                        <a:blip r:embed="rId1">
                          <a:extLst>
                            <a:ext uri="{28A0092B-C50C-407E-A947-70E740481C1C}">
                              <a14:useLocalDpi xmlns:a14="http://schemas.microsoft.com/office/drawing/2010/main" val="0"/>
                            </a:ext>
                          </a:extLst>
                        </a:blip>
                        <a:srcRect l="6179" t="11250"/>
                        <a:stretch/>
                      </pic:blipFill>
                      <pic:spPr bwMode="auto">
                        <a:xfrm>
                          <a:off x="0" y="0"/>
                          <a:ext cx="1601383" cy="679274"/>
                        </a:xfrm>
                        <a:prstGeom prst="rect">
                          <a:avLst/>
                        </a:prstGeom>
                        <a:ln>
                          <a:noFill/>
                        </a:ln>
                        <a:extLst>
                          <a:ext uri="{53640926-AAD7-44D8-BBD7-CCE9431645EC}">
                            <a14:shadowObscured xmlns:a14="http://schemas.microsoft.com/office/drawing/2010/main"/>
                          </a:ext>
                        </a:extLst>
                      </pic:spPr>
                    </pic:pic>
                  </a:graphicData>
                </a:graphic>
              </wp:inline>
            </w:drawing>
          </w:r>
        </w:p>
      </w:tc>
      <w:tc>
        <w:tcPr>
          <w:tcW w:w="2377" w:type="dxa"/>
          <w:tcFitText/>
        </w:tcPr>
        <w:p w:rsidR="000E501E" w:rsidRPr="000E501E" w:rsidRDefault="000E501E" w:rsidP="00240E66">
          <w:pPr>
            <w:ind w:left="72"/>
            <w:rPr>
              <w:rFonts w:ascii="Arial" w:hAnsi="Arial" w:cs="Arial"/>
            </w:rPr>
          </w:pPr>
        </w:p>
        <w:p w:rsidR="000E501E" w:rsidRPr="000E501E" w:rsidRDefault="000E501E" w:rsidP="000E501E">
          <w:pPr>
            <w:rPr>
              <w:rFonts w:ascii="Arial" w:hAnsi="Arial" w:cs="Arial"/>
            </w:rPr>
          </w:pPr>
        </w:p>
        <w:p w:rsidR="00AB6188" w:rsidRPr="000E501E" w:rsidRDefault="00AB6188" w:rsidP="000E501E">
          <w:pPr>
            <w:pStyle w:val="Header"/>
          </w:pPr>
        </w:p>
      </w:tc>
      <w:tc>
        <w:tcPr>
          <w:tcW w:w="2749" w:type="dxa"/>
          <w:tcFitText/>
        </w:tcPr>
        <w:p w:rsidR="00AB6188" w:rsidRPr="00240E66" w:rsidRDefault="00AB6188" w:rsidP="00240E66">
          <w:pPr>
            <w:ind w:left="58"/>
            <w:rPr>
              <w:rFonts w:ascii="Arial" w:hAnsi="Arial" w:cs="Arial"/>
            </w:rPr>
          </w:pPr>
        </w:p>
      </w:tc>
      <w:tc>
        <w:tcPr>
          <w:tcW w:w="2510" w:type="dxa"/>
        </w:tcPr>
        <w:p w:rsidR="00240E66" w:rsidRPr="001D6D4A" w:rsidRDefault="007F24D2" w:rsidP="00240E66">
          <w:pPr>
            <w:spacing w:before="480"/>
            <w:rPr>
              <w:rFonts w:ascii="Arial" w:hAnsi="Arial" w:cs="Arial"/>
              <w:sz w:val="16"/>
            </w:rPr>
          </w:pPr>
          <w:r>
            <w:rPr>
              <w:rFonts w:ascii="Arial" w:hAnsi="Arial" w:cs="Arial"/>
              <w:bCs/>
              <w:sz w:val="16"/>
            </w:rPr>
            <w:t xml:space="preserve">46 Rue </w:t>
          </w:r>
          <w:proofErr w:type="spellStart"/>
          <w:r>
            <w:rPr>
              <w:rFonts w:ascii="Arial" w:hAnsi="Arial" w:cs="Arial"/>
              <w:bCs/>
              <w:sz w:val="16"/>
            </w:rPr>
            <w:t>Montoyerstraat</w:t>
          </w:r>
          <w:proofErr w:type="spellEnd"/>
        </w:p>
        <w:p w:rsidR="00240E66" w:rsidRPr="001D6D4A" w:rsidRDefault="007F24D2" w:rsidP="00240E66">
          <w:pPr>
            <w:rPr>
              <w:rFonts w:ascii="Arial" w:hAnsi="Arial" w:cs="Arial"/>
              <w:sz w:val="16"/>
            </w:rPr>
          </w:pPr>
          <w:r>
            <w:rPr>
              <w:rFonts w:ascii="Arial" w:hAnsi="Arial" w:cs="Arial"/>
              <w:bCs/>
              <w:sz w:val="16"/>
            </w:rPr>
            <w:t>1000 Brussels</w:t>
          </w:r>
        </w:p>
        <w:p w:rsidR="00AB6188" w:rsidRPr="00240E66" w:rsidRDefault="007F24D2" w:rsidP="001D6D4A">
          <w:pPr>
            <w:rPr>
              <w:rFonts w:ascii="Arial" w:hAnsi="Arial" w:cs="Arial"/>
            </w:rPr>
          </w:pPr>
          <w:r>
            <w:rPr>
              <w:rFonts w:ascii="Arial" w:hAnsi="Arial" w:cs="Arial"/>
              <w:sz w:val="16"/>
            </w:rPr>
            <w:t>Belgium</w:t>
          </w:r>
        </w:p>
      </w:tc>
    </w:tr>
  </w:tbl>
  <w:p w:rsidR="00AB6188" w:rsidRDefault="00AB6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6676"/>
    <w:multiLevelType w:val="hybridMultilevel"/>
    <w:tmpl w:val="0064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57C87"/>
    <w:multiLevelType w:val="hybridMultilevel"/>
    <w:tmpl w:val="24043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D06FB"/>
    <w:multiLevelType w:val="hybridMultilevel"/>
    <w:tmpl w:val="297C006A"/>
    <w:lvl w:ilvl="0" w:tplc="88D6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46244"/>
    <w:multiLevelType w:val="hybridMultilevel"/>
    <w:tmpl w:val="86B671E2"/>
    <w:lvl w:ilvl="0" w:tplc="2A8A4B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F4863"/>
    <w:multiLevelType w:val="hybridMultilevel"/>
    <w:tmpl w:val="BEB4921A"/>
    <w:lvl w:ilvl="0" w:tplc="F072D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66D1B"/>
    <w:multiLevelType w:val="hybridMultilevel"/>
    <w:tmpl w:val="6D76B2AA"/>
    <w:lvl w:ilvl="0" w:tplc="7CC65B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23920"/>
    <w:multiLevelType w:val="hybridMultilevel"/>
    <w:tmpl w:val="822C465A"/>
    <w:lvl w:ilvl="0" w:tplc="C27A47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571C0"/>
    <w:multiLevelType w:val="hybridMultilevel"/>
    <w:tmpl w:val="41C0BCBE"/>
    <w:lvl w:ilvl="0" w:tplc="D4405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A6A54"/>
    <w:multiLevelType w:val="hybridMultilevel"/>
    <w:tmpl w:val="0C068E6A"/>
    <w:lvl w:ilvl="0" w:tplc="8BC68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3528B"/>
    <w:multiLevelType w:val="hybridMultilevel"/>
    <w:tmpl w:val="79984FF6"/>
    <w:lvl w:ilvl="0" w:tplc="B80884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20242"/>
    <w:multiLevelType w:val="hybridMultilevel"/>
    <w:tmpl w:val="FCDC11CE"/>
    <w:lvl w:ilvl="0" w:tplc="901618D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F1047"/>
    <w:multiLevelType w:val="hybridMultilevel"/>
    <w:tmpl w:val="4462DEB4"/>
    <w:lvl w:ilvl="0" w:tplc="C9D22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3893"/>
    <w:multiLevelType w:val="hybridMultilevel"/>
    <w:tmpl w:val="1AA80F04"/>
    <w:lvl w:ilvl="0" w:tplc="C2F6D95E">
      <w:numFmt w:val="bullet"/>
      <w:lvlText w:val="-"/>
      <w:lvlJc w:val="left"/>
      <w:pPr>
        <w:ind w:left="761" w:hanging="360"/>
      </w:pPr>
      <w:rPr>
        <w:rFonts w:ascii="Times New Roman" w:eastAsia="Times New Roman"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nsid w:val="502F4EA3"/>
    <w:multiLevelType w:val="hybridMultilevel"/>
    <w:tmpl w:val="B232DC08"/>
    <w:lvl w:ilvl="0" w:tplc="06A074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C2587"/>
    <w:multiLevelType w:val="hybridMultilevel"/>
    <w:tmpl w:val="83967442"/>
    <w:lvl w:ilvl="0" w:tplc="9F60CA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CB1F70"/>
    <w:multiLevelType w:val="hybridMultilevel"/>
    <w:tmpl w:val="D8BAE274"/>
    <w:lvl w:ilvl="0" w:tplc="901618D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428A6"/>
    <w:multiLevelType w:val="hybridMultilevel"/>
    <w:tmpl w:val="6172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B5766F"/>
    <w:multiLevelType w:val="hybridMultilevel"/>
    <w:tmpl w:val="577A5B30"/>
    <w:lvl w:ilvl="0" w:tplc="00481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2706F6"/>
    <w:multiLevelType w:val="hybridMultilevel"/>
    <w:tmpl w:val="60806E5A"/>
    <w:lvl w:ilvl="0" w:tplc="901618D4">
      <w:start w:val="1"/>
      <w:numFmt w:val="bullet"/>
      <w:lvlText w:val="-"/>
      <w:lvlJc w:val="left"/>
      <w:pPr>
        <w:ind w:left="1800" w:hanging="360"/>
      </w:pPr>
      <w:rPr>
        <w:rFonts w:ascii="Cambria" w:eastAsiaTheme="minorHAnsi" w:hAnsi="Cambr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6"/>
  </w:num>
  <w:num w:numId="2">
    <w:abstractNumId w:val="0"/>
  </w:num>
  <w:num w:numId="3">
    <w:abstractNumId w:val="15"/>
  </w:num>
  <w:num w:numId="4">
    <w:abstractNumId w:val="1"/>
  </w:num>
  <w:num w:numId="5">
    <w:abstractNumId w:val="10"/>
  </w:num>
  <w:num w:numId="6">
    <w:abstractNumId w:val="11"/>
  </w:num>
  <w:num w:numId="7">
    <w:abstractNumId w:val="7"/>
  </w:num>
  <w:num w:numId="8">
    <w:abstractNumId w:val="8"/>
  </w:num>
  <w:num w:numId="9">
    <w:abstractNumId w:val="12"/>
  </w:num>
  <w:num w:numId="10">
    <w:abstractNumId w:val="6"/>
  </w:num>
  <w:num w:numId="11">
    <w:abstractNumId w:val="13"/>
  </w:num>
  <w:num w:numId="12">
    <w:abstractNumId w:val="3"/>
  </w:num>
  <w:num w:numId="13">
    <w:abstractNumId w:val="17"/>
  </w:num>
  <w:num w:numId="14">
    <w:abstractNumId w:val="14"/>
  </w:num>
  <w:num w:numId="15">
    <w:abstractNumId w:val="9"/>
  </w:num>
  <w:num w:numId="16">
    <w:abstractNumId w:val="2"/>
  </w:num>
  <w:num w:numId="17">
    <w:abstractNumId w:val="4"/>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B9"/>
    <w:rsid w:val="0000194C"/>
    <w:rsid w:val="000310E2"/>
    <w:rsid w:val="00033325"/>
    <w:rsid w:val="000A04E5"/>
    <w:rsid w:val="000A359E"/>
    <w:rsid w:val="000D6578"/>
    <w:rsid w:val="000D7AA5"/>
    <w:rsid w:val="000E501E"/>
    <w:rsid w:val="00106172"/>
    <w:rsid w:val="00165567"/>
    <w:rsid w:val="00166520"/>
    <w:rsid w:val="00175306"/>
    <w:rsid w:val="0019677B"/>
    <w:rsid w:val="001D6D4A"/>
    <w:rsid w:val="00240E66"/>
    <w:rsid w:val="00292847"/>
    <w:rsid w:val="002C2E1C"/>
    <w:rsid w:val="002C374C"/>
    <w:rsid w:val="002C55AD"/>
    <w:rsid w:val="002E4ACF"/>
    <w:rsid w:val="003543C8"/>
    <w:rsid w:val="003A2C04"/>
    <w:rsid w:val="00415D51"/>
    <w:rsid w:val="004A37D7"/>
    <w:rsid w:val="004B58B7"/>
    <w:rsid w:val="004E32F3"/>
    <w:rsid w:val="0050057D"/>
    <w:rsid w:val="00506689"/>
    <w:rsid w:val="005301EE"/>
    <w:rsid w:val="00563D0F"/>
    <w:rsid w:val="00591649"/>
    <w:rsid w:val="005B5567"/>
    <w:rsid w:val="005F334A"/>
    <w:rsid w:val="005F3670"/>
    <w:rsid w:val="00602F61"/>
    <w:rsid w:val="00604E15"/>
    <w:rsid w:val="00671CF6"/>
    <w:rsid w:val="00687414"/>
    <w:rsid w:val="006E3DB9"/>
    <w:rsid w:val="00741716"/>
    <w:rsid w:val="007D45EC"/>
    <w:rsid w:val="007E389D"/>
    <w:rsid w:val="007E790F"/>
    <w:rsid w:val="007F24D2"/>
    <w:rsid w:val="00801767"/>
    <w:rsid w:val="00846FE2"/>
    <w:rsid w:val="008521EE"/>
    <w:rsid w:val="00921A8E"/>
    <w:rsid w:val="00950AEE"/>
    <w:rsid w:val="00982036"/>
    <w:rsid w:val="009A2A42"/>
    <w:rsid w:val="009F504A"/>
    <w:rsid w:val="00A03628"/>
    <w:rsid w:val="00A3128B"/>
    <w:rsid w:val="00AB6188"/>
    <w:rsid w:val="00AF07E4"/>
    <w:rsid w:val="00B06C5F"/>
    <w:rsid w:val="00BF19D8"/>
    <w:rsid w:val="00C000BC"/>
    <w:rsid w:val="00C4751A"/>
    <w:rsid w:val="00CF43BC"/>
    <w:rsid w:val="00D06009"/>
    <w:rsid w:val="00D12459"/>
    <w:rsid w:val="00D27291"/>
    <w:rsid w:val="00D6320D"/>
    <w:rsid w:val="00D67E57"/>
    <w:rsid w:val="00D862B4"/>
    <w:rsid w:val="00DB5FDD"/>
    <w:rsid w:val="00DD1984"/>
    <w:rsid w:val="00E04EAB"/>
    <w:rsid w:val="00E30AD7"/>
    <w:rsid w:val="00E53A8C"/>
    <w:rsid w:val="00E66005"/>
    <w:rsid w:val="00E97DCB"/>
    <w:rsid w:val="00EB7874"/>
    <w:rsid w:val="00F20AC1"/>
    <w:rsid w:val="00F20C8B"/>
    <w:rsid w:val="00F7730C"/>
    <w:rsid w:val="00F86B2D"/>
    <w:rsid w:val="00FA3466"/>
    <w:rsid w:val="00FB4E32"/>
    <w:rsid w:val="00FD1FAA"/>
    <w:rsid w:val="00FE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B9"/>
    <w:rPr>
      <w:rFonts w:ascii="Tahoma" w:hAnsi="Tahoma" w:cs="Tahoma"/>
      <w:sz w:val="16"/>
      <w:szCs w:val="16"/>
    </w:rPr>
  </w:style>
  <w:style w:type="table" w:styleId="TableGrid">
    <w:name w:val="Table Grid"/>
    <w:basedOn w:val="TableNormal"/>
    <w:uiPriority w:val="59"/>
    <w:rsid w:val="006E3DB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188"/>
    <w:pPr>
      <w:tabs>
        <w:tab w:val="center" w:pos="4680"/>
        <w:tab w:val="right" w:pos="9360"/>
      </w:tabs>
      <w:spacing w:before="0"/>
    </w:pPr>
  </w:style>
  <w:style w:type="character" w:customStyle="1" w:styleId="HeaderChar">
    <w:name w:val="Header Char"/>
    <w:basedOn w:val="DefaultParagraphFont"/>
    <w:link w:val="Header"/>
    <w:uiPriority w:val="99"/>
    <w:rsid w:val="00AB6188"/>
  </w:style>
  <w:style w:type="paragraph" w:styleId="Footer">
    <w:name w:val="footer"/>
    <w:basedOn w:val="Normal"/>
    <w:link w:val="FooterChar"/>
    <w:uiPriority w:val="99"/>
    <w:unhideWhenUsed/>
    <w:rsid w:val="00AB6188"/>
    <w:pPr>
      <w:tabs>
        <w:tab w:val="center" w:pos="4680"/>
        <w:tab w:val="right" w:pos="9360"/>
      </w:tabs>
      <w:spacing w:before="0"/>
    </w:pPr>
  </w:style>
  <w:style w:type="character" w:customStyle="1" w:styleId="FooterChar">
    <w:name w:val="Footer Char"/>
    <w:basedOn w:val="DefaultParagraphFont"/>
    <w:link w:val="Footer"/>
    <w:uiPriority w:val="99"/>
    <w:rsid w:val="00AB6188"/>
  </w:style>
  <w:style w:type="paragraph" w:styleId="NoSpacing">
    <w:name w:val="No Spacing"/>
    <w:uiPriority w:val="1"/>
    <w:qFormat/>
    <w:rsid w:val="007F24D2"/>
    <w:pPr>
      <w:spacing w:before="0"/>
    </w:pPr>
    <w:rPr>
      <w:lang w:val="en-GB"/>
    </w:rPr>
  </w:style>
  <w:style w:type="character" w:styleId="Hyperlink">
    <w:name w:val="Hyperlink"/>
    <w:basedOn w:val="DefaultParagraphFont"/>
    <w:uiPriority w:val="99"/>
    <w:unhideWhenUsed/>
    <w:rsid w:val="000D7AA5"/>
    <w:rPr>
      <w:color w:val="0000FF" w:themeColor="hyperlink"/>
      <w:u w:val="single"/>
    </w:rPr>
  </w:style>
  <w:style w:type="paragraph" w:styleId="ListParagraph">
    <w:name w:val="List Paragraph"/>
    <w:basedOn w:val="Normal"/>
    <w:uiPriority w:val="34"/>
    <w:qFormat/>
    <w:rsid w:val="005B5567"/>
    <w:pPr>
      <w:spacing w:before="0"/>
      <w:ind w:left="720"/>
      <w:contextualSpacing/>
    </w:pPr>
    <w:rPr>
      <w:lang w:val="en-GB"/>
    </w:rPr>
  </w:style>
  <w:style w:type="paragraph" w:customStyle="1" w:styleId="Default">
    <w:name w:val="Default"/>
    <w:rsid w:val="00C000BC"/>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B9"/>
    <w:rPr>
      <w:rFonts w:ascii="Tahoma" w:hAnsi="Tahoma" w:cs="Tahoma"/>
      <w:sz w:val="16"/>
      <w:szCs w:val="16"/>
    </w:rPr>
  </w:style>
  <w:style w:type="table" w:styleId="TableGrid">
    <w:name w:val="Table Grid"/>
    <w:basedOn w:val="TableNormal"/>
    <w:uiPriority w:val="59"/>
    <w:rsid w:val="006E3DB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188"/>
    <w:pPr>
      <w:tabs>
        <w:tab w:val="center" w:pos="4680"/>
        <w:tab w:val="right" w:pos="9360"/>
      </w:tabs>
      <w:spacing w:before="0"/>
    </w:pPr>
  </w:style>
  <w:style w:type="character" w:customStyle="1" w:styleId="HeaderChar">
    <w:name w:val="Header Char"/>
    <w:basedOn w:val="DefaultParagraphFont"/>
    <w:link w:val="Header"/>
    <w:uiPriority w:val="99"/>
    <w:rsid w:val="00AB6188"/>
  </w:style>
  <w:style w:type="paragraph" w:styleId="Footer">
    <w:name w:val="footer"/>
    <w:basedOn w:val="Normal"/>
    <w:link w:val="FooterChar"/>
    <w:uiPriority w:val="99"/>
    <w:unhideWhenUsed/>
    <w:rsid w:val="00AB6188"/>
    <w:pPr>
      <w:tabs>
        <w:tab w:val="center" w:pos="4680"/>
        <w:tab w:val="right" w:pos="9360"/>
      </w:tabs>
      <w:spacing w:before="0"/>
    </w:pPr>
  </w:style>
  <w:style w:type="character" w:customStyle="1" w:styleId="FooterChar">
    <w:name w:val="Footer Char"/>
    <w:basedOn w:val="DefaultParagraphFont"/>
    <w:link w:val="Footer"/>
    <w:uiPriority w:val="99"/>
    <w:rsid w:val="00AB6188"/>
  </w:style>
  <w:style w:type="paragraph" w:styleId="NoSpacing">
    <w:name w:val="No Spacing"/>
    <w:uiPriority w:val="1"/>
    <w:qFormat/>
    <w:rsid w:val="007F24D2"/>
    <w:pPr>
      <w:spacing w:before="0"/>
    </w:pPr>
    <w:rPr>
      <w:lang w:val="en-GB"/>
    </w:rPr>
  </w:style>
  <w:style w:type="character" w:styleId="Hyperlink">
    <w:name w:val="Hyperlink"/>
    <w:basedOn w:val="DefaultParagraphFont"/>
    <w:uiPriority w:val="99"/>
    <w:unhideWhenUsed/>
    <w:rsid w:val="000D7AA5"/>
    <w:rPr>
      <w:color w:val="0000FF" w:themeColor="hyperlink"/>
      <w:u w:val="single"/>
    </w:rPr>
  </w:style>
  <w:style w:type="paragraph" w:styleId="ListParagraph">
    <w:name w:val="List Paragraph"/>
    <w:basedOn w:val="Normal"/>
    <w:uiPriority w:val="34"/>
    <w:qFormat/>
    <w:rsid w:val="005B5567"/>
    <w:pPr>
      <w:spacing w:before="0"/>
      <w:ind w:left="720"/>
      <w:contextualSpacing/>
    </w:pPr>
    <w:rPr>
      <w:lang w:val="en-GB"/>
    </w:rPr>
  </w:style>
  <w:style w:type="paragraph" w:customStyle="1" w:styleId="Default">
    <w:name w:val="Default"/>
    <w:rsid w:val="00C000BC"/>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BD22-DA23-4362-AF13-100C2718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8756</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58549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Isolano, Paul</dc:creator>
  <cp:lastModifiedBy>Baginska, Ewa</cp:lastModifiedBy>
  <cp:revision>24</cp:revision>
  <cp:lastPrinted>2014-01-20T11:08:00Z</cp:lastPrinted>
  <dcterms:created xsi:type="dcterms:W3CDTF">2015-02-19T17:54:00Z</dcterms:created>
  <dcterms:modified xsi:type="dcterms:W3CDTF">2015-02-19T19:51:00Z</dcterms:modified>
</cp:coreProperties>
</file>