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rsidR="00C535E2" w:rsidRPr="0026621B" w:rsidRDefault="00C535E2" w:rsidP="00C535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B679EA"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203582668" w:edGrp="everyone"/>
                <w:r w:rsidR="00D40E32">
                  <w:rPr>
                    <w:rFonts w:ascii="Arial" w:hAnsi="Arial" w:cs="Arial"/>
                    <w:sz w:val="22"/>
                    <w:szCs w:val="22"/>
                  </w:rPr>
                  <w:t>Yes</w:t>
                </w:r>
                <w:permEnd w:id="203582668"/>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B679EA"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883033956" w:edGrp="everyone"/>
                <w:r w:rsidR="00D40E32">
                  <w:rPr>
                    <w:rFonts w:ascii="Arial" w:hAnsi="Arial" w:cs="Arial"/>
                    <w:sz w:val="22"/>
                    <w:szCs w:val="22"/>
                  </w:rPr>
                  <w:t>Issuer</w:t>
                </w:r>
                <w:permEnd w:id="883033956"/>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064773719" w:edGrp="everyone" w:displacedByCustomXml="prev"/>
            <w:tc>
              <w:tcPr>
                <w:tcW w:w="6118" w:type="dxa"/>
              </w:tcPr>
              <w:p w:rsidR="00F32462" w:rsidRPr="0026621B" w:rsidRDefault="00D40E32" w:rsidP="00E66DAF">
                <w:pPr>
                  <w:rPr>
                    <w:rFonts w:ascii="Arial" w:hAnsi="Arial" w:cs="Arial"/>
                    <w:sz w:val="22"/>
                    <w:szCs w:val="22"/>
                  </w:rPr>
                </w:pPr>
                <w:r>
                  <w:rPr>
                    <w:rFonts w:ascii="Arial" w:hAnsi="Arial" w:cs="Arial"/>
                    <w:sz w:val="22"/>
                    <w:szCs w:val="22"/>
                  </w:rPr>
                  <w:t>UK</w:t>
                </w:r>
              </w:p>
            </w:tc>
            <w:permEnd w:id="1064773719"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D40E32" w:rsidRPr="002D098B" w:rsidRDefault="00D40E32" w:rsidP="00D40E32">
      <w:pPr>
        <w:tabs>
          <w:tab w:val="right" w:pos="8931"/>
        </w:tabs>
        <w:jc w:val="both"/>
        <w:rPr>
          <w:rFonts w:cstheme="minorHAnsi"/>
          <w:b/>
          <w:szCs w:val="22"/>
        </w:rPr>
      </w:pPr>
      <w:permStart w:id="789124504" w:edGrp="everyone"/>
      <w:r w:rsidRPr="004741ED">
        <w:rPr>
          <w:rFonts w:cstheme="minorHAnsi"/>
          <w:szCs w:val="22"/>
        </w:rPr>
        <w:t>The consultation paper indicates that that the price to be used should be the closing price of the regulated primary market for the relevant financial instrument.</w:t>
      </w:r>
      <w:r>
        <w:rPr>
          <w:rFonts w:cstheme="minorHAnsi"/>
          <w:b/>
          <w:szCs w:val="22"/>
        </w:rPr>
        <w:t xml:space="preserve">  </w:t>
      </w:r>
      <w:r w:rsidRPr="004741ED">
        <w:rPr>
          <w:rFonts w:cstheme="minorHAnsi"/>
          <w:szCs w:val="22"/>
        </w:rPr>
        <w:t>However, m</w:t>
      </w:r>
      <w:r w:rsidRPr="00361C6E">
        <w:rPr>
          <w:rFonts w:cstheme="minorHAnsi"/>
          <w:bCs/>
          <w:szCs w:val="22"/>
        </w:rPr>
        <w:t>andatory</w:t>
      </w:r>
      <w:r w:rsidRPr="00F56D4C">
        <w:rPr>
          <w:rFonts w:cstheme="minorHAnsi"/>
          <w:bCs/>
          <w:szCs w:val="22"/>
        </w:rPr>
        <w:t xml:space="preserve"> buy-ins could lead to </w:t>
      </w:r>
      <w:r>
        <w:rPr>
          <w:rFonts w:cstheme="minorHAnsi"/>
          <w:bCs/>
          <w:szCs w:val="22"/>
        </w:rPr>
        <w:t>potential market abuse</w:t>
      </w:r>
      <w:r w:rsidRPr="00F56D4C">
        <w:rPr>
          <w:rFonts w:cstheme="minorHAnsi"/>
          <w:bCs/>
          <w:szCs w:val="22"/>
        </w:rPr>
        <w:t xml:space="preserve"> in relation to illiquid securities.  Where a buyer aggressively buys a less liquid security from a market maker, the market maker would have to increase their bid price to identify prospective sellers rather than face the threat of financial penalty of a failed settlement.  Where no sellers are available, the share price would continue to rise.  </w:t>
      </w:r>
      <w:r>
        <w:rPr>
          <w:rFonts w:cstheme="minorHAnsi"/>
          <w:bCs/>
          <w:szCs w:val="22"/>
        </w:rPr>
        <w:t>Where the penalty and the cash compensation is based on an artificia</w:t>
      </w:r>
      <w:r>
        <w:rPr>
          <w:rFonts w:cstheme="minorHAnsi"/>
          <w:bCs/>
          <w:szCs w:val="22"/>
        </w:rPr>
        <w:t>l</w:t>
      </w:r>
      <w:r>
        <w:rPr>
          <w:rFonts w:cstheme="minorHAnsi"/>
          <w:bCs/>
          <w:szCs w:val="22"/>
        </w:rPr>
        <w:t>ly increased price of the securities, the “failing participant” would be bear a dispr</w:t>
      </w:r>
      <w:r>
        <w:rPr>
          <w:rFonts w:cstheme="minorHAnsi"/>
          <w:bCs/>
          <w:szCs w:val="22"/>
        </w:rPr>
        <w:t>o</w:t>
      </w:r>
      <w:r>
        <w:rPr>
          <w:rFonts w:cstheme="minorHAnsi"/>
          <w:bCs/>
          <w:szCs w:val="22"/>
        </w:rPr>
        <w:t xml:space="preserve">portionate penalty. </w:t>
      </w:r>
    </w:p>
    <w:permEnd w:id="789124504"/>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D40E32" w:rsidRDefault="00D40E32" w:rsidP="00D40E32">
      <w:pPr>
        <w:tabs>
          <w:tab w:val="right" w:pos="8931"/>
        </w:tabs>
        <w:jc w:val="both"/>
        <w:rPr>
          <w:rFonts w:cstheme="minorHAnsi"/>
          <w:szCs w:val="22"/>
        </w:rPr>
      </w:pPr>
      <w:permStart w:id="1015952191" w:edGrp="everyone"/>
      <w:r>
        <w:rPr>
          <w:rFonts w:cstheme="minorHAnsi"/>
          <w:szCs w:val="22"/>
        </w:rPr>
        <w:t xml:space="preserve">The AIC </w:t>
      </w:r>
      <w:r w:rsidRPr="00F56D4C">
        <w:rPr>
          <w:rFonts w:cstheme="minorHAnsi"/>
          <w:b/>
          <w:szCs w:val="22"/>
          <w:u w:val="single"/>
        </w:rPr>
        <w:t>recommends</w:t>
      </w:r>
      <w:r>
        <w:rPr>
          <w:rFonts w:cstheme="minorHAnsi"/>
          <w:szCs w:val="22"/>
        </w:rPr>
        <w:t xml:space="preserve"> that the penalty system should take account of the liquidity of the instrument concerned.  </w:t>
      </w:r>
    </w:p>
    <w:p w:rsidR="00D40E32" w:rsidRDefault="00D40E32" w:rsidP="00D40E32">
      <w:pPr>
        <w:tabs>
          <w:tab w:val="right" w:pos="8931"/>
        </w:tabs>
        <w:jc w:val="both"/>
        <w:rPr>
          <w:rFonts w:cstheme="minorHAnsi"/>
          <w:szCs w:val="22"/>
        </w:rPr>
      </w:pPr>
    </w:p>
    <w:p w:rsidR="00D40E32" w:rsidRPr="00124E4A" w:rsidRDefault="00D40E32" w:rsidP="00D40E32">
      <w:pPr>
        <w:tabs>
          <w:tab w:val="right" w:pos="8931"/>
        </w:tabs>
        <w:jc w:val="both"/>
        <w:rPr>
          <w:rFonts w:cstheme="minorHAnsi"/>
          <w:szCs w:val="22"/>
        </w:rPr>
      </w:pPr>
      <w:r>
        <w:rPr>
          <w:bCs/>
          <w:color w:val="000000"/>
        </w:rPr>
        <w:t>The liquidity of i</w:t>
      </w:r>
      <w:r w:rsidRPr="00FF3409">
        <w:rPr>
          <w:bCs/>
          <w:color w:val="000000"/>
        </w:rPr>
        <w:t xml:space="preserve">nvestment company </w:t>
      </w:r>
      <w:r>
        <w:rPr>
          <w:bCs/>
          <w:color w:val="000000"/>
        </w:rPr>
        <w:t>shares varies enormously</w:t>
      </w:r>
      <w:r w:rsidRPr="00FF3409">
        <w:rPr>
          <w:bCs/>
          <w:color w:val="000000"/>
        </w:rPr>
        <w:t>.  Some large investment trusts and of</w:t>
      </w:r>
      <w:r w:rsidRPr="00FF3409">
        <w:rPr>
          <w:bCs/>
          <w:color w:val="000000"/>
        </w:rPr>
        <w:t>f</w:t>
      </w:r>
      <w:r w:rsidRPr="00FF3409">
        <w:rPr>
          <w:bCs/>
          <w:color w:val="000000"/>
        </w:rPr>
        <w:t>shore investment companie</w:t>
      </w:r>
      <w:r>
        <w:rPr>
          <w:bCs/>
          <w:color w:val="000000"/>
        </w:rPr>
        <w:t>s are highly liquid; smaller investment trusts and some non-UK investment comp</w:t>
      </w:r>
      <w:r>
        <w:rPr>
          <w:bCs/>
          <w:color w:val="000000"/>
        </w:rPr>
        <w:t>a</w:t>
      </w:r>
      <w:r>
        <w:rPr>
          <w:bCs/>
          <w:color w:val="000000"/>
        </w:rPr>
        <w:t>nies can be much less liquid, even where they are admitted to clearing.</w:t>
      </w:r>
      <w:r>
        <w:rPr>
          <w:rFonts w:cstheme="minorHAnsi"/>
          <w:szCs w:val="22"/>
        </w:rPr>
        <w:t xml:space="preserve"> Some observers suggest that co</w:t>
      </w:r>
      <w:r>
        <w:rPr>
          <w:rFonts w:cstheme="minorHAnsi"/>
          <w:szCs w:val="22"/>
        </w:rPr>
        <w:t>m</w:t>
      </w:r>
      <w:r>
        <w:rPr>
          <w:rFonts w:cstheme="minorHAnsi"/>
          <w:szCs w:val="22"/>
        </w:rPr>
        <w:t xml:space="preserve">panies outside the FTSE 350 may be regarded as illiquid.  The AIC has 230 members (excluding VCTs) that are outside the FTSE 350. </w:t>
      </w:r>
      <w:r>
        <w:rPr>
          <w:bCs/>
          <w:color w:val="000000"/>
        </w:rPr>
        <w:t xml:space="preserve">These less liquid companies rely on the market maker’s ability to maintain continuous buy and sell prices throughout the day.  </w:t>
      </w:r>
    </w:p>
    <w:p w:rsidR="00D40E32" w:rsidRDefault="00D40E32" w:rsidP="00D40E32">
      <w:pPr>
        <w:tabs>
          <w:tab w:val="right" w:pos="8931"/>
        </w:tabs>
        <w:jc w:val="both"/>
        <w:rPr>
          <w:rFonts w:cstheme="minorHAnsi"/>
          <w:szCs w:val="22"/>
        </w:rPr>
      </w:pPr>
    </w:p>
    <w:p w:rsidR="00D40E32" w:rsidRDefault="00D40E32" w:rsidP="00D40E32">
      <w:pPr>
        <w:tabs>
          <w:tab w:val="right" w:pos="8931"/>
        </w:tabs>
        <w:jc w:val="both"/>
        <w:rPr>
          <w:rFonts w:cstheme="minorHAnsi"/>
          <w:szCs w:val="22"/>
        </w:rPr>
      </w:pPr>
      <w:r>
        <w:rPr>
          <w:rFonts w:cstheme="minorHAnsi"/>
          <w:szCs w:val="22"/>
        </w:rPr>
        <w:t>The AIC has 69 VCT members with assets under management of nearly £3 billion.  VCT shares may be particularly illiquid.  VCTs have tax-favoured status in the UK.  One of the tax benefits available to inve</w:t>
      </w:r>
      <w:r>
        <w:rPr>
          <w:rFonts w:cstheme="minorHAnsi"/>
          <w:szCs w:val="22"/>
        </w:rPr>
        <w:t>s</w:t>
      </w:r>
      <w:r>
        <w:rPr>
          <w:rFonts w:cstheme="minorHAnsi"/>
          <w:szCs w:val="22"/>
        </w:rPr>
        <w:t>tors in VCTs shares is income tax relief on subscription for the shares.  However, the availability of this relief depends on the investor holding the VCT shares for a minimum of 5 years.  This means that secon</w:t>
      </w:r>
      <w:r>
        <w:rPr>
          <w:rFonts w:cstheme="minorHAnsi"/>
          <w:szCs w:val="22"/>
        </w:rPr>
        <w:t>d</w:t>
      </w:r>
      <w:r>
        <w:rPr>
          <w:rFonts w:cstheme="minorHAnsi"/>
          <w:szCs w:val="22"/>
        </w:rPr>
        <w:t>ary market trading in VCT shares can be very limited.  Approximately 20% of VCT shares are held by nominees, primarily private client wealth managers, so that these shares are not available to be borrowed. Market makers customarily provide immediate liquidity and the VCTs themselves often purchase shares to provide a “backstop” exit for investors</w:t>
      </w:r>
      <w:r>
        <w:rPr>
          <w:rFonts w:cstheme="minorHAnsi"/>
          <w:szCs w:val="22"/>
        </w:rPr>
        <w:t xml:space="preserve"> who wish to sell their shares.</w:t>
      </w:r>
    </w:p>
    <w:p w:rsidR="00D40E32" w:rsidRDefault="00D40E32" w:rsidP="00D40E32">
      <w:pPr>
        <w:tabs>
          <w:tab w:val="right" w:pos="8931"/>
        </w:tabs>
        <w:jc w:val="both"/>
        <w:rPr>
          <w:rFonts w:cstheme="minorHAnsi"/>
          <w:szCs w:val="22"/>
        </w:rPr>
      </w:pPr>
      <w:r>
        <w:rPr>
          <w:rFonts w:cstheme="minorHAnsi"/>
          <w:szCs w:val="22"/>
        </w:rPr>
        <w:t xml:space="preserve">  </w:t>
      </w:r>
    </w:p>
    <w:p w:rsidR="00D40E32" w:rsidRDefault="00D40E32" w:rsidP="00D40E32">
      <w:pPr>
        <w:tabs>
          <w:tab w:val="right" w:pos="8931"/>
        </w:tabs>
        <w:jc w:val="both"/>
        <w:rPr>
          <w:rFonts w:cstheme="minorHAnsi"/>
          <w:szCs w:val="22"/>
        </w:rPr>
      </w:pPr>
      <w:r>
        <w:rPr>
          <w:rFonts w:cstheme="minorHAnsi"/>
          <w:szCs w:val="22"/>
        </w:rPr>
        <w:t>In the ESMA consultation paper on the draft technical advice on the CSD Regulation, the penalty varies according to the following type of financial instrument involved:-</w:t>
      </w:r>
    </w:p>
    <w:p w:rsidR="00D40E32" w:rsidRDefault="00D40E32" w:rsidP="00D40E32">
      <w:pPr>
        <w:pStyle w:val="ListParagraph"/>
        <w:numPr>
          <w:ilvl w:val="0"/>
          <w:numId w:val="42"/>
        </w:numPr>
        <w:tabs>
          <w:tab w:val="left" w:pos="284"/>
          <w:tab w:val="right" w:pos="8931"/>
        </w:tabs>
        <w:spacing w:afterLines="100" w:after="240"/>
        <w:jc w:val="both"/>
        <w:rPr>
          <w:rFonts w:cstheme="minorHAnsi"/>
          <w:szCs w:val="22"/>
        </w:rPr>
      </w:pPr>
      <w:r w:rsidRPr="002F314A">
        <w:rPr>
          <w:rFonts w:cstheme="minorHAnsi"/>
          <w:szCs w:val="22"/>
        </w:rPr>
        <w:t xml:space="preserve">equities </w:t>
      </w:r>
      <w:r>
        <w:rPr>
          <w:rFonts w:cstheme="minorHAnsi"/>
          <w:szCs w:val="22"/>
        </w:rPr>
        <w:t>and others,</w:t>
      </w:r>
    </w:p>
    <w:p w:rsidR="00D40E32" w:rsidRDefault="00D40E32" w:rsidP="00D40E32">
      <w:pPr>
        <w:pStyle w:val="ListParagraph"/>
        <w:numPr>
          <w:ilvl w:val="0"/>
          <w:numId w:val="42"/>
        </w:numPr>
        <w:tabs>
          <w:tab w:val="left" w:pos="284"/>
          <w:tab w:val="right" w:pos="8931"/>
        </w:tabs>
        <w:spacing w:afterLines="100" w:after="240"/>
        <w:jc w:val="both"/>
        <w:rPr>
          <w:rFonts w:cstheme="minorHAnsi"/>
          <w:szCs w:val="22"/>
        </w:rPr>
      </w:pPr>
      <w:r>
        <w:rPr>
          <w:rFonts w:cstheme="minorHAnsi"/>
          <w:szCs w:val="22"/>
        </w:rPr>
        <w:t>Government bonds,</w:t>
      </w:r>
    </w:p>
    <w:p w:rsidR="00D40E32" w:rsidRDefault="00D40E32" w:rsidP="00D40E32">
      <w:pPr>
        <w:pStyle w:val="ListParagraph"/>
        <w:numPr>
          <w:ilvl w:val="0"/>
          <w:numId w:val="42"/>
        </w:numPr>
        <w:tabs>
          <w:tab w:val="left" w:pos="284"/>
          <w:tab w:val="right" w:pos="8931"/>
        </w:tabs>
        <w:spacing w:afterLines="100" w:after="240"/>
        <w:jc w:val="both"/>
        <w:rPr>
          <w:rFonts w:cstheme="minorHAnsi"/>
          <w:szCs w:val="22"/>
        </w:rPr>
      </w:pPr>
      <w:r>
        <w:rPr>
          <w:rFonts w:cstheme="minorHAnsi"/>
          <w:szCs w:val="22"/>
        </w:rPr>
        <w:t xml:space="preserve">Corporate bonds and </w:t>
      </w:r>
    </w:p>
    <w:p w:rsidR="00D40E32" w:rsidRDefault="00D40E32" w:rsidP="00D40E32">
      <w:pPr>
        <w:pStyle w:val="ListParagraph"/>
        <w:numPr>
          <w:ilvl w:val="0"/>
          <w:numId w:val="42"/>
        </w:numPr>
        <w:tabs>
          <w:tab w:val="left" w:pos="284"/>
          <w:tab w:val="right" w:pos="8931"/>
        </w:tabs>
        <w:spacing w:afterLines="100" w:after="240"/>
        <w:jc w:val="both"/>
        <w:rPr>
          <w:rFonts w:cstheme="minorHAnsi"/>
          <w:szCs w:val="22"/>
        </w:rPr>
      </w:pPr>
      <w:r>
        <w:rPr>
          <w:rFonts w:cstheme="minorHAnsi"/>
          <w:szCs w:val="22"/>
        </w:rPr>
        <w:t>Cash.</w:t>
      </w:r>
    </w:p>
    <w:p w:rsidR="00D40E32" w:rsidRDefault="00D40E32" w:rsidP="00D40E32">
      <w:pPr>
        <w:tabs>
          <w:tab w:val="right" w:pos="8931"/>
        </w:tabs>
        <w:spacing w:after="240"/>
        <w:jc w:val="both"/>
        <w:rPr>
          <w:rFonts w:cstheme="minorHAnsi"/>
          <w:szCs w:val="22"/>
        </w:rPr>
      </w:pPr>
      <w:r>
        <w:rPr>
          <w:rFonts w:cstheme="minorHAnsi"/>
          <w:szCs w:val="22"/>
        </w:rPr>
        <w:t>ESMA acknowledges that the cash penalty should be proportionate and take into consideration the spec</w:t>
      </w:r>
      <w:r>
        <w:rPr>
          <w:rFonts w:cstheme="minorHAnsi"/>
          <w:szCs w:val="22"/>
        </w:rPr>
        <w:t>i</w:t>
      </w:r>
      <w:r>
        <w:rPr>
          <w:rFonts w:cstheme="minorHAnsi"/>
          <w:szCs w:val="22"/>
        </w:rPr>
        <w:t xml:space="preserve">ficities of the different asset types, the liquidity and category of transactions.  Indeed, ESMA continues that the less liquid an instrument is, the more difficult it will be to source it and the more expensive it will be to borrow it.  ESMA concludes that it is therefore an important element for consideration in order to set the penalty rate.  </w:t>
      </w:r>
    </w:p>
    <w:p w:rsidR="00D40E32" w:rsidRDefault="00D40E32" w:rsidP="00D40E32">
      <w:pPr>
        <w:tabs>
          <w:tab w:val="right" w:pos="8931"/>
        </w:tabs>
        <w:spacing w:after="240"/>
        <w:jc w:val="both"/>
        <w:rPr>
          <w:rFonts w:cstheme="minorHAnsi"/>
          <w:szCs w:val="22"/>
        </w:rPr>
      </w:pPr>
      <w:r>
        <w:rPr>
          <w:rFonts w:cstheme="minorHAnsi"/>
          <w:szCs w:val="22"/>
        </w:rPr>
        <w:t xml:space="preserve">Given this principle, the AIC </w:t>
      </w:r>
      <w:r w:rsidRPr="00FB7EF8">
        <w:rPr>
          <w:rFonts w:cstheme="minorHAnsi"/>
          <w:b/>
          <w:szCs w:val="22"/>
          <w:u w:val="single"/>
        </w:rPr>
        <w:t>recommends</w:t>
      </w:r>
      <w:r>
        <w:rPr>
          <w:rFonts w:cstheme="minorHAnsi"/>
          <w:szCs w:val="22"/>
        </w:rPr>
        <w:t xml:space="preserve"> that the proposed penalty rate should distinguish between liquid and illiquid equities.  The proposed penalty imposed for “equities and other assets” is 1.00bp daily rate.  Even for liquid equities this rate is high.  However, for illiquid securities where cash compensation is paid (as the buy-in is not possible as the securities cannot be borrowed) then this rate would accrue for potentially 22 days from the intended settlement date.  </w:t>
      </w:r>
    </w:p>
    <w:p w:rsidR="00D40E32" w:rsidRDefault="00D40E32" w:rsidP="00D40E32">
      <w:pPr>
        <w:tabs>
          <w:tab w:val="right" w:pos="8931"/>
        </w:tabs>
        <w:spacing w:after="240"/>
        <w:jc w:val="both"/>
        <w:rPr>
          <w:rFonts w:cstheme="minorHAnsi"/>
          <w:szCs w:val="22"/>
        </w:rPr>
      </w:pPr>
      <w:r>
        <w:rPr>
          <w:rFonts w:cstheme="minorHAnsi"/>
          <w:szCs w:val="22"/>
        </w:rPr>
        <w:lastRenderedPageBreak/>
        <w:t>The AIC considers that such a penalty regime would disincentivise trading in small caps. [This would arise because there could be fewer or no market makers taking a position for certain small cap securities and because there would be a much wider spread for small caps.</w:t>
      </w:r>
    </w:p>
    <w:permEnd w:id="1015952191"/>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D40E32" w:rsidRDefault="00D40E32" w:rsidP="00D40E32">
      <w:pPr>
        <w:tabs>
          <w:tab w:val="right" w:pos="8931"/>
        </w:tabs>
        <w:spacing w:after="240"/>
        <w:jc w:val="both"/>
        <w:rPr>
          <w:rFonts w:cstheme="minorHAnsi"/>
          <w:szCs w:val="22"/>
        </w:rPr>
      </w:pPr>
      <w:permStart w:id="480859862" w:edGrp="everyone"/>
      <w:r>
        <w:rPr>
          <w:rFonts w:cstheme="minorHAnsi"/>
          <w:szCs w:val="22"/>
        </w:rPr>
        <w:t xml:space="preserve">ESMA proposes that in the limited circumstances where settlement cannot be performed for reasons that are independent from any of the participants or the CSD, the penalty would not be charged.  The AIC </w:t>
      </w:r>
      <w:r w:rsidRPr="00FB7EF8">
        <w:rPr>
          <w:rFonts w:cstheme="minorHAnsi"/>
          <w:b/>
          <w:szCs w:val="22"/>
          <w:u w:val="single"/>
        </w:rPr>
        <w:t>recommends</w:t>
      </w:r>
      <w:r>
        <w:rPr>
          <w:rFonts w:cstheme="minorHAnsi"/>
          <w:szCs w:val="22"/>
        </w:rPr>
        <w:t xml:space="preserve"> this proposal be adopted.  The consultation on the draft technical advice continues that in order to achieve that exception, it should be possible to reduce the amount of the penalty to zero and the AIC </w:t>
      </w:r>
      <w:r w:rsidRPr="00124E4A">
        <w:rPr>
          <w:rFonts w:cstheme="minorHAnsi"/>
          <w:b/>
          <w:szCs w:val="22"/>
          <w:u w:val="single"/>
        </w:rPr>
        <w:t>recommends</w:t>
      </w:r>
      <w:r>
        <w:rPr>
          <w:rFonts w:cstheme="minorHAnsi"/>
          <w:szCs w:val="22"/>
        </w:rPr>
        <w:t xml:space="preserve"> that this is adopted.  Examples of these occurrences given by ESMA are a suspension of the instrument from trading and settlement due to reconciliation issues, specific corporate actions which imply the instrument no longer exists, or technical impossibilities at the CSD level.  The consult</w:t>
      </w:r>
      <w:r>
        <w:rPr>
          <w:rFonts w:cstheme="minorHAnsi"/>
          <w:szCs w:val="22"/>
        </w:rPr>
        <w:t>a</w:t>
      </w:r>
      <w:r>
        <w:rPr>
          <w:rFonts w:cstheme="minorHAnsi"/>
          <w:szCs w:val="22"/>
        </w:rPr>
        <w:t>tion paper continues that in order to prevent abuse, these exemptions should be approved by the Comp</w:t>
      </w:r>
      <w:r>
        <w:rPr>
          <w:rFonts w:cstheme="minorHAnsi"/>
          <w:szCs w:val="22"/>
        </w:rPr>
        <w:t>e</w:t>
      </w:r>
      <w:r>
        <w:rPr>
          <w:rFonts w:cstheme="minorHAnsi"/>
          <w:szCs w:val="22"/>
        </w:rPr>
        <w:t xml:space="preserve">tent Authority, either through approval of the CSD procedures detailing which specific penalties do not apply, or on a case by case basis.  </w:t>
      </w:r>
    </w:p>
    <w:p w:rsidR="00D40E32" w:rsidRDefault="00D40E32" w:rsidP="00D40E32">
      <w:pPr>
        <w:tabs>
          <w:tab w:val="right" w:pos="8931"/>
        </w:tabs>
        <w:spacing w:after="240"/>
        <w:jc w:val="both"/>
        <w:rPr>
          <w:rFonts w:cstheme="minorHAnsi"/>
          <w:szCs w:val="22"/>
        </w:rPr>
      </w:pPr>
      <w:r>
        <w:rPr>
          <w:rFonts w:cstheme="minorHAnsi"/>
          <w:szCs w:val="22"/>
        </w:rPr>
        <w:t xml:space="preserve">The AIC </w:t>
      </w:r>
      <w:r w:rsidRPr="00124E4A">
        <w:rPr>
          <w:rFonts w:cstheme="minorHAnsi"/>
          <w:b/>
          <w:szCs w:val="22"/>
          <w:u w:val="single"/>
        </w:rPr>
        <w:t>recommends</w:t>
      </w:r>
      <w:r>
        <w:rPr>
          <w:rFonts w:cstheme="minorHAnsi"/>
          <w:szCs w:val="22"/>
        </w:rPr>
        <w:t xml:space="preserve"> that the Competent Authority is given the ability to define categories when a penalty should not be applied and also given the authority to waive penalties on a case by case basis. The AIC </w:t>
      </w:r>
      <w:r w:rsidRPr="00F56D4C">
        <w:rPr>
          <w:rFonts w:cstheme="minorHAnsi"/>
          <w:b/>
          <w:szCs w:val="22"/>
          <w:u w:val="single"/>
        </w:rPr>
        <w:t>recommends</w:t>
      </w:r>
      <w:r>
        <w:rPr>
          <w:rFonts w:cstheme="minorHAnsi"/>
          <w:szCs w:val="22"/>
        </w:rPr>
        <w:t xml:space="preserve"> that the prevailing illiquidity of the equity should be a category which eliminates the penalty or, failing that, substantially reduce the penalty.  </w:t>
      </w:r>
    </w:p>
    <w:p w:rsidR="00D40E32" w:rsidRDefault="00D40E32" w:rsidP="00D40E32">
      <w:pPr>
        <w:tabs>
          <w:tab w:val="right" w:pos="8931"/>
        </w:tabs>
        <w:spacing w:after="240"/>
        <w:jc w:val="both"/>
        <w:rPr>
          <w:rFonts w:cstheme="minorHAnsi"/>
          <w:szCs w:val="22"/>
        </w:rPr>
      </w:pPr>
      <w:r>
        <w:rPr>
          <w:rFonts w:cstheme="minorHAnsi"/>
          <w:szCs w:val="22"/>
        </w:rPr>
        <w:t xml:space="preserve">The AIC also </w:t>
      </w:r>
      <w:r w:rsidRPr="000E3857">
        <w:rPr>
          <w:rFonts w:cstheme="minorHAnsi"/>
          <w:b/>
          <w:szCs w:val="22"/>
          <w:u w:val="single"/>
        </w:rPr>
        <w:t>recommends</w:t>
      </w:r>
      <w:r>
        <w:rPr>
          <w:rFonts w:cstheme="minorHAnsi"/>
          <w:szCs w:val="22"/>
        </w:rPr>
        <w:t xml:space="preserve"> there should be an exemption for market makers from the daily penalties in much the same way that the Short Selling Regulations EU 236/2012 contained an exemption for market makers as it was recognised that market makers often need to take short positions to perform their role of providing liquidity.   The importance of market makers in providing liquidity to the market should not be underestimated.  The application of the penalty regime to market makers could lead to market makers ceasing to provide a market in relation to illiquid securities. </w:t>
      </w:r>
    </w:p>
    <w:p w:rsidR="00D40E32" w:rsidRDefault="00D40E32" w:rsidP="00D40E32">
      <w:pPr>
        <w:tabs>
          <w:tab w:val="right" w:pos="8931"/>
        </w:tabs>
        <w:spacing w:after="240"/>
        <w:jc w:val="both"/>
        <w:rPr>
          <w:rFonts w:cstheme="minorHAnsi"/>
          <w:szCs w:val="22"/>
        </w:rPr>
      </w:pPr>
      <w:r>
        <w:rPr>
          <w:rFonts w:cstheme="minorHAnsi"/>
          <w:szCs w:val="22"/>
        </w:rPr>
        <w:t>In contrast, the disapplication of the penalty regime to market makers could reduce the risk of ramped up share prices discussed in the response to Question 1</w:t>
      </w:r>
      <w:r>
        <w:rPr>
          <w:rFonts w:cstheme="minorHAnsi"/>
          <w:szCs w:val="22"/>
        </w:rPr>
        <w:t xml:space="preserve"> </w:t>
      </w:r>
      <w:r>
        <w:rPr>
          <w:rFonts w:cstheme="minorHAnsi"/>
          <w:szCs w:val="22"/>
        </w:rPr>
        <w:t>below.</w:t>
      </w:r>
    </w:p>
    <w:p w:rsidR="00D40E32" w:rsidRPr="002F314A" w:rsidRDefault="00D40E32" w:rsidP="00D40E32">
      <w:pPr>
        <w:tabs>
          <w:tab w:val="right" w:pos="8931"/>
        </w:tabs>
        <w:spacing w:after="240"/>
        <w:jc w:val="both"/>
        <w:rPr>
          <w:rFonts w:cstheme="minorHAnsi"/>
          <w:szCs w:val="22"/>
        </w:rPr>
      </w:pPr>
      <w:r>
        <w:rPr>
          <w:rFonts w:cstheme="minorHAnsi"/>
          <w:szCs w:val="22"/>
        </w:rPr>
        <w:t xml:space="preserve">Where illiquid securities are concerned and it is known that they cannot be delivered within the buy-in period, the AIC also </w:t>
      </w:r>
      <w:r w:rsidRPr="0017590D">
        <w:rPr>
          <w:rFonts w:cstheme="minorHAnsi"/>
          <w:b/>
          <w:szCs w:val="22"/>
          <w:u w:val="single"/>
        </w:rPr>
        <w:t>recommends</w:t>
      </w:r>
      <w:r>
        <w:rPr>
          <w:rFonts w:cstheme="minorHAnsi"/>
          <w:szCs w:val="22"/>
        </w:rPr>
        <w:t xml:space="preserve"> that the “failing participant” should have the ability to trigger the cash compensation earlier rather than waiting for the buy-in period to expire and the penalties to continue to accrue during that period.</w:t>
      </w:r>
    </w:p>
    <w:p w:rsidR="00A35728" w:rsidRDefault="00A35728" w:rsidP="00A35728">
      <w:pPr>
        <w:rPr>
          <w:rFonts w:ascii="Arial" w:hAnsi="Arial" w:cs="Arial"/>
          <w:sz w:val="22"/>
          <w:szCs w:val="22"/>
        </w:rPr>
      </w:pPr>
      <w:bookmarkStart w:id="3" w:name="_GoBack"/>
      <w:bookmarkEnd w:id="3"/>
      <w:permEnd w:id="480859862"/>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ermStart w:id="672743889" w:edGrp="everyone"/>
      <w:r w:rsidRPr="00616B9B">
        <w:rPr>
          <w:rFonts w:ascii="Arial" w:hAnsi="Arial" w:cs="Arial"/>
          <w:sz w:val="22"/>
          <w:szCs w:val="22"/>
        </w:rPr>
        <w:t>TYPE YOUR TEXT HERE</w:t>
      </w:r>
    </w:p>
    <w:permEnd w:id="672743889"/>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ermStart w:id="1177122872" w:edGrp="everyone"/>
      <w:r w:rsidRPr="00616B9B">
        <w:rPr>
          <w:rFonts w:ascii="Arial" w:hAnsi="Arial" w:cs="Arial"/>
          <w:sz w:val="22"/>
          <w:szCs w:val="22"/>
        </w:rPr>
        <w:t>TYPE YOUR TEXT HERE</w:t>
      </w:r>
    </w:p>
    <w:permEnd w:id="1177122872"/>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ermStart w:id="853039200" w:edGrp="everyone"/>
      <w:r w:rsidRPr="00616B9B">
        <w:rPr>
          <w:rFonts w:ascii="Arial" w:hAnsi="Arial" w:cs="Arial"/>
          <w:sz w:val="22"/>
          <w:szCs w:val="22"/>
        </w:rPr>
        <w:t>TYPE YOUR TEXT HERE</w:t>
      </w:r>
    </w:p>
    <w:permEnd w:id="853039200"/>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ermStart w:id="430394913" w:edGrp="everyone"/>
      <w:r w:rsidRPr="00616B9B">
        <w:rPr>
          <w:rFonts w:ascii="Arial" w:hAnsi="Arial" w:cs="Arial"/>
          <w:sz w:val="22"/>
          <w:szCs w:val="22"/>
        </w:rPr>
        <w:t>TYPE YOUR TEXT HERE</w:t>
      </w:r>
    </w:p>
    <w:permEnd w:id="430394913"/>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6F08DC" w:rsidRPr="00616B9B" w:rsidRDefault="006F08DC" w:rsidP="006F08DC">
      <w:pPr>
        <w:rPr>
          <w:rFonts w:ascii="Arial" w:hAnsi="Arial" w:cs="Arial"/>
          <w:sz w:val="22"/>
          <w:szCs w:val="22"/>
        </w:rPr>
      </w:pPr>
      <w:permStart w:id="1180980080" w:edGrp="everyone"/>
      <w:r w:rsidRPr="00616B9B">
        <w:rPr>
          <w:rFonts w:ascii="Arial" w:hAnsi="Arial" w:cs="Arial"/>
          <w:sz w:val="22"/>
          <w:szCs w:val="22"/>
        </w:rPr>
        <w:t>TYPE YOUR TEXT HERE</w:t>
      </w:r>
    </w:p>
    <w:permEnd w:id="1180980080"/>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E8" w:rsidRDefault="001470E8">
      <w:r>
        <w:separator/>
      </w:r>
    </w:p>
    <w:p w:rsidR="001470E8" w:rsidRDefault="001470E8"/>
  </w:endnote>
  <w:endnote w:type="continuationSeparator" w:id="0">
    <w:p w:rsidR="001470E8" w:rsidRDefault="001470E8">
      <w:r>
        <w:continuationSeparator/>
      </w:r>
    </w:p>
    <w:p w:rsidR="001470E8" w:rsidRDefault="001470E8"/>
  </w:endnote>
  <w:endnote w:type="continuationNotice" w:id="1">
    <w:p w:rsidR="001470E8" w:rsidRDefault="001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B679EA">
            <w:rPr>
              <w:rFonts w:ascii="Arial" w:hAnsi="Arial" w:cs="Arial"/>
              <w:noProof/>
              <w:sz w:val="22"/>
              <w:szCs w:val="22"/>
            </w:rPr>
            <w:t>7</w:t>
          </w:r>
          <w:r w:rsidRPr="00616B9B">
            <w:rPr>
              <w:rFonts w:ascii="Arial" w:hAnsi="Arial"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E8" w:rsidRDefault="001470E8">
      <w:r>
        <w:separator/>
      </w:r>
    </w:p>
    <w:p w:rsidR="001470E8" w:rsidRDefault="001470E8"/>
  </w:footnote>
  <w:footnote w:type="continuationSeparator" w:id="0">
    <w:p w:rsidR="001470E8" w:rsidRDefault="001470E8">
      <w:r>
        <w:continuationSeparator/>
      </w:r>
    </w:p>
    <w:p w:rsidR="001470E8" w:rsidRDefault="001470E8"/>
  </w:footnote>
  <w:footnote w:type="continuationNotice" w:id="1">
    <w:p w:rsidR="001470E8" w:rsidRDefault="00147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37528C7"/>
    <w:multiLevelType w:val="hybridMultilevel"/>
    <w:tmpl w:val="3CFC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7"/>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5"/>
  </w:num>
  <w:num w:numId="42">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679EA"/>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4D4"/>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0E32"/>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cehold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2D3005"/>
    <w:rsid w:val="00392976"/>
    <w:rsid w:val="00464746"/>
    <w:rsid w:val="0072030F"/>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C40D-4DC0-4ED0-AE7D-8C006755F674}">
  <ds:schemaRefs>
    <ds:schemaRef ds:uri="http://schemas.openxmlformats.org/officeDocument/2006/bibliography"/>
  </ds:schemaRefs>
</ds:datastoreItem>
</file>

<file path=customXml/itemProps2.xml><?xml version="1.0" encoding="utf-8"?>
<ds:datastoreItem xmlns:ds="http://schemas.openxmlformats.org/officeDocument/2006/customXml" ds:itemID="{25A2DF83-0644-47BC-A91C-93F64DCF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1581</Words>
  <Characters>8769</Characters>
  <Application>Microsoft Office Word</Application>
  <DocSecurity>8</DocSecurity>
  <Lines>73</Lines>
  <Paragraphs>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10330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Janette Sawden</cp:lastModifiedBy>
  <cp:revision>2</cp:revision>
  <cp:lastPrinted>2014-05-08T16:06:00Z</cp:lastPrinted>
  <dcterms:created xsi:type="dcterms:W3CDTF">2015-02-17T15:22:00Z</dcterms:created>
  <dcterms:modified xsi:type="dcterms:W3CDTF">2015-02-17T15:22:00Z</dcterms:modified>
</cp:coreProperties>
</file>