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032350" w:rsidP="000E4A37">
            <w:pPr>
              <w:pStyle w:val="00bDBInfo"/>
              <w:rPr>
                <w:rFonts w:cs="Arial"/>
              </w:rPr>
            </w:pPr>
            <w:r>
              <w:rPr>
                <w:rFonts w:cs="Arial"/>
              </w:rPr>
              <w:t>26</w:t>
            </w:r>
            <w:r w:rsidR="003A5DAC">
              <w:rPr>
                <w:rFonts w:cs="Arial"/>
              </w:rPr>
              <w:t xml:space="preserve"> </w:t>
            </w:r>
            <w:r w:rsidR="000E4A37">
              <w:rPr>
                <w:rFonts w:cs="Arial"/>
              </w:rPr>
              <w:t>August</w:t>
            </w:r>
            <w:r w:rsidR="00ED351E" w:rsidRPr="004E49B0">
              <w:rPr>
                <w:rFonts w:cs="Arial"/>
              </w:rPr>
              <w:t xml:space="preserve"> </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31F8C" w:rsidP="00B31F8C">
            <w:pPr>
              <w:pStyle w:val="01aDBTitle"/>
              <w:rPr>
                <w:rFonts w:cs="Arial"/>
              </w:rPr>
            </w:pPr>
            <w:r w:rsidRPr="00B31F8C">
              <w:rPr>
                <w:rFonts w:cs="Arial"/>
              </w:rPr>
              <w:t>Discussion Paper on Review of Article 26 of RTS 153/2013</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032350">
            <w:pPr>
              <w:pStyle w:val="02Date"/>
              <w:rPr>
                <w:rFonts w:cs="Arial"/>
              </w:rPr>
            </w:pPr>
            <w:r w:rsidRPr="004E49B0">
              <w:rPr>
                <w:rFonts w:cs="Arial"/>
              </w:rPr>
              <w:lastRenderedPageBreak/>
              <w:t xml:space="preserve">Date: </w:t>
            </w:r>
            <w:r w:rsidR="00032350">
              <w:rPr>
                <w:rFonts w:cs="Arial"/>
              </w:rPr>
              <w:t>26</w:t>
            </w:r>
            <w:r w:rsidR="004E49B0" w:rsidRPr="004E49B0">
              <w:rPr>
                <w:rFonts w:cs="Arial"/>
              </w:rPr>
              <w:t xml:space="preserve"> </w:t>
            </w:r>
            <w:r w:rsidR="000E4A37">
              <w:rPr>
                <w:rFonts w:cs="Arial"/>
              </w:rPr>
              <w:t>August</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F574D0" w:rsidRPr="00EF0769" w:rsidRDefault="00F574D0" w:rsidP="00F574D0">
      <w:pPr>
        <w:pStyle w:val="04BodyText"/>
        <w:spacing w:before="120" w:after="120"/>
        <w:rPr>
          <w:rFonts w:cs="Arial"/>
        </w:rPr>
      </w:pPr>
      <w:r w:rsidRPr="00EF0769">
        <w:rPr>
          <w:rFonts w:cs="Arial"/>
        </w:rPr>
        <w:t>The European Securities and Markets Authority (ESMA) invites responses to the s</w:t>
      </w:r>
      <w:r w:rsidR="00955F48" w:rsidRPr="00EF0769">
        <w:rPr>
          <w:rFonts w:cs="Arial"/>
        </w:rPr>
        <w:t xml:space="preserve">pecific questions listed in the ESMA </w:t>
      </w:r>
      <w:r w:rsidR="00B31F8C" w:rsidRPr="00B31F8C">
        <w:rPr>
          <w:rFonts w:cs="Arial"/>
        </w:rPr>
        <w:t>Discussion Paper on Review of Article 26 of RTS 153/2013</w:t>
      </w:r>
      <w:r w:rsidR="00015B5E" w:rsidRPr="00EF0769">
        <w:rPr>
          <w:rFonts w:cs="Arial"/>
        </w:rPr>
        <w:t>, published on the ESMA website</w:t>
      </w:r>
      <w:r w:rsidR="004E49B0" w:rsidRPr="00EF0769">
        <w:rPr>
          <w:rFonts w:cs="Arial"/>
        </w:rPr>
        <w:t>.</w:t>
      </w:r>
    </w:p>
    <w:p w:rsidR="001D000A" w:rsidRDefault="001D000A" w:rsidP="00F574D0">
      <w:pPr>
        <w:autoSpaceDE w:val="0"/>
        <w:autoSpaceDN w:val="0"/>
        <w:adjustRightInd w:val="0"/>
        <w:spacing w:before="120" w:after="120" w:line="276" w:lineRule="auto"/>
        <w:jc w:val="both"/>
        <w:rPr>
          <w:rStyle w:val="Strong4"/>
          <w:rFonts w:cs="Arial"/>
          <w:i/>
        </w:rPr>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Please note that, in order to facilitate the analysis of the large number of responses expected, you are requested to use this file to send your response to ESMA so as to allow us to process it properly. Ther</w:t>
      </w:r>
      <w:r w:rsidRPr="00EF0769">
        <w:rPr>
          <w:rFonts w:cs="Arial"/>
        </w:rPr>
        <w:t>e</w:t>
      </w:r>
      <w:r w:rsidRPr="00EF0769">
        <w:rPr>
          <w:rFonts w:cs="Arial"/>
        </w:rPr>
        <w:t xml:space="preserv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w:t>
      </w:r>
      <w:r w:rsidR="00955F48" w:rsidRPr="00EF0769">
        <w:rPr>
          <w:rFonts w:cs="Arial"/>
        </w:rPr>
        <w:t>x</w:t>
      </w:r>
      <w:r w:rsidR="00955F48" w:rsidRPr="00EF0769">
        <w:rPr>
          <w:rFonts w:cs="Arial"/>
        </w:rPr>
        <w:t>cept for annexes);</w:t>
      </w:r>
    </w:p>
    <w:p w:rsidR="00F574D0" w:rsidRPr="00EF0769" w:rsidRDefault="00D75FEE" w:rsidP="00573871">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&lt;ESMA_</w:t>
      </w:r>
      <w:r w:rsidR="00955F48" w:rsidRPr="00EF0769">
        <w:rPr>
          <w:rFonts w:cs="Arial"/>
        </w:rPr>
        <w:t xml:space="preserve"> QUESTION_</w:t>
      </w:r>
      <w:r w:rsidR="000E4A37">
        <w:rPr>
          <w:rFonts w:cs="Arial"/>
        </w:rPr>
        <w:t>RTS_153_26</w:t>
      </w:r>
      <w:r w:rsidR="00E9344E" w:rsidRPr="00EF0769">
        <w:rPr>
          <w:rFonts w:cs="Arial"/>
        </w:rPr>
        <w:t>_</w:t>
      </w:r>
      <w:r w:rsidR="00F574D0" w:rsidRPr="00EF0769">
        <w:rPr>
          <w:rFonts w:cs="Arial"/>
        </w:rPr>
        <w:t>1&gt; - i.e. the response to one question has to be framed by the 2 tags corresponding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describe any alternatives that ESMA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t>
      </w:r>
      <w:r w:rsidRPr="00EF0769">
        <w:rPr>
          <w:rFonts w:cs="Arial"/>
        </w:rPr>
        <w:t>w</w:t>
      </w:r>
      <w:r w:rsidRPr="00EF0769">
        <w:rPr>
          <w:rFonts w:cs="Arial"/>
        </w:rPr>
        <w:t>ing format:</w:t>
      </w:r>
    </w:p>
    <w:p w:rsidR="000D17AA" w:rsidRPr="00EF0769" w:rsidRDefault="00021E83" w:rsidP="000D17AA">
      <w:pPr>
        <w:pStyle w:val="04BodyText"/>
        <w:spacing w:before="120" w:after="120"/>
        <w:jc w:val="left"/>
        <w:rPr>
          <w:rFonts w:cs="Arial"/>
        </w:rPr>
      </w:pPr>
      <w:r w:rsidRPr="00EF0769">
        <w:rPr>
          <w:rFonts w:cs="Arial"/>
        </w:rPr>
        <w:t>ESMA_</w:t>
      </w:r>
      <w:r w:rsidR="000E4A37" w:rsidRPr="000E4A37">
        <w:rPr>
          <w:rFonts w:cs="Arial"/>
        </w:rPr>
        <w:t xml:space="preserve"> </w:t>
      </w:r>
      <w:r w:rsidR="000E4A37">
        <w:rPr>
          <w:rFonts w:cs="Arial"/>
        </w:rPr>
        <w:t>RTS_153_26</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0E4A37">
        <w:rPr>
          <w:rFonts w:cs="Arial"/>
        </w:rPr>
        <w:t>XXXX</w:t>
      </w:r>
      <w:r w:rsidRPr="00EF0769">
        <w:rPr>
          <w:rFonts w:cs="Arial"/>
        </w:rPr>
        <w:t xml:space="preserve">, the </w:t>
      </w:r>
      <w:r w:rsidR="00021E83" w:rsidRPr="00EF0769">
        <w:rPr>
          <w:rFonts w:cs="Arial"/>
        </w:rPr>
        <w:t>name of the reply form would be:</w:t>
      </w:r>
    </w:p>
    <w:p w:rsidR="00021E83" w:rsidRPr="00EF0769" w:rsidRDefault="00021E83" w:rsidP="000D17AA">
      <w:pPr>
        <w:pStyle w:val="04BodyText"/>
        <w:spacing w:before="120" w:after="120"/>
        <w:jc w:val="left"/>
        <w:rPr>
          <w:rFonts w:cs="Arial"/>
        </w:rPr>
      </w:pPr>
      <w:r w:rsidRPr="00EF0769">
        <w:rPr>
          <w:rFonts w:cs="Arial"/>
        </w:rPr>
        <w:t>ESMA_</w:t>
      </w:r>
      <w:r w:rsidR="000E4A37">
        <w:rPr>
          <w:rFonts w:cs="Arial"/>
        </w:rPr>
        <w:t>RTS_153_26</w:t>
      </w:r>
      <w:r w:rsidR="00332304">
        <w:rPr>
          <w:rFonts w:cs="Arial"/>
        </w:rPr>
        <w:t>_</w:t>
      </w:r>
      <w:r w:rsidR="000E4A37">
        <w:rPr>
          <w:rFonts w:cs="Arial"/>
        </w:rPr>
        <w:t>XXXX</w:t>
      </w:r>
      <w:r w:rsidRPr="00EF0769">
        <w:rPr>
          <w:rFonts w:cs="Arial"/>
        </w:rPr>
        <w:t xml:space="preserve">_REPLYFORM or </w:t>
      </w:r>
    </w:p>
    <w:p w:rsidR="000D17AA" w:rsidRPr="00EF0769" w:rsidRDefault="00021E83" w:rsidP="000D17AA">
      <w:pPr>
        <w:pStyle w:val="04BodyText"/>
        <w:spacing w:before="120" w:after="120"/>
        <w:jc w:val="left"/>
        <w:rPr>
          <w:rFonts w:cs="Arial"/>
        </w:rPr>
      </w:pPr>
      <w:r w:rsidRPr="00EF0769">
        <w:rPr>
          <w:rFonts w:cs="Arial"/>
        </w:rPr>
        <w:t>ESMA_</w:t>
      </w:r>
      <w:r w:rsidR="000E4A37">
        <w:rPr>
          <w:rFonts w:cs="Arial"/>
        </w:rPr>
        <w:t>RTS_153_26_XXXX</w:t>
      </w:r>
      <w:r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5C46AD">
        <w:rPr>
          <w:rFonts w:cs="Arial"/>
          <w:b/>
        </w:rPr>
        <w:t xml:space="preserve">30 September </w:t>
      </w:r>
      <w:r w:rsidR="00021E83" w:rsidRPr="00EF0769">
        <w:rPr>
          <w:rFonts w:cs="Arial"/>
          <w:b/>
        </w:rPr>
        <w:t>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3" w:history="1">
        <w:r w:rsidRPr="00EF0769">
          <w:rPr>
            <w:rStyle w:val="Hyperlink"/>
            <w:rFonts w:cs="Arial"/>
          </w:rPr>
          <w:t>www.esma.europa.eu</w:t>
        </w:r>
      </w:hyperlink>
      <w:r w:rsidRPr="00EF0769">
        <w:rPr>
          <w:rFonts w:cs="Arial"/>
        </w:rPr>
        <w:t xml:space="preserve"> under the heading ‘Your i</w:t>
      </w:r>
      <w:r w:rsidRPr="00EF0769">
        <w:rPr>
          <w:rFonts w:cs="Arial"/>
        </w:rPr>
        <w:t>n</w:t>
      </w:r>
      <w:r w:rsidRPr="00EF0769">
        <w:rPr>
          <w:rFonts w:cs="Arial"/>
        </w:rPr>
        <w:t xml:space="preserve">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1"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1"/>
    </w:p>
    <w:p w:rsidR="00F574D0" w:rsidRPr="00EF0769" w:rsidRDefault="00F574D0" w:rsidP="00F574D0">
      <w:pPr>
        <w:pStyle w:val="04BodyText"/>
        <w:spacing w:before="120" w:after="120"/>
        <w:rPr>
          <w:rFonts w:cs="Arial"/>
        </w:rPr>
      </w:pPr>
      <w:r w:rsidRPr="00EF0769">
        <w:rPr>
          <w:rFonts w:cs="Arial"/>
        </w:rPr>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w:t>
      </w:r>
      <w:r w:rsidR="00032350">
        <w:rPr>
          <w:rFonts w:cs="Arial"/>
        </w:rPr>
        <w:t xml:space="preserve"> acc</w:t>
      </w:r>
      <w:r w:rsidRPr="00EF0769">
        <w:rPr>
          <w:rFonts w:cs="Arial"/>
        </w:rPr>
        <w:t>ess to doc</w:t>
      </w:r>
      <w:r w:rsidRPr="00EF0769">
        <w:rPr>
          <w:rFonts w:cs="Arial"/>
        </w:rPr>
        <w:t>u</w:t>
      </w:r>
      <w:r w:rsidRPr="00EF0769">
        <w:rPr>
          <w:rFonts w:cs="Arial"/>
        </w:rPr>
        <w:t>ments. We may consult you if we receive such a request. Any decision we make is reviewable by ESMA’s Board of Appeal and the European Ombudsman.</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5"/>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4"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headings ‘Legal notice’ and ‘Data protection’</w:t>
      </w:r>
      <w:r w:rsidRPr="00EF0769">
        <w:rPr>
          <w:rFonts w:cs="Arial"/>
          <w:szCs w:val="20"/>
        </w:rPr>
        <w:t>.</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Default="00D34282" w:rsidP="00D34282">
      <w:pPr>
        <w:pStyle w:val="Heading1"/>
        <w:numPr>
          <w:ilvl w:val="0"/>
          <w:numId w:val="0"/>
        </w:numPr>
        <w:ind w:left="431" w:hanging="431"/>
      </w:pPr>
      <w:r>
        <w:lastRenderedPageBreak/>
        <w:t>Introduction</w:t>
      </w:r>
    </w:p>
    <w:p w:rsidR="00D34282" w:rsidRPr="001D47A5" w:rsidRDefault="00D34282" w:rsidP="00D34282">
      <w:pPr>
        <w:rPr>
          <w:rStyle w:val="IntenseEmphasis"/>
        </w:rPr>
      </w:pPr>
      <w:r w:rsidRPr="001D47A5">
        <w:rPr>
          <w:rStyle w:val="IntenseEmphasis"/>
        </w:rPr>
        <w:t>Please make your introductory comments below, if any:</w:t>
      </w:r>
    </w:p>
    <w:p w:rsidR="00D34282" w:rsidRPr="00C25863" w:rsidRDefault="00D34282" w:rsidP="00D34282">
      <w:r w:rsidRPr="00C25863">
        <w:t>&lt;</w:t>
      </w:r>
      <w:r w:rsidRPr="00D74C9D">
        <w:t xml:space="preserve"> </w:t>
      </w:r>
      <w:r>
        <w:t>ESMA_COMMENT</w:t>
      </w:r>
      <w:r w:rsidRPr="00C25863">
        <w:t>_</w:t>
      </w:r>
      <w:r w:rsidR="00F62D30">
        <w:rPr>
          <w:rFonts w:cs="Arial"/>
        </w:rPr>
        <w:t>RTS_153_26</w:t>
      </w:r>
      <w:r w:rsidRPr="00C25863">
        <w:t>_1&gt;</w:t>
      </w:r>
    </w:p>
    <w:p w:rsidR="00DF10DF" w:rsidRPr="00A862B5" w:rsidRDefault="00DF10DF" w:rsidP="00232377">
      <w:pPr>
        <w:jc w:val="both"/>
        <w:rPr>
          <w:rFonts w:ascii="Times New Roman" w:hAnsi="Times New Roman"/>
          <w:sz w:val="22"/>
          <w:szCs w:val="22"/>
        </w:rPr>
      </w:pPr>
      <w:permStart w:id="1915901119" w:edGrp="everyone"/>
      <w:r>
        <w:rPr>
          <w:rFonts w:ascii="Times New Roman" w:hAnsi="Times New Roman"/>
          <w:sz w:val="22"/>
          <w:szCs w:val="22"/>
        </w:rPr>
        <w:t>FIA Global,</w:t>
      </w:r>
      <w:r>
        <w:rPr>
          <w:rStyle w:val="FootnoteReference"/>
          <w:rFonts w:ascii="Times New Roman" w:hAnsi="Times New Roman"/>
          <w:sz w:val="22"/>
          <w:szCs w:val="22"/>
        </w:rPr>
        <w:footnoteReference w:id="2"/>
      </w:r>
      <w:r>
        <w:rPr>
          <w:rFonts w:ascii="Times New Roman" w:hAnsi="Times New Roman"/>
          <w:sz w:val="22"/>
          <w:szCs w:val="22"/>
        </w:rPr>
        <w:t xml:space="preserve"> the International Swaps and Derivatives Association (“</w:t>
      </w:r>
      <w:r w:rsidRPr="002A488A">
        <w:rPr>
          <w:rFonts w:ascii="Times New Roman" w:hAnsi="Times New Roman"/>
          <w:b/>
          <w:sz w:val="22"/>
          <w:szCs w:val="22"/>
        </w:rPr>
        <w:t>ISDA</w:t>
      </w:r>
      <w:r>
        <w:rPr>
          <w:rFonts w:ascii="Times New Roman" w:hAnsi="Times New Roman"/>
          <w:sz w:val="22"/>
          <w:szCs w:val="22"/>
        </w:rPr>
        <w:t>”)</w:t>
      </w:r>
      <w:r>
        <w:rPr>
          <w:rStyle w:val="FootnoteReference"/>
          <w:rFonts w:ascii="Times New Roman" w:hAnsi="Times New Roman"/>
          <w:sz w:val="22"/>
          <w:szCs w:val="22"/>
        </w:rPr>
        <w:footnoteReference w:id="3"/>
      </w:r>
      <w:r>
        <w:rPr>
          <w:rFonts w:ascii="Times New Roman" w:hAnsi="Times New Roman"/>
          <w:sz w:val="22"/>
          <w:szCs w:val="22"/>
        </w:rPr>
        <w:t xml:space="preserve"> and the Investment Associ</w:t>
      </w:r>
      <w:r>
        <w:rPr>
          <w:rFonts w:ascii="Times New Roman" w:hAnsi="Times New Roman"/>
          <w:sz w:val="22"/>
          <w:szCs w:val="22"/>
        </w:rPr>
        <w:t>a</w:t>
      </w:r>
      <w:r>
        <w:rPr>
          <w:rFonts w:ascii="Times New Roman" w:hAnsi="Times New Roman"/>
          <w:sz w:val="22"/>
          <w:szCs w:val="22"/>
        </w:rPr>
        <w:t>tion (“</w:t>
      </w:r>
      <w:r w:rsidRPr="002A488A">
        <w:rPr>
          <w:rFonts w:ascii="Times New Roman" w:hAnsi="Times New Roman"/>
          <w:b/>
          <w:sz w:val="22"/>
          <w:szCs w:val="22"/>
        </w:rPr>
        <w:t>IA</w:t>
      </w:r>
      <w:r>
        <w:rPr>
          <w:rFonts w:ascii="Times New Roman" w:hAnsi="Times New Roman"/>
          <w:sz w:val="22"/>
          <w:szCs w:val="22"/>
        </w:rPr>
        <w:t>”)</w:t>
      </w:r>
      <w:r>
        <w:rPr>
          <w:rStyle w:val="FootnoteReference"/>
          <w:rFonts w:ascii="Times New Roman" w:hAnsi="Times New Roman"/>
          <w:sz w:val="22"/>
          <w:szCs w:val="22"/>
        </w:rPr>
        <w:footnoteReference w:id="4"/>
      </w:r>
      <w:r>
        <w:rPr>
          <w:rFonts w:ascii="Times New Roman" w:hAnsi="Times New Roman"/>
          <w:sz w:val="22"/>
          <w:szCs w:val="22"/>
        </w:rPr>
        <w:t xml:space="preserve"> (together, the “</w:t>
      </w:r>
      <w:r w:rsidRPr="002A488A">
        <w:rPr>
          <w:rFonts w:ascii="Times New Roman" w:hAnsi="Times New Roman"/>
          <w:b/>
          <w:sz w:val="22"/>
          <w:szCs w:val="22"/>
        </w:rPr>
        <w:t>Trade Associations</w:t>
      </w:r>
      <w:r>
        <w:rPr>
          <w:rFonts w:ascii="Times New Roman" w:hAnsi="Times New Roman"/>
          <w:sz w:val="22"/>
          <w:szCs w:val="22"/>
        </w:rPr>
        <w:t xml:space="preserve">”) welcome this opportunity to respond to the Discussion Paper reviewing Article 26 of RTS </w:t>
      </w:r>
      <w:r w:rsidRPr="00A862B5">
        <w:rPr>
          <w:rFonts w:ascii="Times New Roman" w:hAnsi="Times New Roman"/>
          <w:sz w:val="22"/>
          <w:szCs w:val="22"/>
        </w:rPr>
        <w:t>No 153/2013 with respect to client accounts.</w:t>
      </w:r>
    </w:p>
    <w:p w:rsidR="00DF10DF" w:rsidRPr="00A862B5" w:rsidRDefault="00DF10DF" w:rsidP="00232377">
      <w:pPr>
        <w:jc w:val="both"/>
        <w:rPr>
          <w:rFonts w:ascii="Times New Roman" w:hAnsi="Times New Roman"/>
          <w:sz w:val="22"/>
          <w:szCs w:val="22"/>
        </w:rPr>
      </w:pPr>
    </w:p>
    <w:p w:rsidR="00DF10DF" w:rsidRPr="00A54D2C" w:rsidRDefault="00DF10DF" w:rsidP="00232377">
      <w:pPr>
        <w:jc w:val="both"/>
        <w:rPr>
          <w:sz w:val="22"/>
          <w:szCs w:val="22"/>
        </w:rPr>
      </w:pPr>
      <w:r w:rsidRPr="002A488A">
        <w:rPr>
          <w:rFonts w:ascii="Times New Roman" w:eastAsiaTheme="minorHAnsi" w:hAnsi="Times New Roman"/>
          <w:sz w:val="22"/>
          <w:szCs w:val="22"/>
          <w:lang w:val="en-US"/>
        </w:rPr>
        <w:t>The Trade Associations note at the outset that the Committee on Payments and Market Infrastructures (</w:t>
      </w:r>
      <w:r>
        <w:rPr>
          <w:rFonts w:ascii="Times New Roman" w:eastAsiaTheme="minorHAnsi" w:hAnsi="Times New Roman"/>
          <w:sz w:val="22"/>
          <w:szCs w:val="22"/>
          <w:lang w:val="en-US"/>
        </w:rPr>
        <w:t>“</w:t>
      </w:r>
      <w:r w:rsidRPr="00DF10DF">
        <w:rPr>
          <w:rFonts w:ascii="Times New Roman" w:eastAsiaTheme="minorHAnsi" w:hAnsi="Times New Roman"/>
          <w:b/>
          <w:sz w:val="22"/>
          <w:szCs w:val="22"/>
          <w:lang w:val="en-US"/>
        </w:rPr>
        <w:t>CPMI</w:t>
      </w:r>
      <w:r>
        <w:rPr>
          <w:rFonts w:ascii="Times New Roman" w:eastAsiaTheme="minorHAnsi" w:hAnsi="Times New Roman"/>
          <w:sz w:val="22"/>
          <w:szCs w:val="22"/>
          <w:lang w:val="en-US"/>
        </w:rPr>
        <w:t>”</w:t>
      </w:r>
      <w:r w:rsidRPr="002A488A">
        <w:rPr>
          <w:rFonts w:ascii="Times New Roman" w:eastAsiaTheme="minorHAnsi" w:hAnsi="Times New Roman"/>
          <w:sz w:val="22"/>
          <w:szCs w:val="22"/>
          <w:lang w:val="en-US"/>
        </w:rPr>
        <w:t>) and the International Organization of Securities Commissions (</w:t>
      </w:r>
      <w:r>
        <w:rPr>
          <w:rFonts w:ascii="Times New Roman" w:eastAsiaTheme="minorHAnsi" w:hAnsi="Times New Roman"/>
          <w:sz w:val="22"/>
          <w:szCs w:val="22"/>
          <w:lang w:val="en-US"/>
        </w:rPr>
        <w:t>“</w:t>
      </w:r>
      <w:r w:rsidRPr="00DF10DF">
        <w:rPr>
          <w:rFonts w:ascii="Times New Roman" w:eastAsiaTheme="minorHAnsi" w:hAnsi="Times New Roman"/>
          <w:b/>
          <w:sz w:val="22"/>
          <w:szCs w:val="22"/>
          <w:lang w:val="en-US"/>
        </w:rPr>
        <w:t>IOSCO</w:t>
      </w:r>
      <w:r>
        <w:rPr>
          <w:rFonts w:ascii="Times New Roman" w:eastAsiaTheme="minorHAnsi" w:hAnsi="Times New Roman"/>
          <w:sz w:val="22"/>
          <w:szCs w:val="22"/>
          <w:lang w:val="en-US"/>
        </w:rPr>
        <w:t>”</w:t>
      </w:r>
      <w:r w:rsidRPr="002A488A">
        <w:rPr>
          <w:rFonts w:ascii="Times New Roman" w:eastAsiaTheme="minorHAnsi" w:hAnsi="Times New Roman"/>
          <w:sz w:val="22"/>
          <w:szCs w:val="22"/>
          <w:lang w:val="en-US"/>
        </w:rPr>
        <w:t xml:space="preserve">) announced in July the start of the first Level 3 assessment of the implementation of the </w:t>
      </w:r>
      <w:r w:rsidRPr="002A488A">
        <w:rPr>
          <w:rFonts w:ascii="Times New Roman" w:eastAsiaTheme="minorHAnsi" w:hAnsi="Times New Roman"/>
          <w:i/>
          <w:sz w:val="22"/>
          <w:szCs w:val="22"/>
          <w:lang w:val="en-US"/>
        </w:rPr>
        <w:t>Principles for financial market infr</w:t>
      </w:r>
      <w:r w:rsidRPr="002A488A">
        <w:rPr>
          <w:rFonts w:ascii="Times New Roman" w:eastAsiaTheme="minorHAnsi" w:hAnsi="Times New Roman"/>
          <w:i/>
          <w:sz w:val="22"/>
          <w:szCs w:val="22"/>
          <w:lang w:val="en-US"/>
        </w:rPr>
        <w:t>a</w:t>
      </w:r>
      <w:r w:rsidRPr="002A488A">
        <w:rPr>
          <w:rFonts w:ascii="Times New Roman" w:eastAsiaTheme="minorHAnsi" w:hAnsi="Times New Roman"/>
          <w:i/>
          <w:sz w:val="22"/>
          <w:szCs w:val="22"/>
          <w:lang w:val="en-US"/>
        </w:rPr>
        <w:t>structures</w:t>
      </w:r>
      <w:r w:rsidRPr="002A488A">
        <w:rPr>
          <w:rFonts w:ascii="Times New Roman" w:eastAsiaTheme="minorHAnsi" w:hAnsi="Times New Roman"/>
          <w:sz w:val="22"/>
          <w:szCs w:val="22"/>
          <w:lang w:val="en-US"/>
        </w:rPr>
        <w:t xml:space="preserve"> (</w:t>
      </w:r>
      <w:r>
        <w:rPr>
          <w:rFonts w:ascii="Times New Roman" w:eastAsiaTheme="minorHAnsi" w:hAnsi="Times New Roman"/>
          <w:sz w:val="22"/>
          <w:szCs w:val="22"/>
          <w:lang w:val="en-US"/>
        </w:rPr>
        <w:t>“</w:t>
      </w:r>
      <w:r w:rsidRPr="00DF10DF">
        <w:rPr>
          <w:rFonts w:ascii="Times New Roman" w:eastAsiaTheme="minorHAnsi" w:hAnsi="Times New Roman"/>
          <w:b/>
          <w:sz w:val="22"/>
          <w:szCs w:val="22"/>
          <w:lang w:val="en-US"/>
        </w:rPr>
        <w:t>PFMIs</w:t>
      </w:r>
      <w:r>
        <w:rPr>
          <w:rFonts w:ascii="Times New Roman" w:eastAsiaTheme="minorHAnsi" w:hAnsi="Times New Roman"/>
          <w:sz w:val="22"/>
          <w:szCs w:val="22"/>
          <w:lang w:val="en-US"/>
        </w:rPr>
        <w:t>”</w:t>
      </w:r>
      <w:r w:rsidRPr="002A488A">
        <w:rPr>
          <w:rFonts w:ascii="Times New Roman" w:eastAsiaTheme="minorHAnsi" w:hAnsi="Times New Roman"/>
          <w:sz w:val="22"/>
          <w:szCs w:val="22"/>
          <w:lang w:val="en-US"/>
        </w:rPr>
        <w:t xml:space="preserve">). </w:t>
      </w:r>
      <w:r>
        <w:rPr>
          <w:rFonts w:ascii="Times New Roman" w:eastAsiaTheme="minorHAnsi" w:hAnsi="Times New Roman"/>
          <w:sz w:val="22"/>
          <w:szCs w:val="22"/>
          <w:lang w:val="en-US"/>
        </w:rPr>
        <w:t xml:space="preserve"> </w:t>
      </w:r>
      <w:r w:rsidRPr="002A488A">
        <w:rPr>
          <w:rFonts w:ascii="Times New Roman" w:eastAsiaTheme="minorHAnsi" w:hAnsi="Times New Roman"/>
          <w:sz w:val="22"/>
          <w:szCs w:val="22"/>
          <w:lang w:val="en-US"/>
        </w:rPr>
        <w:t>We expect that one part of that effort will focus on CCP margin methodologies and the extent to which they align with international standards across jurisdictions and CCPs.  We also expect that effort to consider margin methodologies as they apply to both house and client positions, across a variety of account structures, at CCPs both inside and outside of Europe.  Our members look forward to supporting that effort, including with quantitative analysis to the extent appropriate, as we are eager to support regulatory consistency globally, including between the regulatory regimes of the U.S. and the EU</w:t>
      </w:r>
      <w:r>
        <w:rPr>
          <w:rFonts w:ascii="Times New Roman" w:eastAsiaTheme="minorHAnsi" w:hAnsi="Times New Roman"/>
          <w:sz w:val="22"/>
          <w:szCs w:val="22"/>
          <w:lang w:val="en-US"/>
        </w:rPr>
        <w:t>.</w:t>
      </w:r>
      <w:r w:rsidRPr="002A488A">
        <w:rPr>
          <w:rFonts w:ascii="Times New Roman" w:eastAsiaTheme="minorHAnsi" w:hAnsi="Times New Roman"/>
          <w:sz w:val="22"/>
          <w:szCs w:val="22"/>
          <w:lang w:val="en-US"/>
        </w:rPr>
        <w:t xml:space="preserve">  </w:t>
      </w:r>
      <w:r>
        <w:rPr>
          <w:rFonts w:ascii="Times New Roman" w:eastAsiaTheme="minorHAnsi" w:hAnsi="Times New Roman"/>
          <w:sz w:val="22"/>
          <w:szCs w:val="22"/>
          <w:lang w:val="en-US"/>
        </w:rPr>
        <w:t>In light of these larger efforts now underway, w</w:t>
      </w:r>
      <w:r w:rsidRPr="002A488A">
        <w:rPr>
          <w:rFonts w:ascii="Times New Roman" w:eastAsiaTheme="minorHAnsi" w:hAnsi="Times New Roman"/>
          <w:sz w:val="22"/>
          <w:szCs w:val="22"/>
          <w:lang w:val="en-US"/>
        </w:rPr>
        <w:t>e believe</w:t>
      </w:r>
      <w:r>
        <w:rPr>
          <w:rFonts w:ascii="Times New Roman" w:eastAsiaTheme="minorHAnsi" w:hAnsi="Times New Roman"/>
          <w:sz w:val="22"/>
          <w:szCs w:val="22"/>
          <w:lang w:val="en-US"/>
        </w:rPr>
        <w:t xml:space="preserve"> </w:t>
      </w:r>
      <w:r w:rsidRPr="002A488A">
        <w:rPr>
          <w:rFonts w:ascii="Times New Roman" w:eastAsiaTheme="minorHAnsi" w:hAnsi="Times New Roman"/>
          <w:sz w:val="22"/>
          <w:szCs w:val="22"/>
          <w:lang w:val="en-US"/>
        </w:rPr>
        <w:t xml:space="preserve">it </w:t>
      </w:r>
      <w:r>
        <w:rPr>
          <w:rFonts w:ascii="Times New Roman" w:eastAsiaTheme="minorHAnsi" w:hAnsi="Times New Roman"/>
          <w:sz w:val="22"/>
          <w:szCs w:val="22"/>
          <w:lang w:val="en-US"/>
        </w:rPr>
        <w:t>is</w:t>
      </w:r>
      <w:r w:rsidRPr="002A488A">
        <w:rPr>
          <w:rFonts w:ascii="Times New Roman" w:eastAsiaTheme="minorHAnsi" w:hAnsi="Times New Roman"/>
          <w:sz w:val="22"/>
          <w:szCs w:val="22"/>
          <w:lang w:val="en-US"/>
        </w:rPr>
        <w:t xml:space="preserve"> premature to submit detailed qua</w:t>
      </w:r>
      <w:r w:rsidRPr="002A488A">
        <w:rPr>
          <w:rFonts w:ascii="Times New Roman" w:eastAsiaTheme="minorHAnsi" w:hAnsi="Times New Roman"/>
          <w:sz w:val="22"/>
          <w:szCs w:val="22"/>
          <w:lang w:val="en-US"/>
        </w:rPr>
        <w:t>n</w:t>
      </w:r>
      <w:r w:rsidRPr="002A488A">
        <w:rPr>
          <w:rFonts w:ascii="Times New Roman" w:eastAsiaTheme="minorHAnsi" w:hAnsi="Times New Roman"/>
          <w:sz w:val="22"/>
          <w:szCs w:val="22"/>
          <w:lang w:val="en-US"/>
        </w:rPr>
        <w:t>titative material in this particular response.  We can, however, offer some general views shared by our members.</w:t>
      </w:r>
    </w:p>
    <w:p w:rsidR="00DF10DF" w:rsidRDefault="00DF10DF" w:rsidP="00232377">
      <w:pPr>
        <w:pStyle w:val="Bullet1"/>
        <w:numPr>
          <w:ilvl w:val="0"/>
          <w:numId w:val="0"/>
        </w:numPr>
        <w:tabs>
          <w:tab w:val="left" w:pos="0"/>
        </w:tabs>
        <w:spacing w:after="0"/>
        <w:rPr>
          <w:sz w:val="22"/>
          <w:szCs w:val="22"/>
        </w:rPr>
      </w:pPr>
      <w:r w:rsidRPr="00A862B5">
        <w:rPr>
          <w:sz w:val="22"/>
          <w:szCs w:val="22"/>
        </w:rPr>
        <w:t>As Principle 6 of the PFMIs notes, a CCP should “have a margin system that establishes margin levels commensurate with the risks and</w:t>
      </w:r>
      <w:r>
        <w:rPr>
          <w:sz w:val="22"/>
          <w:szCs w:val="22"/>
        </w:rPr>
        <w:t xml:space="preserve"> particular attributes of each product, portfolio, and market it serves” and “adopt initial margin models and parameters that are risk-based and generate margin requirements suff</w:t>
      </w:r>
      <w:r>
        <w:rPr>
          <w:sz w:val="22"/>
          <w:szCs w:val="22"/>
        </w:rPr>
        <w:t>i</w:t>
      </w:r>
      <w:r>
        <w:rPr>
          <w:sz w:val="22"/>
          <w:szCs w:val="22"/>
        </w:rPr>
        <w:t>cient to cover its potential future exposure to participants in the interval between the last margin collection and the close out of positions following a participant default.”</w:t>
      </w:r>
      <w:r>
        <w:rPr>
          <w:rStyle w:val="FootnoteReference"/>
          <w:sz w:val="22"/>
          <w:szCs w:val="22"/>
        </w:rPr>
        <w:footnoteReference w:id="5"/>
      </w:r>
      <w:r>
        <w:rPr>
          <w:sz w:val="22"/>
          <w:szCs w:val="22"/>
        </w:rPr>
        <w:t xml:space="preserve"> </w:t>
      </w:r>
    </w:p>
    <w:p w:rsidR="00DF10DF" w:rsidRDefault="00DF10DF" w:rsidP="00232377">
      <w:pPr>
        <w:pStyle w:val="Bullet1"/>
        <w:numPr>
          <w:ilvl w:val="0"/>
          <w:numId w:val="0"/>
        </w:numPr>
        <w:tabs>
          <w:tab w:val="left" w:pos="0"/>
        </w:tabs>
        <w:spacing w:after="0"/>
        <w:rPr>
          <w:sz w:val="22"/>
          <w:szCs w:val="22"/>
        </w:rPr>
      </w:pPr>
      <w:r>
        <w:rPr>
          <w:sz w:val="22"/>
          <w:szCs w:val="22"/>
        </w:rPr>
        <w:t>Consistent with this principle, our members believe that the calculation of appropriate margin levels for client accounts at CCPs must take into account several factors in order to ensure that the amount of margin the CCP collects is consistent with its default management objectives, viewed in light of the legal, regul</w:t>
      </w:r>
      <w:r>
        <w:rPr>
          <w:sz w:val="22"/>
          <w:szCs w:val="22"/>
        </w:rPr>
        <w:t>a</w:t>
      </w:r>
      <w:r>
        <w:rPr>
          <w:sz w:val="22"/>
          <w:szCs w:val="22"/>
        </w:rPr>
        <w:t>tory and contractual framework in which it operates.  These factors include the relevant MPOR and whether such margin requirements are calculated on a net or a gross basis across clients of a single clea</w:t>
      </w:r>
      <w:r>
        <w:rPr>
          <w:sz w:val="22"/>
          <w:szCs w:val="22"/>
        </w:rPr>
        <w:t>r</w:t>
      </w:r>
      <w:r>
        <w:rPr>
          <w:sz w:val="22"/>
          <w:szCs w:val="22"/>
        </w:rPr>
        <w:t>ing member, but they should also include</w:t>
      </w:r>
      <w:r w:rsidRPr="004B69CD">
        <w:rPr>
          <w:sz w:val="22"/>
          <w:szCs w:val="22"/>
        </w:rPr>
        <w:t xml:space="preserve"> </w:t>
      </w:r>
      <w:r>
        <w:rPr>
          <w:sz w:val="22"/>
          <w:szCs w:val="22"/>
        </w:rPr>
        <w:t xml:space="preserve">other factors such as those listed in Paragraph 2 of Article 24 of Regulation (EU) No 153/2013, including </w:t>
      </w:r>
      <w:r w:rsidRPr="000B6B2D">
        <w:rPr>
          <w:sz w:val="22"/>
          <w:szCs w:val="22"/>
        </w:rPr>
        <w:t>(</w:t>
      </w:r>
      <w:proofErr w:type="spellStart"/>
      <w:r w:rsidRPr="000B6B2D">
        <w:rPr>
          <w:sz w:val="22"/>
          <w:szCs w:val="22"/>
        </w:rPr>
        <w:t>i</w:t>
      </w:r>
      <w:proofErr w:type="spellEnd"/>
      <w:r w:rsidRPr="000B6B2D">
        <w:rPr>
          <w:sz w:val="22"/>
          <w:szCs w:val="22"/>
        </w:rPr>
        <w:t>) the complexities and level of pricing uncertainties of the product class that limit the validation of the calculation of margin, (ii) the risk characteristics of the pro</w:t>
      </w:r>
      <w:r w:rsidRPr="000B6B2D">
        <w:rPr>
          <w:sz w:val="22"/>
          <w:szCs w:val="22"/>
        </w:rPr>
        <w:t>d</w:t>
      </w:r>
      <w:r w:rsidRPr="000B6B2D">
        <w:rPr>
          <w:sz w:val="22"/>
          <w:szCs w:val="22"/>
        </w:rPr>
        <w:t>uct class, (iii) the degree to which other risk controls do not adequately limit credit exposures and (iv) the inherent leverage of the product class, including volatility, concentration among market participants and ability to close out</w:t>
      </w:r>
      <w:r>
        <w:rPr>
          <w:sz w:val="22"/>
          <w:szCs w:val="22"/>
        </w:rPr>
        <w:t>.</w:t>
      </w:r>
      <w:r w:rsidRPr="00F7649E">
        <w:rPr>
          <w:sz w:val="22"/>
          <w:szCs w:val="22"/>
        </w:rPr>
        <w:t xml:space="preserve"> </w:t>
      </w:r>
      <w:r>
        <w:rPr>
          <w:sz w:val="22"/>
          <w:szCs w:val="22"/>
        </w:rPr>
        <w:t xml:space="preserve"> We also note that, as required by Article 49 of Regulation (EU) no 648/2012 and Articles 58 and 59 of Regulation (EU) No 153/2013 respectively, CCPs should regularly review the mo</w:t>
      </w:r>
      <w:r>
        <w:rPr>
          <w:sz w:val="22"/>
          <w:szCs w:val="22"/>
        </w:rPr>
        <w:t>d</w:t>
      </w:r>
      <w:r>
        <w:rPr>
          <w:sz w:val="22"/>
          <w:szCs w:val="22"/>
        </w:rPr>
        <w:t xml:space="preserve">els and parameters adopted to calculate their margin requirements and other risk control mechanisms, and should continuously test and review their default procedures to ensure practicality and effectiveness, </w:t>
      </w:r>
      <w:r>
        <w:rPr>
          <w:sz w:val="22"/>
          <w:szCs w:val="22"/>
        </w:rPr>
        <w:lastRenderedPageBreak/>
        <w:t>including rigorous testing of their margin methodologies.  We therefore believe the regulatory framework for the calculation of margin should not prescribe one particular standard applicable to each element of a CCP’s margin calculation methodology.  Instead, the regulatory framework should focus on ensuring that a CCP implements a robust margin framework based on a set risk criteria that ensures that it can collect enough margin to manage its default management processes while taking into account the practical real</w:t>
      </w:r>
      <w:r>
        <w:rPr>
          <w:sz w:val="22"/>
          <w:szCs w:val="22"/>
        </w:rPr>
        <w:t>i</w:t>
      </w:r>
      <w:r>
        <w:rPr>
          <w:sz w:val="22"/>
          <w:szCs w:val="22"/>
        </w:rPr>
        <w:t>ties of its ability to port and, if necessary, liquidate client positions and collateral.</w:t>
      </w:r>
    </w:p>
    <w:p w:rsidR="00DF10DF" w:rsidRDefault="00DF10DF" w:rsidP="00232377">
      <w:pPr>
        <w:pStyle w:val="Bullet1"/>
        <w:numPr>
          <w:ilvl w:val="0"/>
          <w:numId w:val="0"/>
        </w:numPr>
        <w:tabs>
          <w:tab w:val="left" w:pos="0"/>
        </w:tabs>
        <w:spacing w:after="0"/>
        <w:rPr>
          <w:sz w:val="22"/>
          <w:szCs w:val="22"/>
        </w:rPr>
      </w:pPr>
      <w:r>
        <w:rPr>
          <w:sz w:val="22"/>
          <w:szCs w:val="22"/>
        </w:rPr>
        <w:t>We believe this means that the regulatory framework for the calculation of client margin should:</w:t>
      </w:r>
    </w:p>
    <w:p w:rsidR="00DF10DF" w:rsidRDefault="00DF10DF" w:rsidP="00232377">
      <w:pPr>
        <w:pStyle w:val="Bullet1"/>
        <w:numPr>
          <w:ilvl w:val="0"/>
          <w:numId w:val="0"/>
        </w:numPr>
        <w:tabs>
          <w:tab w:val="left" w:pos="360"/>
        </w:tabs>
        <w:spacing w:before="0" w:after="0"/>
        <w:ind w:left="360"/>
        <w:rPr>
          <w:sz w:val="22"/>
          <w:szCs w:val="22"/>
        </w:rPr>
      </w:pPr>
    </w:p>
    <w:p w:rsidR="00DF10DF" w:rsidRDefault="00DF10DF" w:rsidP="00DF10DF">
      <w:pPr>
        <w:pStyle w:val="Bullet1"/>
        <w:numPr>
          <w:ilvl w:val="0"/>
          <w:numId w:val="51"/>
        </w:numPr>
        <w:tabs>
          <w:tab w:val="left" w:pos="360"/>
        </w:tabs>
        <w:spacing w:before="0" w:after="0"/>
        <w:ind w:left="360"/>
        <w:rPr>
          <w:sz w:val="22"/>
          <w:szCs w:val="22"/>
        </w:rPr>
      </w:pPr>
      <w:r>
        <w:rPr>
          <w:sz w:val="22"/>
          <w:szCs w:val="22"/>
        </w:rPr>
        <w:t xml:space="preserve">allow CCPs to use an MPOR that is appropriate to the relevant product in light of the CCP’s default management objectives; </w:t>
      </w:r>
    </w:p>
    <w:p w:rsidR="00DF10DF" w:rsidRPr="00803967" w:rsidRDefault="00DF10DF" w:rsidP="00232377">
      <w:pPr>
        <w:pStyle w:val="Bullet1"/>
        <w:numPr>
          <w:ilvl w:val="0"/>
          <w:numId w:val="0"/>
        </w:numPr>
        <w:tabs>
          <w:tab w:val="left" w:pos="360"/>
        </w:tabs>
        <w:spacing w:before="0" w:after="0"/>
        <w:ind w:left="360"/>
        <w:rPr>
          <w:sz w:val="22"/>
          <w:szCs w:val="22"/>
        </w:rPr>
      </w:pPr>
    </w:p>
    <w:p w:rsidR="00DF10DF" w:rsidRDefault="00DF10DF" w:rsidP="00DF10DF">
      <w:pPr>
        <w:pStyle w:val="Bullet1"/>
        <w:numPr>
          <w:ilvl w:val="0"/>
          <w:numId w:val="51"/>
        </w:numPr>
        <w:tabs>
          <w:tab w:val="left" w:pos="360"/>
        </w:tabs>
        <w:spacing w:before="0" w:after="0"/>
        <w:ind w:left="360"/>
        <w:rPr>
          <w:sz w:val="22"/>
          <w:szCs w:val="22"/>
        </w:rPr>
      </w:pPr>
      <w:r>
        <w:rPr>
          <w:sz w:val="22"/>
          <w:szCs w:val="22"/>
        </w:rPr>
        <w:t>not strictly distinguish between products based upon whether they are executed in the OTC market or on a regulated exchange; and</w:t>
      </w:r>
    </w:p>
    <w:p w:rsidR="00DF10DF" w:rsidRDefault="00DF10DF" w:rsidP="00232377">
      <w:pPr>
        <w:pStyle w:val="ListParagraph"/>
        <w:rPr>
          <w:sz w:val="22"/>
          <w:szCs w:val="22"/>
        </w:rPr>
      </w:pPr>
    </w:p>
    <w:p w:rsidR="00DF10DF" w:rsidRDefault="00DF10DF" w:rsidP="00DF10DF">
      <w:pPr>
        <w:pStyle w:val="Bullet1"/>
        <w:numPr>
          <w:ilvl w:val="0"/>
          <w:numId w:val="51"/>
        </w:numPr>
        <w:tabs>
          <w:tab w:val="left" w:pos="360"/>
        </w:tabs>
        <w:spacing w:before="0" w:after="0"/>
        <w:ind w:left="360"/>
        <w:rPr>
          <w:sz w:val="22"/>
          <w:szCs w:val="22"/>
        </w:rPr>
      </w:pPr>
      <w:proofErr w:type="gramStart"/>
      <w:r>
        <w:rPr>
          <w:sz w:val="22"/>
          <w:szCs w:val="22"/>
        </w:rPr>
        <w:t>not</w:t>
      </w:r>
      <w:proofErr w:type="gramEnd"/>
      <w:r>
        <w:rPr>
          <w:sz w:val="22"/>
          <w:szCs w:val="22"/>
        </w:rPr>
        <w:t xml:space="preserve"> vary solely on the basis of the type of account structure. </w:t>
      </w:r>
    </w:p>
    <w:p w:rsidR="00DF10DF" w:rsidRPr="000F3799" w:rsidRDefault="00DF10DF" w:rsidP="00232377">
      <w:pPr>
        <w:pStyle w:val="Bullet1"/>
        <w:numPr>
          <w:ilvl w:val="0"/>
          <w:numId w:val="0"/>
        </w:numPr>
        <w:tabs>
          <w:tab w:val="left" w:pos="360"/>
        </w:tabs>
        <w:spacing w:before="0" w:after="0"/>
        <w:ind w:left="360"/>
        <w:rPr>
          <w:sz w:val="22"/>
          <w:szCs w:val="22"/>
        </w:rPr>
      </w:pPr>
      <w:r>
        <w:rPr>
          <w:sz w:val="22"/>
          <w:szCs w:val="22"/>
        </w:rPr>
        <w:t xml:space="preserve"> </w:t>
      </w:r>
    </w:p>
    <w:p w:rsidR="00DF10DF" w:rsidRDefault="00DF10DF" w:rsidP="00232377">
      <w:pPr>
        <w:pStyle w:val="Bullet1"/>
        <w:numPr>
          <w:ilvl w:val="0"/>
          <w:numId w:val="0"/>
        </w:numPr>
        <w:tabs>
          <w:tab w:val="left" w:pos="0"/>
        </w:tabs>
        <w:spacing w:before="0" w:after="0"/>
        <w:rPr>
          <w:sz w:val="22"/>
          <w:szCs w:val="22"/>
        </w:rPr>
      </w:pPr>
      <w:r>
        <w:rPr>
          <w:sz w:val="22"/>
          <w:szCs w:val="22"/>
        </w:rPr>
        <w:t xml:space="preserve">We note that, although we are not providing specific quantitative analysis in this response, we believe some of the CCPs may do so, and, in any event, they are likely to be best placed to provide this analysis to you given the timeframe for the response and a CCP’s more comprehensive set of data. </w:t>
      </w:r>
    </w:p>
    <w:p w:rsidR="00DF10DF" w:rsidRDefault="00DF10DF" w:rsidP="00232377">
      <w:pPr>
        <w:pStyle w:val="Bullet1"/>
        <w:numPr>
          <w:ilvl w:val="0"/>
          <w:numId w:val="0"/>
        </w:numPr>
        <w:tabs>
          <w:tab w:val="left" w:pos="0"/>
        </w:tabs>
        <w:spacing w:before="0" w:after="0"/>
        <w:rPr>
          <w:sz w:val="22"/>
          <w:szCs w:val="22"/>
        </w:rPr>
      </w:pPr>
    </w:p>
    <w:p w:rsidR="00DF10DF" w:rsidRDefault="00DF10DF" w:rsidP="00232377">
      <w:pPr>
        <w:pStyle w:val="Bullet1"/>
        <w:numPr>
          <w:ilvl w:val="0"/>
          <w:numId w:val="0"/>
        </w:numPr>
        <w:tabs>
          <w:tab w:val="left" w:pos="0"/>
        </w:tabs>
        <w:spacing w:before="0" w:after="0"/>
        <w:rPr>
          <w:sz w:val="22"/>
          <w:szCs w:val="22"/>
        </w:rPr>
      </w:pPr>
      <w:r>
        <w:rPr>
          <w:sz w:val="22"/>
          <w:szCs w:val="22"/>
        </w:rPr>
        <w:t>Nevertheless, we believe it may be helpful to set out, in general terms, what we believe to be the analytical impact of the two drivers of margin calculation addressed in the Discussion Paper – (</w:t>
      </w:r>
      <w:proofErr w:type="spellStart"/>
      <w:r>
        <w:rPr>
          <w:sz w:val="22"/>
          <w:szCs w:val="22"/>
        </w:rPr>
        <w:t>i</w:t>
      </w:r>
      <w:proofErr w:type="spellEnd"/>
      <w:r>
        <w:rPr>
          <w:sz w:val="22"/>
          <w:szCs w:val="22"/>
        </w:rPr>
        <w:t>) collection of client margin at the CCP on a net vs. gross basis, and (ii) calculation of margin on the basis of a one-day vs. two-day MPOR.</w:t>
      </w:r>
    </w:p>
    <w:p w:rsidR="00DF10DF" w:rsidRDefault="00DF10DF" w:rsidP="00232377">
      <w:pPr>
        <w:pStyle w:val="Bullet1"/>
        <w:numPr>
          <w:ilvl w:val="0"/>
          <w:numId w:val="0"/>
        </w:numPr>
        <w:tabs>
          <w:tab w:val="left" w:pos="0"/>
        </w:tabs>
        <w:spacing w:before="0" w:after="0"/>
        <w:rPr>
          <w:sz w:val="22"/>
          <w:szCs w:val="22"/>
        </w:rPr>
      </w:pPr>
    </w:p>
    <w:p w:rsidR="00DF10DF" w:rsidRDefault="00DF10DF" w:rsidP="00232377">
      <w:pPr>
        <w:pStyle w:val="Bullet1"/>
        <w:numPr>
          <w:ilvl w:val="0"/>
          <w:numId w:val="0"/>
        </w:numPr>
        <w:tabs>
          <w:tab w:val="left" w:pos="0"/>
        </w:tabs>
        <w:spacing w:before="0" w:after="0"/>
        <w:rPr>
          <w:i/>
          <w:sz w:val="22"/>
          <w:szCs w:val="22"/>
        </w:rPr>
      </w:pPr>
      <w:r w:rsidRPr="004D381B">
        <w:rPr>
          <w:i/>
          <w:sz w:val="22"/>
          <w:szCs w:val="22"/>
        </w:rPr>
        <w:t>Margin Methodology (Net vs. Gross)</w:t>
      </w:r>
    </w:p>
    <w:p w:rsidR="00DF10DF" w:rsidRPr="004C29D2" w:rsidRDefault="00DF10DF" w:rsidP="00232377">
      <w:pPr>
        <w:pStyle w:val="Bullet1"/>
        <w:numPr>
          <w:ilvl w:val="0"/>
          <w:numId w:val="0"/>
        </w:numPr>
        <w:tabs>
          <w:tab w:val="left" w:pos="0"/>
        </w:tabs>
        <w:spacing w:before="0" w:after="0"/>
        <w:rPr>
          <w:i/>
          <w:sz w:val="22"/>
          <w:szCs w:val="22"/>
        </w:rPr>
      </w:pPr>
    </w:p>
    <w:p w:rsidR="00DF10DF"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 xml:space="preserve">Article 48(5) of Regulation (EU) No 648/2012 facilitates the transfer of the assets and positions of clients in an OSA to another clearing member, without the consent of the defaulting clearing member, provided </w:t>
      </w:r>
      <w:r w:rsidRPr="001B55F9">
        <w:rPr>
          <w:b/>
          <w:sz w:val="22"/>
          <w:szCs w:val="22"/>
          <w:u w:val="single"/>
        </w:rPr>
        <w:t>all clients</w:t>
      </w:r>
      <w:r>
        <w:rPr>
          <w:sz w:val="22"/>
          <w:szCs w:val="22"/>
        </w:rPr>
        <w:t xml:space="preserve"> in such OSA have designated the same back-up clearing member.  Market exper</w:t>
      </w:r>
      <w:r>
        <w:rPr>
          <w:sz w:val="22"/>
          <w:szCs w:val="22"/>
        </w:rPr>
        <w:t>i</w:t>
      </w:r>
      <w:r>
        <w:rPr>
          <w:sz w:val="22"/>
          <w:szCs w:val="22"/>
        </w:rPr>
        <w:t xml:space="preserve">ence has shown that diverse groups of clients are unlikely to designate the same back-up clearing member, making post-default porting of client positions held in an OSA unlikely.  However, when coupled with the necessary collateral tracking systems, gross margining would improve the likelihood of porting individual client positions and assets with the consent of the defaulting clearing member, even in an OSA, to the extent that the identity of the client is known to the CCP.  In a net margin methodology, it is much less likely that the CCP will be able to port a client’s position together with the relevant collateral, even with the consent of the defaulting clearing member, as the identity of each client and such client’s corresponding positions and collateral </w:t>
      </w:r>
      <w:proofErr w:type="gramStart"/>
      <w:r>
        <w:rPr>
          <w:sz w:val="22"/>
          <w:szCs w:val="22"/>
        </w:rPr>
        <w:t>are</w:t>
      </w:r>
      <w:proofErr w:type="gramEnd"/>
      <w:r>
        <w:rPr>
          <w:sz w:val="22"/>
          <w:szCs w:val="22"/>
        </w:rPr>
        <w:t xml:space="preserve"> likely unknown to the CCP.  Ther</w:t>
      </w:r>
      <w:r>
        <w:rPr>
          <w:sz w:val="22"/>
          <w:szCs w:val="22"/>
        </w:rPr>
        <w:t>e</w:t>
      </w:r>
      <w:r>
        <w:rPr>
          <w:sz w:val="22"/>
          <w:szCs w:val="22"/>
        </w:rPr>
        <w:t>fore, in a net OSA, porting of individual client positions to different back-up clearing members, even with the consent of the defaulting clearing member, would occur only if the relevant client re-posts the necessary collateral to the new clearing member.</w:t>
      </w:r>
    </w:p>
    <w:p w:rsidR="00DF10DF"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Although it is currently possible for a CCP to offer a gross OSA that allows for porting of individual client positions and collateral to separate replacement clearing members by including provisions in its rules deeming such replacement clearing members as having agreed to the relevant post-default por</w:t>
      </w:r>
      <w:r>
        <w:rPr>
          <w:sz w:val="22"/>
          <w:szCs w:val="22"/>
        </w:rPr>
        <w:t>t</w:t>
      </w:r>
      <w:r>
        <w:rPr>
          <w:sz w:val="22"/>
          <w:szCs w:val="22"/>
        </w:rPr>
        <w:t>ing system, there are numerous legal, operational and commercial difficulties in doing so.  As a result, we believe further amendments to EU legislation would provide an improved legal framework to f</w:t>
      </w:r>
      <w:r>
        <w:rPr>
          <w:sz w:val="22"/>
          <w:szCs w:val="22"/>
        </w:rPr>
        <w:t>a</w:t>
      </w:r>
      <w:r>
        <w:rPr>
          <w:sz w:val="22"/>
          <w:szCs w:val="22"/>
        </w:rPr>
        <w:t xml:space="preserve">cilitate the porting of individual client positions and assets from a gross OSA, without the consent of the defaulting clearing member, to separate replacement clearing members.  </w:t>
      </w:r>
    </w:p>
    <w:p w:rsidR="00DF10DF"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As compared to a net methodology, gross margining heightens the probability that clients’ requisite collateral will not be tied up in the insolvency administration of a defaulting clearing member, because the gross margin collected from clients will be passed along to the CCP on a gross basis by the clea</w:t>
      </w:r>
      <w:r>
        <w:rPr>
          <w:sz w:val="22"/>
          <w:szCs w:val="22"/>
        </w:rPr>
        <w:t>r</w:t>
      </w:r>
      <w:r>
        <w:rPr>
          <w:sz w:val="22"/>
          <w:szCs w:val="22"/>
        </w:rPr>
        <w:lastRenderedPageBreak/>
        <w:t>ing member, thus leaving little, if any, client collateral at the clearing member to be caught up in an insolvency administration.</w:t>
      </w:r>
    </w:p>
    <w:p w:rsidR="00DF10DF" w:rsidRPr="00814F80"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 xml:space="preserve">As the Discussion Paper notes, a gross margin methodology will, all other things being equal, </w:t>
      </w:r>
      <w:proofErr w:type="gramStart"/>
      <w:r>
        <w:rPr>
          <w:sz w:val="22"/>
          <w:szCs w:val="22"/>
        </w:rPr>
        <w:t>cause</w:t>
      </w:r>
      <w:proofErr w:type="gramEnd"/>
      <w:r>
        <w:rPr>
          <w:sz w:val="22"/>
          <w:szCs w:val="22"/>
        </w:rPr>
        <w:t xml:space="preserve"> more client margin to be posted directly with the CCP, while less is retained by the clearing members.  This should increase the likelihood that the CCP will have sufficient margin to cover any losses from the phased liquidation of the positions of individual clients, rather than the liquidation of all client p</w:t>
      </w:r>
      <w:r>
        <w:rPr>
          <w:sz w:val="22"/>
          <w:szCs w:val="22"/>
        </w:rPr>
        <w:t>o</w:t>
      </w:r>
      <w:r>
        <w:rPr>
          <w:sz w:val="22"/>
          <w:szCs w:val="22"/>
        </w:rPr>
        <w:t xml:space="preserve">sitions as a single portfolio. </w:t>
      </w:r>
    </w:p>
    <w:p w:rsidR="00DF10DF" w:rsidRDefault="00DF10DF" w:rsidP="00232377">
      <w:pPr>
        <w:pStyle w:val="Bullet1"/>
        <w:numPr>
          <w:ilvl w:val="0"/>
          <w:numId w:val="0"/>
        </w:numPr>
        <w:tabs>
          <w:tab w:val="left" w:pos="540"/>
        </w:tabs>
        <w:spacing w:before="0" w:after="0"/>
        <w:ind w:left="540"/>
        <w:rPr>
          <w:sz w:val="22"/>
          <w:szCs w:val="22"/>
        </w:rPr>
      </w:pPr>
      <w:r>
        <w:rPr>
          <w:sz w:val="22"/>
          <w:szCs w:val="22"/>
        </w:rPr>
        <w:t xml:space="preserve">   </w:t>
      </w:r>
    </w:p>
    <w:p w:rsidR="00DF10DF" w:rsidRDefault="00DF10DF" w:rsidP="00232377">
      <w:pPr>
        <w:pStyle w:val="Bullet1"/>
        <w:numPr>
          <w:ilvl w:val="0"/>
          <w:numId w:val="0"/>
        </w:numPr>
        <w:tabs>
          <w:tab w:val="left" w:pos="0"/>
        </w:tabs>
        <w:spacing w:before="0" w:after="0"/>
        <w:rPr>
          <w:i/>
          <w:sz w:val="22"/>
          <w:szCs w:val="22"/>
        </w:rPr>
      </w:pPr>
      <w:r w:rsidRPr="004D381B">
        <w:rPr>
          <w:i/>
          <w:sz w:val="22"/>
          <w:szCs w:val="22"/>
        </w:rPr>
        <w:t>Duration of MPOR</w:t>
      </w:r>
    </w:p>
    <w:p w:rsidR="00DF10DF" w:rsidRPr="00E560BC" w:rsidRDefault="00DF10DF" w:rsidP="00232377">
      <w:pPr>
        <w:pStyle w:val="Bullet1"/>
        <w:numPr>
          <w:ilvl w:val="0"/>
          <w:numId w:val="0"/>
        </w:numPr>
        <w:tabs>
          <w:tab w:val="left" w:pos="0"/>
        </w:tabs>
        <w:spacing w:before="0" w:after="0"/>
        <w:rPr>
          <w:i/>
          <w:sz w:val="22"/>
          <w:szCs w:val="22"/>
        </w:rPr>
      </w:pPr>
    </w:p>
    <w:p w:rsidR="00DF10DF" w:rsidRPr="00DC43E0"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Similar to margin methodology (as described above), the duration of the MPOR is only one factor among many that CCPs must consider in determining the amount of client margin they require.</w:t>
      </w:r>
    </w:p>
    <w:p w:rsidR="00DF10DF"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CCPs should be required to use a MPOR that is consistent with their default management framework, but this may vary according to (</w:t>
      </w:r>
      <w:proofErr w:type="spellStart"/>
      <w:r>
        <w:rPr>
          <w:sz w:val="22"/>
          <w:szCs w:val="22"/>
        </w:rPr>
        <w:t>i</w:t>
      </w:r>
      <w:proofErr w:type="spellEnd"/>
      <w:r>
        <w:rPr>
          <w:sz w:val="22"/>
          <w:szCs w:val="22"/>
        </w:rPr>
        <w:t>) the time necessary to allow for porting of clients’ positions to a back-up clearing member and (ii) the time necessary to liquidate the relevant positions if porting does not occur within the relevant timeframe.</w:t>
      </w:r>
    </w:p>
    <w:p w:rsidR="00DF10DF" w:rsidRDefault="00DF10DF" w:rsidP="00DF10DF">
      <w:pPr>
        <w:pStyle w:val="Bullet1"/>
        <w:numPr>
          <w:ilvl w:val="0"/>
          <w:numId w:val="50"/>
        </w:numPr>
        <w:tabs>
          <w:tab w:val="clear" w:pos="1440"/>
          <w:tab w:val="left" w:pos="0"/>
          <w:tab w:val="num" w:pos="360"/>
        </w:tabs>
        <w:spacing w:before="0" w:after="0"/>
        <w:ind w:left="360" w:hanging="360"/>
        <w:rPr>
          <w:sz w:val="22"/>
          <w:szCs w:val="22"/>
        </w:rPr>
      </w:pPr>
      <w:r>
        <w:rPr>
          <w:sz w:val="22"/>
          <w:szCs w:val="22"/>
        </w:rPr>
        <w:t>The MPOR should not depend upon the applicable account structure or product classification (</w:t>
      </w:r>
      <w:r w:rsidRPr="00444E3A">
        <w:rPr>
          <w:i/>
          <w:sz w:val="22"/>
          <w:szCs w:val="22"/>
        </w:rPr>
        <w:t>i.e.</w:t>
      </w:r>
      <w:r>
        <w:rPr>
          <w:sz w:val="22"/>
          <w:szCs w:val="22"/>
        </w:rPr>
        <w:t xml:space="preserve">, OTC vs. ETD). </w:t>
      </w:r>
      <w:r w:rsidR="00232377">
        <w:rPr>
          <w:sz w:val="22"/>
          <w:szCs w:val="22"/>
        </w:rPr>
        <w:t xml:space="preserve"> </w:t>
      </w:r>
      <w:r>
        <w:rPr>
          <w:sz w:val="22"/>
          <w:szCs w:val="22"/>
        </w:rPr>
        <w:t>This is reinforced by Paragraph 3 of Article 26 of the RTS, requiring CCPs to consi</w:t>
      </w:r>
      <w:r>
        <w:rPr>
          <w:sz w:val="22"/>
          <w:szCs w:val="22"/>
        </w:rPr>
        <w:t>d</w:t>
      </w:r>
      <w:r>
        <w:rPr>
          <w:sz w:val="22"/>
          <w:szCs w:val="22"/>
        </w:rPr>
        <w:t>er the factors specified in Paragraph 2 of Article 24 when evaluating the time horizon for the liquid</w:t>
      </w:r>
      <w:r>
        <w:rPr>
          <w:sz w:val="22"/>
          <w:szCs w:val="22"/>
        </w:rPr>
        <w:t>a</w:t>
      </w:r>
      <w:r>
        <w:rPr>
          <w:sz w:val="22"/>
          <w:szCs w:val="22"/>
        </w:rPr>
        <w:t>tion period, including</w:t>
      </w:r>
      <w:r w:rsidRPr="000B6B2D">
        <w:rPr>
          <w:sz w:val="22"/>
          <w:szCs w:val="22"/>
        </w:rPr>
        <w:t xml:space="preserve"> (</w:t>
      </w:r>
      <w:proofErr w:type="spellStart"/>
      <w:r w:rsidRPr="000B6B2D">
        <w:rPr>
          <w:sz w:val="22"/>
          <w:szCs w:val="22"/>
        </w:rPr>
        <w:t>i</w:t>
      </w:r>
      <w:proofErr w:type="spellEnd"/>
      <w:r w:rsidRPr="000B6B2D">
        <w:rPr>
          <w:sz w:val="22"/>
          <w:szCs w:val="22"/>
        </w:rPr>
        <w:t>) the complexities and level of pricing uncertainties of the product class that limit the validation of the calculation of margin, (ii) the risk characteristics of the product class, (iii) the d</w:t>
      </w:r>
      <w:r w:rsidRPr="000B6B2D">
        <w:rPr>
          <w:sz w:val="22"/>
          <w:szCs w:val="22"/>
        </w:rPr>
        <w:t>e</w:t>
      </w:r>
      <w:r w:rsidRPr="000B6B2D">
        <w:rPr>
          <w:sz w:val="22"/>
          <w:szCs w:val="22"/>
        </w:rPr>
        <w:t>gree to which other risk controls do not adequately limit credit exposures and (iv) the inherent leve</w:t>
      </w:r>
      <w:r w:rsidRPr="000B6B2D">
        <w:rPr>
          <w:sz w:val="22"/>
          <w:szCs w:val="22"/>
        </w:rPr>
        <w:t>r</w:t>
      </w:r>
      <w:r w:rsidRPr="000B6B2D">
        <w:rPr>
          <w:sz w:val="22"/>
          <w:szCs w:val="22"/>
        </w:rPr>
        <w:t>age of the product class, including volatility, concentration among market participants and ability to close out</w:t>
      </w:r>
      <w:r>
        <w:rPr>
          <w:sz w:val="22"/>
          <w:szCs w:val="22"/>
        </w:rPr>
        <w:t>.</w:t>
      </w:r>
    </w:p>
    <w:p w:rsidR="00232377" w:rsidRDefault="00DF10DF" w:rsidP="00232377">
      <w:pPr>
        <w:pStyle w:val="Bullet1"/>
        <w:numPr>
          <w:ilvl w:val="0"/>
          <w:numId w:val="50"/>
        </w:numPr>
        <w:tabs>
          <w:tab w:val="clear" w:pos="1440"/>
          <w:tab w:val="left" w:pos="0"/>
          <w:tab w:val="num" w:pos="360"/>
        </w:tabs>
        <w:spacing w:before="0" w:after="0"/>
        <w:ind w:left="360" w:hanging="360"/>
        <w:rPr>
          <w:sz w:val="22"/>
          <w:szCs w:val="22"/>
        </w:rPr>
      </w:pPr>
      <w:r w:rsidRPr="00DF10DF">
        <w:rPr>
          <w:sz w:val="22"/>
          <w:szCs w:val="22"/>
        </w:rPr>
        <w:t>The MPOR does not operate alone and therefore must be considered in conjunction with other CCP risk management prac</w:t>
      </w:r>
      <w:bookmarkStart w:id="3" w:name="_GoBack"/>
      <w:bookmarkEnd w:id="3"/>
      <w:r w:rsidRPr="00DF10DF">
        <w:rPr>
          <w:sz w:val="22"/>
          <w:szCs w:val="22"/>
        </w:rPr>
        <w:t>tices, including the assessment of liquidity and concentration margin (which is assessed at a portfolio level).  A CCP’s application of offsets across products also has an important impact on the amount of margin it collects.  At some CCPs today, the combination of these factors tends to increase the amount of margin held at the CCP under a gross methodology, even where the MPOR is shorter</w:t>
      </w:r>
      <w:r w:rsidRPr="00232377">
        <w:rPr>
          <w:sz w:val="22"/>
          <w:szCs w:val="22"/>
        </w:rPr>
        <w:t>.</w:t>
      </w:r>
    </w:p>
    <w:p w:rsidR="00D34282" w:rsidRPr="00C25863" w:rsidRDefault="00DF10DF" w:rsidP="00D34282">
      <w:r>
        <w:rPr>
          <w:sz w:val="22"/>
          <w:szCs w:val="22"/>
        </w:rPr>
        <w:t xml:space="preserve"> </w:t>
      </w:r>
      <w:permEnd w:id="1915901119"/>
      <w:r w:rsidR="00D34282" w:rsidRPr="00C25863">
        <w:t>&lt;</w:t>
      </w:r>
      <w:r w:rsidR="00D34282" w:rsidRPr="00D74C9D">
        <w:t xml:space="preserve"> </w:t>
      </w:r>
      <w:r w:rsidR="00D34282">
        <w:t>E</w:t>
      </w:r>
      <w:r w:rsidR="00D34282">
        <w:t>S</w:t>
      </w:r>
      <w:r w:rsidR="00D34282">
        <w:t>MA_COMMENT</w:t>
      </w:r>
      <w:r w:rsidR="00D34282" w:rsidRPr="00C25863">
        <w:t>_</w:t>
      </w:r>
      <w:r w:rsidR="00F62D30" w:rsidRPr="00F62D30">
        <w:rPr>
          <w:rFonts w:cs="Arial"/>
        </w:rPr>
        <w:t xml:space="preserve"> </w:t>
      </w:r>
      <w:r w:rsidR="00F62D30">
        <w:rPr>
          <w:rFonts w:cs="Arial"/>
        </w:rPr>
        <w:t>RTS_153_26</w:t>
      </w:r>
      <w:r w:rsidR="00D34282" w:rsidRPr="00C25863">
        <w:t>_1&gt;</w:t>
      </w:r>
    </w:p>
    <w:p w:rsidR="00DD478C" w:rsidRPr="00DD478C" w:rsidRDefault="00F32462" w:rsidP="00DD478C">
      <w:pPr>
        <w:pStyle w:val="CPQuestions"/>
      </w:pPr>
      <w:r>
        <w:rPr>
          <w:rFonts w:cs="Arial"/>
          <w:szCs w:val="22"/>
        </w:rPr>
        <w:br w:type="page"/>
      </w:r>
      <w:r w:rsidR="00DD478C" w:rsidRPr="00DD478C">
        <w:rPr>
          <w:rFonts w:cs="Arial"/>
          <w:szCs w:val="22"/>
        </w:rPr>
        <w:lastRenderedPageBreak/>
        <w:t>ESMA welcomes views on the assumption that client margins maintained at CCP level on a OSA gross margining with one-day liquidation period would generally be higher than margin held at the CCP under an OSA net with a two-day liquidation period. Please, provide quantitative analysis on the effect of the reduction of ma</w:t>
      </w:r>
      <w:r w:rsidR="00DD478C" w:rsidRPr="00DD478C">
        <w:rPr>
          <w:rFonts w:cs="Arial"/>
          <w:szCs w:val="22"/>
        </w:rPr>
        <w:t>r</w:t>
      </w:r>
      <w:r w:rsidR="00DD478C" w:rsidRPr="00DD478C">
        <w:rPr>
          <w:rFonts w:cs="Arial"/>
          <w:szCs w:val="22"/>
        </w:rPr>
        <w:t>gin on the basis of 2 vs. 1 day MPOR and of the net (between clients’ positions) margining vs gross margining. Please also consider the potential impact of the case in which a one-day OSA gross is considered equivalent to the EU system and the RTS are not changed and the impact for the whole system if the MPOR at CCP level is reduced.</w:t>
      </w:r>
    </w:p>
    <w:p w:rsidR="00A8728B" w:rsidRDefault="00A8728B" w:rsidP="00A8728B">
      <w:r>
        <w:t>&lt;ESMA_QUESTION_</w:t>
      </w:r>
      <w:r w:rsidR="002A38B9">
        <w:t>RTS_153_26</w:t>
      </w:r>
      <w:r>
        <w:t>_1&gt;</w:t>
      </w:r>
    </w:p>
    <w:p w:rsidR="000E016B" w:rsidRDefault="000E016B" w:rsidP="000E016B">
      <w:pPr>
        <w:pStyle w:val="Bullet4"/>
        <w:numPr>
          <w:ilvl w:val="0"/>
          <w:numId w:val="0"/>
        </w:numPr>
        <w:tabs>
          <w:tab w:val="left" w:pos="2790"/>
        </w:tabs>
        <w:spacing w:before="0" w:after="0"/>
        <w:outlineLvl w:val="3"/>
        <w:rPr>
          <w:sz w:val="22"/>
          <w:szCs w:val="22"/>
        </w:rPr>
      </w:pPr>
      <w:permStart w:id="299444600" w:edGrp="everyone"/>
      <w:r>
        <w:rPr>
          <w:sz w:val="22"/>
          <w:szCs w:val="22"/>
        </w:rPr>
        <w:t>We believe it is difficult to predict the exact impact on the market if a one-day gross OSA is considered equivalent to the EU system and the RTS is n</w:t>
      </w:r>
      <w:r w:rsidRPr="00F07B75">
        <w:rPr>
          <w:sz w:val="22"/>
          <w:szCs w:val="22"/>
        </w:rPr>
        <w:t xml:space="preserve">ot </w:t>
      </w:r>
      <w:r w:rsidRPr="0054182E">
        <w:rPr>
          <w:sz w:val="22"/>
          <w:szCs w:val="22"/>
        </w:rPr>
        <w:t>changed.</w:t>
      </w:r>
      <w:r w:rsidRPr="002A488A">
        <w:rPr>
          <w:sz w:val="22"/>
          <w:szCs w:val="22"/>
        </w:rPr>
        <w:t xml:space="preserve"> Although we have not seen the precise situation that would result from this scenario, CCPs have had different margining regimes for some time.</w:t>
      </w:r>
      <w:r w:rsidRPr="0054182E">
        <w:rPr>
          <w:sz w:val="22"/>
          <w:szCs w:val="22"/>
        </w:rPr>
        <w:t>  Margin is not the only fa</w:t>
      </w:r>
      <w:r w:rsidRPr="00F07B75">
        <w:rPr>
          <w:sz w:val="22"/>
          <w:szCs w:val="22"/>
        </w:rPr>
        <w:t xml:space="preserve">ctor </w:t>
      </w:r>
      <w:r>
        <w:rPr>
          <w:sz w:val="22"/>
          <w:szCs w:val="22"/>
        </w:rPr>
        <w:t>analysed by clients when determining the most appropriate CCP through which to clear their trades.  Other factors evaluated, and likely of more importance to clients, include the product being cleared, the liquidity of that product, segregation options and requirements (</w:t>
      </w:r>
      <w:r w:rsidRPr="000F1C40">
        <w:rPr>
          <w:i/>
          <w:sz w:val="22"/>
          <w:szCs w:val="22"/>
        </w:rPr>
        <w:t>e.g.</w:t>
      </w:r>
      <w:r>
        <w:rPr>
          <w:sz w:val="22"/>
          <w:szCs w:val="22"/>
        </w:rPr>
        <w:t>, account structures and mutualization) and portability.  In addition, it is probable that the MPORs applied by CCPs across jurisdi</w:t>
      </w:r>
      <w:r>
        <w:rPr>
          <w:sz w:val="22"/>
          <w:szCs w:val="22"/>
        </w:rPr>
        <w:t>c</w:t>
      </w:r>
      <w:r>
        <w:rPr>
          <w:sz w:val="22"/>
          <w:szCs w:val="22"/>
        </w:rPr>
        <w:t xml:space="preserve">tions will be greater than the minimum requirements prescribed by the relevant regulators, in which case, the impact of such a scenario will be minimal. </w:t>
      </w:r>
    </w:p>
    <w:p w:rsidR="000E016B" w:rsidRDefault="000E016B" w:rsidP="000E016B">
      <w:pPr>
        <w:pStyle w:val="Bullet4"/>
        <w:numPr>
          <w:ilvl w:val="0"/>
          <w:numId w:val="0"/>
        </w:numPr>
        <w:tabs>
          <w:tab w:val="left" w:pos="2790"/>
        </w:tabs>
        <w:spacing w:before="0" w:after="0"/>
        <w:outlineLvl w:val="3"/>
        <w:rPr>
          <w:sz w:val="22"/>
          <w:szCs w:val="22"/>
        </w:rPr>
      </w:pPr>
    </w:p>
    <w:p w:rsidR="000E016B" w:rsidRDefault="000E016B" w:rsidP="000E016B">
      <w:pPr>
        <w:pStyle w:val="Bullet4"/>
        <w:numPr>
          <w:ilvl w:val="0"/>
          <w:numId w:val="0"/>
        </w:numPr>
        <w:tabs>
          <w:tab w:val="left" w:pos="2790"/>
        </w:tabs>
        <w:spacing w:before="0" w:after="0"/>
        <w:outlineLvl w:val="3"/>
        <w:rPr>
          <w:sz w:val="22"/>
          <w:szCs w:val="22"/>
        </w:rPr>
      </w:pPr>
      <w:r>
        <w:rPr>
          <w:sz w:val="22"/>
          <w:szCs w:val="22"/>
        </w:rPr>
        <w:t>A consideration of the potential impact for the entire system if the MPOR at the CCP level is reduced to one-day for gross OSAs requires an analysis of the resultant costs and benefits applicable to each interes</w:t>
      </w:r>
      <w:r>
        <w:rPr>
          <w:sz w:val="22"/>
          <w:szCs w:val="22"/>
        </w:rPr>
        <w:t>t</w:t>
      </w:r>
      <w:r>
        <w:rPr>
          <w:sz w:val="22"/>
          <w:szCs w:val="22"/>
        </w:rPr>
        <w:t xml:space="preserve">ed party. </w:t>
      </w:r>
    </w:p>
    <w:p w:rsidR="000E016B" w:rsidRDefault="000E016B" w:rsidP="000E016B">
      <w:pPr>
        <w:pStyle w:val="Bullet4"/>
        <w:numPr>
          <w:ilvl w:val="0"/>
          <w:numId w:val="0"/>
        </w:numPr>
        <w:tabs>
          <w:tab w:val="left" w:pos="2790"/>
        </w:tabs>
        <w:spacing w:before="0" w:after="0"/>
        <w:outlineLvl w:val="3"/>
        <w:rPr>
          <w:sz w:val="22"/>
          <w:szCs w:val="22"/>
        </w:rPr>
      </w:pPr>
    </w:p>
    <w:p w:rsidR="000E016B" w:rsidRDefault="000E016B" w:rsidP="000E016B">
      <w:pPr>
        <w:pStyle w:val="Bullet2"/>
        <w:numPr>
          <w:ilvl w:val="1"/>
          <w:numId w:val="50"/>
        </w:numPr>
        <w:tabs>
          <w:tab w:val="clear" w:pos="2160"/>
          <w:tab w:val="num" w:pos="360"/>
        </w:tabs>
        <w:spacing w:before="0" w:after="0"/>
        <w:ind w:left="360" w:hanging="360"/>
        <w:rPr>
          <w:sz w:val="22"/>
          <w:szCs w:val="22"/>
        </w:rPr>
      </w:pPr>
      <w:r w:rsidRPr="00275B45">
        <w:rPr>
          <w:sz w:val="22"/>
          <w:szCs w:val="22"/>
          <w:u w:val="single"/>
        </w:rPr>
        <w:t>CCPs</w:t>
      </w:r>
      <w:r w:rsidRPr="00275B45">
        <w:rPr>
          <w:sz w:val="22"/>
          <w:szCs w:val="22"/>
        </w:rPr>
        <w:t xml:space="preserve">:  </w:t>
      </w:r>
      <w:r>
        <w:rPr>
          <w:sz w:val="22"/>
          <w:szCs w:val="22"/>
        </w:rPr>
        <w:t>Generally, the application of a one-day gross methodology to a well-balanced portfolio will yield higher client margins at the CCP level than a comparable two-day net methodology (</w:t>
      </w:r>
      <w:r>
        <w:rPr>
          <w:i/>
          <w:sz w:val="22"/>
          <w:szCs w:val="22"/>
        </w:rPr>
        <w:t>i.e.</w:t>
      </w:r>
      <w:r>
        <w:rPr>
          <w:sz w:val="22"/>
          <w:szCs w:val="22"/>
        </w:rPr>
        <w:t>, where both CCPs use SPAN or VaR, for example).  Where this is not the case, adding the assessed conce</w:t>
      </w:r>
      <w:r>
        <w:rPr>
          <w:sz w:val="22"/>
          <w:szCs w:val="22"/>
        </w:rPr>
        <w:t>n</w:t>
      </w:r>
      <w:r>
        <w:rPr>
          <w:sz w:val="22"/>
          <w:szCs w:val="22"/>
        </w:rPr>
        <w:t>tration margin may significantly reduce, if not eliminate, any distinction, at least for larger portfolios.  Furthermore, because a gross margin methodology likely allows for a greater portion of customer margin to be held directly by a CCP, such methodology (</w:t>
      </w:r>
      <w:proofErr w:type="spellStart"/>
      <w:r>
        <w:rPr>
          <w:sz w:val="22"/>
          <w:szCs w:val="22"/>
        </w:rPr>
        <w:t>i</w:t>
      </w:r>
      <w:proofErr w:type="spellEnd"/>
      <w:r>
        <w:rPr>
          <w:sz w:val="22"/>
          <w:szCs w:val="22"/>
        </w:rPr>
        <w:t>) improves the likelihood of porting of cl</w:t>
      </w:r>
      <w:r>
        <w:rPr>
          <w:sz w:val="22"/>
          <w:szCs w:val="22"/>
        </w:rPr>
        <w:t>i</w:t>
      </w:r>
      <w:r>
        <w:rPr>
          <w:sz w:val="22"/>
          <w:szCs w:val="22"/>
        </w:rPr>
        <w:t xml:space="preserve">ents’ positions (as described above) and (ii) may provide a CCP, depending on its default management procedures, with access to greater liquidity with which to manage the default of a clearing member.  Although we acknowledge that client portability will tend to </w:t>
      </w:r>
      <w:r w:rsidRPr="0095657E">
        <w:rPr>
          <w:i/>
          <w:sz w:val="22"/>
          <w:szCs w:val="22"/>
        </w:rPr>
        <w:t>reduce</w:t>
      </w:r>
      <w:r>
        <w:rPr>
          <w:sz w:val="22"/>
          <w:szCs w:val="22"/>
        </w:rPr>
        <w:t xml:space="preserve"> the amount of client margin avai</w:t>
      </w:r>
      <w:r>
        <w:rPr>
          <w:sz w:val="22"/>
          <w:szCs w:val="22"/>
        </w:rPr>
        <w:t>l</w:t>
      </w:r>
      <w:r>
        <w:rPr>
          <w:sz w:val="22"/>
          <w:szCs w:val="22"/>
        </w:rPr>
        <w:t>able to the CCP in the event of a clearing member default, CCPs are still likely to have more margin available to manage such default through the application of a one-day gross, rather than a two-day net, methodology, depending on the directionality of the portfolio.  In the case of a unidirectional portf</w:t>
      </w:r>
      <w:r>
        <w:rPr>
          <w:sz w:val="22"/>
          <w:szCs w:val="22"/>
        </w:rPr>
        <w:t>o</w:t>
      </w:r>
      <w:r>
        <w:rPr>
          <w:sz w:val="22"/>
          <w:szCs w:val="22"/>
        </w:rPr>
        <w:t xml:space="preserve">lio, one-day gross will typically generate lower amounts of client margin than two-day net; however, the application of additional concentration charges by CCPs may reduce this effect, at least for larger portfolios. </w:t>
      </w:r>
    </w:p>
    <w:p w:rsidR="000E016B" w:rsidRDefault="000E016B" w:rsidP="000E016B">
      <w:pPr>
        <w:pStyle w:val="Bullet2"/>
        <w:numPr>
          <w:ilvl w:val="1"/>
          <w:numId w:val="50"/>
        </w:numPr>
        <w:tabs>
          <w:tab w:val="clear" w:pos="2160"/>
          <w:tab w:val="num" w:pos="360"/>
        </w:tabs>
        <w:spacing w:before="0" w:after="0"/>
        <w:ind w:left="360" w:hanging="360"/>
        <w:rPr>
          <w:sz w:val="22"/>
          <w:szCs w:val="22"/>
        </w:rPr>
      </w:pPr>
      <w:r w:rsidRPr="0076750B">
        <w:rPr>
          <w:sz w:val="22"/>
          <w:szCs w:val="22"/>
          <w:u w:val="single"/>
        </w:rPr>
        <w:t>Clearing Members</w:t>
      </w:r>
      <w:r w:rsidRPr="0076750B">
        <w:rPr>
          <w:sz w:val="22"/>
          <w:szCs w:val="22"/>
        </w:rPr>
        <w:t>:</w:t>
      </w:r>
      <w:r>
        <w:rPr>
          <w:sz w:val="22"/>
          <w:szCs w:val="22"/>
        </w:rPr>
        <w:t xml:space="preserve"> </w:t>
      </w:r>
      <w:r w:rsidRPr="0076750B">
        <w:rPr>
          <w:sz w:val="22"/>
          <w:szCs w:val="22"/>
        </w:rPr>
        <w:t xml:space="preserve"> A differentiation in the margin methodology (</w:t>
      </w:r>
      <w:r w:rsidRPr="0076750B">
        <w:rPr>
          <w:i/>
          <w:sz w:val="22"/>
          <w:szCs w:val="22"/>
        </w:rPr>
        <w:t>e.g.</w:t>
      </w:r>
      <w:r w:rsidRPr="0076750B">
        <w:rPr>
          <w:sz w:val="22"/>
          <w:szCs w:val="22"/>
        </w:rPr>
        <w:t xml:space="preserve">, net vs. gross) will likely have more of a commercial impact on clearing members, while the difference between a one-day and two-day MPOR will have a risk-related impact. </w:t>
      </w:r>
      <w:r>
        <w:rPr>
          <w:sz w:val="22"/>
          <w:szCs w:val="22"/>
        </w:rPr>
        <w:t xml:space="preserve"> Because many clearing members pass on the margin r</w:t>
      </w:r>
      <w:r>
        <w:rPr>
          <w:sz w:val="22"/>
          <w:szCs w:val="22"/>
        </w:rPr>
        <w:t>e</w:t>
      </w:r>
      <w:r>
        <w:rPr>
          <w:sz w:val="22"/>
          <w:szCs w:val="22"/>
        </w:rPr>
        <w:t>quirement of the CCP to clients, a decrease in the duration of MPOR may reduce the amount of ma</w:t>
      </w:r>
      <w:r>
        <w:rPr>
          <w:sz w:val="22"/>
          <w:szCs w:val="22"/>
        </w:rPr>
        <w:t>r</w:t>
      </w:r>
      <w:r>
        <w:rPr>
          <w:sz w:val="22"/>
          <w:szCs w:val="22"/>
        </w:rPr>
        <w:t>gin collected by clearing members.  Less overall margin in the system has the potential to increase systemic risk by increasing the likelihood that such clearing members’ default resources could be ut</w:t>
      </w:r>
      <w:r>
        <w:rPr>
          <w:sz w:val="22"/>
          <w:szCs w:val="22"/>
        </w:rPr>
        <w:t>i</w:t>
      </w:r>
      <w:r>
        <w:rPr>
          <w:sz w:val="22"/>
          <w:szCs w:val="22"/>
        </w:rPr>
        <w:t>lized.  In addition, and as acknowledged by ESMA in the Discussion Paper, a</w:t>
      </w:r>
      <w:r w:rsidRPr="0076750B">
        <w:rPr>
          <w:sz w:val="22"/>
          <w:szCs w:val="22"/>
        </w:rPr>
        <w:t xml:space="preserve"> gross margin methodo</w:t>
      </w:r>
      <w:r w:rsidRPr="0076750B">
        <w:rPr>
          <w:sz w:val="22"/>
          <w:szCs w:val="22"/>
        </w:rPr>
        <w:t>l</w:t>
      </w:r>
      <w:r w:rsidRPr="0076750B">
        <w:rPr>
          <w:sz w:val="22"/>
          <w:szCs w:val="22"/>
        </w:rPr>
        <w:t xml:space="preserve">ogy may reduce excess collateral at the clearing member level despite the flexibility clearing members have to call for additional margin. </w:t>
      </w:r>
      <w:r>
        <w:rPr>
          <w:sz w:val="22"/>
          <w:szCs w:val="22"/>
        </w:rPr>
        <w:t xml:space="preserve"> </w:t>
      </w:r>
      <w:r w:rsidRPr="0076750B">
        <w:rPr>
          <w:sz w:val="22"/>
          <w:szCs w:val="22"/>
        </w:rPr>
        <w:t xml:space="preserve">As a result, a gross margin methodology could be more costly for clearing members if they have to cover increases in positions or intra-day margin calls by the CCP </w:t>
      </w:r>
      <w:r w:rsidRPr="0076750B">
        <w:rPr>
          <w:sz w:val="22"/>
          <w:szCs w:val="22"/>
        </w:rPr>
        <w:lastRenderedPageBreak/>
        <w:t>with their own capital.</w:t>
      </w:r>
      <w:r>
        <w:rPr>
          <w:sz w:val="22"/>
          <w:szCs w:val="22"/>
        </w:rPr>
        <w:t xml:space="preserve"> </w:t>
      </w:r>
      <w:r w:rsidRPr="0076750B">
        <w:rPr>
          <w:sz w:val="22"/>
          <w:szCs w:val="22"/>
        </w:rPr>
        <w:t xml:space="preserve"> Such coverage will increase clearing members’ risk exposure to their clients as well as the amount of capital required to be applied by clearing members to support their clearing function.</w:t>
      </w:r>
      <w:r>
        <w:rPr>
          <w:sz w:val="22"/>
          <w:szCs w:val="22"/>
        </w:rPr>
        <w:t xml:space="preserve">  Furthermore, a shift to a gross margin methodology could prove costly to clearing members due to substantive technological and operational changes that will be required as a result of such change.  </w:t>
      </w:r>
      <w:r w:rsidRPr="0076750B">
        <w:rPr>
          <w:sz w:val="22"/>
          <w:szCs w:val="22"/>
        </w:rPr>
        <w:t xml:space="preserve">At the same time however, a gross margin methodology may reduce other clearing member costs because an increase in client margin at the CCP level may decrease clearing member default fund requirements. </w:t>
      </w:r>
    </w:p>
    <w:p w:rsidR="00A8728B" w:rsidRPr="000E016B" w:rsidRDefault="000E016B" w:rsidP="000E016B">
      <w:pPr>
        <w:pStyle w:val="Bullet2"/>
        <w:numPr>
          <w:ilvl w:val="1"/>
          <w:numId w:val="50"/>
        </w:numPr>
        <w:tabs>
          <w:tab w:val="clear" w:pos="2160"/>
          <w:tab w:val="num" w:pos="360"/>
        </w:tabs>
        <w:spacing w:before="0" w:after="0"/>
        <w:ind w:left="360" w:hanging="360"/>
      </w:pPr>
      <w:r w:rsidRPr="000E016B">
        <w:rPr>
          <w:sz w:val="22"/>
          <w:szCs w:val="22"/>
          <w:u w:val="single"/>
        </w:rPr>
        <w:t>Clients</w:t>
      </w:r>
      <w:r w:rsidRPr="000E016B">
        <w:rPr>
          <w:sz w:val="22"/>
          <w:szCs w:val="22"/>
        </w:rPr>
        <w:t>:  As noted earlier, a gross margin methodology will tend to facilitate porting of client positions upon the default of a clearing member, which will be beneficial to clients.  As the Discussion Paper notes, clearing members will collect margin from each client on the basis of that client’s positions cleared through that clearing member and therefore clients will always post margin to clearing me</w:t>
      </w:r>
      <w:r w:rsidRPr="000E016B">
        <w:rPr>
          <w:sz w:val="22"/>
          <w:szCs w:val="22"/>
        </w:rPr>
        <w:t>m</w:t>
      </w:r>
      <w:r w:rsidRPr="000E016B">
        <w:rPr>
          <w:sz w:val="22"/>
          <w:szCs w:val="22"/>
        </w:rPr>
        <w:t>bers on a gross basis, regardless of whether the relevant CCP calculates its margin requirements on a gross or net basis.  It is possible that in certain circumstances, then, where a CCP moves from calcula</w:t>
      </w:r>
      <w:r w:rsidRPr="000E016B">
        <w:rPr>
          <w:sz w:val="22"/>
          <w:szCs w:val="22"/>
        </w:rPr>
        <w:t>t</w:t>
      </w:r>
      <w:r w:rsidRPr="000E016B">
        <w:rPr>
          <w:sz w:val="22"/>
          <w:szCs w:val="22"/>
        </w:rPr>
        <w:t>ing margin on a two-day net basis to a one-day gross basis, clients might post less margin overall.  In practice, however, this may well be mitigated by a variety of factors, including the relevant clearing member’s assessment, and whether the CCP applies any additional charges due to concentration of positions or other factors.</w:t>
      </w:r>
    </w:p>
    <w:permEnd w:id="299444600"/>
    <w:p w:rsidR="00A8728B" w:rsidRDefault="00A8728B" w:rsidP="00A8728B">
      <w:r>
        <w:t>&lt;ESMA_QUESTION_</w:t>
      </w:r>
      <w:r w:rsidR="002A38B9">
        <w:t>RTS_153_26</w:t>
      </w:r>
      <w:r>
        <w:t>_1&gt;</w:t>
      </w:r>
    </w:p>
    <w:p w:rsidR="009D3687" w:rsidRDefault="009D3687" w:rsidP="009D3687">
      <w:pPr>
        <w:pStyle w:val="CPQuestions"/>
      </w:pPr>
      <w:r w:rsidRPr="009D3687">
        <w:t>If the RTS were modified to allow one-day gross margin collection for ETDs, should this be extended to financial instruments other than OTC derivatives? What are the costs and benefits of either approach?</w:t>
      </w:r>
    </w:p>
    <w:p w:rsidR="00A8728B" w:rsidRDefault="00A8728B" w:rsidP="00A8728B">
      <w:r>
        <w:t>&lt;ESMA_QUESTION_</w:t>
      </w:r>
      <w:r w:rsidR="002A38B9">
        <w:t>RTS_153_26</w:t>
      </w:r>
      <w:r>
        <w:t>_2&gt;</w:t>
      </w:r>
    </w:p>
    <w:p w:rsidR="00A8728B" w:rsidRDefault="005779E1" w:rsidP="00A8728B">
      <w:permStart w:id="1216042047" w:edGrp="everyone"/>
      <w:r>
        <w:rPr>
          <w:rFonts w:ascii="Times New Roman" w:hAnsi="Times New Roman"/>
          <w:sz w:val="22"/>
          <w:szCs w:val="22"/>
        </w:rPr>
        <w:t xml:space="preserve">The other instruments included within the </w:t>
      </w:r>
      <w:proofErr w:type="spellStart"/>
      <w:r>
        <w:rPr>
          <w:rFonts w:ascii="Times New Roman" w:hAnsi="Times New Roman"/>
          <w:sz w:val="22"/>
          <w:szCs w:val="22"/>
        </w:rPr>
        <w:t>MiFID</w:t>
      </w:r>
      <w:proofErr w:type="spellEnd"/>
      <w:r>
        <w:rPr>
          <w:rFonts w:ascii="Times New Roman" w:hAnsi="Times New Roman"/>
          <w:sz w:val="22"/>
          <w:szCs w:val="22"/>
        </w:rPr>
        <w:t>/</w:t>
      </w:r>
      <w:proofErr w:type="spellStart"/>
      <w:r>
        <w:rPr>
          <w:rFonts w:ascii="Times New Roman" w:hAnsi="Times New Roman"/>
          <w:sz w:val="22"/>
          <w:szCs w:val="22"/>
        </w:rPr>
        <w:t>MiFID</w:t>
      </w:r>
      <w:proofErr w:type="spellEnd"/>
      <w:r>
        <w:rPr>
          <w:rFonts w:ascii="Times New Roman" w:hAnsi="Times New Roman"/>
          <w:sz w:val="22"/>
          <w:szCs w:val="22"/>
        </w:rPr>
        <w:t xml:space="preserve"> II definition of “financial instruments” include</w:t>
      </w:r>
      <w:r w:rsidRPr="00444E3A">
        <w:rPr>
          <w:rFonts w:ascii="Times New Roman" w:hAnsi="Times New Roman"/>
          <w:sz w:val="22"/>
          <w:szCs w:val="22"/>
        </w:rPr>
        <w:t xml:space="preserve"> “transferable securities”, “money-market instruments” </w:t>
      </w:r>
      <w:r>
        <w:rPr>
          <w:rFonts w:ascii="Times New Roman" w:hAnsi="Times New Roman"/>
          <w:sz w:val="22"/>
          <w:szCs w:val="22"/>
        </w:rPr>
        <w:t>and</w:t>
      </w:r>
      <w:r w:rsidRPr="00444E3A">
        <w:rPr>
          <w:rFonts w:ascii="Times New Roman" w:hAnsi="Times New Roman"/>
          <w:sz w:val="22"/>
          <w:szCs w:val="22"/>
        </w:rPr>
        <w:t xml:space="preserve"> “units in collective investment undertakings”. </w:t>
      </w:r>
      <w:r>
        <w:rPr>
          <w:rFonts w:ascii="Times New Roman" w:hAnsi="Times New Roman"/>
          <w:sz w:val="22"/>
          <w:szCs w:val="22"/>
        </w:rPr>
        <w:t>As the focus of our group is cleared derivatives</w:t>
      </w:r>
      <w:r w:rsidRPr="00444E3A">
        <w:rPr>
          <w:rFonts w:ascii="Times New Roman" w:hAnsi="Times New Roman"/>
          <w:sz w:val="22"/>
          <w:szCs w:val="22"/>
        </w:rPr>
        <w:t xml:space="preserve">, we do not believe </w:t>
      </w:r>
      <w:r>
        <w:rPr>
          <w:rFonts w:ascii="Times New Roman" w:hAnsi="Times New Roman"/>
          <w:sz w:val="22"/>
          <w:szCs w:val="22"/>
        </w:rPr>
        <w:t>we are</w:t>
      </w:r>
      <w:r w:rsidRPr="00444E3A">
        <w:rPr>
          <w:rFonts w:ascii="Times New Roman" w:hAnsi="Times New Roman"/>
          <w:sz w:val="22"/>
          <w:szCs w:val="22"/>
        </w:rPr>
        <w:t xml:space="preserve"> well-positioned to </w:t>
      </w:r>
      <w:r>
        <w:rPr>
          <w:rFonts w:ascii="Times New Roman" w:hAnsi="Times New Roman"/>
          <w:sz w:val="22"/>
          <w:szCs w:val="22"/>
        </w:rPr>
        <w:t>assess the impact of a change in the RTS on these instruments</w:t>
      </w:r>
      <w:r w:rsidRPr="00444E3A">
        <w:rPr>
          <w:rFonts w:ascii="Times New Roman" w:hAnsi="Times New Roman"/>
          <w:sz w:val="22"/>
          <w:szCs w:val="22"/>
        </w:rPr>
        <w:t>.</w:t>
      </w:r>
    </w:p>
    <w:permEnd w:id="1216042047"/>
    <w:p w:rsidR="00A8728B" w:rsidRDefault="00A8728B" w:rsidP="00A8728B">
      <w:r>
        <w:t>&lt;ESMA_QUESTION_</w:t>
      </w:r>
      <w:r w:rsidR="002A38B9">
        <w:t>RTS_153_26</w:t>
      </w:r>
      <w:r>
        <w:t>_2&gt;</w:t>
      </w:r>
    </w:p>
    <w:p w:rsidR="009D3687" w:rsidRPr="00B62727" w:rsidRDefault="009D3687" w:rsidP="009D3687">
      <w:pPr>
        <w:pStyle w:val="CPQuestions"/>
      </w:pPr>
      <w:r w:rsidRPr="009D3687">
        <w:t>If a differentiation of MPOR is made for ETDs depending on the gross or net colle</w:t>
      </w:r>
      <w:r w:rsidRPr="009D3687">
        <w:t>c</w:t>
      </w:r>
      <w:r w:rsidRPr="009D3687">
        <w:t>tion of margins, should this differentiation be made for OTC derivatives as well? Would seven days MPOR for OTC derivatives be appropriate for net OSA? Please, provide quantitative analyses in support of your answer.</w:t>
      </w:r>
    </w:p>
    <w:p w:rsidR="00A8728B" w:rsidRDefault="00A8728B" w:rsidP="00A8728B">
      <w:r>
        <w:t>&lt;ESMA_QUESTION_</w:t>
      </w:r>
      <w:r w:rsidR="002A38B9">
        <w:t>RTS_153_26</w:t>
      </w:r>
      <w:r>
        <w:t>_3&gt;</w:t>
      </w:r>
    </w:p>
    <w:p w:rsidR="005779E1" w:rsidRDefault="005779E1" w:rsidP="005779E1">
      <w:pPr>
        <w:pStyle w:val="Bullet1"/>
        <w:numPr>
          <w:ilvl w:val="0"/>
          <w:numId w:val="0"/>
        </w:numPr>
        <w:spacing w:after="0"/>
        <w:rPr>
          <w:sz w:val="22"/>
          <w:szCs w:val="22"/>
        </w:rPr>
      </w:pPr>
      <w:permStart w:id="1748784613" w:edGrp="everyone"/>
      <w:r>
        <w:rPr>
          <w:sz w:val="22"/>
          <w:szCs w:val="22"/>
        </w:rPr>
        <w:t>As noted above, the regulatory framework for the collection of client margin should not strictly distinguish between products based upon whether they are executed in the OTC market or on a regulated exchange.  As a result, we do not believe that a particular methodology should be definitively prescribed for OTC derivatives versus ETDs.  Rather, the calculation of appropriate margin levels for client accounts at CCPs must take into account multiple factors in order to ensure that the amount of margin the CCP collects, regardless of the underlying product type, is consistent with its default management objectives, viewed in light of the legal, regulatory and contractual framework in which it operates.</w:t>
      </w:r>
    </w:p>
    <w:p w:rsidR="005779E1" w:rsidRDefault="005779E1" w:rsidP="005779E1">
      <w:pPr>
        <w:pStyle w:val="Bullet1"/>
        <w:numPr>
          <w:ilvl w:val="0"/>
          <w:numId w:val="0"/>
        </w:numPr>
        <w:spacing w:before="0" w:after="0"/>
        <w:rPr>
          <w:sz w:val="22"/>
          <w:szCs w:val="22"/>
        </w:rPr>
      </w:pPr>
    </w:p>
    <w:p w:rsidR="00A8728B" w:rsidRPr="005779E1" w:rsidRDefault="005779E1" w:rsidP="005779E1">
      <w:pPr>
        <w:jc w:val="both"/>
        <w:rPr>
          <w:rFonts w:ascii="Times New Roman" w:hAnsi="Times New Roman"/>
          <w:sz w:val="22"/>
          <w:szCs w:val="22"/>
          <w:lang w:eastAsia="en-US"/>
        </w:rPr>
      </w:pPr>
      <w:r w:rsidRPr="005779E1">
        <w:rPr>
          <w:rFonts w:ascii="Times New Roman" w:hAnsi="Times New Roman"/>
          <w:sz w:val="22"/>
          <w:szCs w:val="22"/>
          <w:lang w:eastAsia="en-US"/>
        </w:rPr>
        <w:t>Although seven days may be an appropriate MPOR for a net OSA in respect of certain products, we believe that regulators should not prescribe a specific MPOR that is distinguished purely on the basis of the execution venue of the product or the relevant account structure.  It is also worth noting that currently the use of net OSAs for OTC derivatives is not prevalent in practice, so the relevant comparison is only between gross OSAs and ISAs, for which, as noted below, we do not see a basis for differentiation of MPORs.</w:t>
      </w:r>
    </w:p>
    <w:permEnd w:id="1748784613"/>
    <w:p w:rsidR="00A8728B" w:rsidRDefault="00A8728B" w:rsidP="00A8728B">
      <w:r>
        <w:t>&lt;ESMA_QUESTION_</w:t>
      </w:r>
      <w:r w:rsidR="002A38B9">
        <w:t>RTS_153_26</w:t>
      </w:r>
      <w:r>
        <w:t>_3&gt;</w:t>
      </w:r>
    </w:p>
    <w:p w:rsidR="00A8728B" w:rsidRPr="00B62727" w:rsidRDefault="002A38B9" w:rsidP="002A38B9">
      <w:pPr>
        <w:pStyle w:val="CPQuestions"/>
      </w:pPr>
      <w:r w:rsidRPr="002A38B9">
        <w:lastRenderedPageBreak/>
        <w:t>Should ISA and gross OSA be treated equally in terms of MPOR? Please provide quantitative evidence to support your arguments.</w:t>
      </w:r>
    </w:p>
    <w:p w:rsidR="00A8728B" w:rsidRDefault="00A8728B" w:rsidP="00A8728B">
      <w:r>
        <w:t>&lt;ESMA_QUESTION_</w:t>
      </w:r>
      <w:r w:rsidR="002A38B9">
        <w:t>RTS_153_26</w:t>
      </w:r>
      <w:r>
        <w:t>_4&gt;</w:t>
      </w:r>
    </w:p>
    <w:p w:rsidR="00A8728B" w:rsidRPr="005779E1" w:rsidRDefault="005779E1" w:rsidP="005779E1">
      <w:pPr>
        <w:jc w:val="both"/>
        <w:rPr>
          <w:rFonts w:ascii="Times New Roman" w:hAnsi="Times New Roman"/>
        </w:rPr>
      </w:pPr>
      <w:permStart w:id="828114591" w:edGrp="everyone"/>
      <w:r w:rsidRPr="005779E1">
        <w:rPr>
          <w:rFonts w:ascii="Times New Roman" w:hAnsi="Times New Roman"/>
          <w:sz w:val="22"/>
          <w:szCs w:val="22"/>
        </w:rPr>
        <w:t>As noted earlier, we do not believe particular account structures should have prescribed MPORs. Because the MPOR will likely take into account the time necessary to allow for porting of clients' positions and the time necessary to liquidate the relevant positions, the duration of the MPOR applied by the CCP to diffe</w:t>
      </w:r>
      <w:r w:rsidRPr="005779E1">
        <w:rPr>
          <w:rFonts w:ascii="Times New Roman" w:hAnsi="Times New Roman"/>
          <w:sz w:val="22"/>
          <w:szCs w:val="22"/>
        </w:rPr>
        <w:t>r</w:t>
      </w:r>
      <w:r w:rsidRPr="005779E1">
        <w:rPr>
          <w:rFonts w:ascii="Times New Roman" w:hAnsi="Times New Roman"/>
          <w:sz w:val="22"/>
          <w:szCs w:val="22"/>
        </w:rPr>
        <w:t>ent account structures for the same underlying product will primarily depend on an evaluation of such CCP’s ability to port client positions and collateral to one or more back-up clearing members (as the liquidation period will not differ for the same product across account types).  We would expect that a CCP with a well configured gross OSA account structure that allows for the efficient porting of client positions and collateral in the event of a clearing member default would likely use the same MPOR for the same product held in a gross OSA or an ISA.  It is possible, however, that, based on an assessment of all rel</w:t>
      </w:r>
      <w:r w:rsidRPr="005779E1">
        <w:rPr>
          <w:rFonts w:ascii="Times New Roman" w:hAnsi="Times New Roman"/>
          <w:sz w:val="22"/>
          <w:szCs w:val="22"/>
        </w:rPr>
        <w:t>e</w:t>
      </w:r>
      <w:r w:rsidRPr="005779E1">
        <w:rPr>
          <w:rFonts w:ascii="Times New Roman" w:hAnsi="Times New Roman"/>
          <w:sz w:val="22"/>
          <w:szCs w:val="22"/>
        </w:rPr>
        <w:t>vant factors, a CCP may conclude that applying different MPORs to different account structures may be appropriate.</w:t>
      </w:r>
    </w:p>
    <w:permEnd w:id="828114591"/>
    <w:p w:rsidR="00A8728B" w:rsidRDefault="00A8728B" w:rsidP="00A8728B">
      <w:r>
        <w:t>&lt;ESMA_QUESTION_</w:t>
      </w:r>
      <w:r w:rsidR="002A38B9">
        <w:t>RTS_153_26</w:t>
      </w:r>
      <w:r>
        <w:t>_4&gt;</w:t>
      </w:r>
    </w:p>
    <w:p w:rsidR="00A8728B" w:rsidRPr="00B62727" w:rsidRDefault="002A38B9" w:rsidP="002A38B9">
      <w:pPr>
        <w:pStyle w:val="CPQuestions"/>
      </w:pPr>
      <w:r w:rsidRPr="002A38B9">
        <w:t>Do you consider that specific conditions should apply in order to ensure that ma</w:t>
      </w:r>
      <w:r w:rsidRPr="002A38B9">
        <w:t>r</w:t>
      </w:r>
      <w:r w:rsidRPr="002A38B9">
        <w:t>gins are called intraday in case the MPOR is reduced to 1-day under a gross client margins collection?</w:t>
      </w:r>
    </w:p>
    <w:p w:rsidR="00A8728B" w:rsidRDefault="00A8728B" w:rsidP="00A8728B">
      <w:r>
        <w:t>&lt;ESMA_QUESTION_</w:t>
      </w:r>
      <w:r w:rsidR="002A38B9">
        <w:t>RTS_153_26</w:t>
      </w:r>
      <w:r>
        <w:t>_5&gt;</w:t>
      </w:r>
    </w:p>
    <w:p w:rsidR="00A8728B" w:rsidRPr="005779E1" w:rsidRDefault="005779E1" w:rsidP="005779E1">
      <w:pPr>
        <w:jc w:val="both"/>
        <w:rPr>
          <w:rFonts w:ascii="Times New Roman" w:hAnsi="Times New Roman"/>
        </w:rPr>
      </w:pPr>
      <w:permStart w:id="1240096529" w:edGrp="everyone"/>
      <w:r w:rsidRPr="005779E1">
        <w:rPr>
          <w:rFonts w:ascii="Times New Roman" w:hAnsi="Times New Roman"/>
          <w:sz w:val="22"/>
          <w:szCs w:val="22"/>
        </w:rPr>
        <w:t xml:space="preserve">We believe this question suggests that ESMA considers that additional intraday margin calls might be a substitute for the CCP having </w:t>
      </w:r>
      <w:proofErr w:type="gramStart"/>
      <w:r w:rsidRPr="005779E1">
        <w:rPr>
          <w:rFonts w:ascii="Times New Roman" w:hAnsi="Times New Roman"/>
          <w:sz w:val="22"/>
          <w:szCs w:val="22"/>
        </w:rPr>
        <w:t>less margin</w:t>
      </w:r>
      <w:proofErr w:type="gramEnd"/>
      <w:r w:rsidRPr="005779E1">
        <w:rPr>
          <w:rFonts w:ascii="Times New Roman" w:hAnsi="Times New Roman"/>
          <w:sz w:val="22"/>
          <w:szCs w:val="22"/>
        </w:rPr>
        <w:t xml:space="preserve"> when a one-day gross methodology is used.  We do not think this should be so, however.  Under Article 41(3) of Regulation (EU) No 648/2012, an EU CCP is obliged to call margin intraday in order to maintain the limits on its credit exposures from clearing members such that it can carry out its default management pr</w:t>
      </w:r>
      <w:r w:rsidRPr="005779E1">
        <w:rPr>
          <w:rFonts w:ascii="Times New Roman" w:hAnsi="Times New Roman"/>
          <w:sz w:val="22"/>
          <w:szCs w:val="22"/>
        </w:rPr>
        <w:t>o</w:t>
      </w:r>
      <w:r w:rsidRPr="005779E1">
        <w:rPr>
          <w:rFonts w:ascii="Times New Roman" w:hAnsi="Times New Roman"/>
          <w:sz w:val="22"/>
          <w:szCs w:val="22"/>
        </w:rPr>
        <w:t>cedures to port or liquidate the positions in the event of a clearing member default.  The need to call margin intraday can therefore be considered independent of the specific MPOR employed by the CCP.  In any event, as noted above, we do not believe that a one-day gross methodology will necessarily generate lower amounts of client margin at the CCP level than two-day net.  As mentioned above, even in the case of a large, unidirectional portfolio, additional concentration charges applied by the CCPs may significantly reduce any distinction in the amount of margin held at the CCP under a one-day gross methodology and a two-day net model. Secondly, it is important to note that intraday margin would not be a substitute for a CCP having insufficient collections generally.  In addition, such specific conditions would fundamentally change the way clearing members risk-manage their exp</w:t>
      </w:r>
      <w:r w:rsidRPr="005779E1">
        <w:rPr>
          <w:rFonts w:ascii="Times New Roman" w:hAnsi="Times New Roman"/>
          <w:sz w:val="22"/>
          <w:szCs w:val="22"/>
        </w:rPr>
        <w:t>o</w:t>
      </w:r>
      <w:r w:rsidRPr="005779E1">
        <w:rPr>
          <w:rFonts w:ascii="Times New Roman" w:hAnsi="Times New Roman"/>
          <w:sz w:val="22"/>
          <w:szCs w:val="22"/>
        </w:rPr>
        <w:t>sures to clients and would require them to reconsider the coverage of their own intraday liquidity needs given that clearing members, rather than cl</w:t>
      </w:r>
      <w:r w:rsidRPr="005779E1">
        <w:rPr>
          <w:rFonts w:ascii="Times New Roman" w:hAnsi="Times New Roman"/>
          <w:sz w:val="22"/>
          <w:szCs w:val="22"/>
        </w:rPr>
        <w:t>i</w:t>
      </w:r>
      <w:r w:rsidRPr="005779E1">
        <w:rPr>
          <w:rFonts w:ascii="Times New Roman" w:hAnsi="Times New Roman"/>
          <w:sz w:val="22"/>
          <w:szCs w:val="22"/>
        </w:rPr>
        <w:t>ents, would be required to post intraday margin in the first instance on client accounts.  Provided a CCP adequately assesses the factors necessary in order to calc</w:t>
      </w:r>
      <w:r w:rsidRPr="005779E1">
        <w:rPr>
          <w:rFonts w:ascii="Times New Roman" w:hAnsi="Times New Roman"/>
          <w:sz w:val="22"/>
          <w:szCs w:val="22"/>
        </w:rPr>
        <w:t>u</w:t>
      </w:r>
      <w:r w:rsidRPr="005779E1">
        <w:rPr>
          <w:rFonts w:ascii="Times New Roman" w:hAnsi="Times New Roman"/>
          <w:sz w:val="22"/>
          <w:szCs w:val="22"/>
        </w:rPr>
        <w:t>late appropriate margin levels for client accounts, no additional specific conditions with respect to the calling of intraday margin requirements should be necessary.  (We note, though, that to the extent a CCP does require intraday margin, it should be transparent about the circumstances in which it would do so in order to allow clearing members and clients to model such requirements effectively.)</w:t>
      </w:r>
    </w:p>
    <w:permEnd w:id="1240096529"/>
    <w:p w:rsidR="00A8728B" w:rsidRDefault="00A8728B" w:rsidP="00A8728B">
      <w:r>
        <w:t>&lt;ESMA_QUESTION_</w:t>
      </w:r>
      <w:r w:rsidR="002A38B9">
        <w:t>RTS_153_26</w:t>
      </w:r>
      <w:r>
        <w:t>_5&gt;</w:t>
      </w:r>
    </w:p>
    <w:p w:rsidR="00A8728B" w:rsidRDefault="002A38B9" w:rsidP="002A38B9">
      <w:pPr>
        <w:pStyle w:val="CPQuestions"/>
      </w:pPr>
      <w:r w:rsidRPr="002A38B9">
        <w:t>Do you agree that entities of the same group as clearing members should not be allowed to benefit from a lower MPOR even if they chose an OSA gross or ISA a</w:t>
      </w:r>
      <w:r w:rsidRPr="002A38B9">
        <w:t>c</w:t>
      </w:r>
      <w:r w:rsidRPr="002A38B9">
        <w:t>count? What are the costs and benefits of either approach?</w:t>
      </w:r>
    </w:p>
    <w:p w:rsidR="00A8728B" w:rsidRDefault="00A8728B" w:rsidP="00A8728B">
      <w:r>
        <w:t>&lt;ESMA_QUESTION_</w:t>
      </w:r>
      <w:r w:rsidR="002A38B9">
        <w:t>RTS_153_26</w:t>
      </w:r>
      <w:r>
        <w:t>_6&gt;</w:t>
      </w:r>
    </w:p>
    <w:p w:rsidR="00A8728B" w:rsidRDefault="005779E1" w:rsidP="005779E1">
      <w:pPr>
        <w:jc w:val="both"/>
      </w:pPr>
      <w:permStart w:id="682186551" w:edGrp="everyone"/>
      <w:r>
        <w:rPr>
          <w:rFonts w:ascii="Times New Roman" w:hAnsi="Times New Roman"/>
          <w:sz w:val="22"/>
          <w:szCs w:val="22"/>
        </w:rPr>
        <w:t>We believe this is a question that is better answered pursuant to the review of global margin standards that is currently being undertaken by CPMI-IOSCO. W</w:t>
      </w:r>
      <w:r w:rsidRPr="00636272">
        <w:rPr>
          <w:rFonts w:ascii="Times New Roman" w:hAnsi="Times New Roman"/>
          <w:sz w:val="22"/>
          <w:szCs w:val="22"/>
        </w:rPr>
        <w:t>e do not believe</w:t>
      </w:r>
      <w:r>
        <w:rPr>
          <w:rFonts w:ascii="Times New Roman" w:hAnsi="Times New Roman"/>
          <w:sz w:val="22"/>
          <w:szCs w:val="22"/>
        </w:rPr>
        <w:t>, however,</w:t>
      </w:r>
      <w:r w:rsidRPr="00636272">
        <w:rPr>
          <w:rFonts w:ascii="Times New Roman" w:hAnsi="Times New Roman"/>
          <w:sz w:val="22"/>
          <w:szCs w:val="22"/>
        </w:rPr>
        <w:t xml:space="preserve"> that MPOR should</w:t>
      </w:r>
      <w:r w:rsidRPr="00A316DC">
        <w:rPr>
          <w:rFonts w:ascii="Times New Roman" w:hAnsi="Times New Roman"/>
          <w:sz w:val="22"/>
          <w:szCs w:val="22"/>
        </w:rPr>
        <w:t xml:space="preserve"> depend </w:t>
      </w:r>
      <w:r w:rsidRPr="00A316DC">
        <w:rPr>
          <w:rFonts w:ascii="Times New Roman" w:hAnsi="Times New Roman"/>
          <w:sz w:val="22"/>
          <w:szCs w:val="22"/>
        </w:rPr>
        <w:lastRenderedPageBreak/>
        <w:t xml:space="preserve">upon the </w:t>
      </w:r>
      <w:r>
        <w:rPr>
          <w:rFonts w:ascii="Times New Roman" w:hAnsi="Times New Roman"/>
          <w:sz w:val="22"/>
          <w:szCs w:val="22"/>
        </w:rPr>
        <w:t>type of account (</w:t>
      </w:r>
      <w:r w:rsidRPr="00444E3A">
        <w:rPr>
          <w:rFonts w:ascii="Times New Roman" w:hAnsi="Times New Roman"/>
          <w:i/>
          <w:sz w:val="22"/>
          <w:szCs w:val="22"/>
        </w:rPr>
        <w:t>i.e.</w:t>
      </w:r>
      <w:r>
        <w:rPr>
          <w:rFonts w:ascii="Times New Roman" w:hAnsi="Times New Roman"/>
          <w:sz w:val="22"/>
          <w:szCs w:val="22"/>
        </w:rPr>
        <w:t xml:space="preserve">, house or client), the </w:t>
      </w:r>
      <w:r w:rsidRPr="00A316DC">
        <w:rPr>
          <w:rFonts w:ascii="Times New Roman" w:hAnsi="Times New Roman"/>
          <w:sz w:val="22"/>
          <w:szCs w:val="22"/>
        </w:rPr>
        <w:t xml:space="preserve">applicable account structure </w:t>
      </w:r>
      <w:r>
        <w:rPr>
          <w:rFonts w:ascii="Times New Roman" w:hAnsi="Times New Roman"/>
          <w:sz w:val="22"/>
          <w:szCs w:val="22"/>
        </w:rPr>
        <w:t>(</w:t>
      </w:r>
      <w:r>
        <w:rPr>
          <w:rFonts w:ascii="Times New Roman" w:hAnsi="Times New Roman"/>
          <w:i/>
          <w:sz w:val="22"/>
          <w:szCs w:val="22"/>
        </w:rPr>
        <w:t>i.e.</w:t>
      </w:r>
      <w:r>
        <w:rPr>
          <w:rFonts w:ascii="Times New Roman" w:hAnsi="Times New Roman"/>
          <w:sz w:val="22"/>
          <w:szCs w:val="22"/>
        </w:rPr>
        <w:t xml:space="preserve">, gross vs. net) </w:t>
      </w:r>
      <w:r w:rsidRPr="00A316DC">
        <w:rPr>
          <w:rFonts w:ascii="Times New Roman" w:hAnsi="Times New Roman"/>
          <w:sz w:val="22"/>
          <w:szCs w:val="22"/>
        </w:rPr>
        <w:t xml:space="preserve">or </w:t>
      </w:r>
      <w:r>
        <w:rPr>
          <w:rFonts w:ascii="Times New Roman" w:hAnsi="Times New Roman"/>
          <w:sz w:val="22"/>
          <w:szCs w:val="22"/>
        </w:rPr>
        <w:t xml:space="preserve">the </w:t>
      </w:r>
      <w:r w:rsidRPr="00A316DC">
        <w:rPr>
          <w:rFonts w:ascii="Times New Roman" w:hAnsi="Times New Roman"/>
          <w:sz w:val="22"/>
          <w:szCs w:val="22"/>
        </w:rPr>
        <w:t>product classification</w:t>
      </w:r>
      <w:r>
        <w:rPr>
          <w:rFonts w:ascii="Times New Roman" w:hAnsi="Times New Roman"/>
          <w:sz w:val="22"/>
          <w:szCs w:val="22"/>
        </w:rPr>
        <w:t xml:space="preserve"> (</w:t>
      </w:r>
      <w:r w:rsidRPr="00444E3A">
        <w:rPr>
          <w:rFonts w:ascii="Times New Roman" w:hAnsi="Times New Roman"/>
          <w:i/>
          <w:sz w:val="22"/>
          <w:szCs w:val="22"/>
        </w:rPr>
        <w:t>i.e.</w:t>
      </w:r>
      <w:r>
        <w:rPr>
          <w:rFonts w:ascii="Times New Roman" w:hAnsi="Times New Roman"/>
          <w:sz w:val="22"/>
          <w:szCs w:val="22"/>
        </w:rPr>
        <w:t xml:space="preserve">, OTC vs. ETD), but should instead be based on an </w:t>
      </w:r>
      <w:r w:rsidRPr="00D763DF">
        <w:rPr>
          <w:rFonts w:ascii="Times New Roman" w:hAnsi="Times New Roman"/>
          <w:sz w:val="22"/>
          <w:szCs w:val="22"/>
        </w:rPr>
        <w:t>assessment of all factors comprising the CCP’s risk management</w:t>
      </w:r>
      <w:r>
        <w:rPr>
          <w:rFonts w:ascii="Times New Roman" w:hAnsi="Times New Roman"/>
          <w:sz w:val="22"/>
          <w:szCs w:val="22"/>
        </w:rPr>
        <w:t xml:space="preserve"> framework as such factors apply to the underlying</w:t>
      </w:r>
      <w:r w:rsidRPr="00D763DF">
        <w:rPr>
          <w:rFonts w:ascii="Times New Roman" w:hAnsi="Times New Roman"/>
          <w:sz w:val="22"/>
          <w:szCs w:val="22"/>
        </w:rPr>
        <w:t xml:space="preserve"> product and the relevant </w:t>
      </w:r>
      <w:r>
        <w:rPr>
          <w:rFonts w:ascii="Times New Roman" w:hAnsi="Times New Roman"/>
          <w:sz w:val="22"/>
          <w:szCs w:val="22"/>
        </w:rPr>
        <w:t>portfolios</w:t>
      </w:r>
      <w:r w:rsidRPr="00D763DF">
        <w:rPr>
          <w:rFonts w:ascii="Times New Roman" w:hAnsi="Times New Roman"/>
          <w:sz w:val="22"/>
          <w:szCs w:val="22"/>
        </w:rPr>
        <w:t>.</w:t>
      </w:r>
      <w:r>
        <w:rPr>
          <w:rFonts w:ascii="Times New Roman" w:hAnsi="Times New Roman"/>
          <w:sz w:val="22"/>
          <w:szCs w:val="22"/>
        </w:rPr>
        <w:t xml:space="preserve">  As a result, CPMI-IOSCO should also consider an evaluation of the treatment of both clearing members and clients, and assess whether such entities should be treated equally from a regulatory standpoint with respect to the applicable MPOR regardless of their corporate structure.</w:t>
      </w:r>
    </w:p>
    <w:permEnd w:id="682186551"/>
    <w:p w:rsidR="00A8728B" w:rsidRDefault="00A8728B" w:rsidP="00A8728B">
      <w:r>
        <w:t>&lt;ESMA_QUESTION_</w:t>
      </w:r>
      <w:r w:rsidR="002A38B9">
        <w:t>RTS_153_26</w:t>
      </w:r>
      <w:r>
        <w:t>_6&gt;</w:t>
      </w:r>
    </w:p>
    <w:p w:rsidR="00A8728B" w:rsidRPr="00C24BCA" w:rsidRDefault="002A38B9" w:rsidP="002A38B9">
      <w:pPr>
        <w:pStyle w:val="CPQuestions"/>
      </w:pPr>
      <w:r w:rsidRPr="002A38B9">
        <w:t>Do you consider that specific conditions (e.g. compulsory pre-existing arrang</w:t>
      </w:r>
      <w:r w:rsidRPr="002A38B9">
        <w:t>e</w:t>
      </w:r>
      <w:r w:rsidRPr="002A38B9">
        <w:t>ment with a back-up clearing member) should apply in order to enhance the port</w:t>
      </w:r>
      <w:r w:rsidRPr="002A38B9">
        <w:t>a</w:t>
      </w:r>
      <w:r w:rsidRPr="002A38B9">
        <w:t>bility of client positions in order to benefit for the gross margining with one-day liquidation period? What conditions in your view would enhance the portability of client accounts? What are the costs and benefits of the suggested condition? Is it feasible that each client in an OSA would nominate a back-up clearing member or could this be a practical impediment to the establishment of gross margining? Is it feasible to expect an alternative clearing member to guarantee to accept porting of a client’s positions in the event of the primary clearing member’s default?</w:t>
      </w:r>
    </w:p>
    <w:p w:rsidR="00A8728B" w:rsidRDefault="00A8728B" w:rsidP="00A8728B">
      <w:r>
        <w:t>&lt;ESMA_QUESTION_</w:t>
      </w:r>
      <w:r w:rsidR="002A38B9">
        <w:t>RTS_153_26</w:t>
      </w:r>
      <w:r>
        <w:t>_7&gt;</w:t>
      </w:r>
    </w:p>
    <w:p w:rsidR="005779E1" w:rsidRDefault="005779E1" w:rsidP="005779E1">
      <w:pPr>
        <w:pStyle w:val="Bullet1"/>
        <w:numPr>
          <w:ilvl w:val="0"/>
          <w:numId w:val="0"/>
        </w:numPr>
        <w:tabs>
          <w:tab w:val="left" w:pos="0"/>
        </w:tabs>
        <w:spacing w:before="0" w:after="0"/>
        <w:rPr>
          <w:sz w:val="22"/>
          <w:szCs w:val="22"/>
        </w:rPr>
      </w:pPr>
      <w:permStart w:id="2116624525" w:edGrp="everyone"/>
      <w:r>
        <w:rPr>
          <w:i/>
          <w:sz w:val="22"/>
          <w:szCs w:val="22"/>
        </w:rPr>
        <w:t xml:space="preserve">Guaranteed Porting is </w:t>
      </w:r>
      <w:r w:rsidRPr="00444E3A">
        <w:rPr>
          <w:i/>
          <w:sz w:val="22"/>
          <w:szCs w:val="22"/>
        </w:rPr>
        <w:t>Economically Unviable</w:t>
      </w:r>
    </w:p>
    <w:p w:rsidR="005779E1" w:rsidRPr="00525862" w:rsidRDefault="005779E1" w:rsidP="005779E1">
      <w:pPr>
        <w:pStyle w:val="Bullet1"/>
        <w:numPr>
          <w:ilvl w:val="0"/>
          <w:numId w:val="0"/>
        </w:numPr>
        <w:tabs>
          <w:tab w:val="left" w:pos="0"/>
        </w:tabs>
        <w:spacing w:before="0" w:after="0"/>
        <w:rPr>
          <w:sz w:val="22"/>
          <w:szCs w:val="22"/>
        </w:rPr>
      </w:pPr>
    </w:p>
    <w:p w:rsidR="005779E1" w:rsidRDefault="005779E1" w:rsidP="005779E1">
      <w:pPr>
        <w:pStyle w:val="Bullet1"/>
        <w:numPr>
          <w:ilvl w:val="0"/>
          <w:numId w:val="50"/>
        </w:numPr>
        <w:tabs>
          <w:tab w:val="clear" w:pos="1440"/>
          <w:tab w:val="left" w:pos="0"/>
          <w:tab w:val="num" w:pos="360"/>
        </w:tabs>
        <w:spacing w:before="0" w:after="0"/>
        <w:ind w:left="360" w:hanging="360"/>
        <w:rPr>
          <w:sz w:val="22"/>
          <w:szCs w:val="22"/>
        </w:rPr>
      </w:pPr>
      <w:r>
        <w:rPr>
          <w:sz w:val="22"/>
          <w:szCs w:val="22"/>
        </w:rPr>
        <w:t xml:space="preserve">We believe that guaranteed portability of a client’s positions in the event of a clearing member default is an unrealistic condition for several reasons, most notably the high costs and likely remote benefits associated with such an arrangement.  Specifically, we note that: </w:t>
      </w:r>
    </w:p>
    <w:p w:rsidR="005779E1" w:rsidRPr="00EA13EB" w:rsidRDefault="005779E1" w:rsidP="005779E1">
      <w:pPr>
        <w:pStyle w:val="Bullet1"/>
        <w:numPr>
          <w:ilvl w:val="1"/>
          <w:numId w:val="50"/>
        </w:numPr>
        <w:tabs>
          <w:tab w:val="clear" w:pos="2160"/>
          <w:tab w:val="left" w:pos="0"/>
          <w:tab w:val="num" w:pos="810"/>
        </w:tabs>
        <w:spacing w:before="0" w:after="0"/>
        <w:ind w:left="810" w:hanging="450"/>
        <w:rPr>
          <w:sz w:val="22"/>
          <w:szCs w:val="22"/>
        </w:rPr>
      </w:pPr>
      <w:r>
        <w:rPr>
          <w:sz w:val="22"/>
          <w:szCs w:val="22"/>
        </w:rPr>
        <w:t>Back-up clearing members would need to identify and consider the client portfolios in their le</w:t>
      </w:r>
      <w:r>
        <w:rPr>
          <w:sz w:val="22"/>
          <w:szCs w:val="22"/>
        </w:rPr>
        <w:t>v</w:t>
      </w:r>
      <w:r>
        <w:rPr>
          <w:sz w:val="22"/>
          <w:szCs w:val="22"/>
        </w:rPr>
        <w:t xml:space="preserve">erage ratio and regulatory capital calculations upon the acceptance of the portfolio, but this would be impossible to assess before the point of the primary clearing member’s default. </w:t>
      </w:r>
    </w:p>
    <w:p w:rsidR="005779E1" w:rsidRDefault="005779E1" w:rsidP="005779E1">
      <w:pPr>
        <w:pStyle w:val="Bullet1"/>
        <w:numPr>
          <w:ilvl w:val="1"/>
          <w:numId w:val="50"/>
        </w:numPr>
        <w:tabs>
          <w:tab w:val="clear" w:pos="2160"/>
          <w:tab w:val="left" w:pos="0"/>
          <w:tab w:val="num" w:pos="810"/>
        </w:tabs>
        <w:spacing w:before="0" w:after="0"/>
        <w:ind w:left="810" w:hanging="450"/>
        <w:rPr>
          <w:sz w:val="22"/>
          <w:szCs w:val="22"/>
        </w:rPr>
      </w:pPr>
      <w:r>
        <w:rPr>
          <w:sz w:val="22"/>
          <w:szCs w:val="22"/>
        </w:rPr>
        <w:t>The leverage ratio currently has a significant impact on clearing members, and as a result, clea</w:t>
      </w:r>
      <w:r>
        <w:rPr>
          <w:sz w:val="22"/>
          <w:szCs w:val="22"/>
        </w:rPr>
        <w:t>r</w:t>
      </w:r>
      <w:r>
        <w:rPr>
          <w:sz w:val="22"/>
          <w:szCs w:val="22"/>
        </w:rPr>
        <w:t>ing members</w:t>
      </w:r>
      <w:r w:rsidRPr="00376BA8">
        <w:rPr>
          <w:sz w:val="22"/>
          <w:szCs w:val="22"/>
        </w:rPr>
        <w:t xml:space="preserve"> may be less willing or able to accept new</w:t>
      </w:r>
      <w:r>
        <w:rPr>
          <w:sz w:val="22"/>
          <w:szCs w:val="22"/>
        </w:rPr>
        <w:t xml:space="preserve"> forward-looking, unknown</w:t>
      </w:r>
      <w:r w:rsidRPr="00376BA8">
        <w:rPr>
          <w:sz w:val="22"/>
          <w:szCs w:val="22"/>
        </w:rPr>
        <w:t xml:space="preserve"> liabilities.</w:t>
      </w:r>
      <w:r>
        <w:rPr>
          <w:sz w:val="22"/>
          <w:szCs w:val="22"/>
        </w:rPr>
        <w:t xml:space="preserve"> </w:t>
      </w:r>
      <w:r w:rsidRPr="00376BA8">
        <w:rPr>
          <w:sz w:val="22"/>
          <w:szCs w:val="22"/>
        </w:rPr>
        <w:t xml:space="preserve"> The leverage ratio implication</w:t>
      </w:r>
      <w:r>
        <w:rPr>
          <w:sz w:val="22"/>
          <w:szCs w:val="22"/>
        </w:rPr>
        <w:t>s of guaranteed portability at the time of porting would</w:t>
      </w:r>
      <w:r w:rsidRPr="00376BA8">
        <w:rPr>
          <w:sz w:val="22"/>
          <w:szCs w:val="22"/>
        </w:rPr>
        <w:t xml:space="preserve"> therefore prompt more clearing members to cease their activities as this will affect their ability to maintain a sustainable </w:t>
      </w:r>
      <w:r>
        <w:rPr>
          <w:sz w:val="22"/>
          <w:szCs w:val="22"/>
        </w:rPr>
        <w:t>clearing business</w:t>
      </w:r>
      <w:r w:rsidRPr="00376BA8">
        <w:rPr>
          <w:sz w:val="22"/>
          <w:szCs w:val="22"/>
        </w:rPr>
        <w:t>.</w:t>
      </w:r>
      <w:r>
        <w:rPr>
          <w:sz w:val="22"/>
          <w:szCs w:val="22"/>
        </w:rPr>
        <w:t xml:space="preserve"> </w:t>
      </w:r>
      <w:r w:rsidRPr="00376BA8">
        <w:rPr>
          <w:sz w:val="22"/>
          <w:szCs w:val="22"/>
        </w:rPr>
        <w:t xml:space="preserve"> </w:t>
      </w:r>
      <w:r>
        <w:rPr>
          <w:sz w:val="22"/>
          <w:szCs w:val="22"/>
        </w:rPr>
        <w:t>T</w:t>
      </w:r>
      <w:r w:rsidRPr="00376BA8">
        <w:rPr>
          <w:sz w:val="22"/>
          <w:szCs w:val="22"/>
        </w:rPr>
        <w:t>his will lead to a further reduction in the number of clearing members and potentially higher systemic risks.</w:t>
      </w:r>
      <w:r>
        <w:rPr>
          <w:rStyle w:val="FootnoteReference"/>
          <w:sz w:val="22"/>
          <w:szCs w:val="22"/>
        </w:rPr>
        <w:footnoteReference w:id="6"/>
      </w:r>
    </w:p>
    <w:p w:rsidR="005779E1" w:rsidRDefault="005779E1" w:rsidP="005779E1">
      <w:pPr>
        <w:pStyle w:val="Bullet1"/>
        <w:numPr>
          <w:ilvl w:val="0"/>
          <w:numId w:val="50"/>
        </w:numPr>
        <w:tabs>
          <w:tab w:val="clear" w:pos="1440"/>
          <w:tab w:val="left" w:pos="0"/>
          <w:tab w:val="num" w:pos="360"/>
        </w:tabs>
        <w:spacing w:before="0" w:after="0"/>
        <w:ind w:left="360" w:hanging="360"/>
        <w:rPr>
          <w:sz w:val="22"/>
          <w:szCs w:val="22"/>
        </w:rPr>
      </w:pPr>
      <w:r>
        <w:rPr>
          <w:sz w:val="22"/>
          <w:szCs w:val="22"/>
        </w:rPr>
        <w:t>Back-up clearing members may require clients to post more collateral for the same position (</w:t>
      </w:r>
      <w:proofErr w:type="spellStart"/>
      <w:r>
        <w:rPr>
          <w:sz w:val="22"/>
          <w:szCs w:val="22"/>
        </w:rPr>
        <w:t>i</w:t>
      </w:r>
      <w:proofErr w:type="spellEnd"/>
      <w:r>
        <w:rPr>
          <w:sz w:val="22"/>
          <w:szCs w:val="22"/>
        </w:rPr>
        <w:t>) if they consider the open position riskier than the primary clearing member of the client did; and/or (ii) to r</w:t>
      </w:r>
      <w:r>
        <w:rPr>
          <w:sz w:val="22"/>
          <w:szCs w:val="22"/>
        </w:rPr>
        <w:t>e</w:t>
      </w:r>
      <w:r>
        <w:rPr>
          <w:sz w:val="22"/>
          <w:szCs w:val="22"/>
        </w:rPr>
        <w:t>duce the total net exposure to the client (depending on the back-up clearing member’s credit analysis).</w:t>
      </w:r>
    </w:p>
    <w:p w:rsidR="005779E1" w:rsidRDefault="005779E1" w:rsidP="005779E1">
      <w:pPr>
        <w:pStyle w:val="Bullet1"/>
        <w:numPr>
          <w:ilvl w:val="0"/>
          <w:numId w:val="0"/>
        </w:numPr>
        <w:tabs>
          <w:tab w:val="left" w:pos="0"/>
        </w:tabs>
        <w:spacing w:before="0" w:after="0"/>
        <w:rPr>
          <w:sz w:val="22"/>
          <w:szCs w:val="22"/>
        </w:rPr>
      </w:pPr>
    </w:p>
    <w:p w:rsidR="005779E1" w:rsidRDefault="005779E1" w:rsidP="005779E1">
      <w:pPr>
        <w:pStyle w:val="Bullet1"/>
        <w:numPr>
          <w:ilvl w:val="0"/>
          <w:numId w:val="0"/>
        </w:numPr>
        <w:tabs>
          <w:tab w:val="left" w:pos="0"/>
        </w:tabs>
        <w:spacing w:before="0" w:after="0"/>
        <w:rPr>
          <w:sz w:val="22"/>
          <w:szCs w:val="22"/>
        </w:rPr>
      </w:pPr>
      <w:r>
        <w:rPr>
          <w:i/>
          <w:sz w:val="22"/>
          <w:szCs w:val="22"/>
        </w:rPr>
        <w:t>Guaranteed Porting is Operationally Unfeasible</w:t>
      </w:r>
    </w:p>
    <w:p w:rsidR="005779E1" w:rsidRPr="00525862" w:rsidRDefault="005779E1" w:rsidP="005779E1">
      <w:pPr>
        <w:pStyle w:val="Bullet1"/>
        <w:numPr>
          <w:ilvl w:val="0"/>
          <w:numId w:val="0"/>
        </w:numPr>
        <w:tabs>
          <w:tab w:val="left" w:pos="0"/>
        </w:tabs>
        <w:spacing w:before="0" w:after="0"/>
        <w:rPr>
          <w:sz w:val="22"/>
          <w:szCs w:val="22"/>
        </w:rPr>
      </w:pPr>
    </w:p>
    <w:p w:rsidR="005779E1" w:rsidRDefault="005779E1" w:rsidP="005779E1">
      <w:pPr>
        <w:pStyle w:val="Bullet1"/>
        <w:numPr>
          <w:ilvl w:val="0"/>
          <w:numId w:val="50"/>
        </w:numPr>
        <w:tabs>
          <w:tab w:val="clear" w:pos="1440"/>
          <w:tab w:val="left" w:pos="0"/>
          <w:tab w:val="num" w:pos="360"/>
        </w:tabs>
        <w:spacing w:before="0" w:after="0"/>
        <w:ind w:left="360" w:hanging="360"/>
        <w:rPr>
          <w:sz w:val="22"/>
          <w:szCs w:val="22"/>
        </w:rPr>
      </w:pPr>
      <w:r>
        <w:rPr>
          <w:sz w:val="22"/>
          <w:szCs w:val="22"/>
        </w:rPr>
        <w:t>External events (</w:t>
      </w:r>
      <w:r>
        <w:rPr>
          <w:i/>
          <w:sz w:val="22"/>
          <w:szCs w:val="22"/>
        </w:rPr>
        <w:t>e.g.</w:t>
      </w:r>
      <w:r>
        <w:rPr>
          <w:sz w:val="22"/>
          <w:szCs w:val="22"/>
        </w:rPr>
        <w:t>, stressed market conditions) are unknown and impossible to predict at the time back-up clearing members would be required to commit to accept ported client positions in the event of a clearing member default.  Such unpredictability effectively prevents back-up clearing members from being able to guarantee portability, as a proper risk assessment is not possible until the actual date of the primary clearing member’s default.</w:t>
      </w:r>
    </w:p>
    <w:p w:rsidR="005779E1" w:rsidRDefault="005779E1" w:rsidP="005779E1">
      <w:pPr>
        <w:pStyle w:val="Bullet1"/>
        <w:numPr>
          <w:ilvl w:val="0"/>
          <w:numId w:val="50"/>
        </w:numPr>
        <w:tabs>
          <w:tab w:val="clear" w:pos="1440"/>
          <w:tab w:val="left" w:pos="0"/>
          <w:tab w:val="num" w:pos="360"/>
        </w:tabs>
        <w:spacing w:before="0" w:after="0"/>
        <w:ind w:left="360" w:hanging="360"/>
        <w:rPr>
          <w:sz w:val="22"/>
          <w:szCs w:val="22"/>
        </w:rPr>
      </w:pPr>
      <w:r>
        <w:rPr>
          <w:sz w:val="22"/>
          <w:szCs w:val="22"/>
        </w:rPr>
        <w:t>There are also significant operational hurdles to guaranteed portability, including:</w:t>
      </w:r>
    </w:p>
    <w:p w:rsidR="005779E1" w:rsidRPr="00376BA8" w:rsidRDefault="005779E1" w:rsidP="005779E1">
      <w:pPr>
        <w:pStyle w:val="Bullet1"/>
        <w:numPr>
          <w:ilvl w:val="0"/>
          <w:numId w:val="50"/>
        </w:numPr>
        <w:tabs>
          <w:tab w:val="clear" w:pos="1440"/>
          <w:tab w:val="left" w:pos="0"/>
          <w:tab w:val="num" w:pos="810"/>
        </w:tabs>
        <w:spacing w:before="0" w:after="0"/>
        <w:ind w:left="810" w:hanging="360"/>
        <w:rPr>
          <w:sz w:val="22"/>
          <w:szCs w:val="22"/>
        </w:rPr>
      </w:pPr>
      <w:r>
        <w:rPr>
          <w:sz w:val="22"/>
          <w:szCs w:val="22"/>
        </w:rPr>
        <w:lastRenderedPageBreak/>
        <w:t>Back-up</w:t>
      </w:r>
      <w:r w:rsidRPr="00376BA8">
        <w:rPr>
          <w:sz w:val="22"/>
          <w:szCs w:val="22"/>
        </w:rPr>
        <w:t xml:space="preserve"> clearing member</w:t>
      </w:r>
      <w:r>
        <w:rPr>
          <w:sz w:val="22"/>
          <w:szCs w:val="22"/>
        </w:rPr>
        <w:t xml:space="preserve">s could only </w:t>
      </w:r>
      <w:r w:rsidRPr="00376BA8">
        <w:rPr>
          <w:sz w:val="22"/>
          <w:szCs w:val="22"/>
        </w:rPr>
        <w:t xml:space="preserve">accept ported positions if </w:t>
      </w:r>
      <w:r>
        <w:rPr>
          <w:sz w:val="22"/>
          <w:szCs w:val="22"/>
        </w:rPr>
        <w:t>they</w:t>
      </w:r>
      <w:r w:rsidRPr="00376BA8">
        <w:rPr>
          <w:sz w:val="22"/>
          <w:szCs w:val="22"/>
        </w:rPr>
        <w:t xml:space="preserve"> ha</w:t>
      </w:r>
      <w:r>
        <w:rPr>
          <w:sz w:val="22"/>
          <w:szCs w:val="22"/>
        </w:rPr>
        <w:t>ve</w:t>
      </w:r>
      <w:r w:rsidRPr="00376BA8">
        <w:rPr>
          <w:sz w:val="22"/>
          <w:szCs w:val="22"/>
        </w:rPr>
        <w:t xml:space="preserve"> sufficient clarity on the scope, size and </w:t>
      </w:r>
      <w:r>
        <w:rPr>
          <w:sz w:val="22"/>
          <w:szCs w:val="22"/>
        </w:rPr>
        <w:t xml:space="preserve">risk levels in the portfolio, as well as the </w:t>
      </w:r>
      <w:r w:rsidRPr="00376BA8">
        <w:rPr>
          <w:sz w:val="22"/>
          <w:szCs w:val="22"/>
        </w:rPr>
        <w:t xml:space="preserve">available collateral </w:t>
      </w:r>
      <w:r>
        <w:rPr>
          <w:sz w:val="22"/>
          <w:szCs w:val="22"/>
        </w:rPr>
        <w:t>associated with</w:t>
      </w:r>
      <w:r w:rsidRPr="00376BA8">
        <w:rPr>
          <w:sz w:val="22"/>
          <w:szCs w:val="22"/>
        </w:rPr>
        <w:t xml:space="preserve"> the portfolio</w:t>
      </w:r>
      <w:r>
        <w:rPr>
          <w:sz w:val="22"/>
          <w:szCs w:val="22"/>
        </w:rPr>
        <w:t>,</w:t>
      </w:r>
      <w:r w:rsidRPr="00376BA8">
        <w:rPr>
          <w:sz w:val="22"/>
          <w:szCs w:val="22"/>
        </w:rPr>
        <w:t xml:space="preserve"> </w:t>
      </w:r>
      <w:r>
        <w:rPr>
          <w:sz w:val="22"/>
          <w:szCs w:val="22"/>
        </w:rPr>
        <w:t>prior to</w:t>
      </w:r>
      <w:r w:rsidRPr="00376BA8">
        <w:rPr>
          <w:sz w:val="22"/>
          <w:szCs w:val="22"/>
        </w:rPr>
        <w:t xml:space="preserve"> the time of porting. </w:t>
      </w:r>
    </w:p>
    <w:p w:rsidR="00A8728B" w:rsidRPr="005779E1" w:rsidRDefault="005779E1" w:rsidP="005779E1">
      <w:pPr>
        <w:pStyle w:val="Bullet1"/>
        <w:numPr>
          <w:ilvl w:val="0"/>
          <w:numId w:val="50"/>
        </w:numPr>
        <w:tabs>
          <w:tab w:val="clear" w:pos="1440"/>
          <w:tab w:val="left" w:pos="0"/>
          <w:tab w:val="num" w:pos="810"/>
        </w:tabs>
        <w:spacing w:before="0" w:after="0"/>
        <w:ind w:left="810" w:hanging="360"/>
        <w:rPr>
          <w:sz w:val="22"/>
          <w:szCs w:val="22"/>
        </w:rPr>
      </w:pPr>
      <w:r w:rsidRPr="00AC00A8">
        <w:rPr>
          <w:sz w:val="22"/>
          <w:szCs w:val="22"/>
        </w:rPr>
        <w:t xml:space="preserve">Back-up clearing members would need to be fully informed about both a client’s positions </w:t>
      </w:r>
      <w:r>
        <w:rPr>
          <w:sz w:val="22"/>
          <w:szCs w:val="22"/>
        </w:rPr>
        <w:t>and</w:t>
      </w:r>
      <w:r w:rsidRPr="00AC00A8">
        <w:rPr>
          <w:sz w:val="22"/>
          <w:szCs w:val="22"/>
        </w:rPr>
        <w:t xml:space="preserve"> the collateral posted at such client’s primary clearing member from the point in time that the guarantee would become valid.</w:t>
      </w:r>
    </w:p>
    <w:permEnd w:id="2116624525"/>
    <w:p w:rsidR="00A8728B" w:rsidRDefault="00A8728B" w:rsidP="00A8728B">
      <w:r>
        <w:t>&lt;ESMA_QUESTION_</w:t>
      </w:r>
      <w:r w:rsidR="002A38B9">
        <w:t>RTS_153_26</w:t>
      </w:r>
      <w:r>
        <w:t>_7&gt;</w:t>
      </w:r>
    </w:p>
    <w:p w:rsidR="00A8728B" w:rsidRPr="00C24BCA" w:rsidRDefault="002A38B9" w:rsidP="002A38B9">
      <w:pPr>
        <w:pStyle w:val="CPQuestions"/>
      </w:pPr>
      <w:r w:rsidRPr="002A38B9">
        <w:t xml:space="preserve">Is there any other aspect or concern that ESMA should consider when reviewing Article 26 with respect to client accounts? </w:t>
      </w:r>
      <w:r>
        <w:t xml:space="preserve"> </w:t>
      </w:r>
    </w:p>
    <w:p w:rsidR="00A8728B" w:rsidRDefault="00A8728B" w:rsidP="00A8728B">
      <w:r>
        <w:t>&lt;ESMA_QUESTION_</w:t>
      </w:r>
      <w:r w:rsidR="002A38B9">
        <w:t>RTS_153_26</w:t>
      </w:r>
      <w:r>
        <w:t>_8&gt;</w:t>
      </w:r>
    </w:p>
    <w:p w:rsidR="005779E1" w:rsidRDefault="005779E1" w:rsidP="005779E1">
      <w:pPr>
        <w:jc w:val="both"/>
        <w:rPr>
          <w:rFonts w:ascii="Times New Roman" w:hAnsi="Times New Roman"/>
          <w:sz w:val="22"/>
          <w:szCs w:val="22"/>
        </w:rPr>
      </w:pPr>
      <w:permStart w:id="492717958" w:edGrp="everyone"/>
      <w:r>
        <w:rPr>
          <w:rFonts w:ascii="Times New Roman" w:hAnsi="Times New Roman"/>
          <w:sz w:val="22"/>
          <w:szCs w:val="22"/>
        </w:rPr>
        <w:t xml:space="preserve"> </w:t>
      </w:r>
      <w:r w:rsidRPr="005779E1">
        <w:rPr>
          <w:rFonts w:ascii="Times New Roman" w:hAnsi="Times New Roman"/>
          <w:sz w:val="22"/>
          <w:szCs w:val="22"/>
        </w:rPr>
        <w:t>We think there are a number of additional issues that should be considered when reviewing margin met</w:t>
      </w:r>
      <w:r w:rsidRPr="005779E1">
        <w:rPr>
          <w:rFonts w:ascii="Times New Roman" w:hAnsi="Times New Roman"/>
          <w:sz w:val="22"/>
          <w:szCs w:val="22"/>
        </w:rPr>
        <w:t>h</w:t>
      </w:r>
      <w:r w:rsidRPr="005779E1">
        <w:rPr>
          <w:rFonts w:ascii="Times New Roman" w:hAnsi="Times New Roman"/>
          <w:sz w:val="22"/>
          <w:szCs w:val="22"/>
        </w:rPr>
        <w:t>odology (including, for example, the relationship between margin methodology and the sizing of the default fund) and we expect to submit further comments on these matters in connection with the CPMI-IOSCO process.</w:t>
      </w:r>
    </w:p>
    <w:p w:rsidR="00A8728B" w:rsidRDefault="005779E1" w:rsidP="00A8728B">
      <w:r>
        <w:rPr>
          <w:rFonts w:ascii="Times New Roman" w:hAnsi="Times New Roman"/>
          <w:sz w:val="22"/>
          <w:szCs w:val="22"/>
        </w:rPr>
        <w:t xml:space="preserve"> </w:t>
      </w:r>
      <w:permEnd w:id="492717958"/>
      <w:r w:rsidR="00A8728B">
        <w:t>&lt;ESMA_QUESTION_</w:t>
      </w:r>
      <w:r w:rsidR="002A38B9">
        <w:t>RTS_153_26</w:t>
      </w:r>
      <w:r w:rsidR="00A8728B">
        <w:t>_8&gt;</w:t>
      </w:r>
    </w:p>
    <w:sectPr w:rsidR="00A8728B" w:rsidSect="00A8728B">
      <w:headerReference w:type="even" r:id="rId15"/>
      <w:headerReference w:type="first" r:id="rId16"/>
      <w:footerReference w:type="first" r:id="rId17"/>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377" w:rsidRDefault="00232377">
      <w:r>
        <w:separator/>
      </w:r>
    </w:p>
    <w:p w:rsidR="00232377" w:rsidRDefault="00232377"/>
  </w:endnote>
  <w:endnote w:type="continuationSeparator" w:id="0">
    <w:p w:rsidR="00232377" w:rsidRDefault="00232377">
      <w:r>
        <w:continuationSeparator/>
      </w:r>
    </w:p>
    <w:p w:rsidR="00232377" w:rsidRDefault="00232377"/>
  </w:endnote>
  <w:endnote w:type="continuationNotice" w:id="1">
    <w:p w:rsidR="00232377" w:rsidRDefault="002323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32377" w:rsidRPr="00616B9B" w:rsidTr="00315E96">
      <w:trPr>
        <w:trHeight w:val="284"/>
      </w:trPr>
      <w:tc>
        <w:tcPr>
          <w:tcW w:w="8460" w:type="dxa"/>
        </w:tcPr>
        <w:p w:rsidR="00232377" w:rsidRPr="00315E96" w:rsidRDefault="00232377" w:rsidP="00315E96">
          <w:pPr>
            <w:pStyle w:val="00Footer"/>
            <w:rPr>
              <w:lang w:val="fr-FR"/>
            </w:rPr>
          </w:pPr>
        </w:p>
      </w:tc>
      <w:tc>
        <w:tcPr>
          <w:tcW w:w="952" w:type="dxa"/>
        </w:tcPr>
        <w:p w:rsidR="00232377" w:rsidRPr="00616B9B" w:rsidRDefault="00232377"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Pr>
              <w:rFonts w:cs="Arial"/>
              <w:noProof/>
              <w:sz w:val="22"/>
              <w:szCs w:val="22"/>
            </w:rPr>
            <w:t>6</w:t>
          </w:r>
          <w:r w:rsidRPr="00616B9B">
            <w:rPr>
              <w:rFonts w:cs="Arial"/>
              <w:noProof/>
              <w:sz w:val="22"/>
              <w:szCs w:val="22"/>
            </w:rPr>
            <w:fldChar w:fldCharType="end"/>
          </w:r>
        </w:p>
      </w:tc>
    </w:tr>
  </w:tbl>
  <w:p w:rsidR="00232377" w:rsidRDefault="002323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77" w:rsidRDefault="002323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377" w:rsidRDefault="00232377">
      <w:r>
        <w:separator/>
      </w:r>
    </w:p>
    <w:p w:rsidR="00232377" w:rsidRDefault="00232377"/>
  </w:footnote>
  <w:footnote w:type="continuationSeparator" w:id="0">
    <w:p w:rsidR="00232377" w:rsidRDefault="00232377">
      <w:r>
        <w:continuationSeparator/>
      </w:r>
    </w:p>
    <w:p w:rsidR="00232377" w:rsidRDefault="00232377"/>
  </w:footnote>
  <w:footnote w:type="continuationNotice" w:id="1">
    <w:p w:rsidR="00232377" w:rsidRDefault="00232377"/>
  </w:footnote>
  <w:footnote w:id="2">
    <w:p w:rsidR="00232377" w:rsidRPr="002A488A" w:rsidRDefault="00232377" w:rsidP="00DF10DF">
      <w:pPr>
        <w:pStyle w:val="FootnoteText"/>
        <w:jc w:val="both"/>
        <w:rPr>
          <w:rFonts w:ascii="Times New Roman" w:hAnsi="Times New Roman"/>
          <w:szCs w:val="16"/>
          <w:lang w:val="en-US"/>
        </w:rPr>
      </w:pPr>
      <w:r w:rsidRPr="002A488A">
        <w:rPr>
          <w:rStyle w:val="FootnoteReference"/>
          <w:rFonts w:ascii="Times New Roman" w:hAnsi="Times New Roman"/>
          <w:szCs w:val="16"/>
        </w:rPr>
        <w:footnoteRef/>
      </w:r>
      <w:r w:rsidRPr="002A488A">
        <w:rPr>
          <w:rFonts w:ascii="Times New Roman" w:hAnsi="Times New Roman"/>
          <w:szCs w:val="16"/>
        </w:rPr>
        <w:t xml:space="preserve"> FIA Global, the alliance of FIA, FIA Europe and FIA Asia, is the primary global industry association for centrally cleared futures, options, and swaps. FIA Global’s membership also consists of clearing members, end users, the major global futures exchanges, clearinghouses, trading platforms, technology vendors, legal services firms, and consultancy firms that, together, make central clearing possible.  FIA Global’s </w:t>
      </w:r>
      <w:r w:rsidRPr="002A488A">
        <w:rPr>
          <w:rFonts w:ascii="Times New Roman" w:hAnsi="Times New Roman"/>
          <w:szCs w:val="16"/>
          <w:lang w:eastAsia="zh-CN"/>
        </w:rPr>
        <w:t xml:space="preserve">clearing member constituents </w:t>
      </w:r>
      <w:r w:rsidRPr="002A488A">
        <w:rPr>
          <w:rFonts w:ascii="Times New Roman" w:hAnsi="Times New Roman"/>
          <w:szCs w:val="16"/>
        </w:rPr>
        <w:t>manage their risk and their clients’ risks through clearing on CCPs worldwide.</w:t>
      </w:r>
    </w:p>
  </w:footnote>
  <w:footnote w:id="3">
    <w:p w:rsidR="00232377" w:rsidRPr="002A488A" w:rsidRDefault="00232377" w:rsidP="00DF10DF">
      <w:pPr>
        <w:pStyle w:val="FootnoteText"/>
        <w:jc w:val="both"/>
        <w:rPr>
          <w:rFonts w:ascii="Times New Roman" w:hAnsi="Times New Roman"/>
          <w:szCs w:val="16"/>
          <w:lang w:val="en-US"/>
        </w:rPr>
      </w:pPr>
      <w:r w:rsidRPr="002A488A">
        <w:rPr>
          <w:rStyle w:val="FootnoteReference"/>
          <w:rFonts w:ascii="Times New Roman" w:hAnsi="Times New Roman"/>
          <w:szCs w:val="16"/>
        </w:rPr>
        <w:footnoteRef/>
      </w:r>
      <w:r w:rsidRPr="002A488A">
        <w:rPr>
          <w:rFonts w:ascii="Times New Roman" w:hAnsi="Times New Roman"/>
          <w:szCs w:val="16"/>
        </w:rPr>
        <w:t xml:space="preserve"> ISDA’s </w:t>
      </w:r>
      <w:r w:rsidRPr="002A488A">
        <w:rPr>
          <w:rFonts w:ascii="Times New Roman" w:hAnsi="Times New Roman"/>
          <w:color w:val="000000"/>
          <w:szCs w:val="16"/>
        </w:rPr>
        <w:t>members comprise a broad range of derivatives market participants, including corporations, investment managers, government and supranational entities, insurance companies, energy and commodities firms, and international and regional banks. In addition to market partic</w:t>
      </w:r>
      <w:r w:rsidRPr="002A488A">
        <w:rPr>
          <w:rFonts w:ascii="Times New Roman" w:hAnsi="Times New Roman"/>
          <w:color w:val="000000"/>
          <w:szCs w:val="16"/>
        </w:rPr>
        <w:t>i</w:t>
      </w:r>
      <w:r w:rsidRPr="002A488A">
        <w:rPr>
          <w:rFonts w:ascii="Times New Roman" w:hAnsi="Times New Roman"/>
          <w:color w:val="000000"/>
          <w:szCs w:val="16"/>
        </w:rPr>
        <w:t>pants, members also include key components of the derivatives market infrastructure, such as exchanges, intermediaries, clearing houses and repositories, as well as law firms, accounting firms and other service providers.</w:t>
      </w:r>
    </w:p>
  </w:footnote>
  <w:footnote w:id="4">
    <w:p w:rsidR="00232377" w:rsidRPr="002A488A" w:rsidRDefault="00232377" w:rsidP="00DF10DF">
      <w:pPr>
        <w:jc w:val="both"/>
        <w:rPr>
          <w:rFonts w:ascii="Times New Roman" w:hAnsi="Times New Roman"/>
          <w:iCs/>
          <w:color w:val="44546A"/>
          <w:sz w:val="16"/>
          <w:szCs w:val="16"/>
        </w:rPr>
      </w:pPr>
      <w:r w:rsidRPr="002A488A">
        <w:rPr>
          <w:rStyle w:val="FootnoteReference"/>
          <w:rFonts w:ascii="Times New Roman" w:hAnsi="Times New Roman"/>
          <w:sz w:val="16"/>
          <w:szCs w:val="16"/>
        </w:rPr>
        <w:footnoteRef/>
      </w:r>
      <w:r w:rsidRPr="002A488A">
        <w:rPr>
          <w:rFonts w:ascii="Times New Roman" w:hAnsi="Times New Roman"/>
          <w:sz w:val="16"/>
          <w:szCs w:val="16"/>
        </w:rPr>
        <w:t xml:space="preserve"> </w:t>
      </w:r>
      <w:r w:rsidRPr="002A488A">
        <w:rPr>
          <w:rFonts w:ascii="Times New Roman" w:hAnsi="Times New Roman"/>
          <w:iCs/>
          <w:sz w:val="16"/>
          <w:szCs w:val="16"/>
          <w:shd w:val="clear" w:color="auto" w:fill="FFFFFF"/>
        </w:rPr>
        <w:t>The Investment Association repre</w:t>
      </w:r>
      <w:r>
        <w:rPr>
          <w:rFonts w:ascii="Times New Roman" w:hAnsi="Times New Roman"/>
          <w:iCs/>
          <w:sz w:val="16"/>
          <w:szCs w:val="16"/>
          <w:shd w:val="clear" w:color="auto" w:fill="FFFFFF"/>
        </w:rPr>
        <w:t>sents UK investment managers. IA</w:t>
      </w:r>
      <w:r w:rsidRPr="002A488A">
        <w:rPr>
          <w:rFonts w:ascii="Times New Roman" w:hAnsi="Times New Roman"/>
          <w:iCs/>
          <w:sz w:val="16"/>
          <w:szCs w:val="16"/>
          <w:shd w:val="clear" w:color="auto" w:fill="FFFFFF"/>
        </w:rPr>
        <w:t xml:space="preserve"> ha</w:t>
      </w:r>
      <w:r>
        <w:rPr>
          <w:rFonts w:ascii="Times New Roman" w:hAnsi="Times New Roman"/>
          <w:iCs/>
          <w:sz w:val="16"/>
          <w:szCs w:val="16"/>
          <w:shd w:val="clear" w:color="auto" w:fill="FFFFFF"/>
        </w:rPr>
        <w:t>s</w:t>
      </w:r>
      <w:r w:rsidRPr="002A488A">
        <w:rPr>
          <w:rFonts w:ascii="Times New Roman" w:hAnsi="Times New Roman"/>
          <w:iCs/>
          <w:sz w:val="16"/>
          <w:szCs w:val="16"/>
          <w:shd w:val="clear" w:color="auto" w:fill="FFFFFF"/>
        </w:rPr>
        <w:t xml:space="preserve"> over 200 members who manage more than £5.5 trillion for clients around the world, helping them to achieve their financial goals. </w:t>
      </w:r>
      <w:r>
        <w:rPr>
          <w:rFonts w:ascii="Times New Roman" w:hAnsi="Times New Roman"/>
          <w:iCs/>
          <w:sz w:val="16"/>
          <w:szCs w:val="16"/>
          <w:shd w:val="clear" w:color="auto" w:fill="FFFFFF"/>
        </w:rPr>
        <w:t>IA’s</w:t>
      </w:r>
      <w:r w:rsidRPr="002A488A">
        <w:rPr>
          <w:rFonts w:ascii="Times New Roman" w:hAnsi="Times New Roman"/>
          <w:iCs/>
          <w:sz w:val="16"/>
          <w:szCs w:val="16"/>
          <w:shd w:val="clear" w:color="auto" w:fill="FFFFFF"/>
        </w:rPr>
        <w:t xml:space="preserve"> aim is to make investment better for clients, companies and the economy so that everyone prospers.</w:t>
      </w:r>
    </w:p>
  </w:footnote>
  <w:footnote w:id="5">
    <w:p w:rsidR="00232377" w:rsidRPr="006F29DC" w:rsidRDefault="00232377" w:rsidP="00DF10DF">
      <w:pPr>
        <w:pStyle w:val="Default"/>
        <w:jc w:val="both"/>
        <w:rPr>
          <w:rFonts w:ascii="Times New Roman" w:hAnsi="Times New Roman" w:cs="Times New Roman"/>
          <w:lang w:val="en-US"/>
        </w:rPr>
      </w:pPr>
      <w:r w:rsidRPr="00A862B5">
        <w:rPr>
          <w:rStyle w:val="FootnoteReference"/>
          <w:rFonts w:ascii="Times New Roman" w:hAnsi="Times New Roman" w:cs="Times New Roman"/>
          <w:sz w:val="16"/>
          <w:szCs w:val="16"/>
        </w:rPr>
        <w:footnoteRef/>
      </w:r>
      <w:r w:rsidRPr="00A862B5">
        <w:rPr>
          <w:rFonts w:ascii="Times New Roman" w:hAnsi="Times New Roman" w:cs="Times New Roman"/>
          <w:sz w:val="16"/>
          <w:szCs w:val="16"/>
        </w:rPr>
        <w:t xml:space="preserve"> </w:t>
      </w:r>
      <w:r w:rsidRPr="00A862B5">
        <w:rPr>
          <w:rFonts w:ascii="Times New Roman" w:hAnsi="Times New Roman" w:cs="Times New Roman"/>
          <w:i/>
          <w:iCs/>
          <w:sz w:val="16"/>
          <w:szCs w:val="16"/>
          <w:lang w:val="en-US"/>
        </w:rPr>
        <w:t>Principles</w:t>
      </w:r>
      <w:r w:rsidRPr="006F29DC">
        <w:rPr>
          <w:rFonts w:ascii="Times New Roman" w:hAnsi="Times New Roman"/>
          <w:i/>
          <w:iCs/>
          <w:sz w:val="16"/>
          <w:szCs w:val="16"/>
          <w:lang w:val="en-US"/>
        </w:rPr>
        <w:t xml:space="preserve"> for financial market infrastructures </w:t>
      </w:r>
      <w:r w:rsidRPr="006F29DC">
        <w:rPr>
          <w:rFonts w:ascii="Times New Roman" w:hAnsi="Times New Roman"/>
          <w:sz w:val="16"/>
          <w:szCs w:val="16"/>
          <w:lang w:val="en-US"/>
        </w:rPr>
        <w:t>(April 2012) compiled by the Committee on Payment and Settlement Systems and the Intern</w:t>
      </w:r>
      <w:r w:rsidRPr="006F29DC">
        <w:rPr>
          <w:rFonts w:ascii="Times New Roman" w:hAnsi="Times New Roman"/>
          <w:sz w:val="16"/>
          <w:szCs w:val="16"/>
          <w:lang w:val="en-US"/>
        </w:rPr>
        <w:t>a</w:t>
      </w:r>
      <w:r w:rsidRPr="006F29DC">
        <w:rPr>
          <w:rFonts w:ascii="Times New Roman" w:hAnsi="Times New Roman"/>
          <w:sz w:val="16"/>
          <w:szCs w:val="16"/>
          <w:lang w:val="en-US"/>
        </w:rPr>
        <w:t>tional Organization of Securities Commissions.</w:t>
      </w:r>
      <w:r w:rsidRPr="006F29DC">
        <w:rPr>
          <w:rFonts w:ascii="Times New Roman" w:hAnsi="Times New Roman"/>
          <w:szCs w:val="16"/>
          <w:lang w:val="en-US"/>
        </w:rPr>
        <w:t xml:space="preserve"> </w:t>
      </w:r>
      <w:r w:rsidRPr="006F29DC">
        <w:rPr>
          <w:rFonts w:ascii="Times New Roman" w:hAnsi="Times New Roman"/>
          <w:lang w:val="en-US"/>
        </w:rPr>
        <w:t xml:space="preserve"> </w:t>
      </w:r>
    </w:p>
  </w:footnote>
  <w:footnote w:id="6">
    <w:p w:rsidR="00232377" w:rsidRPr="00444E3A" w:rsidRDefault="00232377" w:rsidP="005779E1">
      <w:pPr>
        <w:pStyle w:val="FootnoteText"/>
        <w:jc w:val="both"/>
        <w:rPr>
          <w:lang w:val="en-US"/>
        </w:rPr>
      </w:pPr>
      <w:r w:rsidRPr="00444E3A">
        <w:rPr>
          <w:rStyle w:val="FootnoteReference"/>
          <w:rFonts w:ascii="Times New Roman" w:hAnsi="Times New Roman"/>
          <w:szCs w:val="16"/>
        </w:rPr>
        <w:footnoteRef/>
      </w:r>
      <w:r w:rsidRPr="00444E3A">
        <w:rPr>
          <w:rFonts w:ascii="Times New Roman" w:hAnsi="Times New Roman"/>
          <w:szCs w:val="16"/>
        </w:rPr>
        <w:t xml:space="preserve"> Prior to considering guaranteed portability, ESMA is urged to provide clarity on leverage ratio implications and whether the positions of clients with which back-up clearing arrangements are in place are in scope of the exclusions described in </w:t>
      </w:r>
      <w:r>
        <w:rPr>
          <w:rFonts w:ascii="Times New Roman" w:hAnsi="Times New Roman"/>
          <w:szCs w:val="16"/>
        </w:rPr>
        <w:t xml:space="preserve">Articles 304 and 305 of </w:t>
      </w:r>
      <w:r w:rsidRPr="00444E3A">
        <w:rPr>
          <w:rFonts w:ascii="Times New Roman" w:hAnsi="Times New Roman"/>
          <w:szCs w:val="16"/>
        </w:rPr>
        <w:t>Regulation (EU) No 575/2013 (CRR) regarding the treatment in the own funds requirements for exposures to a CCP.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77" w:rsidRDefault="00232377">
    <w:pPr>
      <w:pStyle w:val="Header"/>
    </w:pPr>
    <w:r>
      <w:rPr>
        <w:noProof/>
        <w:lang w:val="en-US" w:eastAsia="en-US"/>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77" w:rsidRDefault="00232377" w:rsidP="00013CCE">
    <w:pPr>
      <w:pStyle w:val="Header"/>
      <w:jc w:val="right"/>
    </w:pPr>
    <w:r>
      <w:rPr>
        <w:noProof/>
        <w:lang w:val="en-US" w:eastAsia="en-US"/>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377" w:rsidRDefault="0023237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32377" w:rsidRPr="002F4496" w:rsidTr="000C06C9">
      <w:trPr>
        <w:trHeight w:val="284"/>
      </w:trPr>
      <w:tc>
        <w:tcPr>
          <w:tcW w:w="8460" w:type="dxa"/>
        </w:tcPr>
        <w:p w:rsidR="00232377" w:rsidRPr="000C3B6D" w:rsidRDefault="00232377" w:rsidP="000C06C9">
          <w:pPr>
            <w:pStyle w:val="00Footer"/>
            <w:rPr>
              <w:lang w:val="fr-FR"/>
            </w:rPr>
          </w:pPr>
        </w:p>
      </w:tc>
      <w:tc>
        <w:tcPr>
          <w:tcW w:w="952" w:type="dxa"/>
        </w:tcPr>
        <w:p w:rsidR="00232377" w:rsidRPr="00146B34" w:rsidRDefault="00232377" w:rsidP="000C06C9">
          <w:pPr>
            <w:pStyle w:val="00aPagenumber"/>
            <w:rPr>
              <w:lang w:val="fr-FR"/>
            </w:rPr>
          </w:pPr>
        </w:p>
      </w:tc>
    </w:tr>
  </w:tbl>
  <w:p w:rsidR="00232377" w:rsidRPr="00DB46C3" w:rsidRDefault="00232377">
    <w:pPr>
      <w:rPr>
        <w:lang w:val="fr-FR"/>
      </w:rPr>
    </w:pPr>
  </w:p>
  <w:p w:rsidR="00232377" w:rsidRPr="002F4496" w:rsidRDefault="00232377">
    <w:pPr>
      <w:pStyle w:val="Header"/>
      <w:rPr>
        <w:lang w:val="fr-FR"/>
      </w:rPr>
    </w:pPr>
  </w:p>
  <w:p w:rsidR="00232377" w:rsidRPr="002F4496" w:rsidRDefault="00232377" w:rsidP="000C06C9">
    <w:pPr>
      <w:pStyle w:val="Header"/>
      <w:tabs>
        <w:tab w:val="clear" w:pos="4536"/>
        <w:tab w:val="clear" w:pos="9072"/>
        <w:tab w:val="left" w:pos="8227"/>
      </w:tabs>
      <w:rPr>
        <w:lang w:val="fr-FR"/>
      </w:rPr>
    </w:pPr>
  </w:p>
  <w:p w:rsidR="00232377" w:rsidRPr="002F4496" w:rsidRDefault="00232377" w:rsidP="000C06C9">
    <w:pPr>
      <w:pStyle w:val="Header"/>
      <w:tabs>
        <w:tab w:val="clear" w:pos="4536"/>
        <w:tab w:val="clear" w:pos="9072"/>
        <w:tab w:val="left" w:pos="8227"/>
      </w:tabs>
      <w:rPr>
        <w:lang w:val="fr-FR"/>
      </w:rPr>
    </w:pPr>
  </w:p>
  <w:p w:rsidR="00232377" w:rsidRPr="002F4496" w:rsidRDefault="00232377">
    <w:pPr>
      <w:pStyle w:val="Header"/>
      <w:rPr>
        <w:lang w:val="fr-FR"/>
      </w:rPr>
    </w:pPr>
  </w:p>
  <w:p w:rsidR="00232377" w:rsidRPr="002F4496" w:rsidRDefault="00232377">
    <w:pPr>
      <w:pStyle w:val="Header"/>
      <w:rPr>
        <w:lang w:val="fr-FR"/>
      </w:rPr>
    </w:pPr>
  </w:p>
  <w:p w:rsidR="00232377" w:rsidRPr="002F4496" w:rsidRDefault="00232377">
    <w:pPr>
      <w:pStyle w:val="Header"/>
      <w:rPr>
        <w:lang w:val="fr-FR"/>
      </w:rPr>
    </w:pPr>
  </w:p>
  <w:p w:rsidR="00232377" w:rsidRPr="002F4496" w:rsidRDefault="00232377">
    <w:pPr>
      <w:pStyle w:val="Header"/>
      <w:rPr>
        <w:lang w:val="fr-FR"/>
      </w:rPr>
    </w:pPr>
  </w:p>
  <w:p w:rsidR="00232377" w:rsidRPr="002F4496" w:rsidRDefault="00232377">
    <w:pPr>
      <w:pStyle w:val="Header"/>
      <w:rPr>
        <w:highlight w:val="yellow"/>
        <w:lang w:val="fr-FR"/>
      </w:rPr>
    </w:pPr>
  </w:p>
  <w:p w:rsidR="00232377" w:rsidRDefault="00232377">
    <w:pPr>
      <w:pStyle w:val="Header"/>
    </w:pPr>
    <w:r>
      <w:rPr>
        <w:noProof/>
        <w:lang w:val="en-US" w:eastAsia="en-US"/>
      </w:rPr>
      <mc:AlternateContent>
        <mc:Choice Requires="wps">
          <w:drawing>
            <wp:anchor distT="0" distB="0" distL="114299" distR="114299" simplePos="0" relativeHeight="251660288" behindDoc="0" locked="0" layoutInCell="1" allowOverlap="1" wp14:anchorId="2E9D748B" wp14:editId="698CC512">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en-US" w:eastAsia="en-US"/>
      </w:rPr>
      <w:drawing>
        <wp:anchor distT="0" distB="0" distL="114300" distR="114300" simplePos="0" relativeHeight="251659264" behindDoc="0" locked="0" layoutInCell="1" allowOverlap="1" wp14:anchorId="587135CE" wp14:editId="0A29F9C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8">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nsid w:val="27C90C68"/>
    <w:multiLevelType w:val="hybridMultilevel"/>
    <w:tmpl w:val="1038A97E"/>
    <w:lvl w:ilvl="0" w:tplc="7A3231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4">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6">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7">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8">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9">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B8B54AE"/>
    <w:multiLevelType w:val="multilevel"/>
    <w:tmpl w:val="170A62CA"/>
    <w:name w:val="Bullet"/>
    <w:lvl w:ilvl="0">
      <w:start w:val="1"/>
      <w:numFmt w:val="bullet"/>
      <w:lvlText w:val="·"/>
      <w:lvlJc w:val="left"/>
      <w:pPr>
        <w:tabs>
          <w:tab w:val="num" w:pos="1440"/>
        </w:tabs>
        <w:ind w:left="1440" w:hanging="720"/>
      </w:pPr>
      <w:rPr>
        <w:rFonts w:ascii="Symbol" w:hAnsi="Symbol" w:hint="default"/>
        <w:b w:val="0"/>
        <w:i w:val="0"/>
        <w:caps w:val="0"/>
        <w:sz w:val="22"/>
        <w:szCs w:val="22"/>
        <w:u w:val="none"/>
      </w:rPr>
    </w:lvl>
    <w:lvl w:ilvl="1">
      <w:start w:val="1"/>
      <w:numFmt w:val="bullet"/>
      <w:lvlText w:val=""/>
      <w:lvlJc w:val="left"/>
      <w:pPr>
        <w:tabs>
          <w:tab w:val="num" w:pos="2160"/>
        </w:tabs>
        <w:ind w:left="2160" w:hanging="720"/>
      </w:pPr>
      <w:rPr>
        <w:rFonts w:ascii="Symbol" w:hAnsi="Symbol" w:hint="default"/>
        <w:b w:val="0"/>
        <w:i w:val="0"/>
        <w:caps w:val="0"/>
        <w:sz w:val="22"/>
        <w:szCs w:val="22"/>
        <w:u w:val="none"/>
      </w:rPr>
    </w:lvl>
    <w:lvl w:ilvl="2">
      <w:start w:val="1"/>
      <w:numFmt w:val="bullet"/>
      <w:lvlRestart w:val="0"/>
      <w:lvlText w:val=""/>
      <w:lvlJc w:val="left"/>
      <w:pPr>
        <w:tabs>
          <w:tab w:val="num" w:pos="2880"/>
        </w:tabs>
        <w:ind w:left="2880" w:hanging="720"/>
      </w:pPr>
      <w:rPr>
        <w:rFonts w:ascii="Symbol" w:hAnsi="Symbol" w:hint="default"/>
        <w:b w:val="0"/>
        <w:i w:val="0"/>
        <w:caps w:val="0"/>
        <w:color w:val="auto"/>
        <w:u w:val="none"/>
      </w:rPr>
    </w:lvl>
    <w:lvl w:ilvl="3">
      <w:start w:val="1"/>
      <w:numFmt w:val="bullet"/>
      <w:lvlText w:val=""/>
      <w:lvlJc w:val="left"/>
      <w:pPr>
        <w:tabs>
          <w:tab w:val="num" w:pos="3600"/>
        </w:tabs>
        <w:ind w:left="3600" w:hanging="720"/>
      </w:pPr>
      <w:rPr>
        <w:rFonts w:ascii="Symbol" w:hAnsi="Symbol" w:hint="default"/>
        <w:b w:val="0"/>
        <w:i w:val="0"/>
        <w:caps w:val="0"/>
        <w:u w:val="none"/>
      </w:rPr>
    </w:lvl>
    <w:lvl w:ilvl="4">
      <w:start w:val="1"/>
      <w:numFmt w:val="bullet"/>
      <w:lvlText w:val="·"/>
      <w:lvlJc w:val="left"/>
      <w:pPr>
        <w:tabs>
          <w:tab w:val="num" w:pos="4320"/>
        </w:tabs>
        <w:ind w:left="4320" w:hanging="720"/>
      </w:pPr>
      <w:rPr>
        <w:rFonts w:ascii="Symbol" w:hAnsi="Symbol" w:hint="default"/>
        <w:b w:val="0"/>
        <w:i w:val="0"/>
        <w:caps w:val="0"/>
        <w:u w:val="none"/>
      </w:rPr>
    </w:lvl>
    <w:lvl w:ilvl="5">
      <w:start w:val="1"/>
      <w:numFmt w:val="bullet"/>
      <w:lvlText w:val=""/>
      <w:lvlJc w:val="left"/>
      <w:pPr>
        <w:tabs>
          <w:tab w:val="num" w:pos="5040"/>
        </w:tabs>
        <w:ind w:left="5040" w:hanging="720"/>
      </w:pPr>
      <w:rPr>
        <w:rFonts w:ascii="Symbol" w:hAnsi="Symbol" w:hint="default"/>
        <w:b w:val="0"/>
        <w:i w:val="0"/>
        <w:caps w:val="0"/>
        <w:u w:val="none"/>
      </w:rPr>
    </w:lvl>
    <w:lvl w:ilvl="6">
      <w:start w:val="1"/>
      <w:numFmt w:val="bullet"/>
      <w:lvlRestart w:val="0"/>
      <w:lvlText w:val="·"/>
      <w:lvlJc w:val="left"/>
      <w:pPr>
        <w:tabs>
          <w:tab w:val="num" w:pos="5760"/>
        </w:tabs>
        <w:ind w:left="5760" w:hanging="720"/>
      </w:pPr>
      <w:rPr>
        <w:rFonts w:ascii="Symbol" w:hAnsi="Symbol" w:hint="default"/>
        <w:b w:val="0"/>
        <w:i w:val="0"/>
        <w:caps w:val="0"/>
        <w:u w:val="none"/>
      </w:rPr>
    </w:lvl>
    <w:lvl w:ilvl="7">
      <w:start w:val="1"/>
      <w:numFmt w:val="bullet"/>
      <w:lvlText w:val=""/>
      <w:lvlJc w:val="left"/>
      <w:pPr>
        <w:tabs>
          <w:tab w:val="num" w:pos="6480"/>
        </w:tabs>
        <w:ind w:left="6480" w:hanging="720"/>
      </w:pPr>
      <w:rPr>
        <w:rFonts w:ascii="Symbol" w:hAnsi="Symbol" w:hint="default"/>
        <w:b w:val="0"/>
        <w:i w:val="0"/>
        <w:caps w:val="0"/>
        <w:u w:val="none"/>
      </w:rPr>
    </w:lvl>
    <w:lvl w:ilvl="8">
      <w:start w:val="1"/>
      <w:numFmt w:val="bullet"/>
      <w:lvlRestart w:val="0"/>
      <w:lvlText w:val="·"/>
      <w:lvlJc w:val="left"/>
      <w:pPr>
        <w:tabs>
          <w:tab w:val="num" w:pos="7200"/>
        </w:tabs>
        <w:ind w:left="7200" w:hanging="720"/>
      </w:pPr>
      <w:rPr>
        <w:rFonts w:ascii="Symbol" w:hAnsi="Symbol" w:hint="default"/>
        <w:b w:val="0"/>
        <w:i w:val="0"/>
        <w:caps w:val="0"/>
        <w:u w:val="none"/>
      </w:rPr>
    </w:lvl>
  </w:abstractNum>
  <w:abstractNum w:abstractNumId="22">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3">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4">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6">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8">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9">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1">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3">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4">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5">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8">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6"/>
  </w:num>
  <w:num w:numId="2">
    <w:abstractNumId w:val="18"/>
  </w:num>
  <w:num w:numId="3">
    <w:abstractNumId w:val="12"/>
  </w:num>
  <w:num w:numId="4">
    <w:abstractNumId w:val="24"/>
  </w:num>
  <w:num w:numId="5">
    <w:abstractNumId w:val="26"/>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num>
  <w:num w:numId="13">
    <w:abstractNumId w:val="31"/>
  </w:num>
  <w:num w:numId="14">
    <w:abstractNumId w:val="23"/>
  </w:num>
  <w:num w:numId="15">
    <w:abstractNumId w:val="11"/>
  </w:num>
  <w:num w:numId="16">
    <w:abstractNumId w:val="1"/>
  </w:num>
  <w:num w:numId="17">
    <w:abstractNumId w:val="14"/>
  </w:num>
  <w:num w:numId="18">
    <w:abstractNumId w:val="15"/>
  </w:num>
  <w:num w:numId="19">
    <w:abstractNumId w:val="17"/>
  </w:num>
  <w:num w:numId="20">
    <w:abstractNumId w:val="27"/>
  </w:num>
  <w:num w:numId="21">
    <w:abstractNumId w:val="36"/>
  </w:num>
  <w:num w:numId="22">
    <w:abstractNumId w:val="25"/>
  </w:num>
  <w:num w:numId="23">
    <w:abstractNumId w:val="10"/>
  </w:num>
  <w:num w:numId="24">
    <w:abstractNumId w:val="30"/>
  </w:num>
  <w:num w:numId="25">
    <w:abstractNumId w:val="29"/>
  </w:num>
  <w:num w:numId="26">
    <w:abstractNumId w:val="19"/>
  </w:num>
  <w:num w:numId="27">
    <w:abstractNumId w:val="33"/>
  </w:num>
  <w:num w:numId="28">
    <w:abstractNumId w:val="38"/>
  </w:num>
  <w:num w:numId="29">
    <w:abstractNumId w:val="7"/>
  </w:num>
  <w:num w:numId="30">
    <w:abstractNumId w:val="3"/>
  </w:num>
  <w:num w:numId="31">
    <w:abstractNumId w:val="22"/>
  </w:num>
  <w:num w:numId="32">
    <w:abstractNumId w:val="2"/>
  </w:num>
  <w:num w:numId="33">
    <w:abstractNumId w:val="6"/>
  </w:num>
  <w:num w:numId="34">
    <w:abstractNumId w:val="20"/>
  </w:num>
  <w:num w:numId="35">
    <w:abstractNumId w:val="35"/>
  </w:num>
  <w:num w:numId="36">
    <w:abstractNumId w:val="35"/>
    <w:lvlOverride w:ilvl="0">
      <w:startOverride w:val="1"/>
    </w:lvlOverride>
  </w:num>
  <w:num w:numId="37">
    <w:abstractNumId w:val="35"/>
    <w:lvlOverride w:ilvl="0">
      <w:startOverride w:val="1"/>
    </w:lvlOverride>
  </w:num>
  <w:num w:numId="38">
    <w:abstractNumId w:val="35"/>
    <w:lvlOverride w:ilvl="0">
      <w:startOverride w:val="1"/>
    </w:lvlOverride>
  </w:num>
  <w:num w:numId="39">
    <w:abstractNumId w:val="35"/>
    <w:lvlOverride w:ilvl="0">
      <w:startOverride w:val="1"/>
    </w:lvlOverride>
  </w:num>
  <w:num w:numId="40">
    <w:abstractNumId w:val="35"/>
    <w:lvlOverride w:ilvl="0">
      <w:startOverride w:val="1"/>
    </w:lvlOverride>
  </w:num>
  <w:num w:numId="41">
    <w:abstractNumId w:val="35"/>
  </w:num>
  <w:num w:numId="42">
    <w:abstractNumId w:val="35"/>
    <w:lvlOverride w:ilvl="0">
      <w:startOverride w:val="1"/>
    </w:lvlOverride>
  </w:num>
  <w:num w:numId="43">
    <w:abstractNumId w:val="35"/>
    <w:lvlOverride w:ilvl="0">
      <w:startOverride w:val="1"/>
    </w:lvlOverride>
  </w:num>
  <w:num w:numId="44">
    <w:abstractNumId w:val="35"/>
    <w:lvlOverride w:ilvl="0">
      <w:startOverride w:val="1"/>
    </w:lvlOverride>
  </w:num>
  <w:num w:numId="45">
    <w:abstractNumId w:val="35"/>
    <w:lvlOverride w:ilvl="0">
      <w:startOverride w:val="1"/>
    </w:lvlOverride>
  </w:num>
  <w:num w:numId="46">
    <w:abstractNumId w:val="35"/>
    <w:lvlOverride w:ilvl="0">
      <w:startOverride w:val="1"/>
    </w:lvlOverride>
  </w:num>
  <w:num w:numId="47">
    <w:abstractNumId w:val="34"/>
  </w:num>
  <w:num w:numId="4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1"/>
    </w:lvlOverride>
  </w:num>
  <w:num w:numId="50">
    <w:abstractNumId w:val="21"/>
  </w:num>
  <w:num w:numId="51">
    <w:abstractNumId w:val="9"/>
  </w:num>
  <w:num w:numId="52">
    <w:abstractNumId w:val="30"/>
  </w:num>
  <w:num w:numId="53">
    <w:abstractNumId w:val="10"/>
  </w:num>
  <w:num w:numId="54">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YZ+c4YY9TRWLZATpFdI43x0bWWo=" w:salt="jws5g/9wGua90+Vx0Qv54g=="/>
  <w:defaultTabStop w:val="709"/>
  <w:autoHyphenation/>
  <w:hyphenationZone w:val="567"/>
  <w:characterSpacingControl w:val="doNotCompress"/>
  <w:hdrShapeDefaults>
    <o:shapedefaults v:ext="edit" spidmax="6145">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83A"/>
    <w:rsid w:val="00003AEB"/>
    <w:rsid w:val="00003E1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2350"/>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4660"/>
    <w:rsid w:val="000D705D"/>
    <w:rsid w:val="000D7EB9"/>
    <w:rsid w:val="000E016B"/>
    <w:rsid w:val="000E0223"/>
    <w:rsid w:val="000E0CF3"/>
    <w:rsid w:val="000E18A8"/>
    <w:rsid w:val="000E1AEC"/>
    <w:rsid w:val="000E3937"/>
    <w:rsid w:val="000E4926"/>
    <w:rsid w:val="000E4A37"/>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4DE"/>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377"/>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8B9"/>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4AF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779E1"/>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6AD"/>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D5DC7"/>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B76A3"/>
    <w:rsid w:val="008C0320"/>
    <w:rsid w:val="008C2A81"/>
    <w:rsid w:val="008C3863"/>
    <w:rsid w:val="008C4BDC"/>
    <w:rsid w:val="008C50FF"/>
    <w:rsid w:val="008C5435"/>
    <w:rsid w:val="008C6BD1"/>
    <w:rsid w:val="008C72C3"/>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240"/>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687"/>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1F8C"/>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478C"/>
    <w:rsid w:val="00DD61F5"/>
    <w:rsid w:val="00DE64A6"/>
    <w:rsid w:val="00DE66EB"/>
    <w:rsid w:val="00DE7035"/>
    <w:rsid w:val="00DF10DF"/>
    <w:rsid w:val="00DF12E3"/>
    <w:rsid w:val="00DF3F1D"/>
    <w:rsid w:val="00DF3F8B"/>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2D30"/>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ink w:val="Bullet1Char"/>
    <w:uiPriority w:val="1"/>
    <w:qFormat/>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ink w:val="Bullet2Char"/>
    <w:uiPriority w:val="1"/>
    <w:qFormat/>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ink w:val="Bullet4Char"/>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Bullet1Char">
    <w:name w:val="Bullet 1 Char"/>
    <w:link w:val="Bullet1"/>
    <w:uiPriority w:val="1"/>
    <w:rsid w:val="00DF10DF"/>
    <w:rPr>
      <w:sz w:val="24"/>
      <w:szCs w:val="24"/>
      <w:lang w:eastAsia="en-US"/>
    </w:rPr>
  </w:style>
  <w:style w:type="character" w:customStyle="1" w:styleId="Bullet4Char">
    <w:name w:val="Bullet 4 Char"/>
    <w:link w:val="Bullet4"/>
    <w:rsid w:val="000E016B"/>
    <w:rPr>
      <w:sz w:val="24"/>
      <w:szCs w:val="24"/>
      <w:lang w:eastAsia="en-US"/>
    </w:rPr>
  </w:style>
  <w:style w:type="character" w:customStyle="1" w:styleId="Bullet2Char">
    <w:name w:val="Bullet 2 Char"/>
    <w:link w:val="Bullet2"/>
    <w:uiPriority w:val="1"/>
    <w:rsid w:val="000E016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caption" w:semiHidden="1" w:unhideWhenUsed="1" w:qFormat="1"/>
    <w:lsdException w:name="footnote reference" w:uiPriority="99" w:qFormat="1"/>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F0769"/>
    <w:rPr>
      <w:rFonts w:ascii="Arial" w:hAnsi="Arial"/>
      <w:szCs w:val="24"/>
      <w:lang w:eastAsia="de-DE"/>
    </w:rPr>
  </w:style>
  <w:style w:type="paragraph" w:styleId="Heading1">
    <w:name w:val="heading 1"/>
    <w:basedOn w:val="Normal"/>
    <w:next w:val="Normal"/>
    <w:link w:val="Heading1Char"/>
    <w:qFormat/>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3"/>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ink w:val="Bullet1Char"/>
    <w:uiPriority w:val="1"/>
    <w:qFormat/>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ink w:val="Bullet2Char"/>
    <w:uiPriority w:val="1"/>
    <w:qFormat/>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ink w:val="Bullet4Char"/>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rsid w:val="00D34282"/>
    <w:pPr>
      <w:keepLines/>
      <w:numPr>
        <w:numId w:val="47"/>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rsid w:val="00D34282"/>
    <w:pPr>
      <w:numPr>
        <w:ilvl w:val="2"/>
        <w:numId w:val="47"/>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rsid w:val="00D34282"/>
    <w:pPr>
      <w:numPr>
        <w:ilvl w:val="3"/>
        <w:numId w:val="47"/>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rsid w:val="00D34282"/>
    <w:pPr>
      <w:numPr>
        <w:ilvl w:val="4"/>
        <w:numId w:val="47"/>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rsid w:val="00D34282"/>
    <w:pPr>
      <w:numPr>
        <w:ilvl w:val="5"/>
        <w:numId w:val="47"/>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rsid w:val="00D34282"/>
    <w:pPr>
      <w:numPr>
        <w:ilvl w:val="6"/>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rsid w:val="00D34282"/>
    <w:pPr>
      <w:numPr>
        <w:ilvl w:val="7"/>
        <w:numId w:val="47"/>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rsid w:val="00D34282"/>
    <w:pPr>
      <w:numPr>
        <w:ilvl w:val="8"/>
        <w:numId w:val="47"/>
      </w:numPr>
      <w:spacing w:before="250" w:line="276" w:lineRule="auto"/>
      <w:jc w:val="both"/>
    </w:pPr>
    <w:rPr>
      <w:rFonts w:asciiTheme="minorHAnsi" w:eastAsiaTheme="minorEastAsia" w:hAnsiTheme="minorHAnsi" w:cstheme="minorBidi"/>
      <w:sz w:val="22"/>
      <w:szCs w:val="20"/>
      <w:lang w:eastAsia="en-US"/>
    </w:rPr>
  </w:style>
  <w:style w:type="character" w:customStyle="1" w:styleId="Bullet1Char">
    <w:name w:val="Bullet 1 Char"/>
    <w:link w:val="Bullet1"/>
    <w:uiPriority w:val="1"/>
    <w:rsid w:val="00DF10DF"/>
    <w:rPr>
      <w:sz w:val="24"/>
      <w:szCs w:val="24"/>
      <w:lang w:eastAsia="en-US"/>
    </w:rPr>
  </w:style>
  <w:style w:type="character" w:customStyle="1" w:styleId="Bullet4Char">
    <w:name w:val="Bullet 4 Char"/>
    <w:link w:val="Bullet4"/>
    <w:rsid w:val="000E016B"/>
    <w:rPr>
      <w:sz w:val="24"/>
      <w:szCs w:val="24"/>
      <w:lang w:eastAsia="en-US"/>
    </w:rPr>
  </w:style>
  <w:style w:type="character" w:customStyle="1" w:styleId="Bullet2Char">
    <w:name w:val="Bullet 2 Char"/>
    <w:link w:val="Bullet2"/>
    <w:uiPriority w:val="1"/>
    <w:rsid w:val="000E016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5BCC0-AEC9-4F10-80D8-5CDA11E73501}">
  <ds:schemaRefs>
    <ds:schemaRef ds:uri="http://schemas.openxmlformats.org/officeDocument/2006/bibliography"/>
  </ds:schemaRefs>
</ds:datastoreItem>
</file>

<file path=customXml/itemProps2.xml><?xml version="1.0" encoding="utf-8"?>
<ds:datastoreItem xmlns:ds="http://schemas.openxmlformats.org/officeDocument/2006/customXml" ds:itemID="{4264AAD7-7193-4534-A3CE-5C78F4547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4360</Words>
  <Characters>24855</Characters>
  <Application>Microsoft Office Word</Application>
  <DocSecurity>8</DocSecurity>
  <Lines>207</Lines>
  <Paragraphs>58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29157</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Ferraro, Melissa</cp:lastModifiedBy>
  <cp:revision>6</cp:revision>
  <cp:lastPrinted>2015-02-18T11:01:00Z</cp:lastPrinted>
  <dcterms:created xsi:type="dcterms:W3CDTF">2015-09-30T16:32:00Z</dcterms:created>
  <dcterms:modified xsi:type="dcterms:W3CDTF">2015-09-30T16:49:00Z</dcterms:modified>
</cp:coreProperties>
</file>