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32350" w:rsidP="000E4A37">
            <w:pPr>
              <w:pStyle w:val="00bDBInfo"/>
              <w:rPr>
                <w:rFonts w:cs="Arial"/>
              </w:rPr>
            </w:pPr>
            <w:r>
              <w:rPr>
                <w:rFonts w:cs="Arial"/>
              </w:rPr>
              <w:t>26</w:t>
            </w:r>
            <w:r w:rsidR="003A5DAC">
              <w:rPr>
                <w:rFonts w:cs="Arial"/>
              </w:rPr>
              <w:t xml:space="preserve"> </w:t>
            </w:r>
            <w:r w:rsidR="000E4A37">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31F8C" w:rsidP="00B31F8C">
            <w:pPr>
              <w:pStyle w:val="01aDBTitle"/>
              <w:rPr>
                <w:rFonts w:cs="Arial"/>
              </w:rPr>
            </w:pPr>
            <w:r w:rsidRPr="00B31F8C">
              <w:rPr>
                <w:rFonts w:cs="Arial"/>
              </w:rPr>
              <w:t>Discussion Paper on Review of Article 26 of RTS 153/2013</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032350">
            <w:pPr>
              <w:pStyle w:val="02Date"/>
              <w:rPr>
                <w:rFonts w:cs="Arial"/>
              </w:rPr>
            </w:pPr>
            <w:r w:rsidRPr="004E49B0">
              <w:rPr>
                <w:rFonts w:cs="Arial"/>
              </w:rPr>
              <w:lastRenderedPageBreak/>
              <w:t xml:space="preserve">Date: </w:t>
            </w:r>
            <w:r w:rsidR="00032350">
              <w:rPr>
                <w:rFonts w:cs="Arial"/>
              </w:rPr>
              <w:t>26</w:t>
            </w:r>
            <w:r w:rsidR="004E49B0" w:rsidRPr="004E49B0">
              <w:rPr>
                <w:rFonts w:cs="Arial"/>
              </w:rPr>
              <w:t xml:space="preserve"> </w:t>
            </w:r>
            <w:r w:rsidR="000E4A37">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B31F8C" w:rsidRPr="00B31F8C">
        <w:rPr>
          <w:rFonts w:cs="Arial"/>
        </w:rPr>
        <w:t>Discussion Paper on Review of Article 26 of RTS 153/2013</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0E4A37">
        <w:rPr>
          <w:rFonts w:cs="Arial"/>
        </w:rPr>
        <w:t>RTS_153_26</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0E4A37" w:rsidRPr="000E4A37">
        <w:rPr>
          <w:rFonts w:cs="Arial"/>
        </w:rPr>
        <w:t xml:space="preserve"> </w:t>
      </w:r>
      <w:r w:rsidR="000E4A37">
        <w:rPr>
          <w:rFonts w:cs="Arial"/>
        </w:rPr>
        <w:t>RTS_153_26</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0E4A37">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bookmarkStart w:id="1" w:name="_GoBack"/>
      <w:r w:rsidRPr="00EF0769">
        <w:rPr>
          <w:rFonts w:cs="Arial"/>
        </w:rPr>
        <w:t>ESMA_</w:t>
      </w:r>
      <w:r w:rsidR="000E4A37">
        <w:rPr>
          <w:rFonts w:cs="Arial"/>
        </w:rPr>
        <w:t>RTS_153_26</w:t>
      </w:r>
      <w:r w:rsidR="00332304">
        <w:rPr>
          <w:rFonts w:cs="Arial"/>
        </w:rPr>
        <w:t>_</w:t>
      </w:r>
      <w:r w:rsidR="000E4A37">
        <w:rPr>
          <w:rFonts w:cs="Arial"/>
        </w:rPr>
        <w:t>XXXX</w:t>
      </w:r>
      <w:r w:rsidRPr="00EF0769">
        <w:rPr>
          <w:rFonts w:cs="Arial"/>
        </w:rPr>
        <w:t xml:space="preserve">_REPLYFORM </w:t>
      </w:r>
      <w:bookmarkEnd w:id="1"/>
      <w:r w:rsidRPr="00EF0769">
        <w:rPr>
          <w:rFonts w:cs="Arial"/>
        </w:rPr>
        <w:t xml:space="preserve">or </w:t>
      </w:r>
    </w:p>
    <w:p w:rsidR="000D17AA" w:rsidRPr="00EF0769" w:rsidRDefault="00021E83" w:rsidP="000D17AA">
      <w:pPr>
        <w:pStyle w:val="04BodyText"/>
        <w:spacing w:before="120" w:after="120"/>
        <w:jc w:val="left"/>
        <w:rPr>
          <w:rFonts w:cs="Arial"/>
        </w:rPr>
      </w:pPr>
      <w:r w:rsidRPr="00EF0769">
        <w:rPr>
          <w:rFonts w:cs="Arial"/>
        </w:rPr>
        <w:t>ESMA_</w:t>
      </w:r>
      <w:r w:rsidR="000E4A37">
        <w:rPr>
          <w:rFonts w:cs="Arial"/>
        </w:rPr>
        <w:t>RTS_153_26_XXXX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5C46AD">
        <w:rPr>
          <w:rFonts w:cs="Arial"/>
          <w:b/>
        </w:rPr>
        <w:t xml:space="preserve">30 September </w:t>
      </w:r>
      <w:r w:rsidR="00021E83" w:rsidRPr="00EF0769">
        <w:rPr>
          <w:rFonts w:cs="Arial"/>
          <w:b/>
        </w:rPr>
        <w:t>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w:t>
      </w:r>
      <w:r w:rsidR="00032350">
        <w:rPr>
          <w:rFonts w:cs="Arial"/>
        </w:rPr>
        <w:t xml:space="preserve"> acc</w:t>
      </w:r>
      <w:r w:rsidRPr="00EF0769">
        <w:rPr>
          <w:rFonts w:cs="Arial"/>
        </w:rPr>
        <w:t>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Pr="00C25863">
        <w:t>_</w:t>
      </w:r>
      <w:r w:rsidR="00F62D30">
        <w:rPr>
          <w:rFonts w:cs="Arial"/>
        </w:rPr>
        <w:t>RTS_153_26</w:t>
      </w:r>
      <w:r w:rsidRPr="00C25863">
        <w:t>_1&gt;</w:t>
      </w:r>
    </w:p>
    <w:p w:rsidR="00D46124" w:rsidRPr="00D46124" w:rsidRDefault="00D46124" w:rsidP="00D46124">
      <w:pPr>
        <w:spacing w:after="200" w:line="276" w:lineRule="auto"/>
        <w:rPr>
          <w:rFonts w:asciiTheme="minorHAnsi" w:eastAsiaTheme="minorHAnsi" w:hAnsiTheme="minorHAnsi" w:cstheme="minorBidi"/>
          <w:sz w:val="22"/>
          <w:szCs w:val="22"/>
          <w:lang w:val="en-US" w:eastAsia="en-US"/>
        </w:rPr>
      </w:pPr>
      <w:permStart w:id="2124638294" w:edGrp="everyone"/>
      <w:r w:rsidRPr="00D46124">
        <w:rPr>
          <w:rFonts w:asciiTheme="minorHAnsi" w:eastAsiaTheme="minorHAnsi" w:hAnsiTheme="minorHAnsi" w:cstheme="minorBidi"/>
          <w:sz w:val="22"/>
          <w:szCs w:val="22"/>
          <w:lang w:val="en-US" w:eastAsia="en-US"/>
        </w:rPr>
        <w:t xml:space="preserve">Exelon Generation Company (“Exelon Generation” or “Exelon”) appreciates the opportunity to provide the European Securities and Markets Authority (“ESMA”) with comments in response to its August 26, 2015 discussion paper seeking feedback on the time horizon for liquidation periods for omnibus and individually segregated client accounts at central counterparties (“CCPs”) or clearinghouses (“Discussion Paper”).  Exelon provides these comments to address one critical issue – </w:t>
      </w:r>
      <w:r w:rsidRPr="00D46124">
        <w:rPr>
          <w:rFonts w:asciiTheme="minorHAnsi" w:eastAsiaTheme="minorHAnsi" w:hAnsiTheme="minorHAnsi" w:cstheme="minorBidi"/>
          <w:i/>
          <w:sz w:val="22"/>
          <w:szCs w:val="22"/>
          <w:lang w:val="en-US" w:eastAsia="en-US"/>
        </w:rPr>
        <w:t>the importance of bringing greater sophistication to the margin calculation methodologies contained within CCP risk models, and encouraging CCPs to utilize the most up to date methodologies that are determined to be based on sound risk management principles</w:t>
      </w:r>
      <w:r w:rsidRPr="00D46124">
        <w:rPr>
          <w:rFonts w:asciiTheme="minorHAnsi" w:eastAsiaTheme="minorHAnsi" w:hAnsiTheme="minorHAnsi" w:cstheme="minorBidi"/>
          <w:sz w:val="22"/>
          <w:szCs w:val="22"/>
          <w:lang w:val="en-US" w:eastAsia="en-US"/>
        </w:rPr>
        <w:t>.  Exelon submits that if this issue is properly addressed by regulators, and CCPs currently utilizing severely outdated risk systems are able to replace those systems with updated margin calculation methodologies, the question of time horizon for liquidation periods would become irrelevant.  These comments are responsive to Question 1 in the ESMA discussion paper:</w:t>
      </w:r>
    </w:p>
    <w:p w:rsidR="00D46124" w:rsidRPr="00D46124" w:rsidRDefault="00D46124" w:rsidP="00D46124">
      <w:pPr>
        <w:spacing w:after="200" w:line="276" w:lineRule="auto"/>
        <w:rPr>
          <w:rFonts w:asciiTheme="minorHAnsi" w:eastAsiaTheme="minorHAnsi" w:hAnsiTheme="minorHAnsi" w:cstheme="minorBidi"/>
          <w:i/>
          <w:sz w:val="22"/>
          <w:szCs w:val="22"/>
          <w:lang w:val="en-US" w:eastAsia="en-US"/>
        </w:rPr>
      </w:pPr>
      <w:r w:rsidRPr="00D46124">
        <w:rPr>
          <w:rFonts w:asciiTheme="minorHAnsi" w:eastAsiaTheme="minorHAnsi" w:hAnsiTheme="minorHAnsi" w:cstheme="minorBidi"/>
          <w:sz w:val="22"/>
          <w:szCs w:val="22"/>
          <w:lang w:val="en-US" w:eastAsia="en-US"/>
        </w:rPr>
        <w:tab/>
      </w:r>
      <w:r w:rsidRPr="00D46124">
        <w:rPr>
          <w:rFonts w:asciiTheme="minorHAnsi" w:eastAsiaTheme="minorHAnsi" w:hAnsiTheme="minorHAnsi" w:cstheme="minorBidi"/>
          <w:b/>
          <w:i/>
          <w:sz w:val="22"/>
          <w:szCs w:val="22"/>
          <w:lang w:val="en-US" w:eastAsia="en-US"/>
        </w:rPr>
        <w:t>Q1</w:t>
      </w:r>
      <w:r w:rsidRPr="00D46124">
        <w:rPr>
          <w:rFonts w:asciiTheme="minorHAnsi" w:eastAsiaTheme="minorHAnsi" w:hAnsiTheme="minorHAnsi" w:cstheme="minorBidi"/>
          <w:i/>
          <w:sz w:val="22"/>
          <w:szCs w:val="22"/>
          <w:lang w:val="en-US" w:eastAsia="en-US"/>
        </w:rPr>
        <w:t xml:space="preserve">: ESMA welcomes views on the assumption that client margins maintained at CCP level on </w:t>
      </w:r>
      <w:proofErr w:type="gramStart"/>
      <w:r w:rsidRPr="00D46124">
        <w:rPr>
          <w:rFonts w:asciiTheme="minorHAnsi" w:eastAsiaTheme="minorHAnsi" w:hAnsiTheme="minorHAnsi" w:cstheme="minorBidi"/>
          <w:i/>
          <w:sz w:val="22"/>
          <w:szCs w:val="22"/>
          <w:lang w:val="en-US" w:eastAsia="en-US"/>
        </w:rPr>
        <w:t>a</w:t>
      </w:r>
      <w:proofErr w:type="gramEnd"/>
      <w:r w:rsidRPr="00D46124">
        <w:rPr>
          <w:rFonts w:asciiTheme="minorHAnsi" w:eastAsiaTheme="minorHAnsi" w:hAnsiTheme="minorHAnsi" w:cstheme="minorBidi"/>
          <w:i/>
          <w:sz w:val="22"/>
          <w:szCs w:val="22"/>
          <w:lang w:val="en-US" w:eastAsia="en-US"/>
        </w:rPr>
        <w:t xml:space="preserve"> OSA gross margining with one-day liquidation period would generally be higher than margin held at the CCP under an OSA net with a two-day liquidation period. Please, provide quantitative analysis on the effect of the reduction of margin on the basis of 2 vs. 1 day MPOR and of the net (between clients’ pos</w:t>
      </w:r>
      <w:r w:rsidRPr="00D46124">
        <w:rPr>
          <w:rFonts w:asciiTheme="minorHAnsi" w:eastAsiaTheme="minorHAnsi" w:hAnsiTheme="minorHAnsi" w:cstheme="minorBidi"/>
          <w:i/>
          <w:sz w:val="22"/>
          <w:szCs w:val="22"/>
          <w:lang w:val="en-US" w:eastAsia="en-US"/>
        </w:rPr>
        <w:t>i</w:t>
      </w:r>
      <w:r w:rsidRPr="00D46124">
        <w:rPr>
          <w:rFonts w:asciiTheme="minorHAnsi" w:eastAsiaTheme="minorHAnsi" w:hAnsiTheme="minorHAnsi" w:cstheme="minorBidi"/>
          <w:i/>
          <w:sz w:val="22"/>
          <w:szCs w:val="22"/>
          <w:lang w:val="en-US" w:eastAsia="en-US"/>
        </w:rPr>
        <w:t>tions) margining vs gross margining. Please also consider the potential impact of the case in which a one-day OSA gross is considered equivalent to the EU system and the RTS are not changed and the impact for the whole system if the MPOR at CCP level is reduced.</w:t>
      </w:r>
    </w:p>
    <w:p w:rsidR="00D46124" w:rsidRPr="00D46124" w:rsidRDefault="00D46124" w:rsidP="00D46124">
      <w:pPr>
        <w:spacing w:after="200" w:line="276" w:lineRule="auto"/>
        <w:rPr>
          <w:rFonts w:asciiTheme="minorHAnsi" w:eastAsiaTheme="minorHAnsi" w:hAnsiTheme="minorHAnsi" w:cstheme="minorBidi"/>
          <w:sz w:val="22"/>
          <w:szCs w:val="22"/>
          <w:u w:val="single"/>
          <w:lang w:val="en-US" w:eastAsia="en-US"/>
        </w:rPr>
      </w:pPr>
      <w:r w:rsidRPr="00D46124">
        <w:rPr>
          <w:rFonts w:asciiTheme="minorHAnsi" w:eastAsiaTheme="minorHAnsi" w:hAnsiTheme="minorHAnsi" w:cstheme="minorBidi"/>
          <w:sz w:val="22"/>
          <w:szCs w:val="22"/>
          <w:lang w:val="en-US" w:eastAsia="en-US"/>
        </w:rPr>
        <w:tab/>
      </w:r>
      <w:r w:rsidRPr="00D46124">
        <w:rPr>
          <w:rFonts w:asciiTheme="minorHAnsi" w:eastAsiaTheme="minorHAnsi" w:hAnsiTheme="minorHAnsi" w:cstheme="minorBidi"/>
          <w:sz w:val="22"/>
          <w:szCs w:val="22"/>
          <w:u w:val="single"/>
          <w:lang w:val="en-US" w:eastAsia="en-US"/>
        </w:rPr>
        <w:t>Statement of Interest</w:t>
      </w:r>
    </w:p>
    <w:p w:rsidR="00D46124" w:rsidRPr="00D46124" w:rsidRDefault="00D46124" w:rsidP="00D46124">
      <w:pPr>
        <w:spacing w:after="200" w:line="276" w:lineRule="auto"/>
        <w:rPr>
          <w:rFonts w:asciiTheme="minorHAnsi" w:eastAsiaTheme="minorHAnsi" w:hAnsiTheme="minorHAnsi" w:cstheme="minorBidi"/>
          <w:sz w:val="22"/>
          <w:szCs w:val="22"/>
          <w:lang w:val="en-US" w:eastAsia="en-US"/>
        </w:rPr>
      </w:pPr>
      <w:r w:rsidRPr="00D46124">
        <w:rPr>
          <w:rFonts w:asciiTheme="minorHAnsi" w:eastAsiaTheme="minorHAnsi" w:hAnsiTheme="minorHAnsi" w:cstheme="minorBidi"/>
          <w:sz w:val="22"/>
          <w:szCs w:val="22"/>
          <w:lang w:val="en-US" w:eastAsia="en-US"/>
        </w:rPr>
        <w:t>Exelon Generation is one of the largest energy companies in the world with more than 30,000 meg</w:t>
      </w:r>
      <w:r w:rsidRPr="00D46124">
        <w:rPr>
          <w:rFonts w:asciiTheme="minorHAnsi" w:eastAsiaTheme="minorHAnsi" w:hAnsiTheme="minorHAnsi" w:cstheme="minorBidi"/>
          <w:sz w:val="22"/>
          <w:szCs w:val="22"/>
          <w:lang w:val="en-US" w:eastAsia="en-US"/>
        </w:rPr>
        <w:t>a</w:t>
      </w:r>
      <w:r w:rsidRPr="00D46124">
        <w:rPr>
          <w:rFonts w:asciiTheme="minorHAnsi" w:eastAsiaTheme="minorHAnsi" w:hAnsiTheme="minorHAnsi" w:cstheme="minorBidi"/>
          <w:sz w:val="22"/>
          <w:szCs w:val="22"/>
          <w:lang w:val="en-US" w:eastAsia="en-US"/>
        </w:rPr>
        <w:t>watts (“MW”) of owned generation capacity, comprising one of cleanest and lowest-cost power gener</w:t>
      </w:r>
      <w:r w:rsidRPr="00D46124">
        <w:rPr>
          <w:rFonts w:asciiTheme="minorHAnsi" w:eastAsiaTheme="minorHAnsi" w:hAnsiTheme="minorHAnsi" w:cstheme="minorBidi"/>
          <w:sz w:val="22"/>
          <w:szCs w:val="22"/>
          <w:lang w:val="en-US" w:eastAsia="en-US"/>
        </w:rPr>
        <w:t>a</w:t>
      </w:r>
      <w:r w:rsidRPr="00D46124">
        <w:rPr>
          <w:rFonts w:asciiTheme="minorHAnsi" w:eastAsiaTheme="minorHAnsi" w:hAnsiTheme="minorHAnsi" w:cstheme="minorBidi"/>
          <w:sz w:val="22"/>
          <w:szCs w:val="22"/>
          <w:lang w:val="en-US" w:eastAsia="en-US"/>
        </w:rPr>
        <w:t>tion fleets including nuclear, fossil, hydroelectric, solar, landfill gas, and wind generation assets.  Exelon is a quintessential end user of commodities and accesses centrally traded and cleared derivatives markets, including those located in Europe, for the purpose of hedging and managing risk associated with these business activities</w:t>
      </w:r>
      <w:r>
        <w:rPr>
          <w:rFonts w:asciiTheme="minorHAnsi" w:eastAsiaTheme="minorHAnsi" w:hAnsiTheme="minorHAnsi" w:cstheme="minorBidi"/>
          <w:sz w:val="22"/>
          <w:szCs w:val="22"/>
          <w:lang w:val="en-US" w:eastAsia="en-US"/>
        </w:rPr>
        <w:t>.</w:t>
      </w:r>
    </w:p>
    <w:permEnd w:id="2124638294"/>
    <w:p w:rsidR="00D34282" w:rsidRPr="00C25863" w:rsidRDefault="00D34282" w:rsidP="00D34282">
      <w:r w:rsidRPr="00C25863">
        <w:t>&lt;</w:t>
      </w:r>
      <w:r w:rsidRPr="00D74C9D">
        <w:t xml:space="preserve"> </w:t>
      </w:r>
      <w:r>
        <w:t>ESMA_COMMENT</w:t>
      </w:r>
      <w:r w:rsidRPr="00C25863">
        <w:t>_</w:t>
      </w:r>
      <w:r w:rsidR="00F62D30" w:rsidRPr="00F62D30">
        <w:rPr>
          <w:rFonts w:cs="Arial"/>
        </w:rPr>
        <w:t xml:space="preserve"> </w:t>
      </w:r>
      <w:r w:rsidR="00F62D30">
        <w:rPr>
          <w:rFonts w:cs="Arial"/>
        </w:rPr>
        <w:t>RTS_153_26</w:t>
      </w:r>
      <w:r w:rsidRPr="00C25863">
        <w:t>_1&gt;</w:t>
      </w:r>
    </w:p>
    <w:p w:rsidR="00DD478C" w:rsidRPr="00DD478C" w:rsidRDefault="00F32462" w:rsidP="00DD478C">
      <w:pPr>
        <w:pStyle w:val="CPQuestions"/>
      </w:pPr>
      <w:r>
        <w:rPr>
          <w:rFonts w:cs="Arial"/>
          <w:szCs w:val="22"/>
        </w:rPr>
        <w:br w:type="page"/>
      </w:r>
      <w:r w:rsidR="00DD478C" w:rsidRPr="00DD478C">
        <w:rPr>
          <w:rFonts w:cs="Arial"/>
          <w:szCs w:val="22"/>
        </w:rPr>
        <w:lastRenderedPageBreak/>
        <w:t>ESMA welcomes views on the assumption that client margins maintained at CCP level on a OSA gross margining with one-day liquidation period would generally be higher than margin held at the CCP under an OSA net with a two-day liquidation period. Please, provide quantitative analysis on the effect of the reduction of ma</w:t>
      </w:r>
      <w:r w:rsidR="00DD478C" w:rsidRPr="00DD478C">
        <w:rPr>
          <w:rFonts w:cs="Arial"/>
          <w:szCs w:val="22"/>
        </w:rPr>
        <w:t>r</w:t>
      </w:r>
      <w:r w:rsidR="00DD478C" w:rsidRPr="00DD478C">
        <w:rPr>
          <w:rFonts w:cs="Arial"/>
          <w:szCs w:val="22"/>
        </w:rPr>
        <w:t>gin on the basis of 2 vs. 1 day MPOR and of the net (between clients’ positions) margining vs gross margining. Please also consider the potential impact of the case in which a one-day OSA gross is considered equivalent to the EU system and the RTS are not changed and the impact for the whole system if the MPOR at CCP level is reduced.</w:t>
      </w:r>
    </w:p>
    <w:p w:rsidR="00A8728B" w:rsidRDefault="00A8728B" w:rsidP="00A8728B">
      <w:r>
        <w:t>&lt;ESMA_QUESTION_</w:t>
      </w:r>
      <w:r w:rsidR="002A38B9">
        <w:t>RTS_153_26</w:t>
      </w:r>
      <w:r>
        <w:t>_1&gt;</w:t>
      </w:r>
    </w:p>
    <w:p w:rsidR="00D46124" w:rsidRPr="00D46124" w:rsidRDefault="00D46124" w:rsidP="00D46124">
      <w:pPr>
        <w:spacing w:after="200" w:line="276" w:lineRule="auto"/>
        <w:rPr>
          <w:rFonts w:asciiTheme="minorHAnsi" w:eastAsiaTheme="minorHAnsi" w:hAnsiTheme="minorHAnsi" w:cstheme="minorBidi"/>
          <w:sz w:val="22"/>
          <w:szCs w:val="22"/>
          <w:u w:val="single"/>
          <w:lang w:val="en-US" w:eastAsia="en-US"/>
        </w:rPr>
      </w:pPr>
      <w:permStart w:id="695367108" w:edGrp="everyone"/>
      <w:r w:rsidRPr="00D46124">
        <w:rPr>
          <w:rFonts w:asciiTheme="minorHAnsi" w:eastAsiaTheme="minorHAnsi" w:hAnsiTheme="minorHAnsi" w:cstheme="minorBidi"/>
          <w:sz w:val="22"/>
          <w:szCs w:val="22"/>
          <w:u w:val="single"/>
          <w:lang w:val="en-US" w:eastAsia="en-US"/>
        </w:rPr>
        <w:t xml:space="preserve">Responsive Comments </w:t>
      </w:r>
    </w:p>
    <w:p w:rsidR="00D46124" w:rsidRPr="00D46124" w:rsidRDefault="00D46124" w:rsidP="00D46124">
      <w:pPr>
        <w:spacing w:after="200" w:line="276" w:lineRule="auto"/>
        <w:rPr>
          <w:rFonts w:asciiTheme="minorHAnsi" w:eastAsiaTheme="minorHAnsi" w:hAnsiTheme="minorHAnsi" w:cstheme="minorBidi"/>
          <w:sz w:val="22"/>
          <w:szCs w:val="22"/>
          <w:lang w:val="en-US" w:eastAsia="en-US"/>
        </w:rPr>
      </w:pPr>
      <w:r w:rsidRPr="00D46124">
        <w:rPr>
          <w:rFonts w:asciiTheme="minorHAnsi" w:eastAsiaTheme="minorHAnsi" w:hAnsiTheme="minorHAnsi" w:cstheme="minorBidi"/>
          <w:sz w:val="22"/>
          <w:szCs w:val="22"/>
          <w:lang w:val="en-US" w:eastAsia="en-US"/>
        </w:rPr>
        <w:t xml:space="preserve">In response to Q1, Exelon believes that ESMA should give CCPs the discretion to use a Margin Period </w:t>
      </w:r>
      <w:proofErr w:type="gramStart"/>
      <w:r w:rsidRPr="00D46124">
        <w:rPr>
          <w:rFonts w:asciiTheme="minorHAnsi" w:eastAsiaTheme="minorHAnsi" w:hAnsiTheme="minorHAnsi" w:cstheme="minorBidi"/>
          <w:sz w:val="22"/>
          <w:szCs w:val="22"/>
          <w:lang w:val="en-US" w:eastAsia="en-US"/>
        </w:rPr>
        <w:t>Of</w:t>
      </w:r>
      <w:proofErr w:type="gramEnd"/>
      <w:r w:rsidRPr="00D46124">
        <w:rPr>
          <w:rFonts w:asciiTheme="minorHAnsi" w:eastAsiaTheme="minorHAnsi" w:hAnsiTheme="minorHAnsi" w:cstheme="minorBidi"/>
          <w:sz w:val="22"/>
          <w:szCs w:val="22"/>
          <w:lang w:val="en-US" w:eastAsia="en-US"/>
        </w:rPr>
        <w:t xml:space="preserve"> Risk (MPOR) that is appropriate given the risk of the product and the underlying liquidity of the market. However, the flexibility of CCPs to use discretion in setting the MPOR for their marketplace is just one part of the question, because the MPOR ignores the specific margin methodology utilized by a CCP. The MPOR appears to be based on the assumption that a CCP still utilizes an outdated Standard Portfolio Analysis of Risk (SPAN) margining regime, a regime which has been, and should continue to be, replaced at CCPs by newer margin methodologies that more appropriately account for the risk created by an entity’s entire portfolio of positions.  Therefore, Exelon submits that regulators should promote CCP replacement of margin models that utilize outdated margin calculation methodologies such as SPAN, and encourage the implementation of updated risk models that include advanced margin calculation met</w:t>
      </w:r>
      <w:r w:rsidRPr="00D46124">
        <w:rPr>
          <w:rFonts w:asciiTheme="minorHAnsi" w:eastAsiaTheme="minorHAnsi" w:hAnsiTheme="minorHAnsi" w:cstheme="minorBidi"/>
          <w:sz w:val="22"/>
          <w:szCs w:val="22"/>
          <w:lang w:val="en-US" w:eastAsia="en-US"/>
        </w:rPr>
        <w:t>h</w:t>
      </w:r>
      <w:r w:rsidRPr="00D46124">
        <w:rPr>
          <w:rFonts w:asciiTheme="minorHAnsi" w:eastAsiaTheme="minorHAnsi" w:hAnsiTheme="minorHAnsi" w:cstheme="minorBidi"/>
          <w:sz w:val="22"/>
          <w:szCs w:val="22"/>
          <w:lang w:val="en-US" w:eastAsia="en-US"/>
        </w:rPr>
        <w:t xml:space="preserve">odologies determined to be sound under modern risk management principles.  </w:t>
      </w:r>
    </w:p>
    <w:p w:rsidR="00D46124" w:rsidRPr="00D46124" w:rsidRDefault="00D46124" w:rsidP="00D46124">
      <w:pPr>
        <w:spacing w:after="200" w:line="276" w:lineRule="auto"/>
        <w:rPr>
          <w:rFonts w:asciiTheme="minorHAnsi" w:eastAsiaTheme="minorHAnsi" w:hAnsiTheme="minorHAnsi" w:cstheme="minorBidi"/>
          <w:sz w:val="22"/>
          <w:szCs w:val="22"/>
          <w:lang w:val="en-US" w:eastAsia="en-US"/>
        </w:rPr>
      </w:pPr>
      <w:r w:rsidRPr="00D46124">
        <w:rPr>
          <w:rFonts w:asciiTheme="minorHAnsi" w:eastAsiaTheme="minorHAnsi" w:hAnsiTheme="minorHAnsi" w:cstheme="minorBidi"/>
          <w:sz w:val="22"/>
          <w:szCs w:val="22"/>
          <w:lang w:val="en-US" w:eastAsia="en-US"/>
        </w:rPr>
        <w:t>Currently,  the systems used by some CCPs to calculate initial margin are outdated, and do not provide appropriate initial margin calculations for diversified portfolios as compared to more advanced margin calculation systems that have been implemented or are under development.  SPAN, the predominant system used to determine initial margin requirements on cleared transactions, dates back to the 1980’s.  The key difference between SPAN and more advanced margin systems is that SPAN approaches the margin calculation from an individual contract level, while advanced margin calculation systems address all contracts held in a portfolio simultaneously.  Thus the antiquated SPAN modelling system does not recognize many correlations and offsets and does not optimize the netting benefits across a portfolio of positions.  Value at Risk (VAR) based methodologies which calculate initial margin using Historical Sim</w:t>
      </w:r>
      <w:r w:rsidRPr="00D46124">
        <w:rPr>
          <w:rFonts w:asciiTheme="minorHAnsi" w:eastAsiaTheme="minorHAnsi" w:hAnsiTheme="minorHAnsi" w:cstheme="minorBidi"/>
          <w:sz w:val="22"/>
          <w:szCs w:val="22"/>
          <w:lang w:val="en-US" w:eastAsia="en-US"/>
        </w:rPr>
        <w:t>u</w:t>
      </w:r>
      <w:r w:rsidRPr="00D46124">
        <w:rPr>
          <w:rFonts w:asciiTheme="minorHAnsi" w:eastAsiaTheme="minorHAnsi" w:hAnsiTheme="minorHAnsi" w:cstheme="minorBidi"/>
          <w:sz w:val="22"/>
          <w:szCs w:val="22"/>
          <w:lang w:val="en-US" w:eastAsia="en-US"/>
        </w:rPr>
        <w:t>lation (H-</w:t>
      </w:r>
      <w:proofErr w:type="spellStart"/>
      <w:r w:rsidRPr="00D46124">
        <w:rPr>
          <w:rFonts w:asciiTheme="minorHAnsi" w:eastAsiaTheme="minorHAnsi" w:hAnsiTheme="minorHAnsi" w:cstheme="minorBidi"/>
          <w:sz w:val="22"/>
          <w:szCs w:val="22"/>
          <w:lang w:val="en-US" w:eastAsia="en-US"/>
        </w:rPr>
        <w:t>Sim</w:t>
      </w:r>
      <w:proofErr w:type="spellEnd"/>
      <w:r w:rsidRPr="00D46124">
        <w:rPr>
          <w:rFonts w:asciiTheme="minorHAnsi" w:eastAsiaTheme="minorHAnsi" w:hAnsiTheme="minorHAnsi" w:cstheme="minorBidi"/>
          <w:sz w:val="22"/>
          <w:szCs w:val="22"/>
          <w:lang w:val="en-US" w:eastAsia="en-US"/>
        </w:rPr>
        <w:t xml:space="preserve"> or HVAR) applied to a portfolio of positions, however, recognize many of these correlations and allow for more netting of exposures in the initial margin calculation. CCPs such as </w:t>
      </w:r>
      <w:proofErr w:type="spellStart"/>
      <w:r w:rsidRPr="00D46124">
        <w:rPr>
          <w:rFonts w:asciiTheme="minorHAnsi" w:eastAsiaTheme="minorHAnsi" w:hAnsiTheme="minorHAnsi" w:cstheme="minorBidi"/>
          <w:sz w:val="22"/>
          <w:szCs w:val="22"/>
          <w:lang w:val="en-US" w:eastAsia="en-US"/>
        </w:rPr>
        <w:t>LCH.Clearnet</w:t>
      </w:r>
      <w:proofErr w:type="spellEnd"/>
      <w:r w:rsidRPr="00D46124">
        <w:rPr>
          <w:rFonts w:asciiTheme="minorHAnsi" w:eastAsiaTheme="minorHAnsi" w:hAnsiTheme="minorHAnsi" w:cstheme="minorBidi"/>
          <w:sz w:val="22"/>
          <w:szCs w:val="22"/>
          <w:lang w:val="en-US" w:eastAsia="en-US"/>
        </w:rPr>
        <w:t xml:space="preserve"> and EUREX have received regulatory authorization and successfully utilize these 21</w:t>
      </w:r>
      <w:r w:rsidRPr="00D46124">
        <w:rPr>
          <w:rFonts w:asciiTheme="minorHAnsi" w:eastAsiaTheme="minorHAnsi" w:hAnsiTheme="minorHAnsi" w:cstheme="minorBidi"/>
          <w:sz w:val="22"/>
          <w:szCs w:val="22"/>
          <w:vertAlign w:val="superscript"/>
          <w:lang w:val="en-US" w:eastAsia="en-US"/>
        </w:rPr>
        <w:t>st</w:t>
      </w:r>
      <w:r w:rsidRPr="00D46124">
        <w:rPr>
          <w:rFonts w:asciiTheme="minorHAnsi" w:eastAsiaTheme="minorHAnsi" w:hAnsiTheme="minorHAnsi" w:cstheme="minorBidi"/>
          <w:sz w:val="22"/>
          <w:szCs w:val="22"/>
          <w:lang w:val="en-US" w:eastAsia="en-US"/>
        </w:rPr>
        <w:t xml:space="preserve"> century risk models which have proven to be sound from a risk management perspective.  Most recently, the United States Commodity Futures Trading Commission approved the application of Nodal Clear, a subsidiary of Nodal Exchange, to establish a clearinghouse that will utilize a more sophisticated VAR-based portfolio margin calculation methodology with a 2-day liquidation horizon. </w:t>
      </w:r>
      <w:r w:rsidRPr="00D46124">
        <w:rPr>
          <w:rFonts w:asciiTheme="minorHAnsi" w:eastAsiaTheme="minorHAnsi" w:hAnsiTheme="minorHAnsi" w:cstheme="minorBidi"/>
          <w:i/>
          <w:sz w:val="22"/>
          <w:szCs w:val="22"/>
          <w:lang w:val="en-US" w:eastAsia="en-US"/>
        </w:rPr>
        <w:t>See</w:t>
      </w:r>
      <w:r w:rsidRPr="00D46124">
        <w:rPr>
          <w:rFonts w:asciiTheme="minorHAnsi" w:eastAsiaTheme="minorHAnsi" w:hAnsiTheme="minorHAnsi" w:cstheme="minorBidi"/>
          <w:sz w:val="22"/>
          <w:szCs w:val="22"/>
          <w:lang w:val="en-US" w:eastAsia="en-US"/>
        </w:rPr>
        <w:t xml:space="preserve"> </w:t>
      </w:r>
      <w:hyperlink r:id="rId15" w:history="1">
        <w:r w:rsidRPr="00D46124">
          <w:rPr>
            <w:rFonts w:asciiTheme="minorHAnsi" w:eastAsiaTheme="minorHAnsi" w:hAnsiTheme="minorHAnsi" w:cstheme="minorBidi"/>
            <w:color w:val="0000FF" w:themeColor="hyperlink"/>
            <w:sz w:val="22"/>
            <w:szCs w:val="22"/>
            <w:u w:val="single"/>
            <w:lang w:val="en-US" w:eastAsia="en-US"/>
          </w:rPr>
          <w:t>http://www.nodalexchange.com/products_and_services/clearing/clearing.php</w:t>
        </w:r>
      </w:hyperlink>
      <w:r w:rsidRPr="00D46124">
        <w:rPr>
          <w:rFonts w:asciiTheme="minorHAnsi" w:eastAsiaTheme="minorHAnsi" w:hAnsiTheme="minorHAnsi" w:cstheme="minorBidi"/>
          <w:sz w:val="22"/>
          <w:szCs w:val="22"/>
          <w:lang w:val="en-US" w:eastAsia="en-US"/>
        </w:rPr>
        <w:t xml:space="preserve"> Under these advanced margin calculation methodologies, end users often see overall reductions in initial margin, even under a 2-day liquidation horizon, compared to CCPs that utilize outdated SPAN-based systems and a 1-day </w:t>
      </w:r>
      <w:r w:rsidRPr="00D46124">
        <w:rPr>
          <w:rFonts w:asciiTheme="minorHAnsi" w:eastAsiaTheme="minorHAnsi" w:hAnsiTheme="minorHAnsi" w:cstheme="minorBidi"/>
          <w:sz w:val="22"/>
          <w:szCs w:val="22"/>
          <w:lang w:val="en-US" w:eastAsia="en-US"/>
        </w:rPr>
        <w:lastRenderedPageBreak/>
        <w:t xml:space="preserve">liquidation horizon because the more sophisticated portfolio-based risk models account for the portfolio diversification unlike the antiquated models that can hold excessive margin because they use simplistic methods to approximate portfolio risk.  </w:t>
      </w:r>
    </w:p>
    <w:p w:rsidR="00D46124" w:rsidRPr="00D46124" w:rsidRDefault="00D46124" w:rsidP="00D46124">
      <w:pPr>
        <w:spacing w:after="200" w:line="276" w:lineRule="auto"/>
        <w:rPr>
          <w:rFonts w:asciiTheme="minorHAnsi" w:eastAsiaTheme="minorHAnsi" w:hAnsiTheme="minorHAnsi" w:cstheme="minorBidi"/>
          <w:b/>
          <w:sz w:val="22"/>
          <w:szCs w:val="22"/>
          <w:lang w:val="en-US" w:eastAsia="en-US"/>
        </w:rPr>
      </w:pPr>
      <w:r w:rsidRPr="00D46124">
        <w:rPr>
          <w:rFonts w:asciiTheme="minorHAnsi" w:eastAsiaTheme="minorHAnsi" w:hAnsiTheme="minorHAnsi" w:cstheme="minorBidi"/>
          <w:b/>
          <w:sz w:val="22"/>
          <w:szCs w:val="22"/>
          <w:lang w:val="en-US" w:eastAsia="en-US"/>
        </w:rPr>
        <w:t>Therefore Exelon submits that the current cross-border focus by regulators on a 1-day versus 2-day liquidation horizon is a misplaced focus on a small sub-element of CCP risk models that would become irrelevant if the regulatory focus is correctly placed on updating CCP risk models in their entirety to proven and sound modern risk management methodologies.</w:t>
      </w:r>
    </w:p>
    <w:p w:rsidR="00D46124" w:rsidRPr="00D46124" w:rsidRDefault="00D46124" w:rsidP="00D46124">
      <w:pPr>
        <w:spacing w:after="200" w:line="276" w:lineRule="auto"/>
        <w:rPr>
          <w:rFonts w:asciiTheme="minorHAnsi" w:eastAsiaTheme="minorHAnsi" w:hAnsiTheme="minorHAnsi" w:cstheme="minorBidi"/>
          <w:sz w:val="22"/>
          <w:szCs w:val="22"/>
          <w:lang w:val="en-US" w:eastAsia="en-US"/>
        </w:rPr>
      </w:pPr>
      <w:r w:rsidRPr="00D46124">
        <w:rPr>
          <w:rFonts w:asciiTheme="minorHAnsi" w:eastAsiaTheme="minorHAnsi" w:hAnsiTheme="minorHAnsi" w:cstheme="minorBidi"/>
          <w:sz w:val="22"/>
          <w:szCs w:val="22"/>
          <w:lang w:val="en-US" w:eastAsia="en-US"/>
        </w:rPr>
        <w:t>Regulators should support and encourage the broad adoption of HVAR-based margin calculation met</w:t>
      </w:r>
      <w:r w:rsidRPr="00D46124">
        <w:rPr>
          <w:rFonts w:asciiTheme="minorHAnsi" w:eastAsiaTheme="minorHAnsi" w:hAnsiTheme="minorHAnsi" w:cstheme="minorBidi"/>
          <w:sz w:val="22"/>
          <w:szCs w:val="22"/>
          <w:lang w:val="en-US" w:eastAsia="en-US"/>
        </w:rPr>
        <w:t>h</w:t>
      </w:r>
      <w:r w:rsidRPr="00D46124">
        <w:rPr>
          <w:rFonts w:asciiTheme="minorHAnsi" w:eastAsiaTheme="minorHAnsi" w:hAnsiTheme="minorHAnsi" w:cstheme="minorBidi"/>
          <w:sz w:val="22"/>
          <w:szCs w:val="22"/>
          <w:lang w:val="en-US" w:eastAsia="en-US"/>
        </w:rPr>
        <w:t xml:space="preserve">odologies, similar to the models already adopted by </w:t>
      </w:r>
      <w:proofErr w:type="spellStart"/>
      <w:r w:rsidRPr="00D46124">
        <w:rPr>
          <w:rFonts w:asciiTheme="minorHAnsi" w:eastAsiaTheme="minorHAnsi" w:hAnsiTheme="minorHAnsi" w:cstheme="minorBidi"/>
          <w:sz w:val="22"/>
          <w:szCs w:val="22"/>
          <w:lang w:val="en-US" w:eastAsia="en-US"/>
        </w:rPr>
        <w:t>LCH.Clearnet</w:t>
      </w:r>
      <w:proofErr w:type="spellEnd"/>
      <w:r w:rsidRPr="00D46124">
        <w:rPr>
          <w:rFonts w:asciiTheme="minorHAnsi" w:eastAsiaTheme="minorHAnsi" w:hAnsiTheme="minorHAnsi" w:cstheme="minorBidi"/>
          <w:sz w:val="22"/>
          <w:szCs w:val="22"/>
          <w:lang w:val="en-US" w:eastAsia="en-US"/>
        </w:rPr>
        <w:t xml:space="preserve"> and EUREX because:</w:t>
      </w:r>
    </w:p>
    <w:p w:rsidR="00D46124" w:rsidRPr="00D46124" w:rsidRDefault="00D46124" w:rsidP="00D46124">
      <w:pPr>
        <w:numPr>
          <w:ilvl w:val="0"/>
          <w:numId w:val="50"/>
        </w:numPr>
        <w:spacing w:after="200" w:line="276" w:lineRule="auto"/>
        <w:contextualSpacing/>
        <w:rPr>
          <w:rFonts w:asciiTheme="minorHAnsi" w:eastAsiaTheme="minorHAnsi" w:hAnsiTheme="minorHAnsi" w:cstheme="minorBidi"/>
          <w:sz w:val="22"/>
          <w:szCs w:val="22"/>
          <w:lang w:val="en-US" w:eastAsia="en-US"/>
        </w:rPr>
      </w:pPr>
      <w:r w:rsidRPr="00D46124">
        <w:rPr>
          <w:rFonts w:asciiTheme="minorHAnsi" w:eastAsiaTheme="minorHAnsi" w:hAnsiTheme="minorHAnsi" w:cstheme="minorBidi"/>
          <w:sz w:val="22"/>
          <w:szCs w:val="22"/>
          <w:lang w:val="en-US" w:eastAsia="en-US"/>
        </w:rPr>
        <w:t xml:space="preserve">Broad implementation globally by CCPs of more sophisticated portfolio risk models (e.g., VAR-based portfolio models) would bring stronger risk management to the marketplace and would balance the competitive advantage of the exchanges that already have implemented these methodologies. The MPOR (e.g., 1-day versus 2-day), while simple to dictate and monitor, is not the determinant of a sound risk model.  </w:t>
      </w:r>
    </w:p>
    <w:p w:rsidR="00D46124" w:rsidRPr="00D46124" w:rsidRDefault="00D46124" w:rsidP="00D46124">
      <w:pPr>
        <w:spacing w:after="200" w:line="276" w:lineRule="auto"/>
        <w:ind w:left="720"/>
        <w:contextualSpacing/>
        <w:rPr>
          <w:rFonts w:asciiTheme="minorHAnsi" w:eastAsiaTheme="minorHAnsi" w:hAnsiTheme="minorHAnsi" w:cstheme="minorBidi"/>
          <w:sz w:val="22"/>
          <w:szCs w:val="22"/>
          <w:lang w:val="en-US" w:eastAsia="en-US"/>
        </w:rPr>
      </w:pPr>
    </w:p>
    <w:p w:rsidR="00D46124" w:rsidRPr="00D46124" w:rsidRDefault="00D46124" w:rsidP="00D46124">
      <w:pPr>
        <w:numPr>
          <w:ilvl w:val="0"/>
          <w:numId w:val="50"/>
        </w:numPr>
        <w:spacing w:after="200" w:line="276" w:lineRule="auto"/>
        <w:contextualSpacing/>
        <w:rPr>
          <w:rFonts w:asciiTheme="minorHAnsi" w:eastAsiaTheme="minorHAnsi" w:hAnsiTheme="minorHAnsi" w:cstheme="minorBidi"/>
          <w:sz w:val="22"/>
          <w:szCs w:val="22"/>
          <w:lang w:val="en-US" w:eastAsia="en-US"/>
        </w:rPr>
      </w:pPr>
      <w:r w:rsidRPr="00D46124">
        <w:rPr>
          <w:rFonts w:asciiTheme="minorHAnsi" w:eastAsiaTheme="minorHAnsi" w:hAnsiTheme="minorHAnsi" w:cstheme="minorBidi"/>
          <w:sz w:val="22"/>
          <w:szCs w:val="22"/>
          <w:lang w:val="en-US" w:eastAsia="en-US"/>
        </w:rPr>
        <w:t xml:space="preserve">Utilization of outdated margin calculation methodologies </w:t>
      </w:r>
      <w:r w:rsidRPr="00D46124">
        <w:rPr>
          <w:rFonts w:asciiTheme="minorHAnsi" w:eastAsiaTheme="minorHAnsi" w:hAnsiTheme="minorHAnsi" w:cstheme="minorBidi"/>
          <w:sz w:val="22"/>
          <w:szCs w:val="22"/>
          <w:u w:val="single"/>
          <w:lang w:val="en-US" w:eastAsia="en-US"/>
        </w:rPr>
        <w:t>adds</w:t>
      </w:r>
      <w:r w:rsidRPr="00D46124">
        <w:rPr>
          <w:rFonts w:asciiTheme="minorHAnsi" w:eastAsiaTheme="minorHAnsi" w:hAnsiTheme="minorHAnsi" w:cstheme="minorBidi"/>
          <w:sz w:val="22"/>
          <w:szCs w:val="22"/>
          <w:lang w:val="en-US" w:eastAsia="en-US"/>
        </w:rPr>
        <w:t xml:space="preserve"> risk to the financial system by o</w:t>
      </w:r>
      <w:r w:rsidRPr="00D46124">
        <w:rPr>
          <w:rFonts w:asciiTheme="minorHAnsi" w:eastAsiaTheme="minorHAnsi" w:hAnsiTheme="minorHAnsi" w:cstheme="minorBidi"/>
          <w:sz w:val="22"/>
          <w:szCs w:val="22"/>
          <w:lang w:val="en-US" w:eastAsia="en-US"/>
        </w:rPr>
        <w:t>f</w:t>
      </w:r>
      <w:r w:rsidRPr="00D46124">
        <w:rPr>
          <w:rFonts w:asciiTheme="minorHAnsi" w:eastAsiaTheme="minorHAnsi" w:hAnsiTheme="minorHAnsi" w:cstheme="minorBidi"/>
          <w:sz w:val="22"/>
          <w:szCs w:val="22"/>
          <w:lang w:val="en-US" w:eastAsia="en-US"/>
        </w:rPr>
        <w:t>ten requiring market participants to post more margin with the CCP than is required for sound risk management. The largest risk created in this situation is liquidity risk. During a period of market volatility, central clearinghouses with less sophisticated risk models will often need to raise margin levels in order to address breaches that were created by their unsophisticated models. This drains liquidity from the system and motivates firms to sell their positions at a time when there are no buyers. This is a proven formula for an asset crash, and it will only be exace</w:t>
      </w:r>
      <w:r w:rsidRPr="00D46124">
        <w:rPr>
          <w:rFonts w:asciiTheme="minorHAnsi" w:eastAsiaTheme="minorHAnsi" w:hAnsiTheme="minorHAnsi" w:cstheme="minorBidi"/>
          <w:sz w:val="22"/>
          <w:szCs w:val="22"/>
          <w:lang w:val="en-US" w:eastAsia="en-US"/>
        </w:rPr>
        <w:t>r</w:t>
      </w:r>
      <w:r w:rsidRPr="00D46124">
        <w:rPr>
          <w:rFonts w:asciiTheme="minorHAnsi" w:eastAsiaTheme="minorHAnsi" w:hAnsiTheme="minorHAnsi" w:cstheme="minorBidi"/>
          <w:sz w:val="22"/>
          <w:szCs w:val="22"/>
          <w:lang w:val="en-US" w:eastAsia="en-US"/>
        </w:rPr>
        <w:t>bated when outdated margin calculation methodologies are already dictating the over-collection of margin.</w:t>
      </w:r>
    </w:p>
    <w:p w:rsidR="00D46124" w:rsidRPr="00D46124" w:rsidRDefault="00D46124" w:rsidP="00D46124">
      <w:pPr>
        <w:spacing w:after="200" w:line="276" w:lineRule="auto"/>
        <w:ind w:left="720"/>
        <w:contextualSpacing/>
        <w:rPr>
          <w:rFonts w:asciiTheme="minorHAnsi" w:eastAsiaTheme="minorHAnsi" w:hAnsiTheme="minorHAnsi" w:cstheme="minorBidi"/>
          <w:sz w:val="22"/>
          <w:szCs w:val="22"/>
          <w:lang w:val="en-US" w:eastAsia="en-US"/>
        </w:rPr>
      </w:pPr>
    </w:p>
    <w:p w:rsidR="00D46124" w:rsidRPr="00D46124" w:rsidRDefault="00D46124" w:rsidP="00D46124">
      <w:pPr>
        <w:numPr>
          <w:ilvl w:val="0"/>
          <w:numId w:val="50"/>
        </w:numPr>
        <w:spacing w:after="200" w:line="276" w:lineRule="auto"/>
        <w:contextualSpacing/>
        <w:rPr>
          <w:rFonts w:asciiTheme="minorHAnsi" w:eastAsiaTheme="minorHAnsi" w:hAnsiTheme="minorHAnsi" w:cstheme="minorBidi"/>
          <w:sz w:val="22"/>
          <w:szCs w:val="22"/>
          <w:lang w:val="en-US" w:eastAsia="en-US"/>
        </w:rPr>
      </w:pPr>
      <w:r w:rsidRPr="00D46124">
        <w:rPr>
          <w:rFonts w:asciiTheme="minorHAnsi" w:eastAsiaTheme="minorHAnsi" w:hAnsiTheme="minorHAnsi" w:cstheme="minorBidi"/>
          <w:sz w:val="22"/>
          <w:szCs w:val="22"/>
          <w:lang w:val="en-US" w:eastAsia="en-US"/>
        </w:rPr>
        <w:t>Outdated margin calculation methodologies can unnecessarily tie up working capital of comme</w:t>
      </w:r>
      <w:r w:rsidRPr="00D46124">
        <w:rPr>
          <w:rFonts w:asciiTheme="minorHAnsi" w:eastAsiaTheme="minorHAnsi" w:hAnsiTheme="minorHAnsi" w:cstheme="minorBidi"/>
          <w:sz w:val="22"/>
          <w:szCs w:val="22"/>
          <w:lang w:val="en-US" w:eastAsia="en-US"/>
        </w:rPr>
        <w:t>r</w:t>
      </w:r>
      <w:r w:rsidRPr="00D46124">
        <w:rPr>
          <w:rFonts w:asciiTheme="minorHAnsi" w:eastAsiaTheme="minorHAnsi" w:hAnsiTheme="minorHAnsi" w:cstheme="minorBidi"/>
          <w:sz w:val="22"/>
          <w:szCs w:val="22"/>
          <w:lang w:val="en-US" w:eastAsia="en-US"/>
        </w:rPr>
        <w:t>cial enterprises like Exelon, which stifles growth in the real economy and does not allow capital to be utilized to create jobs and stimulate economic development.</w:t>
      </w:r>
    </w:p>
    <w:p w:rsidR="00D46124" w:rsidRPr="00D46124" w:rsidRDefault="00D46124" w:rsidP="00D46124">
      <w:pPr>
        <w:spacing w:after="200" w:line="276" w:lineRule="auto"/>
        <w:ind w:left="720"/>
        <w:contextualSpacing/>
        <w:rPr>
          <w:rFonts w:asciiTheme="minorHAnsi" w:eastAsiaTheme="minorHAnsi" w:hAnsiTheme="minorHAnsi" w:cstheme="minorBidi"/>
          <w:sz w:val="22"/>
          <w:szCs w:val="22"/>
          <w:lang w:val="en-US" w:eastAsia="en-US"/>
        </w:rPr>
      </w:pPr>
    </w:p>
    <w:p w:rsidR="00D46124" w:rsidRDefault="00D46124" w:rsidP="00D46124">
      <w:pPr>
        <w:numPr>
          <w:ilvl w:val="0"/>
          <w:numId w:val="50"/>
        </w:numPr>
        <w:spacing w:after="200" w:line="276" w:lineRule="auto"/>
        <w:contextualSpacing/>
        <w:rPr>
          <w:rFonts w:asciiTheme="minorHAnsi" w:eastAsiaTheme="minorHAnsi" w:hAnsiTheme="minorHAnsi" w:cstheme="minorBidi"/>
          <w:sz w:val="22"/>
          <w:szCs w:val="22"/>
          <w:lang w:val="en-US" w:eastAsia="en-US"/>
        </w:rPr>
      </w:pPr>
      <w:r w:rsidRPr="00D46124">
        <w:rPr>
          <w:rFonts w:asciiTheme="minorHAnsi" w:eastAsiaTheme="minorHAnsi" w:hAnsiTheme="minorHAnsi" w:cstheme="minorBidi"/>
          <w:sz w:val="22"/>
          <w:szCs w:val="22"/>
          <w:lang w:val="en-US" w:eastAsia="en-US"/>
        </w:rPr>
        <w:t>Broad implementation globally by CCPs of more sophisticated risk models (e.g., VAR-based por</w:t>
      </w:r>
      <w:r w:rsidRPr="00D46124">
        <w:rPr>
          <w:rFonts w:asciiTheme="minorHAnsi" w:eastAsiaTheme="minorHAnsi" w:hAnsiTheme="minorHAnsi" w:cstheme="minorBidi"/>
          <w:sz w:val="22"/>
          <w:szCs w:val="22"/>
          <w:lang w:val="en-US" w:eastAsia="en-US"/>
        </w:rPr>
        <w:t>t</w:t>
      </w:r>
      <w:r w:rsidRPr="00D46124">
        <w:rPr>
          <w:rFonts w:asciiTheme="minorHAnsi" w:eastAsiaTheme="minorHAnsi" w:hAnsiTheme="minorHAnsi" w:cstheme="minorBidi"/>
          <w:sz w:val="22"/>
          <w:szCs w:val="22"/>
          <w:lang w:val="en-US" w:eastAsia="en-US"/>
        </w:rPr>
        <w:t xml:space="preserve">folio margin calculation methodologies) would render current cross border debates such as the 1 versus 2-day liquidation horizon irrelevant, as end users would see appropriate risk-adjusted margin levels, even under a 2-day liquidation horizon or more. For example, the EUREX, which has adopted a VAR-based model, has proposed a 4-day liquidation horizon. </w:t>
      </w:r>
      <w:r w:rsidRPr="00D46124">
        <w:rPr>
          <w:rFonts w:asciiTheme="minorHAnsi" w:eastAsiaTheme="minorHAnsi" w:hAnsiTheme="minorHAnsi" w:cstheme="minorBidi"/>
          <w:i/>
          <w:sz w:val="22"/>
          <w:szCs w:val="22"/>
          <w:lang w:val="en-US" w:eastAsia="en-US"/>
        </w:rPr>
        <w:t>See</w:t>
      </w:r>
      <w:r w:rsidRPr="00D46124">
        <w:rPr>
          <w:rFonts w:asciiTheme="minorHAnsi" w:eastAsiaTheme="minorHAnsi" w:hAnsiTheme="minorHAnsi" w:cstheme="minorBidi"/>
          <w:sz w:val="22"/>
          <w:szCs w:val="22"/>
          <w:lang w:val="en-US" w:eastAsia="en-US"/>
        </w:rPr>
        <w:t xml:space="preserve"> </w:t>
      </w:r>
      <w:hyperlink r:id="rId16" w:history="1">
        <w:r w:rsidRPr="00D46124">
          <w:rPr>
            <w:rFonts w:asciiTheme="minorHAnsi" w:eastAsiaTheme="minorHAnsi" w:hAnsiTheme="minorHAnsi" w:cstheme="minorBidi"/>
            <w:color w:val="0000FF" w:themeColor="hyperlink"/>
            <w:sz w:val="22"/>
            <w:szCs w:val="22"/>
            <w:u w:val="single"/>
            <w:lang w:val="en-US" w:eastAsia="en-US"/>
          </w:rPr>
          <w:t>http://www.eurexclearing.com/blob/115394/affab634042342489630d1596a9cfec5/data/factsheet_eurex_clearing_prisma.pdf</w:t>
        </w:r>
      </w:hyperlink>
      <w:r w:rsidRPr="00D46124">
        <w:rPr>
          <w:rFonts w:asciiTheme="minorHAnsi" w:eastAsiaTheme="minorHAnsi" w:hAnsiTheme="minorHAnsi" w:cstheme="minorBidi"/>
          <w:color w:val="0000FF" w:themeColor="hyperlink"/>
          <w:sz w:val="22"/>
          <w:szCs w:val="22"/>
          <w:lang w:val="en-US" w:eastAsia="en-US"/>
        </w:rPr>
        <w:t xml:space="preserve"> at page 2.</w:t>
      </w:r>
      <w:r w:rsidRPr="00D46124">
        <w:rPr>
          <w:rFonts w:asciiTheme="minorHAnsi" w:eastAsiaTheme="minorHAnsi" w:hAnsiTheme="minorHAnsi" w:cstheme="minorBidi"/>
          <w:sz w:val="22"/>
          <w:szCs w:val="22"/>
          <w:lang w:val="en-US" w:eastAsia="en-US"/>
        </w:rPr>
        <w:t xml:space="preserve"> </w:t>
      </w:r>
    </w:p>
    <w:p w:rsidR="00D46124" w:rsidRPr="00D46124" w:rsidRDefault="00D46124" w:rsidP="00D46124">
      <w:pPr>
        <w:spacing w:after="200" w:line="276" w:lineRule="auto"/>
        <w:ind w:left="720"/>
        <w:contextualSpacing/>
        <w:rPr>
          <w:rFonts w:asciiTheme="minorHAnsi" w:eastAsiaTheme="minorHAnsi" w:hAnsiTheme="minorHAnsi" w:cstheme="minorBidi"/>
          <w:sz w:val="22"/>
          <w:szCs w:val="22"/>
          <w:lang w:val="en-US" w:eastAsia="en-US"/>
        </w:rPr>
      </w:pPr>
    </w:p>
    <w:p w:rsidR="00D46124" w:rsidRPr="00D46124" w:rsidRDefault="00D46124" w:rsidP="00D46124">
      <w:pPr>
        <w:spacing w:after="200" w:line="276" w:lineRule="auto"/>
        <w:rPr>
          <w:rFonts w:asciiTheme="minorHAnsi" w:eastAsiaTheme="minorHAnsi" w:hAnsiTheme="minorHAnsi" w:cstheme="minorBidi"/>
          <w:sz w:val="22"/>
          <w:szCs w:val="22"/>
          <w:lang w:val="en-US" w:eastAsia="en-US"/>
        </w:rPr>
      </w:pPr>
      <w:r w:rsidRPr="00D46124">
        <w:rPr>
          <w:rFonts w:asciiTheme="minorHAnsi" w:eastAsiaTheme="minorHAnsi" w:hAnsiTheme="minorHAnsi" w:cstheme="minorBidi"/>
          <w:sz w:val="22"/>
          <w:szCs w:val="22"/>
          <w:lang w:val="en-US" w:eastAsia="en-US"/>
        </w:rPr>
        <w:t>Exelon does not advocate for the adoption of unproven and unsound margin calculation methodologies that add risk to market participants and to the exchange eco-system.  As part of its robust risk manag</w:t>
      </w:r>
      <w:r w:rsidRPr="00D46124">
        <w:rPr>
          <w:rFonts w:asciiTheme="minorHAnsi" w:eastAsiaTheme="minorHAnsi" w:hAnsiTheme="minorHAnsi" w:cstheme="minorBidi"/>
          <w:sz w:val="22"/>
          <w:szCs w:val="22"/>
          <w:lang w:val="en-US" w:eastAsia="en-US"/>
        </w:rPr>
        <w:t>e</w:t>
      </w:r>
      <w:r w:rsidRPr="00D46124">
        <w:rPr>
          <w:rFonts w:asciiTheme="minorHAnsi" w:eastAsiaTheme="minorHAnsi" w:hAnsiTheme="minorHAnsi" w:cstheme="minorBidi"/>
          <w:sz w:val="22"/>
          <w:szCs w:val="22"/>
          <w:lang w:val="en-US" w:eastAsia="en-US"/>
        </w:rPr>
        <w:t xml:space="preserve">ment infrastructure, Exelon has adopted controls relating to margin on exchange-traded and cleared transactions, and performs its own independent study on each margin calculation model utilized by the </w:t>
      </w:r>
      <w:r w:rsidRPr="00D46124">
        <w:rPr>
          <w:rFonts w:asciiTheme="minorHAnsi" w:eastAsiaTheme="minorHAnsi" w:hAnsiTheme="minorHAnsi" w:cstheme="minorBidi"/>
          <w:sz w:val="22"/>
          <w:szCs w:val="22"/>
          <w:lang w:val="en-US" w:eastAsia="en-US"/>
        </w:rPr>
        <w:lastRenderedPageBreak/>
        <w:t xml:space="preserve">CCPs it transacts on. The fact is that VAR-based / H-SIM calculation methodologies have already been adopted by other CCPs for years and are working soundly and safely to the benefit of end users. Exelon merely proposes that regulators support the broader adoption of these already proven CCP risk models and focus more on the overall risk model and not any one single element such as MPOR or net versus gross margin.   </w:t>
      </w:r>
    </w:p>
    <w:p w:rsidR="00A8728B" w:rsidRDefault="00D46124" w:rsidP="00A8728B">
      <w:r w:rsidRPr="00D46124">
        <w:rPr>
          <w:rFonts w:asciiTheme="minorHAnsi" w:eastAsiaTheme="minorHAnsi" w:hAnsiTheme="minorHAnsi" w:cstheme="minorBidi"/>
          <w:sz w:val="22"/>
          <w:szCs w:val="22"/>
          <w:lang w:val="en-US" w:eastAsia="en-US"/>
        </w:rPr>
        <w:t>In conclusion, Exelon recommends that ESMA and regulators of CCPs throughout the globe aim to bring greater sophistication to the margin calculation methodologies contained within CCP risk models, and encourage CCPs to utilize the most up to date methodologies that are determined to be based on sound risk management principles.</w:t>
      </w:r>
      <w:r>
        <w:rPr>
          <w:rFonts w:asciiTheme="minorHAnsi" w:eastAsiaTheme="minorHAnsi" w:hAnsiTheme="minorHAnsi" w:cstheme="minorBidi"/>
          <w:sz w:val="22"/>
          <w:szCs w:val="22"/>
          <w:lang w:val="en-US" w:eastAsia="en-US"/>
        </w:rPr>
        <w:t xml:space="preserve"> </w:t>
      </w:r>
      <w:permEnd w:id="695367108"/>
      <w:r w:rsidR="00A8728B">
        <w:t>&lt;ESMA_QUESTION_</w:t>
      </w:r>
      <w:r w:rsidR="002A38B9">
        <w:t>RTS_153_26</w:t>
      </w:r>
      <w:r w:rsidR="00A8728B">
        <w:t>_1&gt;</w:t>
      </w:r>
    </w:p>
    <w:p w:rsidR="009D3687" w:rsidRDefault="009D3687" w:rsidP="009D3687">
      <w:pPr>
        <w:pStyle w:val="CPQuestions"/>
      </w:pPr>
      <w:r w:rsidRPr="009D3687">
        <w:t>If the RTS were modified to allow one-day gross margin collection for ETDs, should this be extended to financial instruments other than OTC derivatives? What are the costs and benefits of either approach?</w:t>
      </w:r>
    </w:p>
    <w:p w:rsidR="00A8728B" w:rsidRDefault="00A8728B" w:rsidP="00A8728B">
      <w:r>
        <w:t>&lt;ESMA_QUESTION_</w:t>
      </w:r>
      <w:r w:rsidR="002A38B9">
        <w:t>RTS_153_26</w:t>
      </w:r>
      <w:r>
        <w:t>_2&gt;</w:t>
      </w:r>
    </w:p>
    <w:p w:rsidR="00A8728B" w:rsidRDefault="00A8728B" w:rsidP="00A8728B">
      <w:permStart w:id="1160522092" w:edGrp="everyone"/>
      <w:r>
        <w:t>TYPE YOUR TEXT HERE</w:t>
      </w:r>
    </w:p>
    <w:permEnd w:id="1160522092"/>
    <w:p w:rsidR="00A8728B" w:rsidRDefault="00A8728B" w:rsidP="00A8728B">
      <w:r>
        <w:t>&lt;ESMA_QUESTION_</w:t>
      </w:r>
      <w:r w:rsidR="002A38B9">
        <w:t>RTS_153_26</w:t>
      </w:r>
      <w:r>
        <w:t>_2&gt;</w:t>
      </w:r>
    </w:p>
    <w:p w:rsidR="009D3687" w:rsidRPr="00B62727" w:rsidRDefault="009D3687" w:rsidP="009D3687">
      <w:pPr>
        <w:pStyle w:val="CPQuestions"/>
      </w:pPr>
      <w:r w:rsidRPr="009D3687">
        <w:t>If a differentiation of MPOR is made for ETDs depending on the gross or net colle</w:t>
      </w:r>
      <w:r w:rsidRPr="009D3687">
        <w:t>c</w:t>
      </w:r>
      <w:r w:rsidRPr="009D3687">
        <w:t>tion of margins, should this differentiation be made for OTC derivatives as well? Would seven days MPOR for OTC derivatives be appropriate for net OSA? Please, provide quantitative analyses in support of your answer.</w:t>
      </w:r>
    </w:p>
    <w:p w:rsidR="00A8728B" w:rsidRDefault="00A8728B" w:rsidP="00A8728B">
      <w:r>
        <w:t>&lt;ESMA_QUESTION_</w:t>
      </w:r>
      <w:r w:rsidR="002A38B9">
        <w:t>RTS_153_26</w:t>
      </w:r>
      <w:r>
        <w:t>_3&gt;</w:t>
      </w:r>
    </w:p>
    <w:p w:rsidR="00A8728B" w:rsidRDefault="00A8728B" w:rsidP="00A8728B">
      <w:permStart w:id="1877959038" w:edGrp="everyone"/>
      <w:r>
        <w:t>TYPE YOUR TEXT HERE</w:t>
      </w:r>
    </w:p>
    <w:permEnd w:id="1877959038"/>
    <w:p w:rsidR="00A8728B" w:rsidRDefault="00A8728B" w:rsidP="00A8728B">
      <w:r>
        <w:t>&lt;ESMA_QUESTION_</w:t>
      </w:r>
      <w:r w:rsidR="002A38B9">
        <w:t>RTS_153_26</w:t>
      </w:r>
      <w:r>
        <w:t>_3&gt;</w:t>
      </w:r>
    </w:p>
    <w:p w:rsidR="00A8728B" w:rsidRPr="00B62727" w:rsidRDefault="002A38B9" w:rsidP="002A38B9">
      <w:pPr>
        <w:pStyle w:val="CPQuestions"/>
      </w:pPr>
      <w:r w:rsidRPr="002A38B9">
        <w:t>Should ISA and gross OSA be treated equally in terms of MPOR? Please provide quantitative evidence to support your arguments.</w:t>
      </w:r>
    </w:p>
    <w:p w:rsidR="00A8728B" w:rsidRDefault="00A8728B" w:rsidP="00A8728B">
      <w:r>
        <w:t>&lt;ESMA_QUESTION_</w:t>
      </w:r>
      <w:r w:rsidR="002A38B9">
        <w:t>RTS_153_26</w:t>
      </w:r>
      <w:r>
        <w:t>_4&gt;</w:t>
      </w:r>
    </w:p>
    <w:p w:rsidR="00A8728B" w:rsidRDefault="00A8728B" w:rsidP="00A8728B">
      <w:permStart w:id="411203175" w:edGrp="everyone"/>
      <w:r>
        <w:t>TYPE YOUR TEXT HERE</w:t>
      </w:r>
    </w:p>
    <w:permEnd w:id="411203175"/>
    <w:p w:rsidR="00A8728B" w:rsidRDefault="00A8728B" w:rsidP="00A8728B">
      <w:r>
        <w:t>&lt;ESMA_QUESTION_</w:t>
      </w:r>
      <w:r w:rsidR="002A38B9">
        <w:t>RTS_153_26</w:t>
      </w:r>
      <w:r>
        <w:t>_4&gt;</w:t>
      </w:r>
    </w:p>
    <w:p w:rsidR="00A8728B" w:rsidRPr="00B62727" w:rsidRDefault="002A38B9" w:rsidP="002A38B9">
      <w:pPr>
        <w:pStyle w:val="CPQuestions"/>
      </w:pPr>
      <w:r w:rsidRPr="002A38B9">
        <w:t>Do you consider that specific conditions should apply in order to ensure that ma</w:t>
      </w:r>
      <w:r w:rsidRPr="002A38B9">
        <w:t>r</w:t>
      </w:r>
      <w:r w:rsidRPr="002A38B9">
        <w:t>gins are called intraday in case the MPOR is reduced to 1-day under a gross client margins collection?</w:t>
      </w:r>
    </w:p>
    <w:p w:rsidR="00A8728B" w:rsidRDefault="00A8728B" w:rsidP="00A8728B">
      <w:r>
        <w:t>&lt;ESMA_QUESTION_</w:t>
      </w:r>
      <w:r w:rsidR="002A38B9">
        <w:t>RTS_153_26</w:t>
      </w:r>
      <w:r>
        <w:t>_5&gt;</w:t>
      </w:r>
    </w:p>
    <w:p w:rsidR="00A8728B" w:rsidRDefault="00A8728B" w:rsidP="00A8728B">
      <w:permStart w:id="655195001" w:edGrp="everyone"/>
      <w:r>
        <w:t>TYPE YOUR TEXT HERE</w:t>
      </w:r>
    </w:p>
    <w:permEnd w:id="655195001"/>
    <w:p w:rsidR="00A8728B" w:rsidRDefault="00A8728B" w:rsidP="00A8728B">
      <w:r>
        <w:t>&lt;ESMA_QUESTION_</w:t>
      </w:r>
      <w:r w:rsidR="002A38B9">
        <w:t>RTS_153_26</w:t>
      </w:r>
      <w:r>
        <w:t>_5&gt;</w:t>
      </w:r>
    </w:p>
    <w:p w:rsidR="00A8728B" w:rsidRDefault="002A38B9" w:rsidP="002A38B9">
      <w:pPr>
        <w:pStyle w:val="CPQuestions"/>
      </w:pPr>
      <w:r w:rsidRPr="002A38B9">
        <w:t>Do you agree that entities of the same group as clearing members should not be allowed to benefit from a lower MPOR even if they chose an OSA gross or ISA a</w:t>
      </w:r>
      <w:r w:rsidRPr="002A38B9">
        <w:t>c</w:t>
      </w:r>
      <w:r w:rsidRPr="002A38B9">
        <w:t>count? What are the costs and benefits of either approach?</w:t>
      </w:r>
    </w:p>
    <w:p w:rsidR="00A8728B" w:rsidRDefault="00A8728B" w:rsidP="00A8728B">
      <w:r>
        <w:t>&lt;ESMA_QUESTION_</w:t>
      </w:r>
      <w:r w:rsidR="002A38B9">
        <w:t>RTS_153_26</w:t>
      </w:r>
      <w:r>
        <w:t>_6&gt;</w:t>
      </w:r>
    </w:p>
    <w:p w:rsidR="00A8728B" w:rsidRDefault="00A8728B" w:rsidP="00A8728B">
      <w:permStart w:id="1451384026" w:edGrp="everyone"/>
      <w:r>
        <w:t>TYPE YOUR TEXT HERE</w:t>
      </w:r>
    </w:p>
    <w:permEnd w:id="1451384026"/>
    <w:p w:rsidR="00A8728B" w:rsidRDefault="00A8728B" w:rsidP="00A8728B">
      <w:r>
        <w:t>&lt;ESMA_QUESTION_</w:t>
      </w:r>
      <w:r w:rsidR="002A38B9">
        <w:t>RTS_153_26</w:t>
      </w:r>
      <w:r>
        <w:t>_6&gt;</w:t>
      </w:r>
    </w:p>
    <w:p w:rsidR="00A8728B" w:rsidRPr="00C24BCA" w:rsidRDefault="002A38B9" w:rsidP="002A38B9">
      <w:pPr>
        <w:pStyle w:val="CPQuestions"/>
      </w:pPr>
      <w:r w:rsidRPr="002A38B9">
        <w:lastRenderedPageBreak/>
        <w:t>Do you consider that specific conditions (e.g. compulsory pre-existing arrang</w:t>
      </w:r>
      <w:r w:rsidRPr="002A38B9">
        <w:t>e</w:t>
      </w:r>
      <w:r w:rsidRPr="002A38B9">
        <w:t>ment with a back-up clearing member) should apply in order to enhance the port</w:t>
      </w:r>
      <w:r w:rsidRPr="002A38B9">
        <w:t>a</w:t>
      </w:r>
      <w:r w:rsidRPr="002A38B9">
        <w:t>bility of client positions in order to benefit for the gross margining with one-day liquidation period? What conditions in your view would enhance the portability of client accounts? What are the costs and benefits of the suggested condition? Is it feasible that each client in an OSA would nominate a back-up clearing member or could this be a practical impediment to the establishment of gross margining? Is it feasible to expect an alternative clearing member to guarantee to accept porting of a client’s positions in the event of the primary clearing member’s default?</w:t>
      </w:r>
    </w:p>
    <w:p w:rsidR="00A8728B" w:rsidRDefault="00A8728B" w:rsidP="00A8728B">
      <w:r>
        <w:t>&lt;ESMA_QUESTION_</w:t>
      </w:r>
      <w:r w:rsidR="002A38B9">
        <w:t>RTS_153_26</w:t>
      </w:r>
      <w:r>
        <w:t>_7&gt;</w:t>
      </w:r>
    </w:p>
    <w:p w:rsidR="00A8728B" w:rsidRDefault="00A8728B" w:rsidP="00A8728B">
      <w:permStart w:id="1836974559" w:edGrp="everyone"/>
      <w:r>
        <w:t>TYPE YOUR TEXT HERE</w:t>
      </w:r>
    </w:p>
    <w:permEnd w:id="1836974559"/>
    <w:p w:rsidR="00A8728B" w:rsidRDefault="00A8728B" w:rsidP="00A8728B">
      <w:r>
        <w:t>&lt;ESMA_QUESTION_</w:t>
      </w:r>
      <w:r w:rsidR="002A38B9">
        <w:t>RTS_153_26</w:t>
      </w:r>
      <w:r>
        <w:t>_7&gt;</w:t>
      </w:r>
    </w:p>
    <w:p w:rsidR="00A8728B" w:rsidRPr="00C24BCA" w:rsidRDefault="002A38B9" w:rsidP="002A38B9">
      <w:pPr>
        <w:pStyle w:val="CPQuestions"/>
      </w:pPr>
      <w:r w:rsidRPr="002A38B9">
        <w:t xml:space="preserve">Is there any other aspect or concern that ESMA should consider when reviewing Article 26 with respect to client accounts? </w:t>
      </w:r>
      <w:r>
        <w:t xml:space="preserve"> </w:t>
      </w:r>
    </w:p>
    <w:p w:rsidR="00A8728B" w:rsidRDefault="00A8728B" w:rsidP="00A8728B">
      <w:r>
        <w:t>&lt;ESMA_QUESTION_</w:t>
      </w:r>
      <w:r w:rsidR="002A38B9">
        <w:t>RTS_153_26</w:t>
      </w:r>
      <w:r>
        <w:t>_8&gt;</w:t>
      </w:r>
    </w:p>
    <w:p w:rsidR="00A8728B" w:rsidRDefault="00A8728B" w:rsidP="00A8728B">
      <w:permStart w:id="1667387976" w:edGrp="everyone"/>
      <w:r>
        <w:t>TYPE YOUR TEXT HERE</w:t>
      </w:r>
    </w:p>
    <w:permEnd w:id="1667387976"/>
    <w:p w:rsidR="00A8728B" w:rsidRDefault="00A8728B" w:rsidP="00A8728B">
      <w:r>
        <w:t>&lt;ESMA_QUESTION_</w:t>
      </w:r>
      <w:r w:rsidR="002A38B9">
        <w:t>RTS_153_26</w:t>
      </w:r>
      <w:r>
        <w:t>_8&gt;</w:t>
      </w:r>
    </w:p>
    <w:sectPr w:rsidR="00A8728B"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A3" w:rsidRDefault="008B76A3">
      <w:r>
        <w:separator/>
      </w:r>
    </w:p>
    <w:p w:rsidR="008B76A3" w:rsidRDefault="008B76A3"/>
  </w:endnote>
  <w:endnote w:type="continuationSeparator" w:id="0">
    <w:p w:rsidR="008B76A3" w:rsidRDefault="008B76A3">
      <w:r>
        <w:continuationSeparator/>
      </w:r>
    </w:p>
    <w:p w:rsidR="008B76A3" w:rsidRDefault="008B76A3"/>
  </w:endnote>
  <w:endnote w:type="continuationNotice" w:id="1">
    <w:p w:rsidR="008B76A3" w:rsidRDefault="008B7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46124">
            <w:rPr>
              <w:rFonts w:cs="Arial"/>
              <w:noProof/>
              <w:sz w:val="22"/>
              <w:szCs w:val="22"/>
            </w:rPr>
            <w:t>4</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A3" w:rsidRDefault="008B76A3">
      <w:r>
        <w:separator/>
      </w:r>
    </w:p>
    <w:p w:rsidR="008B76A3" w:rsidRDefault="008B76A3"/>
  </w:footnote>
  <w:footnote w:type="continuationSeparator" w:id="0">
    <w:p w:rsidR="008B76A3" w:rsidRDefault="008B76A3">
      <w:r>
        <w:continuationSeparator/>
      </w:r>
    </w:p>
    <w:p w:rsidR="008B76A3" w:rsidRDefault="008B76A3"/>
  </w:footnote>
  <w:footnote w:type="continuationNotice" w:id="1">
    <w:p w:rsidR="008B76A3" w:rsidRDefault="008B76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2E9D748B" wp14:editId="698CC512">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587135CE" wp14:editId="0A29F9C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E642A3B"/>
    <w:multiLevelType w:val="hybridMultilevel"/>
    <w:tmpl w:val="C004C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10"/>
  </w:num>
  <w:num w:numId="24">
    <w:abstractNumId w:val="29"/>
  </w:num>
  <w:num w:numId="25">
    <w:abstractNumId w:val="28"/>
  </w:num>
  <w:num w:numId="26">
    <w:abstractNumId w:val="19"/>
  </w:num>
  <w:num w:numId="27">
    <w:abstractNumId w:val="32"/>
  </w:num>
  <w:num w:numId="28">
    <w:abstractNumId w:val="37"/>
  </w:num>
  <w:num w:numId="29">
    <w:abstractNumId w:val="8"/>
  </w:num>
  <w:num w:numId="30">
    <w:abstractNumId w:val="3"/>
  </w:num>
  <w:num w:numId="31">
    <w:abstractNumId w:val="21"/>
  </w:num>
  <w:num w:numId="32">
    <w:abstractNumId w:val="2"/>
  </w:num>
  <w:num w:numId="33">
    <w:abstractNumId w:val="7"/>
  </w:num>
  <w:num w:numId="34">
    <w:abstractNumId w:val="20"/>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YZ+c4YY9TRWLZATpFdI43x0bWWo=" w:salt="jws5g/9wGua90+Vx0Qv54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83A"/>
    <w:rsid w:val="00003AEB"/>
    <w:rsid w:val="00003E1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350"/>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4A37"/>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4D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8B9"/>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AF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6AD"/>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6A3"/>
    <w:rsid w:val="008C0320"/>
    <w:rsid w:val="008C2A81"/>
    <w:rsid w:val="008C3863"/>
    <w:rsid w:val="008C4BDC"/>
    <w:rsid w:val="008C50FF"/>
    <w:rsid w:val="008C5435"/>
    <w:rsid w:val="008C6BD1"/>
    <w:rsid w:val="008C72C3"/>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240"/>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687"/>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F8C"/>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46124"/>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78C"/>
    <w:rsid w:val="00DD61F5"/>
    <w:rsid w:val="00DE64A6"/>
    <w:rsid w:val="00DE66EB"/>
    <w:rsid w:val="00DE7035"/>
    <w:rsid w:val="00DF12E3"/>
    <w:rsid w:val="00DF3F1D"/>
    <w:rsid w:val="00DF3F8B"/>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2D30"/>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urexclearing.com/blob/115394/affab634042342489630d1596a9cfec5/data/factsheet_eurex_clearing_prism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nodalexchange.com/products_and_services/clearing/clearing.php"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4617C-7F06-407D-B6FD-E0265C27B4A9}">
  <ds:schemaRefs>
    <ds:schemaRef ds:uri="http://schemas.openxmlformats.org/officeDocument/2006/bibliography"/>
  </ds:schemaRefs>
</ds:datastoreItem>
</file>

<file path=customXml/itemProps2.xml><?xml version="1.0" encoding="utf-8"?>
<ds:datastoreItem xmlns:ds="http://schemas.openxmlformats.org/officeDocument/2006/customXml" ds:itemID="{A31FEF73-5F1B-444D-837A-F12C0C09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2324</Words>
  <Characters>13250</Characters>
  <Application>Microsoft Office Word</Application>
  <DocSecurity>12</DocSecurity>
  <Lines>110</Lines>
  <Paragraphs>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15543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Campbell, Lael E:(Constellation)</cp:lastModifiedBy>
  <cp:revision>2</cp:revision>
  <cp:lastPrinted>2015-02-18T11:01:00Z</cp:lastPrinted>
  <dcterms:created xsi:type="dcterms:W3CDTF">2015-09-29T19:45:00Z</dcterms:created>
  <dcterms:modified xsi:type="dcterms:W3CDTF">2015-09-29T19:45:00Z</dcterms:modified>
</cp:coreProperties>
</file>