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w:t>
      </w:r>
      <w:bookmarkStart w:id="1" w:name="_GoBack"/>
      <w:bookmarkEnd w:id="1"/>
      <w:r w:rsidRPr="00EF0769">
        <w:rPr>
          <w:rFonts w:cs="Arial"/>
        </w:rPr>
        <w: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964402" w:rsidRDefault="00964402" w:rsidP="00964402">
      <w:pPr>
        <w:jc w:val="both"/>
      </w:pPr>
      <w:permStart w:id="1791711110" w:edGrp="everyone"/>
      <w:r>
        <w:t>C</w:t>
      </w:r>
      <w:r w:rsidR="00741701">
        <w:t xml:space="preserve">hicago Mercantile Exchange </w:t>
      </w:r>
      <w:r>
        <w:t xml:space="preserve">Inc. </w:t>
      </w:r>
      <w:r w:rsidR="00CE63F8">
        <w:t xml:space="preserve">(“CME”) </w:t>
      </w:r>
      <w:r>
        <w:t>and CME Clearing Europe, together CME Group</w:t>
      </w:r>
      <w:r w:rsidR="00CE63F8">
        <w:t xml:space="preserve"> Inc. (“CME Group”)</w:t>
      </w:r>
      <w:r>
        <w:t xml:space="preserve">, appreciate the opportunity to comment on ESMA’s consultation paper regarding liquidation periods for client accounts.  CME Group is the parent company of four Designated Contract Markets (“DCMs”): </w:t>
      </w:r>
      <w:r w:rsidR="00CE63F8">
        <w:t>CME</w:t>
      </w:r>
      <w:r>
        <w:t>, the Board of Trade of the City of Chicago, Inc. (“CBOT”), the New York Mercantile E</w:t>
      </w:r>
      <w:r>
        <w:t>x</w:t>
      </w:r>
      <w:r>
        <w:t>change, Inc. (“NYMEX”), and the Commodity Exchange, Inc. (“COMEX”).  These DCMs offer the widest range of benchmark products available across all major asset classes, including futures and options based on interest rates, equity indexes, foreign exchange, energy, metals, agricultural commodities, and alternative investment products.  CME’s clearing house division (“CME Clearing”) and CME Clearing Europe offer clearing and settlement services for exchange-traded futures contracts and over-the-counter (“OTC”) derivatives.  CME Clearing Europe is regulated and supervised by the Bank of England as an authorized central counterparty under the European Market Infrastructure Regulations (“EMIR”).  CME Clearing is</w:t>
      </w:r>
      <w:r w:rsidR="00CE63F8">
        <w:t xml:space="preserve"> registered with the CFTC as a Derivatives Clearing O</w:t>
      </w:r>
      <w:r>
        <w:t>rganization (“DCO”), has been deemed a systemically important financial market utility by the Financial Stability Oversight Council and is in the process of becoming recognized under EMIR.</w:t>
      </w:r>
    </w:p>
    <w:p w:rsidR="00964402" w:rsidRDefault="00964402" w:rsidP="00964402">
      <w:pPr>
        <w:jc w:val="both"/>
      </w:pPr>
    </w:p>
    <w:p w:rsidR="00964402" w:rsidRDefault="00964402" w:rsidP="00964402">
      <w:pPr>
        <w:jc w:val="both"/>
      </w:pPr>
      <w:r>
        <w:t>C</w:t>
      </w:r>
      <w:r w:rsidR="00D614E9">
        <w:t>ME Clearing is strongly in favo</w:t>
      </w:r>
      <w:r>
        <w:t xml:space="preserve">r of a gross margining standard, as it results in more collateral held at the CCP which facilitates porting and liquidation in default scenarios (since all customers are fully margined at the CCP), while increasing the CCP’s ability to withstand daily price moves under both normal and stressed market </w:t>
      </w:r>
      <w:r w:rsidRPr="0074247B">
        <w:t xml:space="preserve">conditions.  </w:t>
      </w:r>
      <w:r w:rsidRPr="004A5FD9">
        <w:t>Historically, 1-day liquidation periods for liquid contracts traded on central limit order books have been more than sufficient to allow for hedging, or otherwise offset</w:t>
      </w:r>
      <w:r>
        <w:t>ting</w:t>
      </w:r>
      <w:r w:rsidRPr="004A5FD9">
        <w:t xml:space="preserve"> risks in the portfolio, and successful customer porting during periods of high volatility.</w:t>
      </w:r>
      <w:r>
        <w:t xml:space="preserve"> </w:t>
      </w:r>
      <w:r w:rsidRPr="0074247B">
        <w:t xml:space="preserve"> </w:t>
      </w:r>
      <w:r>
        <w:t>Gross margining reduces fellow customer risk, protects clearing members from large client exposures, and allows the CCP to maintain market stability by providing maximum porting flexibility in a clearing member default.  Net margining, as shown in the quantitative analysis later in this response, considerably reduces the amount of margin available to the CCP and inhibits successful porting of client portfolios.  Further, it may lead to a vicious cycle of client defaults in stressed market conditions, given that the collapse of one customer has a grea</w:t>
      </w:r>
      <w:r>
        <w:t>t</w:t>
      </w:r>
      <w:r>
        <w:t xml:space="preserve">er impact on the margin of another, in conjunction with that of the clearing member, in net margining regime.  As noted in a review of the Hong Kong Futures and Stock Exchanges, after the near-collapse of the Hong Kong Guarantee Fund Corporation and risk management failure by ICCH Hong Kong in October 1987, extreme volatility led to margin calls that numerous participants could not meet.  The inadequate margin levels resulted in a recommendation by the Review Committee to migrate to a gross margining standard, citing the following reasons: </w:t>
      </w:r>
    </w:p>
    <w:p w:rsidR="00964402" w:rsidRDefault="00964402" w:rsidP="00964402">
      <w:pPr>
        <w:jc w:val="both"/>
      </w:pPr>
    </w:p>
    <w:p w:rsidR="00964402" w:rsidRPr="00861E88" w:rsidRDefault="00964402" w:rsidP="00964402">
      <w:pPr>
        <w:ind w:left="576" w:right="576"/>
        <w:jc w:val="both"/>
        <w:rPr>
          <w:i/>
        </w:rPr>
      </w:pPr>
      <w:r w:rsidRPr="00861E88">
        <w:rPr>
          <w:i/>
        </w:rPr>
        <w:t>“(b) The CH in particular can be better – possibly much better – protected against price swings.  Under a gross system it can withstand a higher price shift for the same level of d</w:t>
      </w:r>
      <w:r w:rsidRPr="00861E88">
        <w:rPr>
          <w:i/>
        </w:rPr>
        <w:t>e</w:t>
      </w:r>
      <w:r w:rsidRPr="00861E88">
        <w:rPr>
          <w:i/>
        </w:rPr>
        <w:t>fault.  In other words, the effect rate of margin for the CH is increased;</w:t>
      </w:r>
    </w:p>
    <w:p w:rsidR="00964402" w:rsidRDefault="00964402" w:rsidP="00964402">
      <w:pPr>
        <w:ind w:left="576" w:right="576"/>
        <w:jc w:val="both"/>
        <w:rPr>
          <w:i/>
        </w:rPr>
      </w:pPr>
      <w:r w:rsidRPr="00861E88">
        <w:rPr>
          <w:i/>
        </w:rPr>
        <w:t>(c) In the event of a default, the CH may find it easier to transfer individual client positions to another broker as the whole of the relevant margin can be transferred at the same time”</w:t>
      </w:r>
      <w:r w:rsidRPr="00662030">
        <w:rPr>
          <w:i/>
          <w:vertAlign w:val="superscript"/>
        </w:rPr>
        <w:t>1</w:t>
      </w:r>
    </w:p>
    <w:p w:rsidR="00964402" w:rsidRDefault="00964402" w:rsidP="00964402">
      <w:pPr>
        <w:jc w:val="both"/>
      </w:pPr>
    </w:p>
    <w:p w:rsidR="00964402" w:rsidRDefault="00964402" w:rsidP="00964402">
      <w:pPr>
        <w:jc w:val="both"/>
      </w:pPr>
      <w:r>
        <w:t xml:space="preserve">Effectively, the analysis concluded that the system would have been better protected in a gross margin regime because of the ability of the CCP to withstand larger price shocks within margin cover and the fact that it would have been better able to transfer client positions to a new clearing member due to the full client margin on deposit at the CCP.  </w:t>
      </w:r>
    </w:p>
    <w:p w:rsidR="00964402" w:rsidRDefault="00964402" w:rsidP="00964402">
      <w:pPr>
        <w:jc w:val="both"/>
      </w:pPr>
    </w:p>
    <w:p w:rsidR="00964402" w:rsidRDefault="00964402" w:rsidP="00964402">
      <w:pPr>
        <w:jc w:val="both"/>
      </w:pPr>
      <w:r>
        <w:t>This event exemplifies the fundamental role of margin in risk management and the market-wide disru</w:t>
      </w:r>
      <w:r>
        <w:t>p</w:t>
      </w:r>
      <w:r>
        <w:t>tions that imprudent margin setting and collection can cause.  Substantial quantitative analysis, in conjun</w:t>
      </w:r>
      <w:r>
        <w:t>c</w:t>
      </w:r>
      <w:r>
        <w:t>tion with the reasoning cited above, supports CME Clearing’s conclusion that gross margining of client accounts results in significantly greater margin levels at CCPs.  This is true even where applying an i</w:t>
      </w:r>
      <w:r>
        <w:t>n</w:t>
      </w:r>
      <w:r w:rsidR="00CE63F8">
        <w:t>creased liquidation period of 2-day</w:t>
      </w:r>
      <w:r>
        <w:t xml:space="preserve"> in a net regime versus a 1-day liquidation period for gross margining.  The deficiencies of a net margin regime are exacerbated where clearing members are only required to collect reduced levels of margin, if any, from their clients.  It is important that regulators both require clearing members to collect gross margin from their customers and ensure that CCPs closely monitor that clearing members collect the required margin.  Such a requirement exists in the US and has proven valuable in ensuring that sufficient margin is collected and held by clearing members, in addition to CCPs.  </w:t>
      </w:r>
    </w:p>
    <w:p w:rsidR="00964402" w:rsidRDefault="00964402" w:rsidP="00964402">
      <w:pPr>
        <w:jc w:val="both"/>
      </w:pPr>
    </w:p>
    <w:p w:rsidR="00355671" w:rsidRDefault="00964402" w:rsidP="00964402">
      <w:pPr>
        <w:jc w:val="both"/>
      </w:pPr>
      <w:r>
        <w:t>During periods of market stress or in default scenarios, clients are likely to be subject to much more pr</w:t>
      </w:r>
      <w:r>
        <w:t>o</w:t>
      </w:r>
      <w:r>
        <w:t>cyclical margin calls, while collateral in other markets will be simultaneously more constrained.</w:t>
      </w:r>
      <w:r w:rsidR="00355671">
        <w:t xml:space="preserve">  The r</w:t>
      </w:r>
      <w:r w:rsidR="00355671">
        <w:t>e</w:t>
      </w:r>
      <w:r w:rsidR="00355671">
        <w:t>duced availability of quality collateral increases the likelihood of additional client, and potentially clearing member, defaults.</w:t>
      </w:r>
      <w:r>
        <w:t xml:space="preserve">  </w:t>
      </w:r>
      <w:r w:rsidR="00D614E9">
        <w:t>Given that clients are likely to</w:t>
      </w:r>
      <w:r w:rsidR="00355671">
        <w:t xml:space="preserve"> be ported to multiple clearing member</w:t>
      </w:r>
      <w:r w:rsidR="00D614E9">
        <w:t>s under a net regime, partially or fully eliminating</w:t>
      </w:r>
      <w:r w:rsidR="00355671">
        <w:t xml:space="preserve"> netting benefits</w:t>
      </w:r>
      <w:r w:rsidR="00D614E9">
        <w:t xml:space="preserve"> and thus increasing the margin requirements for client portfolios</w:t>
      </w:r>
      <w:r w:rsidR="00355671">
        <w:t>, the limited availability of quality collateral</w:t>
      </w:r>
      <w:r w:rsidR="00D614E9">
        <w:t xml:space="preserve"> may be exacerbated</w:t>
      </w:r>
      <w:r w:rsidR="00355671">
        <w:t xml:space="preserve">. </w:t>
      </w:r>
    </w:p>
    <w:p w:rsidR="00355671" w:rsidRDefault="00355671" w:rsidP="00964402">
      <w:pPr>
        <w:jc w:val="both"/>
      </w:pPr>
    </w:p>
    <w:p w:rsidR="00964402" w:rsidRPr="00861E88" w:rsidRDefault="00964402" w:rsidP="00964402">
      <w:pPr>
        <w:jc w:val="both"/>
      </w:pPr>
      <w:r>
        <w:t>The determination of the quality of a margin regime should be made in light of the coverage it provides across asset classes, the appropriateness of the account structure, and the effectiveness and efficiency of the system in terms of risk management and operations, respectively, in periods of market stress and default scenarios.  Focusing myopically on liquidation periods rather than considering the variety of factors that impact the robustness of margin standards, such as gross versus net, intraday day settlement cycles, appropriateness of lookback periods, confidence versus coverage level and a number of other factors, will result in reduced market stability and increased systemic risk during times of stress.   The data makes clear that 1-day gross results in higher CCP held margin levels than 2-day net, particularly at large sy</w:t>
      </w:r>
      <w:r>
        <w:t>s</w:t>
      </w:r>
      <w:r>
        <w:t>temically important CCPs.  The impact of gross margin standards on CCP held margin is only reinforced when comparing 5-day net and 5-day gross for OTC portfolios where gross results in approximately do</w:t>
      </w:r>
      <w:r>
        <w:t>u</w:t>
      </w:r>
      <w:r>
        <w:t>ble the CCP held margin based on CME Clearing’s analysis.</w:t>
      </w:r>
    </w:p>
    <w:p w:rsidR="00964402" w:rsidRDefault="00964402" w:rsidP="00964402">
      <w:pPr>
        <w:jc w:val="both"/>
      </w:pPr>
    </w:p>
    <w:p w:rsidR="00964402" w:rsidRPr="00AA6987" w:rsidRDefault="00964402" w:rsidP="00964402">
      <w:pPr>
        <w:jc w:val="both"/>
        <w:rPr>
          <w:i/>
          <w:sz w:val="17"/>
          <w:szCs w:val="17"/>
        </w:rPr>
      </w:pPr>
      <w:r w:rsidRPr="00662030">
        <w:rPr>
          <w:i/>
          <w:sz w:val="17"/>
          <w:szCs w:val="17"/>
          <w:vertAlign w:val="superscript"/>
        </w:rPr>
        <w:t>1</w:t>
      </w:r>
      <w:r w:rsidRPr="00AA6987">
        <w:rPr>
          <w:i/>
          <w:sz w:val="17"/>
          <w:szCs w:val="17"/>
        </w:rPr>
        <w:t xml:space="preserve">Report of the Securities Committee Review on the Operation and Regulation of the Hong Kong Securities Industry 5/27/1988 </w:t>
      </w:r>
    </w:p>
    <w:permEnd w:id="1791711110"/>
    <w:p w:rsidR="00D34282" w:rsidRPr="00C25863" w:rsidRDefault="00D34282" w:rsidP="00D34282">
      <w:r w:rsidRPr="00C25863">
        <w:t>&lt;</w:t>
      </w:r>
      <w:r w:rsidRPr="00D74C9D">
        <w:t xml:space="preserve"> </w:t>
      </w:r>
      <w:r>
        <w:t>ESMA_COMMENT</w:t>
      </w:r>
      <w:r w:rsidRPr="00C25863">
        <w:t>_</w:t>
      </w:r>
      <w:r w:rsidR="00F62D30" w:rsidRPr="00F62D30">
        <w:rPr>
          <w:rFonts w:cs="Arial"/>
        </w:rPr>
        <w:t xml:space="preserve"> </w:t>
      </w:r>
      <w:r w:rsidR="00F62D30">
        <w:rPr>
          <w:rFonts w:cs="Arial"/>
        </w:rPr>
        <w:t>RTS_153_26</w:t>
      </w:r>
      <w:r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964402" w:rsidRDefault="00964402" w:rsidP="00964402">
      <w:pPr>
        <w:jc w:val="both"/>
      </w:pPr>
      <w:permStart w:id="1218001631" w:edGrp="everyone"/>
      <w:r>
        <w:t xml:space="preserve">A gross margining regime </w:t>
      </w:r>
      <w:r w:rsidRPr="003F60E7">
        <w:t xml:space="preserve">results in higher client margin </w:t>
      </w:r>
      <w:r>
        <w:t>collection by a CCP even where a net regime utilizes a longer liquidation period (e.g. 1</w:t>
      </w:r>
      <w:r w:rsidR="00CE63F8">
        <w:t>- versus 2-day</w:t>
      </w:r>
      <w:r>
        <w:t>)</w:t>
      </w:r>
      <w:r w:rsidRPr="003F60E7">
        <w:t>.</w:t>
      </w:r>
      <w:r>
        <w:t xml:space="preserve">  Below CME Clearing has provided a comparison of its margin levels under the CFTC 1-day gross plus procyclicality regime versus what they would be under the EMIR 2-day net plus 25% procyclicality buffer standard. Utilizing a one month data set and breaking the comparison down on an asset class basis, CME Clearing found that the smallest average ratio of gross to net was over 210% in energy.  On average, CME Clearing under the CFTC standards held 302% of the margin that wo</w:t>
      </w:r>
      <w:r w:rsidR="00CE63F8">
        <w:t>uld be required of it under a 2-</w:t>
      </w:r>
      <w:r>
        <w:t xml:space="preserve">day net plus procyclicality margin standard under EMIR. </w:t>
      </w:r>
    </w:p>
    <w:p w:rsidR="00964402" w:rsidRDefault="00964402" w:rsidP="00964402">
      <w:pPr>
        <w:jc w:val="both"/>
      </w:pPr>
    </w:p>
    <w:p w:rsidR="00964402" w:rsidRPr="00165117" w:rsidRDefault="00964402" w:rsidP="00964402">
      <w:pPr>
        <w:jc w:val="both"/>
      </w:pPr>
      <w:r>
        <w:t>The table below provides an asset class level breakdown of the differences in margin collection under both regimes.</w:t>
      </w:r>
    </w:p>
    <w:p w:rsidR="00964402" w:rsidRDefault="00964402" w:rsidP="00964402">
      <w:pPr>
        <w:rPr>
          <w:b/>
          <w:color w:val="FF0000"/>
        </w:rPr>
      </w:pPr>
    </w:p>
    <w:tbl>
      <w:tblPr>
        <w:tblW w:w="8543" w:type="dxa"/>
        <w:tblInd w:w="93" w:type="dxa"/>
        <w:tblLook w:val="04A0" w:firstRow="1" w:lastRow="0" w:firstColumn="1" w:lastColumn="0" w:noHBand="0" w:noVBand="1"/>
      </w:tblPr>
      <w:tblGrid>
        <w:gridCol w:w="1117"/>
        <w:gridCol w:w="1172"/>
        <w:gridCol w:w="895"/>
        <w:gridCol w:w="928"/>
        <w:gridCol w:w="895"/>
        <w:gridCol w:w="1502"/>
        <w:gridCol w:w="895"/>
        <w:gridCol w:w="1139"/>
      </w:tblGrid>
      <w:tr w:rsidR="00964402" w:rsidRPr="00987653" w:rsidTr="000B20D7">
        <w:trPr>
          <w:trHeight w:val="300"/>
        </w:trPr>
        <w:tc>
          <w:tcPr>
            <w:tcW w:w="1117"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p>
        </w:tc>
        <w:tc>
          <w:tcPr>
            <w:tcW w:w="7426" w:type="dxa"/>
            <w:gridSpan w:val="7"/>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Asset Class Level Comparison</w:t>
            </w:r>
          </w:p>
        </w:tc>
      </w:tr>
      <w:tr w:rsidR="00964402" w:rsidRPr="00987653" w:rsidTr="000B20D7">
        <w:trPr>
          <w:trHeight w:val="300"/>
        </w:trPr>
        <w:tc>
          <w:tcPr>
            <w:tcW w:w="1117"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p>
        </w:tc>
        <w:tc>
          <w:tcPr>
            <w:tcW w:w="1172"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Agriculture</w:t>
            </w:r>
          </w:p>
        </w:tc>
        <w:tc>
          <w:tcPr>
            <w:tcW w:w="895"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Energy</w:t>
            </w:r>
          </w:p>
        </w:tc>
        <w:tc>
          <w:tcPr>
            <w:tcW w:w="928"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Equities</w:t>
            </w:r>
          </w:p>
        </w:tc>
        <w:tc>
          <w:tcPr>
            <w:tcW w:w="895"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FX</w:t>
            </w:r>
          </w:p>
        </w:tc>
        <w:tc>
          <w:tcPr>
            <w:tcW w:w="1502"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Interest Rates</w:t>
            </w:r>
          </w:p>
        </w:tc>
        <w:tc>
          <w:tcPr>
            <w:tcW w:w="895"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Metals</w:t>
            </w:r>
          </w:p>
        </w:tc>
        <w:tc>
          <w:tcPr>
            <w:tcW w:w="1139"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szCs w:val="20"/>
                <w:lang w:val="en-US" w:eastAsia="en-US"/>
              </w:rPr>
            </w:pPr>
            <w:r w:rsidRPr="00987653">
              <w:rPr>
                <w:rFonts w:ascii="Helvetica" w:hAnsi="Helvetica" w:cs="Helvetica"/>
                <w:szCs w:val="20"/>
                <w:lang w:val="en-US" w:eastAsia="en-US"/>
              </w:rPr>
              <w:t>Aggregate</w:t>
            </w:r>
          </w:p>
        </w:tc>
      </w:tr>
      <w:tr w:rsidR="00964402" w:rsidRPr="00987653" w:rsidTr="000B20D7">
        <w:trPr>
          <w:trHeight w:val="300"/>
        </w:trPr>
        <w:tc>
          <w:tcPr>
            <w:tcW w:w="1117" w:type="dxa"/>
            <w:tcBorders>
              <w:top w:val="nil"/>
              <w:left w:val="nil"/>
              <w:bottom w:val="nil"/>
              <w:right w:val="nil"/>
            </w:tcBorders>
            <w:shd w:val="clear" w:color="auto" w:fill="auto"/>
            <w:noWrap/>
            <w:vAlign w:val="bottom"/>
            <w:hideMark/>
          </w:tcPr>
          <w:p w:rsidR="00964402" w:rsidRPr="00987653" w:rsidRDefault="00964402" w:rsidP="000B20D7">
            <w:pPr>
              <w:jc w:val="center"/>
              <w:rPr>
                <w:rFonts w:ascii="Helvetica" w:hAnsi="Helvetica" w:cs="Helvetica"/>
                <w:b/>
                <w:bCs/>
                <w:szCs w:val="20"/>
                <w:lang w:val="en-US" w:eastAsia="en-US"/>
              </w:rPr>
            </w:pPr>
            <w:r w:rsidRPr="00987653">
              <w:rPr>
                <w:rFonts w:ascii="Helvetica" w:hAnsi="Helvetica" w:cs="Helvetica"/>
                <w:b/>
                <w:bCs/>
                <w:szCs w:val="20"/>
                <w:lang w:val="en-US" w:eastAsia="en-US"/>
              </w:rPr>
              <w:t>Averages</w:t>
            </w:r>
          </w:p>
        </w:tc>
        <w:tc>
          <w:tcPr>
            <w:tcW w:w="1172"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222.1%</w:t>
            </w:r>
          </w:p>
        </w:tc>
        <w:tc>
          <w:tcPr>
            <w:tcW w:w="895"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210.2%</w:t>
            </w:r>
          </w:p>
        </w:tc>
        <w:tc>
          <w:tcPr>
            <w:tcW w:w="928"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446.4%</w:t>
            </w:r>
          </w:p>
        </w:tc>
        <w:tc>
          <w:tcPr>
            <w:tcW w:w="895"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269.4%</w:t>
            </w:r>
          </w:p>
        </w:tc>
        <w:tc>
          <w:tcPr>
            <w:tcW w:w="1502"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315.9%</w:t>
            </w:r>
          </w:p>
        </w:tc>
        <w:tc>
          <w:tcPr>
            <w:tcW w:w="895"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253.2%</w:t>
            </w:r>
          </w:p>
        </w:tc>
        <w:tc>
          <w:tcPr>
            <w:tcW w:w="1139" w:type="dxa"/>
            <w:tcBorders>
              <w:top w:val="nil"/>
              <w:left w:val="nil"/>
              <w:bottom w:val="nil"/>
              <w:right w:val="nil"/>
            </w:tcBorders>
            <w:shd w:val="clear" w:color="auto" w:fill="auto"/>
            <w:noWrap/>
            <w:vAlign w:val="bottom"/>
            <w:hideMark/>
          </w:tcPr>
          <w:p w:rsidR="00964402" w:rsidRDefault="00964402" w:rsidP="000B20D7">
            <w:pPr>
              <w:jc w:val="center"/>
              <w:rPr>
                <w:rFonts w:ascii="Helvetica" w:hAnsi="Helvetica" w:cs="Helvetica"/>
                <w:b/>
                <w:bCs/>
                <w:szCs w:val="20"/>
              </w:rPr>
            </w:pPr>
            <w:r>
              <w:rPr>
                <w:rFonts w:ascii="Helvetica" w:hAnsi="Helvetica" w:cs="Helvetica"/>
                <w:b/>
                <w:bCs/>
                <w:szCs w:val="20"/>
              </w:rPr>
              <w:t>302.5%</w:t>
            </w:r>
          </w:p>
        </w:tc>
      </w:tr>
    </w:tbl>
    <w:p w:rsidR="00964402" w:rsidRDefault="00964402" w:rsidP="00964402">
      <w:pPr>
        <w:rPr>
          <w:b/>
          <w:color w:val="FF0000"/>
        </w:rPr>
      </w:pPr>
    </w:p>
    <w:p w:rsidR="00964402" w:rsidRPr="00D23026" w:rsidRDefault="00964402" w:rsidP="00964402">
      <w:pPr>
        <w:jc w:val="center"/>
        <w:rPr>
          <w:i/>
          <w:sz w:val="18"/>
          <w:szCs w:val="18"/>
        </w:rPr>
      </w:pPr>
      <w:r w:rsidRPr="00D23026">
        <w:rPr>
          <w:i/>
          <w:sz w:val="18"/>
          <w:szCs w:val="18"/>
        </w:rPr>
        <w:t xml:space="preserve">Note that CME Clearing utilizes a variety of </w:t>
      </w:r>
      <w:r>
        <w:rPr>
          <w:i/>
          <w:sz w:val="18"/>
          <w:szCs w:val="18"/>
        </w:rPr>
        <w:t>tools to address procyclicality under</w:t>
      </w:r>
      <w:r w:rsidRPr="00D23026">
        <w:rPr>
          <w:i/>
          <w:sz w:val="18"/>
          <w:szCs w:val="18"/>
        </w:rPr>
        <w:t xml:space="preserve"> CFTC regulations, including but not limited to volatility floors and seasonal margin requirements</w:t>
      </w:r>
    </w:p>
    <w:p w:rsidR="00964402" w:rsidRDefault="00964402" w:rsidP="00964402">
      <w:pPr>
        <w:rPr>
          <w:b/>
          <w:color w:val="FF0000"/>
        </w:rPr>
      </w:pPr>
    </w:p>
    <w:p w:rsidR="00964402" w:rsidRPr="00165117" w:rsidRDefault="00964402" w:rsidP="00964402">
      <w:pPr>
        <w:jc w:val="both"/>
      </w:pPr>
      <w:r w:rsidRPr="00165117">
        <w:t xml:space="preserve">CME Clearing notes that the last sub-question in this </w:t>
      </w:r>
      <w:r>
        <w:t>section</w:t>
      </w:r>
      <w:r w:rsidRPr="00165117">
        <w:t xml:space="preserve"> appears to make an assumption that margin levels throughout the system would be higher under a 2</w:t>
      </w:r>
      <w:r>
        <w:t>-</w:t>
      </w:r>
      <w:r w:rsidRPr="00165117">
        <w:t>day net than a 1</w:t>
      </w:r>
      <w:r>
        <w:t>-</w:t>
      </w:r>
      <w:r w:rsidRPr="00165117">
        <w:t xml:space="preserve">day gross regime.  To the extent that this is the assumption being made, we believe it important to consider whether </w:t>
      </w:r>
      <w:r>
        <w:t>a</w:t>
      </w:r>
      <w:r w:rsidRPr="00165117">
        <w:t xml:space="preserve"> requirement </w:t>
      </w:r>
      <w:r>
        <w:t xml:space="preserve">exists </w:t>
      </w:r>
      <w:r w:rsidRPr="00165117">
        <w:t>to collect customer margin under EMIR</w:t>
      </w:r>
      <w:r>
        <w:t>.</w:t>
      </w:r>
      <w:r w:rsidRPr="00165117">
        <w:t xml:space="preserve">  </w:t>
      </w:r>
      <w:r>
        <w:t xml:space="preserve">It is our understanding that such a requirement does not exist under EMIR, let alone a requirement to collect client margin on a gross basis.  </w:t>
      </w:r>
      <w:r w:rsidRPr="00165117">
        <w:t xml:space="preserve">Barring </w:t>
      </w:r>
      <w:r>
        <w:t>such a</w:t>
      </w:r>
      <w:r w:rsidRPr="00165117">
        <w:t xml:space="preserve"> requirement, it is likely that the amount of margin required to</w:t>
      </w:r>
      <w:r>
        <w:t xml:space="preserve"> be</w:t>
      </w:r>
      <w:r w:rsidRPr="00165117">
        <w:t xml:space="preserve"> pass</w:t>
      </w:r>
      <w:r>
        <w:t>ed</w:t>
      </w:r>
      <w:r w:rsidRPr="00165117">
        <w:t xml:space="preserve"> on to the CCP </w:t>
      </w:r>
      <w:r w:rsidR="00CE63F8">
        <w:t>(greater under 1-</w:t>
      </w:r>
      <w:r>
        <w:t xml:space="preserve">day gross) </w:t>
      </w:r>
      <w:r w:rsidRPr="00165117">
        <w:t>will drive the margin collection practices of clearing members</w:t>
      </w:r>
      <w:r>
        <w:t>, due to the potential costs of margin financing, which would result in higher</w:t>
      </w:r>
      <w:r w:rsidR="00CE63F8">
        <w:t xml:space="preserve"> margin in the system under a 1-</w:t>
      </w:r>
      <w:r>
        <w:t xml:space="preserve">day gross margin regime. </w:t>
      </w:r>
    </w:p>
    <w:permEnd w:id="1218001631"/>
    <w:p w:rsidR="00A8728B" w:rsidRDefault="00A8728B" w:rsidP="00A8728B">
      <w:r>
        <w:t>&lt;ESMA_QUESTION_</w:t>
      </w:r>
      <w:r w:rsidR="002A38B9">
        <w:t>RTS_153_26</w:t>
      </w:r>
      <w:r>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964402" w:rsidRPr="00B932CA" w:rsidRDefault="00964402" w:rsidP="00964402">
      <w:pPr>
        <w:jc w:val="both"/>
        <w:rPr>
          <w:b/>
          <w:color w:val="FF0000"/>
        </w:rPr>
      </w:pPr>
      <w:permStart w:id="729699067" w:edGrp="everyone"/>
      <w:r w:rsidRPr="00165117">
        <w:t>I</w:t>
      </w:r>
      <w:r w:rsidRPr="00D31AB7">
        <w:t xml:space="preserve">rrespective of the asset class, gross </w:t>
      </w:r>
      <w:r>
        <w:t>client margin collection</w:t>
      </w:r>
      <w:r w:rsidRPr="00D31AB7">
        <w:t xml:space="preserve"> has proven to be </w:t>
      </w:r>
      <w:r>
        <w:t>more robust than net ma</w:t>
      </w:r>
      <w:r>
        <w:t>r</w:t>
      </w:r>
      <w:r>
        <w:t>gin collection</w:t>
      </w:r>
      <w:r w:rsidRPr="00D31AB7">
        <w:t xml:space="preserve">.  </w:t>
      </w:r>
      <w:r>
        <w:t>Gross margining increases client protection (by reducing the likelihood that one client will suffer losses due to the failure of another) and the level of margin held at the CCP, providing greater financial stability during periods of market stress.  Consequently, we believe it valuable to apply gross client margin standards to all financial instruments.  However, it is imperative to consider the risk chara</w:t>
      </w:r>
      <w:r>
        <w:t>c</w:t>
      </w:r>
      <w:r>
        <w:t>teristics, market structure and the level of liquidity for other financial instruments when developing the appropriate MPOR.</w:t>
      </w:r>
    </w:p>
    <w:permEnd w:id="729699067"/>
    <w:p w:rsidR="00A8728B" w:rsidRDefault="00A8728B" w:rsidP="00A8728B">
      <w:r>
        <w:lastRenderedPageBreak/>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964402" w:rsidRDefault="00964402" w:rsidP="00964402">
      <w:pPr>
        <w:jc w:val="both"/>
      </w:pPr>
      <w:permStart w:id="1976650249" w:edGrp="everyone"/>
      <w:r w:rsidRPr="00165117">
        <w:t xml:space="preserve">As stated previously, </w:t>
      </w:r>
      <w:r>
        <w:t>it is CME Clearing’s experience that</w:t>
      </w:r>
      <w:r w:rsidRPr="00165117">
        <w:t xml:space="preserve"> held margin levels </w:t>
      </w:r>
      <w:r w:rsidR="00CE63F8">
        <w:t>are significantly higher in a 1-day gross versus 2-</w:t>
      </w:r>
      <w:r w:rsidRPr="00165117">
        <w:t>day net regime for ETD and similar results are found u</w:t>
      </w:r>
      <w:r w:rsidR="00CE63F8">
        <w:t xml:space="preserve">nder a 5-day gross versus 5-day </w:t>
      </w:r>
      <w:r w:rsidRPr="00165117">
        <w:t>net regime for OTC derivatives.  For example, applying a 7-day MPOR for net margins would theoret</w:t>
      </w:r>
      <w:r w:rsidRPr="00165117">
        <w:t>i</w:t>
      </w:r>
      <w:r w:rsidRPr="00165117">
        <w:t>cally result in 20% higher requirements, using a blunt calculation standard.  In contr</w:t>
      </w:r>
      <w:r w:rsidR="00CE63F8">
        <w:t>ast, CME Clearing has found a 5-</w:t>
      </w:r>
      <w:r w:rsidRPr="00165117">
        <w:t xml:space="preserve">day gross standard to equate, on average, to </w:t>
      </w:r>
      <w:r>
        <w:t>approximately double the</w:t>
      </w:r>
      <w:r w:rsidRPr="00165117">
        <w:t xml:space="preserve"> margin held at the CCP.  </w:t>
      </w:r>
      <w:r>
        <w:t>Please see the analysis below (margin figures in millions):</w:t>
      </w:r>
    </w:p>
    <w:p w:rsidR="00964402" w:rsidRDefault="00964402" w:rsidP="00964402">
      <w:pPr>
        <w:jc w:val="both"/>
      </w:pPr>
    </w:p>
    <w:tbl>
      <w:tblPr>
        <w:tblW w:w="3731" w:type="dxa"/>
        <w:tblInd w:w="2845" w:type="dxa"/>
        <w:tblBorders>
          <w:insideH w:val="single" w:sz="4" w:space="0" w:color="auto"/>
          <w:insideV w:val="single" w:sz="4" w:space="0" w:color="auto"/>
        </w:tblBorders>
        <w:tblLayout w:type="fixed"/>
        <w:tblLook w:val="04A0" w:firstRow="1" w:lastRow="0" w:firstColumn="1" w:lastColumn="0" w:noHBand="0" w:noVBand="1"/>
      </w:tblPr>
      <w:tblGrid>
        <w:gridCol w:w="1865"/>
        <w:gridCol w:w="1866"/>
      </w:tblGrid>
      <w:tr w:rsidR="00964402" w:rsidRPr="00CF2EDE" w:rsidTr="000B20D7">
        <w:trPr>
          <w:trHeight w:val="300"/>
        </w:trPr>
        <w:tc>
          <w:tcPr>
            <w:tcW w:w="1865" w:type="dxa"/>
            <w:shd w:val="clear" w:color="auto" w:fill="auto"/>
            <w:noWrap/>
            <w:vAlign w:val="center"/>
            <w:hideMark/>
          </w:tcPr>
          <w:p w:rsidR="00964402" w:rsidRPr="00CF2EDE" w:rsidRDefault="00964402" w:rsidP="000B20D7">
            <w:pPr>
              <w:jc w:val="center"/>
              <w:rPr>
                <w:rFonts w:ascii="Helvetica" w:hAnsi="Helvetica"/>
                <w:color w:val="000000"/>
                <w:szCs w:val="20"/>
                <w:lang w:val="en-US" w:eastAsia="en-US"/>
              </w:rPr>
            </w:pPr>
            <w:r w:rsidRPr="00CF2EDE">
              <w:rPr>
                <w:rFonts w:ascii="Helvetica" w:hAnsi="Helvetica"/>
                <w:color w:val="000000"/>
                <w:szCs w:val="20"/>
                <w:lang w:val="en-US" w:eastAsia="en-US"/>
              </w:rPr>
              <w:t>5-day Gross vs. 5-day Net</w:t>
            </w:r>
          </w:p>
        </w:tc>
        <w:tc>
          <w:tcPr>
            <w:tcW w:w="1866" w:type="dxa"/>
            <w:shd w:val="clear" w:color="auto" w:fill="auto"/>
            <w:noWrap/>
            <w:vAlign w:val="center"/>
            <w:hideMark/>
          </w:tcPr>
          <w:p w:rsidR="00964402" w:rsidRPr="00CF2EDE" w:rsidRDefault="00964402" w:rsidP="000B20D7">
            <w:pPr>
              <w:jc w:val="center"/>
              <w:rPr>
                <w:rFonts w:ascii="Helvetica" w:hAnsi="Helvetica"/>
                <w:color w:val="000000"/>
                <w:szCs w:val="20"/>
                <w:lang w:val="en-US" w:eastAsia="en-US"/>
              </w:rPr>
            </w:pPr>
            <w:r w:rsidRPr="00CF2EDE">
              <w:rPr>
                <w:rFonts w:ascii="Helvetica" w:hAnsi="Helvetica"/>
                <w:color w:val="000000"/>
                <w:szCs w:val="20"/>
                <w:lang w:val="en-US" w:eastAsia="en-US"/>
              </w:rPr>
              <w:t>5-day Gross vs. 7-day Net</w:t>
            </w:r>
          </w:p>
        </w:tc>
      </w:tr>
      <w:tr w:rsidR="00964402" w:rsidRPr="00CF2EDE" w:rsidTr="000B20D7">
        <w:trPr>
          <w:trHeight w:val="300"/>
        </w:trPr>
        <w:tc>
          <w:tcPr>
            <w:tcW w:w="1865" w:type="dxa"/>
            <w:shd w:val="clear" w:color="auto" w:fill="auto"/>
            <w:noWrap/>
            <w:vAlign w:val="center"/>
            <w:hideMark/>
          </w:tcPr>
          <w:p w:rsidR="00964402" w:rsidRPr="002E5A14" w:rsidRDefault="00964402" w:rsidP="000B20D7">
            <w:pPr>
              <w:jc w:val="center"/>
              <w:rPr>
                <w:rFonts w:ascii="Helvetica" w:hAnsi="Helvetica"/>
                <w:b/>
                <w:color w:val="000000"/>
                <w:szCs w:val="20"/>
                <w:lang w:val="en-US" w:eastAsia="en-US"/>
              </w:rPr>
            </w:pPr>
            <w:r w:rsidRPr="002E5A14">
              <w:rPr>
                <w:rFonts w:ascii="Helvetica" w:hAnsi="Helvetica"/>
                <w:b/>
                <w:color w:val="000000"/>
                <w:szCs w:val="20"/>
                <w:lang w:val="en-US" w:eastAsia="en-US"/>
              </w:rPr>
              <w:t>266.6%</w:t>
            </w:r>
          </w:p>
        </w:tc>
        <w:tc>
          <w:tcPr>
            <w:tcW w:w="1866" w:type="dxa"/>
            <w:shd w:val="clear" w:color="auto" w:fill="auto"/>
            <w:noWrap/>
            <w:vAlign w:val="center"/>
            <w:hideMark/>
          </w:tcPr>
          <w:p w:rsidR="00964402" w:rsidRPr="002E5A14" w:rsidRDefault="00964402" w:rsidP="000B20D7">
            <w:pPr>
              <w:jc w:val="center"/>
              <w:rPr>
                <w:rFonts w:ascii="Helvetica" w:hAnsi="Helvetica"/>
                <w:b/>
                <w:color w:val="000000"/>
                <w:szCs w:val="20"/>
                <w:lang w:val="en-US" w:eastAsia="en-US"/>
              </w:rPr>
            </w:pPr>
            <w:r w:rsidRPr="002E5A14">
              <w:rPr>
                <w:rFonts w:ascii="Helvetica" w:hAnsi="Helvetica"/>
                <w:b/>
                <w:color w:val="000000"/>
                <w:szCs w:val="20"/>
                <w:lang w:val="en-US" w:eastAsia="en-US"/>
              </w:rPr>
              <w:t>222.2%</w:t>
            </w:r>
          </w:p>
        </w:tc>
      </w:tr>
    </w:tbl>
    <w:p w:rsidR="00964402" w:rsidRDefault="00964402" w:rsidP="00964402">
      <w:pPr>
        <w:jc w:val="both"/>
      </w:pPr>
    </w:p>
    <w:p w:rsidR="00964402" w:rsidRDefault="00964402" w:rsidP="00964402">
      <w:pPr>
        <w:jc w:val="both"/>
      </w:pPr>
    </w:p>
    <w:p w:rsidR="00964402" w:rsidRPr="00165117" w:rsidRDefault="00964402" w:rsidP="00964402">
      <w:pPr>
        <w:jc w:val="both"/>
      </w:pPr>
      <w:r w:rsidRPr="00165117">
        <w:t>Since the amount of margin held by the CCP has a controlling impact on the ability of a CCP to withstand market shocks and successfully po</w:t>
      </w:r>
      <w:r w:rsidR="00CE63F8">
        <w:t>rt its clients, the fact that 5-</w:t>
      </w:r>
      <w:r w:rsidRPr="00165117">
        <w:t>day gross results in higher CCP margin levels than 5</w:t>
      </w:r>
      <w:r w:rsidR="00CE63F8">
        <w:t>- or 7-</w:t>
      </w:r>
      <w:r w:rsidRPr="00165117">
        <w:t xml:space="preserve">day net should be considered by ESMA and national competent authorities </w:t>
      </w:r>
      <w:r>
        <w:t>in their evaluation of EMIR.  The best solution would be to implement a gross margin regime under EMIR to improve market stability and customer protection.</w:t>
      </w:r>
      <w:r w:rsidRPr="00165117">
        <w:t xml:space="preserve">  Should </w:t>
      </w:r>
      <w:r>
        <w:t xml:space="preserve">ESMA conclude that </w:t>
      </w:r>
      <w:r w:rsidRPr="00165117">
        <w:t xml:space="preserve">the net </w:t>
      </w:r>
      <w:r w:rsidR="00CE63F8">
        <w:t xml:space="preserve">margin </w:t>
      </w:r>
      <w:r w:rsidRPr="00165117">
        <w:t xml:space="preserve">regime </w:t>
      </w:r>
      <w:r>
        <w:t xml:space="preserve">should </w:t>
      </w:r>
      <w:r w:rsidRPr="00165117">
        <w:t xml:space="preserve">remain in place for OTC derivatives, </w:t>
      </w:r>
      <w:r>
        <w:t xml:space="preserve">the application of a longer liquidation period to obviate some of the differences between gross and net margin standards for OTC derivatives would be highly advisable.  </w:t>
      </w:r>
      <w:r w:rsidRPr="00165117">
        <w:t xml:space="preserve">  </w:t>
      </w:r>
    </w:p>
    <w:p w:rsidR="00964402" w:rsidRPr="00165117" w:rsidRDefault="00964402" w:rsidP="00964402">
      <w:pPr>
        <w:jc w:val="both"/>
      </w:pPr>
    </w:p>
    <w:p w:rsidR="00964402" w:rsidRPr="00165117" w:rsidRDefault="00964402" w:rsidP="00964402">
      <w:pPr>
        <w:jc w:val="both"/>
      </w:pPr>
      <w:r>
        <w:t>That said, w</w:t>
      </w:r>
      <w:r w:rsidRPr="00165117">
        <w:t xml:space="preserve">e believe that it would be wise to consider the entirety of </w:t>
      </w:r>
      <w:r>
        <w:t>tools in a given margin regime</w:t>
      </w:r>
      <w:r w:rsidRPr="00165117">
        <w:t xml:space="preserve"> rather than focusing on the liquidation period solely.  Many other factors impact margin standards at CCPs, as noted above and failing to consider the overall approach to margining will result in weaker customer protection, decreased market stability and increased likelihood of cross border regulatory conflict (pote</w:t>
      </w:r>
      <w:r w:rsidRPr="00165117">
        <w:t>n</w:t>
      </w:r>
      <w:r w:rsidRPr="00165117">
        <w:t xml:space="preserve">tially fragmenting liquidity </w:t>
      </w:r>
      <w:r>
        <w:t xml:space="preserve">and </w:t>
      </w:r>
      <w:r w:rsidRPr="00165117">
        <w:t xml:space="preserve">making global markets more volatile).  </w:t>
      </w:r>
      <w:r w:rsidR="00CE63F8">
        <w:t>G</w:t>
      </w:r>
      <w:r w:rsidRPr="00165117">
        <w:t>ross client margin collection should be the minimum standard rather than an increase to MPOR which may or may not be relevant.</w:t>
      </w:r>
    </w:p>
    <w:permEnd w:id="1976650249"/>
    <w:p w:rsidR="00A8728B" w:rsidRDefault="00A8728B" w:rsidP="00A8728B">
      <w:r>
        <w:t>&lt;ESMA_QUESTION_</w:t>
      </w:r>
      <w:r w:rsidR="002A38B9">
        <w:t>RTS_153_26</w:t>
      </w:r>
      <w:r>
        <w:t>_3&gt;</w:t>
      </w:r>
    </w:p>
    <w:p w:rsidR="00A8728B" w:rsidRPr="00B62727" w:rsidRDefault="002A38B9" w:rsidP="002A38B9">
      <w:pPr>
        <w:pStyle w:val="CPQuestions"/>
      </w:pPr>
      <w:r w:rsidRPr="002A38B9">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964402" w:rsidRDefault="00964402" w:rsidP="00964402">
      <w:pPr>
        <w:jc w:val="both"/>
      </w:pPr>
      <w:permStart w:id="2045782344" w:edGrp="everyone"/>
      <w:r>
        <w:t>Individual segregation is not a working account class in the US; however margin levels should not differ greatly from those used under CFTC regulations, such as gross omnibus and LSOC.  ISA and gross OSA should theoretically result in the same amount of required margin if using the same margin parameters on an identical portfolio.  Margin requirements for ISA are calculated only for the positions in a given account, with netting allowed only within that account.  Similarly, customer accounts under the gross omnibus margining structure are margined individually despite the positions and collateral in the pool being co</w:t>
      </w:r>
      <w:r>
        <w:t>m</w:t>
      </w:r>
      <w:r>
        <w:t>mingled, as netting between individual customers is strictly prohibited.  It should be noted, though, that net omnibus accounts will not result in as much CCP held margin as their gross OSA or ISA counterparts.  Whereas the latter two structures result in gross client margin held at the CCP, net OSA accounts genera</w:t>
      </w:r>
      <w:r>
        <w:t>l</w:t>
      </w:r>
      <w:r>
        <w:t xml:space="preserve">ly result in significantly less margin at CCPs and consequently may require an extended liquidation time horizon to ensure a CCP has sufficient margin on hand to manage a default.  </w:t>
      </w:r>
    </w:p>
    <w:p w:rsidR="00964402" w:rsidRDefault="00964402" w:rsidP="00964402">
      <w:pPr>
        <w:jc w:val="both"/>
      </w:pPr>
    </w:p>
    <w:p w:rsidR="00964402" w:rsidRDefault="00964402" w:rsidP="00964402">
      <w:pPr>
        <w:jc w:val="both"/>
      </w:pPr>
      <w:r>
        <w:t xml:space="preserve">While omnibus structures allow commingling of collateral, they have proven to be very effective in the ETD space; ISAs present operational hurdles that could potentially inhibit the ability to quickly and easily port portfolios where customers are either permitted or required to preselect an alternative clearing member in </w:t>
      </w:r>
      <w:r>
        <w:lastRenderedPageBreak/>
        <w:t>the event that their clearing member defaults.  In these circumstances, it is unclear whether the operatio</w:t>
      </w:r>
      <w:r>
        <w:t>n</w:t>
      </w:r>
      <w:r>
        <w:t>al mechanism for such clearing member choice has been built out which, in contrast to a regime where clients may move to clearing members of their choice after porting, is likely to result in increased oper</w:t>
      </w:r>
      <w:r>
        <w:t>a</w:t>
      </w:r>
      <w:r>
        <w:t>tional complexity and extended time required for successful porting.   Since th</w:t>
      </w:r>
      <w:r w:rsidR="00CE63F8">
        <w:t>ese same risks don’t exist for g</w:t>
      </w:r>
      <w:r>
        <w:t>ross OSA, we believe that, at a minimum, gross OSA should not be required to utilize a higher liquid</w:t>
      </w:r>
      <w:r>
        <w:t>a</w:t>
      </w:r>
      <w:r>
        <w:t>tion period than ISAs.</w:t>
      </w:r>
    </w:p>
    <w:p w:rsidR="00964402" w:rsidRDefault="00964402" w:rsidP="00964402">
      <w:pPr>
        <w:jc w:val="both"/>
      </w:pPr>
    </w:p>
    <w:p w:rsidR="00964402" w:rsidRDefault="00964402" w:rsidP="00964402">
      <w:pPr>
        <w:jc w:val="both"/>
      </w:pPr>
      <w:r>
        <w:t>However, we strongly urge ESMA to consider the risks of net omnibus accounts and either apply gross client margining as a minimum standard or evaluate other options to reduce the risk attendant to these account structures.  The net margining regime has historically proven to be a weaker system, as ev</w:t>
      </w:r>
      <w:r>
        <w:t>i</w:t>
      </w:r>
      <w:r>
        <w:t>denced by the problems attendant to the bailout of the clearinghouse in Hong Kong.  Net omnibus simu</w:t>
      </w:r>
      <w:r>
        <w:t>l</w:t>
      </w:r>
      <w:r>
        <w:t>taneously decreases the amount of margin on hand and increases fellow customer risk.  The end result is likely to be the calling of procyclical margin from clients either due to required porting to multiple clearing members (resulting in reduced or eliminated netting) and increased likelihood of client losses due to fellow customer risk or due to the failure of the clearing member affiliate who may be netted against other cu</w:t>
      </w:r>
      <w:r>
        <w:t>s</w:t>
      </w:r>
      <w:r>
        <w:t xml:space="preserve">tomers.  </w:t>
      </w:r>
    </w:p>
    <w:permEnd w:id="2045782344"/>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964402" w:rsidRDefault="00964402" w:rsidP="00964402">
      <w:pPr>
        <w:jc w:val="both"/>
      </w:pPr>
      <w:permStart w:id="638922432" w:edGrp="everyone"/>
      <w:r>
        <w:t>A standard intraday settlement cycle allows CCPs to reduce risk in the system on a twice daily basis, update collateral requirements to be more reflective of current exposures, and is a valuable risk mitigation tool.  Intraday settlements are beneficial where there is an ability to perform them efficiently based on the market structure so we believe that they should b</w:t>
      </w:r>
      <w:r w:rsidR="00CE63F8">
        <w:t>e utilized where possible.  Central limit order book</w:t>
      </w:r>
      <w:r>
        <w:t xml:space="preserve"> ex</w:t>
      </w:r>
      <w:r>
        <w:t>e</w:t>
      </w:r>
      <w:r>
        <w:t>cution and greater depth of book in ETD markets make real-time centralized pricing more readily available for use in the calculation of intraday variation margin.  However, we strongly disagree with any specific conditions being applied where a CCP is utilizing a 1-day gross OSA margining standard.  If any heigh</w:t>
      </w:r>
      <w:r>
        <w:t>t</w:t>
      </w:r>
      <w:r>
        <w:t>ened conditions are applied, they should be enforced on net client margining regimes where significantly less margin is held by CCPs.  While 2-day net margins in theory capture price moves over an extended period as compared to 1 day gross, any risk mitigation benefits are negated by the reduction in CCP-held client margin due to netting across accounts, exacerbating fellow customer risk.  CCPs collecting net margins should therefore be subject to specific conditions, if appropriate, such as intraday margin colle</w:t>
      </w:r>
      <w:r>
        <w:t>c</w:t>
      </w:r>
      <w:r>
        <w:t xml:space="preserve">tion. </w:t>
      </w:r>
    </w:p>
    <w:permEnd w:id="638922432"/>
    <w:p w:rsidR="00A8728B" w:rsidRDefault="00A8728B" w:rsidP="00A8728B">
      <w:r>
        <w:t>&lt;ESMA_QUESTION_</w:t>
      </w:r>
      <w:r w:rsidR="002A38B9">
        <w:t>RTS_153_26</w:t>
      </w:r>
      <w:r>
        <w:t>_5&gt;</w:t>
      </w:r>
    </w:p>
    <w:p w:rsidR="00A8728B" w:rsidRDefault="002A38B9" w:rsidP="002A38B9">
      <w:pPr>
        <w:pStyle w:val="CPQuestions"/>
      </w:pPr>
      <w:r w:rsidRPr="002A38B9">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964402" w:rsidRDefault="00964402" w:rsidP="00964402">
      <w:pPr>
        <w:jc w:val="both"/>
      </w:pPr>
      <w:permStart w:id="1847928323" w:edGrp="everyone"/>
      <w:r>
        <w:t>Clearing member affiliates should be unilaterally prohibited from being commingled with customer a</w:t>
      </w:r>
      <w:r>
        <w:t>c</w:t>
      </w:r>
      <w:r>
        <w:t>counts under any omnibus structure to reduce contagion risk and protect customers from exposures related to their member’s activity.  Client accounts must be segregated from those of their clearing me</w:t>
      </w:r>
      <w:r>
        <w:t>m</w:t>
      </w:r>
      <w:r>
        <w:t>ber so as to not be exposed to risks associated with their clearing member’s positions to the extent poss</w:t>
      </w:r>
      <w:r>
        <w:t>i</w:t>
      </w:r>
      <w:r>
        <w:t>ble.  Strict segregation between clearing members and their customers is a globally accepted regulatory standard and to permit clients to be indirectly exposed to their clearing members via commingling with clearing member affiliates is diametrically opposed to this prudent risk management standard.  Requiring affiliates to be treated as customers and thus potentially in the customer segregated pool greatly increa</w:t>
      </w:r>
      <w:r>
        <w:t>s</w:t>
      </w:r>
      <w:r>
        <w:t xml:space="preserve">es the risk that the pool will be polluted by its own clearing member, putting client margin at risk.  To the extent that a clearing member or its affiliate has financial difficulties, it is highly likely that such issues will spread to their affiliated entities thus putting client margin at risk no matter the source of the financial difficulties since the client pool is likely to be impacted.  </w:t>
      </w:r>
    </w:p>
    <w:p w:rsidR="00964402" w:rsidRDefault="00964402" w:rsidP="00964402">
      <w:pPr>
        <w:jc w:val="both"/>
      </w:pPr>
    </w:p>
    <w:p w:rsidR="00964402" w:rsidRDefault="00964402" w:rsidP="00964402">
      <w:pPr>
        <w:jc w:val="both"/>
      </w:pPr>
      <w:r>
        <w:t>This issue is further magnified in a net margining regime where affiliates of clearing members could be netted against client positions.  This construct creates significant contagion risk.  For example, a clearing member failure would likely cause financial difficulties at its affiliates whose failure would in turn put fellow clients at heightened risk, particularly where their exposures have been netted against that clearing me</w:t>
      </w:r>
      <w:r>
        <w:t>m</w:t>
      </w:r>
      <w:r>
        <w:t xml:space="preserve">ber affiliate.  </w:t>
      </w:r>
    </w:p>
    <w:p w:rsidR="00964402" w:rsidRDefault="00964402" w:rsidP="00964402">
      <w:pPr>
        <w:jc w:val="both"/>
      </w:pPr>
    </w:p>
    <w:p w:rsidR="00964402" w:rsidRDefault="00964402" w:rsidP="00964402">
      <w:pPr>
        <w:jc w:val="both"/>
      </w:pPr>
      <w:r>
        <w:t>Consequently, the best solution to reduce clearing member affiliate risk is to eliminate their ability to be treated as and pooled with customers.</w:t>
      </w:r>
    </w:p>
    <w:permEnd w:id="1847928323"/>
    <w:p w:rsidR="00A8728B" w:rsidRDefault="00A8728B" w:rsidP="00A8728B">
      <w:r>
        <w:t>&lt;ESMA_QUESTION_</w:t>
      </w:r>
      <w:r w:rsidR="002A38B9">
        <w:t>RTS_153_26</w:t>
      </w:r>
      <w:r>
        <w:t>_6&gt;</w:t>
      </w:r>
    </w:p>
    <w:p w:rsidR="00A8728B" w:rsidRPr="00C24BCA" w:rsidRDefault="002A38B9" w:rsidP="002A38B9">
      <w:pPr>
        <w:pStyle w:val="CPQuestions"/>
      </w:pPr>
      <w:r w:rsidRPr="002A38B9">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964402" w:rsidRDefault="00964402" w:rsidP="00964402">
      <w:pPr>
        <w:jc w:val="both"/>
      </w:pPr>
      <w:permStart w:id="1216759056" w:edGrp="everyone"/>
      <w:r>
        <w:t xml:space="preserve">Gross margining of clients alone significantly enhances portability even where a longer liquidation period is used in a client net margining regime.  This is due to the fact that gross margining results in higher margin levels at the CCP and that the amount of margin held by a CCP has the largest positive impact on portability.  In a gross client margining regime, all client accounts are fully margined at the CCP, allowing them to be easily ported to a new clearing member without having to post additional collateral to cover lost netting benefits.  Net regimes require much lower margins, decreasing the likelihood that client accounts can be easily transferred to one or multiple surviving members.  Client portfolios may </w:t>
      </w:r>
      <w:r w:rsidR="00355671">
        <w:t xml:space="preserve">need to </w:t>
      </w:r>
      <w:r>
        <w:t>be tran</w:t>
      </w:r>
      <w:r>
        <w:t>s</w:t>
      </w:r>
      <w:r>
        <w:t xml:space="preserve">ferred to multiple clearing members in a default scenario depending on their size and risk profile.  Given this possibility, the CCP may need to cease netting client positions, likely resulting in many portfolios being under-collateralized and unable to be ported until fully margined.  </w:t>
      </w:r>
    </w:p>
    <w:p w:rsidR="00964402" w:rsidRDefault="00964402" w:rsidP="00964402">
      <w:pPr>
        <w:jc w:val="both"/>
      </w:pPr>
    </w:p>
    <w:p w:rsidR="00964402" w:rsidRDefault="00964402" w:rsidP="00964402">
      <w:pPr>
        <w:jc w:val="both"/>
      </w:pPr>
      <w:r>
        <w:t>In periods of stress, collateral availability may be constrained, preventing clients from posting the required margin at their new members and consequently triggering additional client defaults.  This risk is exace</w:t>
      </w:r>
      <w:r>
        <w:t>r</w:t>
      </w:r>
      <w:r>
        <w:t xml:space="preserve">bated by margin financing practices permitted in the EU.  While one clearing member may offer financing to its clients, a surviving member to whom the defaulter’s clients are ported may not be willing or able to offer similar services.  Thus, the lack of client margin posted to the CCP may present issues both due to a reduction in netting and potential unavailability of financing at the new clearing member.  Consequently, we recommend that ESMA move to a gross margining regime to enhance client portability.  The other options considered in the question are unlikely to improve portability. </w:t>
      </w:r>
    </w:p>
    <w:permEnd w:id="1216759056"/>
    <w:p w:rsidR="00A8728B" w:rsidRDefault="00A8728B" w:rsidP="00A8728B">
      <w:r>
        <w:t>&lt;ESMA_QUESTION_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964402" w:rsidRPr="00A2288B" w:rsidRDefault="00964402" w:rsidP="00D614E9">
      <w:pPr>
        <w:pStyle w:val="CPQuestions"/>
        <w:numPr>
          <w:ilvl w:val="0"/>
          <w:numId w:val="0"/>
        </w:numPr>
        <w:rPr>
          <w:b w:val="0"/>
          <w:sz w:val="20"/>
        </w:rPr>
      </w:pPr>
      <w:permStart w:id="2091649837" w:edGrp="everyone"/>
      <w:r w:rsidRPr="00A2288B">
        <w:rPr>
          <w:b w:val="0"/>
          <w:sz w:val="20"/>
        </w:rPr>
        <w:t>We believe it valuable that ESMA, and other g</w:t>
      </w:r>
      <w:r w:rsidR="00D614E9">
        <w:rPr>
          <w:b w:val="0"/>
          <w:sz w:val="20"/>
        </w:rPr>
        <w:t>lobal regulators, closely analyz</w:t>
      </w:r>
      <w:r w:rsidRPr="00A2288B">
        <w:rPr>
          <w:b w:val="0"/>
          <w:sz w:val="20"/>
        </w:rPr>
        <w:t xml:space="preserve">e the market structure of financial instruments when determining the appropriate margin period of risk.  While many factors impact appropriate </w:t>
      </w:r>
      <w:r>
        <w:rPr>
          <w:b w:val="0"/>
          <w:sz w:val="20"/>
        </w:rPr>
        <w:t>margin framework</w:t>
      </w:r>
      <w:r w:rsidRPr="00A2288B">
        <w:rPr>
          <w:b w:val="0"/>
          <w:sz w:val="20"/>
        </w:rPr>
        <w:t xml:space="preserve">, </w:t>
      </w:r>
      <w:r>
        <w:rPr>
          <w:b w:val="0"/>
          <w:sz w:val="20"/>
        </w:rPr>
        <w:t>the platform for liquidation (i.e. a central limit order book)</w:t>
      </w:r>
      <w:r w:rsidRPr="00A2288B">
        <w:rPr>
          <w:b w:val="0"/>
          <w:sz w:val="20"/>
        </w:rPr>
        <w:t xml:space="preserve"> </w:t>
      </w:r>
      <w:r>
        <w:rPr>
          <w:b w:val="0"/>
          <w:sz w:val="20"/>
        </w:rPr>
        <w:t>should be eval</w:t>
      </w:r>
      <w:r>
        <w:rPr>
          <w:b w:val="0"/>
          <w:sz w:val="20"/>
        </w:rPr>
        <w:t>u</w:t>
      </w:r>
      <w:r>
        <w:rPr>
          <w:b w:val="0"/>
          <w:sz w:val="20"/>
        </w:rPr>
        <w:t>ated relative to a</w:t>
      </w:r>
      <w:r w:rsidRPr="00A2288B">
        <w:rPr>
          <w:b w:val="0"/>
          <w:sz w:val="20"/>
        </w:rPr>
        <w:t xml:space="preserve"> CCP</w:t>
      </w:r>
      <w:r>
        <w:rPr>
          <w:b w:val="0"/>
          <w:sz w:val="20"/>
        </w:rPr>
        <w:t>’</w:t>
      </w:r>
      <w:r w:rsidRPr="00A2288B">
        <w:rPr>
          <w:b w:val="0"/>
          <w:sz w:val="20"/>
        </w:rPr>
        <w:t xml:space="preserve">s ability to manage a clearing member default and protect the customers of that clearing member in a short time frame.  Increased liquidation periods are particularly important in </w:t>
      </w:r>
      <w:r>
        <w:rPr>
          <w:b w:val="0"/>
          <w:sz w:val="20"/>
        </w:rPr>
        <w:t xml:space="preserve">less </w:t>
      </w:r>
      <w:r>
        <w:rPr>
          <w:b w:val="0"/>
          <w:sz w:val="20"/>
        </w:rPr>
        <w:lastRenderedPageBreak/>
        <w:t>transparent, uncleared over-the-counter</w:t>
      </w:r>
      <w:r w:rsidRPr="00A2288B">
        <w:rPr>
          <w:b w:val="0"/>
          <w:sz w:val="20"/>
        </w:rPr>
        <w:t xml:space="preserve"> markets without any centralized mechanism for trading.  Such bilaterally traded</w:t>
      </w:r>
      <w:r>
        <w:rPr>
          <w:b w:val="0"/>
          <w:sz w:val="20"/>
        </w:rPr>
        <w:t>, uncleared</w:t>
      </w:r>
      <w:r w:rsidRPr="00A2288B">
        <w:rPr>
          <w:b w:val="0"/>
          <w:sz w:val="20"/>
        </w:rPr>
        <w:t xml:space="preserve"> products are often </w:t>
      </w:r>
      <w:r>
        <w:rPr>
          <w:b w:val="0"/>
          <w:sz w:val="20"/>
        </w:rPr>
        <w:t>more</w:t>
      </w:r>
      <w:r w:rsidRPr="00A2288B">
        <w:rPr>
          <w:b w:val="0"/>
          <w:sz w:val="20"/>
        </w:rPr>
        <w:t xml:space="preserve"> difficult to liquidate due to </w:t>
      </w:r>
      <w:r>
        <w:rPr>
          <w:b w:val="0"/>
          <w:sz w:val="20"/>
        </w:rPr>
        <w:t xml:space="preserve">their </w:t>
      </w:r>
      <w:r w:rsidRPr="00A2288B">
        <w:rPr>
          <w:b w:val="0"/>
          <w:sz w:val="20"/>
        </w:rPr>
        <w:t xml:space="preserve">trading conventions </w:t>
      </w:r>
      <w:r>
        <w:rPr>
          <w:b w:val="0"/>
          <w:sz w:val="20"/>
        </w:rPr>
        <w:t xml:space="preserve">and their bespoke </w:t>
      </w:r>
      <w:r w:rsidRPr="00A2288B">
        <w:rPr>
          <w:b w:val="0"/>
          <w:sz w:val="20"/>
        </w:rPr>
        <w:t xml:space="preserve">nature.  </w:t>
      </w:r>
    </w:p>
    <w:permEnd w:id="2091649837"/>
    <w:p w:rsidR="00A8728B" w:rsidRDefault="00A8728B" w:rsidP="00A8728B">
      <w:r>
        <w:t>&lt;ESMA_QUESTION_</w:t>
      </w:r>
      <w:r w:rsidR="002A38B9">
        <w:t>RTS_153_26</w:t>
      </w:r>
      <w:r>
        <w:t>_8&gt;</w:t>
      </w:r>
    </w:p>
    <w:sectPr w:rsidR="00A8728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14" w:rsidRDefault="00816B14">
      <w:r>
        <w:separator/>
      </w:r>
    </w:p>
    <w:p w:rsidR="00816B14" w:rsidRDefault="00816B14"/>
  </w:endnote>
  <w:endnote w:type="continuationSeparator" w:id="0">
    <w:p w:rsidR="00816B14" w:rsidRDefault="00816B14">
      <w:r>
        <w:continuationSeparator/>
      </w:r>
    </w:p>
    <w:p w:rsidR="00816B14" w:rsidRDefault="00816B14"/>
  </w:endnote>
  <w:endnote w:type="continuationNotice" w:id="1">
    <w:p w:rsidR="00816B14" w:rsidRDefault="0081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04F7D">
            <w:rPr>
              <w:rFonts w:cs="Arial"/>
              <w:noProof/>
              <w:sz w:val="22"/>
              <w:szCs w:val="22"/>
            </w:rPr>
            <w:t>10</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14" w:rsidRDefault="00816B14">
      <w:r>
        <w:separator/>
      </w:r>
    </w:p>
    <w:p w:rsidR="00816B14" w:rsidRDefault="00816B14"/>
  </w:footnote>
  <w:footnote w:type="continuationSeparator" w:id="0">
    <w:p w:rsidR="00816B14" w:rsidRDefault="00816B14">
      <w:r>
        <w:continuationSeparator/>
      </w:r>
    </w:p>
    <w:p w:rsidR="00816B14" w:rsidRDefault="00816B14"/>
  </w:footnote>
  <w:footnote w:type="continuationNotice" w:id="1">
    <w:p w:rsidR="00816B14" w:rsidRDefault="00816B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085E"/>
    <w:rsid w:val="003522B2"/>
    <w:rsid w:val="0035455E"/>
    <w:rsid w:val="00354A6F"/>
    <w:rsid w:val="00354B48"/>
    <w:rsid w:val="00355671"/>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34B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1701"/>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6B14"/>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4F7D"/>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402"/>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38"/>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3F8"/>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4E9"/>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05F6-9CCB-4A54-87D1-578A83E34C71}">
  <ds:schemaRefs>
    <ds:schemaRef ds:uri="http://schemas.openxmlformats.org/officeDocument/2006/bibliography"/>
  </ds:schemaRefs>
</ds:datastoreItem>
</file>

<file path=customXml/itemProps2.xml><?xml version="1.0" encoding="utf-8"?>
<ds:datastoreItem xmlns:ds="http://schemas.openxmlformats.org/officeDocument/2006/customXml" ds:itemID="{D8BBF94A-D506-46CC-80FA-FF500F1B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3863</Words>
  <Characters>22021</Characters>
  <Application>Microsoft Office Word</Application>
  <DocSecurity>8</DocSecurity>
  <Lines>183</Lines>
  <Paragraphs>51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25833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Perry, Abigail</cp:lastModifiedBy>
  <cp:revision>2</cp:revision>
  <cp:lastPrinted>2015-09-30T19:45:00Z</cp:lastPrinted>
  <dcterms:created xsi:type="dcterms:W3CDTF">2015-09-30T20:57:00Z</dcterms:created>
  <dcterms:modified xsi:type="dcterms:W3CDTF">2015-09-30T20:57:00Z</dcterms:modified>
</cp:coreProperties>
</file>