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297713" w:rsidRPr="00005834" w:rsidRDefault="001D2ECD" w:rsidP="00297713">
      <w:pPr>
        <w:jc w:val="both"/>
        <w:rPr>
          <w:rFonts w:eastAsia="MS Mincho" w:cs="Arial"/>
          <w:snapToGrid w:val="0"/>
          <w:szCs w:val="20"/>
        </w:rPr>
      </w:pPr>
      <w:permStart w:id="917797460" w:edGrp="everyone"/>
      <w:r w:rsidRPr="00005834">
        <w:rPr>
          <w:rFonts w:eastAsia="MS Mincho" w:cs="Arial"/>
          <w:snapToGrid w:val="0"/>
          <w:szCs w:val="20"/>
        </w:rPr>
        <w:t>Amundi is the No.1  European Asset Manager and in the Top 10 worldwide with AUM of more than  €950 billion worldwide</w:t>
      </w:r>
      <w:r w:rsidRPr="00005834">
        <w:rPr>
          <w:rFonts w:eastAsia="MS Mincho" w:cs="Arial"/>
          <w:snapToGrid w:val="0"/>
          <w:szCs w:val="20"/>
          <w:vertAlign w:val="superscript"/>
        </w:rPr>
        <w:t xml:space="preserve"> </w:t>
      </w:r>
      <w:proofErr w:type="spellStart"/>
      <w:r w:rsidRPr="00005834">
        <w:rPr>
          <w:rFonts w:eastAsia="MS Mincho" w:cs="Arial"/>
          <w:snapToGrid w:val="0"/>
          <w:szCs w:val="20"/>
        </w:rPr>
        <w:t>t</w:t>
      </w:r>
      <w:proofErr w:type="spellEnd"/>
      <w:r w:rsidRPr="00005834">
        <w:rPr>
          <w:rFonts w:eastAsia="MS Mincho" w:cs="Arial"/>
          <w:snapToGrid w:val="0"/>
          <w:szCs w:val="20"/>
        </w:rPr>
        <w:t xml:space="preserve"> the end of June 2015.Located at the heart of the main investment regions in more than 30 countries, Amundi offers a comprehensive range of products covering all asset classes and major currencies.</w:t>
      </w:r>
      <w:r w:rsidR="00297713" w:rsidRPr="00005834">
        <w:rPr>
          <w:rFonts w:eastAsia="MS Mincho" w:cs="Arial"/>
          <w:snapToGrid w:val="0"/>
          <w:szCs w:val="20"/>
        </w:rPr>
        <w:t xml:space="preserve"> The Group contributes to funding the economy by orienting savings towards company deve</w:t>
      </w:r>
      <w:r w:rsidR="00297713" w:rsidRPr="00005834">
        <w:rPr>
          <w:rFonts w:eastAsia="MS Mincho" w:cs="Arial"/>
          <w:snapToGrid w:val="0"/>
          <w:szCs w:val="20"/>
        </w:rPr>
        <w:t>l</w:t>
      </w:r>
      <w:r w:rsidR="00297713" w:rsidRPr="00005834">
        <w:rPr>
          <w:rFonts w:eastAsia="MS Mincho" w:cs="Arial"/>
          <w:snapToGrid w:val="0"/>
          <w:szCs w:val="20"/>
        </w:rPr>
        <w:t>opment.</w:t>
      </w:r>
    </w:p>
    <w:p w:rsidR="00E8061B" w:rsidRPr="00005834" w:rsidRDefault="001D2ECD" w:rsidP="00297713">
      <w:pPr>
        <w:jc w:val="both"/>
        <w:rPr>
          <w:rFonts w:eastAsia="MS Mincho" w:cs="Arial"/>
          <w:snapToGrid w:val="0"/>
          <w:szCs w:val="20"/>
        </w:rPr>
      </w:pPr>
      <w:r w:rsidRPr="00005834">
        <w:rPr>
          <w:rFonts w:eastAsia="MS Mincho" w:cs="Arial"/>
          <w:snapToGrid w:val="0"/>
          <w:szCs w:val="20"/>
        </w:rPr>
        <w:t>Amundi has developed savings solutions to meet the needs of more than 100 million retail clients worl</w:t>
      </w:r>
      <w:r w:rsidRPr="00005834">
        <w:rPr>
          <w:rFonts w:eastAsia="MS Mincho" w:cs="Arial"/>
          <w:snapToGrid w:val="0"/>
          <w:szCs w:val="20"/>
        </w:rPr>
        <w:t>d</w:t>
      </w:r>
      <w:r w:rsidRPr="00005834">
        <w:rPr>
          <w:rFonts w:eastAsia="MS Mincho" w:cs="Arial"/>
          <w:snapToGrid w:val="0"/>
          <w:szCs w:val="20"/>
        </w:rPr>
        <w:t>wide and designs innovative, high-performing products for institutional clients which are tailored specifica</w:t>
      </w:r>
      <w:r w:rsidRPr="00005834">
        <w:rPr>
          <w:rFonts w:eastAsia="MS Mincho" w:cs="Arial"/>
          <w:snapToGrid w:val="0"/>
          <w:szCs w:val="20"/>
        </w:rPr>
        <w:t>l</w:t>
      </w:r>
      <w:r w:rsidRPr="00005834">
        <w:rPr>
          <w:rFonts w:eastAsia="MS Mincho" w:cs="Arial"/>
          <w:snapToGrid w:val="0"/>
          <w:szCs w:val="20"/>
        </w:rPr>
        <w:t>ly to their requirements and risk profile.</w:t>
      </w:r>
      <w:r w:rsidR="00297713" w:rsidRPr="00005834">
        <w:rPr>
          <w:rFonts w:eastAsia="MS Mincho" w:cs="Arial"/>
          <w:snapToGrid w:val="0"/>
          <w:szCs w:val="20"/>
        </w:rPr>
        <w:t xml:space="preserve"> Eventually, Amundi is a significant actor on derivative </w:t>
      </w:r>
      <w:r w:rsidR="00455A13">
        <w:rPr>
          <w:rFonts w:eastAsia="MS Mincho" w:cs="Arial"/>
          <w:snapToGrid w:val="0"/>
          <w:szCs w:val="20"/>
        </w:rPr>
        <w:t>markets and a supporter of EMIR, a regulation</w:t>
      </w:r>
      <w:r w:rsidR="00297713" w:rsidRPr="00005834">
        <w:rPr>
          <w:rFonts w:eastAsia="MS Mincho" w:cs="Arial"/>
          <w:snapToGrid w:val="0"/>
          <w:szCs w:val="20"/>
        </w:rPr>
        <w:t xml:space="preserve"> aiming to enhance</w:t>
      </w:r>
      <w:r w:rsidR="00455A13">
        <w:rPr>
          <w:rFonts w:eastAsia="MS Mincho" w:cs="Arial"/>
          <w:snapToGrid w:val="0"/>
          <w:szCs w:val="20"/>
        </w:rPr>
        <w:t xml:space="preserve"> investors</w:t>
      </w:r>
      <w:r w:rsidR="00455A13" w:rsidRPr="00005834">
        <w:rPr>
          <w:rFonts w:eastAsia="MS Mincho" w:cs="Arial"/>
          <w:snapToGrid w:val="0"/>
          <w:szCs w:val="20"/>
        </w:rPr>
        <w:t>’ safety</w:t>
      </w:r>
      <w:bookmarkStart w:id="3" w:name="_GoBack"/>
      <w:bookmarkEnd w:id="3"/>
      <w:r w:rsidR="00297713" w:rsidRPr="00005834">
        <w:rPr>
          <w:rFonts w:eastAsia="MS Mincho" w:cs="Arial"/>
          <w:snapToGrid w:val="0"/>
          <w:szCs w:val="20"/>
        </w:rPr>
        <w:t xml:space="preserve"> and financial stability. </w:t>
      </w:r>
    </w:p>
    <w:p w:rsidR="00E8061B" w:rsidRPr="00005834" w:rsidRDefault="00297713" w:rsidP="00D34282">
      <w:r w:rsidRPr="00005834">
        <w:rPr>
          <w:lang w:val="en-US"/>
        </w:rPr>
        <w:t>Globally, we feel that CCPs should make sure that there is sufficient skin in the game in order to “</w:t>
      </w:r>
      <w:proofErr w:type="spellStart"/>
      <w:r w:rsidRPr="00005834">
        <w:rPr>
          <w:lang w:val="en-US"/>
        </w:rPr>
        <w:t>sanct</w:t>
      </w:r>
      <w:r w:rsidRPr="00005834">
        <w:rPr>
          <w:lang w:val="en-US"/>
        </w:rPr>
        <w:t>u</w:t>
      </w:r>
      <w:r w:rsidRPr="00005834">
        <w:rPr>
          <w:lang w:val="en-US"/>
        </w:rPr>
        <w:t>arize</w:t>
      </w:r>
      <w:proofErr w:type="spellEnd"/>
      <w:r w:rsidRPr="00005834">
        <w:rPr>
          <w:lang w:val="en-US"/>
        </w:rPr>
        <w:t>”  end clients’ margins and ensure that they are not going to be touched upon. Funds, with the exce</w:t>
      </w:r>
      <w:r w:rsidRPr="00005834">
        <w:rPr>
          <w:lang w:val="en-US"/>
        </w:rPr>
        <w:t>p</w:t>
      </w:r>
      <w:r w:rsidRPr="00005834">
        <w:rPr>
          <w:lang w:val="en-US"/>
        </w:rPr>
        <w:t>tion of leveraged hedge funds, are risk takers in the system and should not be penalized through inappr</w:t>
      </w:r>
      <w:r w:rsidRPr="00005834">
        <w:rPr>
          <w:lang w:val="en-US"/>
        </w:rPr>
        <w:t>o</w:t>
      </w:r>
      <w:r w:rsidRPr="00005834">
        <w:rPr>
          <w:lang w:val="en-US"/>
        </w:rPr>
        <w:t xml:space="preserve">priate rules that would make them pay for </w:t>
      </w:r>
      <w:r w:rsidR="00A64A80" w:rsidRPr="00005834">
        <w:rPr>
          <w:lang w:val="en-US"/>
        </w:rPr>
        <w:t>others’ dangerous behavior. As a consequence the ISA total segregation system appears as the best solution and authorities should encourage it. First, by ensuring that CM</w:t>
      </w:r>
      <w:r w:rsidR="00B22212" w:rsidRPr="00005834">
        <w:rPr>
          <w:lang w:val="en-US"/>
        </w:rPr>
        <w:t>s</w:t>
      </w:r>
      <w:r w:rsidR="00A64A80" w:rsidRPr="00005834">
        <w:rPr>
          <w:lang w:val="en-US"/>
        </w:rPr>
        <w:t xml:space="preserve"> do offer such a system on reasonable commercial terms, secondly </w:t>
      </w:r>
      <w:r w:rsidR="00B22212" w:rsidRPr="00005834">
        <w:rPr>
          <w:lang w:val="en-US"/>
        </w:rPr>
        <w:t>by</w:t>
      </w:r>
      <w:r w:rsidR="00A64A80" w:rsidRPr="00005834">
        <w:rPr>
          <w:lang w:val="en-US"/>
        </w:rPr>
        <w:t xml:space="preserve"> reducing the margin called upon in ISA accounts both for ETD and OTC derivatives</w:t>
      </w:r>
      <w:r w:rsidR="00B22212" w:rsidRPr="00005834">
        <w:rPr>
          <w:lang w:val="en-US"/>
        </w:rPr>
        <w:t>, thirdly by</w:t>
      </w:r>
      <w:r w:rsidR="00A64A80" w:rsidRPr="00005834">
        <w:rPr>
          <w:lang w:val="en-US"/>
        </w:rPr>
        <w:t xml:space="preserve"> limiting this advantage to ISA as o</w:t>
      </w:r>
      <w:r w:rsidR="00A64A80" w:rsidRPr="00005834">
        <w:rPr>
          <w:lang w:val="en-US"/>
        </w:rPr>
        <w:t>p</w:t>
      </w:r>
      <w:r w:rsidR="00A64A80" w:rsidRPr="00005834">
        <w:rPr>
          <w:lang w:val="en-US"/>
        </w:rPr>
        <w:t>posed to OSA gross or net.</w:t>
      </w:r>
      <w:r w:rsidR="00B22212" w:rsidRPr="00005834">
        <w:t xml:space="preserve"> As a consequence we consider as appropriate the following levels of MPOR in case of gross margining : 1 day for ISA and 2 days for OSA Gross</w:t>
      </w:r>
      <w:r w:rsidR="00AA765A" w:rsidRPr="00005834">
        <w:t xml:space="preserve"> for both ETD and mandatorily cleared OTC derivatives</w:t>
      </w:r>
      <w:r w:rsidR="00B22212" w:rsidRPr="00005834">
        <w:t>.</w:t>
      </w:r>
    </w:p>
    <w:p w:rsidR="00AA765A" w:rsidRPr="00297713" w:rsidRDefault="00AA765A" w:rsidP="00D34282">
      <w:pPr>
        <w:rPr>
          <w:lang w:val="en-US"/>
        </w:rPr>
      </w:pPr>
    </w:p>
    <w:p w:rsidR="00102458" w:rsidRDefault="00102458" w:rsidP="00D34282">
      <w:r>
        <w:t xml:space="preserve">Please note that we use the following acronyms: </w:t>
      </w:r>
    </w:p>
    <w:p w:rsidR="00102458" w:rsidRDefault="00102458" w:rsidP="00102458">
      <w:pPr>
        <w:pStyle w:val="Paragraphedeliste"/>
        <w:numPr>
          <w:ilvl w:val="0"/>
          <w:numId w:val="50"/>
        </w:numPr>
      </w:pPr>
      <w:r>
        <w:t xml:space="preserve">CCP : Central </w:t>
      </w:r>
      <w:proofErr w:type="spellStart"/>
      <w:r>
        <w:t>CounterParty</w:t>
      </w:r>
      <w:proofErr w:type="spellEnd"/>
    </w:p>
    <w:p w:rsidR="00D34282" w:rsidRDefault="00102458" w:rsidP="00102458">
      <w:pPr>
        <w:pStyle w:val="Paragraphedeliste"/>
        <w:numPr>
          <w:ilvl w:val="0"/>
          <w:numId w:val="50"/>
        </w:numPr>
      </w:pPr>
      <w:r>
        <w:t>CM: clearing member</w:t>
      </w:r>
    </w:p>
    <w:p w:rsidR="009B1E9F" w:rsidRDefault="009B1E9F" w:rsidP="00102458">
      <w:pPr>
        <w:pStyle w:val="Paragraphedeliste"/>
        <w:numPr>
          <w:ilvl w:val="0"/>
          <w:numId w:val="50"/>
        </w:numPr>
      </w:pPr>
      <w:r>
        <w:t>ETD: Exchange  Traded Derivatives</w:t>
      </w:r>
    </w:p>
    <w:p w:rsidR="00102458" w:rsidRDefault="00102458" w:rsidP="00102458">
      <w:pPr>
        <w:pStyle w:val="Paragraphedeliste"/>
        <w:numPr>
          <w:ilvl w:val="0"/>
          <w:numId w:val="50"/>
        </w:numPr>
      </w:pPr>
      <w:r>
        <w:t>ISA: Individual Segregation Agreement</w:t>
      </w:r>
      <w:r w:rsidR="00FB712E">
        <w:t>, where individual clients of the CM are identified by the CCP through separate accounts</w:t>
      </w:r>
    </w:p>
    <w:p w:rsidR="00102458" w:rsidRDefault="00102458" w:rsidP="00102458">
      <w:pPr>
        <w:pStyle w:val="Paragraphedeliste"/>
        <w:numPr>
          <w:ilvl w:val="0"/>
          <w:numId w:val="50"/>
        </w:numPr>
      </w:pPr>
      <w:r>
        <w:t>LSOC:</w:t>
      </w:r>
      <w:r w:rsidR="009B1E9F">
        <w:t xml:space="preserve"> Legally Segregated Operationally Comingled </w:t>
      </w:r>
    </w:p>
    <w:p w:rsidR="00FB712E" w:rsidRDefault="00FB712E" w:rsidP="00102458">
      <w:pPr>
        <w:pStyle w:val="Paragraphedeliste"/>
        <w:numPr>
          <w:ilvl w:val="0"/>
          <w:numId w:val="50"/>
        </w:numPr>
      </w:pPr>
      <w:r>
        <w:t>MPOR: Margin Period Of Risk</w:t>
      </w:r>
    </w:p>
    <w:p w:rsidR="00102458" w:rsidRDefault="00102458" w:rsidP="00102458">
      <w:pPr>
        <w:pStyle w:val="Paragraphedeliste"/>
        <w:numPr>
          <w:ilvl w:val="0"/>
          <w:numId w:val="50"/>
        </w:numPr>
      </w:pPr>
      <w:r>
        <w:t>OSA : Omnibus Segregation Agreement</w:t>
      </w:r>
    </w:p>
    <w:p w:rsidR="00102458" w:rsidRDefault="00102458" w:rsidP="00102458">
      <w:pPr>
        <w:pStyle w:val="Paragraphedeliste"/>
        <w:numPr>
          <w:ilvl w:val="0"/>
          <w:numId w:val="50"/>
        </w:numPr>
      </w:pPr>
      <w:r>
        <w:t>OSA Gross: OSA with transfer by the CM</w:t>
      </w:r>
      <w:r w:rsidR="00FB712E">
        <w:t xml:space="preserve"> to the CCP</w:t>
      </w:r>
      <w:r>
        <w:t xml:space="preserve"> of </w:t>
      </w:r>
      <w:r w:rsidR="006D2521">
        <w:t>the total margin</w:t>
      </w:r>
      <w:r>
        <w:t xml:space="preserve"> received from clients </w:t>
      </w:r>
    </w:p>
    <w:p w:rsidR="00FB712E" w:rsidRDefault="00FB712E" w:rsidP="00102458">
      <w:pPr>
        <w:pStyle w:val="Paragraphedeliste"/>
        <w:numPr>
          <w:ilvl w:val="0"/>
          <w:numId w:val="50"/>
        </w:numPr>
      </w:pPr>
      <w:r>
        <w:t>OSA Net: OSA with payment to the CCP of a net margin by the CM</w:t>
      </w:r>
    </w:p>
    <w:p w:rsidR="00B22212" w:rsidRDefault="00B22212" w:rsidP="00102458">
      <w:pPr>
        <w:pStyle w:val="Paragraphedeliste"/>
        <w:numPr>
          <w:ilvl w:val="0"/>
          <w:numId w:val="50"/>
        </w:numPr>
      </w:pPr>
      <w:r>
        <w:t xml:space="preserve">OTC: Over The Counter </w:t>
      </w:r>
    </w:p>
    <w:permEnd w:id="917797460"/>
    <w:p w:rsidR="00D34282" w:rsidRPr="00C25863" w:rsidRDefault="00D34282" w:rsidP="00D34282">
      <w:r w:rsidRPr="00C25863">
        <w:t>&lt;</w:t>
      </w:r>
      <w:r w:rsidRPr="00D74C9D">
        <w:t xml:space="preserve"> </w:t>
      </w:r>
      <w:r>
        <w:t>ESMA_COMMENT</w:t>
      </w:r>
      <w:r w:rsidRPr="00C25863">
        <w:t>_</w:t>
      </w:r>
      <w:r w:rsidR="00F62D30" w:rsidRPr="00F62D30">
        <w:rPr>
          <w:rFonts w:cs="Arial"/>
        </w:rPr>
        <w:t xml:space="preserve"> </w:t>
      </w:r>
      <w:r w:rsidR="00F62D30">
        <w:rPr>
          <w:rFonts w:cs="Arial"/>
        </w:rPr>
        <w:t>RTS_153_26</w:t>
      </w:r>
      <w:r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A8728B" w:rsidRDefault="00AD3C0E" w:rsidP="00A8728B">
      <w:permStart w:id="577524855" w:edGrp="everyone"/>
      <w:r>
        <w:t>Amundi is not surprised by this assumption but is not in a position to provide data to substantiate it.</w:t>
      </w:r>
      <w:r w:rsidR="00ED532C">
        <w:t xml:space="preserve"> Amundi reminds ESMA that this discussion between gross or net solely impacts the amount paid by the CMs to the CCP. For end clients, say a fund, there is absolutely no impact as margin is called by the CM on the net basis of all positions of the fund cleared with the CCP through him. The key question is to know if margins deposited by a fund will better enhance financial stability by benefitting solely to the CCP or not.</w:t>
      </w:r>
    </w:p>
    <w:permEnd w:id="577524855"/>
    <w:p w:rsidR="00A8728B" w:rsidRDefault="00A8728B" w:rsidP="00A8728B">
      <w:r>
        <w:t>&lt;ESMA_QUESTION_</w:t>
      </w:r>
      <w:r w:rsidR="002A38B9">
        <w:t>RTS_153_26</w:t>
      </w:r>
      <w:r>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A8728B" w:rsidRPr="00005834" w:rsidRDefault="00E8061B" w:rsidP="00A8728B">
      <w:permStart w:id="1833324328" w:edGrp="everyone"/>
      <w:r>
        <w:t xml:space="preserve"> We see the logic of revisiting the delay for other instruments but do not consider that there is a direct link with the MPOR agreed upon for OTC derivatives. There is no urgency nor necessity to immediately take a decision on this point.</w:t>
      </w:r>
      <w:r w:rsidR="001D2ECD">
        <w:t xml:space="preserve"> </w:t>
      </w:r>
      <w:r w:rsidR="001D2ECD" w:rsidRPr="001D2ECD">
        <w:t xml:space="preserve">In any case, </w:t>
      </w:r>
      <w:r w:rsidR="001D2ECD" w:rsidRPr="00005834">
        <w:t>we advocate for an harmonised approach for all financial instruments concerned.</w:t>
      </w:r>
    </w:p>
    <w:permEnd w:id="1833324328"/>
    <w:p w:rsidR="00A8728B" w:rsidRDefault="00A8728B" w:rsidP="00A8728B">
      <w:r>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EF2236" w:rsidRPr="00005834" w:rsidRDefault="00E5249D" w:rsidP="00A8728B">
      <w:permStart w:id="1656249195" w:edGrp="everyone"/>
      <w:r>
        <w:t>Yes</w:t>
      </w:r>
      <w:r w:rsidR="00986C69">
        <w:t>,</w:t>
      </w:r>
      <w:r>
        <w:t xml:space="preserve"> OTC derivatives that are cleared should benefit from the same treatment</w:t>
      </w:r>
      <w:r w:rsidR="00986C69">
        <w:t xml:space="preserve"> as ETDs</w:t>
      </w:r>
      <w:r>
        <w:t>.</w:t>
      </w:r>
      <w:r w:rsidR="001D2ECD">
        <w:t xml:space="preserve"> </w:t>
      </w:r>
      <w:r w:rsidR="001D2ECD" w:rsidRPr="00005834">
        <w:t>Margins must be</w:t>
      </w:r>
      <w:r w:rsidR="00F601DE">
        <w:t xml:space="preserve"> strictly</w:t>
      </w:r>
      <w:r w:rsidR="001D2ECD" w:rsidRPr="00005834">
        <w:t xml:space="preserve"> calculated on the basis of the minimal reasonable delay necessary to manage default of a CM. Hence, it is a question of efficient portability or of liquidity of the position.</w:t>
      </w:r>
      <w:r w:rsidRPr="00005834">
        <w:t xml:space="preserve"> </w:t>
      </w:r>
      <w:r w:rsidR="001D2ECD" w:rsidRPr="00005834">
        <w:t>Not a question of the instrument being listed or not.</w:t>
      </w:r>
      <w:r w:rsidR="009B1E9F" w:rsidRPr="00005834">
        <w:t xml:space="preserve"> The structure of the derivatives market has drastically changed over the last years</w:t>
      </w:r>
      <w:r w:rsidRPr="00005834">
        <w:t>,</w:t>
      </w:r>
      <w:r w:rsidR="009B1E9F" w:rsidRPr="00005834">
        <w:t xml:space="preserve"> largely as a consequence of EMIR. The significant point of venture is no</w:t>
      </w:r>
      <w:r w:rsidR="00986C69" w:rsidRPr="00005834">
        <w:t xml:space="preserve"> longer</w:t>
      </w:r>
      <w:r w:rsidR="009B1E9F" w:rsidRPr="00005834">
        <w:t xml:space="preserve"> listed/OTC but centrally cleared /not centrally cleared. </w:t>
      </w:r>
      <w:r w:rsidR="00836924" w:rsidRPr="00005834">
        <w:t>Such a difference from 1or 2 days to 5</w:t>
      </w:r>
      <w:r w:rsidR="00013338" w:rsidRPr="00005834">
        <w:t xml:space="preserve"> </w:t>
      </w:r>
      <w:r w:rsidR="00836924" w:rsidRPr="00005834">
        <w:t>days between ET and OTC deriv</w:t>
      </w:r>
      <w:r w:rsidR="00836924" w:rsidRPr="00005834">
        <w:t>a</w:t>
      </w:r>
      <w:r w:rsidR="00836924" w:rsidRPr="00005834">
        <w:t xml:space="preserve">tives is not justified in our view. </w:t>
      </w:r>
      <w:r w:rsidR="00EF2236" w:rsidRPr="00005834">
        <w:t>Amundi suggests</w:t>
      </w:r>
      <w:r w:rsidR="00836924" w:rsidRPr="00005834">
        <w:t xml:space="preserve"> a two-</w:t>
      </w:r>
      <w:r w:rsidR="00013338" w:rsidRPr="00005834">
        <w:t>tier</w:t>
      </w:r>
      <w:r w:rsidR="00836924" w:rsidRPr="00005834">
        <w:t xml:space="preserve"> approach</w:t>
      </w:r>
      <w:r w:rsidR="00EF2236" w:rsidRPr="00005834">
        <w:t xml:space="preserve"> : </w:t>
      </w:r>
    </w:p>
    <w:p w:rsidR="00EF2236" w:rsidRPr="00005834" w:rsidRDefault="00EF2236" w:rsidP="00EF2236">
      <w:pPr>
        <w:pStyle w:val="Paragraphedeliste"/>
        <w:numPr>
          <w:ilvl w:val="0"/>
          <w:numId w:val="51"/>
        </w:numPr>
      </w:pPr>
      <w:r w:rsidRPr="00005834">
        <w:t xml:space="preserve"> </w:t>
      </w:r>
      <w:r w:rsidR="00013338" w:rsidRPr="00005834">
        <w:t>M</w:t>
      </w:r>
      <w:r w:rsidR="00E5249D" w:rsidRPr="00005834">
        <w:t xml:space="preserve">andatorily cleared derivatives should in our view benefit equally from the reduction of MPOR to 1 day in case of </w:t>
      </w:r>
      <w:r w:rsidR="00986C69" w:rsidRPr="00005834">
        <w:t>ISA</w:t>
      </w:r>
      <w:r w:rsidRPr="00005834">
        <w:t>; the process of designation of contracts submitted to the obligation of clearing includes an assessment of their liquidity, their standardisation</w:t>
      </w:r>
      <w:r w:rsidR="00836924" w:rsidRPr="00005834">
        <w:t xml:space="preserve"> and the availability of prices; </w:t>
      </w:r>
    </w:p>
    <w:p w:rsidR="00EF2236" w:rsidRPr="00005834" w:rsidRDefault="00836924" w:rsidP="00EF2236">
      <w:pPr>
        <w:pStyle w:val="Paragraphedeliste"/>
        <w:numPr>
          <w:ilvl w:val="0"/>
          <w:numId w:val="51"/>
        </w:numPr>
      </w:pPr>
      <w:r w:rsidRPr="00005834">
        <w:t xml:space="preserve">For other OTC cleared derivatives, a 2 day  MPOR  </w:t>
      </w:r>
      <w:r w:rsidR="00013338" w:rsidRPr="00005834">
        <w:t>should apply</w:t>
      </w:r>
      <w:r w:rsidR="00E5249D" w:rsidRPr="00005834">
        <w:t>, knowing that CCPs’ rules do pay attention to the liquidity of each instruments when establishing the margin requirements</w:t>
      </w:r>
      <w:r w:rsidRPr="00005834">
        <w:t xml:space="preserve"> and that central clearing implies sufficient standardisation</w:t>
      </w:r>
      <w:r w:rsidR="00E5249D" w:rsidRPr="00005834">
        <w:t>.</w:t>
      </w:r>
      <w:r w:rsidR="00B22212" w:rsidRPr="00005834">
        <w:t xml:space="preserve"> The same 2 day MPOR should apply for non-ISA segregation such as OSA gross or LSOC.</w:t>
      </w:r>
    </w:p>
    <w:p w:rsidR="009B1E9F" w:rsidRDefault="00EF2236" w:rsidP="00A8728B">
      <w:r>
        <w:lastRenderedPageBreak/>
        <w:t xml:space="preserve">Amundi thinks that </w:t>
      </w:r>
      <w:r w:rsidR="00836924" w:rsidRPr="00005834">
        <w:t xml:space="preserve">even </w:t>
      </w:r>
      <w:r w:rsidRPr="00005834">
        <w:t xml:space="preserve">in case of OSA Net, </w:t>
      </w:r>
      <w:r w:rsidR="00836924" w:rsidRPr="00005834">
        <w:t>a</w:t>
      </w:r>
      <w:r w:rsidRPr="00005834">
        <w:t xml:space="preserve"> MPOR </w:t>
      </w:r>
      <w:r w:rsidR="00836924" w:rsidRPr="00005834">
        <w:t>as long as</w:t>
      </w:r>
      <w:r w:rsidRPr="00005834">
        <w:t xml:space="preserve"> 5 days</w:t>
      </w:r>
      <w:r w:rsidR="00836924" w:rsidRPr="00005834">
        <w:t xml:space="preserve"> is not justified</w:t>
      </w:r>
      <w:r w:rsidR="00B22212" w:rsidRPr="00005834">
        <w:t xml:space="preserve"> for standardised OTC derivatives that are cleared</w:t>
      </w:r>
      <w:r w:rsidRPr="00005834">
        <w:t xml:space="preserve">. </w:t>
      </w:r>
      <w:r w:rsidR="00B22212">
        <w:t>Furthermore,</w:t>
      </w:r>
      <w:r>
        <w:t xml:space="preserve"> we insist on the fact that there must be a significant diffe</w:t>
      </w:r>
      <w:r>
        <w:t>r</w:t>
      </w:r>
      <w:r>
        <w:t>ence between</w:t>
      </w:r>
      <w:r w:rsidR="00986C69">
        <w:t xml:space="preserve"> Net, </w:t>
      </w:r>
      <w:r>
        <w:t>Gross</w:t>
      </w:r>
      <w:r w:rsidR="00986C69">
        <w:t xml:space="preserve"> and ISA</w:t>
      </w:r>
      <w:r>
        <w:t xml:space="preserve">. </w:t>
      </w:r>
      <w:r w:rsidR="009B1E9F">
        <w:t xml:space="preserve"> </w:t>
      </w:r>
      <w:r w:rsidR="00986C69">
        <w:t>See question 4 below.</w:t>
      </w:r>
    </w:p>
    <w:permEnd w:id="1656249195"/>
    <w:p w:rsidR="00A8728B" w:rsidRDefault="00A8728B" w:rsidP="00A8728B">
      <w:r>
        <w:t>&lt;ESMA_QUESTION_</w:t>
      </w:r>
      <w:r w:rsidR="002A38B9">
        <w:t>RTS_153_26</w:t>
      </w:r>
      <w:r>
        <w:t>_3&gt;</w:t>
      </w:r>
    </w:p>
    <w:p w:rsidR="00A8728B" w:rsidRPr="00B62727" w:rsidRDefault="002A38B9" w:rsidP="002A38B9">
      <w:pPr>
        <w:pStyle w:val="CPQuestions"/>
      </w:pPr>
      <w:r w:rsidRPr="002A38B9">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7504E4" w:rsidRDefault="00986C69" w:rsidP="00986C69">
      <w:permStart w:id="2017855544" w:edGrp="everyone"/>
      <w:r>
        <w:t>No, a difference exists in terms of safety and market stability between OSA gross and ISA and justifies a difference of MPOR. Amundi agrees that a differentiation be made according to the level of segregation of client accounts. We insist on the fact that it should concern the chain from the end user, for example a fund run by an Asset manager like Amundi, to the clearing member (CM) to the CCP. The robustness of the CCP will be increased if it receives the amount of initial margin due by the end user without any co</w:t>
      </w:r>
      <w:r>
        <w:t>m</w:t>
      </w:r>
      <w:r>
        <w:t>pensation being made at the level of the CM.</w:t>
      </w:r>
      <w:r w:rsidR="005D53E0">
        <w:t xml:space="preserve"> In the relationship between CM and CCP, the result is achieved through</w:t>
      </w:r>
      <w:r w:rsidR="007504E4" w:rsidRPr="007504E4">
        <w:t xml:space="preserve"> </w:t>
      </w:r>
      <w:r w:rsidR="007504E4">
        <w:t>either</w:t>
      </w:r>
      <w:r>
        <w:t xml:space="preserve"> </w:t>
      </w:r>
      <w:r w:rsidR="005D53E0">
        <w:t>ISA or OSA Gross : the same amount of gross margin will be deposited in the book</w:t>
      </w:r>
      <w:r w:rsidR="00AA5FE4">
        <w:t>s</w:t>
      </w:r>
      <w:r w:rsidR="005D53E0">
        <w:t xml:space="preserve"> of the CCP. </w:t>
      </w:r>
      <w:r w:rsidR="00AA5FE4">
        <w:t xml:space="preserve">However, this is not sufficient to align MPOR to 1 day in both cases. </w:t>
      </w:r>
    </w:p>
    <w:p w:rsidR="00986C69" w:rsidRDefault="00986C69" w:rsidP="00986C69">
      <w:r>
        <w:t xml:space="preserve">If Individual Segregation Agreement (ISA) is used, the financial strength and stability is further reinforced </w:t>
      </w:r>
      <w:r w:rsidR="005D53E0">
        <w:t>as, from the end investor point of view,</w:t>
      </w:r>
      <w:r>
        <w:t xml:space="preserve"> amounts deposited </w:t>
      </w:r>
      <w:r w:rsidR="007504E4">
        <w:t xml:space="preserve">with </w:t>
      </w:r>
      <w:r>
        <w:t xml:space="preserve">the </w:t>
      </w:r>
      <w:r w:rsidRPr="00005834">
        <w:t>CCP</w:t>
      </w:r>
      <w:r w:rsidR="007504E4" w:rsidRPr="00005834">
        <w:t xml:space="preserve"> (including excess margin)</w:t>
      </w:r>
      <w:r w:rsidRPr="00005834">
        <w:t xml:space="preserve"> are remote from CM’s </w:t>
      </w:r>
      <w:r w:rsidR="005D53E0" w:rsidRPr="00005834">
        <w:t>bankruptcy</w:t>
      </w:r>
      <w:r w:rsidRPr="00005834">
        <w:t>. ISA does improve the safety of end users</w:t>
      </w:r>
      <w:r w:rsidR="000F548C" w:rsidRPr="00005834">
        <w:t xml:space="preserve"> and their clients</w:t>
      </w:r>
      <w:r w:rsidRPr="00005834">
        <w:t xml:space="preserve"> </w:t>
      </w:r>
      <w:r>
        <w:t>but also helps with a rapid recovery of the CCP in case of default of a CM: portability</w:t>
      </w:r>
      <w:r w:rsidR="005D53E0">
        <w:t xml:space="preserve"> would be more rapidly and</w:t>
      </w:r>
      <w:r>
        <w:t xml:space="preserve"> eas</w:t>
      </w:r>
      <w:r w:rsidR="005D53E0">
        <w:t>il</w:t>
      </w:r>
      <w:r>
        <w:t>y</w:t>
      </w:r>
      <w:r w:rsidR="005D53E0">
        <w:t xml:space="preserve"> organised</w:t>
      </w:r>
      <w:r>
        <w:t xml:space="preserve"> and liquidation of positions should be avoided</w:t>
      </w:r>
      <w:r w:rsidR="005D53E0">
        <w:t>.</w:t>
      </w:r>
      <w:r>
        <w:t xml:space="preserve"> </w:t>
      </w:r>
      <w:r w:rsidR="005D53E0">
        <w:t>It is the reason why we strongly feel that MPOR could be reduced to 1 day in case of ISA. Conversely, we do not feel that such a reduced MPOR</w:t>
      </w:r>
      <w:r w:rsidR="0044232E">
        <w:t xml:space="preserve"> should apply</w:t>
      </w:r>
      <w:r w:rsidR="005D53E0">
        <w:t xml:space="preserve"> fo</w:t>
      </w:r>
      <w:r w:rsidR="000F548C">
        <w:t>r OSA Gross and suggest a 2 day</w:t>
      </w:r>
      <w:r w:rsidR="005D53E0">
        <w:t xml:space="preserve"> MPOR. From the end client point of view</w:t>
      </w:r>
      <w:r w:rsidR="0044232E">
        <w:t>, in case of default of the CM the delay necessary to exercise portability will be much more uncertain and the risk to experience automatic liquidation of the positions or to receive equivalent instruments instead of the margins effectively deposited is not as marginal as in the case of ISA.</w:t>
      </w:r>
    </w:p>
    <w:p w:rsidR="00986C69" w:rsidRDefault="00986C69" w:rsidP="00986C69">
      <w:r>
        <w:t xml:space="preserve">As a consequence we consider as appropriate the following levels of MPOR in case of gross margining : 1 day for ISA and 2 days for OSA Gross. </w:t>
      </w:r>
    </w:p>
    <w:permEnd w:id="2017855544"/>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A8728B" w:rsidRPr="00005834" w:rsidRDefault="000F548C" w:rsidP="00A8728B">
      <w:permStart w:id="1084385928" w:edGrp="everyone"/>
      <w:r w:rsidRPr="00005834">
        <w:t>If</w:t>
      </w:r>
      <w:r w:rsidR="00F23E17" w:rsidRPr="00005834">
        <w:t xml:space="preserve"> Amundi </w:t>
      </w:r>
      <w:r w:rsidRPr="00005834">
        <w:t>understands</w:t>
      </w:r>
      <w:r w:rsidR="00F23E17" w:rsidRPr="00005834">
        <w:t xml:space="preserve"> the logic that links the reduction of MPOR, resulting in a lower initial margin, and the possibility to multiply intra-day calls of margin</w:t>
      </w:r>
      <w:r w:rsidRPr="00005834">
        <w:t>, it cannot anticipate the reaction of CM to this evolution. Currently, CMs agree to provide a service to cover intraday calls</w:t>
      </w:r>
      <w:r w:rsidR="005B08C6" w:rsidRPr="00005834">
        <w:t xml:space="preserve"> (</w:t>
      </w:r>
      <w:r w:rsidRPr="00005834">
        <w:t>probably because they are infrequent</w:t>
      </w:r>
      <w:r w:rsidR="005B08C6" w:rsidRPr="00005834">
        <w:t>)</w:t>
      </w:r>
      <w:r w:rsidRPr="00005834">
        <w:t xml:space="preserve">. Tomorrow they may wish to ask for payment when the intraday call is made. Asset managers should then have a better view on the parameters that trigger a call to be able to anticipate, verify  and work on equal terms with CMs when they call for intraday margin. This new procedure would require time and investment before being operational. </w:t>
      </w:r>
      <w:r w:rsidR="005B08C6" w:rsidRPr="00005834">
        <w:t>An alternative that could be workable under an ISA (to avoid counterparty risk with the CM) consists in posting excess margin to face  calls up to a level agreed upon with the CM. We are not able to assess what the solution would be, but we confirm that it would be a loss for end clients to benefit from lower margins at the price of an increase of excess deposit or excessive operational charges.</w:t>
      </w:r>
    </w:p>
    <w:permEnd w:id="1084385928"/>
    <w:p w:rsidR="00A8728B" w:rsidRDefault="00A8728B" w:rsidP="00A8728B">
      <w:r>
        <w:t>&lt;ESMA_QUESTION_</w:t>
      </w:r>
      <w:r w:rsidR="002A38B9">
        <w:t>RTS_153_26</w:t>
      </w:r>
      <w:r>
        <w:t>_5&gt;</w:t>
      </w:r>
    </w:p>
    <w:p w:rsidR="00A8728B" w:rsidRDefault="002A38B9" w:rsidP="002A38B9">
      <w:pPr>
        <w:pStyle w:val="CPQuestions"/>
      </w:pPr>
      <w:r w:rsidRPr="002A38B9">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A8728B" w:rsidRDefault="00005834" w:rsidP="00A8728B">
      <w:permStart w:id="674973704" w:edGrp="everyone"/>
      <w:r>
        <w:t>Amundi believes that</w:t>
      </w:r>
      <w:r w:rsidR="007165ED">
        <w:t xml:space="preserve"> linked entities should </w:t>
      </w:r>
      <w:r>
        <w:t xml:space="preserve">not </w:t>
      </w:r>
      <w:r w:rsidR="007165ED">
        <w:t xml:space="preserve">be considered differently. Margin requirements must in our view be standardized and apply to all types of clients without </w:t>
      </w:r>
      <w:r w:rsidR="00F601DE">
        <w:t xml:space="preserve">any </w:t>
      </w:r>
      <w:r w:rsidR="007165ED">
        <w:t>exception not expressly provi</w:t>
      </w:r>
      <w:r w:rsidR="007165ED">
        <w:t>d</w:t>
      </w:r>
      <w:r w:rsidR="007165ED">
        <w:t xml:space="preserve">ed for in </w:t>
      </w:r>
      <w:r w:rsidR="007165ED">
        <w:lastRenderedPageBreak/>
        <w:t>the level 1 text. Entities of the same group as clearing members should be allowed to benefit from the stan</w:t>
      </w:r>
      <w:r w:rsidR="007165ED">
        <w:t>d</w:t>
      </w:r>
      <w:r w:rsidR="007165ED">
        <w:t xml:space="preserve">ard MPOR applying to the type of segregation arrangements they have. They should not be granted any specific advantage either and procedures avoiding conflict of interests must be enforced </w:t>
      </w:r>
    </w:p>
    <w:permEnd w:id="674973704"/>
    <w:p w:rsidR="00A8728B" w:rsidRDefault="00A8728B" w:rsidP="00A8728B">
      <w:r>
        <w:t>&lt;ESMA_QUESTION_</w:t>
      </w:r>
      <w:r w:rsidR="002A38B9">
        <w:t>RTS_153_26</w:t>
      </w:r>
      <w:r>
        <w:t>_6&gt;</w:t>
      </w:r>
    </w:p>
    <w:p w:rsidR="00A8728B" w:rsidRPr="00C24BCA" w:rsidRDefault="002A38B9" w:rsidP="002A38B9">
      <w:pPr>
        <w:pStyle w:val="CPQuestions"/>
      </w:pPr>
      <w:r w:rsidRPr="002A38B9">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090FC5" w:rsidRPr="00005834" w:rsidRDefault="007165ED" w:rsidP="00A8728B">
      <w:permStart w:id="544416310" w:edGrp="everyone"/>
      <w:proofErr w:type="spellStart"/>
      <w:r>
        <w:t>Amundi’s</w:t>
      </w:r>
      <w:proofErr w:type="spellEnd"/>
      <w:r>
        <w:t xml:space="preserve"> experience, and we expect it to be largely shared by buy side institutions, is that it is not poss</w:t>
      </w:r>
      <w:r>
        <w:t>i</w:t>
      </w:r>
      <w:r>
        <w:t>ble in practice (or real life) to sign an enforceable back-up agreement with a substitute clearing member. It is fully understandable tha</w:t>
      </w:r>
      <w:r w:rsidR="00EC2F5A">
        <w:t>t CM</w:t>
      </w:r>
      <w:r w:rsidR="00AA5FE4">
        <w:t>s</w:t>
      </w:r>
      <w:r w:rsidR="00EC2F5A">
        <w:t xml:space="preserve"> are not ready to engage blindly and agree to accept without restrictions portability of  positions. This transfer is, by definition of a back-up solution, going to be activated at a period of stress when a CM default</w:t>
      </w:r>
      <w:r w:rsidR="00AA5FE4">
        <w:t>s</w:t>
      </w:r>
      <w:r w:rsidR="00EC2F5A" w:rsidRPr="00005834">
        <w:t>.</w:t>
      </w:r>
      <w:r w:rsidR="00090FC5" w:rsidRPr="00005834">
        <w:t xml:space="preserve"> We suspect that without an explicit regulatory obligation for the CM to accept back-up agreements, that should probably be Tripartite with an engagement to test operationally the possibility of portability, it will be very difficult to sign an agreement. In our view, interoperability b</w:t>
      </w:r>
      <w:r w:rsidR="00090FC5" w:rsidRPr="00005834">
        <w:t>e</w:t>
      </w:r>
      <w:r w:rsidR="00090FC5" w:rsidRPr="00005834">
        <w:t>tween CCPs could only be achieved through such a regulatory requirement.</w:t>
      </w:r>
      <w:r w:rsidR="00365D83" w:rsidRPr="00005834">
        <w:t xml:space="preserve"> An alternative way, that we totally support, is to consider that, for cleared OTC derivatives, the CM is an agent and does not act as principal vis à vis the CCP. The need for a backup would then disappear.</w:t>
      </w:r>
    </w:p>
    <w:p w:rsidR="00090FC5" w:rsidRPr="00005834" w:rsidRDefault="00090FC5" w:rsidP="00A8728B">
      <w:r w:rsidRPr="00005834">
        <w:t xml:space="preserve">For these reasons, we are comforted </w:t>
      </w:r>
      <w:r w:rsidR="00EC2F5A" w:rsidRPr="00005834">
        <w:t xml:space="preserve"> in our risk analysis to prefer ISA full segregation model. In an ISA, we feel that portability is workable as the identification of positions and margins is pre-existing in the books of the </w:t>
      </w:r>
      <w:r w:rsidR="00AA5FE4" w:rsidRPr="00005834">
        <w:t>C</w:t>
      </w:r>
      <w:r w:rsidR="00EC2F5A" w:rsidRPr="00005834">
        <w:t xml:space="preserve">CP and not only in those of the CM, </w:t>
      </w:r>
      <w:r w:rsidR="00AA5FE4" w:rsidRPr="00005834">
        <w:t>who</w:t>
      </w:r>
      <w:r w:rsidR="00EC2F5A" w:rsidRPr="00005834">
        <w:t xml:space="preserve"> will be defaulting and probably not available for “squa</w:t>
      </w:r>
      <w:r w:rsidR="00EC2F5A" w:rsidRPr="00005834">
        <w:t>r</w:t>
      </w:r>
      <w:r w:rsidR="00EC2F5A" w:rsidRPr="00005834">
        <w:t>ing” its books.</w:t>
      </w:r>
      <w:r w:rsidRPr="00005834">
        <w:t xml:space="preserve"> In these circumstances</w:t>
      </w:r>
      <w:r w:rsidR="00365D83" w:rsidRPr="00005834">
        <w:t xml:space="preserve"> the operational risk of a back</w:t>
      </w:r>
      <w:r w:rsidRPr="00005834">
        <w:t xml:space="preserve">up CM is </w:t>
      </w:r>
      <w:r w:rsidR="00365D83" w:rsidRPr="00005834">
        <w:t>reduced under an ISA and manageable.</w:t>
      </w:r>
      <w:r w:rsidR="00EC2F5A" w:rsidRPr="00005834">
        <w:t xml:space="preserve"> </w:t>
      </w:r>
    </w:p>
    <w:p w:rsidR="007165ED" w:rsidRDefault="00EC2F5A" w:rsidP="00A8728B">
      <w:r>
        <w:t>Amundi urges authorities to check that CM</w:t>
      </w:r>
      <w:r w:rsidR="00AA5FE4">
        <w:t>s</w:t>
      </w:r>
      <w:r>
        <w:t xml:space="preserve"> produce an offer for full segregation at reasonable comme</w:t>
      </w:r>
      <w:r>
        <w:t>r</w:t>
      </w:r>
      <w:r>
        <w:t xml:space="preserve">cial terms in order to be compliant with level 1 of EMIR. As an additional comment, Amundi does not agree with the common place affirmation that ISA will be </w:t>
      </w:r>
      <w:r w:rsidR="00D05BD7">
        <w:t xml:space="preserve">far </w:t>
      </w:r>
      <w:r>
        <w:t>more expensive for end clients. Of course, ISA requires the opening of more accounts and prevents CM from keeping the difference between gross and net margin</w:t>
      </w:r>
      <w:r w:rsidR="00D05BD7">
        <w:t>s</w:t>
      </w:r>
      <w:r>
        <w:t xml:space="preserve">. But this last benefit does not exist in case of </w:t>
      </w:r>
      <w:r w:rsidR="00406E3F">
        <w:t xml:space="preserve">OSA gross either and the cost of opening and running accounts is moderate in modern electronic times. </w:t>
      </w:r>
      <w:r w:rsidR="00406E3F" w:rsidRPr="00005834">
        <w:t xml:space="preserve">Furthermore </w:t>
      </w:r>
      <w:r w:rsidR="00090FC5" w:rsidRPr="00005834">
        <w:t>ISA</w:t>
      </w:r>
      <w:r w:rsidR="00406E3F" w:rsidRPr="00005834">
        <w:t xml:space="preserve"> does </w:t>
      </w:r>
      <w:r w:rsidR="00406E3F">
        <w:t>simplify controls and risk management from end user to CCP for the greater benefit of financial stability.</w:t>
      </w:r>
    </w:p>
    <w:permEnd w:id="544416310"/>
    <w:p w:rsidR="00A8728B" w:rsidRDefault="00A8728B" w:rsidP="00A8728B">
      <w:r>
        <w:t>&lt;ESMA_QUESTION_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365D83" w:rsidRDefault="00406E3F" w:rsidP="00A8728B">
      <w:permStart w:id="536946133" w:edGrp="everyone"/>
      <w:r>
        <w:t>Amundi would like ESMA to fully understand the position of a buy side actor like an asset manager. The question for us is to grant safety to our client investors. In that respect EMIR is a good initiative. However, we feel that in some instances the final benefit of the regulation for end</w:t>
      </w:r>
      <w:r w:rsidR="00D05BD7">
        <w:t>,</w:t>
      </w:r>
      <w:r>
        <w:t xml:space="preserve">  long</w:t>
      </w:r>
      <w:r w:rsidR="00D05BD7">
        <w:t>-</w:t>
      </w:r>
      <w:r>
        <w:t>only investors like funds (UCITS and AIF)</w:t>
      </w:r>
      <w:r w:rsidR="00005834">
        <w:t>, pension funds or insurers</w:t>
      </w:r>
      <w:r>
        <w:t xml:space="preserve"> </w:t>
      </w:r>
      <w:r w:rsidR="0085133D">
        <w:t>is overlooked</w:t>
      </w:r>
      <w:r>
        <w:t>. For example the discussion about central clearing seems f</w:t>
      </w:r>
      <w:r>
        <w:t>o</w:t>
      </w:r>
      <w:r>
        <w:t xml:space="preserve">cused on a debate between CCPs and CMs. There is a risk that, if authorities do not watch carefully, they find an agreement among themselves (CMs are the clients of the CCPs as well </w:t>
      </w:r>
      <w:r w:rsidR="00667CB9">
        <w:t>as</w:t>
      </w:r>
      <w:r>
        <w:t xml:space="preserve"> the</w:t>
      </w:r>
      <w:r w:rsidR="00D05BD7">
        <w:t>ir</w:t>
      </w:r>
      <w:r>
        <w:t xml:space="preserve"> major sharehol</w:t>
      </w:r>
      <w:r>
        <w:t>d</w:t>
      </w:r>
      <w:r>
        <w:t>ers in many cases) that would be unfair to end clients.</w:t>
      </w:r>
      <w:r w:rsidR="00667CB9">
        <w:t xml:space="preserve"> </w:t>
      </w:r>
    </w:p>
    <w:p w:rsidR="00A8728B" w:rsidRDefault="00667CB9" w:rsidP="00A8728B">
      <w:r>
        <w:t>Amundi has a clear view that (</w:t>
      </w:r>
      <w:proofErr w:type="spellStart"/>
      <w:r>
        <w:t>i</w:t>
      </w:r>
      <w:proofErr w:type="spellEnd"/>
      <w:r>
        <w:t>) ISA should be encouraged and it is now a question of fair pricing by CM where we feel that authorities have a say because of the clarity of level 1 text, (ii)</w:t>
      </w:r>
      <w:r w:rsidR="00365D83">
        <w:t xml:space="preserve"> </w:t>
      </w:r>
      <w:r w:rsidR="00365D83" w:rsidRPr="00005834">
        <w:t>portability should be favoured as the most efficient way to deal with default and ISA recognized as the best way to grant port</w:t>
      </w:r>
      <w:r w:rsidR="00365D83" w:rsidRPr="00005834">
        <w:t>a</w:t>
      </w:r>
      <w:r w:rsidR="00365D83" w:rsidRPr="00005834">
        <w:lastRenderedPageBreak/>
        <w:t>bility, (iii)</w:t>
      </w:r>
      <w:r w:rsidRPr="00005834">
        <w:t xml:space="preserve"> def</w:t>
      </w:r>
      <w:r w:rsidR="009B5ECB" w:rsidRPr="00005834">
        <w:t>ault waterfall should always protect</w:t>
      </w:r>
      <w:r w:rsidR="0085133D" w:rsidRPr="00005834">
        <w:t xml:space="preserve"> and “</w:t>
      </w:r>
      <w:proofErr w:type="spellStart"/>
      <w:r w:rsidR="0085133D" w:rsidRPr="00005834">
        <w:t>sanctu</w:t>
      </w:r>
      <w:r w:rsidR="0085133D">
        <w:t>arize</w:t>
      </w:r>
      <w:proofErr w:type="spellEnd"/>
      <w:r w:rsidR="0085133D">
        <w:t>”</w:t>
      </w:r>
      <w:r w:rsidR="009B5ECB">
        <w:t xml:space="preserve"> the margins deposited by end users</w:t>
      </w:r>
      <w:r w:rsidR="00365D83">
        <w:t xml:space="preserve"> clients of CMs </w:t>
      </w:r>
      <w:r w:rsidR="009B5ECB">
        <w:t>. Our analysis is that</w:t>
      </w:r>
      <w:r w:rsidR="0085133D">
        <w:t xml:space="preserve">, except for hedge funds clearly identified under AIFMD as using a significant leverage (i.e. 3 times), </w:t>
      </w:r>
      <w:r w:rsidR="009B5ECB">
        <w:t>funds are not lever</w:t>
      </w:r>
      <w:r w:rsidR="0085133D">
        <w:t>aged and</w:t>
      </w:r>
      <w:r w:rsidR="009B5ECB">
        <w:t xml:space="preserve"> long only actors that do not bring risk to the CCP but are acting as margin providers and risk takers</w:t>
      </w:r>
      <w:r w:rsidR="009B5ECB" w:rsidRPr="009B5ECB">
        <w:t xml:space="preserve"> </w:t>
      </w:r>
      <w:r w:rsidR="009B5ECB">
        <w:t>stabilizing the system. Strictly regulated and tightly supervised under UCITS and AIFM Directives</w:t>
      </w:r>
      <w:r w:rsidR="0085133D">
        <w:t>, they cannot default. No default waterfall should at any level tax them on their margins.</w:t>
      </w:r>
      <w:r>
        <w:t xml:space="preserve"> </w:t>
      </w:r>
      <w:r w:rsidR="0085133D">
        <w:t xml:space="preserve">We see too many counterexamples in CCP rules not to worry. </w:t>
      </w:r>
    </w:p>
    <w:permEnd w:id="536946133"/>
    <w:p w:rsidR="00A8728B" w:rsidRDefault="00A8728B" w:rsidP="00A8728B">
      <w:r>
        <w:t>&lt;ESMA_QUESTION_</w:t>
      </w:r>
      <w:r w:rsidR="002A38B9">
        <w:t>RTS_153_26</w:t>
      </w:r>
      <w:r>
        <w:t>_8&gt;</w:t>
      </w:r>
    </w:p>
    <w:sectPr w:rsidR="00A8728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A3" w:rsidRDefault="008B76A3">
      <w:r>
        <w:separator/>
      </w:r>
    </w:p>
    <w:p w:rsidR="008B76A3" w:rsidRDefault="008B76A3"/>
  </w:endnote>
  <w:endnote w:type="continuationSeparator" w:id="0">
    <w:p w:rsidR="008B76A3" w:rsidRDefault="008B76A3">
      <w:r>
        <w:continuationSeparator/>
      </w:r>
    </w:p>
    <w:p w:rsidR="008B76A3" w:rsidRDefault="008B76A3"/>
  </w:endnote>
  <w:endnote w:type="continuationNotice" w:id="1">
    <w:p w:rsidR="008B76A3" w:rsidRDefault="008B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55A13">
            <w:rPr>
              <w:rFonts w:cs="Arial"/>
              <w:noProof/>
              <w:sz w:val="22"/>
              <w:szCs w:val="22"/>
            </w:rPr>
            <w:t>8</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A3" w:rsidRDefault="008B76A3">
      <w:r>
        <w:separator/>
      </w:r>
    </w:p>
    <w:p w:rsidR="008B76A3" w:rsidRDefault="008B76A3"/>
  </w:footnote>
  <w:footnote w:type="continuationSeparator" w:id="0">
    <w:p w:rsidR="008B76A3" w:rsidRDefault="008B76A3">
      <w:r>
        <w:continuationSeparator/>
      </w:r>
    </w:p>
    <w:p w:rsidR="008B76A3" w:rsidRDefault="008B76A3"/>
  </w:footnote>
  <w:footnote w:type="continuationNotice" w:id="1">
    <w:p w:rsidR="008B76A3" w:rsidRDefault="008B7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tte"/>
    </w:pPr>
    <w:r>
      <w:rPr>
        <w:noProof/>
        <w:lang w:val="en-US" w:eastAsia="zh-TW"/>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tte"/>
      <w:jc w:val="right"/>
    </w:pPr>
    <w:r>
      <w:rPr>
        <w:noProof/>
        <w:lang w:val="en-US" w:eastAsia="zh-TW"/>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en-US" w:eastAsia="zh-TW"/>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TW"/>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386333C"/>
    <w:multiLevelType w:val="hybridMultilevel"/>
    <w:tmpl w:val="CD9A2870"/>
    <w:lvl w:ilvl="0" w:tplc="336E55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4E7C280C"/>
    <w:multiLevelType w:val="hybridMultilevel"/>
    <w:tmpl w:val="3494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1E7E55"/>
    <w:multiLevelType w:val="hybridMultilevel"/>
    <w:tmpl w:val="92AE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19"/>
  </w:num>
  <w:num w:numId="27">
    <w:abstractNumId w:val="34"/>
  </w:num>
  <w:num w:numId="28">
    <w:abstractNumId w:val="39"/>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3"/>
  </w:num>
  <w:num w:numId="51">
    <w:abstractNumId w:val="33"/>
  </w:num>
  <w:num w:numId="52">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834"/>
    <w:rsid w:val="00005BBA"/>
    <w:rsid w:val="00005D8C"/>
    <w:rsid w:val="00006C2B"/>
    <w:rsid w:val="00007014"/>
    <w:rsid w:val="00007968"/>
    <w:rsid w:val="0001067A"/>
    <w:rsid w:val="0001333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0FC5"/>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48C"/>
    <w:rsid w:val="000F55B7"/>
    <w:rsid w:val="000F604F"/>
    <w:rsid w:val="000F7399"/>
    <w:rsid w:val="00102458"/>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2ECD"/>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7713"/>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731"/>
    <w:rsid w:val="00345968"/>
    <w:rsid w:val="00347667"/>
    <w:rsid w:val="003507E2"/>
    <w:rsid w:val="003522B2"/>
    <w:rsid w:val="0035455E"/>
    <w:rsid w:val="00354A6F"/>
    <w:rsid w:val="00354B48"/>
    <w:rsid w:val="00355789"/>
    <w:rsid w:val="003609B6"/>
    <w:rsid w:val="00361119"/>
    <w:rsid w:val="0036538D"/>
    <w:rsid w:val="00365D12"/>
    <w:rsid w:val="00365D83"/>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3F"/>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32E"/>
    <w:rsid w:val="0044277A"/>
    <w:rsid w:val="004456DC"/>
    <w:rsid w:val="00447FBE"/>
    <w:rsid w:val="0045035E"/>
    <w:rsid w:val="0045175A"/>
    <w:rsid w:val="00451ED9"/>
    <w:rsid w:val="00452180"/>
    <w:rsid w:val="00453072"/>
    <w:rsid w:val="004539F8"/>
    <w:rsid w:val="00453F26"/>
    <w:rsid w:val="0045503F"/>
    <w:rsid w:val="00455273"/>
    <w:rsid w:val="00455A1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511F"/>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8C6"/>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3E0"/>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CB9"/>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2521"/>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5ED"/>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4E4"/>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924"/>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33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C69"/>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1E9F"/>
    <w:rsid w:val="009B5ECB"/>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4A8"/>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A80"/>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5FE4"/>
    <w:rsid w:val="00AA615C"/>
    <w:rsid w:val="00AA6711"/>
    <w:rsid w:val="00AA765A"/>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3C0E"/>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2212"/>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5BD7"/>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49D"/>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6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2F5A"/>
    <w:rsid w:val="00EC3CB4"/>
    <w:rsid w:val="00EC443E"/>
    <w:rsid w:val="00EC4D83"/>
    <w:rsid w:val="00EC4EEE"/>
    <w:rsid w:val="00EC634F"/>
    <w:rsid w:val="00EC7B97"/>
    <w:rsid w:val="00ED049C"/>
    <w:rsid w:val="00ED07B7"/>
    <w:rsid w:val="00ED19D7"/>
    <w:rsid w:val="00ED2167"/>
    <w:rsid w:val="00ED351E"/>
    <w:rsid w:val="00ED4B27"/>
    <w:rsid w:val="00ED532C"/>
    <w:rsid w:val="00ED543C"/>
    <w:rsid w:val="00ED6BA4"/>
    <w:rsid w:val="00ED7DA7"/>
    <w:rsid w:val="00EE0598"/>
    <w:rsid w:val="00EE311C"/>
    <w:rsid w:val="00EE56FF"/>
    <w:rsid w:val="00EE5886"/>
    <w:rsid w:val="00EE5FBF"/>
    <w:rsid w:val="00EE6472"/>
    <w:rsid w:val="00EE76F2"/>
    <w:rsid w:val="00EF0769"/>
    <w:rsid w:val="00EF0D7C"/>
    <w:rsid w:val="00EF2236"/>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3E17"/>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1DE"/>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12E"/>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FFAB-EA6B-4018-A252-EE339F6F769A}">
  <ds:schemaRefs>
    <ds:schemaRef ds:uri="http://schemas.openxmlformats.org/officeDocument/2006/bibliography"/>
  </ds:schemaRefs>
</ds:datastoreItem>
</file>

<file path=customXml/itemProps2.xml><?xml version="1.0" encoding="utf-8"?>
<ds:datastoreItem xmlns:ds="http://schemas.openxmlformats.org/officeDocument/2006/customXml" ds:itemID="{EDEC4441-FF10-4E93-BC58-CBABF2DA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15105</Characters>
  <Application>Microsoft Office Word</Application>
  <DocSecurity>8</DocSecurity>
  <Lines>125</Lines>
  <Paragraphs>36</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18027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bompaire</cp:lastModifiedBy>
  <cp:revision>3</cp:revision>
  <cp:lastPrinted>2015-02-18T11:01:00Z</cp:lastPrinted>
  <dcterms:created xsi:type="dcterms:W3CDTF">2015-09-29T09:03:00Z</dcterms:created>
  <dcterms:modified xsi:type="dcterms:W3CDTF">2015-09-29T09:07:00Z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-383038704</vt:i4>
  </property>
  <property fmtid="{D5CDD505-2E9C-101B-9397-08002B2CF9AE}" pid="3" name="_NewReviewCycle">
    <vt:lpwstr/>
  </property>
  <property fmtid="{D5CDD505-2E9C-101B-9397-08002B2CF9AE}" pid="4" name="_EmailSubject">
    <vt:lpwstr>[For your Comment - Deadline: 7 Sept.] EMIR - ESMA consultation on RTS on client accounts</vt:lpwstr>
  </property>
  <property fmtid="{D5CDD505-2E9C-101B-9397-08002B2CF9AE}" pid="5" name="_AuthorEmail">
    <vt:lpwstr>frederic.bompaire@amundi.com</vt:lpwstr>
  </property>
  <property fmtid="{D5CDD505-2E9C-101B-9397-08002B2CF9AE}" pid="6" name="_AuthorEmailDisplayName">
    <vt:lpwstr>Bompaire Frederic (AMUNDI)</vt:lpwstr>
  </property>
</Properties>
</file>