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44" w:rsidRDefault="00BB2644">
      <w:pPr>
        <w:rPr>
          <w:rFonts w:ascii="Book Antiqua" w:hAnsi="Book Antiqua"/>
          <w:b/>
          <w:sz w:val="24"/>
          <w:szCs w:val="24"/>
        </w:rPr>
      </w:pPr>
    </w:p>
    <w:p w:rsidR="00200CCF" w:rsidRPr="002E01B2" w:rsidRDefault="00A351C6">
      <w:pPr>
        <w:rPr>
          <w:rFonts w:ascii="Book Antiqua" w:hAnsi="Book Antiqua"/>
          <w:b/>
          <w:sz w:val="24"/>
          <w:szCs w:val="24"/>
        </w:rPr>
      </w:pPr>
      <w:r w:rsidRPr="002E01B2">
        <w:rPr>
          <w:rFonts w:ascii="Book Antiqua" w:hAnsi="Book Antiqua"/>
          <w:b/>
          <w:sz w:val="24"/>
          <w:szCs w:val="24"/>
        </w:rPr>
        <w:t>Response of the Financial Reporting Council to the European Securities Markets Authority Discussion Paper on the Proxy Advisory Industry</w:t>
      </w:r>
    </w:p>
    <w:p w:rsidR="00A351C6" w:rsidRDefault="00A351C6"/>
    <w:p w:rsidR="002E01B2" w:rsidRPr="002E01B2" w:rsidRDefault="002E01B2" w:rsidP="009317F5">
      <w:pPr>
        <w:jc w:val="both"/>
        <w:rPr>
          <w:rFonts w:ascii="Book Antiqua" w:hAnsi="Book Antiqua"/>
        </w:rPr>
      </w:pPr>
      <w:r w:rsidRPr="002E01B2">
        <w:rPr>
          <w:rFonts w:ascii="Book Antiqua" w:hAnsi="Book Antiqua"/>
        </w:rPr>
        <w:t xml:space="preserve">The Financial Reporting Council is the UK’s independent regulator and standard setter responsible for corporate governance, accounting, audit and actuarial practice. </w:t>
      </w:r>
      <w:r w:rsidR="002A5A9C">
        <w:rPr>
          <w:rFonts w:ascii="Book Antiqua" w:hAnsi="Book Antiqua"/>
        </w:rPr>
        <w:t xml:space="preserve"> </w:t>
      </w:r>
      <w:r w:rsidRPr="002E01B2">
        <w:rPr>
          <w:rFonts w:ascii="Book Antiqua" w:hAnsi="Book Antiqua"/>
        </w:rPr>
        <w:t>We sponsor the UK Corporate Governance Code</w:t>
      </w:r>
      <w:r w:rsidR="00AF29DB">
        <w:rPr>
          <w:rFonts w:ascii="Book Antiqua" w:hAnsi="Book Antiqua"/>
        </w:rPr>
        <w:t>,</w:t>
      </w:r>
      <w:r w:rsidRPr="002E01B2">
        <w:rPr>
          <w:rFonts w:ascii="Book Antiqua" w:hAnsi="Book Antiqua"/>
        </w:rPr>
        <w:t xml:space="preserve"> which applies to companies</w:t>
      </w:r>
      <w:r w:rsidR="00AF29DB">
        <w:rPr>
          <w:rFonts w:ascii="Book Antiqua" w:hAnsi="Book Antiqua"/>
        </w:rPr>
        <w:t>,</w:t>
      </w:r>
      <w:r w:rsidRPr="002E01B2">
        <w:rPr>
          <w:rFonts w:ascii="Book Antiqua" w:hAnsi="Book Antiqua"/>
        </w:rPr>
        <w:t xml:space="preserve"> and the Stewa</w:t>
      </w:r>
      <w:r w:rsidR="009317F5">
        <w:rPr>
          <w:rFonts w:ascii="Book Antiqua" w:hAnsi="Book Antiqua"/>
        </w:rPr>
        <w:t>r</w:t>
      </w:r>
      <w:r w:rsidRPr="002E01B2">
        <w:rPr>
          <w:rFonts w:ascii="Book Antiqua" w:hAnsi="Book Antiqua"/>
        </w:rPr>
        <w:t>dship Code</w:t>
      </w:r>
      <w:r w:rsidR="00AF29DB">
        <w:rPr>
          <w:rFonts w:ascii="Book Antiqua" w:hAnsi="Book Antiqua"/>
        </w:rPr>
        <w:t>,</w:t>
      </w:r>
      <w:r w:rsidRPr="002E01B2">
        <w:rPr>
          <w:rFonts w:ascii="Book Antiqua" w:hAnsi="Book Antiqua"/>
        </w:rPr>
        <w:t xml:space="preserve"> which applies to investors. </w:t>
      </w:r>
      <w:r w:rsidR="002A5A9C">
        <w:rPr>
          <w:rFonts w:ascii="Book Antiqua" w:hAnsi="Book Antiqua"/>
        </w:rPr>
        <w:t xml:space="preserve"> </w:t>
      </w:r>
      <w:r w:rsidRPr="002E01B2">
        <w:rPr>
          <w:rFonts w:ascii="Book Antiqua" w:hAnsi="Book Antiqua"/>
        </w:rPr>
        <w:t>We therefore have a strong interest in the conduct of company general meetings and welcome the opportunity to respond to this Discussion Paper.</w:t>
      </w:r>
    </w:p>
    <w:p w:rsidR="00A351C6" w:rsidRPr="003561FC" w:rsidRDefault="00A351C6">
      <w:pPr>
        <w:rPr>
          <w:rFonts w:ascii="Book Antiqua" w:hAnsi="Book Antiqua"/>
          <w:b/>
          <w:sz w:val="24"/>
          <w:szCs w:val="24"/>
          <w:u w:val="single"/>
        </w:rPr>
      </w:pPr>
      <w:r w:rsidRPr="003561FC">
        <w:rPr>
          <w:rFonts w:ascii="Book Antiqua" w:hAnsi="Book Antiqua"/>
          <w:b/>
          <w:sz w:val="24"/>
          <w:szCs w:val="24"/>
          <w:u w:val="single"/>
        </w:rPr>
        <w:t>General</w:t>
      </w:r>
      <w:r w:rsidR="003561FC">
        <w:rPr>
          <w:rFonts w:ascii="Book Antiqua" w:hAnsi="Book Antiqua"/>
          <w:b/>
          <w:sz w:val="24"/>
          <w:szCs w:val="24"/>
          <w:u w:val="single"/>
        </w:rPr>
        <w:t xml:space="preserve"> comments</w:t>
      </w:r>
    </w:p>
    <w:p w:rsidR="00596463" w:rsidRPr="003561FC" w:rsidRDefault="009317F5" w:rsidP="003561FC">
      <w:pPr>
        <w:jc w:val="both"/>
        <w:rPr>
          <w:rFonts w:ascii="Book Antiqua" w:hAnsi="Book Antiqua"/>
        </w:rPr>
      </w:pPr>
      <w:r w:rsidRPr="003561FC">
        <w:rPr>
          <w:rFonts w:ascii="Book Antiqua" w:hAnsi="Book Antiqua"/>
        </w:rPr>
        <w:t xml:space="preserve">The core question posed by the paper is whether proxy advisory agencies should be subject to regulation at European level.  In the background is a growing level of unease, among </w:t>
      </w:r>
      <w:r w:rsidR="00AF29DB">
        <w:rPr>
          <w:rFonts w:ascii="Book Antiqua" w:hAnsi="Book Antiqua"/>
        </w:rPr>
        <w:t xml:space="preserve">European issuers, including many in the </w:t>
      </w:r>
      <w:r w:rsidRPr="003561FC">
        <w:rPr>
          <w:rFonts w:ascii="Book Antiqua" w:hAnsi="Book Antiqua"/>
        </w:rPr>
        <w:t>UK</w:t>
      </w:r>
      <w:r w:rsidR="00AF29DB">
        <w:rPr>
          <w:rFonts w:ascii="Book Antiqua" w:hAnsi="Book Antiqua"/>
        </w:rPr>
        <w:t>,</w:t>
      </w:r>
      <w:r w:rsidRPr="003561FC">
        <w:rPr>
          <w:rFonts w:ascii="Book Antiqua" w:hAnsi="Book Antiqua"/>
        </w:rPr>
        <w:t xml:space="preserve"> over the quality of the advice provided by these agencies and the apparent influence that they wield over voting results. </w:t>
      </w:r>
      <w:r w:rsidR="007E4823">
        <w:rPr>
          <w:rFonts w:ascii="Book Antiqua" w:hAnsi="Book Antiqua"/>
        </w:rPr>
        <w:t xml:space="preserve"> </w:t>
      </w:r>
      <w:r w:rsidRPr="003561FC">
        <w:rPr>
          <w:rFonts w:ascii="Book Antiqua" w:hAnsi="Book Antiqua"/>
        </w:rPr>
        <w:t xml:space="preserve">The anxiety is compounded by the increasing internationalisation of the equity market which results in </w:t>
      </w:r>
      <w:r w:rsidR="00596463" w:rsidRPr="003561FC">
        <w:rPr>
          <w:rFonts w:ascii="Book Antiqua" w:hAnsi="Book Antiqua"/>
        </w:rPr>
        <w:t xml:space="preserve">more </w:t>
      </w:r>
      <w:r w:rsidRPr="003561FC">
        <w:rPr>
          <w:rFonts w:ascii="Book Antiqua" w:hAnsi="Book Antiqua"/>
        </w:rPr>
        <w:t xml:space="preserve">shareholders being </w:t>
      </w:r>
      <w:r w:rsidR="00596463" w:rsidRPr="003561FC">
        <w:rPr>
          <w:rFonts w:ascii="Book Antiqua" w:hAnsi="Book Antiqua"/>
        </w:rPr>
        <w:t>remote from the companies they own</w:t>
      </w:r>
      <w:r w:rsidR="00AF29DB">
        <w:rPr>
          <w:rFonts w:ascii="Book Antiqua" w:hAnsi="Book Antiqua"/>
        </w:rPr>
        <w:t xml:space="preserve"> which may make them more reliant on proxy agencies’ advice</w:t>
      </w:r>
      <w:r w:rsidR="00596463" w:rsidRPr="003561FC">
        <w:rPr>
          <w:rFonts w:ascii="Book Antiqua" w:hAnsi="Book Antiqua"/>
        </w:rPr>
        <w:t xml:space="preserve">. </w:t>
      </w:r>
      <w:r w:rsidR="007E4823">
        <w:rPr>
          <w:rFonts w:ascii="Book Antiqua" w:hAnsi="Book Antiqua"/>
        </w:rPr>
        <w:t xml:space="preserve"> </w:t>
      </w:r>
      <w:r w:rsidR="00AF29DB">
        <w:rPr>
          <w:rFonts w:ascii="Book Antiqua" w:hAnsi="Book Antiqua"/>
        </w:rPr>
        <w:t>It</w:t>
      </w:r>
      <w:r w:rsidR="00596463" w:rsidRPr="003561FC">
        <w:rPr>
          <w:rFonts w:ascii="Book Antiqua" w:hAnsi="Book Antiqua"/>
        </w:rPr>
        <w:t xml:space="preserve"> </w:t>
      </w:r>
      <w:r w:rsidR="00AF29DB">
        <w:rPr>
          <w:rFonts w:ascii="Book Antiqua" w:hAnsi="Book Antiqua"/>
        </w:rPr>
        <w:t xml:space="preserve">also </w:t>
      </w:r>
      <w:r w:rsidR="00596463" w:rsidRPr="003561FC">
        <w:rPr>
          <w:rFonts w:ascii="Book Antiqua" w:hAnsi="Book Antiqua"/>
        </w:rPr>
        <w:t>makes it hard for companies to engage with even some of their larger shareholders directly</w:t>
      </w:r>
      <w:r w:rsidR="00AF29DB">
        <w:rPr>
          <w:rFonts w:ascii="Book Antiqua" w:hAnsi="Book Antiqua"/>
        </w:rPr>
        <w:t>.</w:t>
      </w:r>
    </w:p>
    <w:p w:rsidR="007340F9" w:rsidRDefault="006714C3" w:rsidP="007340F9">
      <w:pPr>
        <w:jc w:val="both"/>
        <w:rPr>
          <w:rFonts w:ascii="Book Antiqua" w:hAnsi="Book Antiqua"/>
        </w:rPr>
      </w:pPr>
      <w:r>
        <w:rPr>
          <w:rFonts w:ascii="Book Antiqua" w:hAnsi="Book Antiqua"/>
        </w:rPr>
        <w:t>T</w:t>
      </w:r>
      <w:r w:rsidR="00596463" w:rsidRPr="003561FC">
        <w:rPr>
          <w:rFonts w:ascii="Book Antiqua" w:hAnsi="Book Antiqua"/>
        </w:rPr>
        <w:t>hese concerns are certainly genuine</w:t>
      </w:r>
      <w:r w:rsidR="00C80E62">
        <w:rPr>
          <w:rFonts w:ascii="Book Antiqua" w:hAnsi="Book Antiqua"/>
        </w:rPr>
        <w:t xml:space="preserve"> and</w:t>
      </w:r>
      <w:r w:rsidR="00FB19D5">
        <w:rPr>
          <w:rFonts w:ascii="Book Antiqua" w:hAnsi="Book Antiqua"/>
        </w:rPr>
        <w:t xml:space="preserve">, if anything, are likely to increase as the equity market becomes more international and resource pressures push more investors to rely on their judgements. </w:t>
      </w:r>
      <w:r w:rsidR="00EE6802">
        <w:rPr>
          <w:rFonts w:ascii="Book Antiqua" w:hAnsi="Book Antiqua"/>
        </w:rPr>
        <w:t xml:space="preserve"> </w:t>
      </w:r>
      <w:r>
        <w:rPr>
          <w:rFonts w:ascii="Book Antiqua" w:hAnsi="Book Antiqua"/>
        </w:rPr>
        <w:t>A</w:t>
      </w:r>
      <w:r w:rsidR="00FB19D5">
        <w:rPr>
          <w:rFonts w:ascii="Book Antiqua" w:hAnsi="Book Antiqua"/>
        </w:rPr>
        <w:t>gents who have no value at stake and who do not therefore n</w:t>
      </w:r>
      <w:r w:rsidR="00882861">
        <w:rPr>
          <w:rFonts w:ascii="Book Antiqua" w:hAnsi="Book Antiqua"/>
        </w:rPr>
        <w:t xml:space="preserve">eed to live with the consequences of corporate decisions </w:t>
      </w:r>
      <w:r>
        <w:rPr>
          <w:rFonts w:ascii="Book Antiqua" w:hAnsi="Book Antiqua"/>
        </w:rPr>
        <w:t>c</w:t>
      </w:r>
      <w:r w:rsidR="00882861">
        <w:rPr>
          <w:rFonts w:ascii="Book Antiqua" w:hAnsi="Book Antiqua"/>
        </w:rPr>
        <w:t xml:space="preserve">ould </w:t>
      </w:r>
      <w:r>
        <w:rPr>
          <w:rFonts w:ascii="Book Antiqua" w:hAnsi="Book Antiqua"/>
        </w:rPr>
        <w:t xml:space="preserve">thus </w:t>
      </w:r>
      <w:r w:rsidR="00882861">
        <w:rPr>
          <w:rFonts w:ascii="Book Antiqua" w:hAnsi="Book Antiqua"/>
        </w:rPr>
        <w:t>become a dominant force in deciding how resolutions are voted at annual meeti</w:t>
      </w:r>
      <w:r>
        <w:rPr>
          <w:rFonts w:ascii="Book Antiqua" w:hAnsi="Book Antiqua"/>
        </w:rPr>
        <w:t>n</w:t>
      </w:r>
      <w:r w:rsidR="00882861">
        <w:rPr>
          <w:rFonts w:ascii="Book Antiqua" w:hAnsi="Book Antiqua"/>
        </w:rPr>
        <w:t>gs</w:t>
      </w:r>
      <w:r>
        <w:rPr>
          <w:rFonts w:ascii="Book Antiqua" w:hAnsi="Book Antiqua"/>
        </w:rPr>
        <w:t>, whereas</w:t>
      </w:r>
      <w:r w:rsidR="00882861">
        <w:rPr>
          <w:rFonts w:ascii="Book Antiqua" w:hAnsi="Book Antiqua"/>
        </w:rPr>
        <w:t>,</w:t>
      </w:r>
      <w:r w:rsidR="007340F9">
        <w:rPr>
          <w:rFonts w:ascii="Book Antiqua" w:hAnsi="Book Antiqua"/>
        </w:rPr>
        <w:t xml:space="preserve"> responsibility for the voting decision </w:t>
      </w:r>
      <w:r>
        <w:rPr>
          <w:rFonts w:ascii="Book Antiqua" w:hAnsi="Book Antiqua"/>
        </w:rPr>
        <w:t xml:space="preserve">– and the engagement around it - </w:t>
      </w:r>
      <w:r w:rsidR="007340F9">
        <w:rPr>
          <w:rFonts w:ascii="Book Antiqua" w:hAnsi="Book Antiqua"/>
        </w:rPr>
        <w:t xml:space="preserve">rests with the owner of the shares, even when the decision-making is delegated. </w:t>
      </w:r>
      <w:r w:rsidR="00EE6802">
        <w:rPr>
          <w:rFonts w:ascii="Book Antiqua" w:hAnsi="Book Antiqua"/>
        </w:rPr>
        <w:t xml:space="preserve"> </w:t>
      </w:r>
      <w:r w:rsidR="007340F9">
        <w:rPr>
          <w:rFonts w:ascii="Book Antiqua" w:hAnsi="Book Antiqua"/>
        </w:rPr>
        <w:t xml:space="preserve">If there is a problem with proxy agencies, then part of the solution must rest in persuading their clients to be critical in their application of proxy voting advice and vigilant as to the quality of the advice they receive. </w:t>
      </w:r>
      <w:r w:rsidR="00EE6802">
        <w:rPr>
          <w:rFonts w:ascii="Book Antiqua" w:hAnsi="Book Antiqua"/>
        </w:rPr>
        <w:t xml:space="preserve"> </w:t>
      </w:r>
      <w:r w:rsidR="007340F9">
        <w:rPr>
          <w:rFonts w:ascii="Book Antiqua" w:hAnsi="Book Antiqua"/>
        </w:rPr>
        <w:t xml:space="preserve">This requirement underlies the reference to proxy voting agencies in the UK Stewardship Codes </w:t>
      </w:r>
      <w:r w:rsidR="00B353E6">
        <w:rPr>
          <w:rFonts w:ascii="Book Antiqua" w:hAnsi="Book Antiqua"/>
        </w:rPr>
        <w:t xml:space="preserve">that investors should disclose the use they make of proxy voting advisory services, including information on how they are used. </w:t>
      </w:r>
      <w:r w:rsidR="00EE6802">
        <w:rPr>
          <w:rFonts w:ascii="Book Antiqua" w:hAnsi="Book Antiqua"/>
        </w:rPr>
        <w:t xml:space="preserve"> </w:t>
      </w:r>
      <w:r w:rsidR="00B353E6">
        <w:rPr>
          <w:rFonts w:ascii="Book Antiqua" w:hAnsi="Book Antiqua"/>
        </w:rPr>
        <w:t>W</w:t>
      </w:r>
      <w:r w:rsidR="007340F9">
        <w:rPr>
          <w:rFonts w:ascii="Book Antiqua" w:hAnsi="Book Antiqua"/>
        </w:rPr>
        <w:t>e are currently consulting on stronger language.</w:t>
      </w:r>
    </w:p>
    <w:p w:rsidR="00584435" w:rsidRDefault="007340F9" w:rsidP="003561FC">
      <w:pPr>
        <w:jc w:val="both"/>
        <w:rPr>
          <w:rFonts w:ascii="Book Antiqua" w:hAnsi="Book Antiqua"/>
        </w:rPr>
      </w:pPr>
      <w:r>
        <w:rPr>
          <w:rFonts w:ascii="Book Antiqua" w:hAnsi="Book Antiqua"/>
        </w:rPr>
        <w:t xml:space="preserve">Any regulatory intervention </w:t>
      </w:r>
      <w:r w:rsidR="00596463" w:rsidRPr="003561FC">
        <w:rPr>
          <w:rFonts w:ascii="Book Antiqua" w:hAnsi="Book Antiqua"/>
        </w:rPr>
        <w:t>must be set against the</w:t>
      </w:r>
      <w:r w:rsidR="003561FC">
        <w:rPr>
          <w:rFonts w:ascii="Book Antiqua" w:hAnsi="Book Antiqua"/>
        </w:rPr>
        <w:t xml:space="preserve"> </w:t>
      </w:r>
      <w:r w:rsidR="00596463" w:rsidRPr="003561FC">
        <w:rPr>
          <w:rFonts w:ascii="Book Antiqua" w:hAnsi="Book Antiqua"/>
        </w:rPr>
        <w:t xml:space="preserve">overall value that proxy voting agencies bring, especially in an age where </w:t>
      </w:r>
      <w:r w:rsidR="00950ECE" w:rsidRPr="003561FC">
        <w:rPr>
          <w:rFonts w:ascii="Book Antiqua" w:hAnsi="Book Antiqua"/>
        </w:rPr>
        <w:t>there is greater public expectation on sh</w:t>
      </w:r>
      <w:r w:rsidR="00AF29DB">
        <w:rPr>
          <w:rFonts w:ascii="Book Antiqua" w:hAnsi="Book Antiqua"/>
        </w:rPr>
        <w:t>a</w:t>
      </w:r>
      <w:r w:rsidR="00950ECE" w:rsidRPr="003561FC">
        <w:rPr>
          <w:rFonts w:ascii="Book Antiqua" w:hAnsi="Book Antiqua"/>
        </w:rPr>
        <w:t xml:space="preserve">reholders </w:t>
      </w:r>
      <w:r>
        <w:rPr>
          <w:rFonts w:ascii="Book Antiqua" w:hAnsi="Book Antiqua"/>
        </w:rPr>
        <w:t>with regard to stewardship</w:t>
      </w:r>
      <w:r w:rsidR="00950ECE" w:rsidRPr="003561FC">
        <w:rPr>
          <w:rFonts w:ascii="Book Antiqua" w:hAnsi="Book Antiqua"/>
        </w:rPr>
        <w:t xml:space="preserve">. </w:t>
      </w:r>
      <w:r w:rsidR="00A81F75">
        <w:rPr>
          <w:rFonts w:ascii="Book Antiqua" w:hAnsi="Book Antiqua"/>
        </w:rPr>
        <w:t xml:space="preserve"> </w:t>
      </w:r>
      <w:r w:rsidR="00AF29DB">
        <w:rPr>
          <w:rFonts w:ascii="Book Antiqua" w:hAnsi="Book Antiqua"/>
        </w:rPr>
        <w:t xml:space="preserve">For most institutional investors managing large portfolios, the availability of a set of benchmark judgements is important in helping them exercise their ownership responsibilities. </w:t>
      </w:r>
      <w:r w:rsidR="00A81F75">
        <w:rPr>
          <w:rFonts w:ascii="Book Antiqua" w:hAnsi="Book Antiqua"/>
        </w:rPr>
        <w:t xml:space="preserve"> </w:t>
      </w:r>
      <w:r w:rsidR="00AF29DB">
        <w:rPr>
          <w:rFonts w:ascii="Book Antiqua" w:hAnsi="Book Antiqua"/>
        </w:rPr>
        <w:t>It also acts as a filter</w:t>
      </w:r>
      <w:r w:rsidR="00C80E62">
        <w:rPr>
          <w:rFonts w:ascii="Book Antiqua" w:hAnsi="Book Antiqua"/>
        </w:rPr>
        <w:t xml:space="preserve"> for identifying difficult and controversial cases.  Without the contribution of proxy voting agencies there is a risk voting could become chaotic and unpredict</w:t>
      </w:r>
      <w:r w:rsidR="00AF29DB">
        <w:rPr>
          <w:rFonts w:ascii="Book Antiqua" w:hAnsi="Book Antiqua"/>
        </w:rPr>
        <w:t>a</w:t>
      </w:r>
      <w:r w:rsidR="00C80E62">
        <w:rPr>
          <w:rFonts w:ascii="Book Antiqua" w:hAnsi="Book Antiqua"/>
        </w:rPr>
        <w:t>ble which would not help companies</w:t>
      </w:r>
      <w:r w:rsidR="00882861">
        <w:rPr>
          <w:rFonts w:ascii="Book Antiqua" w:hAnsi="Book Antiqua"/>
        </w:rPr>
        <w:t xml:space="preserve">. </w:t>
      </w:r>
      <w:r w:rsidR="00C80E62">
        <w:rPr>
          <w:rFonts w:ascii="Book Antiqua" w:hAnsi="Book Antiqua"/>
        </w:rPr>
        <w:t xml:space="preserve"> </w:t>
      </w:r>
      <w:r w:rsidR="00950ECE" w:rsidRPr="003561FC">
        <w:rPr>
          <w:rFonts w:ascii="Book Antiqua" w:hAnsi="Book Antiqua"/>
        </w:rPr>
        <w:t>As the OECD has stated</w:t>
      </w:r>
      <w:r w:rsidR="00B353E6">
        <w:rPr>
          <w:rFonts w:ascii="Book Antiqua" w:hAnsi="Book Antiqua"/>
        </w:rPr>
        <w:t xml:space="preserve"> with </w:t>
      </w:r>
    </w:p>
    <w:p w:rsidR="00584435" w:rsidRDefault="00584435" w:rsidP="003561FC">
      <w:pPr>
        <w:jc w:val="both"/>
        <w:rPr>
          <w:rFonts w:ascii="Book Antiqua" w:hAnsi="Book Antiqua"/>
        </w:rPr>
      </w:pPr>
    </w:p>
    <w:p w:rsidR="0001668B" w:rsidRPr="003561FC" w:rsidRDefault="00B353E6" w:rsidP="003561FC">
      <w:pPr>
        <w:jc w:val="both"/>
        <w:rPr>
          <w:rFonts w:ascii="Book Antiqua" w:hAnsi="Book Antiqua"/>
        </w:rPr>
      </w:pPr>
      <w:r>
        <w:rPr>
          <w:rFonts w:ascii="Book Antiqua" w:hAnsi="Book Antiqua"/>
        </w:rPr>
        <w:t xml:space="preserve">specific reference to proxy </w:t>
      </w:r>
      <w:r w:rsidR="00C45A5D">
        <w:rPr>
          <w:rFonts w:ascii="Book Antiqua" w:hAnsi="Book Antiqua"/>
        </w:rPr>
        <w:t>agencies in</w:t>
      </w:r>
      <w:r>
        <w:rPr>
          <w:rFonts w:ascii="Book Antiqua" w:hAnsi="Book Antiqua"/>
        </w:rPr>
        <w:t xml:space="preserve"> its report </w:t>
      </w:r>
      <w:r w:rsidRPr="00B353E6">
        <w:rPr>
          <w:rFonts w:ascii="Book Antiqua" w:hAnsi="Book Antiqua"/>
          <w:i/>
        </w:rPr>
        <w:t>The Role of Institutional Investors in Promoting Good Corporate Governance</w:t>
      </w:r>
      <w:r>
        <w:rPr>
          <w:rFonts w:ascii="Book Antiqua" w:hAnsi="Book Antiqua"/>
        </w:rPr>
        <w:t>: “what is of utmost importance for policy making is to do nothing that could further raise the cost of monitoring and fund management.”</w:t>
      </w:r>
      <w:r w:rsidR="00950ECE" w:rsidRPr="003561FC">
        <w:rPr>
          <w:rFonts w:ascii="Book Antiqua" w:hAnsi="Book Antiqua"/>
        </w:rPr>
        <w:t xml:space="preserve"> </w:t>
      </w:r>
    </w:p>
    <w:p w:rsidR="007340F9" w:rsidRDefault="0001668B" w:rsidP="003561FC">
      <w:pPr>
        <w:jc w:val="both"/>
        <w:rPr>
          <w:rFonts w:ascii="Book Antiqua" w:hAnsi="Book Antiqua"/>
        </w:rPr>
      </w:pPr>
      <w:r w:rsidRPr="003561FC">
        <w:rPr>
          <w:rFonts w:ascii="Book Antiqua" w:hAnsi="Book Antiqua"/>
        </w:rPr>
        <w:t>Moreover proxy agencies play an important role in monitoring comply-or-explain codes across the EU.</w:t>
      </w:r>
      <w:r w:rsidR="00950ECE" w:rsidRPr="003561FC">
        <w:rPr>
          <w:rFonts w:ascii="Book Antiqua" w:hAnsi="Book Antiqua"/>
        </w:rPr>
        <w:t xml:space="preserve"> </w:t>
      </w:r>
      <w:r w:rsidR="00CD2765">
        <w:rPr>
          <w:rFonts w:ascii="Book Antiqua" w:hAnsi="Book Antiqua"/>
        </w:rPr>
        <w:t xml:space="preserve"> </w:t>
      </w:r>
      <w:r w:rsidR="00950ECE" w:rsidRPr="003561FC">
        <w:rPr>
          <w:rFonts w:ascii="Book Antiqua" w:hAnsi="Book Antiqua"/>
        </w:rPr>
        <w:t>The Discussion Paper itself</w:t>
      </w:r>
      <w:r w:rsidRPr="003561FC">
        <w:rPr>
          <w:rFonts w:ascii="Book Antiqua" w:hAnsi="Book Antiqua"/>
        </w:rPr>
        <w:t xml:space="preserve"> ac</w:t>
      </w:r>
      <w:r w:rsidR="00C80E62">
        <w:rPr>
          <w:rFonts w:ascii="Book Antiqua" w:hAnsi="Book Antiqua"/>
        </w:rPr>
        <w:t>k</w:t>
      </w:r>
      <w:r w:rsidRPr="003561FC">
        <w:rPr>
          <w:rFonts w:ascii="Book Antiqua" w:hAnsi="Book Antiqua"/>
        </w:rPr>
        <w:t>nowl</w:t>
      </w:r>
      <w:r w:rsidR="003561FC">
        <w:rPr>
          <w:rFonts w:ascii="Book Antiqua" w:hAnsi="Book Antiqua"/>
        </w:rPr>
        <w:t>e</w:t>
      </w:r>
      <w:r w:rsidRPr="003561FC">
        <w:rPr>
          <w:rFonts w:ascii="Book Antiqua" w:hAnsi="Book Antiqua"/>
        </w:rPr>
        <w:t>dges  this (</w:t>
      </w:r>
      <w:r w:rsidR="00C80E62">
        <w:rPr>
          <w:rFonts w:ascii="Book Antiqua" w:hAnsi="Book Antiqua"/>
        </w:rPr>
        <w:t>P</w:t>
      </w:r>
      <w:r w:rsidRPr="003561FC">
        <w:rPr>
          <w:rFonts w:ascii="Book Antiqua" w:hAnsi="Book Antiqua"/>
        </w:rPr>
        <w:t xml:space="preserve">ara 14) </w:t>
      </w:r>
      <w:r w:rsidR="00C80E62">
        <w:rPr>
          <w:rFonts w:ascii="Book Antiqua" w:hAnsi="Book Antiqua"/>
        </w:rPr>
        <w:t>when it</w:t>
      </w:r>
      <w:r w:rsidRPr="003561FC">
        <w:rPr>
          <w:rFonts w:ascii="Book Antiqua" w:hAnsi="Book Antiqua"/>
        </w:rPr>
        <w:t xml:space="preserve"> suggests that by lowering information and monitoring costs, they can help secure greater shareholder involvement in corporate decision making and thus promote greater corporate accountability to investors. </w:t>
      </w:r>
    </w:p>
    <w:p w:rsidR="0001668B" w:rsidRPr="003561FC" w:rsidRDefault="0001668B" w:rsidP="003561FC">
      <w:pPr>
        <w:jc w:val="both"/>
        <w:rPr>
          <w:rFonts w:ascii="Book Antiqua" w:hAnsi="Book Antiqua"/>
        </w:rPr>
      </w:pPr>
      <w:r w:rsidRPr="003561FC">
        <w:rPr>
          <w:rFonts w:ascii="Book Antiqua" w:hAnsi="Book Antiqua"/>
        </w:rPr>
        <w:t xml:space="preserve">The objective of any action at European level should therefore be to improve the quality of </w:t>
      </w:r>
      <w:r w:rsidR="000C68C1" w:rsidRPr="003561FC">
        <w:rPr>
          <w:rFonts w:ascii="Book Antiqua" w:hAnsi="Book Antiqua"/>
        </w:rPr>
        <w:t>their contribution</w:t>
      </w:r>
      <w:r w:rsidR="00C80E62">
        <w:rPr>
          <w:rFonts w:ascii="Book Antiqua" w:hAnsi="Book Antiqua"/>
        </w:rPr>
        <w:t>,</w:t>
      </w:r>
      <w:r w:rsidR="000C68C1" w:rsidRPr="003561FC">
        <w:rPr>
          <w:rFonts w:ascii="Book Antiqua" w:hAnsi="Book Antiqua"/>
        </w:rPr>
        <w:t xml:space="preserve"> </w:t>
      </w:r>
      <w:r w:rsidR="001121A5">
        <w:rPr>
          <w:rFonts w:ascii="Book Antiqua" w:hAnsi="Book Antiqua"/>
        </w:rPr>
        <w:t xml:space="preserve">particularly with regard to accurate balanced reporting, </w:t>
      </w:r>
      <w:r w:rsidR="000C68C1" w:rsidRPr="003561FC">
        <w:rPr>
          <w:rFonts w:ascii="Book Antiqua" w:hAnsi="Book Antiqua"/>
        </w:rPr>
        <w:t>while taking care to avoid complian</w:t>
      </w:r>
      <w:r w:rsidR="00C80E62">
        <w:rPr>
          <w:rFonts w:ascii="Book Antiqua" w:hAnsi="Book Antiqua"/>
        </w:rPr>
        <w:t>c</w:t>
      </w:r>
      <w:r w:rsidR="000C68C1" w:rsidRPr="003561FC">
        <w:rPr>
          <w:rFonts w:ascii="Book Antiqua" w:hAnsi="Book Antiqua"/>
        </w:rPr>
        <w:t>e costs which might actually end up reducing the availability of benchmark opinions against which institutional investors can frame their own views.</w:t>
      </w:r>
    </w:p>
    <w:p w:rsidR="00CF7A08" w:rsidRDefault="000C68C1" w:rsidP="003561FC">
      <w:pPr>
        <w:jc w:val="both"/>
        <w:rPr>
          <w:rFonts w:ascii="Book Antiqua" w:hAnsi="Book Antiqua"/>
        </w:rPr>
      </w:pPr>
      <w:r w:rsidRPr="003561FC">
        <w:rPr>
          <w:rFonts w:ascii="Book Antiqua" w:hAnsi="Book Antiqua"/>
        </w:rPr>
        <w:t>One of the difficulties facing policy-makers is th</w:t>
      </w:r>
      <w:r w:rsidR="003561FC" w:rsidRPr="003561FC">
        <w:rPr>
          <w:rFonts w:ascii="Book Antiqua" w:hAnsi="Book Antiqua"/>
        </w:rPr>
        <w:t xml:space="preserve">e absence of clear evidence of systemic abuse or market failure. </w:t>
      </w:r>
      <w:r w:rsidR="003E2138">
        <w:rPr>
          <w:rFonts w:ascii="Book Antiqua" w:hAnsi="Book Antiqua"/>
        </w:rPr>
        <w:t xml:space="preserve"> </w:t>
      </w:r>
      <w:r w:rsidR="00A60CE2">
        <w:rPr>
          <w:rFonts w:ascii="Book Antiqua" w:hAnsi="Book Antiqua"/>
        </w:rPr>
        <w:t xml:space="preserve">Our own contacts with issuers and investors in the UK market </w:t>
      </w:r>
      <w:r w:rsidR="00C80E62">
        <w:rPr>
          <w:rFonts w:ascii="Book Antiqua" w:hAnsi="Book Antiqua"/>
        </w:rPr>
        <w:t xml:space="preserve">do not </w:t>
      </w:r>
      <w:r w:rsidR="00A60CE2">
        <w:rPr>
          <w:rFonts w:ascii="Book Antiqua" w:hAnsi="Book Antiqua"/>
        </w:rPr>
        <w:t xml:space="preserve">suggest that the system is broken even though there are occasional </w:t>
      </w:r>
      <w:r w:rsidR="002A1D8C">
        <w:rPr>
          <w:rFonts w:ascii="Book Antiqua" w:hAnsi="Book Antiqua"/>
        </w:rPr>
        <w:t>and sometimes very public instances</w:t>
      </w:r>
      <w:r w:rsidR="00A60CE2">
        <w:rPr>
          <w:rFonts w:ascii="Book Antiqua" w:hAnsi="Book Antiqua"/>
        </w:rPr>
        <w:t xml:space="preserve"> where proxy agencies produce advice with which mainstream investors disagree or which appear to issuers to reflect a </w:t>
      </w:r>
      <w:r w:rsidR="00FD7400">
        <w:rPr>
          <w:rFonts w:ascii="Book Antiqua" w:hAnsi="Book Antiqua"/>
        </w:rPr>
        <w:t xml:space="preserve">wilful </w:t>
      </w:r>
      <w:r w:rsidR="00A60CE2">
        <w:rPr>
          <w:rFonts w:ascii="Book Antiqua" w:hAnsi="Book Antiqua"/>
        </w:rPr>
        <w:t xml:space="preserve">misunderstanding </w:t>
      </w:r>
      <w:r w:rsidR="00CF7A08">
        <w:rPr>
          <w:rFonts w:ascii="Book Antiqua" w:hAnsi="Book Antiqua"/>
        </w:rPr>
        <w:t>of the issue in question.</w:t>
      </w:r>
    </w:p>
    <w:p w:rsidR="00A4769A" w:rsidRDefault="004563CB" w:rsidP="003561FC">
      <w:pPr>
        <w:jc w:val="both"/>
        <w:rPr>
          <w:rFonts w:ascii="Book Antiqua" w:hAnsi="Book Antiqua"/>
        </w:rPr>
      </w:pPr>
      <w:r>
        <w:rPr>
          <w:rFonts w:ascii="Book Antiqua" w:hAnsi="Book Antiqua"/>
        </w:rPr>
        <w:t xml:space="preserve">For all these reasons we do not favour a formal </w:t>
      </w:r>
      <w:r w:rsidR="002A1D8C">
        <w:rPr>
          <w:rFonts w:ascii="Book Antiqua" w:hAnsi="Book Antiqua"/>
        </w:rPr>
        <w:t xml:space="preserve">European </w:t>
      </w:r>
      <w:r>
        <w:rPr>
          <w:rFonts w:ascii="Book Antiqua" w:hAnsi="Book Antiqua"/>
        </w:rPr>
        <w:t>regulatory approach at present</w:t>
      </w:r>
      <w:r w:rsidR="002A1D8C">
        <w:rPr>
          <w:rFonts w:ascii="Book Antiqua" w:hAnsi="Book Antiqua"/>
        </w:rPr>
        <w:t>, though one might be considered if present concerns persist or intensify</w:t>
      </w:r>
      <w:r>
        <w:rPr>
          <w:rFonts w:ascii="Book Antiqua" w:hAnsi="Book Antiqua"/>
        </w:rPr>
        <w:t xml:space="preserve">. </w:t>
      </w:r>
      <w:r w:rsidR="000941AC">
        <w:rPr>
          <w:rFonts w:ascii="Book Antiqua" w:hAnsi="Book Antiqua"/>
        </w:rPr>
        <w:t xml:space="preserve"> </w:t>
      </w:r>
      <w:r>
        <w:rPr>
          <w:rFonts w:ascii="Book Antiqua" w:hAnsi="Book Antiqua"/>
        </w:rPr>
        <w:t xml:space="preserve">Our detailed thinking is spelled out in response to Question 8. </w:t>
      </w:r>
      <w:r w:rsidR="000941AC">
        <w:rPr>
          <w:rFonts w:ascii="Book Antiqua" w:hAnsi="Book Antiqua"/>
        </w:rPr>
        <w:t xml:space="preserve"> </w:t>
      </w:r>
      <w:r>
        <w:rPr>
          <w:rFonts w:ascii="Book Antiqua" w:hAnsi="Book Antiqua"/>
        </w:rPr>
        <w:t xml:space="preserve">In summary we consider that the European </w:t>
      </w:r>
      <w:r w:rsidR="00A4769A">
        <w:rPr>
          <w:rFonts w:ascii="Book Antiqua" w:hAnsi="Book Antiqua"/>
        </w:rPr>
        <w:t xml:space="preserve">authorities </w:t>
      </w:r>
      <w:r>
        <w:rPr>
          <w:rFonts w:ascii="Book Antiqua" w:hAnsi="Book Antiqua"/>
        </w:rPr>
        <w:t xml:space="preserve">could encourage the industry to </w:t>
      </w:r>
      <w:r w:rsidR="00A4769A">
        <w:rPr>
          <w:rFonts w:ascii="Book Antiqua" w:hAnsi="Book Antiqua"/>
        </w:rPr>
        <w:t xml:space="preserve">develop </w:t>
      </w:r>
      <w:r w:rsidR="007340F9">
        <w:rPr>
          <w:rFonts w:ascii="Book Antiqua" w:hAnsi="Book Antiqua"/>
        </w:rPr>
        <w:t>its</w:t>
      </w:r>
      <w:r w:rsidR="00A4769A">
        <w:rPr>
          <w:rFonts w:ascii="Book Antiqua" w:hAnsi="Book Antiqua"/>
        </w:rPr>
        <w:t xml:space="preserve"> own </w:t>
      </w:r>
      <w:r w:rsidR="001121A5">
        <w:rPr>
          <w:rFonts w:ascii="Book Antiqua" w:hAnsi="Book Antiqua"/>
        </w:rPr>
        <w:t xml:space="preserve">Europe-wide </w:t>
      </w:r>
      <w:r w:rsidR="00A4769A">
        <w:rPr>
          <w:rFonts w:ascii="Book Antiqua" w:hAnsi="Book Antiqua"/>
        </w:rPr>
        <w:t xml:space="preserve">code of conduct. </w:t>
      </w:r>
      <w:r w:rsidR="000941AC">
        <w:rPr>
          <w:rFonts w:ascii="Book Antiqua" w:hAnsi="Book Antiqua"/>
        </w:rPr>
        <w:t xml:space="preserve"> </w:t>
      </w:r>
      <w:r w:rsidR="00A4769A">
        <w:rPr>
          <w:rFonts w:ascii="Book Antiqua" w:hAnsi="Book Antiqua"/>
        </w:rPr>
        <w:t>T</w:t>
      </w:r>
      <w:r w:rsidR="00B353E6">
        <w:rPr>
          <w:rFonts w:ascii="Book Antiqua" w:hAnsi="Book Antiqua"/>
        </w:rPr>
        <w:t>his might be achieved through a Communication urging them to do so and promising to monitor developments with a view to considering legislation if the agencies did not address current concerns.</w:t>
      </w:r>
    </w:p>
    <w:p w:rsidR="00A351C6" w:rsidRDefault="00A351C6"/>
    <w:p w:rsidR="00A351C6" w:rsidRPr="00EB2C37" w:rsidRDefault="00A351C6">
      <w:pPr>
        <w:rPr>
          <w:rFonts w:ascii="Book Antiqua" w:hAnsi="Book Antiqua"/>
          <w:b/>
          <w:sz w:val="24"/>
          <w:szCs w:val="24"/>
          <w:u w:val="single"/>
        </w:rPr>
      </w:pPr>
      <w:r w:rsidRPr="00EB2C37">
        <w:rPr>
          <w:rFonts w:ascii="Book Antiqua" w:hAnsi="Book Antiqua"/>
          <w:b/>
          <w:sz w:val="24"/>
          <w:szCs w:val="24"/>
          <w:u w:val="single"/>
        </w:rPr>
        <w:t>Specific Questions</w:t>
      </w:r>
    </w:p>
    <w:p w:rsidR="00A351C6" w:rsidRPr="00EB2C37" w:rsidRDefault="00A351C6" w:rsidP="00A351C6">
      <w:pPr>
        <w:pStyle w:val="ListParagraph"/>
        <w:numPr>
          <w:ilvl w:val="0"/>
          <w:numId w:val="1"/>
        </w:numPr>
        <w:rPr>
          <w:rFonts w:ascii="Book Antiqua" w:hAnsi="Book Antiqua"/>
          <w:i/>
        </w:rPr>
      </w:pPr>
      <w:r w:rsidRPr="00EB2C37">
        <w:rPr>
          <w:rFonts w:ascii="Book Antiqua" w:hAnsi="Book Antiqua"/>
          <w:i/>
        </w:rPr>
        <w:t>How do you explain the high correlation between proxy advice and voting outcomes?</w:t>
      </w:r>
    </w:p>
    <w:p w:rsidR="000620E7" w:rsidRDefault="000620E7" w:rsidP="000620E7">
      <w:pPr>
        <w:ind w:left="360"/>
      </w:pPr>
      <w:r w:rsidRPr="00EB2C37">
        <w:rPr>
          <w:rFonts w:ascii="Book Antiqua" w:hAnsi="Book Antiqua"/>
        </w:rPr>
        <w:t>We would be surprised if there was a weak correlation</w:t>
      </w:r>
      <w:r w:rsidR="00473581" w:rsidRPr="00EB2C37">
        <w:rPr>
          <w:rFonts w:ascii="Book Antiqua" w:hAnsi="Book Antiqua"/>
        </w:rPr>
        <w:t>.</w:t>
      </w:r>
      <w:r w:rsidRPr="00EB2C37">
        <w:rPr>
          <w:rFonts w:ascii="Book Antiqua" w:hAnsi="Book Antiqua"/>
        </w:rPr>
        <w:t xml:space="preserve">  </w:t>
      </w:r>
      <w:r w:rsidR="00473581" w:rsidRPr="00EB2C37">
        <w:rPr>
          <w:rFonts w:ascii="Book Antiqua" w:hAnsi="Book Antiqua"/>
        </w:rPr>
        <w:t>P</w:t>
      </w:r>
      <w:r w:rsidRPr="00EB2C37">
        <w:rPr>
          <w:rFonts w:ascii="Book Antiqua" w:hAnsi="Book Antiqua"/>
        </w:rPr>
        <w:t xml:space="preserve">roxy voting agencies </w:t>
      </w:r>
      <w:r w:rsidR="002A1D8C">
        <w:rPr>
          <w:rFonts w:ascii="Book Antiqua" w:hAnsi="Book Antiqua"/>
        </w:rPr>
        <w:t>that</w:t>
      </w:r>
      <w:r w:rsidRPr="00EB2C37">
        <w:rPr>
          <w:rFonts w:ascii="Book Antiqua" w:hAnsi="Book Antiqua"/>
        </w:rPr>
        <w:t xml:space="preserve"> consistently produce advice with which their clients disagreed would quickly go out of business</w:t>
      </w:r>
      <w:r w:rsidR="00473581" w:rsidRPr="00EB2C37">
        <w:rPr>
          <w:rFonts w:ascii="Book Antiqua" w:hAnsi="Book Antiqua"/>
        </w:rPr>
        <w:t xml:space="preserve">. </w:t>
      </w:r>
      <w:r w:rsidR="0093016A">
        <w:rPr>
          <w:rFonts w:ascii="Book Antiqua" w:hAnsi="Book Antiqua"/>
        </w:rPr>
        <w:t xml:space="preserve"> </w:t>
      </w:r>
      <w:r w:rsidR="00473581" w:rsidRPr="00EB2C37">
        <w:rPr>
          <w:rFonts w:ascii="Book Antiqua" w:hAnsi="Book Antiqua"/>
        </w:rPr>
        <w:t>Our experience of the UK market suggests that the agencies generally elaborate their policies in conjunction with investors</w:t>
      </w:r>
      <w:r w:rsidR="002A1D8C">
        <w:rPr>
          <w:rFonts w:ascii="Book Antiqua" w:hAnsi="Book Antiqua"/>
        </w:rPr>
        <w:t xml:space="preserve"> and do not seek to lead opinion</w:t>
      </w:r>
      <w:r w:rsidR="00473581" w:rsidRPr="00EB2C37">
        <w:rPr>
          <w:rFonts w:ascii="Book Antiqua" w:hAnsi="Book Antiqua"/>
        </w:rPr>
        <w:t xml:space="preserve">. </w:t>
      </w:r>
      <w:r w:rsidR="0093016A">
        <w:rPr>
          <w:rFonts w:ascii="Book Antiqua" w:hAnsi="Book Antiqua"/>
        </w:rPr>
        <w:t xml:space="preserve"> </w:t>
      </w:r>
      <w:r w:rsidR="00473581" w:rsidRPr="00EB2C37">
        <w:rPr>
          <w:rFonts w:ascii="Book Antiqua" w:hAnsi="Book Antiqua"/>
        </w:rPr>
        <w:t>A high correlation is only a problem if the agencies are not reflecting the views of their clients or if their clients</w:t>
      </w:r>
      <w:r w:rsidR="00EB2C37" w:rsidRPr="00EB2C37">
        <w:rPr>
          <w:rFonts w:ascii="Book Antiqua" w:hAnsi="Book Antiqua"/>
        </w:rPr>
        <w:t xml:space="preserve"> are ignoring </w:t>
      </w:r>
      <w:r w:rsidR="00795C1E">
        <w:rPr>
          <w:rFonts w:ascii="Book Antiqua" w:hAnsi="Book Antiqua"/>
        </w:rPr>
        <w:t xml:space="preserve">occasions when </w:t>
      </w:r>
      <w:r w:rsidR="00EB2C37" w:rsidRPr="00EB2C37">
        <w:rPr>
          <w:rFonts w:ascii="Book Antiqua" w:hAnsi="Book Antiqua"/>
        </w:rPr>
        <w:t>research is flawed as a result of factual error or misunderstanding</w:t>
      </w:r>
      <w:r w:rsidR="00EB2C37">
        <w:t>.</w:t>
      </w:r>
    </w:p>
    <w:p w:rsidR="002931F0" w:rsidRDefault="002931F0" w:rsidP="000620E7">
      <w:pPr>
        <w:ind w:left="360"/>
        <w:rPr>
          <w:rFonts w:ascii="Book Antiqua" w:hAnsi="Book Antiqua"/>
        </w:rPr>
      </w:pPr>
    </w:p>
    <w:p w:rsidR="007F2F84" w:rsidRDefault="007F2F84" w:rsidP="000620E7">
      <w:pPr>
        <w:ind w:left="360"/>
        <w:rPr>
          <w:rFonts w:ascii="Book Antiqua" w:hAnsi="Book Antiqua"/>
        </w:rPr>
      </w:pPr>
    </w:p>
    <w:p w:rsidR="008918F1" w:rsidRPr="00D20694" w:rsidRDefault="008918F1" w:rsidP="000620E7">
      <w:pPr>
        <w:ind w:left="360"/>
        <w:rPr>
          <w:rFonts w:ascii="Book Antiqua" w:hAnsi="Book Antiqua"/>
        </w:rPr>
      </w:pPr>
      <w:r w:rsidRPr="00D20694">
        <w:rPr>
          <w:rFonts w:ascii="Book Antiqua" w:hAnsi="Book Antiqua"/>
        </w:rPr>
        <w:t>There is very little objective evidence as to the extent to which investors blindly follow proxy agency recommendation.  However, the UK Investment Management Association’s latest survey of investor behaviour found that only 4 per cent of investors survey</w:t>
      </w:r>
      <w:r w:rsidR="006A55C3" w:rsidRPr="00D20694">
        <w:rPr>
          <w:rFonts w:ascii="Book Antiqua" w:hAnsi="Book Antiqua"/>
        </w:rPr>
        <w:t>ed</w:t>
      </w:r>
      <w:r w:rsidRPr="00D20694">
        <w:rPr>
          <w:rFonts w:ascii="Book Antiqua" w:hAnsi="Book Antiqua"/>
        </w:rPr>
        <w:t xml:space="preserve"> always follow a proxy adviser’s recommendation, while 56 per cent sometimes followed the recommendation and 40 per cent made their decision without necessarily regarding the recommendation.</w:t>
      </w:r>
      <w:r w:rsidR="006A55C3" w:rsidRPr="00D20694">
        <w:rPr>
          <w:rFonts w:ascii="Book Antiqua" w:hAnsi="Book Antiqua"/>
        </w:rPr>
        <w:t xml:space="preserve"> </w:t>
      </w:r>
      <w:r w:rsidR="00AC484E">
        <w:rPr>
          <w:rFonts w:ascii="Book Antiqua" w:hAnsi="Book Antiqua"/>
        </w:rPr>
        <w:t xml:space="preserve"> </w:t>
      </w:r>
      <w:r w:rsidR="006A55C3" w:rsidRPr="00D20694">
        <w:rPr>
          <w:rFonts w:ascii="Book Antiqua" w:hAnsi="Book Antiqua"/>
        </w:rPr>
        <w:t xml:space="preserve">A clear majority – 64 per cent – subscribe to more than one agency and therefore had a choice of recommendations to consider.  While encouraging, these figures are of course only a relatively small sample and they do not take account of the </w:t>
      </w:r>
      <w:r w:rsidR="00577D98">
        <w:rPr>
          <w:rFonts w:ascii="Book Antiqua" w:hAnsi="Book Antiqua"/>
        </w:rPr>
        <w:t xml:space="preserve">alleged </w:t>
      </w:r>
      <w:r w:rsidR="006A55C3" w:rsidRPr="00D20694">
        <w:rPr>
          <w:rFonts w:ascii="Book Antiqua" w:hAnsi="Book Antiqua"/>
        </w:rPr>
        <w:t>propensity of overseas holders of UK equities to follow proxy agencies’ advice.</w:t>
      </w:r>
      <w:r w:rsidRPr="00D20694">
        <w:rPr>
          <w:rFonts w:ascii="Book Antiqua" w:hAnsi="Book Antiqua"/>
        </w:rPr>
        <w:t xml:space="preserve">  </w:t>
      </w:r>
    </w:p>
    <w:p w:rsidR="00A351C6" w:rsidRPr="003F14BD" w:rsidRDefault="00A351C6" w:rsidP="003F14BD">
      <w:pPr>
        <w:pStyle w:val="ListParagraph"/>
        <w:numPr>
          <w:ilvl w:val="0"/>
          <w:numId w:val="1"/>
        </w:numPr>
        <w:jc w:val="both"/>
        <w:rPr>
          <w:rFonts w:ascii="Book Antiqua" w:hAnsi="Book Antiqua"/>
          <w:i/>
        </w:rPr>
      </w:pPr>
      <w:r w:rsidRPr="003F14BD">
        <w:rPr>
          <w:rFonts w:ascii="Book Antiqua" w:hAnsi="Book Antiqua"/>
          <w:i/>
        </w:rPr>
        <w:t>To what extent: a) do you consider that proxy advisers have a significant influence on voting outcomes, and b) would you consider this influence as appropriate?</w:t>
      </w:r>
    </w:p>
    <w:p w:rsidR="00784C52" w:rsidRDefault="00EB2C37" w:rsidP="003F14BD">
      <w:pPr>
        <w:ind w:left="360"/>
        <w:jc w:val="both"/>
        <w:rPr>
          <w:rFonts w:ascii="Book Antiqua" w:hAnsi="Book Antiqua"/>
        </w:rPr>
      </w:pPr>
      <w:r w:rsidRPr="003F14BD">
        <w:rPr>
          <w:rFonts w:ascii="Book Antiqua" w:hAnsi="Book Antiqua"/>
        </w:rPr>
        <w:t>Proxy voting agencies may have a significant influence on voting</w:t>
      </w:r>
      <w:r w:rsidR="000A0A80" w:rsidRPr="003F14BD">
        <w:rPr>
          <w:rFonts w:ascii="Book Antiqua" w:hAnsi="Book Antiqua"/>
        </w:rPr>
        <w:t xml:space="preserve"> where their clients are insufficiently informed to take a critical view because they are remote or because they are overburdened with voting decisions. </w:t>
      </w:r>
      <w:r w:rsidR="00421CD0">
        <w:rPr>
          <w:rFonts w:ascii="Book Antiqua" w:hAnsi="Book Antiqua"/>
        </w:rPr>
        <w:t xml:space="preserve"> </w:t>
      </w:r>
      <w:r w:rsidR="000A0A80" w:rsidRPr="003F14BD">
        <w:rPr>
          <w:rFonts w:ascii="Book Antiqua" w:hAnsi="Book Antiqua"/>
        </w:rPr>
        <w:t>This is a reason for seeking to ensure that proxy agencies are trusted to deliver advice of the highest possible quality</w:t>
      </w:r>
      <w:r w:rsidR="00784C52">
        <w:rPr>
          <w:rFonts w:ascii="Book Antiqua" w:hAnsi="Book Antiqua"/>
        </w:rPr>
        <w:t>, something which a code would help deliver</w:t>
      </w:r>
      <w:r w:rsidR="000A0A80" w:rsidRPr="003F14BD">
        <w:rPr>
          <w:rFonts w:ascii="Book Antiqua" w:hAnsi="Book Antiqua"/>
        </w:rPr>
        <w:t>.</w:t>
      </w:r>
      <w:r w:rsidR="007808A3" w:rsidRPr="003F14BD">
        <w:rPr>
          <w:rFonts w:ascii="Book Antiqua" w:hAnsi="Book Antiqua"/>
        </w:rPr>
        <w:t xml:space="preserve">  </w:t>
      </w:r>
      <w:r w:rsidR="00784C52">
        <w:rPr>
          <w:rFonts w:ascii="Book Antiqua" w:hAnsi="Book Antiqua"/>
        </w:rPr>
        <w:t>A</w:t>
      </w:r>
      <w:r w:rsidR="007808A3" w:rsidRPr="003F14BD">
        <w:rPr>
          <w:rFonts w:ascii="Book Antiqua" w:hAnsi="Book Antiqua"/>
        </w:rPr>
        <w:t>ll advice involves an element of judgement</w:t>
      </w:r>
      <w:r w:rsidR="00784C52">
        <w:rPr>
          <w:rFonts w:ascii="Book Antiqua" w:hAnsi="Book Antiqua"/>
        </w:rPr>
        <w:t xml:space="preserve"> and companies should not regard proxy voting agency advice as inappropriate simply because the agencies disagree with them</w:t>
      </w:r>
      <w:r w:rsidR="007808A3" w:rsidRPr="003F14BD">
        <w:rPr>
          <w:rFonts w:ascii="Book Antiqua" w:hAnsi="Book Antiqua"/>
        </w:rPr>
        <w:t>.</w:t>
      </w:r>
    </w:p>
    <w:p w:rsidR="00A351C6" w:rsidRPr="003F14BD" w:rsidRDefault="007808A3" w:rsidP="003F14BD">
      <w:pPr>
        <w:ind w:left="360"/>
        <w:jc w:val="both"/>
        <w:rPr>
          <w:rFonts w:ascii="Book Antiqua" w:hAnsi="Book Antiqua"/>
        </w:rPr>
      </w:pPr>
      <w:r w:rsidRPr="003F14BD">
        <w:rPr>
          <w:rFonts w:ascii="Book Antiqua" w:hAnsi="Book Antiqua"/>
        </w:rPr>
        <w:t xml:space="preserve"> </w:t>
      </w:r>
      <w:r w:rsidR="003F14BD" w:rsidRPr="003F14BD">
        <w:rPr>
          <w:rFonts w:ascii="Book Antiqua" w:hAnsi="Book Antiqua"/>
        </w:rPr>
        <w:t>Sometimes</w:t>
      </w:r>
      <w:r w:rsidR="00784C52">
        <w:rPr>
          <w:rFonts w:ascii="Book Antiqua" w:hAnsi="Book Antiqua"/>
        </w:rPr>
        <w:t>, however,</w:t>
      </w:r>
      <w:r w:rsidR="003F14BD" w:rsidRPr="003F14BD">
        <w:rPr>
          <w:rFonts w:ascii="Book Antiqua" w:hAnsi="Book Antiqua"/>
        </w:rPr>
        <w:t xml:space="preserve"> there can be genuine cultural differences between national markets. </w:t>
      </w:r>
      <w:r w:rsidR="00C650C0">
        <w:rPr>
          <w:rFonts w:ascii="Book Antiqua" w:hAnsi="Book Antiqua"/>
        </w:rPr>
        <w:t xml:space="preserve"> </w:t>
      </w:r>
      <w:r w:rsidR="003F14BD" w:rsidRPr="003F14BD">
        <w:rPr>
          <w:rFonts w:ascii="Book Antiqua" w:hAnsi="Book Antiqua"/>
        </w:rPr>
        <w:t>Where this happens and where institutions in the issuer’s market disagree with the proxy agency’s advice, they should be encouraged to say so publicly</w:t>
      </w:r>
      <w:r w:rsidR="00784C52">
        <w:rPr>
          <w:rFonts w:ascii="Book Antiqua" w:hAnsi="Book Antiqua"/>
        </w:rPr>
        <w:t xml:space="preserve"> </w:t>
      </w:r>
      <w:r w:rsidR="003F14BD" w:rsidRPr="003F14BD">
        <w:rPr>
          <w:rFonts w:ascii="Book Antiqua" w:hAnsi="Book Antiqua"/>
        </w:rPr>
        <w:t xml:space="preserve">(see also answer to Question 12). </w:t>
      </w:r>
    </w:p>
    <w:p w:rsidR="00A351C6" w:rsidRPr="00157D0D" w:rsidRDefault="00A351C6" w:rsidP="0075754C">
      <w:pPr>
        <w:pStyle w:val="ListParagraph"/>
        <w:numPr>
          <w:ilvl w:val="0"/>
          <w:numId w:val="1"/>
        </w:numPr>
        <w:jc w:val="both"/>
        <w:rPr>
          <w:rFonts w:ascii="Book Antiqua" w:hAnsi="Book Antiqua"/>
          <w:i/>
        </w:rPr>
      </w:pPr>
      <w:r w:rsidRPr="00157D0D">
        <w:rPr>
          <w:rFonts w:ascii="Book Antiqua" w:hAnsi="Book Antiqua"/>
          <w:i/>
        </w:rPr>
        <w:t xml:space="preserve">To what extent can the use of proxy advisers </w:t>
      </w:r>
      <w:r w:rsidR="00157D0D" w:rsidRPr="00157D0D">
        <w:rPr>
          <w:rFonts w:ascii="Book Antiqua" w:hAnsi="Book Antiqua"/>
          <w:i/>
        </w:rPr>
        <w:t>ind</w:t>
      </w:r>
      <w:r w:rsidRPr="00157D0D">
        <w:rPr>
          <w:rFonts w:ascii="Book Antiqua" w:hAnsi="Book Antiqua"/>
          <w:i/>
        </w:rPr>
        <w:t>uce a risk of shifting the investor responsibility and weakening the owner’s pre</w:t>
      </w:r>
      <w:r w:rsidR="00337E84" w:rsidRPr="00157D0D">
        <w:rPr>
          <w:rFonts w:ascii="Book Antiqua" w:hAnsi="Book Antiqua"/>
          <w:i/>
        </w:rPr>
        <w:t>rog</w:t>
      </w:r>
      <w:r w:rsidRPr="00157D0D">
        <w:rPr>
          <w:rFonts w:ascii="Book Antiqua" w:hAnsi="Book Antiqua"/>
          <w:i/>
        </w:rPr>
        <w:t>atives?</w:t>
      </w:r>
    </w:p>
    <w:p w:rsidR="00157D0D" w:rsidRPr="00157D0D" w:rsidRDefault="00157D0D" w:rsidP="00157D0D">
      <w:pPr>
        <w:ind w:left="360"/>
        <w:jc w:val="both"/>
        <w:rPr>
          <w:rFonts w:ascii="Book Antiqua" w:hAnsi="Book Antiqua"/>
        </w:rPr>
      </w:pPr>
      <w:r w:rsidRPr="00157D0D">
        <w:rPr>
          <w:rFonts w:ascii="Book Antiqua" w:hAnsi="Book Antiqua"/>
        </w:rPr>
        <w:t>This risk exists if the advice is not properly used by investors.  This is why the U</w:t>
      </w:r>
      <w:r>
        <w:rPr>
          <w:rFonts w:ascii="Book Antiqua" w:hAnsi="Book Antiqua"/>
        </w:rPr>
        <w:t>K</w:t>
      </w:r>
      <w:r w:rsidRPr="00157D0D">
        <w:rPr>
          <w:rFonts w:ascii="Book Antiqua" w:hAnsi="Book Antiqua"/>
        </w:rPr>
        <w:t xml:space="preserve"> Stewardship Code requires them to state publicly how they use proxy agencies’ advice.</w:t>
      </w:r>
    </w:p>
    <w:p w:rsidR="00337E84" w:rsidRDefault="00337E84" w:rsidP="0075754C">
      <w:pPr>
        <w:pStyle w:val="ListParagraph"/>
        <w:numPr>
          <w:ilvl w:val="0"/>
          <w:numId w:val="1"/>
        </w:numPr>
        <w:jc w:val="both"/>
        <w:rPr>
          <w:rFonts w:ascii="Book Antiqua" w:hAnsi="Book Antiqua"/>
          <w:i/>
        </w:rPr>
      </w:pPr>
      <w:r w:rsidRPr="0075754C">
        <w:rPr>
          <w:rFonts w:ascii="Book Antiqua" w:hAnsi="Book Antiqua"/>
          <w:i/>
        </w:rPr>
        <w:t>To what extent do you consider proxy advisers: a) to be subject to conflicts of interest in practice, b</w:t>
      </w:r>
      <w:r w:rsidR="00157D0D" w:rsidRPr="0075754C">
        <w:rPr>
          <w:rFonts w:ascii="Book Antiqua" w:hAnsi="Book Antiqua"/>
          <w:i/>
        </w:rPr>
        <w:t>)</w:t>
      </w:r>
      <w:r w:rsidRPr="0075754C">
        <w:rPr>
          <w:rFonts w:ascii="Book Antiqua" w:hAnsi="Book Antiqua"/>
          <w:i/>
        </w:rPr>
        <w:t xml:space="preserve"> have in place appropriate conflict mitigation measures, and c) to be sufficiently transparent regarding the conflicts of interest they face?</w:t>
      </w:r>
    </w:p>
    <w:p w:rsidR="0075754C" w:rsidRPr="0075754C" w:rsidRDefault="0075754C" w:rsidP="0075754C">
      <w:pPr>
        <w:pStyle w:val="ListParagraph"/>
        <w:numPr>
          <w:ilvl w:val="0"/>
          <w:numId w:val="1"/>
        </w:numPr>
        <w:jc w:val="both"/>
        <w:rPr>
          <w:i/>
        </w:rPr>
      </w:pPr>
      <w:r w:rsidRPr="0075754C">
        <w:rPr>
          <w:i/>
        </w:rPr>
        <w:t>If you consider there are conflicts of interest within proxy advisers which have not been properly mitigated, a) which conflicts are most important, and b) do you consider that these conflicts lead to impaired advice?</w:t>
      </w:r>
    </w:p>
    <w:p w:rsidR="0015585D" w:rsidRDefault="00327AEC" w:rsidP="0075754C">
      <w:pPr>
        <w:ind w:left="426"/>
        <w:jc w:val="both"/>
        <w:rPr>
          <w:rFonts w:ascii="Book Antiqua" w:hAnsi="Book Antiqua"/>
        </w:rPr>
      </w:pPr>
      <w:r w:rsidRPr="0075754C">
        <w:rPr>
          <w:rFonts w:ascii="Book Antiqua" w:hAnsi="Book Antiqua"/>
        </w:rPr>
        <w:t xml:space="preserve">The Discussion Paper rightly points out that the main risk of conflict arises when proxy advisers provide recommendations to investors on meetings of issuers whom they are also advising about governance. </w:t>
      </w:r>
      <w:r w:rsidR="00BC0ABB">
        <w:rPr>
          <w:rFonts w:ascii="Book Antiqua" w:hAnsi="Book Antiqua"/>
        </w:rPr>
        <w:t xml:space="preserve"> </w:t>
      </w:r>
      <w:r w:rsidRPr="0075754C">
        <w:rPr>
          <w:rFonts w:ascii="Book Antiqua" w:hAnsi="Book Antiqua"/>
        </w:rPr>
        <w:t xml:space="preserve">Though this emerged as a large problem in the US </w:t>
      </w:r>
    </w:p>
    <w:p w:rsidR="0015585D" w:rsidRDefault="0015585D" w:rsidP="0075754C">
      <w:pPr>
        <w:ind w:left="426"/>
        <w:jc w:val="both"/>
        <w:rPr>
          <w:rFonts w:ascii="Book Antiqua" w:hAnsi="Book Antiqua"/>
        </w:rPr>
      </w:pPr>
    </w:p>
    <w:p w:rsidR="0015585D" w:rsidRDefault="0015585D" w:rsidP="0075754C">
      <w:pPr>
        <w:ind w:left="426"/>
        <w:jc w:val="both"/>
        <w:rPr>
          <w:rFonts w:ascii="Book Antiqua" w:hAnsi="Book Antiqua"/>
        </w:rPr>
      </w:pPr>
    </w:p>
    <w:p w:rsidR="00327AEC" w:rsidRPr="0075754C" w:rsidRDefault="00327AEC" w:rsidP="0075754C">
      <w:pPr>
        <w:ind w:left="426"/>
        <w:jc w:val="both"/>
        <w:rPr>
          <w:rFonts w:ascii="Book Antiqua" w:hAnsi="Book Antiqua"/>
        </w:rPr>
      </w:pPr>
      <w:r w:rsidRPr="0075754C">
        <w:rPr>
          <w:rFonts w:ascii="Book Antiqua" w:hAnsi="Book Antiqua"/>
        </w:rPr>
        <w:t xml:space="preserve">during the last decade, the main agencies have mitigation arrangements in place. </w:t>
      </w:r>
      <w:r w:rsidR="00BC0ABB">
        <w:rPr>
          <w:rFonts w:ascii="Book Antiqua" w:hAnsi="Book Antiqua"/>
        </w:rPr>
        <w:t xml:space="preserve"> </w:t>
      </w:r>
      <w:r w:rsidRPr="0075754C">
        <w:rPr>
          <w:rFonts w:ascii="Book Antiqua" w:hAnsi="Book Antiqua"/>
        </w:rPr>
        <w:t>In addition, it is not thought that they provide significant advice to issuers in the EU.</w:t>
      </w:r>
    </w:p>
    <w:p w:rsidR="00795C1E" w:rsidRDefault="00327AEC" w:rsidP="0075754C">
      <w:pPr>
        <w:ind w:left="426"/>
        <w:jc w:val="both"/>
        <w:rPr>
          <w:rFonts w:ascii="Book Antiqua" w:hAnsi="Book Antiqua"/>
        </w:rPr>
      </w:pPr>
      <w:r w:rsidRPr="0075754C">
        <w:rPr>
          <w:rFonts w:ascii="Book Antiqua" w:hAnsi="Book Antiqua"/>
        </w:rPr>
        <w:t xml:space="preserve">We would consider the other possible conflicts as somewhat marginal with the possible exception of agencies owned by investors who give advice on resolutions at general meetings of those same investors. </w:t>
      </w:r>
      <w:r w:rsidR="00213653">
        <w:rPr>
          <w:rFonts w:ascii="Book Antiqua" w:hAnsi="Book Antiqua"/>
        </w:rPr>
        <w:t xml:space="preserve"> </w:t>
      </w:r>
      <w:r w:rsidR="0075754C" w:rsidRPr="0075754C">
        <w:rPr>
          <w:rFonts w:ascii="Book Antiqua" w:hAnsi="Book Antiqua"/>
        </w:rPr>
        <w:t>The right approach is for agencies to publicly identify any conflicts they may face and explain how they are addressed.</w:t>
      </w:r>
    </w:p>
    <w:p w:rsidR="00157D0D" w:rsidRPr="0075754C" w:rsidRDefault="00795C1E" w:rsidP="0075754C">
      <w:pPr>
        <w:ind w:left="426"/>
        <w:jc w:val="both"/>
        <w:rPr>
          <w:rFonts w:ascii="Book Antiqua" w:hAnsi="Book Antiqua"/>
        </w:rPr>
      </w:pPr>
      <w:r>
        <w:rPr>
          <w:rFonts w:ascii="Book Antiqua" w:hAnsi="Book Antiqua"/>
        </w:rPr>
        <w:t xml:space="preserve">Also there is a potential conflict with agencies who are also offering a voting execution service. </w:t>
      </w:r>
      <w:r w:rsidR="000338A2">
        <w:rPr>
          <w:rFonts w:ascii="Book Antiqua" w:hAnsi="Book Antiqua"/>
        </w:rPr>
        <w:t xml:space="preserve"> </w:t>
      </w:r>
      <w:r>
        <w:rPr>
          <w:rFonts w:ascii="Book Antiqua" w:hAnsi="Book Antiqua"/>
        </w:rPr>
        <w:t xml:space="preserve">These agencies might be tempted to encourage their clients to follow their recommendations as a means of simplifying and increasing the volume of votes passing through their execution system. </w:t>
      </w:r>
      <w:r w:rsidR="000338A2">
        <w:rPr>
          <w:rFonts w:ascii="Book Antiqua" w:hAnsi="Book Antiqua"/>
        </w:rPr>
        <w:t xml:space="preserve"> </w:t>
      </w:r>
      <w:r w:rsidR="00D9488E">
        <w:rPr>
          <w:rFonts w:ascii="Book Antiqua" w:hAnsi="Book Antiqua"/>
        </w:rPr>
        <w:t>Admittedly, t</w:t>
      </w:r>
      <w:r>
        <w:rPr>
          <w:rFonts w:ascii="Book Antiqua" w:hAnsi="Book Antiqua"/>
        </w:rPr>
        <w:t>his is perhaps more a competition policy issue than a conflict of interest, though it merits watching since the world market is dominated by two global agencies (ISS and Glass Lewis).</w:t>
      </w:r>
      <w:r w:rsidR="00327AEC" w:rsidRPr="0075754C">
        <w:rPr>
          <w:rFonts w:ascii="Book Antiqua" w:hAnsi="Book Antiqua"/>
        </w:rPr>
        <w:t xml:space="preserve">  </w:t>
      </w:r>
    </w:p>
    <w:p w:rsidR="00C577FE" w:rsidRPr="00EF1DAF" w:rsidRDefault="00CA25D9" w:rsidP="00EF1DAF">
      <w:pPr>
        <w:pStyle w:val="ListParagraph"/>
        <w:numPr>
          <w:ilvl w:val="0"/>
          <w:numId w:val="1"/>
        </w:numPr>
        <w:jc w:val="both"/>
        <w:rPr>
          <w:rFonts w:ascii="Book Antiqua" w:hAnsi="Book Antiqua"/>
          <w:i/>
        </w:rPr>
      </w:pPr>
      <w:r w:rsidRPr="00EF1DAF">
        <w:rPr>
          <w:rFonts w:ascii="Book Antiqua" w:hAnsi="Book Antiqua"/>
          <w:i/>
        </w:rPr>
        <w:t>To what extent and how do you consider that there could be improvement</w:t>
      </w:r>
      <w:r w:rsidR="003313E6">
        <w:rPr>
          <w:rFonts w:ascii="Book Antiqua" w:hAnsi="Book Antiqua"/>
          <w:i/>
        </w:rPr>
        <w:t xml:space="preserve"> a</w:t>
      </w:r>
      <w:r w:rsidRPr="00EF1DAF">
        <w:rPr>
          <w:rFonts w:ascii="Book Antiqua" w:hAnsi="Book Antiqua"/>
          <w:i/>
        </w:rPr>
        <w:t>) for taking into account local market conditions in voting policies, and b)</w:t>
      </w:r>
      <w:r w:rsidR="003313E6">
        <w:rPr>
          <w:rFonts w:ascii="Book Antiqua" w:hAnsi="Book Antiqua"/>
          <w:i/>
        </w:rPr>
        <w:t xml:space="preserve"> </w:t>
      </w:r>
      <w:r w:rsidRPr="00EF1DAF">
        <w:rPr>
          <w:rFonts w:ascii="Book Antiqua" w:hAnsi="Book Antiqua"/>
          <w:i/>
        </w:rPr>
        <w:t>on dialogue between proxy advisors and third parties</w:t>
      </w:r>
      <w:r w:rsidR="003313E6">
        <w:rPr>
          <w:rFonts w:ascii="Book Antiqua" w:hAnsi="Book Antiqua"/>
          <w:i/>
        </w:rPr>
        <w:t xml:space="preserve"> </w:t>
      </w:r>
      <w:r w:rsidRPr="00EF1DAF">
        <w:rPr>
          <w:rFonts w:ascii="Book Antiqua" w:hAnsi="Book Antiqua"/>
          <w:i/>
        </w:rPr>
        <w:t>(issuers and investors) on the development of voting policies and guidelines?</w:t>
      </w:r>
    </w:p>
    <w:p w:rsidR="00930534" w:rsidRDefault="003313E6" w:rsidP="00EF1DAF">
      <w:pPr>
        <w:ind w:left="426"/>
        <w:jc w:val="both"/>
        <w:rPr>
          <w:rFonts w:ascii="Book Antiqua" w:hAnsi="Book Antiqua"/>
        </w:rPr>
      </w:pPr>
      <w:r>
        <w:rPr>
          <w:rFonts w:ascii="Book Antiqua" w:hAnsi="Book Antiqua"/>
        </w:rPr>
        <w:t>V</w:t>
      </w:r>
      <w:r w:rsidR="00AA7C77" w:rsidRPr="00EF1DAF">
        <w:rPr>
          <w:rFonts w:ascii="Book Antiqua" w:hAnsi="Book Antiqua"/>
        </w:rPr>
        <w:t xml:space="preserve">oting advice </w:t>
      </w:r>
      <w:r>
        <w:rPr>
          <w:rFonts w:ascii="Book Antiqua" w:hAnsi="Book Antiqua"/>
        </w:rPr>
        <w:t xml:space="preserve">should </w:t>
      </w:r>
      <w:r w:rsidR="00AA7C77" w:rsidRPr="00EF1DAF">
        <w:rPr>
          <w:rFonts w:ascii="Book Antiqua" w:hAnsi="Book Antiqua"/>
        </w:rPr>
        <w:t xml:space="preserve">both </w:t>
      </w:r>
      <w:r>
        <w:rPr>
          <w:rFonts w:ascii="Book Antiqua" w:hAnsi="Book Antiqua"/>
        </w:rPr>
        <w:t xml:space="preserve">be </w:t>
      </w:r>
      <w:r w:rsidR="00AA7C77" w:rsidRPr="00EF1DAF">
        <w:rPr>
          <w:rFonts w:ascii="Book Antiqua" w:hAnsi="Book Antiqua"/>
        </w:rPr>
        <w:t xml:space="preserve">based on an accurate and proper understanding of the issues concerned and reflect the principles espoused by the investors.  </w:t>
      </w:r>
      <w:r w:rsidR="00EF1DAF">
        <w:rPr>
          <w:rFonts w:ascii="Book Antiqua" w:hAnsi="Book Antiqua"/>
        </w:rPr>
        <w:t>This understanding includes recognition of local market conditions</w:t>
      </w:r>
      <w:r w:rsidR="00930534">
        <w:rPr>
          <w:rFonts w:ascii="Book Antiqua" w:hAnsi="Book Antiqua"/>
        </w:rPr>
        <w:t>, in particular agreed best practice as set out in national codes as well as an awareness of regional and national legislative and regulatory developments.</w:t>
      </w:r>
    </w:p>
    <w:p w:rsidR="002337FA" w:rsidRPr="00EF1DAF" w:rsidRDefault="00AA7C77" w:rsidP="00EF1DAF">
      <w:pPr>
        <w:ind w:left="426"/>
        <w:jc w:val="both"/>
        <w:rPr>
          <w:rFonts w:ascii="Book Antiqua" w:hAnsi="Book Antiqua"/>
        </w:rPr>
      </w:pPr>
      <w:r w:rsidRPr="00EF1DAF">
        <w:rPr>
          <w:rFonts w:ascii="Book Antiqua" w:hAnsi="Book Antiqua"/>
        </w:rPr>
        <w:t xml:space="preserve">Dialogue is therefore needed both with companies and shareholders with regard to voting policies and guidelines. </w:t>
      </w:r>
      <w:r w:rsidR="00524EB4">
        <w:rPr>
          <w:rFonts w:ascii="Book Antiqua" w:hAnsi="Book Antiqua"/>
        </w:rPr>
        <w:t xml:space="preserve"> </w:t>
      </w:r>
      <w:r w:rsidR="0065242E" w:rsidRPr="00EF1DAF">
        <w:rPr>
          <w:rFonts w:ascii="Book Antiqua" w:hAnsi="Book Antiqua"/>
        </w:rPr>
        <w:t>As far as possible</w:t>
      </w:r>
      <w:r w:rsidR="003313E6">
        <w:rPr>
          <w:rFonts w:ascii="Book Antiqua" w:hAnsi="Book Antiqua"/>
        </w:rPr>
        <w:t>,</w:t>
      </w:r>
      <w:r w:rsidR="0065242E" w:rsidRPr="00EF1DAF">
        <w:rPr>
          <w:rFonts w:ascii="Book Antiqua" w:hAnsi="Book Antiqua"/>
        </w:rPr>
        <w:t xml:space="preserve"> companies should be aware in advance how the agencies </w:t>
      </w:r>
      <w:r w:rsidR="00930534">
        <w:rPr>
          <w:rFonts w:ascii="Book Antiqua" w:hAnsi="Book Antiqua"/>
        </w:rPr>
        <w:t xml:space="preserve">interpret national codes and therefore how they </w:t>
      </w:r>
      <w:r w:rsidR="0065242E" w:rsidRPr="00EF1DAF">
        <w:rPr>
          <w:rFonts w:ascii="Book Antiqua" w:hAnsi="Book Antiqua"/>
        </w:rPr>
        <w:t>will react to particular propositions.</w:t>
      </w:r>
      <w:r w:rsidR="00930534">
        <w:rPr>
          <w:rFonts w:ascii="Book Antiqua" w:hAnsi="Book Antiqua"/>
        </w:rPr>
        <w:t xml:space="preserve">  The agencies should set out their voting policies publicly and in a timely way each season in order to help companies develop such an understanding.</w:t>
      </w:r>
    </w:p>
    <w:p w:rsidR="002337FA" w:rsidRPr="00EF1DAF" w:rsidRDefault="003313E6" w:rsidP="00EF1DAF">
      <w:pPr>
        <w:ind w:left="426"/>
        <w:jc w:val="both"/>
        <w:rPr>
          <w:rFonts w:ascii="Book Antiqua" w:hAnsi="Book Antiqua"/>
        </w:rPr>
      </w:pPr>
      <w:r w:rsidRPr="00EF1DAF">
        <w:rPr>
          <w:rFonts w:ascii="Book Antiqua" w:hAnsi="Book Antiqua"/>
        </w:rPr>
        <w:t xml:space="preserve">Investors should make it clear to the proxy agencies they employ that they expect due consideration to be given to cogent explanations. </w:t>
      </w:r>
      <w:r w:rsidR="00946CCD">
        <w:rPr>
          <w:rFonts w:ascii="Book Antiqua" w:hAnsi="Book Antiqua"/>
        </w:rPr>
        <w:t xml:space="preserve"> </w:t>
      </w:r>
      <w:r w:rsidRPr="00EF1DAF">
        <w:rPr>
          <w:rFonts w:ascii="Book Antiqua" w:hAnsi="Book Antiqua"/>
        </w:rPr>
        <w:t xml:space="preserve">Where a proxy agency considers an issue to be controversial it should explore the issue with the company to ensure that it has properly understood the background circumstances and if necessary sound out leading shareholders to take a market view. </w:t>
      </w:r>
      <w:r w:rsidR="00946CCD">
        <w:rPr>
          <w:rFonts w:ascii="Book Antiqua" w:hAnsi="Book Antiqua"/>
        </w:rPr>
        <w:t xml:space="preserve"> </w:t>
      </w:r>
      <w:r w:rsidRPr="00EF1DAF">
        <w:rPr>
          <w:rFonts w:ascii="Book Antiqua" w:hAnsi="Book Antiqua"/>
        </w:rPr>
        <w:t>Agencies should have the resources to do this, even at busy times</w:t>
      </w:r>
      <w:r>
        <w:rPr>
          <w:rFonts w:ascii="Book Antiqua" w:hAnsi="Book Antiqua"/>
        </w:rPr>
        <w:t>, but the process will be helped if companies</w:t>
      </w:r>
      <w:r w:rsidR="0065242E" w:rsidRPr="00EF1DAF">
        <w:rPr>
          <w:rFonts w:ascii="Book Antiqua" w:hAnsi="Book Antiqua"/>
        </w:rPr>
        <w:t xml:space="preserve"> provide high quality public explanations</w:t>
      </w:r>
      <w:r>
        <w:rPr>
          <w:rFonts w:ascii="Book Antiqua" w:hAnsi="Book Antiqua"/>
        </w:rPr>
        <w:t xml:space="preserve"> for deviations from national codes.</w:t>
      </w:r>
      <w:r w:rsidR="002337FA" w:rsidRPr="00EF1DAF">
        <w:rPr>
          <w:rFonts w:ascii="Book Antiqua" w:hAnsi="Book Antiqua"/>
        </w:rPr>
        <w:t xml:space="preserve"> </w:t>
      </w:r>
    </w:p>
    <w:p w:rsidR="00714338" w:rsidRDefault="00C17F39" w:rsidP="00EF1DAF">
      <w:pPr>
        <w:ind w:left="426"/>
        <w:jc w:val="both"/>
        <w:rPr>
          <w:rFonts w:ascii="Book Antiqua" w:hAnsi="Book Antiqua"/>
        </w:rPr>
      </w:pPr>
      <w:r>
        <w:rPr>
          <w:rFonts w:ascii="Book Antiqua" w:hAnsi="Book Antiqua"/>
        </w:rPr>
        <w:t>Proxy agencies</w:t>
      </w:r>
      <w:r w:rsidRPr="00EF1DAF">
        <w:rPr>
          <w:rFonts w:ascii="Book Antiqua" w:hAnsi="Book Antiqua"/>
        </w:rPr>
        <w:t xml:space="preserve"> should </w:t>
      </w:r>
      <w:r w:rsidR="00801989">
        <w:rPr>
          <w:rFonts w:ascii="Book Antiqua" w:hAnsi="Book Antiqua"/>
        </w:rPr>
        <w:t>explain clearly what steps they take to</w:t>
      </w:r>
      <w:r>
        <w:rPr>
          <w:rFonts w:ascii="Book Antiqua" w:hAnsi="Book Antiqua"/>
        </w:rPr>
        <w:t xml:space="preserve"> ensure their reports are factually accurate. </w:t>
      </w:r>
      <w:r w:rsidR="00337B61">
        <w:rPr>
          <w:rFonts w:ascii="Book Antiqua" w:hAnsi="Book Antiqua"/>
        </w:rPr>
        <w:t xml:space="preserve"> </w:t>
      </w:r>
      <w:r w:rsidR="00BB2383">
        <w:rPr>
          <w:rFonts w:ascii="Book Antiqua" w:hAnsi="Book Antiqua"/>
        </w:rPr>
        <w:t xml:space="preserve">Some </w:t>
      </w:r>
      <w:r w:rsidR="002337FA" w:rsidRPr="00EF1DAF">
        <w:rPr>
          <w:rFonts w:ascii="Book Antiqua" w:hAnsi="Book Antiqua"/>
        </w:rPr>
        <w:t xml:space="preserve">agencies </w:t>
      </w:r>
      <w:r w:rsidR="00BB2383">
        <w:rPr>
          <w:rFonts w:ascii="Book Antiqua" w:hAnsi="Book Antiqua"/>
        </w:rPr>
        <w:t xml:space="preserve">routinely </w:t>
      </w:r>
      <w:r w:rsidR="002337FA" w:rsidRPr="00EF1DAF">
        <w:rPr>
          <w:rFonts w:ascii="Book Antiqua" w:hAnsi="Book Antiqua"/>
        </w:rPr>
        <w:t>submit their reports to the company for factual c</w:t>
      </w:r>
      <w:r w:rsidR="00D7248A">
        <w:rPr>
          <w:rFonts w:ascii="Book Antiqua" w:hAnsi="Book Antiqua"/>
        </w:rPr>
        <w:t>hecking</w:t>
      </w:r>
      <w:r w:rsidR="00BB2383">
        <w:rPr>
          <w:rFonts w:ascii="Book Antiqua" w:hAnsi="Book Antiqua"/>
        </w:rPr>
        <w:t xml:space="preserve">. </w:t>
      </w:r>
      <w:r w:rsidR="00337B61">
        <w:rPr>
          <w:rFonts w:ascii="Book Antiqua" w:hAnsi="Book Antiqua"/>
        </w:rPr>
        <w:t xml:space="preserve"> </w:t>
      </w:r>
      <w:r w:rsidR="00BB2383">
        <w:rPr>
          <w:rFonts w:ascii="Book Antiqua" w:hAnsi="Book Antiqua"/>
        </w:rPr>
        <w:t xml:space="preserve">This is to be encouraged, provided that companies do not seek </w:t>
      </w:r>
    </w:p>
    <w:p w:rsidR="00714338" w:rsidRDefault="00714338" w:rsidP="00EF1DAF">
      <w:pPr>
        <w:ind w:left="426"/>
        <w:jc w:val="both"/>
        <w:rPr>
          <w:rFonts w:ascii="Book Antiqua" w:hAnsi="Book Antiqua"/>
        </w:rPr>
      </w:pPr>
    </w:p>
    <w:p w:rsidR="00EC1ED0" w:rsidRDefault="00EC1ED0" w:rsidP="00EF1DAF">
      <w:pPr>
        <w:ind w:left="426"/>
        <w:jc w:val="both"/>
        <w:rPr>
          <w:rFonts w:ascii="Book Antiqua" w:hAnsi="Book Antiqua"/>
        </w:rPr>
      </w:pPr>
    </w:p>
    <w:p w:rsidR="002337FA" w:rsidRPr="00EF1DAF" w:rsidRDefault="00603EF5" w:rsidP="00EF1DAF">
      <w:pPr>
        <w:ind w:left="426"/>
        <w:jc w:val="both"/>
        <w:rPr>
          <w:rFonts w:ascii="Book Antiqua" w:hAnsi="Book Antiqua"/>
        </w:rPr>
      </w:pPr>
      <w:r>
        <w:rPr>
          <w:rFonts w:ascii="Book Antiqua" w:hAnsi="Book Antiqua"/>
        </w:rPr>
        <w:t xml:space="preserve">unfairly </w:t>
      </w:r>
      <w:r w:rsidR="00BB2383">
        <w:rPr>
          <w:rFonts w:ascii="Book Antiqua" w:hAnsi="Book Antiqua"/>
        </w:rPr>
        <w:t>to influence the agency’s judgements</w:t>
      </w:r>
      <w:r w:rsidR="002337FA" w:rsidRPr="00EF1DAF">
        <w:rPr>
          <w:rFonts w:ascii="Book Antiqua" w:hAnsi="Book Antiqua"/>
        </w:rPr>
        <w:t xml:space="preserve">. </w:t>
      </w:r>
      <w:r w:rsidR="00BC5A97">
        <w:rPr>
          <w:rFonts w:ascii="Book Antiqua" w:hAnsi="Book Antiqua"/>
        </w:rPr>
        <w:t xml:space="preserve"> </w:t>
      </w:r>
      <w:r w:rsidR="00C17F39">
        <w:rPr>
          <w:rFonts w:ascii="Book Antiqua" w:hAnsi="Book Antiqua"/>
        </w:rPr>
        <w:t>Agencies sh</w:t>
      </w:r>
      <w:r w:rsidR="002337FA" w:rsidRPr="00EF1DAF">
        <w:rPr>
          <w:rFonts w:ascii="Book Antiqua" w:hAnsi="Book Antiqua"/>
        </w:rPr>
        <w:t xml:space="preserve">ould undertake to correct factual errors immediately and ensure that </w:t>
      </w:r>
      <w:r w:rsidR="00011AF4">
        <w:rPr>
          <w:rFonts w:ascii="Book Antiqua" w:hAnsi="Book Antiqua"/>
        </w:rPr>
        <w:t>their subscribers’ attention is drawn to the correction.</w:t>
      </w:r>
      <w:r w:rsidR="00C17F39">
        <w:rPr>
          <w:rFonts w:ascii="Book Antiqua" w:hAnsi="Book Antiqua"/>
        </w:rPr>
        <w:t xml:space="preserve"> </w:t>
      </w:r>
      <w:r w:rsidR="00BC5A97">
        <w:rPr>
          <w:rFonts w:ascii="Book Antiqua" w:hAnsi="Book Antiqua"/>
        </w:rPr>
        <w:t xml:space="preserve"> </w:t>
      </w:r>
      <w:r w:rsidR="00C17F39">
        <w:rPr>
          <w:rFonts w:ascii="Book Antiqua" w:hAnsi="Book Antiqua"/>
        </w:rPr>
        <w:t>In the present climate it should be clear to the agencies that failure to establish a reputation for accuracy is likely to lead to irresistible pressure for regulation of their activities.</w:t>
      </w:r>
    </w:p>
    <w:p w:rsidR="00C577FE" w:rsidRPr="006F0F8B" w:rsidRDefault="00C577FE" w:rsidP="00EF1DAF">
      <w:pPr>
        <w:pStyle w:val="ListParagraph"/>
        <w:numPr>
          <w:ilvl w:val="0"/>
          <w:numId w:val="1"/>
        </w:numPr>
        <w:jc w:val="both"/>
        <w:rPr>
          <w:rFonts w:ascii="Book Antiqua" w:hAnsi="Book Antiqua"/>
          <w:i/>
        </w:rPr>
      </w:pPr>
      <w:r w:rsidRPr="006F0F8B">
        <w:rPr>
          <w:rFonts w:ascii="Book Antiqua" w:hAnsi="Book Antiqua"/>
          <w:i/>
        </w:rPr>
        <w:t>To what extent do you consider that there could be improvement, also as regards transparency, in: a) the methodology applied by proxy</w:t>
      </w:r>
      <w:r w:rsidR="00EF1DAF" w:rsidRPr="006F0F8B">
        <w:rPr>
          <w:rFonts w:ascii="Book Antiqua" w:hAnsi="Book Antiqua"/>
          <w:i/>
        </w:rPr>
        <w:t xml:space="preserve"> </w:t>
      </w:r>
      <w:r w:rsidRPr="006F0F8B">
        <w:rPr>
          <w:rFonts w:ascii="Book Antiqua" w:hAnsi="Book Antiqua"/>
          <w:i/>
        </w:rPr>
        <w:t>advisers</w:t>
      </w:r>
      <w:r w:rsidR="003B7A9F" w:rsidRPr="006F0F8B">
        <w:rPr>
          <w:rFonts w:ascii="Book Antiqua" w:hAnsi="Book Antiqua"/>
          <w:i/>
        </w:rPr>
        <w:t xml:space="preserve"> </w:t>
      </w:r>
      <w:r w:rsidRPr="006F0F8B">
        <w:rPr>
          <w:rFonts w:ascii="Book Antiqua" w:hAnsi="Book Antiqua"/>
          <w:i/>
        </w:rPr>
        <w:t>to provide reliable and independent voting recommendations, b) the dialogue w</w:t>
      </w:r>
      <w:r w:rsidR="00EF1DAF" w:rsidRPr="006F0F8B">
        <w:rPr>
          <w:rFonts w:ascii="Book Antiqua" w:hAnsi="Book Antiqua"/>
          <w:i/>
        </w:rPr>
        <w:t>i</w:t>
      </w:r>
      <w:r w:rsidRPr="006F0F8B">
        <w:rPr>
          <w:rFonts w:ascii="Book Antiqua" w:hAnsi="Book Antiqua"/>
          <w:i/>
        </w:rPr>
        <w:t>th issuers when drafting voting recommendations, and c) the standards of skill and experience among proxy adviser staff?</w:t>
      </w:r>
    </w:p>
    <w:p w:rsidR="00C577FE" w:rsidRPr="006F0F8B" w:rsidRDefault="00DA2E16" w:rsidP="003B7A9F">
      <w:pPr>
        <w:ind w:left="426"/>
        <w:jc w:val="both"/>
        <w:rPr>
          <w:rFonts w:ascii="Book Antiqua" w:hAnsi="Book Antiqua"/>
        </w:rPr>
      </w:pPr>
      <w:r>
        <w:rPr>
          <w:rFonts w:ascii="Book Antiqua" w:hAnsi="Book Antiqua"/>
        </w:rPr>
        <w:t>An eventual code should encourage p</w:t>
      </w:r>
      <w:r w:rsidR="003B7A9F" w:rsidRPr="006F0F8B">
        <w:rPr>
          <w:rFonts w:ascii="Book Antiqua" w:hAnsi="Book Antiqua"/>
        </w:rPr>
        <w:t xml:space="preserve">roxy agencies </w:t>
      </w:r>
      <w:r>
        <w:rPr>
          <w:rFonts w:ascii="Book Antiqua" w:hAnsi="Book Antiqua"/>
        </w:rPr>
        <w:t>to</w:t>
      </w:r>
      <w:r w:rsidR="00011AF4">
        <w:rPr>
          <w:rFonts w:ascii="Book Antiqua" w:hAnsi="Book Antiqua"/>
        </w:rPr>
        <w:t xml:space="preserve"> </w:t>
      </w:r>
      <w:r w:rsidR="003B7A9F" w:rsidRPr="006F0F8B">
        <w:rPr>
          <w:rFonts w:ascii="Book Antiqua" w:hAnsi="Book Antiqua"/>
        </w:rPr>
        <w:t xml:space="preserve">disclose </w:t>
      </w:r>
      <w:r>
        <w:rPr>
          <w:rFonts w:ascii="Book Antiqua" w:hAnsi="Book Antiqua"/>
        </w:rPr>
        <w:t xml:space="preserve">on a comply-or-explain basis </w:t>
      </w:r>
      <w:r w:rsidR="003B7A9F" w:rsidRPr="006F0F8B">
        <w:rPr>
          <w:rFonts w:ascii="Book Antiqua" w:hAnsi="Book Antiqua"/>
        </w:rPr>
        <w:t>how they approach their decisions, how</w:t>
      </w:r>
      <w:r w:rsidR="006F0F8B" w:rsidRPr="006F0F8B">
        <w:rPr>
          <w:rFonts w:ascii="Book Antiqua" w:hAnsi="Book Antiqua"/>
        </w:rPr>
        <w:t xml:space="preserve"> they escalate difficult or non-ro</w:t>
      </w:r>
      <w:r w:rsidR="00011AF4">
        <w:rPr>
          <w:rFonts w:ascii="Book Antiqua" w:hAnsi="Book Antiqua"/>
        </w:rPr>
        <w:t>utine</w:t>
      </w:r>
      <w:r w:rsidR="006F0F8B" w:rsidRPr="006F0F8B">
        <w:rPr>
          <w:rFonts w:ascii="Book Antiqua" w:hAnsi="Book Antiqua"/>
        </w:rPr>
        <w:t xml:space="preserve"> decisions</w:t>
      </w:r>
      <w:r w:rsidR="00011AF4">
        <w:rPr>
          <w:rFonts w:ascii="Book Antiqua" w:hAnsi="Book Antiqua"/>
        </w:rPr>
        <w:t xml:space="preserve"> within their own hierarchy</w:t>
      </w:r>
      <w:r>
        <w:rPr>
          <w:rFonts w:ascii="Book Antiqua" w:hAnsi="Book Antiqua"/>
        </w:rPr>
        <w:t xml:space="preserve"> and</w:t>
      </w:r>
      <w:r w:rsidR="006F0F8B" w:rsidRPr="006F0F8B">
        <w:rPr>
          <w:rFonts w:ascii="Book Antiqua" w:hAnsi="Book Antiqua"/>
        </w:rPr>
        <w:t xml:space="preserve"> how</w:t>
      </w:r>
      <w:r w:rsidR="003B7A9F" w:rsidRPr="006F0F8B">
        <w:rPr>
          <w:rFonts w:ascii="Book Antiqua" w:hAnsi="Book Antiqua"/>
        </w:rPr>
        <w:t xml:space="preserve"> far they are prepared to talk to issuers</w:t>
      </w:r>
      <w:r>
        <w:rPr>
          <w:rFonts w:ascii="Book Antiqua" w:hAnsi="Book Antiqua"/>
        </w:rPr>
        <w:t>.</w:t>
      </w:r>
      <w:r w:rsidR="003B7A9F" w:rsidRPr="006F0F8B">
        <w:rPr>
          <w:rFonts w:ascii="Book Antiqua" w:hAnsi="Book Antiqua"/>
        </w:rPr>
        <w:t xml:space="preserve"> </w:t>
      </w:r>
      <w:r w:rsidR="00445257">
        <w:rPr>
          <w:rFonts w:ascii="Book Antiqua" w:hAnsi="Book Antiqua"/>
        </w:rPr>
        <w:t xml:space="preserve"> </w:t>
      </w:r>
      <w:r w:rsidR="006F0F8B" w:rsidRPr="006F0F8B">
        <w:rPr>
          <w:rFonts w:ascii="Book Antiqua" w:hAnsi="Book Antiqua"/>
        </w:rPr>
        <w:t>Where some basic research is outsourced to analysts in an overseas jurisdiction, the scope of such work should be clearly explained and companies should have access to a named individual in their own time zone</w:t>
      </w:r>
      <w:r w:rsidR="00011AF4">
        <w:rPr>
          <w:rFonts w:ascii="Book Antiqua" w:hAnsi="Book Antiqua"/>
        </w:rPr>
        <w:t>,</w:t>
      </w:r>
      <w:r w:rsidR="006F0F8B" w:rsidRPr="006F0F8B">
        <w:rPr>
          <w:rFonts w:ascii="Book Antiqua" w:hAnsi="Book Antiqua"/>
        </w:rPr>
        <w:t xml:space="preserve"> with whom they can discuss any queries. </w:t>
      </w:r>
    </w:p>
    <w:p w:rsidR="00C577FE" w:rsidRPr="0004256B" w:rsidRDefault="00C96150" w:rsidP="000200AE">
      <w:pPr>
        <w:pStyle w:val="ListParagraph"/>
        <w:numPr>
          <w:ilvl w:val="0"/>
          <w:numId w:val="1"/>
        </w:numPr>
        <w:jc w:val="both"/>
        <w:rPr>
          <w:rFonts w:ascii="Book Antiqua" w:hAnsi="Book Antiqua"/>
          <w:i/>
        </w:rPr>
      </w:pPr>
      <w:r w:rsidRPr="0004256B">
        <w:rPr>
          <w:rFonts w:ascii="Book Antiqua" w:hAnsi="Book Antiqua"/>
          <w:i/>
        </w:rPr>
        <w:t xml:space="preserve">Which policy option do you support, if any? </w:t>
      </w:r>
      <w:r w:rsidR="00167A68">
        <w:rPr>
          <w:rFonts w:ascii="Book Antiqua" w:hAnsi="Book Antiqua"/>
          <w:i/>
        </w:rPr>
        <w:t xml:space="preserve"> </w:t>
      </w:r>
      <w:r w:rsidRPr="0004256B">
        <w:rPr>
          <w:rFonts w:ascii="Book Antiqua" w:hAnsi="Book Antiqua"/>
          <w:i/>
        </w:rPr>
        <w:t>Please explain your choice and your preferred way of pursuing a particular approach within that option, if any.</w:t>
      </w:r>
    </w:p>
    <w:p w:rsidR="00C96150" w:rsidRPr="0004256B" w:rsidRDefault="00C96150" w:rsidP="000200AE">
      <w:pPr>
        <w:pStyle w:val="ListParagraph"/>
        <w:numPr>
          <w:ilvl w:val="0"/>
          <w:numId w:val="1"/>
        </w:numPr>
        <w:jc w:val="both"/>
        <w:rPr>
          <w:rFonts w:ascii="Book Antiqua" w:hAnsi="Book Antiqua"/>
          <w:i/>
        </w:rPr>
      </w:pPr>
      <w:r w:rsidRPr="0004256B">
        <w:rPr>
          <w:rFonts w:ascii="Book Antiqua" w:hAnsi="Book Antiqua"/>
          <w:i/>
        </w:rPr>
        <w:t xml:space="preserve">Which other approaches do you deem useful to consider as an alternative to the presented policy options? </w:t>
      </w:r>
      <w:r w:rsidR="00167A68">
        <w:rPr>
          <w:rFonts w:ascii="Book Antiqua" w:hAnsi="Book Antiqua"/>
          <w:i/>
        </w:rPr>
        <w:t xml:space="preserve"> </w:t>
      </w:r>
      <w:r w:rsidRPr="0004256B">
        <w:rPr>
          <w:rFonts w:ascii="Book Antiqua" w:hAnsi="Book Antiqua"/>
          <w:i/>
        </w:rPr>
        <w:t>Please explain your suggestion.</w:t>
      </w:r>
    </w:p>
    <w:p w:rsidR="00C96150" w:rsidRPr="0004256B" w:rsidRDefault="00C96150" w:rsidP="000200AE">
      <w:pPr>
        <w:pStyle w:val="ListParagraph"/>
        <w:numPr>
          <w:ilvl w:val="0"/>
          <w:numId w:val="1"/>
        </w:numPr>
        <w:jc w:val="both"/>
        <w:rPr>
          <w:rFonts w:ascii="Book Antiqua" w:hAnsi="Book Antiqua"/>
          <w:i/>
        </w:rPr>
      </w:pPr>
      <w:r w:rsidRPr="0004256B">
        <w:rPr>
          <w:rFonts w:ascii="Book Antiqua" w:hAnsi="Book Antiqua"/>
          <w:i/>
        </w:rPr>
        <w:t xml:space="preserve">If you support EU-level intervention, which key issues, both from Section IV and V but also other issues not reflected in this paper, should be covered? </w:t>
      </w:r>
      <w:r w:rsidR="00167A68">
        <w:rPr>
          <w:rFonts w:ascii="Book Antiqua" w:hAnsi="Book Antiqua"/>
          <w:i/>
        </w:rPr>
        <w:t xml:space="preserve"> </w:t>
      </w:r>
      <w:r w:rsidRPr="0004256B">
        <w:rPr>
          <w:rFonts w:ascii="Book Antiqua" w:hAnsi="Book Antiqua"/>
          <w:i/>
        </w:rPr>
        <w:t>Please explain your answer.</w:t>
      </w:r>
    </w:p>
    <w:p w:rsidR="00C96150" w:rsidRPr="0004256B" w:rsidRDefault="00C96150" w:rsidP="000200AE">
      <w:pPr>
        <w:pStyle w:val="ListParagraph"/>
        <w:numPr>
          <w:ilvl w:val="0"/>
          <w:numId w:val="1"/>
        </w:numPr>
        <w:jc w:val="both"/>
        <w:rPr>
          <w:rFonts w:ascii="Book Antiqua" w:hAnsi="Book Antiqua"/>
          <w:i/>
        </w:rPr>
      </w:pPr>
      <w:r w:rsidRPr="0004256B">
        <w:rPr>
          <w:rFonts w:ascii="Book Antiqua" w:hAnsi="Book Antiqua"/>
          <w:i/>
        </w:rPr>
        <w:t>What would be the potential impact of policy intervention on proxy advisers, for example, as regards a) barriers to entry and competition, b) inducing a risk of shifting the investor responsibility and weakening the owner’s prer</w:t>
      </w:r>
      <w:r w:rsidR="00AC01C9" w:rsidRPr="0004256B">
        <w:rPr>
          <w:rFonts w:ascii="Book Antiqua" w:hAnsi="Book Antiqua"/>
          <w:i/>
        </w:rPr>
        <w:t>og</w:t>
      </w:r>
      <w:r w:rsidRPr="0004256B">
        <w:rPr>
          <w:rFonts w:ascii="Book Antiqua" w:hAnsi="Book Antiqua"/>
          <w:i/>
        </w:rPr>
        <w:t>atives, and/or c) any o</w:t>
      </w:r>
      <w:r w:rsidR="00AC01C9" w:rsidRPr="0004256B">
        <w:rPr>
          <w:rFonts w:ascii="Book Antiqua" w:hAnsi="Book Antiqua"/>
          <w:i/>
        </w:rPr>
        <w:t>t</w:t>
      </w:r>
      <w:r w:rsidRPr="0004256B">
        <w:rPr>
          <w:rFonts w:ascii="Book Antiqua" w:hAnsi="Book Antiqua"/>
          <w:i/>
        </w:rPr>
        <w:t xml:space="preserve">her areas? </w:t>
      </w:r>
      <w:r w:rsidR="00167A68">
        <w:rPr>
          <w:rFonts w:ascii="Book Antiqua" w:hAnsi="Book Antiqua"/>
          <w:i/>
        </w:rPr>
        <w:t xml:space="preserve"> </w:t>
      </w:r>
      <w:r w:rsidRPr="0004256B">
        <w:rPr>
          <w:rFonts w:ascii="Book Antiqua" w:hAnsi="Book Antiqua"/>
          <w:i/>
        </w:rPr>
        <w:t>Please explain your answer on EU-level and national level.</w:t>
      </w:r>
    </w:p>
    <w:p w:rsidR="00D434E0" w:rsidRDefault="0004256B" w:rsidP="000200AE">
      <w:pPr>
        <w:ind w:left="426"/>
        <w:jc w:val="both"/>
        <w:rPr>
          <w:rFonts w:ascii="Book Antiqua" w:hAnsi="Book Antiqua"/>
        </w:rPr>
      </w:pPr>
      <w:r>
        <w:rPr>
          <w:rFonts w:ascii="Book Antiqua" w:hAnsi="Book Antiqua"/>
        </w:rPr>
        <w:t xml:space="preserve">As stated above we consider that any approach needs to be carefully calibrated so as to preserve the availability of good quality benchmark advice to investors. </w:t>
      </w:r>
      <w:r w:rsidR="009B37D8">
        <w:rPr>
          <w:rFonts w:ascii="Book Antiqua" w:hAnsi="Book Antiqua"/>
        </w:rPr>
        <w:t xml:space="preserve"> </w:t>
      </w:r>
      <w:r w:rsidR="00AE7C45">
        <w:rPr>
          <w:rFonts w:ascii="Book Antiqua" w:hAnsi="Book Antiqua"/>
        </w:rPr>
        <w:t>The authorities should be careful to ensure that any intervention does not create barriers to entry</w:t>
      </w:r>
      <w:r w:rsidR="00D434E0">
        <w:rPr>
          <w:rFonts w:ascii="Book Antiqua" w:hAnsi="Book Antiqua"/>
        </w:rPr>
        <w:t xml:space="preserve"> </w:t>
      </w:r>
      <w:r w:rsidR="00427D31">
        <w:rPr>
          <w:rFonts w:ascii="Book Antiqua" w:hAnsi="Book Antiqua"/>
        </w:rPr>
        <w:t>or  caus</w:t>
      </w:r>
      <w:r w:rsidR="00D9488E">
        <w:rPr>
          <w:rFonts w:ascii="Book Antiqua" w:hAnsi="Book Antiqua"/>
        </w:rPr>
        <w:t>e</w:t>
      </w:r>
      <w:r w:rsidR="00427D31">
        <w:rPr>
          <w:rFonts w:ascii="Book Antiqua" w:hAnsi="Book Antiqua"/>
        </w:rPr>
        <w:t xml:space="preserve"> one or more agencies to exit the market.</w:t>
      </w:r>
      <w:r w:rsidR="00D434E0">
        <w:rPr>
          <w:rFonts w:ascii="Book Antiqua" w:hAnsi="Book Antiqua"/>
        </w:rPr>
        <w:t xml:space="preserve"> </w:t>
      </w:r>
      <w:r w:rsidR="009B37D8">
        <w:rPr>
          <w:rFonts w:ascii="Book Antiqua" w:hAnsi="Book Antiqua"/>
        </w:rPr>
        <w:t xml:space="preserve"> </w:t>
      </w:r>
      <w:r w:rsidR="00D434E0">
        <w:rPr>
          <w:rFonts w:ascii="Book Antiqua" w:hAnsi="Book Antiqua"/>
        </w:rPr>
        <w:t>Since the market is already concentrated it would be unhelpful of one or more significant players dropped out.</w:t>
      </w:r>
    </w:p>
    <w:p w:rsidR="00AC01C9" w:rsidRDefault="00E15AA6" w:rsidP="000200AE">
      <w:pPr>
        <w:ind w:left="426"/>
        <w:jc w:val="both"/>
        <w:rPr>
          <w:rFonts w:ascii="Book Antiqua" w:hAnsi="Book Antiqua"/>
        </w:rPr>
      </w:pPr>
      <w:r>
        <w:rPr>
          <w:rFonts w:ascii="Book Antiqua" w:hAnsi="Book Antiqua"/>
        </w:rPr>
        <w:t xml:space="preserve">Moreover, for the same reasons that we do not believe regulators should be involved in making qualitative judgements on explanations </w:t>
      </w:r>
      <w:r w:rsidR="00D434E0">
        <w:rPr>
          <w:rFonts w:ascii="Book Antiqua" w:hAnsi="Book Antiqua"/>
        </w:rPr>
        <w:t>provided by companies on governance codes</w:t>
      </w:r>
      <w:r w:rsidR="000200AE">
        <w:rPr>
          <w:rFonts w:ascii="Book Antiqua" w:hAnsi="Book Antiqua"/>
        </w:rPr>
        <w:t>,</w:t>
      </w:r>
      <w:r w:rsidR="00D434E0">
        <w:rPr>
          <w:rFonts w:ascii="Book Antiqua" w:hAnsi="Book Antiqua"/>
        </w:rPr>
        <w:t xml:space="preserve"> we do not believe that they should</w:t>
      </w:r>
      <w:r w:rsidR="00AB40DF">
        <w:rPr>
          <w:rFonts w:ascii="Book Antiqua" w:hAnsi="Book Antiqua"/>
        </w:rPr>
        <w:t xml:space="preserve"> be involved in passing opinions on specific advice provided by proxy agencies. </w:t>
      </w:r>
      <w:r w:rsidR="004B7AE1">
        <w:rPr>
          <w:rFonts w:ascii="Book Antiqua" w:hAnsi="Book Antiqua"/>
        </w:rPr>
        <w:t xml:space="preserve"> </w:t>
      </w:r>
      <w:r w:rsidR="00AC01C9" w:rsidRPr="0004256B">
        <w:rPr>
          <w:rFonts w:ascii="Book Antiqua" w:hAnsi="Book Antiqua"/>
        </w:rPr>
        <w:t xml:space="preserve">Our preferred approach is </w:t>
      </w:r>
      <w:r w:rsidR="00AB40DF">
        <w:rPr>
          <w:rFonts w:ascii="Book Antiqua" w:hAnsi="Book Antiqua"/>
        </w:rPr>
        <w:t>that t</w:t>
      </w:r>
      <w:r w:rsidR="00AC01C9" w:rsidRPr="0004256B">
        <w:rPr>
          <w:rFonts w:ascii="Book Antiqua" w:hAnsi="Book Antiqua"/>
        </w:rPr>
        <w:t xml:space="preserve">he industry should be encouraged to develop a </w:t>
      </w:r>
      <w:r w:rsidR="00C17F39">
        <w:rPr>
          <w:rFonts w:ascii="Book Antiqua" w:hAnsi="Book Antiqua"/>
        </w:rPr>
        <w:t xml:space="preserve">single Europe-wide </w:t>
      </w:r>
      <w:r w:rsidR="00AC01C9" w:rsidRPr="0004256B">
        <w:rPr>
          <w:rFonts w:ascii="Book Antiqua" w:hAnsi="Book Antiqua"/>
        </w:rPr>
        <w:t xml:space="preserve">code of best practice </w:t>
      </w:r>
      <w:r w:rsidR="00485555" w:rsidRPr="0004256B">
        <w:rPr>
          <w:rFonts w:ascii="Book Antiqua" w:hAnsi="Book Antiqua"/>
        </w:rPr>
        <w:t xml:space="preserve">to operate on a comply-or-explain basis </w:t>
      </w:r>
      <w:r w:rsidR="00AC01C9" w:rsidRPr="0004256B">
        <w:rPr>
          <w:rFonts w:ascii="Book Antiqua" w:hAnsi="Book Antiqua"/>
        </w:rPr>
        <w:t>and that proxy</w:t>
      </w:r>
      <w:r w:rsidR="00485555" w:rsidRPr="0004256B">
        <w:rPr>
          <w:rFonts w:ascii="Book Antiqua" w:hAnsi="Book Antiqua"/>
        </w:rPr>
        <w:t xml:space="preserve"> advisers be required to state publicly whether or not they apply it.</w:t>
      </w:r>
      <w:r w:rsidR="00AB40DF">
        <w:rPr>
          <w:rFonts w:ascii="Book Antiqua" w:hAnsi="Book Antiqua"/>
        </w:rPr>
        <w:t xml:space="preserve"> </w:t>
      </w:r>
      <w:r w:rsidR="004B7AE1">
        <w:rPr>
          <w:rFonts w:ascii="Book Antiqua" w:hAnsi="Book Antiqua"/>
        </w:rPr>
        <w:t xml:space="preserve"> </w:t>
      </w:r>
      <w:r w:rsidR="00AB40DF">
        <w:rPr>
          <w:rFonts w:ascii="Book Antiqua" w:hAnsi="Book Antiqua"/>
        </w:rPr>
        <w:t xml:space="preserve">We believe that this could be achieved through the use of a </w:t>
      </w:r>
      <w:r w:rsidR="0054182A">
        <w:rPr>
          <w:rFonts w:ascii="Book Antiqua" w:hAnsi="Book Antiqua"/>
        </w:rPr>
        <w:t xml:space="preserve">non-binding </w:t>
      </w:r>
      <w:r w:rsidR="00AB40DF">
        <w:rPr>
          <w:rFonts w:ascii="Book Antiqua" w:hAnsi="Book Antiqua"/>
        </w:rPr>
        <w:t xml:space="preserve">Commission </w:t>
      </w:r>
      <w:r w:rsidR="0054182A">
        <w:rPr>
          <w:rFonts w:ascii="Book Antiqua" w:hAnsi="Book Antiqua"/>
        </w:rPr>
        <w:t xml:space="preserve">Communication </w:t>
      </w:r>
      <w:r w:rsidR="00427D31">
        <w:rPr>
          <w:rFonts w:ascii="Book Antiqua" w:hAnsi="Book Antiqua"/>
        </w:rPr>
        <w:t>urging the industry to develop its own Code</w:t>
      </w:r>
      <w:r w:rsidR="0054182A">
        <w:rPr>
          <w:rFonts w:ascii="Book Antiqua" w:hAnsi="Book Antiqua"/>
        </w:rPr>
        <w:t xml:space="preserve"> and stating that regulation will be considered if they fail to address current concerns.</w:t>
      </w:r>
    </w:p>
    <w:p w:rsidR="00781B31" w:rsidRDefault="00781B31" w:rsidP="000200AE">
      <w:pPr>
        <w:ind w:left="426"/>
        <w:jc w:val="both"/>
        <w:rPr>
          <w:rFonts w:ascii="Book Antiqua" w:hAnsi="Book Antiqua"/>
        </w:rPr>
      </w:pPr>
    </w:p>
    <w:p w:rsidR="00783288" w:rsidRDefault="00783288" w:rsidP="000200AE">
      <w:pPr>
        <w:ind w:left="426"/>
        <w:jc w:val="both"/>
        <w:rPr>
          <w:rFonts w:ascii="Book Antiqua" w:hAnsi="Book Antiqua"/>
        </w:rPr>
      </w:pPr>
      <w:r>
        <w:rPr>
          <w:rFonts w:ascii="Book Antiqua" w:hAnsi="Book Antiqua"/>
        </w:rPr>
        <w:t xml:space="preserve">The proxy agencies should be encouraged to identify an individual of high public standing to provide independent leadership to the development of the code. </w:t>
      </w:r>
      <w:r w:rsidR="00B34A65">
        <w:rPr>
          <w:rFonts w:ascii="Book Antiqua" w:hAnsi="Book Antiqua"/>
        </w:rPr>
        <w:t xml:space="preserve"> </w:t>
      </w:r>
      <w:r>
        <w:rPr>
          <w:rFonts w:ascii="Book Antiqua" w:hAnsi="Book Antiqua"/>
        </w:rPr>
        <w:t xml:space="preserve">This corresponds to the model adopted by the UK private equity industry for </w:t>
      </w:r>
      <w:r w:rsidR="00C45A5D">
        <w:rPr>
          <w:rFonts w:ascii="Book Antiqua" w:hAnsi="Book Antiqua"/>
        </w:rPr>
        <w:t>which</w:t>
      </w:r>
      <w:r>
        <w:rPr>
          <w:rFonts w:ascii="Book Antiqua" w:hAnsi="Book Antiqua"/>
        </w:rPr>
        <w:t xml:space="preserve"> Sir David Walker fulfilled this role.  </w:t>
      </w:r>
      <w:r w:rsidR="00D9488E">
        <w:rPr>
          <w:rFonts w:ascii="Book Antiqua" w:hAnsi="Book Antiqua"/>
        </w:rPr>
        <w:t>They</w:t>
      </w:r>
      <w:r w:rsidR="004E308A">
        <w:rPr>
          <w:rFonts w:ascii="Book Antiqua" w:hAnsi="Book Antiqua"/>
        </w:rPr>
        <w:t xml:space="preserve"> should also consult widely and publicly with interested parties, including issuers and investors on the content and wording of the code. </w:t>
      </w:r>
      <w:r w:rsidR="00B34A65">
        <w:rPr>
          <w:rFonts w:ascii="Book Antiqua" w:hAnsi="Book Antiqua"/>
        </w:rPr>
        <w:t xml:space="preserve"> </w:t>
      </w:r>
      <w:r w:rsidR="00C17F39">
        <w:rPr>
          <w:rFonts w:ascii="Book Antiqua" w:hAnsi="Book Antiqua"/>
        </w:rPr>
        <w:t>Once the code was agreed and in effect</w:t>
      </w:r>
      <w:r w:rsidR="004C3656">
        <w:rPr>
          <w:rFonts w:ascii="Book Antiqua" w:hAnsi="Book Antiqua"/>
        </w:rPr>
        <w:t xml:space="preserve"> the industry should organise an objective, independent annual report on compliance. </w:t>
      </w:r>
      <w:r w:rsidR="00B34A65">
        <w:rPr>
          <w:rFonts w:ascii="Book Antiqua" w:hAnsi="Book Antiqua"/>
        </w:rPr>
        <w:t xml:space="preserve"> </w:t>
      </w:r>
      <w:r w:rsidR="004E308A">
        <w:rPr>
          <w:rFonts w:ascii="Book Antiqua" w:hAnsi="Book Antiqua"/>
        </w:rPr>
        <w:t>Obviously, if the industry failed to respond, it should be clear that pressures for formal regulation would increase.</w:t>
      </w:r>
    </w:p>
    <w:p w:rsidR="00C96150" w:rsidRPr="009F0736" w:rsidRDefault="00C96150" w:rsidP="009F0736">
      <w:pPr>
        <w:pStyle w:val="ListParagraph"/>
        <w:numPr>
          <w:ilvl w:val="0"/>
          <w:numId w:val="1"/>
        </w:numPr>
        <w:jc w:val="both"/>
        <w:rPr>
          <w:rFonts w:ascii="Book Antiqua" w:hAnsi="Book Antiqua"/>
          <w:i/>
        </w:rPr>
      </w:pPr>
      <w:r w:rsidRPr="009F0736">
        <w:rPr>
          <w:rFonts w:ascii="Book Antiqua" w:hAnsi="Book Antiqua"/>
          <w:i/>
        </w:rPr>
        <w:t xml:space="preserve">Do you have any other comments that we should take into account for the purposes of this discussion paper? </w:t>
      </w:r>
    </w:p>
    <w:p w:rsidR="000200AE" w:rsidRDefault="000200AE" w:rsidP="009F0736">
      <w:pPr>
        <w:ind w:left="426"/>
        <w:jc w:val="both"/>
        <w:rPr>
          <w:rFonts w:ascii="Book Antiqua" w:hAnsi="Book Antiqua"/>
        </w:rPr>
      </w:pPr>
      <w:r w:rsidRPr="009F0736">
        <w:rPr>
          <w:rFonts w:ascii="Book Antiqua" w:hAnsi="Book Antiqua"/>
        </w:rPr>
        <w:t>In last year’s Green Paper on Corporate Governance the Commission raised the possibility</w:t>
      </w:r>
      <w:r w:rsidR="006409EE" w:rsidRPr="009F0736">
        <w:rPr>
          <w:rFonts w:ascii="Book Antiqua" w:hAnsi="Book Antiqua"/>
        </w:rPr>
        <w:t xml:space="preserve"> of facilitating proxy solicitation</w:t>
      </w:r>
      <w:r w:rsidRPr="009F0736">
        <w:rPr>
          <w:rFonts w:ascii="Book Antiqua" w:hAnsi="Book Antiqua"/>
        </w:rPr>
        <w:t xml:space="preserve"> </w:t>
      </w:r>
      <w:r w:rsidR="006409EE" w:rsidRPr="009F0736">
        <w:rPr>
          <w:rFonts w:ascii="Book Antiqua" w:hAnsi="Book Antiqua"/>
        </w:rPr>
        <w:t xml:space="preserve">by shareholders in companies where they held a significant stake for reasonable period of time. </w:t>
      </w:r>
      <w:r w:rsidR="009B0C46">
        <w:rPr>
          <w:rFonts w:ascii="Book Antiqua" w:hAnsi="Book Antiqua"/>
        </w:rPr>
        <w:t xml:space="preserve"> </w:t>
      </w:r>
      <w:r w:rsidR="006409EE" w:rsidRPr="009F0736">
        <w:rPr>
          <w:rFonts w:ascii="Book Antiqua" w:hAnsi="Book Antiqua"/>
        </w:rPr>
        <w:t>Those that qualified might be entitled to use a company’s website</w:t>
      </w:r>
      <w:r w:rsidR="009F0736" w:rsidRPr="009F0736">
        <w:rPr>
          <w:rFonts w:ascii="Book Antiqua" w:hAnsi="Book Antiqua"/>
        </w:rPr>
        <w:t xml:space="preserve"> free of charge</w:t>
      </w:r>
      <w:r w:rsidR="006409EE" w:rsidRPr="009F0736">
        <w:rPr>
          <w:rFonts w:ascii="Book Antiqua" w:hAnsi="Book Antiqua"/>
        </w:rPr>
        <w:t xml:space="preserve"> to solicit proxies. </w:t>
      </w:r>
      <w:r w:rsidR="009B0C46">
        <w:rPr>
          <w:rFonts w:ascii="Book Antiqua" w:hAnsi="Book Antiqua"/>
        </w:rPr>
        <w:t xml:space="preserve"> </w:t>
      </w:r>
      <w:r w:rsidR="006409EE" w:rsidRPr="009F0736">
        <w:rPr>
          <w:rFonts w:ascii="Book Antiqua" w:hAnsi="Book Antiqua"/>
        </w:rPr>
        <w:t xml:space="preserve">Though the idea needs to be approached carefully, we believe it could be explored in connection with the debate on proxy agencies. </w:t>
      </w:r>
      <w:r w:rsidR="009B0C46">
        <w:rPr>
          <w:rFonts w:ascii="Book Antiqua" w:hAnsi="Book Antiqua"/>
        </w:rPr>
        <w:t xml:space="preserve"> </w:t>
      </w:r>
      <w:r w:rsidR="006409EE" w:rsidRPr="009F0736">
        <w:rPr>
          <w:rFonts w:ascii="Book Antiqua" w:hAnsi="Book Antiqua"/>
        </w:rPr>
        <w:t>The existence of such a facility would assist companies and shareholders in countering any “rogue” recommendations by proxy agencies.</w:t>
      </w:r>
    </w:p>
    <w:p w:rsidR="00F5540B" w:rsidRDefault="00F5540B" w:rsidP="009F0736">
      <w:pPr>
        <w:ind w:left="426"/>
        <w:jc w:val="both"/>
        <w:rPr>
          <w:rFonts w:ascii="Book Antiqua" w:hAnsi="Book Antiqua"/>
        </w:rPr>
      </w:pPr>
      <w:r>
        <w:rPr>
          <w:rFonts w:ascii="Book Antiqua" w:hAnsi="Book Antiqua"/>
        </w:rPr>
        <w:t xml:space="preserve">Separately, it is clear that delays and uncertainties in the voting chain inhibit the smooth functioning of the corporate voting process. </w:t>
      </w:r>
      <w:r w:rsidR="009E5833">
        <w:rPr>
          <w:rFonts w:ascii="Book Antiqua" w:hAnsi="Book Antiqua"/>
        </w:rPr>
        <w:t xml:space="preserve"> </w:t>
      </w:r>
      <w:r>
        <w:rPr>
          <w:rFonts w:ascii="Book Antiqua" w:hAnsi="Book Antiqua"/>
        </w:rPr>
        <w:t>One consequence is that, in practice, shareho</w:t>
      </w:r>
      <w:r w:rsidR="00801989">
        <w:rPr>
          <w:rFonts w:ascii="Book Antiqua" w:hAnsi="Book Antiqua"/>
        </w:rPr>
        <w:t>l</w:t>
      </w:r>
      <w:r>
        <w:rPr>
          <w:rFonts w:ascii="Book Antiqua" w:hAnsi="Book Antiqua"/>
        </w:rPr>
        <w:t>ders and proxy agencies often have very little time to consult with companies and form</w:t>
      </w:r>
      <w:r w:rsidR="00801989">
        <w:rPr>
          <w:rFonts w:ascii="Book Antiqua" w:hAnsi="Book Antiqua"/>
        </w:rPr>
        <w:t xml:space="preserve"> </w:t>
      </w:r>
      <w:r>
        <w:rPr>
          <w:rFonts w:ascii="Book Antiqua" w:hAnsi="Book Antiqua"/>
        </w:rPr>
        <w:t xml:space="preserve">a considered view. </w:t>
      </w:r>
      <w:r w:rsidR="009E5833">
        <w:rPr>
          <w:rFonts w:ascii="Book Antiqua" w:hAnsi="Book Antiqua"/>
        </w:rPr>
        <w:t xml:space="preserve"> </w:t>
      </w:r>
      <w:r>
        <w:rPr>
          <w:rFonts w:ascii="Book Antiqua" w:hAnsi="Book Antiqua"/>
        </w:rPr>
        <w:t xml:space="preserve">Another is that there still appears to be no reliable audit trail that can confirm a vote has actually been cast. </w:t>
      </w:r>
      <w:r w:rsidR="009E5833">
        <w:rPr>
          <w:rFonts w:ascii="Book Antiqua" w:hAnsi="Book Antiqua"/>
        </w:rPr>
        <w:t xml:space="preserve"> </w:t>
      </w:r>
      <w:r>
        <w:rPr>
          <w:rFonts w:ascii="Book Antiqua" w:hAnsi="Book Antiqua"/>
        </w:rPr>
        <w:t xml:space="preserve">We consider that action here is important and, if handled correctly, might improve the environment in which the proxy agencies </w:t>
      </w:r>
      <w:r w:rsidR="00801989">
        <w:rPr>
          <w:rFonts w:ascii="Book Antiqua" w:hAnsi="Book Antiqua"/>
        </w:rPr>
        <w:t xml:space="preserve">and shareholders </w:t>
      </w:r>
      <w:r>
        <w:rPr>
          <w:rFonts w:ascii="Book Antiqua" w:hAnsi="Book Antiqua"/>
        </w:rPr>
        <w:t xml:space="preserve">are operating. </w:t>
      </w:r>
      <w:r w:rsidR="009E5833">
        <w:rPr>
          <w:rFonts w:ascii="Book Antiqua" w:hAnsi="Book Antiqua"/>
        </w:rPr>
        <w:t xml:space="preserve"> </w:t>
      </w:r>
      <w:r>
        <w:rPr>
          <w:rFonts w:ascii="Book Antiqua" w:hAnsi="Book Antiqua"/>
        </w:rPr>
        <w:t xml:space="preserve">We are glad that the Commission intends to </w:t>
      </w:r>
      <w:r w:rsidR="00801989">
        <w:rPr>
          <w:rFonts w:ascii="Book Antiqua" w:hAnsi="Book Antiqua"/>
        </w:rPr>
        <w:t>bring forward</w:t>
      </w:r>
      <w:r>
        <w:rPr>
          <w:rFonts w:ascii="Book Antiqua" w:hAnsi="Book Antiqua"/>
        </w:rPr>
        <w:t xml:space="preserve"> a new Securities Law Directive in the Autumn and hope that it will contribute to a</w:t>
      </w:r>
      <w:r w:rsidR="00801989">
        <w:rPr>
          <w:rFonts w:ascii="Book Antiqua" w:hAnsi="Book Antiqua"/>
        </w:rPr>
        <w:t xml:space="preserve"> </w:t>
      </w:r>
      <w:r>
        <w:rPr>
          <w:rFonts w:ascii="Book Antiqua" w:hAnsi="Book Antiqua"/>
        </w:rPr>
        <w:t>signif</w:t>
      </w:r>
      <w:r w:rsidR="00801989">
        <w:rPr>
          <w:rFonts w:ascii="Book Antiqua" w:hAnsi="Book Antiqua"/>
        </w:rPr>
        <w:t>i</w:t>
      </w:r>
      <w:r>
        <w:rPr>
          <w:rFonts w:ascii="Book Antiqua" w:hAnsi="Book Antiqua"/>
        </w:rPr>
        <w:t>cant improvement in the voting process.</w:t>
      </w:r>
    </w:p>
    <w:p w:rsidR="0054182A" w:rsidRPr="009F0736" w:rsidRDefault="0054182A" w:rsidP="009F0736">
      <w:pPr>
        <w:ind w:left="426"/>
        <w:jc w:val="both"/>
        <w:rPr>
          <w:rFonts w:ascii="Book Antiqua" w:hAnsi="Book Antiqua"/>
        </w:rPr>
      </w:pPr>
      <w:r>
        <w:rPr>
          <w:rFonts w:ascii="Book Antiqua" w:hAnsi="Book Antiqua"/>
        </w:rPr>
        <w:t xml:space="preserve">Finally we consider that the authorities in Europe should stay in close contact with their counterparts in the US. </w:t>
      </w:r>
      <w:r w:rsidR="0055281F">
        <w:rPr>
          <w:rFonts w:ascii="Book Antiqua" w:hAnsi="Book Antiqua"/>
        </w:rPr>
        <w:t xml:space="preserve"> </w:t>
      </w:r>
      <w:r>
        <w:rPr>
          <w:rFonts w:ascii="Book Antiqua" w:hAnsi="Book Antiqua"/>
        </w:rPr>
        <w:t xml:space="preserve">The Securities and Exchange Commission has also been considering the need for regulation of proxy voting agencies. </w:t>
      </w:r>
      <w:r w:rsidR="0055281F">
        <w:rPr>
          <w:rFonts w:ascii="Book Antiqua" w:hAnsi="Book Antiqua"/>
        </w:rPr>
        <w:t xml:space="preserve"> </w:t>
      </w:r>
      <w:bookmarkStart w:id="0" w:name="_GoBack"/>
      <w:bookmarkEnd w:id="0"/>
      <w:r>
        <w:rPr>
          <w:rFonts w:ascii="Book Antiqua" w:hAnsi="Book Antiqua"/>
        </w:rPr>
        <w:t xml:space="preserve">Given the international nature of equity markets, it is important that any action taken </w:t>
      </w:r>
      <w:r w:rsidR="00BF75E5">
        <w:rPr>
          <w:rFonts w:ascii="Book Antiqua" w:hAnsi="Book Antiqua"/>
        </w:rPr>
        <w:t>in Europe</w:t>
      </w:r>
      <w:r>
        <w:rPr>
          <w:rFonts w:ascii="Book Antiqua" w:hAnsi="Book Antiqua"/>
        </w:rPr>
        <w:t xml:space="preserve"> should mesh appropriately with action in the US.</w:t>
      </w:r>
    </w:p>
    <w:p w:rsidR="00C577FE" w:rsidRDefault="00C577FE" w:rsidP="00C577FE">
      <w:pPr>
        <w:pStyle w:val="ListParagraph"/>
      </w:pPr>
    </w:p>
    <w:p w:rsidR="003F36C2" w:rsidRDefault="003F36C2" w:rsidP="000200AE"/>
    <w:p w:rsidR="003F36C2" w:rsidRDefault="003F36C2" w:rsidP="003F36C2">
      <w:pPr>
        <w:pStyle w:val="ListParagraph"/>
      </w:pPr>
    </w:p>
    <w:p w:rsidR="003F36C2" w:rsidRDefault="003F36C2" w:rsidP="003F36C2">
      <w:pPr>
        <w:pStyle w:val="ListParagraph"/>
      </w:pPr>
    </w:p>
    <w:p w:rsidR="003F36C2" w:rsidRDefault="003F36C2" w:rsidP="003F36C2">
      <w:pPr>
        <w:pStyle w:val="ListParagraph"/>
      </w:pPr>
    </w:p>
    <w:sectPr w:rsidR="003F36C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C7E" w:rsidRDefault="00C90C7E" w:rsidP="00C90C7E">
      <w:pPr>
        <w:spacing w:after="0" w:line="240" w:lineRule="auto"/>
      </w:pPr>
      <w:r>
        <w:separator/>
      </w:r>
    </w:p>
  </w:endnote>
  <w:endnote w:type="continuationSeparator" w:id="0">
    <w:p w:rsidR="00C90C7E" w:rsidRDefault="00C90C7E" w:rsidP="00C9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920442"/>
      <w:docPartObj>
        <w:docPartGallery w:val="Page Numbers (Bottom of Page)"/>
        <w:docPartUnique/>
      </w:docPartObj>
    </w:sdtPr>
    <w:sdtEndPr>
      <w:rPr>
        <w:noProof/>
      </w:rPr>
    </w:sdtEndPr>
    <w:sdtContent>
      <w:p w:rsidR="0090699F" w:rsidRDefault="0090699F">
        <w:pPr>
          <w:pStyle w:val="Footer"/>
          <w:jc w:val="center"/>
        </w:pPr>
        <w:r>
          <w:fldChar w:fldCharType="begin"/>
        </w:r>
        <w:r>
          <w:instrText xml:space="preserve"> PAGE   \* MERGEFORMAT </w:instrText>
        </w:r>
        <w:r>
          <w:fldChar w:fldCharType="separate"/>
        </w:r>
        <w:r w:rsidR="00BF75E5">
          <w:rPr>
            <w:noProof/>
          </w:rPr>
          <w:t>6</w:t>
        </w:r>
        <w:r>
          <w:rPr>
            <w:noProof/>
          </w:rPr>
          <w:fldChar w:fldCharType="end"/>
        </w:r>
      </w:p>
    </w:sdtContent>
  </w:sdt>
  <w:p w:rsidR="00C90C7E" w:rsidRDefault="00C90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C7E" w:rsidRDefault="00C90C7E" w:rsidP="00C90C7E">
      <w:pPr>
        <w:spacing w:after="0" w:line="240" w:lineRule="auto"/>
      </w:pPr>
      <w:r>
        <w:separator/>
      </w:r>
    </w:p>
  </w:footnote>
  <w:footnote w:type="continuationSeparator" w:id="0">
    <w:p w:rsidR="00C90C7E" w:rsidRDefault="00C90C7E" w:rsidP="00C90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C7E" w:rsidRDefault="00C90C7E">
    <w:pPr>
      <w:pStyle w:val="Header"/>
    </w:pPr>
    <w:r>
      <w:tab/>
    </w:r>
    <w:r w:rsidR="00567CA2">
      <w:rPr>
        <w:noProof/>
        <w:lang w:eastAsia="en-GB"/>
      </w:rPr>
      <w:drawing>
        <wp:inline distT="0" distB="0" distL="0" distR="0" wp14:anchorId="448872C1">
          <wp:extent cx="12382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285" cy="646672"/>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E3580"/>
    <w:multiLevelType w:val="hybridMultilevel"/>
    <w:tmpl w:val="E208CFE4"/>
    <w:lvl w:ilvl="0" w:tplc="DACECD18">
      <w:start w:val="1"/>
      <w:numFmt w:val="decimal"/>
      <w:lvlText w:val="%1)"/>
      <w:lvlJc w:val="left"/>
      <w:pPr>
        <w:ind w:left="786"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C6"/>
    <w:rsid w:val="00011AF4"/>
    <w:rsid w:val="0001668B"/>
    <w:rsid w:val="000200AE"/>
    <w:rsid w:val="000338A2"/>
    <w:rsid w:val="0004256B"/>
    <w:rsid w:val="000620E7"/>
    <w:rsid w:val="000941AC"/>
    <w:rsid w:val="000A0A80"/>
    <w:rsid w:val="000C68C1"/>
    <w:rsid w:val="001121A5"/>
    <w:rsid w:val="0015585D"/>
    <w:rsid w:val="00157D0D"/>
    <w:rsid w:val="00167A68"/>
    <w:rsid w:val="001B1356"/>
    <w:rsid w:val="00200CCF"/>
    <w:rsid w:val="00203E3C"/>
    <w:rsid w:val="00213653"/>
    <w:rsid w:val="002337FA"/>
    <w:rsid w:val="002931F0"/>
    <w:rsid w:val="002A1D8C"/>
    <w:rsid w:val="002A5A9C"/>
    <w:rsid w:val="002C43D6"/>
    <w:rsid w:val="002E01B2"/>
    <w:rsid w:val="00325758"/>
    <w:rsid w:val="00327AEC"/>
    <w:rsid w:val="003313E6"/>
    <w:rsid w:val="00337B61"/>
    <w:rsid w:val="00337E84"/>
    <w:rsid w:val="003561FC"/>
    <w:rsid w:val="00364AD5"/>
    <w:rsid w:val="003B7A9F"/>
    <w:rsid w:val="003E2138"/>
    <w:rsid w:val="003F14BD"/>
    <w:rsid w:val="003F36C2"/>
    <w:rsid w:val="00421CD0"/>
    <w:rsid w:val="00427D31"/>
    <w:rsid w:val="00445257"/>
    <w:rsid w:val="004563CB"/>
    <w:rsid w:val="00473581"/>
    <w:rsid w:val="00485555"/>
    <w:rsid w:val="004B7AE1"/>
    <w:rsid w:val="004C3656"/>
    <w:rsid w:val="004E308A"/>
    <w:rsid w:val="00524EB4"/>
    <w:rsid w:val="0054182A"/>
    <w:rsid w:val="0055281F"/>
    <w:rsid w:val="00567CA2"/>
    <w:rsid w:val="00577D98"/>
    <w:rsid w:val="00584435"/>
    <w:rsid w:val="00596463"/>
    <w:rsid w:val="00603EF5"/>
    <w:rsid w:val="006409EE"/>
    <w:rsid w:val="0065242E"/>
    <w:rsid w:val="006714C3"/>
    <w:rsid w:val="006A55C3"/>
    <w:rsid w:val="006F0F8B"/>
    <w:rsid w:val="00714338"/>
    <w:rsid w:val="007340F9"/>
    <w:rsid w:val="00740410"/>
    <w:rsid w:val="0075754C"/>
    <w:rsid w:val="007808A3"/>
    <w:rsid w:val="00781B31"/>
    <w:rsid w:val="00783288"/>
    <w:rsid w:val="00784C52"/>
    <w:rsid w:val="00795C1E"/>
    <w:rsid w:val="007E4823"/>
    <w:rsid w:val="007F2F84"/>
    <w:rsid w:val="00801989"/>
    <w:rsid w:val="00882861"/>
    <w:rsid w:val="008918F1"/>
    <w:rsid w:val="0090699F"/>
    <w:rsid w:val="0093016A"/>
    <w:rsid w:val="00930534"/>
    <w:rsid w:val="009317F5"/>
    <w:rsid w:val="00946CCD"/>
    <w:rsid w:val="00950ECE"/>
    <w:rsid w:val="009B0C46"/>
    <w:rsid w:val="009B37D8"/>
    <w:rsid w:val="009E5833"/>
    <w:rsid w:val="009F0736"/>
    <w:rsid w:val="00A351C6"/>
    <w:rsid w:val="00A4769A"/>
    <w:rsid w:val="00A60CE2"/>
    <w:rsid w:val="00A81F75"/>
    <w:rsid w:val="00AA7C77"/>
    <w:rsid w:val="00AB40DF"/>
    <w:rsid w:val="00AC01C9"/>
    <w:rsid w:val="00AC484E"/>
    <w:rsid w:val="00AE7C45"/>
    <w:rsid w:val="00AF29DB"/>
    <w:rsid w:val="00B34A65"/>
    <w:rsid w:val="00B353E6"/>
    <w:rsid w:val="00BB2383"/>
    <w:rsid w:val="00BB2644"/>
    <w:rsid w:val="00BC0ABB"/>
    <w:rsid w:val="00BC5A97"/>
    <w:rsid w:val="00BF75E5"/>
    <w:rsid w:val="00C17F39"/>
    <w:rsid w:val="00C45A5D"/>
    <w:rsid w:val="00C577FE"/>
    <w:rsid w:val="00C650C0"/>
    <w:rsid w:val="00C80E62"/>
    <w:rsid w:val="00C90C7E"/>
    <w:rsid w:val="00C96150"/>
    <w:rsid w:val="00CA25D9"/>
    <w:rsid w:val="00CD2765"/>
    <w:rsid w:val="00CF7A08"/>
    <w:rsid w:val="00D20694"/>
    <w:rsid w:val="00D434E0"/>
    <w:rsid w:val="00D7248A"/>
    <w:rsid w:val="00D9488E"/>
    <w:rsid w:val="00DA2E16"/>
    <w:rsid w:val="00DD73EF"/>
    <w:rsid w:val="00E15AA6"/>
    <w:rsid w:val="00E83F46"/>
    <w:rsid w:val="00EB2C37"/>
    <w:rsid w:val="00EC1ED0"/>
    <w:rsid w:val="00EE6802"/>
    <w:rsid w:val="00EF1DAF"/>
    <w:rsid w:val="00F5540B"/>
    <w:rsid w:val="00FB19D5"/>
    <w:rsid w:val="00FD7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1C6"/>
    <w:pPr>
      <w:ind w:left="720"/>
      <w:contextualSpacing/>
    </w:pPr>
  </w:style>
  <w:style w:type="paragraph" w:styleId="BalloonText">
    <w:name w:val="Balloon Text"/>
    <w:basedOn w:val="Normal"/>
    <w:link w:val="BalloonTextChar"/>
    <w:uiPriority w:val="99"/>
    <w:semiHidden/>
    <w:unhideWhenUsed/>
    <w:rsid w:val="00C17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F39"/>
    <w:rPr>
      <w:rFonts w:ascii="Tahoma" w:hAnsi="Tahoma" w:cs="Tahoma"/>
      <w:sz w:val="16"/>
      <w:szCs w:val="16"/>
    </w:rPr>
  </w:style>
  <w:style w:type="paragraph" w:styleId="Header">
    <w:name w:val="header"/>
    <w:basedOn w:val="Normal"/>
    <w:link w:val="HeaderChar"/>
    <w:uiPriority w:val="99"/>
    <w:unhideWhenUsed/>
    <w:rsid w:val="00C90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C7E"/>
  </w:style>
  <w:style w:type="paragraph" w:styleId="Footer">
    <w:name w:val="footer"/>
    <w:basedOn w:val="Normal"/>
    <w:link w:val="FooterChar"/>
    <w:uiPriority w:val="99"/>
    <w:unhideWhenUsed/>
    <w:rsid w:val="00C90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1C6"/>
    <w:pPr>
      <w:ind w:left="720"/>
      <w:contextualSpacing/>
    </w:pPr>
  </w:style>
  <w:style w:type="paragraph" w:styleId="BalloonText">
    <w:name w:val="Balloon Text"/>
    <w:basedOn w:val="Normal"/>
    <w:link w:val="BalloonTextChar"/>
    <w:uiPriority w:val="99"/>
    <w:semiHidden/>
    <w:unhideWhenUsed/>
    <w:rsid w:val="00C17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F39"/>
    <w:rPr>
      <w:rFonts w:ascii="Tahoma" w:hAnsi="Tahoma" w:cs="Tahoma"/>
      <w:sz w:val="16"/>
      <w:szCs w:val="16"/>
    </w:rPr>
  </w:style>
  <w:style w:type="paragraph" w:styleId="Header">
    <w:name w:val="header"/>
    <w:basedOn w:val="Normal"/>
    <w:link w:val="HeaderChar"/>
    <w:uiPriority w:val="99"/>
    <w:unhideWhenUsed/>
    <w:rsid w:val="00C90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C7E"/>
  </w:style>
  <w:style w:type="paragraph" w:styleId="Footer">
    <w:name w:val="footer"/>
    <w:basedOn w:val="Normal"/>
    <w:link w:val="FooterChar"/>
    <w:uiPriority w:val="99"/>
    <w:unhideWhenUsed/>
    <w:rsid w:val="00C90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Financial Reporting Council</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Montagnon</dc:creator>
  <cp:lastModifiedBy>Carol Liuzzi</cp:lastModifiedBy>
  <cp:revision>44</cp:revision>
  <dcterms:created xsi:type="dcterms:W3CDTF">2012-06-25T09:54:00Z</dcterms:created>
  <dcterms:modified xsi:type="dcterms:W3CDTF">2012-06-25T10:21:00Z</dcterms:modified>
</cp:coreProperties>
</file>