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European Securities and Markets Authority</w:t>
      </w:r>
    </w:p>
    <w:p w:rsidR="00141D10" w:rsidRPr="00141D10" w:rsidRDefault="00141D10" w:rsidP="00141D10">
      <w:pPr>
        <w:rPr>
          <w:rFonts w:ascii="Arial" w:eastAsia="Helvetica" w:hAnsi="Arial" w:cs="Arial"/>
          <w:color w:val="000000"/>
          <w:sz w:val="22"/>
          <w:szCs w:val="22"/>
          <w:lang w:val="en-US" w:eastAsia="en-GB"/>
        </w:rPr>
      </w:pPr>
      <w:r w:rsidRPr="00141D10">
        <w:rPr>
          <w:rFonts w:ascii="Arial" w:eastAsia="Helvetica" w:hAnsi="Arial" w:cs="Arial"/>
          <w:color w:val="000000"/>
          <w:sz w:val="22"/>
          <w:szCs w:val="22"/>
          <w:lang w:val="en-US" w:eastAsia="en-GB"/>
        </w:rPr>
        <w:t xml:space="preserve">Submitted online: </w:t>
      </w:r>
      <w:hyperlink r:id="rId7" w:history="1">
        <w:r w:rsidRPr="00141D10">
          <w:rPr>
            <w:rStyle w:val="Hyperlink"/>
            <w:rFonts w:ascii="Arial" w:eastAsia="Helvetica" w:hAnsi="Arial" w:cs="Arial"/>
            <w:sz w:val="22"/>
            <w:szCs w:val="22"/>
            <w:lang w:val="en-US" w:eastAsia="en-GB"/>
          </w:rPr>
          <w:t>www.esma.europa.eu</w:t>
        </w:r>
      </w:hyperlink>
    </w:p>
    <w:p w:rsidR="00141D10" w:rsidRPr="00141D10" w:rsidRDefault="00141D10" w:rsidP="00141D10">
      <w:pPr>
        <w:rPr>
          <w:rFonts w:ascii="Arial" w:eastAsia="Helvetica" w:hAnsi="Arial" w:cs="Arial"/>
          <w:color w:val="000000"/>
          <w:sz w:val="22"/>
          <w:szCs w:val="22"/>
          <w:lang w:val="en-US" w:eastAsia="en-GB"/>
        </w:rPr>
      </w:pPr>
    </w:p>
    <w:p w:rsidR="00141D10" w:rsidRPr="00E27A34" w:rsidRDefault="00141D10" w:rsidP="00141D10">
      <w:pPr>
        <w:rPr>
          <w:rFonts w:ascii="Arial" w:eastAsia="Helvetica" w:hAnsi="Arial" w:cs="Arial"/>
          <w:color w:val="000000"/>
          <w:sz w:val="22"/>
          <w:szCs w:val="22"/>
          <w:lang w:val="en-US" w:eastAsia="en-GB"/>
        </w:rPr>
      </w:pPr>
    </w:p>
    <w:p w:rsidR="00E27A34" w:rsidRDefault="00E27A34" w:rsidP="00141D10">
      <w:pPr>
        <w:rPr>
          <w:rFonts w:ascii="Arial" w:eastAsia="Helvetica" w:hAnsi="Arial" w:cs="Arial"/>
          <w:color w:val="000000"/>
          <w:sz w:val="22"/>
          <w:szCs w:val="22"/>
          <w:lang w:val="en-US" w:eastAsia="en-GB"/>
        </w:rPr>
      </w:pPr>
    </w:p>
    <w:p w:rsidR="00E27A34" w:rsidRDefault="00E27A34" w:rsidP="00141D10">
      <w:pPr>
        <w:rPr>
          <w:rFonts w:ascii="Arial" w:eastAsia="Helvetica" w:hAnsi="Arial" w:cs="Arial"/>
          <w:color w:val="000000"/>
          <w:sz w:val="22"/>
          <w:szCs w:val="22"/>
          <w:lang w:val="en-US" w:eastAsia="en-GB"/>
        </w:rPr>
      </w:pPr>
    </w:p>
    <w:p w:rsidR="00141D10" w:rsidRPr="00E27A34" w:rsidRDefault="00141D10" w:rsidP="00141D10">
      <w:pPr>
        <w:rPr>
          <w:rFonts w:ascii="Arial" w:eastAsia="Helvetica" w:hAnsi="Arial" w:cs="Arial"/>
          <w:color w:val="000000"/>
          <w:sz w:val="22"/>
          <w:szCs w:val="22"/>
          <w:lang w:val="en-US" w:eastAsia="en-GB"/>
        </w:rPr>
      </w:pPr>
      <w:r w:rsidRPr="00E27A34">
        <w:rPr>
          <w:rFonts w:ascii="Arial" w:eastAsia="Helvetica" w:hAnsi="Arial" w:cs="Arial"/>
          <w:color w:val="000000"/>
          <w:sz w:val="22"/>
          <w:szCs w:val="22"/>
          <w:lang w:val="en-US" w:eastAsia="en-GB"/>
        </w:rPr>
        <w:t>Dear Sir</w:t>
      </w:r>
    </w:p>
    <w:p w:rsidR="00E27A34" w:rsidRPr="00E27A34" w:rsidRDefault="00E27A34" w:rsidP="00E27A34">
      <w:pPr>
        <w:spacing w:line="360" w:lineRule="auto"/>
        <w:jc w:val="both"/>
        <w:rPr>
          <w:rFonts w:ascii="Arial" w:eastAsia="Helvetica" w:hAnsi="Arial" w:cs="Arial"/>
          <w:color w:val="000000"/>
          <w:sz w:val="22"/>
          <w:szCs w:val="22"/>
          <w:lang w:val="en-US" w:eastAsia="en-GB"/>
        </w:rPr>
      </w:pPr>
    </w:p>
    <w:p w:rsidR="00E27A34" w:rsidRPr="00E27A34" w:rsidRDefault="00E27A34" w:rsidP="00E27A34">
      <w:pPr>
        <w:spacing w:after="120" w:line="360" w:lineRule="auto"/>
        <w:jc w:val="both"/>
        <w:rPr>
          <w:rFonts w:ascii="Arial" w:eastAsia="Helvetica" w:hAnsi="Arial" w:cs="Arial"/>
          <w:color w:val="000000"/>
          <w:sz w:val="22"/>
          <w:szCs w:val="22"/>
          <w:lang w:val="en-US" w:eastAsia="en-GB"/>
        </w:rPr>
      </w:pPr>
      <w:r w:rsidRPr="00E27A34">
        <w:rPr>
          <w:rFonts w:ascii="Arial" w:eastAsia="Helvetica" w:hAnsi="Arial" w:cs="Arial"/>
          <w:color w:val="000000"/>
          <w:sz w:val="22"/>
          <w:szCs w:val="22"/>
          <w:lang w:val="en-US" w:eastAsia="en-GB"/>
        </w:rPr>
        <w:t>We are pleased to have the opportunity to provide feedback on the ESMA discussion paper on the proxy advisory industry in Europe.</w:t>
      </w:r>
    </w:p>
    <w:p w:rsidR="00E27A34" w:rsidRPr="00E27A34" w:rsidRDefault="00E27A34" w:rsidP="00E27A34">
      <w:pPr>
        <w:spacing w:after="120" w:line="360" w:lineRule="auto"/>
        <w:jc w:val="both"/>
        <w:rPr>
          <w:rFonts w:ascii="Arial" w:eastAsia="Helvetica" w:hAnsi="Arial" w:cs="Arial"/>
          <w:color w:val="000000"/>
          <w:sz w:val="22"/>
          <w:szCs w:val="22"/>
          <w:lang w:val="en-US" w:eastAsia="en-GB"/>
        </w:rPr>
      </w:pPr>
      <w:r w:rsidRPr="00E27A34">
        <w:rPr>
          <w:rFonts w:ascii="Arial" w:eastAsia="Helvetica" w:hAnsi="Arial" w:cs="Arial"/>
          <w:color w:val="000000"/>
          <w:sz w:val="22"/>
          <w:szCs w:val="22"/>
          <w:lang w:val="en-US" w:eastAsia="en-GB"/>
        </w:rPr>
        <w:t>By way of background, Hermes is a leading asset manager in the City of London. As part of our Equity Ownership Service (EOS), we also respond to consultations on behalf of a number of pension funds and institutional investors from the US, Australia and Canada, as well as across Europe</w:t>
      </w:r>
      <w:r w:rsidR="00CD42BA">
        <w:rPr>
          <w:rFonts w:ascii="Arial" w:eastAsia="Helvetica" w:hAnsi="Arial" w:cs="Arial"/>
          <w:color w:val="000000"/>
          <w:sz w:val="22"/>
          <w:szCs w:val="22"/>
          <w:lang w:val="en-US" w:eastAsia="en-GB"/>
        </w:rPr>
        <w:t xml:space="preserve">, including </w:t>
      </w:r>
      <w:r w:rsidR="00CD42BA" w:rsidRPr="00CD42BA">
        <w:rPr>
          <w:rFonts w:ascii="Arial" w:eastAsia="Helvetica" w:hAnsi="Arial" w:cs="Arial"/>
          <w:color w:val="000000"/>
          <w:sz w:val="22"/>
          <w:szCs w:val="22"/>
          <w:lang w:val="en-US" w:eastAsia="en-GB"/>
        </w:rPr>
        <w:t>VicSuper of Australia, PNO Media (Netherlands)</w:t>
      </w:r>
      <w:r w:rsidR="00A57AF3">
        <w:rPr>
          <w:rFonts w:ascii="Arial" w:eastAsia="Helvetica" w:hAnsi="Arial" w:cs="Arial"/>
          <w:color w:val="000000"/>
          <w:sz w:val="22"/>
          <w:szCs w:val="22"/>
          <w:lang w:val="en-US" w:eastAsia="en-GB"/>
        </w:rPr>
        <w:t>,</w:t>
      </w:r>
      <w:r w:rsidR="00CD42BA" w:rsidRPr="00CD42BA">
        <w:rPr>
          <w:rFonts w:ascii="Arial" w:eastAsia="Helvetica" w:hAnsi="Arial" w:cs="Arial"/>
          <w:color w:val="000000"/>
          <w:sz w:val="22"/>
          <w:szCs w:val="22"/>
          <w:lang w:val="en-US" w:eastAsia="en-GB"/>
        </w:rPr>
        <w:t xml:space="preserve"> Lothian Pension Fund, BT Pen</w:t>
      </w:r>
      <w:r w:rsidR="00F656C6">
        <w:rPr>
          <w:rFonts w:ascii="Arial" w:eastAsia="Helvetica" w:hAnsi="Arial" w:cs="Arial"/>
          <w:color w:val="000000"/>
          <w:sz w:val="22"/>
          <w:szCs w:val="22"/>
          <w:lang w:val="en-US" w:eastAsia="en-GB"/>
        </w:rPr>
        <w:t xml:space="preserve">sion Scheme Management Limited, </w:t>
      </w:r>
      <w:r w:rsidR="00CD42BA">
        <w:rPr>
          <w:rFonts w:ascii="Arial" w:eastAsia="Helvetica" w:hAnsi="Arial" w:cs="Arial"/>
          <w:color w:val="000000"/>
          <w:sz w:val="22"/>
          <w:szCs w:val="22"/>
          <w:lang w:val="en-US" w:eastAsia="en-GB"/>
        </w:rPr>
        <w:t xml:space="preserve">British </w:t>
      </w:r>
      <w:r w:rsidR="00CD42BA" w:rsidRPr="00CD42BA">
        <w:rPr>
          <w:rFonts w:ascii="Arial" w:eastAsia="Helvetica" w:hAnsi="Arial" w:cs="Arial"/>
          <w:color w:val="000000"/>
          <w:sz w:val="22"/>
          <w:szCs w:val="22"/>
          <w:lang w:val="en-US" w:eastAsia="en-GB"/>
        </w:rPr>
        <w:t xml:space="preserve">Coal </w:t>
      </w:r>
      <w:r w:rsidR="00CD42BA">
        <w:rPr>
          <w:rFonts w:ascii="Arial" w:eastAsia="Helvetica" w:hAnsi="Arial" w:cs="Arial"/>
          <w:color w:val="000000"/>
          <w:sz w:val="22"/>
          <w:szCs w:val="22"/>
          <w:lang w:val="en-US" w:eastAsia="en-GB"/>
        </w:rPr>
        <w:t xml:space="preserve">Staff Superannuation Scheme, and the Mineworkers Pension Scheme </w:t>
      </w:r>
      <w:r w:rsidR="00CD42BA" w:rsidRPr="00CD42BA">
        <w:rPr>
          <w:rFonts w:ascii="Arial" w:eastAsia="Helvetica" w:hAnsi="Arial" w:cs="Arial"/>
          <w:color w:val="000000"/>
          <w:sz w:val="22"/>
          <w:szCs w:val="22"/>
          <w:lang w:val="en-US" w:eastAsia="en-GB"/>
        </w:rPr>
        <w:t>(only those clients which have expressly given their support to this response are listed here).</w:t>
      </w:r>
      <w:r w:rsidRPr="00E27A34">
        <w:rPr>
          <w:rFonts w:ascii="Arial" w:eastAsia="Helvetica" w:hAnsi="Arial" w:cs="Arial"/>
          <w:color w:val="000000"/>
          <w:sz w:val="22"/>
          <w:szCs w:val="22"/>
          <w:lang w:val="en-US" w:eastAsia="en-GB"/>
        </w:rPr>
        <w:t xml:space="preserve"> We assist these clients to act as good owners of the assets in which they invest. In all, EOS advises clients with regard to assets worth a total of over €100 billion (as of 31 December 2011).</w:t>
      </w:r>
    </w:p>
    <w:p w:rsidR="00E27A34" w:rsidRP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t>As an institutional investor, we vote at thousands of annual general meetings each year</w:t>
      </w:r>
      <w:r w:rsidR="007130FE">
        <w:rPr>
          <w:rFonts w:ascii="Arial" w:eastAsiaTheme="minorHAnsi" w:hAnsi="Arial" w:cs="Arial"/>
          <w:bCs/>
          <w:sz w:val="22"/>
          <w:szCs w:val="22"/>
        </w:rPr>
        <w:t xml:space="preserve"> on behalf of our clients, including our owner</w:t>
      </w:r>
      <w:r w:rsidR="00822E4E">
        <w:rPr>
          <w:rFonts w:ascii="Arial" w:eastAsiaTheme="minorHAnsi" w:hAnsi="Arial" w:cs="Arial"/>
          <w:bCs/>
          <w:sz w:val="22"/>
          <w:szCs w:val="22"/>
        </w:rPr>
        <w:t>,</w:t>
      </w:r>
      <w:r w:rsidR="007130FE">
        <w:rPr>
          <w:rFonts w:ascii="Arial" w:eastAsiaTheme="minorHAnsi" w:hAnsi="Arial" w:cs="Arial"/>
          <w:bCs/>
          <w:sz w:val="22"/>
          <w:szCs w:val="22"/>
        </w:rPr>
        <w:t xml:space="preserve"> the British Telecom</w:t>
      </w:r>
      <w:r w:rsidR="00822E4E">
        <w:rPr>
          <w:rFonts w:ascii="Arial" w:eastAsiaTheme="minorHAnsi" w:hAnsi="Arial" w:cs="Arial"/>
          <w:bCs/>
          <w:sz w:val="22"/>
          <w:szCs w:val="22"/>
        </w:rPr>
        <w:t xml:space="preserve"> Pension Scheme</w:t>
      </w:r>
      <w:r w:rsidRPr="00E27A34">
        <w:rPr>
          <w:rFonts w:ascii="Arial" w:eastAsiaTheme="minorHAnsi" w:hAnsi="Arial" w:cs="Arial"/>
          <w:bCs/>
          <w:sz w:val="22"/>
          <w:szCs w:val="22"/>
        </w:rPr>
        <w:t xml:space="preserve">. Besides actively engaging with a number of companies, we manage our voting via a partnership with proxy advisory firm Glass Lewis. </w:t>
      </w:r>
      <w:r w:rsidR="007130FE" w:rsidRPr="007130FE">
        <w:rPr>
          <w:rFonts w:ascii="Arial" w:eastAsiaTheme="minorHAnsi" w:hAnsi="Arial" w:cs="Arial"/>
          <w:bCs/>
          <w:sz w:val="22"/>
          <w:szCs w:val="22"/>
        </w:rPr>
        <w:t>We are guided by our clients</w:t>
      </w:r>
      <w:r w:rsidR="007130FE">
        <w:rPr>
          <w:rFonts w:ascii="Arial" w:eastAsiaTheme="minorHAnsi" w:hAnsi="Arial" w:cs="Arial"/>
          <w:bCs/>
          <w:sz w:val="22"/>
          <w:szCs w:val="22"/>
        </w:rPr>
        <w:t>’</w:t>
      </w:r>
      <w:r w:rsidR="007130FE" w:rsidRPr="007130FE">
        <w:rPr>
          <w:rFonts w:ascii="Arial" w:eastAsiaTheme="minorHAnsi" w:hAnsi="Arial" w:cs="Arial"/>
          <w:bCs/>
          <w:sz w:val="22"/>
          <w:szCs w:val="22"/>
        </w:rPr>
        <w:t xml:space="preserve"> voting guidelines and have developed best practice regional principles which have themselves been </w:t>
      </w:r>
      <w:r w:rsidR="007130FE">
        <w:rPr>
          <w:rFonts w:ascii="Arial" w:eastAsiaTheme="minorHAnsi" w:hAnsi="Arial" w:cs="Arial"/>
          <w:bCs/>
          <w:sz w:val="22"/>
          <w:szCs w:val="22"/>
        </w:rPr>
        <w:t>based on local market standards. W</w:t>
      </w:r>
      <w:r w:rsidRPr="00E27A34">
        <w:rPr>
          <w:rFonts w:ascii="Arial" w:eastAsiaTheme="minorHAnsi" w:hAnsi="Arial" w:cs="Arial"/>
          <w:bCs/>
          <w:sz w:val="22"/>
          <w:szCs w:val="22"/>
        </w:rPr>
        <w:t xml:space="preserve">hile we see a lot of benefit in the vote processing service offered by our advisor, we retain complete authority over voting decisions. </w:t>
      </w:r>
    </w:p>
    <w:p w:rsidR="00E27A34" w:rsidRP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t xml:space="preserve">In general, we believe that the proxy voting industry answers a genuine demand among investors who in many cases have to cope with a significant workload concentrated in a comparatively short time period of about four months. This demand has partly to do with the quality of advice provided by the major players on the market, and partly with the convenience in vote processing that proxy advisors offer. </w:t>
      </w:r>
    </w:p>
    <w:p w:rsidR="00E27A34" w:rsidRP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lastRenderedPageBreak/>
        <w:t xml:space="preserve">At present, the technicalities of submitting a vote vary widely across jurisdictions, and present investors with a significant amount of paperwork. Employing a proxy advisor can, under certain circumstances, be the only way of ensuring that all votes in all different markets are submitted validly and on time. In our view, it is important to recognise that a large part of proxy advisors’ influence stems from this practical consideration. This circumstance, in turn, results from the overall complexity and diversity of voting systems. </w:t>
      </w:r>
    </w:p>
    <w:p w:rsidR="00E27A34" w:rsidRP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t>The other reason lies in the fact that leading proxy advisors tend to develop their guidelines in cooperation with shareholders and to therefore incorporate what is predominantly seen as best practice globally as well as local corporate governance codes. To a certain extent, their influence upon the corporate governance debate can be considered positive in the sense that the possibility of getting a negative recommendation has served to prompt companies to respond more actively to investor concerns, as expressed through widely-agreed standards.</w:t>
      </w:r>
    </w:p>
    <w:p w:rsidR="00E27A34" w:rsidRP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t xml:space="preserve">However, we are concerned that the current structure of the proxy advisor market as well as some widespread investor behaviours could lead to overreliance on proxy advice and create potential for principal-agent conflicts. </w:t>
      </w:r>
    </w:p>
    <w:p w:rsidR="00E27A34" w:rsidRP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t>Often this occurs because the benefit of good governance flows to the underlying owner of the company (the principal) while the cost of carrying out voting often sits with the fund manager, which as an agent has less incentive to invest in doing the job well. In particular, we are concerned a bout a lack of resources involved in taking voting decisions.</w:t>
      </w:r>
    </w:p>
    <w:p w:rsid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t>Even though, in our experience, the influence of proxy advisors cannot be uniformly considered worrying, the incentives of investors and advisors differ sufficiently to create potential for principal-agent conflicts. Due to the popularity of proxy advisory services and especially of “follow the proxy advisor” voting policy, sometimes reinforced by regulatory pressure, in many instances the decision-making process is effectively transferred to a party which does not carry the risk of the voting decision.</w:t>
      </w:r>
      <w:r w:rsidRPr="00E27A34">
        <w:rPr>
          <w:rStyle w:val="FootnoteReference"/>
          <w:rFonts w:ascii="Arial" w:eastAsiaTheme="minorHAnsi" w:hAnsi="Arial" w:cs="Arial"/>
          <w:bCs/>
          <w:sz w:val="22"/>
          <w:szCs w:val="22"/>
        </w:rPr>
        <w:footnoteReference w:id="1"/>
      </w:r>
      <w:r w:rsidRPr="00E27A34">
        <w:rPr>
          <w:rFonts w:ascii="Arial" w:eastAsiaTheme="minorHAnsi" w:hAnsi="Arial" w:cs="Arial"/>
          <w:bCs/>
          <w:sz w:val="22"/>
          <w:szCs w:val="22"/>
        </w:rPr>
        <w:t xml:space="preserve"> This is exacerbated by the comparatively high barriers to entry of the market for proxy services and a persistent and high first-mover advantage.</w:t>
      </w:r>
      <w:r w:rsidRPr="00E27A34">
        <w:rPr>
          <w:rStyle w:val="FootnoteReference"/>
          <w:rFonts w:ascii="Arial" w:eastAsiaTheme="minorHAnsi" w:hAnsi="Arial" w:cs="Arial"/>
          <w:bCs/>
          <w:sz w:val="22"/>
          <w:szCs w:val="22"/>
        </w:rPr>
        <w:footnoteReference w:id="2"/>
      </w:r>
      <w:r w:rsidRPr="00E27A34">
        <w:rPr>
          <w:rFonts w:ascii="Arial" w:eastAsiaTheme="minorHAnsi" w:hAnsi="Arial" w:cs="Arial"/>
          <w:bCs/>
          <w:sz w:val="22"/>
          <w:szCs w:val="22"/>
        </w:rPr>
        <w:t xml:space="preserve"> </w:t>
      </w:r>
    </w:p>
    <w:p w:rsid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lastRenderedPageBreak/>
        <w:t xml:space="preserve">Therefore, it is necessary to introduce mechanisms of enhancing the accountability of proxy advisors, simplifying voting systems to lower entry barriers and incentivising investors towards continuous stewardship of their holdings and meaningful engagement with companies. </w:t>
      </w:r>
    </w:p>
    <w:p w:rsidR="00E27A34" w:rsidRPr="00E27A34" w:rsidRDefault="00E27A34" w:rsidP="00E27A34">
      <w:pPr>
        <w:autoSpaceDE w:val="0"/>
        <w:autoSpaceDN w:val="0"/>
        <w:adjustRightInd w:val="0"/>
        <w:spacing w:after="120" w:line="360" w:lineRule="auto"/>
        <w:jc w:val="both"/>
        <w:rPr>
          <w:rFonts w:ascii="Arial" w:eastAsiaTheme="minorHAnsi" w:hAnsi="Arial" w:cs="Arial"/>
          <w:bCs/>
          <w:sz w:val="22"/>
          <w:szCs w:val="22"/>
        </w:rPr>
      </w:pPr>
      <w:r w:rsidRPr="00E27A34">
        <w:rPr>
          <w:rFonts w:ascii="Arial" w:eastAsiaTheme="minorHAnsi" w:hAnsi="Arial" w:cs="Arial"/>
          <w:bCs/>
          <w:sz w:val="22"/>
          <w:szCs w:val="22"/>
        </w:rPr>
        <w:t xml:space="preserve">We answer the questions below from the point of view of whether they would help create these incentives.  </w:t>
      </w:r>
    </w:p>
    <w:p w:rsidR="00141D10" w:rsidRPr="00E27A34" w:rsidRDefault="00141D10" w:rsidP="00141D10">
      <w:pPr>
        <w:rPr>
          <w:rFonts w:ascii="Arial" w:eastAsia="Helvetica" w:hAnsi="Arial" w:cs="Arial"/>
          <w:color w:val="000000"/>
          <w:sz w:val="22"/>
          <w:szCs w:val="22"/>
          <w:lang w:eastAsia="en-GB"/>
        </w:rPr>
      </w:pPr>
    </w:p>
    <w:p w:rsidR="00141D10" w:rsidRDefault="00691A6B" w:rsidP="00141D10">
      <w:pPr>
        <w:rPr>
          <w:rFonts w:ascii="Arial" w:eastAsia="Helvetica" w:hAnsi="Arial" w:cs="Arial"/>
          <w:color w:val="000000"/>
          <w:sz w:val="22"/>
          <w:szCs w:val="22"/>
          <w:lang w:val="en-US" w:eastAsia="en-GB"/>
        </w:rPr>
      </w:pPr>
      <w:r>
        <w:rPr>
          <w:rFonts w:ascii="Arial" w:eastAsia="Helvetica" w:hAnsi="Arial" w:cs="Arial"/>
          <w:color w:val="000000"/>
          <w:sz w:val="22"/>
          <w:szCs w:val="22"/>
          <w:lang w:val="en-US" w:eastAsia="en-GB"/>
        </w:rPr>
        <w:t>Yours sincerely,</w:t>
      </w:r>
    </w:p>
    <w:p w:rsidR="00FE764B" w:rsidRDefault="00FE764B" w:rsidP="00141D10">
      <w:pPr>
        <w:rPr>
          <w:rFonts w:ascii="Arial" w:eastAsia="Helvetica" w:hAnsi="Arial" w:cs="Arial"/>
          <w:color w:val="000000"/>
          <w:sz w:val="22"/>
          <w:szCs w:val="22"/>
          <w:lang w:val="en-US" w:eastAsia="en-GB"/>
        </w:rPr>
      </w:pPr>
      <w:r>
        <w:rPr>
          <w:rFonts w:ascii="Arial" w:eastAsia="Helvetica" w:hAnsi="Arial" w:cs="Arial"/>
          <w:noProof/>
          <w:color w:val="000000"/>
          <w:sz w:val="22"/>
          <w:szCs w:val="22"/>
          <w:lang w:eastAsia="en-GB"/>
        </w:rPr>
        <w:drawing>
          <wp:inline distT="0" distB="0" distL="0" distR="0">
            <wp:extent cx="1104900" cy="578998"/>
            <wp:effectExtent l="19050" t="0" r="0" b="0"/>
            <wp:docPr id="3" name="Picture 2" descr="pl signature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 signature small.bmp"/>
                    <pic:cNvPicPr/>
                  </pic:nvPicPr>
                  <pic:blipFill>
                    <a:blip r:embed="rId8" cstate="print"/>
                    <a:stretch>
                      <a:fillRect/>
                    </a:stretch>
                  </pic:blipFill>
                  <pic:spPr>
                    <a:xfrm>
                      <a:off x="0" y="0"/>
                      <a:ext cx="1108952" cy="581121"/>
                    </a:xfrm>
                    <a:prstGeom prst="rect">
                      <a:avLst/>
                    </a:prstGeom>
                  </pic:spPr>
                </pic:pic>
              </a:graphicData>
            </a:graphic>
          </wp:inline>
        </w:drawing>
      </w:r>
    </w:p>
    <w:p w:rsidR="00691A6B" w:rsidRDefault="00691A6B" w:rsidP="00141D10">
      <w:pPr>
        <w:rPr>
          <w:rFonts w:ascii="Arial" w:eastAsia="Helvetica" w:hAnsi="Arial" w:cs="Arial"/>
          <w:color w:val="000000"/>
          <w:sz w:val="22"/>
          <w:szCs w:val="22"/>
          <w:lang w:val="en-US" w:eastAsia="en-GB"/>
        </w:rPr>
      </w:pPr>
      <w:r>
        <w:rPr>
          <w:rFonts w:ascii="Arial" w:eastAsia="Helvetica" w:hAnsi="Arial" w:cs="Arial"/>
          <w:color w:val="000000"/>
          <w:sz w:val="22"/>
          <w:szCs w:val="22"/>
          <w:lang w:val="en-US" w:eastAsia="en-GB"/>
        </w:rPr>
        <w:t>PAUL LEE</w:t>
      </w:r>
    </w:p>
    <w:p w:rsidR="00141D10" w:rsidRDefault="00691A6B" w:rsidP="00141D10">
      <w:pPr>
        <w:rPr>
          <w:rFonts w:ascii="Arial" w:eastAsia="Helvetica" w:hAnsi="Arial" w:cs="Arial"/>
          <w:color w:val="000000"/>
          <w:sz w:val="22"/>
          <w:szCs w:val="22"/>
          <w:lang w:val="en-US" w:eastAsia="en-GB"/>
        </w:rPr>
      </w:pPr>
      <w:r>
        <w:rPr>
          <w:rFonts w:ascii="Arial" w:eastAsia="Helvetica" w:hAnsi="Arial" w:cs="Arial"/>
          <w:color w:val="000000"/>
          <w:sz w:val="22"/>
          <w:szCs w:val="22"/>
          <w:lang w:val="en-US" w:eastAsia="en-GB"/>
        </w:rPr>
        <w:t>Director</w:t>
      </w:r>
    </w:p>
    <w:p w:rsidR="001304F3" w:rsidRDefault="001304F3" w:rsidP="00141D10">
      <w:pPr>
        <w:rPr>
          <w:rFonts w:ascii="Arial" w:eastAsia="Helvetica" w:hAnsi="Arial" w:cs="Arial"/>
          <w:b/>
          <w:color w:val="000000"/>
          <w:sz w:val="22"/>
          <w:szCs w:val="22"/>
          <w:lang w:val="en-US" w:eastAsia="en-GB"/>
        </w:rPr>
      </w:pPr>
    </w:p>
    <w:p w:rsidR="001304F3" w:rsidRDefault="001304F3">
      <w:pPr>
        <w:rPr>
          <w:rFonts w:ascii="Arial" w:eastAsia="Helvetica" w:hAnsi="Arial" w:cs="Arial"/>
          <w:b/>
          <w:color w:val="000000"/>
          <w:sz w:val="22"/>
          <w:szCs w:val="22"/>
          <w:lang w:val="en-US" w:eastAsia="en-GB"/>
        </w:rPr>
      </w:pPr>
      <w:r>
        <w:rPr>
          <w:rFonts w:ascii="Arial" w:eastAsia="Helvetica" w:hAnsi="Arial" w:cs="Arial"/>
          <w:b/>
          <w:color w:val="000000"/>
          <w:sz w:val="22"/>
          <w:szCs w:val="22"/>
          <w:lang w:val="en-US" w:eastAsia="en-GB"/>
        </w:rPr>
        <w:br w:type="page"/>
      </w:r>
    </w:p>
    <w:p w:rsidR="00E27A34" w:rsidRPr="00E27A34" w:rsidRDefault="00E27A34" w:rsidP="00E27A34">
      <w:pPr>
        <w:autoSpaceDE w:val="0"/>
        <w:autoSpaceDN w:val="0"/>
        <w:adjustRightInd w:val="0"/>
        <w:spacing w:line="360" w:lineRule="auto"/>
        <w:jc w:val="both"/>
        <w:rPr>
          <w:rFonts w:ascii="Arial" w:eastAsiaTheme="minorHAnsi" w:hAnsi="Arial" w:cs="Arial"/>
          <w:b/>
          <w:bCs/>
          <w:sz w:val="22"/>
          <w:szCs w:val="22"/>
        </w:rPr>
      </w:pPr>
      <w:r w:rsidRPr="00E27A34">
        <w:rPr>
          <w:rFonts w:ascii="Arial" w:eastAsiaTheme="minorHAnsi" w:hAnsi="Arial" w:cs="Arial"/>
          <w:b/>
          <w:bCs/>
          <w:sz w:val="22"/>
          <w:szCs w:val="22"/>
        </w:rPr>
        <w:lastRenderedPageBreak/>
        <w:t>Questions (by section)</w:t>
      </w:r>
    </w:p>
    <w:p w:rsidR="00E27A34" w:rsidRPr="00E27A34" w:rsidRDefault="00E27A34" w:rsidP="00E27A34">
      <w:pPr>
        <w:autoSpaceDE w:val="0"/>
        <w:autoSpaceDN w:val="0"/>
        <w:adjustRightInd w:val="0"/>
        <w:spacing w:line="360" w:lineRule="auto"/>
        <w:jc w:val="both"/>
        <w:rPr>
          <w:rFonts w:ascii="Arial" w:eastAsiaTheme="minorHAnsi" w:hAnsi="Arial" w:cs="Arial"/>
          <w:b/>
          <w:bCs/>
          <w:sz w:val="22"/>
          <w:szCs w:val="22"/>
        </w:rPr>
      </w:pPr>
      <w:r w:rsidRPr="00E27A34">
        <w:rPr>
          <w:rFonts w:ascii="Arial" w:eastAsiaTheme="minorHAnsi" w:hAnsi="Arial" w:cs="Arial"/>
          <w:b/>
          <w:bCs/>
          <w:sz w:val="22"/>
          <w:szCs w:val="22"/>
        </w:rPr>
        <w:t>IV.II. (Correlation between proxy advice and investor voting behaviour)</w:t>
      </w:r>
    </w:p>
    <w:p w:rsidR="00E27A34" w:rsidRPr="00E27A34" w:rsidRDefault="00E27A34" w:rsidP="00E27A34">
      <w:pPr>
        <w:pStyle w:val="ListParagraph"/>
        <w:numPr>
          <w:ilvl w:val="0"/>
          <w:numId w:val="4"/>
        </w:numPr>
        <w:autoSpaceDE w:val="0"/>
        <w:autoSpaceDN w:val="0"/>
        <w:adjustRightInd w:val="0"/>
        <w:spacing w:after="0" w:line="360" w:lineRule="auto"/>
        <w:jc w:val="both"/>
        <w:rPr>
          <w:rFonts w:eastAsiaTheme="minorHAnsi" w:cs="Arial"/>
          <w:b/>
          <w:bCs/>
          <w:i/>
          <w:iCs/>
          <w:lang w:bidi="ar-SA"/>
        </w:rPr>
      </w:pPr>
      <w:r w:rsidRPr="00E27A34">
        <w:rPr>
          <w:rFonts w:eastAsiaTheme="minorHAnsi" w:cs="Arial"/>
          <w:b/>
          <w:bCs/>
          <w:i/>
          <w:iCs/>
          <w:lang w:bidi="ar-SA"/>
        </w:rPr>
        <w:t>How do you explain the high correlation between proxy advice and voting outcomes?</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In our view, the high correlation is partly due to proxy advisor influence, but significantly influenced by other factors as well. For instance, the fact that voting options themselves are limited to three (for, against and abstain), and that the vast  majority of votes  are placed on routine items certainly have a role to play. Another factor influencing the correlation is also the increasing use of personalized voting policies, where the proxy advisor makes recommendations according to a set of rules created by the investor.  The strength of the correlation appears to vary both according to the type of shareholder making the voting decision, and, in the case of institutional investors, also according to the importance of the company being voted within its respective portfolio.</w:t>
      </w:r>
      <w:r w:rsidRPr="00E27A34">
        <w:rPr>
          <w:rStyle w:val="FootnoteReference"/>
          <w:rFonts w:ascii="Arial" w:eastAsiaTheme="minorHAnsi" w:hAnsi="Arial" w:cs="Arial"/>
          <w:bCs/>
          <w:iCs/>
          <w:sz w:val="22"/>
          <w:szCs w:val="22"/>
        </w:rPr>
        <w:footnoteReference w:id="3"/>
      </w:r>
      <w:r w:rsidRPr="00E27A34">
        <w:rPr>
          <w:rFonts w:ascii="Arial" w:eastAsiaTheme="minorHAnsi" w:hAnsi="Arial" w:cs="Arial"/>
          <w:bCs/>
          <w:iCs/>
          <w:sz w:val="22"/>
          <w:szCs w:val="22"/>
        </w:rPr>
        <w:t xml:space="preserve"> When variations caused by individual portfolio structures and voting policies are taken into account, proxy advisors would appear to exercise the most influence in a portfolio structure that has relatively short holding periods and little stake in the governance of individual companies. Conversely, that influence is mitigated by limited holdings size. </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2) To what extent:</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a) do you consider that proxy advisors have a significant influence on voting outcomes?</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Research attempting to measure influence on voting outcomes on contentious items has pointed to figures towards 13.6% to 20.6% fewer votes cast in favour of management in the case of a negative ISS recommendation.</w:t>
      </w:r>
      <w:r w:rsidRPr="00E27A34">
        <w:rPr>
          <w:rStyle w:val="FootnoteReference"/>
          <w:rFonts w:ascii="Arial" w:eastAsiaTheme="minorHAnsi" w:hAnsi="Arial" w:cs="Arial"/>
          <w:bCs/>
          <w:iCs/>
          <w:sz w:val="22"/>
          <w:szCs w:val="22"/>
        </w:rPr>
        <w:footnoteReference w:id="4"/>
      </w:r>
      <w:r w:rsidRPr="00E27A34">
        <w:rPr>
          <w:rFonts w:ascii="Arial" w:eastAsiaTheme="minorHAnsi" w:hAnsi="Arial" w:cs="Arial"/>
          <w:bCs/>
          <w:iCs/>
          <w:sz w:val="22"/>
          <w:szCs w:val="22"/>
        </w:rPr>
        <w:t xml:space="preserve"> Another study places their influence at 6 to 10% after filtering out individual recommendations.</w:t>
      </w:r>
      <w:r w:rsidRPr="00E27A34">
        <w:rPr>
          <w:rStyle w:val="FootnoteReference"/>
          <w:rFonts w:ascii="Arial" w:eastAsiaTheme="minorHAnsi" w:hAnsi="Arial" w:cs="Arial"/>
          <w:bCs/>
          <w:iCs/>
          <w:sz w:val="22"/>
          <w:szCs w:val="22"/>
        </w:rPr>
        <w:footnoteReference w:id="5"/>
      </w:r>
      <w:r w:rsidRPr="00E27A34">
        <w:rPr>
          <w:rFonts w:ascii="Arial" w:eastAsiaTheme="minorHAnsi" w:hAnsi="Arial" w:cs="Arial"/>
          <w:bCs/>
          <w:iCs/>
          <w:sz w:val="22"/>
          <w:szCs w:val="22"/>
        </w:rPr>
        <w:t xml:space="preserve"> More recent attempts to quantify influence use a variety of additional determinants, such as portfolio and holding characteristics, fund characteristics, and expected voting behaviour of peers.</w:t>
      </w:r>
      <w:r w:rsidRPr="00E27A34">
        <w:rPr>
          <w:rStyle w:val="FootnoteReference"/>
          <w:rFonts w:ascii="Arial" w:eastAsiaTheme="minorHAnsi" w:hAnsi="Arial" w:cs="Arial"/>
          <w:bCs/>
          <w:iCs/>
          <w:sz w:val="22"/>
          <w:szCs w:val="22"/>
        </w:rPr>
        <w:footnoteReference w:id="6"/>
      </w:r>
      <w:r w:rsidRPr="00E27A34">
        <w:rPr>
          <w:rFonts w:ascii="Arial" w:eastAsiaTheme="minorHAnsi" w:hAnsi="Arial" w:cs="Arial"/>
          <w:bCs/>
          <w:iCs/>
          <w:sz w:val="22"/>
          <w:szCs w:val="22"/>
        </w:rPr>
        <w:t xml:space="preserve"> Certainly, we have anecdotal evidence of the reverse; our shareholder proposal at this year’s annual general meeting of Deutsche Bank achieved significant shareholder support even though ISS opposed it. As indicated in </w:t>
      </w:r>
      <w:r w:rsidRPr="00E27A34">
        <w:rPr>
          <w:rFonts w:ascii="Arial" w:eastAsiaTheme="minorHAnsi" w:hAnsi="Arial" w:cs="Arial"/>
          <w:bCs/>
          <w:iCs/>
          <w:sz w:val="22"/>
          <w:szCs w:val="22"/>
        </w:rPr>
        <w:lastRenderedPageBreak/>
        <w:t xml:space="preserve">the answer to the question above, the extent of the influence of proxy advisors depends strongly upon the individual characteristics of their client. To the extent that most funds do not have the resources to commit towards building in-depth knowledge of every single company they hold, there is certainly scope for proxy advisor influence. The extent of that influence would be contingent on the number of votes cast according to the proxy advisor’s default voting policy as opposed to a personalized policy developed according to the investor’s guidelines. </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Furthermore, influence will also be dependent on the weight of a company in a given portfolio; the tendency to deviate from proxy recommendations is strongest for the companies where the value of the stake is above the 75</w:t>
      </w:r>
      <w:r w:rsidRPr="00E27A34">
        <w:rPr>
          <w:rFonts w:ascii="Arial" w:eastAsiaTheme="minorHAnsi" w:hAnsi="Arial" w:cs="Arial"/>
          <w:bCs/>
          <w:iCs/>
          <w:sz w:val="22"/>
          <w:szCs w:val="22"/>
          <w:vertAlign w:val="superscript"/>
        </w:rPr>
        <w:t>th</w:t>
      </w:r>
      <w:r w:rsidRPr="00E27A34">
        <w:rPr>
          <w:rFonts w:ascii="Arial" w:eastAsiaTheme="minorHAnsi" w:hAnsi="Arial" w:cs="Arial"/>
          <w:bCs/>
          <w:iCs/>
          <w:sz w:val="22"/>
          <w:szCs w:val="22"/>
        </w:rPr>
        <w:t xml:space="preserve"> percentile of the median.</w:t>
      </w:r>
      <w:r w:rsidRPr="00E27A34">
        <w:rPr>
          <w:rStyle w:val="FootnoteReference"/>
          <w:rFonts w:ascii="Arial" w:eastAsiaTheme="minorHAnsi" w:hAnsi="Arial" w:cs="Arial"/>
          <w:bCs/>
          <w:iCs/>
          <w:sz w:val="22"/>
          <w:szCs w:val="22"/>
        </w:rPr>
        <w:footnoteReference w:id="7"/>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b) would you consider this influence as appropriate?</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Proxy advisors satisfy a demand for voting services which results from an often unmanageable volume of votes due within a concentrated period between March and July. Their influence can be considered beneficial to the degree that it increases the number of investors who actually vote and who would otherwise not have been able to exercise their voting rights due to a lack of organisational resources. </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The first and most obvious one is if the advisor is subject to a conflict of interest. Such a conflict could arise if the proxy advisor provides services both to shareholder and issuer. The leading proxy advisory firm, has traditionally been criticized for providing both corporate governance advice on its ratings product  to issuers and voting advice to shareholders.</w:t>
      </w:r>
      <w:r w:rsidRPr="00E27A34">
        <w:rPr>
          <w:rStyle w:val="FootnoteReference"/>
          <w:rFonts w:ascii="Arial" w:eastAsiaTheme="minorHAnsi" w:hAnsi="Arial" w:cs="Arial"/>
          <w:bCs/>
          <w:iCs/>
          <w:sz w:val="22"/>
          <w:szCs w:val="22"/>
        </w:rPr>
        <w:footnoteReference w:id="8"/>
      </w:r>
      <w:r w:rsidRPr="00E27A34">
        <w:rPr>
          <w:rFonts w:ascii="Arial" w:eastAsiaTheme="minorHAnsi" w:hAnsi="Arial" w:cs="Arial"/>
          <w:bCs/>
          <w:iCs/>
          <w:sz w:val="22"/>
          <w:szCs w:val="22"/>
        </w:rPr>
        <w:t xml:space="preserve"> We deal with that type of conflict in more detail below. </w:t>
      </w:r>
    </w:p>
    <w:p w:rsidR="00E27A34" w:rsidRPr="00E27A34" w:rsidRDefault="00E27A34" w:rsidP="00E27A34">
      <w:pPr>
        <w:autoSpaceDE w:val="0"/>
        <w:autoSpaceDN w:val="0"/>
        <w:adjustRightInd w:val="0"/>
        <w:spacing w:line="360" w:lineRule="auto"/>
        <w:jc w:val="both"/>
        <w:rPr>
          <w:rFonts w:ascii="Arial" w:eastAsiaTheme="minorHAnsi" w:hAnsi="Arial" w:cs="Arial"/>
          <w:b/>
          <w:bCs/>
          <w:sz w:val="22"/>
          <w:szCs w:val="22"/>
        </w:rPr>
      </w:pPr>
      <w:r w:rsidRPr="00E27A34">
        <w:rPr>
          <w:rFonts w:ascii="Arial" w:eastAsiaTheme="minorHAnsi" w:hAnsi="Arial" w:cs="Arial"/>
          <w:b/>
          <w:bCs/>
          <w:sz w:val="22"/>
          <w:szCs w:val="22"/>
        </w:rPr>
        <w:t>IV.III. (Investor responsibilities)</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3) To what extent can the use of proxy advisors induce a risk of shifting the investor responsibility and weakening the owner’s prerogatives?</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To the extent that this happens, it should be seen as a failure of the investor to live up to its responsibilities rather than a failure of the proxy advisory firms. We believe that this failure should be addressed through mechanisms such as stewardship codes or other standards targeted at encouraging investors to face up to and deliver on their responsibilities, rather than addressing the firms which do no more than offer advice. The investors are not obliged to slavishly follow that advice, and where this is a problem it should be addressed more directly. </w:t>
      </w:r>
    </w:p>
    <w:p w:rsidR="00E27A34" w:rsidRPr="00E27A34" w:rsidRDefault="00E27A34" w:rsidP="00E27A34">
      <w:pPr>
        <w:autoSpaceDE w:val="0"/>
        <w:autoSpaceDN w:val="0"/>
        <w:adjustRightInd w:val="0"/>
        <w:spacing w:line="360" w:lineRule="auto"/>
        <w:jc w:val="both"/>
        <w:rPr>
          <w:rFonts w:ascii="Arial" w:eastAsiaTheme="minorHAnsi" w:hAnsi="Arial" w:cs="Arial"/>
          <w:b/>
          <w:bCs/>
          <w:sz w:val="22"/>
          <w:szCs w:val="22"/>
        </w:rPr>
      </w:pPr>
      <w:r w:rsidRPr="00E27A34">
        <w:rPr>
          <w:rFonts w:ascii="Arial" w:eastAsiaTheme="minorHAnsi" w:hAnsi="Arial" w:cs="Arial"/>
          <w:b/>
          <w:bCs/>
          <w:sz w:val="22"/>
          <w:szCs w:val="22"/>
        </w:rPr>
        <w:t>V.I. (Conflicts of interest)</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4) To what extent do you consider proxy advisors:</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a) to be subject to conflicts of interest in practice?</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lastRenderedPageBreak/>
        <w:t xml:space="preserve">In practice, the most significant conflicts of interest are caused by advisors providing voting recommendations to investors on the one side and corporate governance advice to companies on the other side. </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b) have in place appropriate conflict mitigation measures?</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In our view, the mitigation measures in place at the moment (Chinese walls between the two departments, existing disclosure) are not sufficient. The reason for that is that both advisory and recommendation services are performed according to the same policy, albeit by different teams within the same firm.   </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c) to be sufficiently transparent regarding conflicts of interest they face?</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At present, more specific disclosure is needed. In particular, the advisor should disclose the clients to which it provides both corporate governance advice and voting recommendations, as well as instances where it provides voting recommendation on a company that is a client for corporate governance advice. Furthermore, disclosure on the percentage of clients who vote according to a “follow the advisor” policy should also be required. If this fails, stronger intervention may be necessary. </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5) If you consider there are conflicts of interest within proxy advisors which have not been appropriately mitigated:</w:t>
      </w:r>
    </w:p>
    <w:p w:rsidR="00E27A34" w:rsidRPr="00E27A34" w:rsidRDefault="00E27A34" w:rsidP="00E27A34">
      <w:pPr>
        <w:pStyle w:val="ListParagraph"/>
        <w:numPr>
          <w:ilvl w:val="0"/>
          <w:numId w:val="6"/>
        </w:numPr>
        <w:autoSpaceDE w:val="0"/>
        <w:autoSpaceDN w:val="0"/>
        <w:adjustRightInd w:val="0"/>
        <w:spacing w:after="0" w:line="360" w:lineRule="auto"/>
        <w:jc w:val="both"/>
        <w:rPr>
          <w:rFonts w:eastAsiaTheme="minorHAnsi" w:cs="Arial"/>
          <w:b/>
          <w:bCs/>
          <w:i/>
          <w:iCs/>
          <w:lang w:bidi="ar-SA"/>
        </w:rPr>
      </w:pPr>
      <w:r w:rsidRPr="00E27A34">
        <w:rPr>
          <w:rFonts w:eastAsiaTheme="minorHAnsi" w:cs="Arial"/>
          <w:b/>
          <w:bCs/>
          <w:i/>
          <w:iCs/>
          <w:lang w:bidi="ar-SA"/>
        </w:rPr>
        <w:t>which conflicts of interest are most important?</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The most important conflict of interest would result out of providing advice to both companies and shareholders. The bargaining power resulting of advising a large proportion of owners in a  certain market could potentially limit the possibilities of influencing the company through other channels, such as direct engagement with the owner. In an extreme situation, best practice standards would not be established by the owner through the proxy advisor, but would stem from the proxy advisor’s own guidelines. </w:t>
      </w:r>
    </w:p>
    <w:p w:rsidR="00E27A34" w:rsidRPr="00E27A34" w:rsidRDefault="00E27A34" w:rsidP="00E27A34">
      <w:pPr>
        <w:pStyle w:val="ListParagraph"/>
        <w:numPr>
          <w:ilvl w:val="0"/>
          <w:numId w:val="6"/>
        </w:numPr>
        <w:autoSpaceDE w:val="0"/>
        <w:autoSpaceDN w:val="0"/>
        <w:adjustRightInd w:val="0"/>
        <w:spacing w:after="0" w:line="360" w:lineRule="auto"/>
        <w:jc w:val="both"/>
        <w:rPr>
          <w:rFonts w:eastAsiaTheme="minorHAnsi" w:cs="Arial"/>
          <w:b/>
          <w:bCs/>
          <w:i/>
          <w:iCs/>
          <w:lang w:bidi="ar-SA"/>
        </w:rPr>
      </w:pPr>
      <w:r w:rsidRPr="00E27A34">
        <w:rPr>
          <w:rFonts w:eastAsiaTheme="minorHAnsi" w:cs="Arial"/>
          <w:b/>
          <w:bCs/>
          <w:i/>
          <w:iCs/>
          <w:lang w:bidi="ar-SA"/>
        </w:rPr>
        <w:t>do you consider that these conflicts lead to impaired advice?</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Conflicts of interest may lead to impaired advice in the sense that it has ceased to be independent. Instances where voting recommendations were changed after the company has reviewed them may fall under this definition if the review went beyond mere fact-checking.</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Furthermore, conflicts of interest may lead to advice of diminished quality. A symbiotic relationship between issuer and advisor, or instances of “buy the test” behaviour may lead recommendations that are not in the best interest of shareholders.</w:t>
      </w:r>
    </w:p>
    <w:p w:rsidR="00E27A34" w:rsidRPr="00E27A34" w:rsidRDefault="00E27A34" w:rsidP="00E27A34">
      <w:pPr>
        <w:autoSpaceDE w:val="0"/>
        <w:autoSpaceDN w:val="0"/>
        <w:adjustRightInd w:val="0"/>
        <w:spacing w:line="360" w:lineRule="auto"/>
        <w:jc w:val="both"/>
        <w:rPr>
          <w:rFonts w:ascii="Arial" w:eastAsiaTheme="minorHAnsi" w:hAnsi="Arial" w:cs="Arial"/>
          <w:b/>
          <w:bCs/>
          <w:sz w:val="22"/>
          <w:szCs w:val="22"/>
        </w:rPr>
      </w:pPr>
      <w:r w:rsidRPr="00E27A34">
        <w:rPr>
          <w:rFonts w:ascii="Arial" w:eastAsiaTheme="minorHAnsi" w:hAnsi="Arial" w:cs="Arial"/>
          <w:b/>
          <w:bCs/>
          <w:sz w:val="22"/>
          <w:szCs w:val="22"/>
        </w:rPr>
        <w:t>V.II. (Voting policies and guidelines)</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6) To what extent and how do you consider that could be improvement:</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a) for taking into account local market conditions in voting policies?</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lastRenderedPageBreak/>
        <w:t>Overall proxy advisors have gotten better at understanding local customs and standards. Local corporate governance code appear to play a significant role in the analysis they provide. However, more clarity as to how local market conditions play out at the implementation stage of the policy would be welcome.</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b) on dialogue between proxy advisors and third parties (issuers and investors) on the development of voting policies and guidelines?</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Proxy advisors should be encouraged to verify their information with issuers and to contact them prior to making recommendations in contentious cases, but should refrain from influencing them, commercially or otherwise, and this needs to be made very clear in an eventual set of standards. Conversely, the investor and the investee company should be encouraged to engage in regular and direct dialogue. It is important, in that regard, that proxy advisors do not take over the shareholder voice or else dilute shareholder influence upon companies by taking on the role of exclusive information agent. Furthermore, investors should be encouraged to develop individualised voting policies which do not consist merely in following proxy advisor recommendations. </w:t>
      </w:r>
    </w:p>
    <w:p w:rsidR="00E27A34" w:rsidRPr="00E27A34" w:rsidRDefault="00E27A34" w:rsidP="00E27A34">
      <w:pPr>
        <w:autoSpaceDE w:val="0"/>
        <w:autoSpaceDN w:val="0"/>
        <w:adjustRightInd w:val="0"/>
        <w:spacing w:line="360" w:lineRule="auto"/>
        <w:jc w:val="both"/>
        <w:rPr>
          <w:rFonts w:ascii="Arial" w:eastAsiaTheme="minorHAnsi" w:hAnsi="Arial" w:cs="Arial"/>
          <w:b/>
          <w:bCs/>
          <w:sz w:val="22"/>
          <w:szCs w:val="22"/>
        </w:rPr>
      </w:pPr>
      <w:r w:rsidRPr="00E27A34">
        <w:rPr>
          <w:rFonts w:ascii="Arial" w:eastAsiaTheme="minorHAnsi" w:hAnsi="Arial" w:cs="Arial"/>
          <w:b/>
          <w:bCs/>
          <w:sz w:val="22"/>
          <w:szCs w:val="22"/>
        </w:rPr>
        <w:t>V.III. (Voting recommendations)</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7) To what extent do you consider that there could be improvement, also as regards to transparency, in:</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a) the methodology applied by proxy advisors to provide reliable and independent voting recommendations?</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b)the dialogue with issuers when drafting voting recommendations?</w:t>
      </w:r>
    </w:p>
    <w:p w:rsidR="00E27A34" w:rsidRPr="00E27A34" w:rsidRDefault="00E27A34" w:rsidP="00E27A34">
      <w:pPr>
        <w:pStyle w:val="ListParagraph"/>
        <w:numPr>
          <w:ilvl w:val="0"/>
          <w:numId w:val="6"/>
        </w:numPr>
        <w:autoSpaceDE w:val="0"/>
        <w:autoSpaceDN w:val="0"/>
        <w:adjustRightInd w:val="0"/>
        <w:spacing w:after="0" w:line="360" w:lineRule="auto"/>
        <w:jc w:val="both"/>
        <w:rPr>
          <w:rFonts w:eastAsiaTheme="minorHAnsi" w:cs="Arial"/>
          <w:b/>
          <w:bCs/>
          <w:i/>
          <w:iCs/>
          <w:lang w:bidi="ar-SA"/>
        </w:rPr>
      </w:pPr>
      <w:r w:rsidRPr="00E27A34">
        <w:rPr>
          <w:rFonts w:eastAsiaTheme="minorHAnsi" w:cs="Arial"/>
          <w:b/>
          <w:bCs/>
          <w:i/>
          <w:iCs/>
          <w:lang w:bidi="ar-SA"/>
        </w:rPr>
        <w:t>the standards of skill and experience among proxy advisor staff?</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We believe enhanced disclosure is needed regarding all dealing with issuers during the drafting of the recommendations. Communications that go beyond fact-checking as well as the processes through which issuers review recommendations need to be made public. The same goes for the skill and experience of proxy advisor staff that participates in the drafting of recommendations. On methodology, there is scope for more transparency first in regard to the sources of the advisory’s guidelines (corporate governance codes, international standards, etc) and, second, on the way these standards are applied at the implementation stage.</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p>
    <w:p w:rsidR="00E27A34" w:rsidRPr="00E27A34" w:rsidRDefault="00E27A34" w:rsidP="00E27A34">
      <w:pPr>
        <w:autoSpaceDE w:val="0"/>
        <w:autoSpaceDN w:val="0"/>
        <w:adjustRightInd w:val="0"/>
        <w:spacing w:line="360" w:lineRule="auto"/>
        <w:jc w:val="both"/>
        <w:rPr>
          <w:rFonts w:ascii="Arial" w:eastAsiaTheme="minorHAnsi" w:hAnsi="Arial" w:cs="Arial"/>
          <w:b/>
          <w:bCs/>
          <w:sz w:val="22"/>
          <w:szCs w:val="22"/>
        </w:rPr>
      </w:pPr>
      <w:r w:rsidRPr="00E27A34">
        <w:rPr>
          <w:rFonts w:ascii="Arial" w:eastAsiaTheme="minorHAnsi" w:hAnsi="Arial" w:cs="Arial"/>
          <w:b/>
          <w:bCs/>
          <w:sz w:val="22"/>
          <w:szCs w:val="22"/>
        </w:rPr>
        <w:t>VI.IV. (Policy options)</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8) Which policy option do you support, if any? Please explain your choice and your preferred way of pursing a particular approach within that option, if any.</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We believe that the strength of proxy advisors as information agents coupled with the current deficits in transparency and conflict management create a strong case for  </w:t>
      </w:r>
      <w:r w:rsidRPr="00E27A34">
        <w:rPr>
          <w:rFonts w:ascii="Arial" w:eastAsiaTheme="minorHAnsi" w:hAnsi="Arial" w:cs="Arial"/>
          <w:bCs/>
          <w:iCs/>
          <w:sz w:val="22"/>
          <w:szCs w:val="22"/>
        </w:rPr>
        <w:lastRenderedPageBreak/>
        <w:t xml:space="preserve">regulatory intervention. Our preference is for the development of industry standards addressing both proxy advisors and investors using quasi-binding instruments (option three). Due to the international nature proxy advisor influence, we believe that for this part of the financial industry, a harmonised approach will be more effective than a national one. For targeting investors, which can have very diverse national and/or international profiles, a less centralized, national approach would be preferable. In our view, the parallel development of comply or explain standards for proxy advisors and stewardship standards for investors that use their services is a particularly strong point of option three. As indicated in the general remarks, the influence proxy advisors are liable to exercise strongly correlates with the degree of responsibility investors take in individual companies. Encouraging appropriate stewardship standards should furthermore act as a safeguard against overreliance on third party advice. So far, in practice proxy advisors have been keen to respond to investor preferences in order to preserve their competitive advantage. As such, investor behaviour is the single strongest control mechanism over proxy advisor influence. For this reason, incentivising stewardship and appropriate engagement with companies should prove an effective way of mitigating possible principal-agent conflicts and, in the long term, contribute to overall systemic stability as well. </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9) Which other approaches are do you deem useful to consider as an alternative to the presented policy options? Please explain your suggestion.</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As ESMA has noted in the discussion paper, healthy competition in the proxy advisor market is of paramount importance. One important aspect of proxy advisor influence lies in their strength in organising vote processing. At present, engaging a proxy advisor is probably the most effective way of ensuring that most submitted votes will count. Overall, voting requirements in many jurisdictions still put investors voting electronically at a disadvantage, and make it difficult to submit a valid vote without attending the annual general meeting itself. Simplifying and harmonising voting technicalities would go a long way towards making it feasible for investors to manage the voting process on their own, and thus reduce reliance on third parties. </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10) If you support EU-level intervention, which key issues, both from section IV and V, but also other issues not reflected upon in this paper, should be covered? Please explain your answer</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Encouraging stewardship standards, increasing transparency and dealing with conflicts of interest should be a priority. Similarly to Dutch shareholder initiative </w:t>
      </w:r>
      <w:proofErr w:type="spellStart"/>
      <w:r w:rsidRPr="00E27A34">
        <w:rPr>
          <w:rFonts w:ascii="Arial" w:eastAsiaTheme="minorHAnsi" w:hAnsi="Arial" w:cs="Arial"/>
          <w:bCs/>
          <w:iCs/>
          <w:sz w:val="22"/>
          <w:szCs w:val="22"/>
        </w:rPr>
        <w:t>Eumedion</w:t>
      </w:r>
      <w:proofErr w:type="spellEnd"/>
      <w:r w:rsidRPr="00E27A34">
        <w:rPr>
          <w:rFonts w:ascii="Arial" w:eastAsiaTheme="minorHAnsi" w:hAnsi="Arial" w:cs="Arial"/>
          <w:bCs/>
          <w:iCs/>
          <w:sz w:val="22"/>
          <w:szCs w:val="22"/>
        </w:rPr>
        <w:t xml:space="preserve">, we would be supportive of measures restricting the provision of consulting services in instances where companies are also subject of voting recommendations. Consolidated stewardship efforts on the side of investors will also mitigate </w:t>
      </w:r>
      <w:r w:rsidRPr="00E27A34">
        <w:rPr>
          <w:rFonts w:ascii="Arial" w:eastAsiaTheme="minorHAnsi" w:hAnsi="Arial" w:cs="Arial"/>
          <w:bCs/>
          <w:iCs/>
          <w:sz w:val="22"/>
          <w:szCs w:val="22"/>
        </w:rPr>
        <w:lastRenderedPageBreak/>
        <w:t>overreliance on external advice. In any case, transparency on the genesis of the advice provided is paramount.</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11) What would be the potential impact of policy intervention on proxy advisors, for example, as regards:</w:t>
      </w:r>
    </w:p>
    <w:p w:rsidR="00E27A34" w:rsidRPr="00E27A34" w:rsidRDefault="00E27A34" w:rsidP="00E27A34">
      <w:pPr>
        <w:pStyle w:val="ListParagraph"/>
        <w:numPr>
          <w:ilvl w:val="0"/>
          <w:numId w:val="5"/>
        </w:numPr>
        <w:autoSpaceDE w:val="0"/>
        <w:autoSpaceDN w:val="0"/>
        <w:adjustRightInd w:val="0"/>
        <w:spacing w:after="0" w:line="360" w:lineRule="auto"/>
        <w:jc w:val="both"/>
        <w:rPr>
          <w:rFonts w:eastAsiaTheme="minorHAnsi" w:cs="Arial"/>
          <w:b/>
          <w:bCs/>
          <w:i/>
          <w:iCs/>
          <w:lang w:bidi="ar-SA"/>
        </w:rPr>
      </w:pPr>
      <w:r w:rsidRPr="00E27A34">
        <w:rPr>
          <w:rFonts w:eastAsiaTheme="minorHAnsi" w:cs="Arial"/>
          <w:b/>
          <w:bCs/>
          <w:i/>
          <w:iCs/>
          <w:lang w:bidi="ar-SA"/>
        </w:rPr>
        <w:t>barriers to entry and competition;</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We do not believe that regulatory intervention along the lines indicated above will raise barriers to entry into the proxy advisory market. The main barriers to entry are connected to first-mover advantage and significant set-up costs due to the necessity for sophisticated and reliable technology.</w:t>
      </w:r>
      <w:r w:rsidRPr="00E27A34">
        <w:rPr>
          <w:rStyle w:val="FootnoteReference"/>
          <w:rFonts w:ascii="Arial" w:eastAsiaTheme="minorHAnsi" w:hAnsi="Arial" w:cs="Arial"/>
          <w:bCs/>
          <w:iCs/>
          <w:sz w:val="22"/>
          <w:szCs w:val="22"/>
        </w:rPr>
        <w:footnoteReference w:id="9"/>
      </w:r>
      <w:r w:rsidRPr="00E27A34">
        <w:rPr>
          <w:rFonts w:ascii="Arial" w:eastAsiaTheme="minorHAnsi" w:hAnsi="Arial" w:cs="Arial"/>
          <w:bCs/>
          <w:iCs/>
          <w:sz w:val="22"/>
          <w:szCs w:val="22"/>
        </w:rPr>
        <w:t xml:space="preserve">  Encouraging transparency, management of conflicts of interest and fostering investor engagement is unlikely to make the services of the proxy advisors any harder to provide.</w:t>
      </w:r>
    </w:p>
    <w:p w:rsidR="00E27A34" w:rsidRPr="00E27A34" w:rsidRDefault="00E27A34" w:rsidP="00E27A34">
      <w:pPr>
        <w:autoSpaceDE w:val="0"/>
        <w:autoSpaceDN w:val="0"/>
        <w:adjustRightInd w:val="0"/>
        <w:spacing w:line="360" w:lineRule="auto"/>
        <w:jc w:val="both"/>
        <w:rPr>
          <w:rFonts w:ascii="Arial" w:eastAsiaTheme="minorHAnsi" w:hAnsi="Arial" w:cs="Arial"/>
          <w:b/>
          <w:bCs/>
          <w:i/>
          <w:iCs/>
          <w:sz w:val="22"/>
          <w:szCs w:val="22"/>
        </w:rPr>
      </w:pPr>
      <w:r w:rsidRPr="00E27A34">
        <w:rPr>
          <w:rFonts w:ascii="Arial" w:eastAsiaTheme="minorHAnsi" w:hAnsi="Arial" w:cs="Arial"/>
          <w:b/>
          <w:bCs/>
          <w:i/>
          <w:iCs/>
          <w:sz w:val="22"/>
          <w:szCs w:val="22"/>
        </w:rPr>
        <w:t>b) inducing a risk of shifting the investor responsibility and weakening the owner’s prerogatives; and/or</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 As we support the creation of stewardship standards for investors parallel to comply-or-explain rules for proxy advisors, we do not believe that a policy intervention along these lines will weaken investor responsibility. </w:t>
      </w:r>
    </w:p>
    <w:p w:rsidR="00E27A34" w:rsidRPr="00E27A34" w:rsidRDefault="00E27A34" w:rsidP="00E27A34">
      <w:pPr>
        <w:pStyle w:val="ListParagraph"/>
        <w:numPr>
          <w:ilvl w:val="0"/>
          <w:numId w:val="5"/>
        </w:numPr>
        <w:autoSpaceDE w:val="0"/>
        <w:autoSpaceDN w:val="0"/>
        <w:adjustRightInd w:val="0"/>
        <w:spacing w:after="0" w:line="360" w:lineRule="auto"/>
        <w:jc w:val="both"/>
        <w:rPr>
          <w:rFonts w:eastAsiaTheme="minorHAnsi" w:cs="Arial"/>
          <w:b/>
          <w:bCs/>
          <w:i/>
          <w:iCs/>
          <w:lang w:bidi="ar-SA"/>
        </w:rPr>
      </w:pPr>
      <w:r w:rsidRPr="00E27A34">
        <w:rPr>
          <w:rFonts w:eastAsiaTheme="minorHAnsi" w:cs="Arial"/>
          <w:b/>
          <w:bCs/>
          <w:i/>
          <w:iCs/>
          <w:lang w:bidi="ar-SA"/>
        </w:rPr>
        <w:t>any other areas?</w:t>
      </w:r>
    </w:p>
    <w:p w:rsidR="00E27A34" w:rsidRPr="00E27A34" w:rsidRDefault="00E27A34" w:rsidP="00E27A34">
      <w:pPr>
        <w:autoSpaceDE w:val="0"/>
        <w:autoSpaceDN w:val="0"/>
        <w:adjustRightInd w:val="0"/>
        <w:spacing w:line="360" w:lineRule="auto"/>
        <w:jc w:val="both"/>
        <w:rPr>
          <w:rFonts w:ascii="Arial" w:eastAsiaTheme="minorHAnsi" w:hAnsi="Arial" w:cs="Arial"/>
          <w:bCs/>
          <w:iCs/>
          <w:sz w:val="22"/>
          <w:szCs w:val="22"/>
        </w:rPr>
      </w:pPr>
      <w:r w:rsidRPr="00E27A34">
        <w:rPr>
          <w:rFonts w:ascii="Arial" w:eastAsiaTheme="minorHAnsi" w:hAnsi="Arial" w:cs="Arial"/>
          <w:bCs/>
          <w:iCs/>
          <w:sz w:val="22"/>
          <w:szCs w:val="22"/>
        </w:rPr>
        <w:t xml:space="preserve">We believe that the measures described in option three may prove beneficial for fostering shareholder dialogue on EU level. Common stewardship standards for institutional investors would furthermore encourage consistent cross border engagement with companies, and make it easier for EU shareholders to participate in dialogue with companies and organisations across the Union.  </w:t>
      </w:r>
    </w:p>
    <w:p w:rsidR="001304F3" w:rsidRPr="00E27A34" w:rsidRDefault="001304F3" w:rsidP="00141D10">
      <w:pPr>
        <w:rPr>
          <w:rFonts w:ascii="Arial" w:eastAsia="Helvetica" w:hAnsi="Arial" w:cs="Arial"/>
          <w:b/>
          <w:color w:val="000000"/>
          <w:sz w:val="22"/>
          <w:szCs w:val="22"/>
          <w:lang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p w:rsidR="001304F3" w:rsidRDefault="001304F3" w:rsidP="00141D10">
      <w:pPr>
        <w:rPr>
          <w:rFonts w:ascii="Arial" w:eastAsia="Helvetica" w:hAnsi="Arial" w:cs="Arial"/>
          <w:b/>
          <w:color w:val="000000"/>
          <w:sz w:val="22"/>
          <w:szCs w:val="22"/>
          <w:lang w:val="en-US" w:eastAsia="en-GB"/>
        </w:rPr>
      </w:pPr>
    </w:p>
    <w:sectPr w:rsidR="001304F3" w:rsidSect="005249DD">
      <w:headerReference w:type="first" r:id="rId9"/>
      <w:footerReference w:type="first" r:id="rId10"/>
      <w:pgSz w:w="11909" w:h="16834" w:code="10"/>
      <w:pgMar w:top="1440" w:right="1800" w:bottom="1440" w:left="1800" w:header="720" w:footer="5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6C6" w:rsidRDefault="00F656C6">
      <w:r>
        <w:separator/>
      </w:r>
    </w:p>
  </w:endnote>
  <w:endnote w:type="continuationSeparator" w:id="0">
    <w:p w:rsidR="00F656C6" w:rsidRDefault="00F656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C6" w:rsidRDefault="00F656C6">
    <w:pPr>
      <w:pStyle w:val="Footer"/>
      <w:rPr>
        <w:color w:val="003867"/>
        <w:sz w:val="12"/>
        <w:szCs w:val="12"/>
      </w:rPr>
    </w:pPr>
    <w:r>
      <w:rPr>
        <w:noProof/>
        <w:color w:val="003867"/>
        <w:sz w:val="12"/>
        <w:szCs w:val="12"/>
        <w:lang w:eastAsia="en-GB"/>
      </w:rPr>
      <w:drawing>
        <wp:inline distT="0" distB="0" distL="0" distR="0">
          <wp:extent cx="952500" cy="266700"/>
          <wp:effectExtent l="19050" t="0" r="0" b="0"/>
          <wp:docPr id="2" name="Picture 2" descr="Hermes_logo_540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mes_logo_540_100px"/>
                  <pic:cNvPicPr>
                    <a:picLocks noChangeAspect="1" noChangeArrowheads="1"/>
                  </pic:cNvPicPr>
                </pic:nvPicPr>
                <pic:blipFill>
                  <a:blip r:embed="rId1"/>
                  <a:srcRect/>
                  <a:stretch>
                    <a:fillRect/>
                  </a:stretch>
                </pic:blipFill>
                <pic:spPr bwMode="auto">
                  <a:xfrm>
                    <a:off x="0" y="0"/>
                    <a:ext cx="952500" cy="266700"/>
                  </a:xfrm>
                  <a:prstGeom prst="rect">
                    <a:avLst/>
                  </a:prstGeom>
                  <a:noFill/>
                  <a:ln w="9525">
                    <a:noFill/>
                    <a:miter lim="800000"/>
                    <a:headEnd/>
                    <a:tailEnd/>
                  </a:ln>
                </pic:spPr>
              </pic:pic>
            </a:graphicData>
          </a:graphic>
        </wp:inline>
      </w:drawing>
    </w:r>
  </w:p>
  <w:p w:rsidR="00F656C6" w:rsidRDefault="00F656C6">
    <w:pPr>
      <w:pStyle w:val="Footer"/>
      <w:rPr>
        <w:color w:val="003867"/>
        <w:sz w:val="12"/>
        <w:szCs w:val="12"/>
      </w:rPr>
    </w:pPr>
  </w:p>
  <w:p w:rsidR="00F656C6" w:rsidRDefault="00F656C6">
    <w:pPr>
      <w:pStyle w:val="Footer"/>
      <w:rPr>
        <w:color w:val="003867"/>
        <w:sz w:val="12"/>
        <w:szCs w:val="12"/>
      </w:rPr>
    </w:pPr>
    <w:r>
      <w:rPr>
        <w:color w:val="003867"/>
        <w:sz w:val="12"/>
        <w:szCs w:val="12"/>
      </w:rPr>
      <w:t xml:space="preserve">Hermes Equity Ownership Services Limited: Registered office: Lloyds Chambers, </w:t>
    </w:r>
    <w:smartTag w:uri="urn:schemas-microsoft-com:office:smarttags" w:element="address">
      <w:smartTag w:uri="urn:schemas-microsoft-com:office:smarttags" w:element="Street">
        <w:r>
          <w:rPr>
            <w:color w:val="003867"/>
            <w:sz w:val="12"/>
            <w:szCs w:val="12"/>
          </w:rPr>
          <w:t xml:space="preserve">1 </w:t>
        </w:r>
        <w:proofErr w:type="spellStart"/>
        <w:r>
          <w:rPr>
            <w:color w:val="003867"/>
            <w:sz w:val="12"/>
            <w:szCs w:val="12"/>
          </w:rPr>
          <w:t>Portsoken</w:t>
        </w:r>
        <w:proofErr w:type="spellEnd"/>
        <w:r>
          <w:rPr>
            <w:color w:val="003867"/>
            <w:sz w:val="12"/>
            <w:szCs w:val="12"/>
          </w:rPr>
          <w:t xml:space="preserve"> Street</w:t>
        </w:r>
      </w:smartTag>
      <w:r>
        <w:rPr>
          <w:color w:val="003867"/>
          <w:sz w:val="12"/>
          <w:szCs w:val="12"/>
        </w:rPr>
        <w:t xml:space="preserve">, </w:t>
      </w:r>
      <w:smartTag w:uri="urn:schemas-microsoft-com:office:smarttags" w:element="City">
        <w:r>
          <w:rPr>
            <w:color w:val="003867"/>
            <w:sz w:val="12"/>
            <w:szCs w:val="12"/>
          </w:rPr>
          <w:t>London</w:t>
        </w:r>
      </w:smartTag>
    </w:smartTag>
    <w:r>
      <w:rPr>
        <w:color w:val="003867"/>
        <w:sz w:val="12"/>
        <w:szCs w:val="12"/>
      </w:rPr>
      <w:t xml:space="preserve"> E1 8HZ. Registered in </w:t>
    </w:r>
    <w:smartTag w:uri="urn:schemas-microsoft-com:office:smarttags" w:element="country-region">
      <w:smartTag w:uri="urn:schemas-microsoft-com:office:smarttags" w:element="place">
        <w:r>
          <w:rPr>
            <w:color w:val="003867"/>
            <w:sz w:val="12"/>
            <w:szCs w:val="12"/>
          </w:rPr>
          <w:t>England</w:t>
        </w:r>
      </w:smartTag>
    </w:smartTag>
    <w:r>
      <w:rPr>
        <w:color w:val="003867"/>
        <w:sz w:val="12"/>
        <w:szCs w:val="12"/>
      </w:rPr>
      <w:t xml:space="preserve"> No. 5167179.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6C6" w:rsidRDefault="00F656C6">
      <w:r>
        <w:separator/>
      </w:r>
    </w:p>
  </w:footnote>
  <w:footnote w:type="continuationSeparator" w:id="0">
    <w:p w:rsidR="00F656C6" w:rsidRDefault="00F656C6">
      <w:r>
        <w:continuationSeparator/>
      </w:r>
    </w:p>
  </w:footnote>
  <w:footnote w:id="1">
    <w:p w:rsidR="00F656C6" w:rsidRDefault="00F656C6" w:rsidP="00E27A34">
      <w:pPr>
        <w:pStyle w:val="FootnoteText"/>
      </w:pPr>
      <w:r>
        <w:rPr>
          <w:rStyle w:val="FootnoteReference"/>
        </w:rPr>
        <w:footnoteRef/>
      </w:r>
      <w:r>
        <w:t xml:space="preserve"> </w:t>
      </w:r>
      <w:proofErr w:type="spellStart"/>
      <w:r>
        <w:t>Belinfanti</w:t>
      </w:r>
      <w:proofErr w:type="spellEnd"/>
      <w:r>
        <w:t xml:space="preserve">, Tamara, </w:t>
      </w:r>
      <w:r>
        <w:rPr>
          <w:i/>
        </w:rPr>
        <w:t xml:space="preserve">The Proxy Advisory and Corporate Governance Industry: The Case for Increased Oversight and Control, </w:t>
      </w:r>
      <w:r>
        <w:t>14 Stanford journal of Business and Finance,385 2008-2009, p. 407.</w:t>
      </w:r>
    </w:p>
  </w:footnote>
  <w:footnote w:id="2">
    <w:p w:rsidR="00F656C6" w:rsidRPr="00EE7A2C" w:rsidRDefault="00F656C6" w:rsidP="00E27A34">
      <w:pPr>
        <w:pStyle w:val="FootnoteText"/>
      </w:pPr>
      <w:r>
        <w:rPr>
          <w:rStyle w:val="FootnoteReference"/>
        </w:rPr>
        <w:footnoteRef/>
      </w:r>
      <w:r>
        <w:t xml:space="preserve"> </w:t>
      </w:r>
      <w:proofErr w:type="spellStart"/>
      <w:r>
        <w:t>Belinfanti</w:t>
      </w:r>
      <w:proofErr w:type="spellEnd"/>
      <w:r>
        <w:t xml:space="preserve">, Tamara, </w:t>
      </w:r>
      <w:r>
        <w:rPr>
          <w:i/>
        </w:rPr>
        <w:t xml:space="preserve">The Proxy Advisory and Corporate Governance Industry: The Case for Increased Oversight and Control, </w:t>
      </w:r>
      <w:r>
        <w:t>14 Stanford journal of Business and Finance,385 2008-2009, p. 408-413.</w:t>
      </w:r>
    </w:p>
  </w:footnote>
  <w:footnote w:id="3">
    <w:p w:rsidR="00F656C6" w:rsidRPr="00542577" w:rsidRDefault="00F656C6" w:rsidP="00E27A34">
      <w:pPr>
        <w:pStyle w:val="FootnoteText"/>
      </w:pPr>
      <w:r>
        <w:rPr>
          <w:rStyle w:val="FootnoteReference"/>
        </w:rPr>
        <w:footnoteRef/>
      </w:r>
      <w:r>
        <w:t xml:space="preserve"> Schouten, Michael, </w:t>
      </w:r>
      <w:r>
        <w:rPr>
          <w:i/>
        </w:rPr>
        <w:t xml:space="preserve">Do Institutional Investors Follow Proxy Advice Blindly?, </w:t>
      </w:r>
      <w:r>
        <w:t xml:space="preserve">January 2012, available at: </w:t>
      </w:r>
      <w:hyperlink r:id="rId1" w:history="1">
        <w:r w:rsidRPr="00220F0D">
          <w:rPr>
            <w:rStyle w:val="Hyperlink"/>
          </w:rPr>
          <w:t>http://ssrn.com/abstract=1978343</w:t>
        </w:r>
      </w:hyperlink>
      <w:r>
        <w:t>, p. 2-5.</w:t>
      </w:r>
    </w:p>
  </w:footnote>
  <w:footnote w:id="4">
    <w:p w:rsidR="00F656C6" w:rsidRDefault="00F656C6" w:rsidP="00E27A34">
      <w:pPr>
        <w:pStyle w:val="FootnoteText"/>
      </w:pPr>
      <w:r>
        <w:rPr>
          <w:rStyle w:val="FootnoteReference"/>
        </w:rPr>
        <w:footnoteRef/>
      </w:r>
      <w:r>
        <w:t xml:space="preserve"> Bethel, J.E. and Gillian, S.L., </w:t>
      </w:r>
      <w:r>
        <w:rPr>
          <w:i/>
        </w:rPr>
        <w:t xml:space="preserve">The Impact of the Institutional and Regulatory Environment on Shareholder Voting, </w:t>
      </w:r>
      <w:r>
        <w:t>Financial Management vol. 31 (2002), pp. 29-54.</w:t>
      </w:r>
    </w:p>
  </w:footnote>
  <w:footnote w:id="5">
    <w:p w:rsidR="00F656C6" w:rsidRDefault="00F656C6" w:rsidP="00E27A34">
      <w:pPr>
        <w:pStyle w:val="FootnoteText"/>
      </w:pPr>
      <w:r>
        <w:rPr>
          <w:rStyle w:val="FootnoteReference"/>
        </w:rPr>
        <w:footnoteRef/>
      </w:r>
      <w:r>
        <w:t xml:space="preserve"> </w:t>
      </w:r>
      <w:proofErr w:type="spellStart"/>
      <w:r>
        <w:t>Choi</w:t>
      </w:r>
      <w:proofErr w:type="spellEnd"/>
      <w:r>
        <w:t xml:space="preserve">, S.J., </w:t>
      </w:r>
      <w:proofErr w:type="spellStart"/>
      <w:r>
        <w:t>Fisch</w:t>
      </w:r>
      <w:proofErr w:type="spellEnd"/>
      <w:r>
        <w:t xml:space="preserve">, J.E. and </w:t>
      </w:r>
      <w:proofErr w:type="spellStart"/>
      <w:r>
        <w:t>Kahan</w:t>
      </w:r>
      <w:proofErr w:type="spellEnd"/>
      <w:r>
        <w:t xml:space="preserve">, M., </w:t>
      </w:r>
      <w:r>
        <w:rPr>
          <w:i/>
        </w:rPr>
        <w:t xml:space="preserve">The Power of Proxy Advisors: Myth or Reality, </w:t>
      </w:r>
      <w:r>
        <w:t>Emory Law Journal 2010, pp. 649-918.</w:t>
      </w:r>
    </w:p>
  </w:footnote>
  <w:footnote w:id="6">
    <w:p w:rsidR="00F656C6" w:rsidRDefault="00F656C6" w:rsidP="00E27A34">
      <w:pPr>
        <w:pStyle w:val="FootnoteText"/>
      </w:pPr>
      <w:r>
        <w:rPr>
          <w:rStyle w:val="FootnoteReference"/>
        </w:rPr>
        <w:footnoteRef/>
      </w:r>
      <w:r>
        <w:t xml:space="preserve"> Schouten, </w:t>
      </w:r>
      <w:r>
        <w:rPr>
          <w:i/>
        </w:rPr>
        <w:t xml:space="preserve">supra </w:t>
      </w:r>
      <w:r>
        <w:t xml:space="preserve">n.6; Schouten, Michael, </w:t>
      </w:r>
      <w:r>
        <w:rPr>
          <w:i/>
        </w:rPr>
        <w:t xml:space="preserve">The Mechanisms of Voting Efficiency, </w:t>
      </w:r>
      <w:r>
        <w:t xml:space="preserve">Columbia Business Law Review 2010, p. 763; </w:t>
      </w:r>
      <w:proofErr w:type="spellStart"/>
      <w:r>
        <w:t>Choi</w:t>
      </w:r>
      <w:proofErr w:type="spellEnd"/>
      <w:r>
        <w:t xml:space="preserve">, S.J., </w:t>
      </w:r>
      <w:proofErr w:type="spellStart"/>
      <w:r>
        <w:t>Fisch</w:t>
      </w:r>
      <w:proofErr w:type="spellEnd"/>
      <w:r>
        <w:t xml:space="preserve">, J.E. and </w:t>
      </w:r>
      <w:proofErr w:type="spellStart"/>
      <w:r>
        <w:t>Kahan</w:t>
      </w:r>
      <w:proofErr w:type="spellEnd"/>
      <w:r>
        <w:t xml:space="preserve">, M., </w:t>
      </w:r>
      <w:r>
        <w:rPr>
          <w:i/>
        </w:rPr>
        <w:t xml:space="preserve">The Power of Proxy Advisors: Myth or Reality, </w:t>
      </w:r>
      <w:r>
        <w:t>Emory Law Journal 2010, pp. 649-918.</w:t>
      </w:r>
    </w:p>
  </w:footnote>
  <w:footnote w:id="7">
    <w:p w:rsidR="00F656C6" w:rsidRPr="00542577" w:rsidRDefault="00F656C6" w:rsidP="00E27A34">
      <w:pPr>
        <w:pStyle w:val="FootnoteText"/>
      </w:pPr>
      <w:r>
        <w:rPr>
          <w:rStyle w:val="FootnoteReference"/>
        </w:rPr>
        <w:footnoteRef/>
      </w:r>
      <w:r>
        <w:t xml:space="preserve"> Schouten, </w:t>
      </w:r>
      <w:r>
        <w:rPr>
          <w:i/>
        </w:rPr>
        <w:t xml:space="preserve">supra </w:t>
      </w:r>
      <w:r>
        <w:t>n.6, p.16.</w:t>
      </w:r>
    </w:p>
  </w:footnote>
  <w:footnote w:id="8">
    <w:p w:rsidR="00F656C6" w:rsidRDefault="00F656C6" w:rsidP="00E27A34">
      <w:pPr>
        <w:pStyle w:val="FootnoteText"/>
      </w:pPr>
      <w:r>
        <w:rPr>
          <w:rStyle w:val="FootnoteReference"/>
        </w:rPr>
        <w:footnoteRef/>
      </w:r>
      <w:r>
        <w:t xml:space="preserve"> </w:t>
      </w:r>
      <w:r>
        <w:rPr>
          <w:rStyle w:val="st1"/>
          <w:rFonts w:cs="Arial"/>
          <w:color w:val="222222"/>
        </w:rPr>
        <w:t xml:space="preserve">Langley, Monica, </w:t>
      </w:r>
      <w:r w:rsidRPr="009D6C00">
        <w:rPr>
          <w:rStyle w:val="st1"/>
          <w:rFonts w:cs="Arial"/>
          <w:i/>
          <w:color w:val="222222"/>
        </w:rPr>
        <w:t xml:space="preserve">Want to lift your firm's rating on governance? </w:t>
      </w:r>
      <w:r w:rsidRPr="009D6C00">
        <w:rPr>
          <w:rStyle w:val="st1"/>
          <w:rFonts w:cs="Arial"/>
          <w:bCs/>
          <w:i/>
          <w:color w:val="000000"/>
        </w:rPr>
        <w:t>Buy the test</w:t>
      </w:r>
      <w:r w:rsidRPr="009D6C00">
        <w:rPr>
          <w:rStyle w:val="st1"/>
          <w:rFonts w:cs="Arial"/>
          <w:i/>
          <w:color w:val="222222"/>
        </w:rPr>
        <w:t>.</w:t>
      </w:r>
      <w:r w:rsidRPr="009D6C00">
        <w:rPr>
          <w:rStyle w:val="st1"/>
          <w:rFonts w:cs="Arial"/>
          <w:color w:val="222222"/>
        </w:rPr>
        <w:t xml:space="preserve"> </w:t>
      </w:r>
      <w:r w:rsidRPr="009D6C00">
        <w:rPr>
          <w:rStyle w:val="st1"/>
          <w:rFonts w:cs="Arial"/>
          <w:bCs/>
          <w:color w:val="000000"/>
        </w:rPr>
        <w:t>Wall Street Journal</w:t>
      </w:r>
      <w:r>
        <w:rPr>
          <w:rStyle w:val="st1"/>
          <w:rFonts w:cs="Arial"/>
          <w:bCs/>
          <w:color w:val="000000"/>
        </w:rPr>
        <w:t xml:space="preserve"> </w:t>
      </w:r>
      <w:r>
        <w:rPr>
          <w:rStyle w:val="st1"/>
          <w:rFonts w:cs="Arial"/>
          <w:color w:val="222222"/>
        </w:rPr>
        <w:t>(2003, June 6).</w:t>
      </w:r>
    </w:p>
  </w:footnote>
  <w:footnote w:id="9">
    <w:p w:rsidR="00F656C6" w:rsidRPr="00D50F1F" w:rsidRDefault="00F656C6" w:rsidP="00E27A34">
      <w:pPr>
        <w:pStyle w:val="FootnoteText"/>
      </w:pPr>
      <w:r>
        <w:rPr>
          <w:rStyle w:val="FootnoteReference"/>
        </w:rPr>
        <w:footnoteRef/>
      </w:r>
      <w:r>
        <w:t xml:space="preserve"> </w:t>
      </w:r>
      <w:proofErr w:type="spellStart"/>
      <w:r>
        <w:t>Belinfanti</w:t>
      </w:r>
      <w:proofErr w:type="spellEnd"/>
      <w:r>
        <w:t xml:space="preserve">, </w:t>
      </w:r>
      <w:r>
        <w:rPr>
          <w:i/>
        </w:rPr>
        <w:t>supra</w:t>
      </w:r>
      <w:r>
        <w:t xml:space="preserve"> n.5.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Layout w:type="fixed"/>
      <w:tblLook w:val="0000"/>
    </w:tblPr>
    <w:tblGrid>
      <w:gridCol w:w="6487"/>
      <w:gridCol w:w="2977"/>
    </w:tblGrid>
    <w:tr w:rsidR="00F656C6">
      <w:trPr>
        <w:trHeight w:val="360"/>
      </w:trPr>
      <w:tc>
        <w:tcPr>
          <w:tcW w:w="6487" w:type="dxa"/>
        </w:tcPr>
        <w:p w:rsidR="00F656C6" w:rsidRDefault="00F656C6">
          <w:r>
            <w:rPr>
              <w:noProof/>
              <w:lang w:eastAsia="en-GB"/>
            </w:rPr>
            <w:drawing>
              <wp:inline distT="0" distB="0" distL="0" distR="0">
                <wp:extent cx="2876550" cy="295275"/>
                <wp:effectExtent l="19050" t="0" r="0" b="0"/>
                <wp:docPr id="1" name="Picture 1" descr="Eq_Own_Service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_Own_Service_540"/>
                        <pic:cNvPicPr>
                          <a:picLocks noChangeAspect="1" noChangeArrowheads="1"/>
                        </pic:cNvPicPr>
                      </pic:nvPicPr>
                      <pic:blipFill>
                        <a:blip r:embed="rId1"/>
                        <a:srcRect/>
                        <a:stretch>
                          <a:fillRect/>
                        </a:stretch>
                      </pic:blipFill>
                      <pic:spPr bwMode="auto">
                        <a:xfrm>
                          <a:off x="0" y="0"/>
                          <a:ext cx="2876550" cy="295275"/>
                        </a:xfrm>
                        <a:prstGeom prst="rect">
                          <a:avLst/>
                        </a:prstGeom>
                        <a:noFill/>
                        <a:ln w="9525">
                          <a:noFill/>
                          <a:miter lim="800000"/>
                          <a:headEnd/>
                          <a:tailEnd/>
                        </a:ln>
                      </pic:spPr>
                    </pic:pic>
                  </a:graphicData>
                </a:graphic>
              </wp:inline>
            </w:drawing>
          </w:r>
        </w:p>
      </w:tc>
      <w:tc>
        <w:tcPr>
          <w:tcW w:w="2977" w:type="dxa"/>
        </w:tcPr>
        <w:p w:rsidR="00F656C6" w:rsidRDefault="00F656C6">
          <w:pPr>
            <w:spacing w:line="220" w:lineRule="exact"/>
            <w:rPr>
              <w:color w:val="003867"/>
              <w:sz w:val="18"/>
            </w:rPr>
          </w:pPr>
          <w:r>
            <w:rPr>
              <w:color w:val="003867"/>
              <w:sz w:val="18"/>
            </w:rPr>
            <w:t>Hermes Equity</w:t>
          </w:r>
          <w:r>
            <w:rPr>
              <w:color w:val="003867"/>
              <w:sz w:val="18"/>
            </w:rPr>
            <w:br/>
            <w:t>Ownership Services Limited</w:t>
          </w:r>
        </w:p>
        <w:p w:rsidR="00F656C6" w:rsidRDefault="00F656C6">
          <w:pPr>
            <w:spacing w:line="220" w:lineRule="exact"/>
            <w:rPr>
              <w:color w:val="003867"/>
              <w:sz w:val="18"/>
            </w:rPr>
          </w:pPr>
          <w:smartTag w:uri="urn:schemas-microsoft-com:office:smarttags" w:element="Street">
            <w:smartTag w:uri="urn:schemas-microsoft-com:office:smarttags" w:element="address">
              <w:r>
                <w:rPr>
                  <w:color w:val="003867"/>
                  <w:sz w:val="18"/>
                </w:rPr>
                <w:t xml:space="preserve">1 </w:t>
              </w:r>
              <w:proofErr w:type="spellStart"/>
              <w:r>
                <w:rPr>
                  <w:color w:val="003867"/>
                  <w:sz w:val="18"/>
                </w:rPr>
                <w:t>Portsoken</w:t>
              </w:r>
              <w:proofErr w:type="spellEnd"/>
              <w:r>
                <w:rPr>
                  <w:color w:val="003867"/>
                  <w:sz w:val="18"/>
                </w:rPr>
                <w:t xml:space="preserve"> Street</w:t>
              </w:r>
            </w:smartTag>
          </w:smartTag>
        </w:p>
        <w:p w:rsidR="00F656C6" w:rsidRDefault="00F656C6">
          <w:pPr>
            <w:spacing w:line="220" w:lineRule="exact"/>
            <w:rPr>
              <w:color w:val="003867"/>
              <w:sz w:val="18"/>
            </w:rPr>
          </w:pPr>
          <w:smartTag w:uri="urn:schemas-microsoft-com:office:smarttags" w:element="City">
            <w:smartTag w:uri="urn:schemas-microsoft-com:office:smarttags" w:element="place">
              <w:r>
                <w:rPr>
                  <w:color w:val="003867"/>
                  <w:sz w:val="18"/>
                </w:rPr>
                <w:t>London</w:t>
              </w:r>
            </w:smartTag>
          </w:smartTag>
          <w:r>
            <w:rPr>
              <w:color w:val="003867"/>
              <w:sz w:val="18"/>
            </w:rPr>
            <w:t xml:space="preserve"> E1 8HZ</w:t>
          </w:r>
        </w:p>
        <w:p w:rsidR="00F656C6" w:rsidRDefault="00F656C6">
          <w:pPr>
            <w:spacing w:line="220" w:lineRule="exact"/>
            <w:rPr>
              <w:color w:val="003867"/>
              <w:sz w:val="18"/>
            </w:rPr>
          </w:pPr>
          <w:smartTag w:uri="urn:schemas-microsoft-com:office:smarttags" w:element="country-region">
            <w:smartTag w:uri="urn:schemas-microsoft-com:office:smarttags" w:element="place">
              <w:r>
                <w:rPr>
                  <w:color w:val="003867"/>
                  <w:sz w:val="18"/>
                </w:rPr>
                <w:t>United Kingdom</w:t>
              </w:r>
            </w:smartTag>
          </w:smartTag>
        </w:p>
        <w:p w:rsidR="00F656C6" w:rsidRDefault="00F656C6">
          <w:pPr>
            <w:spacing w:line="220" w:lineRule="exact"/>
            <w:rPr>
              <w:color w:val="003867"/>
              <w:sz w:val="18"/>
            </w:rPr>
          </w:pPr>
        </w:p>
        <w:p w:rsidR="00F656C6" w:rsidRDefault="00F656C6">
          <w:pPr>
            <w:spacing w:line="220" w:lineRule="exact"/>
            <w:rPr>
              <w:color w:val="003867"/>
              <w:sz w:val="18"/>
            </w:rPr>
          </w:pPr>
          <w:r>
            <w:rPr>
              <w:color w:val="003867"/>
              <w:sz w:val="18"/>
            </w:rPr>
            <w:t>Tel:    +44 (0)20 7702 0888</w:t>
          </w:r>
        </w:p>
        <w:p w:rsidR="00F656C6" w:rsidRDefault="00F656C6">
          <w:pPr>
            <w:spacing w:line="220" w:lineRule="exact"/>
            <w:rPr>
              <w:color w:val="003867"/>
              <w:sz w:val="18"/>
            </w:rPr>
          </w:pPr>
          <w:r>
            <w:rPr>
              <w:color w:val="003867"/>
              <w:sz w:val="18"/>
            </w:rPr>
            <w:t>Fax:   +44 (0)20 7702 9452</w:t>
          </w:r>
        </w:p>
        <w:p w:rsidR="00F656C6" w:rsidRDefault="00F656C6">
          <w:pPr>
            <w:spacing w:line="220" w:lineRule="exact"/>
            <w:rPr>
              <w:color w:val="003867"/>
              <w:sz w:val="18"/>
            </w:rPr>
          </w:pPr>
        </w:p>
        <w:p w:rsidR="00F656C6" w:rsidRDefault="00F656C6">
          <w:pPr>
            <w:spacing w:line="220" w:lineRule="exact"/>
            <w:rPr>
              <w:color w:val="003867"/>
              <w:sz w:val="18"/>
            </w:rPr>
          </w:pPr>
          <w:r>
            <w:rPr>
              <w:color w:val="003867"/>
              <w:sz w:val="18"/>
            </w:rPr>
            <w:t>www.hermes.co.uk</w:t>
          </w:r>
        </w:p>
        <w:p w:rsidR="00F656C6" w:rsidRDefault="00F656C6">
          <w:pPr>
            <w:pStyle w:val="Header"/>
            <w:tabs>
              <w:tab w:val="clear" w:pos="4153"/>
              <w:tab w:val="clear" w:pos="8306"/>
            </w:tabs>
          </w:pPr>
        </w:p>
      </w:tc>
    </w:tr>
  </w:tbl>
  <w:p w:rsidR="00F656C6" w:rsidRDefault="00F656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6D0"/>
    <w:multiLevelType w:val="hybridMultilevel"/>
    <w:tmpl w:val="6BD2EB5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nsid w:val="27A77AC6"/>
    <w:multiLevelType w:val="hybridMultilevel"/>
    <w:tmpl w:val="9E2A2FC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3A4E60"/>
    <w:multiLevelType w:val="hybridMultilevel"/>
    <w:tmpl w:val="0D1EAD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BE3E60"/>
    <w:multiLevelType w:val="hybridMultilevel"/>
    <w:tmpl w:val="164832CE"/>
    <w:lvl w:ilvl="0" w:tplc="CDC454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3C0405"/>
    <w:multiLevelType w:val="hybridMultilevel"/>
    <w:tmpl w:val="D18EB8E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C97442"/>
    <w:multiLevelType w:val="hybridMultilevel"/>
    <w:tmpl w:val="1A048F38"/>
    <w:lvl w:ilvl="0" w:tplc="08090017">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rsids>
    <w:rsidRoot w:val="004D722D"/>
    <w:rsid w:val="00020E4D"/>
    <w:rsid w:val="00117F14"/>
    <w:rsid w:val="001304F3"/>
    <w:rsid w:val="00141D10"/>
    <w:rsid w:val="001554D3"/>
    <w:rsid w:val="001E3BE9"/>
    <w:rsid w:val="002E07C4"/>
    <w:rsid w:val="002F548C"/>
    <w:rsid w:val="004046C6"/>
    <w:rsid w:val="00486CB3"/>
    <w:rsid w:val="004D722D"/>
    <w:rsid w:val="00502E2D"/>
    <w:rsid w:val="00505AC5"/>
    <w:rsid w:val="005249DD"/>
    <w:rsid w:val="00543018"/>
    <w:rsid w:val="00691A6B"/>
    <w:rsid w:val="007130FE"/>
    <w:rsid w:val="00816370"/>
    <w:rsid w:val="00822E4E"/>
    <w:rsid w:val="00911BC8"/>
    <w:rsid w:val="00973E1C"/>
    <w:rsid w:val="0098707F"/>
    <w:rsid w:val="009A40A8"/>
    <w:rsid w:val="009B7720"/>
    <w:rsid w:val="009D1BA9"/>
    <w:rsid w:val="009E7ADA"/>
    <w:rsid w:val="009F1F21"/>
    <w:rsid w:val="00A57AF3"/>
    <w:rsid w:val="00A70503"/>
    <w:rsid w:val="00B052C9"/>
    <w:rsid w:val="00C56679"/>
    <w:rsid w:val="00CD42BA"/>
    <w:rsid w:val="00CD6CE9"/>
    <w:rsid w:val="00D127B1"/>
    <w:rsid w:val="00D71AB6"/>
    <w:rsid w:val="00DC62E8"/>
    <w:rsid w:val="00DF1656"/>
    <w:rsid w:val="00E27A34"/>
    <w:rsid w:val="00EC3495"/>
    <w:rsid w:val="00F46D81"/>
    <w:rsid w:val="00F656C6"/>
    <w:rsid w:val="00FA63C6"/>
    <w:rsid w:val="00FC199B"/>
    <w:rsid w:val="00FD6760"/>
    <w:rsid w:val="00FE76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22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9DD"/>
    <w:pPr>
      <w:tabs>
        <w:tab w:val="center" w:pos="4153"/>
        <w:tab w:val="right" w:pos="8306"/>
      </w:tabs>
    </w:pPr>
  </w:style>
  <w:style w:type="paragraph" w:styleId="Footer">
    <w:name w:val="footer"/>
    <w:basedOn w:val="Normal"/>
    <w:rsid w:val="005249DD"/>
    <w:pPr>
      <w:tabs>
        <w:tab w:val="center" w:pos="4153"/>
        <w:tab w:val="right" w:pos="8306"/>
      </w:tabs>
    </w:pPr>
  </w:style>
  <w:style w:type="paragraph" w:styleId="BalloonText">
    <w:name w:val="Balloon Text"/>
    <w:basedOn w:val="Normal"/>
    <w:link w:val="BalloonTextChar"/>
    <w:rsid w:val="001E3BE9"/>
    <w:rPr>
      <w:rFonts w:ascii="Tahoma" w:hAnsi="Tahoma" w:cs="Tahoma"/>
      <w:sz w:val="16"/>
      <w:szCs w:val="16"/>
    </w:rPr>
  </w:style>
  <w:style w:type="character" w:customStyle="1" w:styleId="BalloonTextChar">
    <w:name w:val="Balloon Text Char"/>
    <w:basedOn w:val="DefaultParagraphFont"/>
    <w:link w:val="BalloonText"/>
    <w:rsid w:val="001E3BE9"/>
    <w:rPr>
      <w:rFonts w:ascii="Tahoma" w:eastAsia="MS Mincho" w:hAnsi="Tahoma" w:cs="Tahoma"/>
      <w:sz w:val="16"/>
      <w:szCs w:val="16"/>
      <w:lang w:eastAsia="ja-JP"/>
    </w:rPr>
  </w:style>
  <w:style w:type="paragraph" w:styleId="ListParagraph">
    <w:name w:val="List Paragraph"/>
    <w:basedOn w:val="Normal"/>
    <w:uiPriority w:val="34"/>
    <w:qFormat/>
    <w:rsid w:val="001554D3"/>
    <w:pPr>
      <w:spacing w:after="120"/>
      <w:ind w:left="720"/>
      <w:contextualSpacing/>
    </w:pPr>
    <w:rPr>
      <w:rFonts w:ascii="Arial" w:eastAsiaTheme="minorEastAsia" w:hAnsi="Arial" w:cstheme="minorBidi"/>
      <w:sz w:val="22"/>
      <w:szCs w:val="22"/>
      <w:lang w:eastAsia="en-US" w:bidi="en-US"/>
    </w:rPr>
  </w:style>
  <w:style w:type="paragraph" w:styleId="PlainText">
    <w:name w:val="Plain Text"/>
    <w:basedOn w:val="Normal"/>
    <w:link w:val="PlainTextChar"/>
    <w:uiPriority w:val="99"/>
    <w:unhideWhenUsed/>
    <w:rsid w:val="001554D3"/>
    <w:rPr>
      <w:rFonts w:ascii="Consolas" w:eastAsiaTheme="minorHAnsi" w:hAnsi="Consolas" w:cstheme="minorBidi"/>
      <w:sz w:val="21"/>
      <w:szCs w:val="21"/>
      <w:lang w:eastAsia="en-US" w:bidi="en-US"/>
    </w:rPr>
  </w:style>
  <w:style w:type="character" w:customStyle="1" w:styleId="PlainTextChar">
    <w:name w:val="Plain Text Char"/>
    <w:basedOn w:val="DefaultParagraphFont"/>
    <w:link w:val="PlainText"/>
    <w:uiPriority w:val="99"/>
    <w:rsid w:val="001554D3"/>
    <w:rPr>
      <w:rFonts w:ascii="Consolas" w:eastAsiaTheme="minorHAnsi" w:hAnsi="Consolas" w:cstheme="minorBidi"/>
      <w:sz w:val="21"/>
      <w:szCs w:val="21"/>
      <w:lang w:eastAsia="en-US" w:bidi="en-US"/>
    </w:rPr>
  </w:style>
  <w:style w:type="table" w:styleId="TableGrid">
    <w:name w:val="Table Grid"/>
    <w:basedOn w:val="TableNormal"/>
    <w:rsid w:val="001554D3"/>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1">
    <w:name w:val="Body 1"/>
    <w:rsid w:val="004046C6"/>
    <w:pPr>
      <w:spacing w:after="200" w:line="276" w:lineRule="auto"/>
      <w:outlineLvl w:val="0"/>
    </w:pPr>
    <w:rPr>
      <w:rFonts w:ascii="Helvetica" w:eastAsia="ヒラギノ角ゴ Pro W3" w:hAnsi="Helvetica"/>
      <w:color w:val="000000"/>
      <w:sz w:val="22"/>
      <w:lang w:val="en-US"/>
    </w:rPr>
  </w:style>
  <w:style w:type="character" w:styleId="Hyperlink">
    <w:name w:val="Hyperlink"/>
    <w:basedOn w:val="DefaultParagraphFont"/>
    <w:rsid w:val="00141D10"/>
    <w:rPr>
      <w:color w:val="0000FF" w:themeColor="hyperlink"/>
      <w:u w:val="single"/>
    </w:rPr>
  </w:style>
  <w:style w:type="character" w:styleId="FollowedHyperlink">
    <w:name w:val="FollowedHyperlink"/>
    <w:basedOn w:val="DefaultParagraphFont"/>
    <w:rsid w:val="00FE764B"/>
    <w:rPr>
      <w:color w:val="800080" w:themeColor="followedHyperlink"/>
      <w:u w:val="single"/>
    </w:rPr>
  </w:style>
  <w:style w:type="paragraph" w:styleId="FootnoteText">
    <w:name w:val="footnote text"/>
    <w:basedOn w:val="Normal"/>
    <w:link w:val="FootnoteTextChar"/>
    <w:rsid w:val="00E27A34"/>
    <w:rPr>
      <w:rFonts w:ascii="Arial" w:eastAsiaTheme="minorEastAsia" w:hAnsi="Arial" w:cstheme="minorBidi"/>
      <w:sz w:val="20"/>
      <w:szCs w:val="20"/>
      <w:lang w:eastAsia="en-US" w:bidi="en-US"/>
    </w:rPr>
  </w:style>
  <w:style w:type="character" w:customStyle="1" w:styleId="FootnoteTextChar">
    <w:name w:val="Footnote Text Char"/>
    <w:basedOn w:val="DefaultParagraphFont"/>
    <w:link w:val="FootnoteText"/>
    <w:rsid w:val="00E27A34"/>
    <w:rPr>
      <w:rFonts w:ascii="Arial" w:eastAsiaTheme="minorEastAsia" w:hAnsi="Arial" w:cstheme="minorBidi"/>
      <w:lang w:eastAsia="en-US" w:bidi="en-US"/>
    </w:rPr>
  </w:style>
  <w:style w:type="character" w:styleId="FootnoteReference">
    <w:name w:val="footnote reference"/>
    <w:basedOn w:val="DefaultParagraphFont"/>
    <w:rsid w:val="00E27A34"/>
    <w:rPr>
      <w:vertAlign w:val="superscript"/>
    </w:rPr>
  </w:style>
  <w:style w:type="character" w:customStyle="1" w:styleId="st1">
    <w:name w:val="st1"/>
    <w:basedOn w:val="DefaultParagraphFont"/>
    <w:rsid w:val="00E27A34"/>
  </w:style>
</w:styles>
</file>

<file path=word/webSettings.xml><?xml version="1.0" encoding="utf-8"?>
<w:webSettings xmlns:r="http://schemas.openxmlformats.org/officeDocument/2006/relationships" xmlns:w="http://schemas.openxmlformats.org/wordprocessingml/2006/main">
  <w:divs>
    <w:div w:id="897864005">
      <w:bodyDiv w:val="1"/>
      <w:marLeft w:val="0"/>
      <w:marRight w:val="0"/>
      <w:marTop w:val="0"/>
      <w:marBottom w:val="0"/>
      <w:divBdr>
        <w:top w:val="none" w:sz="0" w:space="0" w:color="auto"/>
        <w:left w:val="none" w:sz="0" w:space="0" w:color="auto"/>
        <w:bottom w:val="none" w:sz="0" w:space="0" w:color="auto"/>
        <w:right w:val="none" w:sz="0" w:space="0" w:color="auto"/>
      </w:divBdr>
    </w:div>
    <w:div w:id="14263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s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srn.com/abstract=1978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ermes\global\templates\standard\HEOS\EO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EOS Letterhead</Template>
  <TotalTime>18</TotalTime>
  <Pages>9</Pages>
  <Words>2908</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Hermes Pensions Management Limited</Company>
  <LinksUpToDate>false</LinksUpToDate>
  <CharactersWithSpaces>19078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munzerm</dc:creator>
  <cp:keywords/>
  <dc:description/>
  <cp:lastModifiedBy>zhirovm</cp:lastModifiedBy>
  <cp:revision>6</cp:revision>
  <cp:lastPrinted>2012-03-23T09:56:00Z</cp:lastPrinted>
  <dcterms:created xsi:type="dcterms:W3CDTF">2012-06-18T15:33:00Z</dcterms:created>
  <dcterms:modified xsi:type="dcterms:W3CDTF">2012-06-25T16:14:00Z</dcterms:modified>
</cp:coreProperties>
</file>