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5" w:type="dxa"/>
        <w:tblInd w:w="-214" w:type="dxa"/>
        <w:tblLayout w:type="fixed"/>
        <w:tblCellMar>
          <w:left w:w="70" w:type="dxa"/>
          <w:right w:w="70" w:type="dxa"/>
        </w:tblCellMar>
        <w:tblLook w:val="0000" w:firstRow="0" w:lastRow="0" w:firstColumn="0" w:lastColumn="0" w:noHBand="0" w:noVBand="0"/>
      </w:tblPr>
      <w:tblGrid>
        <w:gridCol w:w="5316"/>
        <w:gridCol w:w="4649"/>
      </w:tblGrid>
      <w:tr w:rsidR="00E245DF" w:rsidRPr="005B542C" w:rsidTr="000F2831">
        <w:trPr>
          <w:trHeight w:hRule="exact" w:val="2977"/>
        </w:trPr>
        <w:tc>
          <w:tcPr>
            <w:tcW w:w="5316" w:type="dxa"/>
          </w:tcPr>
          <w:p w:rsidR="00E245DF" w:rsidRPr="00100D95" w:rsidRDefault="00E245DF" w:rsidP="001453AB">
            <w:pPr>
              <w:rPr>
                <w:b/>
                <w:lang w:val="en-GB"/>
              </w:rPr>
            </w:pPr>
          </w:p>
          <w:p w:rsidR="00E245DF" w:rsidRDefault="00E245DF" w:rsidP="001453AB">
            <w:pPr>
              <w:rPr>
                <w:lang w:val="en-GB"/>
              </w:rPr>
            </w:pPr>
          </w:p>
          <w:p w:rsidR="00A80552" w:rsidRPr="000F2831" w:rsidRDefault="00662ADF" w:rsidP="001453AB">
            <w:pPr>
              <w:rPr>
                <w:b/>
                <w:lang w:val="en-GB"/>
              </w:rPr>
            </w:pPr>
            <w:r>
              <w:rPr>
                <w:b/>
                <w:lang w:val="en-GB"/>
              </w:rPr>
              <w:t>ESMA</w:t>
            </w:r>
          </w:p>
          <w:p w:rsidR="00F534C9" w:rsidRPr="00100D95" w:rsidRDefault="00F534C9" w:rsidP="00F534C9">
            <w:pPr>
              <w:rPr>
                <w:lang w:val="en-GB"/>
              </w:rPr>
            </w:pPr>
          </w:p>
        </w:tc>
        <w:tc>
          <w:tcPr>
            <w:tcW w:w="4649" w:type="dxa"/>
          </w:tcPr>
          <w:p w:rsidR="00E245DF" w:rsidRPr="00D56066" w:rsidRDefault="00E245DF" w:rsidP="001453AB">
            <w:pPr>
              <w:rPr>
                <w:b/>
                <w:lang w:val="en-GB"/>
              </w:rPr>
            </w:pPr>
          </w:p>
          <w:p w:rsidR="00E245DF" w:rsidRPr="00D56066" w:rsidRDefault="00E245DF" w:rsidP="001453AB">
            <w:pPr>
              <w:rPr>
                <w:b/>
                <w:lang w:val="en-GB"/>
              </w:rPr>
            </w:pPr>
          </w:p>
          <w:p w:rsidR="00E245DF" w:rsidRPr="00D56066" w:rsidRDefault="00E245DF" w:rsidP="001453AB">
            <w:pPr>
              <w:rPr>
                <w:b/>
                <w:lang w:val="en-GB"/>
              </w:rPr>
            </w:pPr>
          </w:p>
          <w:p w:rsidR="00D56066" w:rsidRPr="00D364F4" w:rsidRDefault="00D56066" w:rsidP="00D56066">
            <w:pPr>
              <w:spacing w:line="260" w:lineRule="atLeast"/>
              <w:jc w:val="right"/>
              <w:rPr>
                <w:b/>
                <w:bCs/>
                <w:noProof/>
                <w:color w:val="000000"/>
                <w:sz w:val="18"/>
                <w:szCs w:val="18"/>
                <w:lang w:val="en-GB"/>
              </w:rPr>
            </w:pPr>
            <w:r w:rsidRPr="00D364F4">
              <w:rPr>
                <w:b/>
                <w:bCs/>
                <w:noProof/>
                <w:color w:val="000000"/>
                <w:sz w:val="18"/>
                <w:szCs w:val="18"/>
                <w:lang w:val="en-GB"/>
              </w:rPr>
              <w:t>Division Bank and Insurance</w:t>
            </w:r>
          </w:p>
          <w:p w:rsidR="00D56066" w:rsidRPr="00D364F4" w:rsidRDefault="00D56066" w:rsidP="00D56066">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rsidR="00D56066" w:rsidRPr="00D364F4" w:rsidRDefault="00D56066" w:rsidP="00D56066">
            <w:pPr>
              <w:spacing w:line="260" w:lineRule="atLeast"/>
              <w:jc w:val="right"/>
              <w:rPr>
                <w:color w:val="000000"/>
                <w:sz w:val="18"/>
                <w:szCs w:val="18"/>
              </w:rPr>
            </w:pPr>
            <w:r w:rsidRPr="00D364F4">
              <w:rPr>
                <w:noProof/>
                <w:color w:val="000000"/>
                <w:sz w:val="18"/>
                <w:szCs w:val="18"/>
              </w:rPr>
              <w:t>Wiedner Hauptstraße 63 | P.O. Box 320</w:t>
            </w:r>
          </w:p>
          <w:p w:rsidR="00D56066" w:rsidRPr="00D364F4" w:rsidRDefault="00D56066" w:rsidP="00D56066">
            <w:pPr>
              <w:spacing w:line="260" w:lineRule="atLeast"/>
              <w:jc w:val="right"/>
              <w:rPr>
                <w:color w:val="000000"/>
                <w:sz w:val="18"/>
                <w:szCs w:val="18"/>
              </w:rPr>
            </w:pPr>
            <w:r w:rsidRPr="00D364F4">
              <w:rPr>
                <w:noProof/>
                <w:color w:val="000000"/>
                <w:sz w:val="18"/>
                <w:szCs w:val="18"/>
              </w:rPr>
              <w:t>1045 Vienna</w:t>
            </w:r>
          </w:p>
          <w:p w:rsidR="00D56066" w:rsidRPr="00D364F4" w:rsidRDefault="00D56066" w:rsidP="00D56066">
            <w:pPr>
              <w:spacing w:line="260" w:lineRule="atLeast"/>
              <w:jc w:val="right"/>
              <w:rPr>
                <w:color w:val="000000"/>
                <w:sz w:val="18"/>
                <w:szCs w:val="18"/>
              </w:rPr>
            </w:pPr>
            <w:r w:rsidRPr="00D364F4">
              <w:rPr>
                <w:noProof/>
                <w:color w:val="000000"/>
                <w:sz w:val="18"/>
                <w:szCs w:val="18"/>
              </w:rPr>
              <w:t>T +43 (0)5 90 900-DW | F +43 (0)5 90 900-272</w:t>
            </w:r>
          </w:p>
          <w:p w:rsidR="00D56066" w:rsidRPr="00D364F4" w:rsidRDefault="00D56066" w:rsidP="00D56066">
            <w:pPr>
              <w:spacing w:line="260" w:lineRule="atLeast"/>
              <w:jc w:val="right"/>
              <w:rPr>
                <w:color w:val="000000"/>
                <w:sz w:val="18"/>
                <w:szCs w:val="18"/>
              </w:rPr>
            </w:pPr>
            <w:r w:rsidRPr="00D364F4">
              <w:rPr>
                <w:noProof/>
                <w:color w:val="000000"/>
                <w:sz w:val="18"/>
                <w:szCs w:val="18"/>
              </w:rPr>
              <w:t>E  bsbv@wko.at</w:t>
            </w:r>
          </w:p>
          <w:p w:rsidR="00E245DF" w:rsidRPr="00D56066" w:rsidRDefault="00D56066" w:rsidP="00D56066">
            <w:pPr>
              <w:jc w:val="right"/>
              <w:rPr>
                <w:lang w:val="en-GB"/>
              </w:rPr>
            </w:pPr>
            <w:r w:rsidRPr="00D364F4">
              <w:rPr>
                <w:noProof/>
                <w:color w:val="000000"/>
                <w:sz w:val="18"/>
                <w:szCs w:val="18"/>
                <w:lang w:val="en-GB"/>
              </w:rPr>
              <w:t>W  http://wko.at/bsbv</w:t>
            </w:r>
          </w:p>
        </w:tc>
      </w:tr>
    </w:tbl>
    <w:p w:rsidR="00E245DF" w:rsidRPr="00D56066" w:rsidRDefault="00E245DF" w:rsidP="00E245DF">
      <w:pPr>
        <w:tabs>
          <w:tab w:val="left" w:pos="2977"/>
          <w:tab w:val="left" w:pos="5954"/>
          <w:tab w:val="left" w:pos="7655"/>
          <w:tab w:val="left" w:pos="8364"/>
        </w:tabs>
        <w:ind w:right="-1"/>
        <w:rPr>
          <w:rFonts w:cs="Trebuchet MS"/>
          <w:sz w:val="16"/>
          <w:szCs w:val="16"/>
          <w:lang w:val="en-GB"/>
        </w:rPr>
      </w:pPr>
    </w:p>
    <w:p w:rsidR="00E245DF" w:rsidRPr="00A80552" w:rsidRDefault="00E245DF" w:rsidP="00E245DF">
      <w:pPr>
        <w:tabs>
          <w:tab w:val="left" w:pos="2977"/>
          <w:tab w:val="left" w:pos="5954"/>
          <w:tab w:val="left" w:pos="7655"/>
          <w:tab w:val="left" w:pos="8364"/>
        </w:tabs>
        <w:ind w:right="-1"/>
        <w:rPr>
          <w:rFonts w:cs="Trebuchet MS"/>
          <w:sz w:val="16"/>
          <w:szCs w:val="16"/>
          <w:lang w:val="de-AT"/>
        </w:rPr>
      </w:pPr>
      <w:r w:rsidRPr="00A80552">
        <w:rPr>
          <w:rFonts w:cs="Trebuchet MS"/>
          <w:sz w:val="16"/>
          <w:szCs w:val="16"/>
          <w:lang w:val="de-AT"/>
        </w:rPr>
        <w:t>Ihr Zeichen, Ihre Nachricht vom</w:t>
      </w:r>
      <w:r w:rsidRPr="00A80552">
        <w:rPr>
          <w:rFonts w:cs="Trebuchet MS"/>
          <w:sz w:val="16"/>
          <w:szCs w:val="16"/>
          <w:lang w:val="de-AT"/>
        </w:rPr>
        <w:tab/>
        <w:t>Unser Zeichen, Sacharbeiter</w:t>
      </w:r>
      <w:r w:rsidRPr="00A80552">
        <w:rPr>
          <w:rFonts w:cs="Trebuchet MS"/>
          <w:sz w:val="16"/>
          <w:szCs w:val="16"/>
          <w:lang w:val="de-AT"/>
        </w:rPr>
        <w:tab/>
        <w:t>Durchwahl</w:t>
      </w:r>
      <w:r w:rsidRPr="00A80552">
        <w:rPr>
          <w:rFonts w:cs="Trebuchet MS"/>
          <w:sz w:val="16"/>
          <w:szCs w:val="16"/>
          <w:lang w:val="de-AT"/>
        </w:rPr>
        <w:tab/>
        <w:t>Datum</w:t>
      </w:r>
    </w:p>
    <w:p w:rsidR="00E245DF" w:rsidRPr="00100D95" w:rsidRDefault="00E245DF" w:rsidP="00E245DF">
      <w:pPr>
        <w:tabs>
          <w:tab w:val="left" w:pos="2977"/>
          <w:tab w:val="left" w:pos="5954"/>
          <w:tab w:val="left" w:pos="7655"/>
        </w:tabs>
        <w:ind w:right="-1"/>
        <w:rPr>
          <w:rFonts w:cs="Trebuchet MS"/>
          <w:snapToGrid w:val="0"/>
          <w:color w:val="000000"/>
          <w:szCs w:val="22"/>
          <w:u w:color="000000"/>
          <w:lang w:val="en-GB"/>
        </w:rPr>
      </w:pPr>
      <w:r w:rsidRPr="00A80552">
        <w:rPr>
          <w:rFonts w:cs="Trebuchet MS"/>
          <w:snapToGrid w:val="0"/>
          <w:color w:val="000000"/>
          <w:u w:color="000000"/>
          <w:lang w:val="de-AT"/>
        </w:rPr>
        <w:tab/>
      </w:r>
      <w:r w:rsidRPr="00100D95">
        <w:rPr>
          <w:rFonts w:cs="Trebuchet MS"/>
          <w:snapToGrid w:val="0"/>
          <w:color w:val="000000"/>
          <w:szCs w:val="22"/>
          <w:u w:color="000000"/>
          <w:lang w:val="en-GB"/>
        </w:rPr>
        <w:t>BSBV 64/Dr. Priester/</w:t>
      </w:r>
      <w:r w:rsidR="001C4912" w:rsidRPr="00100D95">
        <w:rPr>
          <w:rFonts w:cs="Trebuchet MS"/>
          <w:snapToGrid w:val="0"/>
          <w:color w:val="000000"/>
          <w:szCs w:val="22"/>
          <w:u w:color="000000"/>
          <w:lang w:val="en-GB"/>
        </w:rPr>
        <w:t>Sc</w:t>
      </w:r>
      <w:r w:rsidR="00076293" w:rsidRPr="00100D95">
        <w:rPr>
          <w:rFonts w:cs="Trebuchet MS"/>
          <w:snapToGrid w:val="0"/>
          <w:color w:val="000000"/>
          <w:szCs w:val="22"/>
          <w:u w:color="000000"/>
          <w:lang w:val="en-GB"/>
        </w:rPr>
        <w:tab/>
        <w:t xml:space="preserve">3132            </w:t>
      </w:r>
      <w:r w:rsidR="00091E6A">
        <w:rPr>
          <w:rFonts w:cs="Trebuchet MS"/>
          <w:snapToGrid w:val="0"/>
          <w:color w:val="000000"/>
          <w:szCs w:val="22"/>
          <w:u w:color="000000"/>
          <w:lang w:val="en-GB"/>
        </w:rPr>
        <w:t>2</w:t>
      </w:r>
      <w:r w:rsidR="00076293" w:rsidRPr="00100D95">
        <w:rPr>
          <w:rFonts w:cs="Trebuchet MS"/>
          <w:snapToGrid w:val="0"/>
          <w:color w:val="000000"/>
          <w:szCs w:val="22"/>
          <w:u w:color="000000"/>
          <w:lang w:val="en-GB"/>
        </w:rPr>
        <w:t xml:space="preserve"> </w:t>
      </w:r>
      <w:r w:rsidR="00893D43">
        <w:rPr>
          <w:rFonts w:cs="Trebuchet MS"/>
          <w:snapToGrid w:val="0"/>
          <w:color w:val="000000"/>
          <w:szCs w:val="22"/>
          <w:u w:color="000000"/>
          <w:lang w:val="en-GB"/>
        </w:rPr>
        <w:t xml:space="preserve">March </w:t>
      </w:r>
      <w:r w:rsidR="006C0423" w:rsidRPr="00100D95">
        <w:rPr>
          <w:rFonts w:cs="Trebuchet MS"/>
          <w:snapToGrid w:val="0"/>
          <w:color w:val="000000"/>
          <w:szCs w:val="22"/>
          <w:u w:color="000000"/>
          <w:lang w:val="en-GB"/>
        </w:rPr>
        <w:t>2015</w:t>
      </w:r>
    </w:p>
    <w:p w:rsidR="00E736C4" w:rsidRDefault="00E736C4">
      <w:pPr>
        <w:rPr>
          <w:lang w:val="en-GB"/>
        </w:rPr>
      </w:pPr>
    </w:p>
    <w:p w:rsidR="00091E6A" w:rsidRPr="00100D95" w:rsidRDefault="00091E6A">
      <w:pPr>
        <w:rPr>
          <w:lang w:val="en-GB"/>
        </w:rPr>
      </w:pPr>
    </w:p>
    <w:p w:rsidR="00F03A28" w:rsidRPr="00F03A28" w:rsidRDefault="00D23647" w:rsidP="00F03A28">
      <w:pPr>
        <w:pStyle w:val="Default"/>
        <w:rPr>
          <w:rFonts w:ascii="Trebuchet MS" w:hAnsi="Trebuchet MS" w:cs="Arial"/>
          <w:sz w:val="22"/>
          <w:szCs w:val="22"/>
          <w:lang w:val="en-GB" w:eastAsia="en-US"/>
        </w:rPr>
      </w:pPr>
      <w:r w:rsidRPr="00F03A28">
        <w:rPr>
          <w:rFonts w:ascii="Trebuchet MS" w:hAnsi="Trebuchet MS"/>
          <w:sz w:val="22"/>
          <w:szCs w:val="22"/>
          <w:lang w:val="en-GB"/>
        </w:rPr>
        <w:t>Re:</w:t>
      </w:r>
      <w:r w:rsidR="00E245DF" w:rsidRPr="00100D95">
        <w:rPr>
          <w:b/>
          <w:szCs w:val="22"/>
          <w:lang w:val="en-GB"/>
        </w:rPr>
        <w:t xml:space="preserve"> </w:t>
      </w:r>
      <w:r w:rsidR="00091E6A" w:rsidRPr="00091E6A">
        <w:rPr>
          <w:rFonts w:ascii="Trebuchet MS" w:hAnsi="Trebuchet MS"/>
          <w:b/>
          <w:bCs/>
          <w:sz w:val="22"/>
          <w:szCs w:val="22"/>
          <w:u w:val="single"/>
          <w:lang w:val="en-GB"/>
        </w:rPr>
        <w:t xml:space="preserve">ESMA; MiFID/MiFIR </w:t>
      </w:r>
    </w:p>
    <w:tbl>
      <w:tblPr>
        <w:tblW w:w="9398" w:type="dxa"/>
        <w:tblBorders>
          <w:top w:val="nil"/>
          <w:left w:val="nil"/>
          <w:bottom w:val="nil"/>
          <w:right w:val="nil"/>
        </w:tblBorders>
        <w:tblLayout w:type="fixed"/>
        <w:tblLook w:val="0000" w:firstRow="0" w:lastRow="0" w:firstColumn="0" w:lastColumn="0" w:noHBand="0" w:noVBand="0"/>
      </w:tblPr>
      <w:tblGrid>
        <w:gridCol w:w="9398"/>
      </w:tblGrid>
      <w:tr w:rsidR="00F03A28" w:rsidRPr="005B542C" w:rsidTr="00091E6A">
        <w:trPr>
          <w:trHeight w:val="131"/>
        </w:trPr>
        <w:tc>
          <w:tcPr>
            <w:tcW w:w="9398" w:type="dxa"/>
          </w:tcPr>
          <w:p w:rsidR="00F03A28" w:rsidRPr="00F03A28" w:rsidRDefault="00F03A28" w:rsidP="00F03A28">
            <w:pPr>
              <w:autoSpaceDE w:val="0"/>
              <w:autoSpaceDN w:val="0"/>
              <w:adjustRightInd w:val="0"/>
              <w:spacing w:line="240" w:lineRule="auto"/>
              <w:rPr>
                <w:rFonts w:cs="Arial"/>
                <w:color w:val="000000"/>
                <w:szCs w:val="22"/>
                <w:lang w:val="en-GB" w:eastAsia="en-US"/>
              </w:rPr>
            </w:pPr>
          </w:p>
        </w:tc>
      </w:tr>
    </w:tbl>
    <w:p w:rsidR="00861BFF" w:rsidRDefault="00861BFF" w:rsidP="00100D95">
      <w:pPr>
        <w:rPr>
          <w:szCs w:val="22"/>
          <w:lang w:val="en-GB"/>
        </w:rPr>
      </w:pPr>
    </w:p>
    <w:p w:rsidR="00861BFF" w:rsidRPr="00AE2D6E" w:rsidRDefault="00861BFF" w:rsidP="00861BFF">
      <w:pPr>
        <w:rPr>
          <w:szCs w:val="22"/>
          <w:lang w:val="en-GB"/>
        </w:rPr>
      </w:pPr>
      <w:r w:rsidRPr="00AE2D6E">
        <w:rPr>
          <w:szCs w:val="22"/>
          <w:lang w:val="en-GB"/>
        </w:rPr>
        <w:t xml:space="preserve">The Division Bank and Insurance of the Austrian Federal Economic Chamber, as representative of the entire Austrian banking industry, appreciates the possibility to comment on the ESMA Consultation Paper regarding </w:t>
      </w:r>
      <w:r>
        <w:rPr>
          <w:rFonts w:cs="Arial"/>
          <w:bCs/>
          <w:color w:val="000000"/>
          <w:szCs w:val="22"/>
          <w:lang w:val="en-GB" w:eastAsia="en-US"/>
        </w:rPr>
        <w:t xml:space="preserve">MiFID/MiFIR </w:t>
      </w:r>
      <w:r w:rsidRPr="00AE2D6E">
        <w:rPr>
          <w:szCs w:val="22"/>
          <w:lang w:val="en-GB"/>
        </w:rPr>
        <w:t>and would like to submit the following position:</w:t>
      </w:r>
    </w:p>
    <w:p w:rsidR="00861BFF" w:rsidRDefault="00861BFF" w:rsidP="00100D95">
      <w:pPr>
        <w:rPr>
          <w:szCs w:val="22"/>
          <w:lang w:val="en-GB"/>
        </w:rPr>
      </w:pPr>
    </w:p>
    <w:p w:rsidR="00861BFF" w:rsidRPr="00861BFF" w:rsidRDefault="00861BFF" w:rsidP="00861BFF">
      <w:pPr>
        <w:autoSpaceDE w:val="0"/>
        <w:autoSpaceDN w:val="0"/>
        <w:adjustRightInd w:val="0"/>
        <w:rPr>
          <w:rFonts w:cs="Arial"/>
          <w:b/>
          <w:bCs/>
          <w:color w:val="000000"/>
          <w:szCs w:val="22"/>
          <w:lang w:val="en-US" w:eastAsia="zh-CN"/>
        </w:rPr>
      </w:pPr>
      <w:r w:rsidRPr="00861BFF">
        <w:rPr>
          <w:rFonts w:cs="Arial"/>
          <w:b/>
          <w:bCs/>
          <w:color w:val="000000"/>
          <w:szCs w:val="22"/>
          <w:lang w:val="en-US" w:eastAsia="zh-CN"/>
        </w:rPr>
        <w:t>8.2. Obligation to report transactions</w:t>
      </w:r>
    </w:p>
    <w:p w:rsidR="00861BFF" w:rsidRPr="00861BFF" w:rsidRDefault="00861BFF" w:rsidP="00861BFF">
      <w:pPr>
        <w:autoSpaceDE w:val="0"/>
        <w:autoSpaceDN w:val="0"/>
        <w:adjustRightInd w:val="0"/>
        <w:rPr>
          <w:rFonts w:cs="Arial"/>
          <w:b/>
          <w:bCs/>
          <w:color w:val="000000"/>
          <w:szCs w:val="22"/>
          <w:lang w:val="en-US" w:eastAsia="zh-CN"/>
        </w:rPr>
      </w:pPr>
    </w:p>
    <w:p w:rsidR="00861BFF" w:rsidRPr="00861BFF" w:rsidRDefault="00893D43" w:rsidP="00861BFF">
      <w:pPr>
        <w:autoSpaceDE w:val="0"/>
        <w:autoSpaceDN w:val="0"/>
        <w:adjustRightInd w:val="0"/>
        <w:rPr>
          <w:rFonts w:cs="Arial"/>
          <w:b/>
          <w:bCs/>
          <w:color w:val="000000"/>
          <w:szCs w:val="22"/>
          <w:lang w:val="en-US" w:eastAsia="zh-CN"/>
        </w:rPr>
      </w:pPr>
      <w:r>
        <w:rPr>
          <w:rFonts w:cs="Arial"/>
          <w:b/>
          <w:bCs/>
          <w:color w:val="000000"/>
          <w:szCs w:val="22"/>
          <w:lang w:val="en-US" w:eastAsia="zh-CN"/>
        </w:rPr>
        <w:t>Clarifications on e</w:t>
      </w:r>
      <w:r w:rsidR="00861BFF" w:rsidRPr="00861BFF">
        <w:rPr>
          <w:rFonts w:cs="Arial"/>
          <w:b/>
          <w:bCs/>
          <w:color w:val="000000"/>
          <w:szCs w:val="22"/>
          <w:lang w:val="en-US" w:eastAsia="zh-CN"/>
        </w:rPr>
        <w:t>xcluded activity</w:t>
      </w:r>
    </w:p>
    <w:p w:rsidR="00861BFF" w:rsidRPr="00861BFF" w:rsidRDefault="00861BFF" w:rsidP="00861BFF">
      <w:pPr>
        <w:autoSpaceDE w:val="0"/>
        <w:autoSpaceDN w:val="0"/>
        <w:adjustRightInd w:val="0"/>
        <w:rPr>
          <w:rFonts w:cs="Arial"/>
          <w:b/>
          <w:bCs/>
          <w:color w:val="000000"/>
          <w:szCs w:val="22"/>
          <w:lang w:val="en-US" w:eastAsia="zh-CN"/>
        </w:rPr>
      </w:pPr>
    </w:p>
    <w:p w:rsidR="00861BFF" w:rsidRPr="00861BFF" w:rsidRDefault="00861BFF" w:rsidP="00861BFF">
      <w:pPr>
        <w:autoSpaceDE w:val="0"/>
        <w:autoSpaceDN w:val="0"/>
        <w:adjustRightInd w:val="0"/>
        <w:rPr>
          <w:rFonts w:cs="Arial"/>
          <w:b/>
          <w:bCs/>
          <w:color w:val="000000"/>
          <w:szCs w:val="22"/>
          <w:lang w:val="en-US" w:eastAsia="zh-CN"/>
        </w:rPr>
      </w:pPr>
      <w:r w:rsidRPr="00861BFF">
        <w:rPr>
          <w:rFonts w:cs="Arial"/>
          <w:b/>
          <w:bCs/>
          <w:color w:val="000000"/>
          <w:szCs w:val="22"/>
          <w:lang w:val="en-US" w:eastAsia="zh-CN"/>
        </w:rPr>
        <w:t xml:space="preserve">Q215 CP p.566 </w:t>
      </w:r>
    </w:p>
    <w:p w:rsidR="00861BFF" w:rsidRPr="00861BFF" w:rsidRDefault="00861BFF" w:rsidP="00861BFF">
      <w:pPr>
        <w:autoSpaceDE w:val="0"/>
        <w:autoSpaceDN w:val="0"/>
        <w:adjustRightInd w:val="0"/>
        <w:rPr>
          <w:rFonts w:cs="Arial"/>
          <w:b/>
          <w:bCs/>
          <w:color w:val="000000"/>
          <w:szCs w:val="22"/>
          <w:lang w:val="en-US" w:eastAsia="zh-CN"/>
        </w:rPr>
      </w:pPr>
      <w:r w:rsidRPr="00861BFF">
        <w:rPr>
          <w:rFonts w:cs="Arial"/>
          <w:b/>
          <w:bCs/>
          <w:color w:val="000000"/>
          <w:szCs w:val="22"/>
          <w:lang w:val="en-US" w:eastAsia="zh-CN"/>
        </w:rPr>
        <w:t>“In your view, is there any other outcome or activity that should be excluded from the definition of transaction or execution? Please justify.”</w:t>
      </w:r>
    </w:p>
    <w:p w:rsidR="00861BFF" w:rsidRPr="00861BFF" w:rsidRDefault="00861BFF" w:rsidP="00861BFF">
      <w:pPr>
        <w:autoSpaceDE w:val="0"/>
        <w:autoSpaceDN w:val="0"/>
        <w:adjustRightInd w:val="0"/>
        <w:rPr>
          <w:rFonts w:cs="Arial"/>
          <w:b/>
          <w:bCs/>
          <w:color w:val="000000"/>
          <w:szCs w:val="22"/>
          <w:lang w:val="en-US" w:eastAsia="zh-CN"/>
        </w:rPr>
      </w:pPr>
    </w:p>
    <w:p w:rsidR="00861BFF" w:rsidRPr="00861BFF" w:rsidRDefault="00861BFF" w:rsidP="00861BFF">
      <w:pPr>
        <w:autoSpaceDE w:val="0"/>
        <w:autoSpaceDN w:val="0"/>
        <w:adjustRightInd w:val="0"/>
        <w:rPr>
          <w:rFonts w:cs="Arial"/>
          <w:bCs/>
          <w:color w:val="000000"/>
          <w:szCs w:val="22"/>
          <w:lang w:val="en-US" w:eastAsia="zh-CN"/>
        </w:rPr>
      </w:pPr>
      <w:r w:rsidRPr="00861BFF">
        <w:rPr>
          <w:rFonts w:cs="Arial"/>
          <w:bCs/>
          <w:color w:val="000000"/>
          <w:szCs w:val="22"/>
          <w:lang w:val="en-US" w:eastAsia="zh-CN"/>
        </w:rPr>
        <w:t>From our point of view, there are some more activities that should be clearly excluded from the definition of transaction / from the obligation to report:</w:t>
      </w:r>
    </w:p>
    <w:p w:rsidR="00861BFF" w:rsidRPr="00861BFF" w:rsidRDefault="00861BFF" w:rsidP="00861BFF">
      <w:pPr>
        <w:autoSpaceDE w:val="0"/>
        <w:autoSpaceDN w:val="0"/>
        <w:adjustRightInd w:val="0"/>
        <w:rPr>
          <w:rFonts w:cs="Arial"/>
          <w:bCs/>
          <w:color w:val="000000"/>
          <w:szCs w:val="22"/>
          <w:lang w:val="en-US" w:eastAsia="zh-CN"/>
        </w:rPr>
      </w:pPr>
    </w:p>
    <w:p w:rsidR="00861BFF" w:rsidRPr="00861BFF" w:rsidRDefault="00861BFF" w:rsidP="00861BFF">
      <w:pPr>
        <w:pStyle w:val="Listenabsatz"/>
        <w:numPr>
          <w:ilvl w:val="0"/>
          <w:numId w:val="18"/>
        </w:numPr>
        <w:autoSpaceDE w:val="0"/>
        <w:autoSpaceDN w:val="0"/>
        <w:adjustRightInd w:val="0"/>
        <w:rPr>
          <w:rFonts w:ascii="Trebuchet MS" w:hAnsi="Trebuchet MS" w:cs="Arial"/>
          <w:bCs/>
          <w:color w:val="000000"/>
          <w:sz w:val="22"/>
          <w:szCs w:val="22"/>
          <w:lang w:val="en-US" w:eastAsia="zh-CN"/>
        </w:rPr>
      </w:pPr>
      <w:r w:rsidRPr="00861BFF">
        <w:rPr>
          <w:rFonts w:ascii="Trebuchet MS" w:hAnsi="Trebuchet MS" w:cs="Arial"/>
          <w:bCs/>
          <w:color w:val="000000"/>
          <w:sz w:val="22"/>
          <w:szCs w:val="22"/>
          <w:lang w:val="en-US" w:eastAsia="zh-CN"/>
        </w:rPr>
        <w:t>account transfers without  change in ownership (already exempted)</w:t>
      </w:r>
      <w:r w:rsidR="00893D43">
        <w:rPr>
          <w:rFonts w:ascii="Trebuchet MS" w:hAnsi="Trebuchet MS" w:cs="Arial"/>
          <w:bCs/>
          <w:color w:val="000000"/>
          <w:sz w:val="22"/>
          <w:szCs w:val="22"/>
          <w:lang w:val="en-US" w:eastAsia="zh-CN"/>
        </w:rPr>
        <w:t>;</w:t>
      </w:r>
    </w:p>
    <w:p w:rsidR="00861BFF" w:rsidRPr="00861BFF" w:rsidRDefault="00861BFF" w:rsidP="00861BFF">
      <w:pPr>
        <w:pStyle w:val="Listenabsatz"/>
        <w:autoSpaceDE w:val="0"/>
        <w:autoSpaceDN w:val="0"/>
        <w:adjustRightInd w:val="0"/>
        <w:rPr>
          <w:rFonts w:ascii="Trebuchet MS" w:hAnsi="Trebuchet MS" w:cs="Arial"/>
          <w:bCs/>
          <w:color w:val="000000"/>
          <w:sz w:val="22"/>
          <w:szCs w:val="22"/>
          <w:lang w:val="en-US" w:eastAsia="zh-CN"/>
        </w:rPr>
      </w:pPr>
    </w:p>
    <w:p w:rsidR="00861BFF" w:rsidRPr="00861BFF" w:rsidRDefault="00861BFF" w:rsidP="00861BFF">
      <w:pPr>
        <w:pStyle w:val="Listenabsatz"/>
        <w:numPr>
          <w:ilvl w:val="0"/>
          <w:numId w:val="18"/>
        </w:numPr>
        <w:autoSpaceDE w:val="0"/>
        <w:autoSpaceDN w:val="0"/>
        <w:adjustRightInd w:val="0"/>
        <w:rPr>
          <w:rFonts w:ascii="Trebuchet MS" w:hAnsi="Trebuchet MS" w:cs="Arial"/>
          <w:bCs/>
          <w:color w:val="000000"/>
          <w:sz w:val="22"/>
          <w:szCs w:val="22"/>
          <w:lang w:val="en-US" w:eastAsia="zh-CN"/>
        </w:rPr>
      </w:pPr>
      <w:r w:rsidRPr="00861BFF">
        <w:rPr>
          <w:rFonts w:ascii="Trebuchet MS" w:hAnsi="Trebuchet MS" w:cs="Arial"/>
          <w:bCs/>
          <w:color w:val="000000"/>
          <w:sz w:val="22"/>
          <w:szCs w:val="22"/>
          <w:lang w:val="en-US" w:eastAsia="zh-CN"/>
        </w:rPr>
        <w:t xml:space="preserve">account  transfers (from/to another investment firm) with change in ownership due to </w:t>
      </w:r>
      <w:r w:rsidRPr="00861BFF">
        <w:rPr>
          <w:rFonts w:ascii="Trebuchet MS" w:hAnsi="Trebuchet MS" w:cs="Arial"/>
          <w:bCs/>
          <w:i/>
          <w:color w:val="000000"/>
          <w:sz w:val="22"/>
          <w:szCs w:val="22"/>
          <w:lang w:val="en-US" w:eastAsia="zh-CN"/>
        </w:rPr>
        <w:t>donation</w:t>
      </w:r>
      <w:r w:rsidRPr="00861BFF">
        <w:rPr>
          <w:rFonts w:ascii="Trebuchet MS" w:hAnsi="Trebuchet MS" w:cs="Arial"/>
          <w:bCs/>
          <w:color w:val="000000"/>
          <w:sz w:val="22"/>
          <w:szCs w:val="22"/>
          <w:lang w:val="en-US" w:eastAsia="zh-CN"/>
        </w:rPr>
        <w:t xml:space="preserve"> or </w:t>
      </w:r>
      <w:r w:rsidRPr="00861BFF">
        <w:rPr>
          <w:rFonts w:ascii="Trebuchet MS" w:hAnsi="Trebuchet MS" w:cs="Arial"/>
          <w:bCs/>
          <w:i/>
          <w:color w:val="000000"/>
          <w:sz w:val="22"/>
          <w:szCs w:val="22"/>
          <w:lang w:val="en-US" w:eastAsia="zh-CN"/>
        </w:rPr>
        <w:t>heritage</w:t>
      </w:r>
    </w:p>
    <w:p w:rsidR="00861BFF" w:rsidRPr="00861BFF" w:rsidRDefault="00861BFF" w:rsidP="00861BFF">
      <w:pPr>
        <w:pStyle w:val="Listenabsatz"/>
        <w:autoSpaceDE w:val="0"/>
        <w:autoSpaceDN w:val="0"/>
        <w:adjustRightInd w:val="0"/>
        <w:rPr>
          <w:rFonts w:ascii="Trebuchet MS" w:hAnsi="Trebuchet MS" w:cs="Arial"/>
          <w:color w:val="000000"/>
          <w:sz w:val="22"/>
          <w:szCs w:val="22"/>
          <w:lang w:val="en-US" w:eastAsia="zh-CN"/>
        </w:rPr>
      </w:pPr>
      <w:r w:rsidRPr="00861BFF">
        <w:rPr>
          <w:rFonts w:ascii="Trebuchet MS" w:hAnsi="Trebuchet MS" w:cs="Arial"/>
          <w:color w:val="000000"/>
          <w:sz w:val="22"/>
          <w:szCs w:val="22"/>
          <w:lang w:val="en-US" w:eastAsia="zh-CN"/>
        </w:rPr>
        <w:t xml:space="preserve">(The details of the </w:t>
      </w:r>
      <w:r w:rsidRPr="00861BFF">
        <w:rPr>
          <w:rFonts w:ascii="Trebuchet MS" w:hAnsi="Trebuchet MS" w:cs="Arial"/>
          <w:i/>
          <w:color w:val="000000"/>
          <w:sz w:val="22"/>
          <w:szCs w:val="22"/>
          <w:lang w:val="en-US" w:eastAsia="zh-CN"/>
        </w:rPr>
        <w:t>counterparty</w:t>
      </w:r>
      <w:r w:rsidRPr="00861BFF">
        <w:rPr>
          <w:rFonts w:ascii="Trebuchet MS" w:hAnsi="Trebuchet MS" w:cs="Arial"/>
          <w:color w:val="000000"/>
          <w:sz w:val="22"/>
          <w:szCs w:val="22"/>
          <w:lang w:val="en-US" w:eastAsia="zh-CN"/>
        </w:rPr>
        <w:t xml:space="preserve">   - client of the other investment firm - usually are </w:t>
      </w:r>
      <w:r w:rsidRPr="00861BFF">
        <w:rPr>
          <w:rFonts w:ascii="Trebuchet MS" w:hAnsi="Trebuchet MS" w:cs="Arial"/>
          <w:i/>
          <w:color w:val="000000"/>
          <w:sz w:val="22"/>
          <w:szCs w:val="22"/>
          <w:lang w:val="en-US" w:eastAsia="zh-CN"/>
        </w:rPr>
        <w:t>unknown</w:t>
      </w:r>
      <w:r w:rsidRPr="00861BFF">
        <w:rPr>
          <w:rFonts w:ascii="Trebuchet MS" w:hAnsi="Trebuchet MS" w:cs="Arial"/>
          <w:color w:val="000000"/>
          <w:sz w:val="22"/>
          <w:szCs w:val="22"/>
          <w:lang w:val="en-US" w:eastAsia="zh-CN"/>
        </w:rPr>
        <w:t xml:space="preserve"> due to the lack of a contractual relationship and it is therefore not possible to report details of this counterparty)</w:t>
      </w:r>
      <w:r w:rsidR="00893D43">
        <w:rPr>
          <w:rFonts w:ascii="Trebuchet MS" w:hAnsi="Trebuchet MS" w:cs="Arial"/>
          <w:color w:val="000000"/>
          <w:sz w:val="22"/>
          <w:szCs w:val="22"/>
          <w:lang w:val="en-US" w:eastAsia="zh-CN"/>
        </w:rPr>
        <w:t>;</w:t>
      </w:r>
    </w:p>
    <w:p w:rsidR="00861BFF" w:rsidRPr="00861BFF" w:rsidRDefault="00861BFF" w:rsidP="00861BFF">
      <w:pPr>
        <w:pStyle w:val="Listenabsatz"/>
        <w:autoSpaceDE w:val="0"/>
        <w:autoSpaceDN w:val="0"/>
        <w:adjustRightInd w:val="0"/>
        <w:rPr>
          <w:rFonts w:ascii="Trebuchet MS" w:hAnsi="Trebuchet MS" w:cs="Arial"/>
          <w:bCs/>
          <w:color w:val="000000"/>
          <w:sz w:val="22"/>
          <w:szCs w:val="22"/>
          <w:lang w:val="en-US" w:eastAsia="zh-CN"/>
        </w:rPr>
      </w:pPr>
    </w:p>
    <w:p w:rsidR="00861BFF" w:rsidRPr="00861BFF" w:rsidRDefault="00893D43" w:rsidP="00861BFF">
      <w:pPr>
        <w:pStyle w:val="Listenabsatz"/>
        <w:numPr>
          <w:ilvl w:val="0"/>
          <w:numId w:val="18"/>
        </w:numPr>
        <w:autoSpaceDE w:val="0"/>
        <w:autoSpaceDN w:val="0"/>
        <w:adjustRightInd w:val="0"/>
        <w:rPr>
          <w:rFonts w:ascii="Trebuchet MS" w:hAnsi="Trebuchet MS" w:cs="Arial"/>
          <w:bCs/>
          <w:color w:val="000000"/>
          <w:sz w:val="22"/>
          <w:szCs w:val="22"/>
          <w:lang w:val="en-US" w:eastAsia="zh-CN"/>
        </w:rPr>
      </w:pPr>
      <w:r>
        <w:rPr>
          <w:rFonts w:ascii="Trebuchet MS" w:hAnsi="Trebuchet MS" w:cs="Arial"/>
          <w:bCs/>
          <w:color w:val="000000"/>
          <w:sz w:val="22"/>
          <w:szCs w:val="22"/>
          <w:lang w:val="en-US" w:eastAsia="zh-CN"/>
        </w:rPr>
        <w:t xml:space="preserve">Changes in ownership without </w:t>
      </w:r>
      <w:r w:rsidR="00861BFF" w:rsidRPr="00861BFF">
        <w:rPr>
          <w:rFonts w:ascii="Trebuchet MS" w:hAnsi="Trebuchet MS" w:cs="Arial"/>
          <w:bCs/>
          <w:color w:val="000000"/>
          <w:sz w:val="22"/>
          <w:szCs w:val="22"/>
          <w:lang w:val="en-US" w:eastAsia="zh-CN"/>
        </w:rPr>
        <w:t>transfers (e.g. conversion of individual account to joint account and vice versa, inclusion or exclusion of co-owners)</w:t>
      </w:r>
      <w:r>
        <w:rPr>
          <w:rFonts w:ascii="Trebuchet MS" w:hAnsi="Trebuchet MS" w:cs="Arial"/>
          <w:bCs/>
          <w:color w:val="000000"/>
          <w:sz w:val="22"/>
          <w:szCs w:val="22"/>
          <w:lang w:val="en-US" w:eastAsia="zh-CN"/>
        </w:rPr>
        <w:t>.</w:t>
      </w:r>
    </w:p>
    <w:p w:rsidR="00861BFF" w:rsidRPr="00861BFF" w:rsidRDefault="00861BFF" w:rsidP="00861BFF">
      <w:pPr>
        <w:pStyle w:val="Listenabsatz"/>
        <w:autoSpaceDE w:val="0"/>
        <w:autoSpaceDN w:val="0"/>
        <w:adjustRightInd w:val="0"/>
        <w:rPr>
          <w:rFonts w:ascii="Trebuchet MS" w:hAnsi="Trebuchet MS" w:cs="Arial"/>
          <w:bCs/>
          <w:color w:val="000000"/>
          <w:sz w:val="22"/>
          <w:szCs w:val="22"/>
          <w:lang w:val="en-US" w:eastAsia="zh-CN"/>
        </w:rPr>
      </w:pPr>
    </w:p>
    <w:p w:rsidR="00861BFF" w:rsidRPr="00861BFF" w:rsidRDefault="00861BFF" w:rsidP="00861BFF">
      <w:pPr>
        <w:autoSpaceDE w:val="0"/>
        <w:autoSpaceDN w:val="0"/>
        <w:adjustRightInd w:val="0"/>
        <w:rPr>
          <w:rFonts w:cs="Arial"/>
          <w:color w:val="000000"/>
          <w:szCs w:val="22"/>
          <w:lang w:val="en-US" w:eastAsia="zh-CN"/>
        </w:rPr>
      </w:pPr>
      <w:r w:rsidRPr="00861BFF">
        <w:rPr>
          <w:rFonts w:cs="Arial"/>
          <w:color w:val="000000"/>
          <w:szCs w:val="22"/>
          <w:lang w:val="en-US" w:eastAsia="zh-CN"/>
        </w:rPr>
        <w:t>Furthermore these activities are no purchases or sales and are not pro</w:t>
      </w:r>
      <w:r w:rsidR="00662ADF">
        <w:rPr>
          <w:rFonts w:cs="Arial"/>
          <w:color w:val="000000"/>
          <w:szCs w:val="22"/>
          <w:lang w:val="en-US" w:eastAsia="zh-CN"/>
        </w:rPr>
        <w:t>cessed on a tradin</w:t>
      </w:r>
      <w:r w:rsidR="00893D43">
        <w:rPr>
          <w:rFonts w:cs="Arial"/>
          <w:color w:val="000000"/>
          <w:szCs w:val="22"/>
          <w:lang w:val="en-US" w:eastAsia="zh-CN"/>
        </w:rPr>
        <w:t>g venue. This is the reason why</w:t>
      </w:r>
      <w:r w:rsidR="00662ADF">
        <w:rPr>
          <w:rFonts w:cs="Arial"/>
          <w:color w:val="000000"/>
          <w:szCs w:val="22"/>
          <w:lang w:val="en-US" w:eastAsia="zh-CN"/>
        </w:rPr>
        <w:t xml:space="preserve"> no </w:t>
      </w:r>
      <w:r w:rsidRPr="00861BFF">
        <w:rPr>
          <w:rFonts w:cs="Arial"/>
          <w:color w:val="000000"/>
          <w:szCs w:val="22"/>
          <w:lang w:val="en-US" w:eastAsia="zh-CN"/>
        </w:rPr>
        <w:t xml:space="preserve">price </w:t>
      </w:r>
      <w:r w:rsidR="00662ADF">
        <w:rPr>
          <w:rFonts w:cs="Arial"/>
          <w:color w:val="000000"/>
          <w:szCs w:val="22"/>
          <w:lang w:val="en-US" w:eastAsia="zh-CN"/>
        </w:rPr>
        <w:t xml:space="preserve">is charged </w:t>
      </w:r>
      <w:r w:rsidRPr="00861BFF">
        <w:rPr>
          <w:rFonts w:cs="Arial"/>
          <w:color w:val="000000"/>
          <w:szCs w:val="22"/>
          <w:lang w:val="en-US" w:eastAsia="zh-CN"/>
        </w:rPr>
        <w:t>for reporting</w:t>
      </w:r>
      <w:r w:rsidR="00662ADF">
        <w:rPr>
          <w:rFonts w:cs="Arial"/>
          <w:color w:val="000000"/>
          <w:szCs w:val="22"/>
          <w:lang w:val="en-US" w:eastAsia="zh-CN"/>
        </w:rPr>
        <w:t>.</w:t>
      </w:r>
    </w:p>
    <w:p w:rsidR="00861BFF" w:rsidRPr="00861BFF" w:rsidRDefault="00861BFF" w:rsidP="00861BFF">
      <w:pPr>
        <w:autoSpaceDE w:val="0"/>
        <w:autoSpaceDN w:val="0"/>
        <w:adjustRightInd w:val="0"/>
        <w:rPr>
          <w:rFonts w:cs="Arial"/>
          <w:color w:val="000000"/>
          <w:szCs w:val="22"/>
          <w:lang w:val="en-US" w:eastAsia="zh-CN"/>
        </w:rPr>
      </w:pPr>
    </w:p>
    <w:p w:rsidR="00861BFF" w:rsidRPr="00861BFF" w:rsidRDefault="00861BFF" w:rsidP="00861BFF">
      <w:pPr>
        <w:autoSpaceDE w:val="0"/>
        <w:autoSpaceDN w:val="0"/>
        <w:adjustRightInd w:val="0"/>
        <w:rPr>
          <w:rFonts w:cs="Arial"/>
          <w:color w:val="000000"/>
          <w:szCs w:val="22"/>
          <w:lang w:val="en-US" w:eastAsia="zh-CN"/>
        </w:rPr>
      </w:pPr>
      <w:r w:rsidRPr="00861BFF">
        <w:rPr>
          <w:rFonts w:cs="Arial"/>
          <w:color w:val="000000"/>
          <w:szCs w:val="22"/>
          <w:lang w:val="en-US" w:eastAsia="zh-CN"/>
        </w:rPr>
        <w:lastRenderedPageBreak/>
        <w:t xml:space="preserve">To include all these activities would cause disproportionally high costs - as all of them are technically totally different to buy or sell transactions. </w:t>
      </w:r>
    </w:p>
    <w:p w:rsidR="00861BFF" w:rsidRPr="00861BFF" w:rsidRDefault="00861BFF" w:rsidP="00861BFF">
      <w:pPr>
        <w:autoSpaceDE w:val="0"/>
        <w:autoSpaceDN w:val="0"/>
        <w:adjustRightInd w:val="0"/>
        <w:rPr>
          <w:rFonts w:cs="Arial"/>
          <w:bCs/>
          <w:color w:val="000000"/>
          <w:szCs w:val="22"/>
          <w:lang w:val="en-US" w:eastAsia="zh-CN"/>
        </w:rPr>
      </w:pPr>
    </w:p>
    <w:p w:rsidR="00861BFF" w:rsidRPr="00861BFF" w:rsidRDefault="00861BFF" w:rsidP="00861BFF">
      <w:pPr>
        <w:autoSpaceDE w:val="0"/>
        <w:autoSpaceDN w:val="0"/>
        <w:adjustRightInd w:val="0"/>
        <w:rPr>
          <w:rFonts w:cs="Arial"/>
          <w:color w:val="000000"/>
          <w:szCs w:val="22"/>
          <w:lang w:val="en-US" w:eastAsia="zh-CN"/>
        </w:rPr>
      </w:pPr>
      <w:r w:rsidRPr="00861BFF">
        <w:rPr>
          <w:rFonts w:cs="Arial"/>
          <w:color w:val="000000"/>
          <w:szCs w:val="22"/>
          <w:lang w:val="en-US" w:eastAsia="zh-CN"/>
        </w:rPr>
        <w:t xml:space="preserve">We suggest excluding all these activities as they clearly represent activities without any risk in market abuse. </w:t>
      </w:r>
    </w:p>
    <w:p w:rsidR="00861BFF" w:rsidRPr="00861BFF" w:rsidRDefault="00861BFF" w:rsidP="00861BFF">
      <w:pPr>
        <w:autoSpaceDE w:val="0"/>
        <w:autoSpaceDN w:val="0"/>
        <w:adjustRightInd w:val="0"/>
        <w:rPr>
          <w:rFonts w:cs="Arial"/>
          <w:color w:val="000000"/>
          <w:szCs w:val="22"/>
          <w:lang w:val="en-US" w:eastAsia="zh-CN"/>
        </w:rPr>
      </w:pPr>
    </w:p>
    <w:p w:rsidR="00861BFF" w:rsidRPr="00861BFF" w:rsidRDefault="00861BFF" w:rsidP="00861BFF">
      <w:pPr>
        <w:autoSpaceDE w:val="0"/>
        <w:autoSpaceDN w:val="0"/>
        <w:adjustRightInd w:val="0"/>
        <w:rPr>
          <w:rFonts w:cs="Arial"/>
          <w:b/>
          <w:bCs/>
          <w:color w:val="000000"/>
          <w:szCs w:val="22"/>
          <w:lang w:val="en-US" w:eastAsia="zh-CN"/>
        </w:rPr>
      </w:pPr>
      <w:r w:rsidRPr="00861BFF">
        <w:rPr>
          <w:rFonts w:cs="Arial"/>
          <w:b/>
          <w:bCs/>
          <w:color w:val="000000"/>
          <w:szCs w:val="22"/>
          <w:lang w:val="en-US" w:eastAsia="zh-CN"/>
        </w:rPr>
        <w:t xml:space="preserve"> “Transaction Identifiers” CP p.597</w:t>
      </w:r>
    </w:p>
    <w:p w:rsidR="00861BFF" w:rsidRPr="00861BFF" w:rsidRDefault="00861BFF" w:rsidP="00861BFF">
      <w:pPr>
        <w:autoSpaceDE w:val="0"/>
        <w:autoSpaceDN w:val="0"/>
        <w:adjustRightInd w:val="0"/>
        <w:rPr>
          <w:rFonts w:cs="Arial"/>
          <w:b/>
          <w:bCs/>
          <w:color w:val="000000"/>
          <w:szCs w:val="22"/>
          <w:lang w:val="en-US" w:eastAsia="zh-CN"/>
        </w:rPr>
      </w:pPr>
    </w:p>
    <w:p w:rsidR="00861BFF" w:rsidRPr="00861BFF" w:rsidRDefault="00861BFF" w:rsidP="00861BFF">
      <w:pPr>
        <w:autoSpaceDE w:val="0"/>
        <w:autoSpaceDN w:val="0"/>
        <w:adjustRightInd w:val="0"/>
        <w:rPr>
          <w:rFonts w:cs="Arial"/>
          <w:b/>
          <w:bCs/>
          <w:color w:val="000000"/>
          <w:szCs w:val="22"/>
          <w:u w:val="single"/>
          <w:lang w:val="en-US" w:eastAsia="zh-CN"/>
        </w:rPr>
      </w:pPr>
      <w:r w:rsidRPr="00861BFF">
        <w:rPr>
          <w:rFonts w:cs="Arial"/>
          <w:b/>
          <w:bCs/>
          <w:color w:val="000000"/>
          <w:szCs w:val="22"/>
          <w:lang w:val="en-US" w:eastAsia="zh-CN"/>
        </w:rPr>
        <w:t xml:space="preserve">“180. ESMA proposes that the Transaction Reference Number (see field 80 in the table of fields in Annex I of the draft RTS) should be retained and </w:t>
      </w:r>
      <w:r w:rsidRPr="00861BFF">
        <w:rPr>
          <w:rFonts w:cs="Arial"/>
          <w:b/>
          <w:bCs/>
          <w:color w:val="000000"/>
          <w:szCs w:val="22"/>
          <w:u w:val="single"/>
          <w:lang w:val="en-US" w:eastAsia="zh-CN"/>
        </w:rPr>
        <w:t xml:space="preserve">amended to comply with the following requirements: </w:t>
      </w:r>
    </w:p>
    <w:p w:rsidR="00861BFF" w:rsidRPr="00861BFF" w:rsidRDefault="00861BFF" w:rsidP="00861BFF">
      <w:pPr>
        <w:autoSpaceDE w:val="0"/>
        <w:autoSpaceDN w:val="0"/>
        <w:adjustRightInd w:val="0"/>
        <w:rPr>
          <w:rFonts w:cs="Arial"/>
          <w:b/>
          <w:bCs/>
          <w:color w:val="000000"/>
          <w:szCs w:val="22"/>
          <w:lang w:val="en-US" w:eastAsia="zh-CN"/>
        </w:rPr>
      </w:pPr>
    </w:p>
    <w:p w:rsidR="00861BFF" w:rsidRPr="00861BFF" w:rsidRDefault="00861BFF" w:rsidP="00861BFF">
      <w:pPr>
        <w:autoSpaceDE w:val="0"/>
        <w:autoSpaceDN w:val="0"/>
        <w:adjustRightInd w:val="0"/>
        <w:spacing w:after="240"/>
        <w:rPr>
          <w:rFonts w:cs="Arial"/>
          <w:b/>
          <w:bCs/>
          <w:color w:val="000000"/>
          <w:szCs w:val="22"/>
          <w:lang w:val="en-US" w:eastAsia="zh-CN"/>
        </w:rPr>
      </w:pPr>
      <w:r w:rsidRPr="00861BFF">
        <w:rPr>
          <w:rFonts w:cs="Arial"/>
          <w:b/>
          <w:bCs/>
          <w:color w:val="000000"/>
          <w:szCs w:val="22"/>
          <w:lang w:val="en-US" w:eastAsia="zh-CN"/>
        </w:rPr>
        <w:t xml:space="preserve">i. It uniquely identifies every transaction report sent to the CA at the investment firm level; </w:t>
      </w:r>
    </w:p>
    <w:p w:rsidR="00861BFF" w:rsidRPr="00861BFF" w:rsidRDefault="00861BFF" w:rsidP="00861BFF">
      <w:pPr>
        <w:autoSpaceDE w:val="0"/>
        <w:autoSpaceDN w:val="0"/>
        <w:adjustRightInd w:val="0"/>
        <w:spacing w:after="240"/>
        <w:rPr>
          <w:rFonts w:cs="Arial"/>
          <w:b/>
          <w:bCs/>
          <w:color w:val="000000"/>
          <w:szCs w:val="22"/>
          <w:lang w:val="en-US" w:eastAsia="zh-CN"/>
        </w:rPr>
      </w:pPr>
      <w:r w:rsidRPr="00861BFF">
        <w:rPr>
          <w:rFonts w:cs="Arial"/>
          <w:b/>
          <w:bCs/>
          <w:color w:val="000000"/>
          <w:szCs w:val="22"/>
          <w:lang w:val="en-US" w:eastAsia="zh-CN"/>
        </w:rPr>
        <w:t xml:space="preserve">ii. It is a unique, persistent and consistent code at the level of the investment firm; and </w:t>
      </w:r>
    </w:p>
    <w:p w:rsidR="00861BFF" w:rsidRPr="00861BFF" w:rsidRDefault="00861BFF" w:rsidP="00861BFF">
      <w:pPr>
        <w:autoSpaceDE w:val="0"/>
        <w:autoSpaceDN w:val="0"/>
        <w:adjustRightInd w:val="0"/>
        <w:rPr>
          <w:rFonts w:cs="Arial"/>
          <w:bCs/>
          <w:color w:val="000000"/>
          <w:szCs w:val="22"/>
          <w:lang w:val="en-US" w:eastAsia="zh-CN"/>
        </w:rPr>
      </w:pPr>
      <w:r w:rsidRPr="00861BFF">
        <w:rPr>
          <w:rFonts w:cs="Arial"/>
          <w:b/>
          <w:bCs/>
          <w:color w:val="000000"/>
          <w:szCs w:val="22"/>
          <w:lang w:val="en-US" w:eastAsia="zh-CN"/>
        </w:rPr>
        <w:t>iii. In the particular case of a transaction report pertaining to direct execution on a trading venue, it shall be the same as generated and disseminated by the trading venue to both the buying and the selling parties when confirming the execution.”</w:t>
      </w:r>
      <w:r w:rsidRPr="00861BFF">
        <w:rPr>
          <w:rFonts w:cs="Arial"/>
          <w:bCs/>
          <w:color w:val="000000"/>
          <w:szCs w:val="22"/>
          <w:lang w:val="en-US" w:eastAsia="zh-CN"/>
        </w:rPr>
        <w:t xml:space="preserve"> </w:t>
      </w:r>
    </w:p>
    <w:p w:rsidR="00861BFF" w:rsidRPr="00861BFF" w:rsidRDefault="00861BFF" w:rsidP="00861BFF">
      <w:pPr>
        <w:autoSpaceDE w:val="0"/>
        <w:autoSpaceDN w:val="0"/>
        <w:adjustRightInd w:val="0"/>
        <w:rPr>
          <w:rFonts w:cs="Arial"/>
          <w:color w:val="000000"/>
          <w:szCs w:val="22"/>
          <w:lang w:val="en-US" w:eastAsia="zh-CN"/>
        </w:rPr>
      </w:pPr>
    </w:p>
    <w:p w:rsidR="00861BFF" w:rsidRPr="00861BFF" w:rsidRDefault="00861BFF" w:rsidP="00861BFF">
      <w:pPr>
        <w:autoSpaceDE w:val="0"/>
        <w:autoSpaceDN w:val="0"/>
        <w:adjustRightInd w:val="0"/>
        <w:rPr>
          <w:rFonts w:cs="Arial"/>
          <w:color w:val="000000"/>
          <w:szCs w:val="22"/>
          <w:lang w:val="en-US" w:eastAsia="zh-CN"/>
        </w:rPr>
      </w:pPr>
      <w:r w:rsidRPr="00861BFF">
        <w:rPr>
          <w:rFonts w:cs="Arial"/>
          <w:color w:val="000000"/>
          <w:szCs w:val="22"/>
          <w:lang w:val="en-US" w:eastAsia="zh-CN"/>
        </w:rPr>
        <w:t>When adding these requirements to the current Transaction Reference Number (TRN) we would like to bring into consideration, that this would cause a lot of additional expenditure.</w:t>
      </w:r>
    </w:p>
    <w:p w:rsidR="00861BFF" w:rsidRPr="00861BFF" w:rsidRDefault="00861BFF" w:rsidP="00861BFF">
      <w:pPr>
        <w:autoSpaceDE w:val="0"/>
        <w:autoSpaceDN w:val="0"/>
        <w:adjustRightInd w:val="0"/>
        <w:rPr>
          <w:rFonts w:cs="Arial"/>
          <w:color w:val="000000"/>
          <w:szCs w:val="22"/>
          <w:lang w:val="en-US" w:eastAsia="zh-CN"/>
        </w:rPr>
      </w:pPr>
    </w:p>
    <w:p w:rsidR="00861BFF" w:rsidRPr="00861BFF" w:rsidRDefault="00861BFF" w:rsidP="00861BFF">
      <w:pPr>
        <w:autoSpaceDE w:val="0"/>
        <w:autoSpaceDN w:val="0"/>
        <w:adjustRightInd w:val="0"/>
        <w:rPr>
          <w:rFonts w:cs="Arial"/>
          <w:color w:val="000000"/>
          <w:szCs w:val="22"/>
          <w:lang w:val="en-US" w:eastAsia="zh-CN"/>
        </w:rPr>
      </w:pPr>
      <w:r w:rsidRPr="00861BFF">
        <w:rPr>
          <w:rFonts w:cs="Arial"/>
          <w:color w:val="000000"/>
          <w:szCs w:val="22"/>
          <w:lang w:val="en-US" w:eastAsia="zh-CN"/>
        </w:rPr>
        <w:t xml:space="preserve">Furthermore we would like to seek clarification, </w:t>
      </w:r>
    </w:p>
    <w:p w:rsidR="00861BFF" w:rsidRPr="00861BFF" w:rsidRDefault="00861BFF" w:rsidP="00861BFF">
      <w:pPr>
        <w:pStyle w:val="Listenabsatz"/>
        <w:numPr>
          <w:ilvl w:val="0"/>
          <w:numId w:val="19"/>
        </w:numPr>
        <w:autoSpaceDE w:val="0"/>
        <w:autoSpaceDN w:val="0"/>
        <w:adjustRightInd w:val="0"/>
        <w:rPr>
          <w:rFonts w:ascii="Trebuchet MS" w:hAnsi="Trebuchet MS" w:cs="Arial"/>
          <w:color w:val="000000"/>
          <w:sz w:val="22"/>
          <w:szCs w:val="22"/>
          <w:lang w:val="en-US" w:eastAsia="zh-CN"/>
        </w:rPr>
      </w:pPr>
      <w:r w:rsidRPr="00861BFF">
        <w:rPr>
          <w:rFonts w:ascii="Trebuchet MS" w:hAnsi="Trebuchet MS" w:cs="Arial"/>
          <w:color w:val="000000"/>
          <w:sz w:val="22"/>
          <w:szCs w:val="22"/>
          <w:lang w:val="en-US" w:eastAsia="zh-CN"/>
        </w:rPr>
        <w:t xml:space="preserve">if only the investment firm that is </w:t>
      </w:r>
      <w:r w:rsidRPr="00861BFF">
        <w:rPr>
          <w:rFonts w:ascii="Trebuchet MS" w:hAnsi="Trebuchet MS" w:cs="Arial"/>
          <w:i/>
          <w:color w:val="000000"/>
          <w:sz w:val="22"/>
          <w:szCs w:val="22"/>
          <w:lang w:val="en-US" w:eastAsia="zh-CN"/>
        </w:rPr>
        <w:t>trading</w:t>
      </w:r>
      <w:r w:rsidRPr="00861BFF">
        <w:rPr>
          <w:rFonts w:ascii="Trebuchet MS" w:hAnsi="Trebuchet MS" w:cs="Arial"/>
          <w:color w:val="000000"/>
          <w:sz w:val="22"/>
          <w:szCs w:val="22"/>
          <w:lang w:val="en-US" w:eastAsia="zh-CN"/>
        </w:rPr>
        <w:t xml:space="preserve"> directly on a certain venue is obliged to use the venue`s TRN?</w:t>
      </w:r>
    </w:p>
    <w:p w:rsidR="00861BFF" w:rsidRPr="00861BFF" w:rsidRDefault="00861BFF" w:rsidP="00861BFF">
      <w:pPr>
        <w:pStyle w:val="Listenabsatz"/>
        <w:numPr>
          <w:ilvl w:val="0"/>
          <w:numId w:val="19"/>
        </w:numPr>
        <w:autoSpaceDE w:val="0"/>
        <w:autoSpaceDN w:val="0"/>
        <w:adjustRightInd w:val="0"/>
        <w:rPr>
          <w:rFonts w:ascii="Trebuchet MS" w:hAnsi="Trebuchet MS" w:cs="Arial"/>
          <w:color w:val="000000"/>
          <w:sz w:val="22"/>
          <w:szCs w:val="22"/>
          <w:lang w:val="en-US" w:eastAsia="zh-CN"/>
        </w:rPr>
      </w:pPr>
      <w:r w:rsidRPr="00861BFF">
        <w:rPr>
          <w:rFonts w:ascii="Trebuchet MS" w:hAnsi="Trebuchet MS" w:cs="Arial"/>
          <w:color w:val="000000"/>
          <w:sz w:val="22"/>
          <w:szCs w:val="22"/>
          <w:lang w:val="en-US" w:eastAsia="zh-CN"/>
        </w:rPr>
        <w:t xml:space="preserve">if the order was placed by an investment firm as an agent for another investment firm - who </w:t>
      </w:r>
      <w:r w:rsidR="00893D43">
        <w:rPr>
          <w:rFonts w:ascii="Trebuchet MS" w:hAnsi="Trebuchet MS" w:cs="Arial"/>
          <w:color w:val="000000"/>
          <w:sz w:val="22"/>
          <w:szCs w:val="22"/>
          <w:lang w:val="en-US" w:eastAsia="zh-CN"/>
        </w:rPr>
        <w:t xml:space="preserve">it </w:t>
      </w:r>
      <w:r w:rsidRPr="00861BFF">
        <w:rPr>
          <w:rFonts w:ascii="Trebuchet MS" w:hAnsi="Trebuchet MS" w:cs="Arial"/>
          <w:color w:val="000000"/>
          <w:sz w:val="22"/>
          <w:szCs w:val="22"/>
          <w:lang w:val="en-US" w:eastAsia="zh-CN"/>
        </w:rPr>
        <w:t>should use the venue`s TRN to fulfill the reporting obligation? Does every investment firm in</w:t>
      </w:r>
      <w:r w:rsidR="00893D43">
        <w:rPr>
          <w:rFonts w:ascii="Trebuchet MS" w:hAnsi="Trebuchet MS" w:cs="Arial"/>
          <w:color w:val="000000"/>
          <w:sz w:val="22"/>
          <w:szCs w:val="22"/>
          <w:lang w:val="en-US" w:eastAsia="zh-CN"/>
        </w:rPr>
        <w:t xml:space="preserve"> a chain of investment firms have</w:t>
      </w:r>
      <w:r w:rsidRPr="00861BFF">
        <w:rPr>
          <w:rFonts w:ascii="Trebuchet MS" w:hAnsi="Trebuchet MS" w:cs="Arial"/>
          <w:color w:val="000000"/>
          <w:sz w:val="22"/>
          <w:szCs w:val="22"/>
          <w:lang w:val="en-US" w:eastAsia="zh-CN"/>
        </w:rPr>
        <w:t xml:space="preserve"> to use this TRN – does this mean, each investment firm has to report backwards the TRN of a certain trade in a multi-stage transaction?</w:t>
      </w:r>
    </w:p>
    <w:p w:rsidR="00861BFF" w:rsidRPr="00861BFF" w:rsidRDefault="00861BFF" w:rsidP="00861BFF">
      <w:pPr>
        <w:pStyle w:val="Listenabsatz"/>
        <w:numPr>
          <w:ilvl w:val="0"/>
          <w:numId w:val="19"/>
        </w:numPr>
        <w:autoSpaceDE w:val="0"/>
        <w:autoSpaceDN w:val="0"/>
        <w:adjustRightInd w:val="0"/>
        <w:rPr>
          <w:rFonts w:ascii="Trebuchet MS" w:hAnsi="Trebuchet MS" w:cs="Arial"/>
          <w:color w:val="000000"/>
          <w:sz w:val="22"/>
          <w:szCs w:val="22"/>
          <w:lang w:val="en-US" w:eastAsia="zh-CN"/>
        </w:rPr>
      </w:pPr>
      <w:proofErr w:type="gramStart"/>
      <w:r w:rsidRPr="00861BFF">
        <w:rPr>
          <w:rFonts w:ascii="Trebuchet MS" w:hAnsi="Trebuchet MS" w:cs="Arial"/>
          <w:color w:val="000000"/>
          <w:sz w:val="22"/>
          <w:szCs w:val="22"/>
          <w:lang w:val="en-US" w:eastAsia="zh-CN"/>
        </w:rPr>
        <w:t>if</w:t>
      </w:r>
      <w:proofErr w:type="gramEnd"/>
      <w:r w:rsidRPr="00861BFF">
        <w:rPr>
          <w:rFonts w:ascii="Trebuchet MS" w:hAnsi="Trebuchet MS" w:cs="Arial"/>
          <w:color w:val="000000"/>
          <w:sz w:val="22"/>
          <w:szCs w:val="22"/>
          <w:lang w:val="en-US" w:eastAsia="zh-CN"/>
        </w:rPr>
        <w:t xml:space="preserve"> an investment firm is </w:t>
      </w:r>
      <w:r w:rsidRPr="00861BFF">
        <w:rPr>
          <w:rFonts w:ascii="Trebuchet MS" w:hAnsi="Trebuchet MS" w:cs="Arial"/>
          <w:i/>
          <w:color w:val="000000"/>
          <w:sz w:val="22"/>
          <w:szCs w:val="22"/>
          <w:lang w:val="en-US" w:eastAsia="zh-CN"/>
        </w:rPr>
        <w:t>aggregating</w:t>
      </w:r>
      <w:r w:rsidRPr="00861BFF">
        <w:rPr>
          <w:rFonts w:ascii="Trebuchet MS" w:hAnsi="Trebuchet MS" w:cs="Arial"/>
          <w:color w:val="000000"/>
          <w:sz w:val="22"/>
          <w:szCs w:val="22"/>
          <w:lang w:val="en-US" w:eastAsia="zh-CN"/>
        </w:rPr>
        <w:t xml:space="preserve"> client orders to one order - how could we use a “unique TRN” for each client’s transaction? In this case the TRN of the stock exchange would be the same for each client’s transaction.</w:t>
      </w:r>
    </w:p>
    <w:p w:rsidR="00861BFF" w:rsidRPr="00A35218" w:rsidRDefault="00861BFF" w:rsidP="00861BFF">
      <w:pPr>
        <w:pStyle w:val="Listenabsatz"/>
        <w:autoSpaceDE w:val="0"/>
        <w:autoSpaceDN w:val="0"/>
        <w:adjustRightInd w:val="0"/>
        <w:ind w:left="420"/>
        <w:rPr>
          <w:rFonts w:ascii="Arial" w:hAnsi="Arial" w:cs="Arial"/>
          <w:color w:val="000000"/>
          <w:lang w:val="en-US" w:eastAsia="zh-CN"/>
        </w:rPr>
      </w:pPr>
    </w:p>
    <w:p w:rsidR="00861BFF" w:rsidRPr="0052648C" w:rsidRDefault="00861BFF" w:rsidP="00861BFF">
      <w:pPr>
        <w:autoSpaceDE w:val="0"/>
        <w:autoSpaceDN w:val="0"/>
        <w:adjustRightInd w:val="0"/>
        <w:rPr>
          <w:rFonts w:ascii="Arial" w:hAnsi="Arial" w:cs="Arial"/>
          <w:color w:val="000000"/>
          <w:lang w:val="en-US" w:eastAsia="zh-CN"/>
        </w:rPr>
      </w:pPr>
    </w:p>
    <w:p w:rsidR="00861BFF" w:rsidRPr="00861BFF" w:rsidRDefault="00861BFF" w:rsidP="00861BFF">
      <w:pPr>
        <w:pStyle w:val="CPQuestions"/>
        <w:rPr>
          <w:rFonts w:ascii="Trebuchet MS" w:hAnsi="Trebuchet MS"/>
          <w:lang w:val="en-GB"/>
        </w:rPr>
      </w:pPr>
      <w:r w:rsidRPr="00861BFF">
        <w:rPr>
          <w:rFonts w:ascii="Trebuchet MS" w:hAnsi="Trebuchet MS"/>
          <w:lang w:val="en-GB"/>
        </w:rPr>
        <w:t>Do you agree with the proposed criteria for calibrating the level of accuracy required for the purpose of clock synchronisation? Please elaborate.</w:t>
      </w:r>
    </w:p>
    <w:p w:rsidR="00861BFF" w:rsidRPr="00861BFF" w:rsidRDefault="00861BFF" w:rsidP="00861BFF">
      <w:pPr>
        <w:pStyle w:val="CPQuestions"/>
        <w:numPr>
          <w:ilvl w:val="0"/>
          <w:numId w:val="0"/>
        </w:numPr>
        <w:jc w:val="left"/>
        <w:rPr>
          <w:rFonts w:ascii="Trebuchet MS" w:hAnsi="Trebuchet MS"/>
          <w:b w:val="0"/>
          <w:bCs w:val="0"/>
          <w:lang w:val="en-GB"/>
        </w:rPr>
      </w:pPr>
      <w:r w:rsidRPr="00861BFF">
        <w:rPr>
          <w:rFonts w:ascii="Trebuchet MS" w:hAnsi="Trebuchet MS"/>
          <w:b w:val="0"/>
          <w:bCs w:val="0"/>
          <w:lang w:val="en-GB"/>
        </w:rPr>
        <w:t xml:space="preserve">The proposal in the current Consultation Paper to generally reduce the maximum allowed divergence time / minimum synchronization </w:t>
      </w:r>
      <w:r w:rsidRPr="00861BFF">
        <w:rPr>
          <w:rFonts w:ascii="Trebuchet MS" w:hAnsi="Trebuchet MS"/>
          <w:b w:val="0"/>
          <w:bCs w:val="0"/>
          <w:color w:val="000000"/>
          <w:lang w:val="en-GB"/>
        </w:rPr>
        <w:t>requirements from one microsecond</w:t>
      </w:r>
      <w:r w:rsidRPr="00861BFF">
        <w:rPr>
          <w:rFonts w:ascii="Trebuchet MS" w:hAnsi="Trebuchet MS"/>
          <w:b w:val="0"/>
          <w:bCs w:val="0"/>
          <w:lang w:val="en-GB"/>
        </w:rPr>
        <w:t xml:space="preserve"> (as proposed initially in the previous Discussion Paper) to one millisecond for trading venues operating an electronic system and one second for trading venues operating a voice trading system is highly appreciated. This is in line with the current practices of trading venues, including Network Time Protocol (NTP) which allows for the millisecond accuracy of synchronisation and time stamping. Imposing more strict synchronization requirements could be adequate and desirable in case of trading venues offering access to high frequency trading. These requirements could be then based on the granularity level of the </w:t>
      </w:r>
      <w:r w:rsidRPr="00861BFF">
        <w:rPr>
          <w:rFonts w:ascii="Trebuchet MS" w:hAnsi="Trebuchet MS"/>
          <w:b w:val="0"/>
          <w:bCs w:val="0"/>
          <w:lang w:val="en-GB"/>
        </w:rPr>
        <w:lastRenderedPageBreak/>
        <w:t xml:space="preserve">gateway-to-gateway latency time (as currently proposed by ESMA, if the time is measured at the level of micro- or nanoseconds then one micro- or one nanosecond accuracy could be required, respectively). However, it should be noted that the synchronization at the level more granular than one millisecond is currently not applied even by the biggest European exchanges (London Stock Exchange, Deutsche </w:t>
      </w:r>
      <w:proofErr w:type="spellStart"/>
      <w:r w:rsidRPr="00861BFF">
        <w:rPr>
          <w:rFonts w:ascii="Trebuchet MS" w:hAnsi="Trebuchet MS"/>
          <w:b w:val="0"/>
          <w:bCs w:val="0"/>
          <w:lang w:val="en-GB"/>
        </w:rPr>
        <w:t>Börs</w:t>
      </w:r>
      <w:r w:rsidR="00662ADF">
        <w:rPr>
          <w:rFonts w:ascii="Trebuchet MS" w:hAnsi="Trebuchet MS"/>
          <w:b w:val="0"/>
          <w:bCs w:val="0"/>
          <w:lang w:val="en-GB"/>
        </w:rPr>
        <w:t>e</w:t>
      </w:r>
      <w:proofErr w:type="spellEnd"/>
      <w:r w:rsidR="00662ADF">
        <w:rPr>
          <w:rFonts w:ascii="Trebuchet MS" w:hAnsi="Trebuchet MS"/>
          <w:b w:val="0"/>
          <w:bCs w:val="0"/>
          <w:lang w:val="en-GB"/>
        </w:rPr>
        <w:t>, etc.</w:t>
      </w:r>
      <w:r w:rsidRPr="00861BFF">
        <w:rPr>
          <w:rFonts w:ascii="Trebuchet MS" w:hAnsi="Trebuchet MS"/>
          <w:b w:val="0"/>
          <w:bCs w:val="0"/>
          <w:lang w:val="en-GB"/>
        </w:rPr>
        <w:t xml:space="preserve">). </w:t>
      </w:r>
      <w:r w:rsidRPr="00861BFF">
        <w:rPr>
          <w:rFonts w:ascii="Trebuchet MS" w:hAnsi="Trebuchet MS"/>
          <w:b w:val="0"/>
          <w:bCs w:val="0"/>
          <w:lang w:val="en-GB"/>
        </w:rPr>
        <w:br/>
        <w:t>The business clocks synchronisation requirements for investment firms are elaborated below (Q234).</w:t>
      </w:r>
    </w:p>
    <w:p w:rsidR="00861BFF" w:rsidRDefault="00861BFF" w:rsidP="00861BFF">
      <w:pPr>
        <w:pStyle w:val="CPQuestions"/>
        <w:numPr>
          <w:ilvl w:val="0"/>
          <w:numId w:val="0"/>
        </w:numPr>
        <w:rPr>
          <w:rFonts w:ascii="Calibri" w:hAnsi="Calibri"/>
          <w:b w:val="0"/>
          <w:bCs w:val="0"/>
          <w:lang w:val="en-GB"/>
        </w:rPr>
      </w:pPr>
    </w:p>
    <w:p w:rsidR="00861BFF" w:rsidRPr="00861BFF" w:rsidRDefault="00861BFF" w:rsidP="00861BFF">
      <w:pPr>
        <w:pStyle w:val="CPQuestions"/>
        <w:rPr>
          <w:rFonts w:ascii="Trebuchet MS" w:hAnsi="Trebuchet MS"/>
          <w:lang w:val="en-GB"/>
        </w:rPr>
      </w:pPr>
      <w:r w:rsidRPr="00861BFF">
        <w:rPr>
          <w:rFonts w:ascii="Trebuchet MS" w:hAnsi="Trebuchet MS"/>
          <w:lang w:val="en-GB"/>
        </w:rP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861BFF" w:rsidRDefault="00861BFF" w:rsidP="00861BFF">
      <w:pPr>
        <w:rPr>
          <w:lang w:val="en-GB"/>
        </w:rPr>
      </w:pPr>
      <w:r>
        <w:rPr>
          <w:lang w:val="en-GB"/>
        </w:rPr>
        <w:t xml:space="preserve">For an investment firm operating at a high latency, implementing a requirement to synchronize its business clocks according to the same time accuracy as applied by the trading venue (or in case of the connection to multiple trading venues, to synchronize all relevant systems according to the most accurate venue) would be highly burdensome. As noted in the Consultation Paper, most investment firms operate their systems at the accuracy of one hundredth of a second (10 milliseconds). Converting to one millisecond would affect numerous systems, interfaces, IT application, including extending data formats to accommodate more precise time stamps. The one-off implementation and ongoing maintenance costs (both hardware and software) of the requirement are not proportionate to the benefits, especially considering the initial goal of the synchronisation regulation which is detecting market abuse: synchronizing at the frequency of one millisecond in case of investment firms operating at latency higher that one millisecond (not engaging into high frequency trading) would not contribute to achieving of this goal. Tracking / exact determination of the order chronology (which is crucial in detecting instances of market abuse) is already ensured with the synchronization accuracy of 10 milliseconds in case of firms not engaging into high frequency trading. </w:t>
      </w:r>
    </w:p>
    <w:p w:rsidR="00861BFF" w:rsidRPr="003B094F" w:rsidRDefault="00861BFF" w:rsidP="00861BFF">
      <w:pPr>
        <w:rPr>
          <w:color w:val="000000"/>
          <w:lang w:val="en-GB"/>
        </w:rPr>
      </w:pPr>
      <w:r>
        <w:rPr>
          <w:lang w:val="en-GB"/>
        </w:rPr>
        <w:t xml:space="preserve">Thus, whereas it is reasonable for trading venues to synchronize externally (against an external universal time reference) at a (minimum) millisecond level, </w:t>
      </w:r>
      <w:r>
        <w:rPr>
          <w:color w:val="000000"/>
          <w:lang w:val="en-GB"/>
        </w:rPr>
        <w:t>there should be no hard requirement for the investment firm not engaging into high frequency trading to synchronize at the level of granularity of the most accurate trading venue they are connected to (which in some cases could be even one nanosecond, according to the current ESMA proposal). Furthermore, we consider the current standard level of accuracy applied by investment firms (10 milliseconds) as a proportionate synchronization requirement for firms not engaging into high frequency trading. Nevertheless, we recognise that in case of firms engaging in high frequency trading imposing strict requirements (synchronizing at the accuracy level even of one nanosecond, depending on the gateway-to-gateway latency time of a trading venue, see also Q233) can be adequate and desirable.</w:t>
      </w:r>
    </w:p>
    <w:p w:rsidR="00861BFF" w:rsidRDefault="00861BFF" w:rsidP="00100D95">
      <w:pPr>
        <w:rPr>
          <w:szCs w:val="22"/>
          <w:lang w:val="en-GB"/>
        </w:rPr>
      </w:pPr>
    </w:p>
    <w:p w:rsidR="00861BFF" w:rsidRDefault="00893D43" w:rsidP="00100D95">
      <w:pPr>
        <w:rPr>
          <w:szCs w:val="22"/>
          <w:lang w:val="en-GB"/>
        </w:rPr>
      </w:pPr>
      <w:r>
        <w:rPr>
          <w:szCs w:val="22"/>
          <w:lang w:val="en-GB"/>
        </w:rPr>
        <w:t xml:space="preserve">We kindly ask you to give our remarks due consideration. </w:t>
      </w:r>
      <w:bookmarkStart w:id="0" w:name="_GoBack"/>
      <w:bookmarkEnd w:id="0"/>
    </w:p>
    <w:p w:rsidR="00893D43" w:rsidRDefault="00893D43" w:rsidP="00100D95">
      <w:pPr>
        <w:rPr>
          <w:szCs w:val="22"/>
          <w:lang w:val="en-GB"/>
        </w:rPr>
      </w:pPr>
    </w:p>
    <w:p w:rsidR="00893D43" w:rsidRDefault="00893D43" w:rsidP="00100D95">
      <w:pPr>
        <w:rPr>
          <w:szCs w:val="22"/>
          <w:lang w:val="en-GB"/>
        </w:rPr>
      </w:pPr>
    </w:p>
    <w:p w:rsidR="00076293" w:rsidRPr="00100D95" w:rsidRDefault="00076293" w:rsidP="00100D95">
      <w:pPr>
        <w:rPr>
          <w:szCs w:val="22"/>
          <w:lang w:val="en-GB"/>
        </w:rPr>
      </w:pPr>
      <w:r w:rsidRPr="00100D95">
        <w:rPr>
          <w:szCs w:val="22"/>
          <w:lang w:val="en-GB"/>
        </w:rPr>
        <w:t>Yours sincerely,</w:t>
      </w:r>
    </w:p>
    <w:p w:rsidR="005B30D9" w:rsidRPr="00100D95" w:rsidRDefault="005B30D9" w:rsidP="00100D95">
      <w:pPr>
        <w:rPr>
          <w:szCs w:val="22"/>
          <w:lang w:val="en-GB"/>
        </w:rPr>
      </w:pPr>
    </w:p>
    <w:p w:rsidR="00076293" w:rsidRPr="00100D95" w:rsidRDefault="00076293" w:rsidP="00100D95">
      <w:pPr>
        <w:rPr>
          <w:szCs w:val="22"/>
          <w:lang w:val="en-GB"/>
        </w:rPr>
      </w:pPr>
      <w:r w:rsidRPr="00100D95">
        <w:rPr>
          <w:szCs w:val="22"/>
          <w:lang w:val="en-GB"/>
        </w:rPr>
        <w:lastRenderedPageBreak/>
        <w:t>Dr. Franz Rudorfer</w:t>
      </w:r>
    </w:p>
    <w:p w:rsidR="00076293" w:rsidRPr="00100D95" w:rsidRDefault="00076293" w:rsidP="00100D95">
      <w:pPr>
        <w:rPr>
          <w:szCs w:val="22"/>
          <w:lang w:val="en-GB"/>
        </w:rPr>
      </w:pPr>
      <w:r w:rsidRPr="00100D95">
        <w:rPr>
          <w:szCs w:val="22"/>
          <w:lang w:val="en-GB"/>
        </w:rPr>
        <w:t>Managing Director</w:t>
      </w:r>
    </w:p>
    <w:p w:rsidR="00076293" w:rsidRPr="00100D95" w:rsidRDefault="00076293" w:rsidP="00100D95">
      <w:pPr>
        <w:rPr>
          <w:szCs w:val="22"/>
          <w:lang w:val="en-GB"/>
        </w:rPr>
      </w:pPr>
      <w:r w:rsidRPr="00100D95">
        <w:rPr>
          <w:szCs w:val="22"/>
          <w:lang w:val="en-GB"/>
        </w:rPr>
        <w:t>Division Bank and Insurance</w:t>
      </w:r>
    </w:p>
    <w:sectPr w:rsidR="00076293" w:rsidRPr="00100D95" w:rsidSect="00E736C4">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A1D" w:rsidRDefault="00FC4A1D" w:rsidP="00E245DF">
      <w:pPr>
        <w:spacing w:line="240" w:lineRule="auto"/>
      </w:pPr>
      <w:r>
        <w:separator/>
      </w:r>
    </w:p>
  </w:endnote>
  <w:endnote w:type="continuationSeparator" w:id="0">
    <w:p w:rsidR="00FC4A1D" w:rsidRDefault="00FC4A1D" w:rsidP="00E24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A1D" w:rsidRDefault="00FC4A1D" w:rsidP="00E245DF">
      <w:pPr>
        <w:spacing w:line="240" w:lineRule="auto"/>
      </w:pPr>
      <w:r>
        <w:separator/>
      </w:r>
    </w:p>
  </w:footnote>
  <w:footnote w:type="continuationSeparator" w:id="0">
    <w:p w:rsidR="00FC4A1D" w:rsidRDefault="00FC4A1D" w:rsidP="00E245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DF" w:rsidRDefault="00E245DF">
    <w:pPr>
      <w:pStyle w:val="Kopfzeile"/>
    </w:pPr>
    <w:r>
      <w:rPr>
        <w:noProof/>
        <w:lang w:val="de-AT" w:eastAsia="de-AT"/>
      </w:rPr>
      <w:drawing>
        <wp:anchor distT="0" distB="0" distL="114300" distR="114300" simplePos="0" relativeHeight="251659264" behindDoc="0" locked="1" layoutInCell="1" allowOverlap="1" wp14:anchorId="12A23616" wp14:editId="7401B538">
          <wp:simplePos x="0" y="0"/>
          <wp:positionH relativeFrom="page">
            <wp:posOffset>5012055</wp:posOffset>
          </wp:positionH>
          <wp:positionV relativeFrom="page">
            <wp:posOffset>349885</wp:posOffset>
          </wp:positionV>
          <wp:extent cx="2210435" cy="861695"/>
          <wp:effectExtent l="0" t="0" r="0" b="0"/>
          <wp:wrapTopAndBottom/>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0435" cy="8616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653D6"/>
    <w:multiLevelType w:val="hybridMultilevel"/>
    <w:tmpl w:val="26F60562"/>
    <w:lvl w:ilvl="0" w:tplc="F2486A16">
      <w:start w:val="1"/>
      <w:numFmt w:val="decimal"/>
      <w:lvlText w:val="%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957DF0"/>
    <w:multiLevelType w:val="hybridMultilevel"/>
    <w:tmpl w:val="10B2DD8A"/>
    <w:lvl w:ilvl="0" w:tplc="18090001">
      <w:start w:val="1"/>
      <w:numFmt w:val="bullet"/>
      <w:lvlText w:val=""/>
      <w:lvlJc w:val="left"/>
      <w:pPr>
        <w:ind w:left="1776" w:hanging="360"/>
      </w:pPr>
      <w:rPr>
        <w:rFonts w:ascii="Symbol" w:hAnsi="Symbol" w:hint="default"/>
      </w:rPr>
    </w:lvl>
    <w:lvl w:ilvl="1" w:tplc="18090003">
      <w:start w:val="1"/>
      <w:numFmt w:val="bullet"/>
      <w:lvlText w:val="o"/>
      <w:lvlJc w:val="left"/>
      <w:pPr>
        <w:ind w:left="2496" w:hanging="360"/>
      </w:pPr>
      <w:rPr>
        <w:rFonts w:ascii="Courier New" w:hAnsi="Courier New" w:cs="Courier New" w:hint="default"/>
      </w:rPr>
    </w:lvl>
    <w:lvl w:ilvl="2" w:tplc="18090005" w:tentative="1">
      <w:start w:val="1"/>
      <w:numFmt w:val="bullet"/>
      <w:lvlText w:val=""/>
      <w:lvlJc w:val="left"/>
      <w:pPr>
        <w:ind w:left="3216" w:hanging="360"/>
      </w:pPr>
      <w:rPr>
        <w:rFonts w:ascii="Wingdings" w:hAnsi="Wingdings" w:hint="default"/>
      </w:rPr>
    </w:lvl>
    <w:lvl w:ilvl="3" w:tplc="18090001" w:tentative="1">
      <w:start w:val="1"/>
      <w:numFmt w:val="bullet"/>
      <w:lvlText w:val=""/>
      <w:lvlJc w:val="left"/>
      <w:pPr>
        <w:ind w:left="3936" w:hanging="360"/>
      </w:pPr>
      <w:rPr>
        <w:rFonts w:ascii="Symbol" w:hAnsi="Symbol" w:hint="default"/>
      </w:rPr>
    </w:lvl>
    <w:lvl w:ilvl="4" w:tplc="18090003" w:tentative="1">
      <w:start w:val="1"/>
      <w:numFmt w:val="bullet"/>
      <w:lvlText w:val="o"/>
      <w:lvlJc w:val="left"/>
      <w:pPr>
        <w:ind w:left="4656" w:hanging="360"/>
      </w:pPr>
      <w:rPr>
        <w:rFonts w:ascii="Courier New" w:hAnsi="Courier New" w:cs="Courier New" w:hint="default"/>
      </w:rPr>
    </w:lvl>
    <w:lvl w:ilvl="5" w:tplc="18090005" w:tentative="1">
      <w:start w:val="1"/>
      <w:numFmt w:val="bullet"/>
      <w:lvlText w:val=""/>
      <w:lvlJc w:val="left"/>
      <w:pPr>
        <w:ind w:left="5376" w:hanging="360"/>
      </w:pPr>
      <w:rPr>
        <w:rFonts w:ascii="Wingdings" w:hAnsi="Wingdings" w:hint="default"/>
      </w:rPr>
    </w:lvl>
    <w:lvl w:ilvl="6" w:tplc="18090001" w:tentative="1">
      <w:start w:val="1"/>
      <w:numFmt w:val="bullet"/>
      <w:lvlText w:val=""/>
      <w:lvlJc w:val="left"/>
      <w:pPr>
        <w:ind w:left="6096" w:hanging="360"/>
      </w:pPr>
      <w:rPr>
        <w:rFonts w:ascii="Symbol" w:hAnsi="Symbol" w:hint="default"/>
      </w:rPr>
    </w:lvl>
    <w:lvl w:ilvl="7" w:tplc="18090003" w:tentative="1">
      <w:start w:val="1"/>
      <w:numFmt w:val="bullet"/>
      <w:lvlText w:val="o"/>
      <w:lvlJc w:val="left"/>
      <w:pPr>
        <w:ind w:left="6816" w:hanging="360"/>
      </w:pPr>
      <w:rPr>
        <w:rFonts w:ascii="Courier New" w:hAnsi="Courier New" w:cs="Courier New" w:hint="default"/>
      </w:rPr>
    </w:lvl>
    <w:lvl w:ilvl="8" w:tplc="18090005" w:tentative="1">
      <w:start w:val="1"/>
      <w:numFmt w:val="bullet"/>
      <w:lvlText w:val=""/>
      <w:lvlJc w:val="left"/>
      <w:pPr>
        <w:ind w:left="7536" w:hanging="360"/>
      </w:pPr>
      <w:rPr>
        <w:rFonts w:ascii="Wingdings" w:hAnsi="Wingdings" w:hint="default"/>
      </w:rPr>
    </w:lvl>
  </w:abstractNum>
  <w:abstractNum w:abstractNumId="2">
    <w:nsid w:val="172F245F"/>
    <w:multiLevelType w:val="hybridMultilevel"/>
    <w:tmpl w:val="00D41A64"/>
    <w:lvl w:ilvl="0" w:tplc="E896658E">
      <w:start w:val="1"/>
      <w:numFmt w:val="decimal"/>
      <w:lvlText w:val="Q%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nsid w:val="325D6598"/>
    <w:multiLevelType w:val="hybridMultilevel"/>
    <w:tmpl w:val="10C491D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nsid w:val="32B04ADA"/>
    <w:multiLevelType w:val="hybridMultilevel"/>
    <w:tmpl w:val="7C4ABD64"/>
    <w:lvl w:ilvl="0" w:tplc="5F3627E2">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37A15BD9"/>
    <w:multiLevelType w:val="hybridMultilevel"/>
    <w:tmpl w:val="9F7CD36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nsid w:val="3B3760B3"/>
    <w:multiLevelType w:val="hybridMultilevel"/>
    <w:tmpl w:val="E820CF7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3D8A159C"/>
    <w:multiLevelType w:val="hybridMultilevel"/>
    <w:tmpl w:val="5082E1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3E627419"/>
    <w:multiLevelType w:val="hybridMultilevel"/>
    <w:tmpl w:val="7690E62E"/>
    <w:lvl w:ilvl="0" w:tplc="744612AA">
      <w:start w:val="1"/>
      <w:numFmt w:val="bullet"/>
      <w:lvlText w:val=""/>
      <w:lvlJc w:val="left"/>
      <w:pPr>
        <w:ind w:left="357" w:hanging="357"/>
      </w:pPr>
      <w:rPr>
        <w:rFonts w:ascii="Symbol" w:hAnsi="Symbol" w:hint="default"/>
      </w:rPr>
    </w:lvl>
    <w:lvl w:ilvl="1" w:tplc="18090003">
      <w:start w:val="1"/>
      <w:numFmt w:val="bullet"/>
      <w:lvlText w:val="o"/>
      <w:lvlJc w:val="left"/>
      <w:pPr>
        <w:ind w:left="2496" w:hanging="360"/>
      </w:pPr>
      <w:rPr>
        <w:rFonts w:ascii="Courier New" w:hAnsi="Courier New" w:cs="Courier New" w:hint="default"/>
      </w:rPr>
    </w:lvl>
    <w:lvl w:ilvl="2" w:tplc="18090005" w:tentative="1">
      <w:start w:val="1"/>
      <w:numFmt w:val="bullet"/>
      <w:lvlText w:val=""/>
      <w:lvlJc w:val="left"/>
      <w:pPr>
        <w:ind w:left="3216" w:hanging="360"/>
      </w:pPr>
      <w:rPr>
        <w:rFonts w:ascii="Wingdings" w:hAnsi="Wingdings" w:hint="default"/>
      </w:rPr>
    </w:lvl>
    <w:lvl w:ilvl="3" w:tplc="18090001" w:tentative="1">
      <w:start w:val="1"/>
      <w:numFmt w:val="bullet"/>
      <w:lvlText w:val=""/>
      <w:lvlJc w:val="left"/>
      <w:pPr>
        <w:ind w:left="3936" w:hanging="360"/>
      </w:pPr>
      <w:rPr>
        <w:rFonts w:ascii="Symbol" w:hAnsi="Symbol" w:hint="default"/>
      </w:rPr>
    </w:lvl>
    <w:lvl w:ilvl="4" w:tplc="18090003" w:tentative="1">
      <w:start w:val="1"/>
      <w:numFmt w:val="bullet"/>
      <w:lvlText w:val="o"/>
      <w:lvlJc w:val="left"/>
      <w:pPr>
        <w:ind w:left="4656" w:hanging="360"/>
      </w:pPr>
      <w:rPr>
        <w:rFonts w:ascii="Courier New" w:hAnsi="Courier New" w:cs="Courier New" w:hint="default"/>
      </w:rPr>
    </w:lvl>
    <w:lvl w:ilvl="5" w:tplc="18090005" w:tentative="1">
      <w:start w:val="1"/>
      <w:numFmt w:val="bullet"/>
      <w:lvlText w:val=""/>
      <w:lvlJc w:val="left"/>
      <w:pPr>
        <w:ind w:left="5376" w:hanging="360"/>
      </w:pPr>
      <w:rPr>
        <w:rFonts w:ascii="Wingdings" w:hAnsi="Wingdings" w:hint="default"/>
      </w:rPr>
    </w:lvl>
    <w:lvl w:ilvl="6" w:tplc="18090001" w:tentative="1">
      <w:start w:val="1"/>
      <w:numFmt w:val="bullet"/>
      <w:lvlText w:val=""/>
      <w:lvlJc w:val="left"/>
      <w:pPr>
        <w:ind w:left="6096" w:hanging="360"/>
      </w:pPr>
      <w:rPr>
        <w:rFonts w:ascii="Symbol" w:hAnsi="Symbol" w:hint="default"/>
      </w:rPr>
    </w:lvl>
    <w:lvl w:ilvl="7" w:tplc="18090003" w:tentative="1">
      <w:start w:val="1"/>
      <w:numFmt w:val="bullet"/>
      <w:lvlText w:val="o"/>
      <w:lvlJc w:val="left"/>
      <w:pPr>
        <w:ind w:left="6816" w:hanging="360"/>
      </w:pPr>
      <w:rPr>
        <w:rFonts w:ascii="Courier New" w:hAnsi="Courier New" w:cs="Courier New" w:hint="default"/>
      </w:rPr>
    </w:lvl>
    <w:lvl w:ilvl="8" w:tplc="18090005" w:tentative="1">
      <w:start w:val="1"/>
      <w:numFmt w:val="bullet"/>
      <w:lvlText w:val=""/>
      <w:lvlJc w:val="left"/>
      <w:pPr>
        <w:ind w:left="7536" w:hanging="360"/>
      </w:pPr>
      <w:rPr>
        <w:rFonts w:ascii="Wingdings" w:hAnsi="Wingdings" w:hint="default"/>
      </w:rPr>
    </w:lvl>
  </w:abstractNum>
  <w:abstractNum w:abstractNumId="10">
    <w:nsid w:val="4A8501C1"/>
    <w:multiLevelType w:val="multilevel"/>
    <w:tmpl w:val="2E280D56"/>
    <w:lvl w:ilvl="0">
      <w:start w:val="233"/>
      <w:numFmt w:val="decimal"/>
      <w:pStyle w:val="CPQuestions"/>
      <w:suff w:val="space"/>
      <w:lvlText w:val="Q%1."/>
      <w:lvlJc w:val="left"/>
      <w:pPr>
        <w:ind w:left="0" w:firstLine="0"/>
      </w:pPr>
      <w:rPr>
        <w:rFonts w:cs="Times New Roman"/>
      </w:rPr>
    </w:lvl>
    <w:lvl w:ilvl="1">
      <w:start w:val="1"/>
      <w:numFmt w:val="decimal"/>
      <w:pStyle w:val="CPQuest2"/>
      <w:suff w:val="space"/>
      <w:lvlText w:val="(%2)"/>
      <w:lvlJc w:val="left"/>
      <w:pPr>
        <w:ind w:left="567" w:firstLine="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F292309"/>
    <w:multiLevelType w:val="hybridMultilevel"/>
    <w:tmpl w:val="6E3C63B0"/>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572040C0"/>
    <w:multiLevelType w:val="hybridMultilevel"/>
    <w:tmpl w:val="3224FEA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5A257F55"/>
    <w:multiLevelType w:val="hybridMultilevel"/>
    <w:tmpl w:val="AF304B0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nsid w:val="5C311997"/>
    <w:multiLevelType w:val="hybridMultilevel"/>
    <w:tmpl w:val="B4964FF6"/>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5">
    <w:nsid w:val="605735B9"/>
    <w:multiLevelType w:val="hybridMultilevel"/>
    <w:tmpl w:val="63E2658A"/>
    <w:lvl w:ilvl="0" w:tplc="A1F26418">
      <w:start w:val="1"/>
      <w:numFmt w:val="decimal"/>
      <w:pStyle w:val="berschrift5"/>
      <w:suff w:val="nothing"/>
      <w:lvlText w:val="Q%1:"/>
      <w:lvlJc w:val="left"/>
      <w:pPr>
        <w:ind w:left="227" w:hanging="227"/>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BB6F02"/>
    <w:multiLevelType w:val="hybridMultilevel"/>
    <w:tmpl w:val="D1040662"/>
    <w:lvl w:ilvl="0" w:tplc="0244444E">
      <w:start w:val="3"/>
      <w:numFmt w:val="bullet"/>
      <w:lvlText w:val="-"/>
      <w:lvlJc w:val="left"/>
      <w:pPr>
        <w:ind w:left="420" w:hanging="360"/>
      </w:pPr>
      <w:rPr>
        <w:rFonts w:ascii="Arial" w:eastAsiaTheme="minorEastAsia" w:hAnsi="Arial" w:cs="Arial" w:hint="default"/>
      </w:rPr>
    </w:lvl>
    <w:lvl w:ilvl="1" w:tplc="0C070003" w:tentative="1">
      <w:start w:val="1"/>
      <w:numFmt w:val="bullet"/>
      <w:lvlText w:val="o"/>
      <w:lvlJc w:val="left"/>
      <w:pPr>
        <w:ind w:left="1140" w:hanging="360"/>
      </w:pPr>
      <w:rPr>
        <w:rFonts w:ascii="Courier New" w:hAnsi="Courier New" w:cs="Courier New"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17">
    <w:nsid w:val="6EE22755"/>
    <w:multiLevelType w:val="hybridMultilevel"/>
    <w:tmpl w:val="63FA0BFE"/>
    <w:lvl w:ilvl="0" w:tplc="B55E7C30">
      <w:start w:val="1"/>
      <w:numFmt w:val="bullet"/>
      <w:lvlText w:val=""/>
      <w:lvlJc w:val="left"/>
      <w:pPr>
        <w:ind w:left="3759" w:hanging="3759"/>
      </w:pPr>
      <w:rPr>
        <w:rFonts w:ascii="Symbol" w:hAnsi="Symbol" w:hint="default"/>
      </w:rPr>
    </w:lvl>
    <w:lvl w:ilvl="1" w:tplc="18090003">
      <w:start w:val="1"/>
      <w:numFmt w:val="bullet"/>
      <w:lvlText w:val="o"/>
      <w:lvlJc w:val="left"/>
      <w:pPr>
        <w:ind w:left="2496" w:hanging="360"/>
      </w:pPr>
      <w:rPr>
        <w:rFonts w:ascii="Courier New" w:hAnsi="Courier New" w:cs="Courier New" w:hint="default"/>
      </w:rPr>
    </w:lvl>
    <w:lvl w:ilvl="2" w:tplc="18090005" w:tentative="1">
      <w:start w:val="1"/>
      <w:numFmt w:val="bullet"/>
      <w:lvlText w:val=""/>
      <w:lvlJc w:val="left"/>
      <w:pPr>
        <w:ind w:left="3216" w:hanging="360"/>
      </w:pPr>
      <w:rPr>
        <w:rFonts w:ascii="Wingdings" w:hAnsi="Wingdings" w:hint="default"/>
      </w:rPr>
    </w:lvl>
    <w:lvl w:ilvl="3" w:tplc="18090001" w:tentative="1">
      <w:start w:val="1"/>
      <w:numFmt w:val="bullet"/>
      <w:lvlText w:val=""/>
      <w:lvlJc w:val="left"/>
      <w:pPr>
        <w:ind w:left="3936" w:hanging="360"/>
      </w:pPr>
      <w:rPr>
        <w:rFonts w:ascii="Symbol" w:hAnsi="Symbol" w:hint="default"/>
      </w:rPr>
    </w:lvl>
    <w:lvl w:ilvl="4" w:tplc="18090003" w:tentative="1">
      <w:start w:val="1"/>
      <w:numFmt w:val="bullet"/>
      <w:lvlText w:val="o"/>
      <w:lvlJc w:val="left"/>
      <w:pPr>
        <w:ind w:left="4656" w:hanging="360"/>
      </w:pPr>
      <w:rPr>
        <w:rFonts w:ascii="Courier New" w:hAnsi="Courier New" w:cs="Courier New" w:hint="default"/>
      </w:rPr>
    </w:lvl>
    <w:lvl w:ilvl="5" w:tplc="18090005" w:tentative="1">
      <w:start w:val="1"/>
      <w:numFmt w:val="bullet"/>
      <w:lvlText w:val=""/>
      <w:lvlJc w:val="left"/>
      <w:pPr>
        <w:ind w:left="5376" w:hanging="360"/>
      </w:pPr>
      <w:rPr>
        <w:rFonts w:ascii="Wingdings" w:hAnsi="Wingdings" w:hint="default"/>
      </w:rPr>
    </w:lvl>
    <w:lvl w:ilvl="6" w:tplc="18090001" w:tentative="1">
      <w:start w:val="1"/>
      <w:numFmt w:val="bullet"/>
      <w:lvlText w:val=""/>
      <w:lvlJc w:val="left"/>
      <w:pPr>
        <w:ind w:left="6096" w:hanging="360"/>
      </w:pPr>
      <w:rPr>
        <w:rFonts w:ascii="Symbol" w:hAnsi="Symbol" w:hint="default"/>
      </w:rPr>
    </w:lvl>
    <w:lvl w:ilvl="7" w:tplc="18090003" w:tentative="1">
      <w:start w:val="1"/>
      <w:numFmt w:val="bullet"/>
      <w:lvlText w:val="o"/>
      <w:lvlJc w:val="left"/>
      <w:pPr>
        <w:ind w:left="6816" w:hanging="360"/>
      </w:pPr>
      <w:rPr>
        <w:rFonts w:ascii="Courier New" w:hAnsi="Courier New" w:cs="Courier New" w:hint="default"/>
      </w:rPr>
    </w:lvl>
    <w:lvl w:ilvl="8" w:tplc="18090005" w:tentative="1">
      <w:start w:val="1"/>
      <w:numFmt w:val="bullet"/>
      <w:lvlText w:val=""/>
      <w:lvlJc w:val="left"/>
      <w:pPr>
        <w:ind w:left="7536" w:hanging="360"/>
      </w:pPr>
      <w:rPr>
        <w:rFonts w:ascii="Wingdings" w:hAnsi="Wingdings" w:hint="default"/>
      </w:rPr>
    </w:lvl>
  </w:abstractNum>
  <w:abstractNum w:abstractNumId="18">
    <w:nsid w:val="7A6836FD"/>
    <w:multiLevelType w:val="hybridMultilevel"/>
    <w:tmpl w:val="DEFAB7A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nsid w:val="7A6E15D8"/>
    <w:multiLevelType w:val="hybridMultilevel"/>
    <w:tmpl w:val="696A724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7"/>
  </w:num>
  <w:num w:numId="6">
    <w:abstractNumId w:val="9"/>
  </w:num>
  <w:num w:numId="7">
    <w:abstractNumId w:val="5"/>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11"/>
  </w:num>
  <w:num w:numId="12">
    <w:abstractNumId w:val="12"/>
  </w:num>
  <w:num w:numId="13">
    <w:abstractNumId w:val="18"/>
  </w:num>
  <w:num w:numId="14">
    <w:abstractNumId w:val="19"/>
  </w:num>
  <w:num w:numId="15">
    <w:abstractNumId w:val="3"/>
  </w:num>
  <w:num w:numId="16">
    <w:abstractNumId w:val="13"/>
  </w:num>
  <w:num w:numId="17">
    <w:abstractNumId w:val="6"/>
  </w:num>
  <w:num w:numId="18">
    <w:abstractNumId w:val="8"/>
  </w:num>
  <w:num w:numId="19">
    <w:abstractNumId w:val="16"/>
  </w:num>
  <w:num w:numId="20">
    <w:abstractNumId w:val="10"/>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anus Kogler">
    <w15:presenceInfo w15:providerId="Windows Live" w15:userId="31dd04f042f6ea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5DF"/>
    <w:rsid w:val="00002CAE"/>
    <w:rsid w:val="0000713F"/>
    <w:rsid w:val="000127E2"/>
    <w:rsid w:val="00012D1A"/>
    <w:rsid w:val="00016D43"/>
    <w:rsid w:val="0003719F"/>
    <w:rsid w:val="00041E2C"/>
    <w:rsid w:val="000608E2"/>
    <w:rsid w:val="000641B8"/>
    <w:rsid w:val="00071001"/>
    <w:rsid w:val="00075857"/>
    <w:rsid w:val="00076293"/>
    <w:rsid w:val="000814A0"/>
    <w:rsid w:val="00082C8C"/>
    <w:rsid w:val="00091E6A"/>
    <w:rsid w:val="0009689A"/>
    <w:rsid w:val="000A71B3"/>
    <w:rsid w:val="000A71EA"/>
    <w:rsid w:val="000B12FD"/>
    <w:rsid w:val="000B7855"/>
    <w:rsid w:val="000C4EA0"/>
    <w:rsid w:val="000D607B"/>
    <w:rsid w:val="000D7CD2"/>
    <w:rsid w:val="000F1496"/>
    <w:rsid w:val="000F2831"/>
    <w:rsid w:val="000F69DE"/>
    <w:rsid w:val="00100D95"/>
    <w:rsid w:val="00102C32"/>
    <w:rsid w:val="00102E04"/>
    <w:rsid w:val="00103E15"/>
    <w:rsid w:val="00106C6F"/>
    <w:rsid w:val="00123FF7"/>
    <w:rsid w:val="001455FF"/>
    <w:rsid w:val="00166D5F"/>
    <w:rsid w:val="001675EA"/>
    <w:rsid w:val="00172EAC"/>
    <w:rsid w:val="00193FBA"/>
    <w:rsid w:val="00196071"/>
    <w:rsid w:val="001A04D8"/>
    <w:rsid w:val="001A1F7F"/>
    <w:rsid w:val="001C4912"/>
    <w:rsid w:val="001C5380"/>
    <w:rsid w:val="001E2A72"/>
    <w:rsid w:val="001E2D12"/>
    <w:rsid w:val="001F25D1"/>
    <w:rsid w:val="00200EC8"/>
    <w:rsid w:val="0020107C"/>
    <w:rsid w:val="00205517"/>
    <w:rsid w:val="00213287"/>
    <w:rsid w:val="00220E0E"/>
    <w:rsid w:val="002232D2"/>
    <w:rsid w:val="00226ADD"/>
    <w:rsid w:val="00231E37"/>
    <w:rsid w:val="00240497"/>
    <w:rsid w:val="00252C74"/>
    <w:rsid w:val="002535CA"/>
    <w:rsid w:val="00253970"/>
    <w:rsid w:val="00261C4B"/>
    <w:rsid w:val="00271D63"/>
    <w:rsid w:val="00273354"/>
    <w:rsid w:val="00277E56"/>
    <w:rsid w:val="00283BF5"/>
    <w:rsid w:val="002971D3"/>
    <w:rsid w:val="002A2E36"/>
    <w:rsid w:val="002A6A53"/>
    <w:rsid w:val="002C0F93"/>
    <w:rsid w:val="002C33A7"/>
    <w:rsid w:val="002D4063"/>
    <w:rsid w:val="002D7E99"/>
    <w:rsid w:val="002E40B7"/>
    <w:rsid w:val="00304584"/>
    <w:rsid w:val="003258AF"/>
    <w:rsid w:val="00326AD7"/>
    <w:rsid w:val="00331C9B"/>
    <w:rsid w:val="003351AC"/>
    <w:rsid w:val="00353145"/>
    <w:rsid w:val="00354C94"/>
    <w:rsid w:val="00356823"/>
    <w:rsid w:val="0037643C"/>
    <w:rsid w:val="00382B0A"/>
    <w:rsid w:val="00385222"/>
    <w:rsid w:val="00386157"/>
    <w:rsid w:val="003925AD"/>
    <w:rsid w:val="003C7BD4"/>
    <w:rsid w:val="003D1A2B"/>
    <w:rsid w:val="003D621A"/>
    <w:rsid w:val="003D70C4"/>
    <w:rsid w:val="003D7AD3"/>
    <w:rsid w:val="003E3102"/>
    <w:rsid w:val="003E6683"/>
    <w:rsid w:val="003F3096"/>
    <w:rsid w:val="003F6C84"/>
    <w:rsid w:val="003F72E9"/>
    <w:rsid w:val="003F792D"/>
    <w:rsid w:val="004045DE"/>
    <w:rsid w:val="00411B54"/>
    <w:rsid w:val="004270E2"/>
    <w:rsid w:val="00442A54"/>
    <w:rsid w:val="00446AEB"/>
    <w:rsid w:val="00446BE3"/>
    <w:rsid w:val="00450DC1"/>
    <w:rsid w:val="00454F8D"/>
    <w:rsid w:val="0045726B"/>
    <w:rsid w:val="00470A23"/>
    <w:rsid w:val="00471400"/>
    <w:rsid w:val="00475637"/>
    <w:rsid w:val="00482ED1"/>
    <w:rsid w:val="00484B00"/>
    <w:rsid w:val="00490C96"/>
    <w:rsid w:val="004A0C5F"/>
    <w:rsid w:val="004A2074"/>
    <w:rsid w:val="004C5683"/>
    <w:rsid w:val="004C5BD9"/>
    <w:rsid w:val="004D5B87"/>
    <w:rsid w:val="004E6399"/>
    <w:rsid w:val="004F23C4"/>
    <w:rsid w:val="005073AE"/>
    <w:rsid w:val="005154D9"/>
    <w:rsid w:val="005246B6"/>
    <w:rsid w:val="00527B54"/>
    <w:rsid w:val="00531490"/>
    <w:rsid w:val="00547A59"/>
    <w:rsid w:val="005501F5"/>
    <w:rsid w:val="005534B9"/>
    <w:rsid w:val="00596D89"/>
    <w:rsid w:val="005A265C"/>
    <w:rsid w:val="005A7E33"/>
    <w:rsid w:val="005B30D9"/>
    <w:rsid w:val="005B542C"/>
    <w:rsid w:val="005B7474"/>
    <w:rsid w:val="005B7B2B"/>
    <w:rsid w:val="005C0931"/>
    <w:rsid w:val="005C5376"/>
    <w:rsid w:val="005D0BA5"/>
    <w:rsid w:val="005D282D"/>
    <w:rsid w:val="005D3BF4"/>
    <w:rsid w:val="005D6B25"/>
    <w:rsid w:val="005D714A"/>
    <w:rsid w:val="005F6829"/>
    <w:rsid w:val="0060498F"/>
    <w:rsid w:val="00617DBA"/>
    <w:rsid w:val="00626C2B"/>
    <w:rsid w:val="00631FED"/>
    <w:rsid w:val="006327CF"/>
    <w:rsid w:val="00640476"/>
    <w:rsid w:val="00647C37"/>
    <w:rsid w:val="00662ADF"/>
    <w:rsid w:val="0066391E"/>
    <w:rsid w:val="00665515"/>
    <w:rsid w:val="00667712"/>
    <w:rsid w:val="00672BCD"/>
    <w:rsid w:val="0068065A"/>
    <w:rsid w:val="00696D98"/>
    <w:rsid w:val="006A04A3"/>
    <w:rsid w:val="006A78D2"/>
    <w:rsid w:val="006B464D"/>
    <w:rsid w:val="006C0423"/>
    <w:rsid w:val="006D58B7"/>
    <w:rsid w:val="006E0005"/>
    <w:rsid w:val="006E2E0E"/>
    <w:rsid w:val="006E5EB7"/>
    <w:rsid w:val="006F2C6D"/>
    <w:rsid w:val="006F4D40"/>
    <w:rsid w:val="006F7C2F"/>
    <w:rsid w:val="007050C2"/>
    <w:rsid w:val="0070580C"/>
    <w:rsid w:val="007250D7"/>
    <w:rsid w:val="00733E21"/>
    <w:rsid w:val="00737458"/>
    <w:rsid w:val="00744E03"/>
    <w:rsid w:val="00746591"/>
    <w:rsid w:val="007572B2"/>
    <w:rsid w:val="00757D59"/>
    <w:rsid w:val="007624B1"/>
    <w:rsid w:val="00764C39"/>
    <w:rsid w:val="00765216"/>
    <w:rsid w:val="00765322"/>
    <w:rsid w:val="007739B4"/>
    <w:rsid w:val="007766FC"/>
    <w:rsid w:val="00780333"/>
    <w:rsid w:val="00782F87"/>
    <w:rsid w:val="00786DF5"/>
    <w:rsid w:val="007933D7"/>
    <w:rsid w:val="007A6524"/>
    <w:rsid w:val="007C1031"/>
    <w:rsid w:val="007D472B"/>
    <w:rsid w:val="007F0DCC"/>
    <w:rsid w:val="007F47AD"/>
    <w:rsid w:val="008042C9"/>
    <w:rsid w:val="00813C58"/>
    <w:rsid w:val="00813D37"/>
    <w:rsid w:val="00822213"/>
    <w:rsid w:val="00831F79"/>
    <w:rsid w:val="00835A38"/>
    <w:rsid w:val="008401B3"/>
    <w:rsid w:val="00841B66"/>
    <w:rsid w:val="0085688E"/>
    <w:rsid w:val="00861BFF"/>
    <w:rsid w:val="00861D96"/>
    <w:rsid w:val="00864113"/>
    <w:rsid w:val="00864BB9"/>
    <w:rsid w:val="00873CCE"/>
    <w:rsid w:val="00875856"/>
    <w:rsid w:val="008862DB"/>
    <w:rsid w:val="00886998"/>
    <w:rsid w:val="00893D43"/>
    <w:rsid w:val="00897409"/>
    <w:rsid w:val="008A0FF8"/>
    <w:rsid w:val="008A24DF"/>
    <w:rsid w:val="008A713B"/>
    <w:rsid w:val="008B46EE"/>
    <w:rsid w:val="008C62EC"/>
    <w:rsid w:val="008D08A5"/>
    <w:rsid w:val="008D6D1E"/>
    <w:rsid w:val="008F40A5"/>
    <w:rsid w:val="00905D69"/>
    <w:rsid w:val="00947228"/>
    <w:rsid w:val="00951D89"/>
    <w:rsid w:val="00954E0A"/>
    <w:rsid w:val="00956F9A"/>
    <w:rsid w:val="00964715"/>
    <w:rsid w:val="00976333"/>
    <w:rsid w:val="00982719"/>
    <w:rsid w:val="00990658"/>
    <w:rsid w:val="009A789A"/>
    <w:rsid w:val="009B14CE"/>
    <w:rsid w:val="009C58B4"/>
    <w:rsid w:val="009D6188"/>
    <w:rsid w:val="009F47C6"/>
    <w:rsid w:val="009F7963"/>
    <w:rsid w:val="00A01D86"/>
    <w:rsid w:val="00A04226"/>
    <w:rsid w:val="00A07A71"/>
    <w:rsid w:val="00A1002E"/>
    <w:rsid w:val="00A26AF1"/>
    <w:rsid w:val="00A27E15"/>
    <w:rsid w:val="00A30D99"/>
    <w:rsid w:val="00A40993"/>
    <w:rsid w:val="00A40F7B"/>
    <w:rsid w:val="00A44660"/>
    <w:rsid w:val="00A65254"/>
    <w:rsid w:val="00A675D0"/>
    <w:rsid w:val="00A741F1"/>
    <w:rsid w:val="00A80552"/>
    <w:rsid w:val="00A8502A"/>
    <w:rsid w:val="00AB3544"/>
    <w:rsid w:val="00AC215F"/>
    <w:rsid w:val="00AC28F5"/>
    <w:rsid w:val="00AC617A"/>
    <w:rsid w:val="00AD057B"/>
    <w:rsid w:val="00AD104F"/>
    <w:rsid w:val="00AD16CA"/>
    <w:rsid w:val="00AD40B1"/>
    <w:rsid w:val="00AD6225"/>
    <w:rsid w:val="00AE2B70"/>
    <w:rsid w:val="00B01A38"/>
    <w:rsid w:val="00B05EEA"/>
    <w:rsid w:val="00B158EE"/>
    <w:rsid w:val="00B20F70"/>
    <w:rsid w:val="00B259C5"/>
    <w:rsid w:val="00B27DDA"/>
    <w:rsid w:val="00B313B9"/>
    <w:rsid w:val="00B3531E"/>
    <w:rsid w:val="00B5484D"/>
    <w:rsid w:val="00B56534"/>
    <w:rsid w:val="00B61C7D"/>
    <w:rsid w:val="00B63950"/>
    <w:rsid w:val="00B84E69"/>
    <w:rsid w:val="00B91CBF"/>
    <w:rsid w:val="00BA1C24"/>
    <w:rsid w:val="00BA33A0"/>
    <w:rsid w:val="00BB4B43"/>
    <w:rsid w:val="00BB5056"/>
    <w:rsid w:val="00BB6754"/>
    <w:rsid w:val="00BC2477"/>
    <w:rsid w:val="00BC6C12"/>
    <w:rsid w:val="00BD06D9"/>
    <w:rsid w:val="00BD39D5"/>
    <w:rsid w:val="00BD567B"/>
    <w:rsid w:val="00BE79A7"/>
    <w:rsid w:val="00BF2B69"/>
    <w:rsid w:val="00BF312C"/>
    <w:rsid w:val="00C04A90"/>
    <w:rsid w:val="00C10E89"/>
    <w:rsid w:val="00C160EC"/>
    <w:rsid w:val="00C36B74"/>
    <w:rsid w:val="00C42CFE"/>
    <w:rsid w:val="00C42DA7"/>
    <w:rsid w:val="00C65C5C"/>
    <w:rsid w:val="00C779A5"/>
    <w:rsid w:val="00C8448C"/>
    <w:rsid w:val="00CB1F99"/>
    <w:rsid w:val="00CB4B04"/>
    <w:rsid w:val="00CB71CB"/>
    <w:rsid w:val="00CD434B"/>
    <w:rsid w:val="00CD6209"/>
    <w:rsid w:val="00CD7345"/>
    <w:rsid w:val="00CE4DF9"/>
    <w:rsid w:val="00CE7A80"/>
    <w:rsid w:val="00CF5188"/>
    <w:rsid w:val="00CF54DF"/>
    <w:rsid w:val="00D00A67"/>
    <w:rsid w:val="00D00D00"/>
    <w:rsid w:val="00D03A86"/>
    <w:rsid w:val="00D04EBB"/>
    <w:rsid w:val="00D23647"/>
    <w:rsid w:val="00D45F3F"/>
    <w:rsid w:val="00D4620F"/>
    <w:rsid w:val="00D51DA1"/>
    <w:rsid w:val="00D5367E"/>
    <w:rsid w:val="00D54BC6"/>
    <w:rsid w:val="00D55033"/>
    <w:rsid w:val="00D55BF3"/>
    <w:rsid w:val="00D56066"/>
    <w:rsid w:val="00D60841"/>
    <w:rsid w:val="00D615F1"/>
    <w:rsid w:val="00D710D2"/>
    <w:rsid w:val="00D86C87"/>
    <w:rsid w:val="00D90FF5"/>
    <w:rsid w:val="00D956B6"/>
    <w:rsid w:val="00D95A94"/>
    <w:rsid w:val="00D96F6A"/>
    <w:rsid w:val="00DA37ED"/>
    <w:rsid w:val="00DA5D6E"/>
    <w:rsid w:val="00DB3E70"/>
    <w:rsid w:val="00DB65F5"/>
    <w:rsid w:val="00DB6699"/>
    <w:rsid w:val="00DC7BC0"/>
    <w:rsid w:val="00DD11C1"/>
    <w:rsid w:val="00DD288B"/>
    <w:rsid w:val="00DD6B4B"/>
    <w:rsid w:val="00DE516A"/>
    <w:rsid w:val="00DE5505"/>
    <w:rsid w:val="00DE7501"/>
    <w:rsid w:val="00DF0080"/>
    <w:rsid w:val="00E05EC2"/>
    <w:rsid w:val="00E11380"/>
    <w:rsid w:val="00E11A80"/>
    <w:rsid w:val="00E245DF"/>
    <w:rsid w:val="00E33347"/>
    <w:rsid w:val="00E3381F"/>
    <w:rsid w:val="00E34B9D"/>
    <w:rsid w:val="00E50617"/>
    <w:rsid w:val="00E51955"/>
    <w:rsid w:val="00E70AE7"/>
    <w:rsid w:val="00E736C4"/>
    <w:rsid w:val="00E76A26"/>
    <w:rsid w:val="00E8086C"/>
    <w:rsid w:val="00E95F0C"/>
    <w:rsid w:val="00E97865"/>
    <w:rsid w:val="00EA367F"/>
    <w:rsid w:val="00EB3251"/>
    <w:rsid w:val="00EB42A2"/>
    <w:rsid w:val="00EB432D"/>
    <w:rsid w:val="00EB5344"/>
    <w:rsid w:val="00EC5392"/>
    <w:rsid w:val="00EC5E56"/>
    <w:rsid w:val="00EC6603"/>
    <w:rsid w:val="00EE25FD"/>
    <w:rsid w:val="00EF0612"/>
    <w:rsid w:val="00F03A28"/>
    <w:rsid w:val="00F11A35"/>
    <w:rsid w:val="00F12014"/>
    <w:rsid w:val="00F121AF"/>
    <w:rsid w:val="00F2629E"/>
    <w:rsid w:val="00F31D66"/>
    <w:rsid w:val="00F325D3"/>
    <w:rsid w:val="00F45B5D"/>
    <w:rsid w:val="00F534C9"/>
    <w:rsid w:val="00F56473"/>
    <w:rsid w:val="00F7001B"/>
    <w:rsid w:val="00F723C7"/>
    <w:rsid w:val="00F86929"/>
    <w:rsid w:val="00F94622"/>
    <w:rsid w:val="00FA68C6"/>
    <w:rsid w:val="00FA7B80"/>
    <w:rsid w:val="00FB1AEA"/>
    <w:rsid w:val="00FB3022"/>
    <w:rsid w:val="00FB5F64"/>
    <w:rsid w:val="00FB65D1"/>
    <w:rsid w:val="00FC4A1D"/>
    <w:rsid w:val="00FC5FCA"/>
    <w:rsid w:val="00FC6679"/>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45DF"/>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paragraph" w:styleId="berschrift5">
    <w:name w:val="heading 5"/>
    <w:aliases w:val="Questions"/>
    <w:basedOn w:val="Standard"/>
    <w:next w:val="Standard"/>
    <w:link w:val="berschrift5Zchn"/>
    <w:qFormat/>
    <w:rsid w:val="00A1002E"/>
    <w:pPr>
      <w:keepNext/>
      <w:keepLines/>
      <w:numPr>
        <w:numId w:val="1"/>
      </w:numPr>
      <w:spacing w:line="240" w:lineRule="auto"/>
      <w:jc w:val="both"/>
      <w:outlineLvl w:val="4"/>
    </w:pPr>
    <w:rPr>
      <w:rFonts w:ascii="Georgia" w:hAnsi="Georgia"/>
      <w:b/>
      <w:sz w:val="20"/>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385222"/>
    <w:rPr>
      <w:rFonts w:ascii="Tahoma" w:hAnsi="Tahoma" w:cs="Tahoma"/>
      <w:sz w:val="16"/>
      <w:szCs w:val="16"/>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rsid w:val="00BC2477"/>
    <w:rPr>
      <w:sz w:val="18"/>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basedOn w:val="Absatz-Standardschriftart"/>
    <w:link w:val="Funotentext"/>
    <w:uiPriority w:val="99"/>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Kopfzeile">
    <w:name w:val="header"/>
    <w:basedOn w:val="Standard"/>
    <w:link w:val="KopfzeileZchn"/>
    <w:uiPriority w:val="99"/>
    <w:unhideWhenUsed/>
    <w:rsid w:val="00E245D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245DF"/>
    <w:rPr>
      <w:rFonts w:ascii="Trebuchet MS" w:hAnsi="Trebuchet MS" w:cs="Times New Roman"/>
      <w:szCs w:val="20"/>
      <w:lang w:val="de-DE" w:eastAsia="de-DE"/>
    </w:rPr>
  </w:style>
  <w:style w:type="paragraph" w:styleId="Fuzeile">
    <w:name w:val="footer"/>
    <w:basedOn w:val="Standard"/>
    <w:link w:val="FuzeileZchn"/>
    <w:unhideWhenUsed/>
    <w:rsid w:val="00E245D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245DF"/>
    <w:rPr>
      <w:rFonts w:ascii="Trebuchet MS" w:hAnsi="Trebuchet MS" w:cs="Times New Roman"/>
      <w:szCs w:val="20"/>
      <w:lang w:val="de-DE" w:eastAsia="de-DE"/>
    </w:rPr>
  </w:style>
  <w:style w:type="character" w:customStyle="1" w:styleId="berschrift5Zchn">
    <w:name w:val="Überschrift 5 Zchn"/>
    <w:aliases w:val="Questions Zchn"/>
    <w:basedOn w:val="Absatz-Standardschriftart"/>
    <w:link w:val="berschrift5"/>
    <w:rsid w:val="00A1002E"/>
    <w:rPr>
      <w:rFonts w:ascii="Georgia" w:hAnsi="Georgia" w:cs="Times New Roman"/>
      <w:b/>
      <w:sz w:val="20"/>
      <w:szCs w:val="24"/>
      <w:lang w:val="en-GB" w:eastAsia="de-DE"/>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A1002E"/>
    <w:rPr>
      <w:vertAlign w:val="superscript"/>
    </w:rPr>
  </w:style>
  <w:style w:type="paragraph" w:styleId="Listenabsatz">
    <w:name w:val="List Paragraph"/>
    <w:aliases w:val="Paragraphe EI,Paragraphe de liste1,EC"/>
    <w:basedOn w:val="Standard"/>
    <w:link w:val="ListenabsatzZchn"/>
    <w:uiPriority w:val="34"/>
    <w:qFormat/>
    <w:rsid w:val="00A1002E"/>
    <w:pPr>
      <w:spacing w:line="240" w:lineRule="auto"/>
      <w:ind w:left="720"/>
      <w:contextualSpacing/>
    </w:pPr>
    <w:rPr>
      <w:rFonts w:ascii="Georgia" w:hAnsi="Georgia"/>
      <w:sz w:val="20"/>
      <w:szCs w:val="24"/>
      <w:lang w:val="en-GB"/>
    </w:rPr>
  </w:style>
  <w:style w:type="paragraph" w:customStyle="1" w:styleId="Default">
    <w:name w:val="Default"/>
    <w:rsid w:val="00A1002E"/>
    <w:pPr>
      <w:autoSpaceDE w:val="0"/>
      <w:autoSpaceDN w:val="0"/>
      <w:adjustRightInd w:val="0"/>
      <w:spacing w:line="240" w:lineRule="auto"/>
    </w:pPr>
    <w:rPr>
      <w:rFonts w:ascii="Georgia" w:hAnsi="Georgia" w:cs="Georgia"/>
      <w:color w:val="000000"/>
      <w:sz w:val="24"/>
      <w:szCs w:val="24"/>
      <w:lang w:val="fr-FR" w:eastAsia="en-GB"/>
    </w:rPr>
  </w:style>
  <w:style w:type="character" w:customStyle="1" w:styleId="ListenabsatzZchn">
    <w:name w:val="Listenabsatz Zchn"/>
    <w:aliases w:val="Paragraphe EI Zchn,Paragraphe de liste1 Zchn,EC Zchn"/>
    <w:link w:val="Listenabsatz"/>
    <w:uiPriority w:val="34"/>
    <w:locked/>
    <w:rsid w:val="00A1002E"/>
    <w:rPr>
      <w:rFonts w:ascii="Georgia" w:hAnsi="Georgia" w:cs="Times New Roman"/>
      <w:sz w:val="20"/>
      <w:szCs w:val="24"/>
      <w:lang w:val="en-GB" w:eastAsia="de-DE"/>
    </w:rPr>
  </w:style>
  <w:style w:type="paragraph" w:customStyle="1" w:styleId="05dHeadline1blue">
    <w:name w:val="05d_Headline 1 blue"/>
    <w:basedOn w:val="Standard"/>
    <w:next w:val="Standard"/>
    <w:rsid w:val="00C42DA7"/>
    <w:pPr>
      <w:keepNext/>
      <w:numPr>
        <w:numId w:val="9"/>
      </w:numPr>
      <w:pBdr>
        <w:top w:val="single" w:sz="4" w:space="10" w:color="283583"/>
      </w:pBdr>
      <w:tabs>
        <w:tab w:val="left" w:pos="284"/>
        <w:tab w:val="left" w:pos="397"/>
      </w:tabs>
      <w:spacing w:after="280" w:line="280" w:lineRule="exact"/>
      <w:jc w:val="both"/>
    </w:pPr>
    <w:rPr>
      <w:rFonts w:ascii="Georgia" w:hAnsi="Georgia"/>
      <w:b/>
      <w:color w:val="2D4190"/>
      <w:sz w:val="20"/>
      <w:szCs w:val="24"/>
      <w:lang w:val="en-GB"/>
    </w:rPr>
  </w:style>
  <w:style w:type="paragraph" w:styleId="NurText">
    <w:name w:val="Plain Text"/>
    <w:basedOn w:val="Standard"/>
    <w:link w:val="NurTextZchn"/>
    <w:uiPriority w:val="99"/>
    <w:semiHidden/>
    <w:unhideWhenUsed/>
    <w:rsid w:val="00091E6A"/>
    <w:pPr>
      <w:spacing w:line="240" w:lineRule="auto"/>
    </w:pPr>
    <w:rPr>
      <w:rFonts w:ascii="Calibri" w:eastAsiaTheme="minorHAnsi" w:hAnsi="Calibri" w:cs="Consolas"/>
      <w:szCs w:val="21"/>
      <w:lang w:val="de-AT" w:eastAsia="en-US"/>
    </w:rPr>
  </w:style>
  <w:style w:type="character" w:customStyle="1" w:styleId="NurTextZchn">
    <w:name w:val="Nur Text Zchn"/>
    <w:basedOn w:val="Absatz-Standardschriftart"/>
    <w:link w:val="NurText"/>
    <w:uiPriority w:val="99"/>
    <w:semiHidden/>
    <w:rsid w:val="00091E6A"/>
    <w:rPr>
      <w:rFonts w:ascii="Calibri" w:eastAsiaTheme="minorHAnsi" w:hAnsi="Calibri" w:cs="Consolas"/>
      <w:szCs w:val="21"/>
    </w:rPr>
  </w:style>
  <w:style w:type="character" w:customStyle="1" w:styleId="CPQuestionsChar">
    <w:name w:val="CP_Questions Char"/>
    <w:basedOn w:val="Absatz-Standardschriftart"/>
    <w:link w:val="CPQuestions"/>
    <w:locked/>
    <w:rsid w:val="00861BFF"/>
    <w:rPr>
      <w:b/>
      <w:bCs/>
    </w:rPr>
  </w:style>
  <w:style w:type="paragraph" w:customStyle="1" w:styleId="CPQuestions">
    <w:name w:val="CP_Questions"/>
    <w:basedOn w:val="Standard"/>
    <w:link w:val="CPQuestionsChar"/>
    <w:rsid w:val="00861BFF"/>
    <w:pPr>
      <w:numPr>
        <w:numId w:val="20"/>
      </w:numPr>
      <w:spacing w:before="120" w:after="120" w:line="240" w:lineRule="auto"/>
      <w:jc w:val="both"/>
    </w:pPr>
    <w:rPr>
      <w:rFonts w:asciiTheme="minorHAnsi" w:hAnsiTheme="minorHAnsi" w:cstheme="minorBidi"/>
      <w:b/>
      <w:bCs/>
      <w:szCs w:val="22"/>
      <w:lang w:val="de-AT" w:eastAsia="en-US"/>
    </w:rPr>
  </w:style>
  <w:style w:type="paragraph" w:customStyle="1" w:styleId="CPQuest2">
    <w:name w:val="CP_Quest2"/>
    <w:basedOn w:val="Standard"/>
    <w:rsid w:val="00861BFF"/>
    <w:pPr>
      <w:numPr>
        <w:ilvl w:val="1"/>
        <w:numId w:val="20"/>
      </w:numPr>
      <w:spacing w:before="120" w:after="120" w:line="240" w:lineRule="auto"/>
      <w:jc w:val="both"/>
    </w:pPr>
    <w:rPr>
      <w:rFonts w:ascii="Times New Roman" w:eastAsiaTheme="minorHAnsi" w:hAnsi="Times New Roman"/>
      <w:b/>
      <w:bCs/>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45DF"/>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paragraph" w:styleId="berschrift5">
    <w:name w:val="heading 5"/>
    <w:aliases w:val="Questions"/>
    <w:basedOn w:val="Standard"/>
    <w:next w:val="Standard"/>
    <w:link w:val="berschrift5Zchn"/>
    <w:qFormat/>
    <w:rsid w:val="00A1002E"/>
    <w:pPr>
      <w:keepNext/>
      <w:keepLines/>
      <w:numPr>
        <w:numId w:val="1"/>
      </w:numPr>
      <w:spacing w:line="240" w:lineRule="auto"/>
      <w:jc w:val="both"/>
      <w:outlineLvl w:val="4"/>
    </w:pPr>
    <w:rPr>
      <w:rFonts w:ascii="Georgia" w:hAnsi="Georgia"/>
      <w:b/>
      <w:sz w:val="20"/>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385222"/>
    <w:rPr>
      <w:rFonts w:ascii="Tahoma" w:hAnsi="Tahoma" w:cs="Tahoma"/>
      <w:sz w:val="16"/>
      <w:szCs w:val="16"/>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rsid w:val="00BC2477"/>
    <w:rPr>
      <w:sz w:val="18"/>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basedOn w:val="Absatz-Standardschriftart"/>
    <w:link w:val="Funotentext"/>
    <w:uiPriority w:val="99"/>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Kopfzeile">
    <w:name w:val="header"/>
    <w:basedOn w:val="Standard"/>
    <w:link w:val="KopfzeileZchn"/>
    <w:uiPriority w:val="99"/>
    <w:unhideWhenUsed/>
    <w:rsid w:val="00E245D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245DF"/>
    <w:rPr>
      <w:rFonts w:ascii="Trebuchet MS" w:hAnsi="Trebuchet MS" w:cs="Times New Roman"/>
      <w:szCs w:val="20"/>
      <w:lang w:val="de-DE" w:eastAsia="de-DE"/>
    </w:rPr>
  </w:style>
  <w:style w:type="paragraph" w:styleId="Fuzeile">
    <w:name w:val="footer"/>
    <w:basedOn w:val="Standard"/>
    <w:link w:val="FuzeileZchn"/>
    <w:unhideWhenUsed/>
    <w:rsid w:val="00E245D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245DF"/>
    <w:rPr>
      <w:rFonts w:ascii="Trebuchet MS" w:hAnsi="Trebuchet MS" w:cs="Times New Roman"/>
      <w:szCs w:val="20"/>
      <w:lang w:val="de-DE" w:eastAsia="de-DE"/>
    </w:rPr>
  </w:style>
  <w:style w:type="character" w:customStyle="1" w:styleId="berschrift5Zchn">
    <w:name w:val="Überschrift 5 Zchn"/>
    <w:aliases w:val="Questions Zchn"/>
    <w:basedOn w:val="Absatz-Standardschriftart"/>
    <w:link w:val="berschrift5"/>
    <w:rsid w:val="00A1002E"/>
    <w:rPr>
      <w:rFonts w:ascii="Georgia" w:hAnsi="Georgia" w:cs="Times New Roman"/>
      <w:b/>
      <w:sz w:val="20"/>
      <w:szCs w:val="24"/>
      <w:lang w:val="en-GB" w:eastAsia="de-DE"/>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A1002E"/>
    <w:rPr>
      <w:vertAlign w:val="superscript"/>
    </w:rPr>
  </w:style>
  <w:style w:type="paragraph" w:styleId="Listenabsatz">
    <w:name w:val="List Paragraph"/>
    <w:aliases w:val="Paragraphe EI,Paragraphe de liste1,EC"/>
    <w:basedOn w:val="Standard"/>
    <w:link w:val="ListenabsatzZchn"/>
    <w:uiPriority w:val="34"/>
    <w:qFormat/>
    <w:rsid w:val="00A1002E"/>
    <w:pPr>
      <w:spacing w:line="240" w:lineRule="auto"/>
      <w:ind w:left="720"/>
      <w:contextualSpacing/>
    </w:pPr>
    <w:rPr>
      <w:rFonts w:ascii="Georgia" w:hAnsi="Georgia"/>
      <w:sz w:val="20"/>
      <w:szCs w:val="24"/>
      <w:lang w:val="en-GB"/>
    </w:rPr>
  </w:style>
  <w:style w:type="paragraph" w:customStyle="1" w:styleId="Default">
    <w:name w:val="Default"/>
    <w:rsid w:val="00A1002E"/>
    <w:pPr>
      <w:autoSpaceDE w:val="0"/>
      <w:autoSpaceDN w:val="0"/>
      <w:adjustRightInd w:val="0"/>
      <w:spacing w:line="240" w:lineRule="auto"/>
    </w:pPr>
    <w:rPr>
      <w:rFonts w:ascii="Georgia" w:hAnsi="Georgia" w:cs="Georgia"/>
      <w:color w:val="000000"/>
      <w:sz w:val="24"/>
      <w:szCs w:val="24"/>
      <w:lang w:val="fr-FR" w:eastAsia="en-GB"/>
    </w:rPr>
  </w:style>
  <w:style w:type="character" w:customStyle="1" w:styleId="ListenabsatzZchn">
    <w:name w:val="Listenabsatz Zchn"/>
    <w:aliases w:val="Paragraphe EI Zchn,Paragraphe de liste1 Zchn,EC Zchn"/>
    <w:link w:val="Listenabsatz"/>
    <w:uiPriority w:val="34"/>
    <w:locked/>
    <w:rsid w:val="00A1002E"/>
    <w:rPr>
      <w:rFonts w:ascii="Georgia" w:hAnsi="Georgia" w:cs="Times New Roman"/>
      <w:sz w:val="20"/>
      <w:szCs w:val="24"/>
      <w:lang w:val="en-GB" w:eastAsia="de-DE"/>
    </w:rPr>
  </w:style>
  <w:style w:type="paragraph" w:customStyle="1" w:styleId="05dHeadline1blue">
    <w:name w:val="05d_Headline 1 blue"/>
    <w:basedOn w:val="Standard"/>
    <w:next w:val="Standard"/>
    <w:rsid w:val="00C42DA7"/>
    <w:pPr>
      <w:keepNext/>
      <w:numPr>
        <w:numId w:val="9"/>
      </w:numPr>
      <w:pBdr>
        <w:top w:val="single" w:sz="4" w:space="10" w:color="283583"/>
      </w:pBdr>
      <w:tabs>
        <w:tab w:val="left" w:pos="284"/>
        <w:tab w:val="left" w:pos="397"/>
      </w:tabs>
      <w:spacing w:after="280" w:line="280" w:lineRule="exact"/>
      <w:jc w:val="both"/>
    </w:pPr>
    <w:rPr>
      <w:rFonts w:ascii="Georgia" w:hAnsi="Georgia"/>
      <w:b/>
      <w:color w:val="2D4190"/>
      <w:sz w:val="20"/>
      <w:szCs w:val="24"/>
      <w:lang w:val="en-GB"/>
    </w:rPr>
  </w:style>
  <w:style w:type="paragraph" w:styleId="NurText">
    <w:name w:val="Plain Text"/>
    <w:basedOn w:val="Standard"/>
    <w:link w:val="NurTextZchn"/>
    <w:uiPriority w:val="99"/>
    <w:semiHidden/>
    <w:unhideWhenUsed/>
    <w:rsid w:val="00091E6A"/>
    <w:pPr>
      <w:spacing w:line="240" w:lineRule="auto"/>
    </w:pPr>
    <w:rPr>
      <w:rFonts w:ascii="Calibri" w:eastAsiaTheme="minorHAnsi" w:hAnsi="Calibri" w:cs="Consolas"/>
      <w:szCs w:val="21"/>
      <w:lang w:val="de-AT" w:eastAsia="en-US"/>
    </w:rPr>
  </w:style>
  <w:style w:type="character" w:customStyle="1" w:styleId="NurTextZchn">
    <w:name w:val="Nur Text Zchn"/>
    <w:basedOn w:val="Absatz-Standardschriftart"/>
    <w:link w:val="NurText"/>
    <w:uiPriority w:val="99"/>
    <w:semiHidden/>
    <w:rsid w:val="00091E6A"/>
    <w:rPr>
      <w:rFonts w:ascii="Calibri" w:eastAsiaTheme="minorHAnsi" w:hAnsi="Calibri" w:cs="Consolas"/>
      <w:szCs w:val="21"/>
    </w:rPr>
  </w:style>
  <w:style w:type="character" w:customStyle="1" w:styleId="CPQuestionsChar">
    <w:name w:val="CP_Questions Char"/>
    <w:basedOn w:val="Absatz-Standardschriftart"/>
    <w:link w:val="CPQuestions"/>
    <w:locked/>
    <w:rsid w:val="00861BFF"/>
    <w:rPr>
      <w:b/>
      <w:bCs/>
    </w:rPr>
  </w:style>
  <w:style w:type="paragraph" w:customStyle="1" w:styleId="CPQuestions">
    <w:name w:val="CP_Questions"/>
    <w:basedOn w:val="Standard"/>
    <w:link w:val="CPQuestionsChar"/>
    <w:rsid w:val="00861BFF"/>
    <w:pPr>
      <w:numPr>
        <w:numId w:val="20"/>
      </w:numPr>
      <w:spacing w:before="120" w:after="120" w:line="240" w:lineRule="auto"/>
      <w:jc w:val="both"/>
    </w:pPr>
    <w:rPr>
      <w:rFonts w:asciiTheme="minorHAnsi" w:hAnsiTheme="minorHAnsi" w:cstheme="minorBidi"/>
      <w:b/>
      <w:bCs/>
      <w:szCs w:val="22"/>
      <w:lang w:val="de-AT" w:eastAsia="en-US"/>
    </w:rPr>
  </w:style>
  <w:style w:type="paragraph" w:customStyle="1" w:styleId="CPQuest2">
    <w:name w:val="CP_Quest2"/>
    <w:basedOn w:val="Standard"/>
    <w:rsid w:val="00861BFF"/>
    <w:pPr>
      <w:numPr>
        <w:ilvl w:val="1"/>
        <w:numId w:val="20"/>
      </w:numPr>
      <w:spacing w:before="120" w:after="120" w:line="240" w:lineRule="auto"/>
      <w:jc w:val="both"/>
    </w:pPr>
    <w:rPr>
      <w:rFonts w:ascii="Times New Roman" w:eastAsiaTheme="minorHAnsi" w:hAnsi="Times New Roman"/>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89765">
      <w:bodyDiv w:val="1"/>
      <w:marLeft w:val="0"/>
      <w:marRight w:val="0"/>
      <w:marTop w:val="0"/>
      <w:marBottom w:val="0"/>
      <w:divBdr>
        <w:top w:val="none" w:sz="0" w:space="0" w:color="auto"/>
        <w:left w:val="none" w:sz="0" w:space="0" w:color="auto"/>
        <w:bottom w:val="none" w:sz="0" w:space="0" w:color="auto"/>
        <w:right w:val="none" w:sz="0" w:space="0" w:color="auto"/>
      </w:divBdr>
    </w:div>
    <w:div w:id="880362401">
      <w:bodyDiv w:val="1"/>
      <w:marLeft w:val="0"/>
      <w:marRight w:val="0"/>
      <w:marTop w:val="0"/>
      <w:marBottom w:val="0"/>
      <w:divBdr>
        <w:top w:val="none" w:sz="0" w:space="0" w:color="auto"/>
        <w:left w:val="none" w:sz="0" w:space="0" w:color="auto"/>
        <w:bottom w:val="none" w:sz="0" w:space="0" w:color="auto"/>
        <w:right w:val="none" w:sz="0" w:space="0" w:color="auto"/>
      </w:divBdr>
    </w:div>
    <w:div w:id="1200896207">
      <w:bodyDiv w:val="1"/>
      <w:marLeft w:val="0"/>
      <w:marRight w:val="0"/>
      <w:marTop w:val="0"/>
      <w:marBottom w:val="0"/>
      <w:divBdr>
        <w:top w:val="none" w:sz="0" w:space="0" w:color="auto"/>
        <w:left w:val="none" w:sz="0" w:space="0" w:color="auto"/>
        <w:bottom w:val="none" w:sz="0" w:space="0" w:color="auto"/>
        <w:right w:val="none" w:sz="0" w:space="0" w:color="auto"/>
      </w:divBdr>
    </w:div>
    <w:div w:id="1223256256">
      <w:bodyDiv w:val="1"/>
      <w:marLeft w:val="0"/>
      <w:marRight w:val="0"/>
      <w:marTop w:val="0"/>
      <w:marBottom w:val="0"/>
      <w:divBdr>
        <w:top w:val="none" w:sz="0" w:space="0" w:color="auto"/>
        <w:left w:val="none" w:sz="0" w:space="0" w:color="auto"/>
        <w:bottom w:val="none" w:sz="0" w:space="0" w:color="auto"/>
        <w:right w:val="none" w:sz="0" w:space="0" w:color="auto"/>
      </w:divBdr>
    </w:div>
    <w:div w:id="1369724582">
      <w:bodyDiv w:val="1"/>
      <w:marLeft w:val="0"/>
      <w:marRight w:val="0"/>
      <w:marTop w:val="0"/>
      <w:marBottom w:val="0"/>
      <w:divBdr>
        <w:top w:val="none" w:sz="0" w:space="0" w:color="auto"/>
        <w:left w:val="none" w:sz="0" w:space="0" w:color="auto"/>
        <w:bottom w:val="none" w:sz="0" w:space="0" w:color="auto"/>
        <w:right w:val="none" w:sz="0" w:space="0" w:color="auto"/>
      </w:divBdr>
    </w:div>
    <w:div w:id="1385330541">
      <w:bodyDiv w:val="1"/>
      <w:marLeft w:val="0"/>
      <w:marRight w:val="0"/>
      <w:marTop w:val="0"/>
      <w:marBottom w:val="0"/>
      <w:divBdr>
        <w:top w:val="none" w:sz="0" w:space="0" w:color="auto"/>
        <w:left w:val="none" w:sz="0" w:space="0" w:color="auto"/>
        <w:bottom w:val="none" w:sz="0" w:space="0" w:color="auto"/>
        <w:right w:val="none" w:sz="0" w:space="0" w:color="auto"/>
      </w:divBdr>
    </w:div>
    <w:div w:id="179332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51B2B-E961-4D6F-AD4C-355EB724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1096</Words>
  <Characters>6907</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 Christine, WKÖ BSBV</dc:creator>
  <cp:lastModifiedBy>Priester Caroline, Dr, WKÖ BSBV</cp:lastModifiedBy>
  <cp:revision>8</cp:revision>
  <cp:lastPrinted>2015-01-27T09:14:00Z</cp:lastPrinted>
  <dcterms:created xsi:type="dcterms:W3CDTF">2015-02-23T15:04:00Z</dcterms:created>
  <dcterms:modified xsi:type="dcterms:W3CDTF">2015-03-02T09:09:00Z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1871727066</vt:i4>
  </property>
  <property fmtid="{D5CDD505-2E9C-101B-9397-08002B2CF9AE}" pid="4" name="_EmailSubject">
    <vt:lpwstr>Consultation on MiFID IIMiFIR</vt:lpwstr>
  </property>
  <property fmtid="{D5CDD505-2E9C-101B-9397-08002B2CF9AE}" pid="5" name="_AuthorEmail">
    <vt:lpwstr>bsbv@wko.at</vt:lpwstr>
  </property>
  <property fmtid="{D5CDD505-2E9C-101B-9397-08002B2CF9AE}" pid="6" name="_AuthorEmailDisplayName">
    <vt:lpwstr>WKÖ BSBV</vt:lpwstr>
  </property>
</Properties>
</file>